
<file path=[Content_Types].xml><?xml version="1.0" encoding="utf-8"?>
<Types xmlns="http://schemas.openxmlformats.org/package/2006/content-types">
  <Default Extension="bin" ContentType="application/vnd.openxmlformats-officedocument.oleObject"/>
  <Default Extension="png" ContentType="image/png"/>
  <Default Extension="svg" ContentType="image/svg+xml"/>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er4.xml" ContentType="application/vnd.openxmlformats-officedocument.wordprocessingml.footer+xml"/>
  <Override PartName="/word/header9.xml" ContentType="application/vnd.openxmlformats-officedocument.wordprocessingml.header+xml"/>
  <Override PartName="/word/footer6.xml" ContentType="application/vnd.openxmlformats-officedocument.wordprocessingml.footer+xml"/>
  <Override PartName="/word/footer5.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7.xml" ContentType="application/vnd.openxmlformats-officedocument.wordprocessingml.header+xml"/>
  <Override PartName="/word/header8.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charts/colors1.xml" ContentType="application/vnd.ms-office.chartcolorstyle+xml"/>
  <Override PartName="/word/charts/colors4.xml" ContentType="application/vnd.ms-office.chartcolorstyle+xml"/>
  <Override PartName="/word/charts/chart1.xml" ContentType="application/vnd.openxmlformats-officedocument.drawingml.chart+xml"/>
  <Override PartName="/word/charts/style1.xml" ContentType="application/vnd.ms-office.chart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ustom.xml" ContentType="application/vnd.openxmlformats-officedocument.custom-properti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70CD3B" w14:textId="2B1E946A" w:rsidR="00B70CDE" w:rsidRPr="00DA11DD" w:rsidRDefault="00834748" w:rsidP="00936C85">
      <w:pPr>
        <w:pStyle w:val="Title"/>
      </w:pPr>
      <w:bookmarkStart w:id="0" w:name="_Toc429977995"/>
      <w:r>
        <w:rPr>
          <w:rFonts w:eastAsia="Calibri"/>
        </w:rPr>
        <w:t xml:space="preserve">Tax, </w:t>
      </w:r>
      <w:r w:rsidR="00D55A58">
        <w:rPr>
          <w:rFonts w:eastAsia="Calibri"/>
        </w:rPr>
        <w:t xml:space="preserve">foreign </w:t>
      </w:r>
      <w:r>
        <w:rPr>
          <w:rFonts w:eastAsia="Calibri"/>
        </w:rPr>
        <w:t>investment and productivity</w:t>
      </w:r>
    </w:p>
    <w:p w14:paraId="587E380F" w14:textId="21DF6D7B" w:rsidR="00B70CDE" w:rsidRPr="00DA11DD" w:rsidRDefault="00E639BB" w:rsidP="00702B7E">
      <w:pPr>
        <w:pStyle w:val="Subtitle"/>
      </w:pPr>
      <w:r>
        <w:t>Draft long-term insights briefing</w:t>
      </w:r>
    </w:p>
    <w:p w14:paraId="7D39794D" w14:textId="77777777" w:rsidR="00B70CDE" w:rsidRPr="00DA11DD" w:rsidRDefault="00B70CDE"/>
    <w:p w14:paraId="20EF87B8" w14:textId="77777777" w:rsidR="00B70CDE" w:rsidRPr="00DA11DD" w:rsidRDefault="00B70CDE"/>
    <w:p w14:paraId="2036645B" w14:textId="77777777" w:rsidR="00B70CDE" w:rsidRPr="00DA11DD" w:rsidRDefault="00B70CDE"/>
    <w:p w14:paraId="61B4A79C" w14:textId="77777777" w:rsidR="00B70CDE" w:rsidRPr="00DA11DD" w:rsidRDefault="00B70CDE"/>
    <w:p w14:paraId="6A8F007C" w14:textId="77777777" w:rsidR="00B70CDE" w:rsidRPr="00DA11DD" w:rsidRDefault="00B70CDE"/>
    <w:p w14:paraId="0B1275B5" w14:textId="77777777" w:rsidR="00B70CDE" w:rsidRPr="00DA11DD" w:rsidRDefault="00B70CDE"/>
    <w:p w14:paraId="5E3A605E" w14:textId="77777777" w:rsidR="00B70CDE" w:rsidRPr="00DA11DD" w:rsidRDefault="00B70CDE"/>
    <w:p w14:paraId="008FD829" w14:textId="77777777" w:rsidR="00B70CDE" w:rsidRPr="00DA11DD" w:rsidRDefault="00B70CDE"/>
    <w:p w14:paraId="2964407D" w14:textId="77777777" w:rsidR="00B70CDE" w:rsidRPr="00DA11DD" w:rsidRDefault="00B70CDE"/>
    <w:p w14:paraId="060AB99B" w14:textId="77777777" w:rsidR="00B70CDE" w:rsidRPr="00DA11DD" w:rsidRDefault="00B70CDE"/>
    <w:p w14:paraId="647F2525" w14:textId="77777777" w:rsidR="00B70CDE" w:rsidRPr="00DA11DD" w:rsidRDefault="00B70CDE"/>
    <w:p w14:paraId="7CC0D69D" w14:textId="77777777" w:rsidR="00B70CDE" w:rsidRPr="00DA11DD" w:rsidRDefault="00B70CDE"/>
    <w:p w14:paraId="0CF64936" w14:textId="73BF6AEF" w:rsidR="00B70CDE" w:rsidRDefault="00B70CDE"/>
    <w:p w14:paraId="117654E7" w14:textId="77777777" w:rsidR="002D1AF7" w:rsidRPr="00DA11DD" w:rsidRDefault="002D1AF7"/>
    <w:p w14:paraId="5F635FFA" w14:textId="77777777" w:rsidR="00B70CDE" w:rsidRPr="00DA11DD" w:rsidRDefault="00B70CDE"/>
    <w:p w14:paraId="0265DEFA" w14:textId="100D9343" w:rsidR="00B70CDE" w:rsidRDefault="00B70CDE"/>
    <w:p w14:paraId="05081B47" w14:textId="77777777" w:rsidR="00936C85" w:rsidRPr="00DA11DD" w:rsidRDefault="00936C85"/>
    <w:p w14:paraId="1927D88A" w14:textId="77777777" w:rsidR="00B70CDE" w:rsidRPr="00DA11DD" w:rsidRDefault="00B70CDE"/>
    <w:p w14:paraId="41D4CB86" w14:textId="68A3DBC7" w:rsidR="00B70CDE" w:rsidRPr="00DA11DD" w:rsidRDefault="007F74B9" w:rsidP="003A57E0">
      <w:pPr>
        <w:pStyle w:val="Publicationdate-Cover"/>
      </w:pPr>
      <w:r>
        <w:t>February 2022</w:t>
      </w:r>
    </w:p>
    <w:p w14:paraId="1B909BB0" w14:textId="77777777" w:rsidR="00B70CDE" w:rsidRPr="00DA11DD" w:rsidRDefault="00B70CDE" w:rsidP="00151296">
      <w:pPr>
        <w:pStyle w:val="Authorname-Agency"/>
      </w:pPr>
      <w:r w:rsidRPr="00DA11DD">
        <w:t xml:space="preserve">Prepared by Policy and </w:t>
      </w:r>
      <w:r w:rsidR="0057127B" w:rsidRPr="00DA11DD">
        <w:t>Regulat</w:t>
      </w:r>
      <w:r w:rsidR="00A85243" w:rsidRPr="00DA11DD">
        <w:t>ory Stewardship</w:t>
      </w:r>
      <w:r w:rsidRPr="00DA11DD">
        <w:t>, Inland Revenue</w:t>
      </w:r>
    </w:p>
    <w:p w14:paraId="15B177C5" w14:textId="77777777" w:rsidR="003959E1" w:rsidRPr="00DA11DD" w:rsidRDefault="003959E1" w:rsidP="00B70CDE">
      <w:r w:rsidRPr="00DA11DD">
        <w:br w:type="page"/>
      </w:r>
    </w:p>
    <w:p w14:paraId="544C8952" w14:textId="77777777" w:rsidR="003959E1" w:rsidRPr="00DA11DD" w:rsidRDefault="003959E1"/>
    <w:p w14:paraId="173CF6F1" w14:textId="77777777" w:rsidR="00D929C1" w:rsidRPr="00DA11DD" w:rsidRDefault="00D929C1"/>
    <w:p w14:paraId="18DA4176" w14:textId="77777777" w:rsidR="00D929C1" w:rsidRPr="00DA11DD" w:rsidRDefault="00D929C1"/>
    <w:p w14:paraId="080E1168" w14:textId="77777777" w:rsidR="00D929C1" w:rsidRPr="00DA11DD" w:rsidRDefault="00D929C1"/>
    <w:p w14:paraId="1EBE657A" w14:textId="77777777" w:rsidR="00D929C1" w:rsidRPr="00DA11DD" w:rsidRDefault="00D929C1"/>
    <w:p w14:paraId="0947B09F" w14:textId="77777777" w:rsidR="00D929C1" w:rsidRPr="00DA11DD" w:rsidRDefault="00D929C1"/>
    <w:p w14:paraId="1E4F7930" w14:textId="77777777" w:rsidR="00D929C1" w:rsidRPr="00DA11DD" w:rsidRDefault="00D929C1"/>
    <w:p w14:paraId="69E8ED78" w14:textId="77777777" w:rsidR="00D929C1" w:rsidRPr="00DA11DD" w:rsidRDefault="00D929C1"/>
    <w:p w14:paraId="27EAF5ED" w14:textId="77777777" w:rsidR="00D929C1" w:rsidRPr="00DA11DD" w:rsidRDefault="00D929C1"/>
    <w:p w14:paraId="7BE95D0F" w14:textId="77777777" w:rsidR="00D929C1" w:rsidRPr="00DA11DD" w:rsidRDefault="00D929C1"/>
    <w:p w14:paraId="4146A117" w14:textId="77777777" w:rsidR="00D929C1" w:rsidRPr="00DA11DD" w:rsidRDefault="00D929C1"/>
    <w:p w14:paraId="4D9EC24D" w14:textId="77777777" w:rsidR="00D929C1" w:rsidRPr="00DA11DD" w:rsidRDefault="00D929C1"/>
    <w:p w14:paraId="5E90E0BB" w14:textId="77777777" w:rsidR="00D929C1" w:rsidRPr="00DA11DD" w:rsidRDefault="00D929C1"/>
    <w:p w14:paraId="770A6130" w14:textId="77777777" w:rsidR="00D929C1" w:rsidRPr="00DA11DD" w:rsidRDefault="00D929C1"/>
    <w:p w14:paraId="6F5C4891" w14:textId="3CD53D73" w:rsidR="00D929C1" w:rsidRDefault="00D929C1"/>
    <w:p w14:paraId="5BA34C54" w14:textId="25B98100" w:rsidR="00936C85" w:rsidRDefault="00936C85"/>
    <w:p w14:paraId="480B858D" w14:textId="01A4DC65" w:rsidR="00936C85" w:rsidRPr="00DA11DD" w:rsidRDefault="00936C85"/>
    <w:p w14:paraId="4258E4E7" w14:textId="77777777" w:rsidR="00D929C1" w:rsidRDefault="00D929C1"/>
    <w:p w14:paraId="3965F0A6" w14:textId="77777777" w:rsidR="000C10CE" w:rsidRPr="00DA11DD" w:rsidRDefault="000C10CE"/>
    <w:p w14:paraId="67524011" w14:textId="77777777" w:rsidR="00D929C1" w:rsidRPr="00DA11DD" w:rsidRDefault="00D929C1"/>
    <w:p w14:paraId="5970B752" w14:textId="77777777" w:rsidR="0026287E" w:rsidRPr="00DA11DD" w:rsidRDefault="0026287E"/>
    <w:p w14:paraId="5435BB40" w14:textId="77777777" w:rsidR="00DA3080" w:rsidRPr="00DA11DD" w:rsidRDefault="00DA3080"/>
    <w:p w14:paraId="2C5D66C2" w14:textId="35F28B72" w:rsidR="00702B7E" w:rsidRPr="00DA11DD" w:rsidRDefault="00702B7E" w:rsidP="000B7839">
      <w:pPr>
        <w:pStyle w:val="InsideCover"/>
      </w:pPr>
      <w:r w:rsidRPr="00DA11DD">
        <w:t xml:space="preserve">First published in </w:t>
      </w:r>
      <w:r w:rsidR="007F74B9">
        <w:t>February 2022</w:t>
      </w:r>
      <w:r w:rsidRPr="00DA11DD">
        <w:t xml:space="preserve"> by Policy and </w:t>
      </w:r>
      <w:r w:rsidR="00F210A7" w:rsidRPr="00DA11DD">
        <w:t>Regulatory Stewardship</w:t>
      </w:r>
      <w:r w:rsidR="0026287E" w:rsidRPr="00DA11DD">
        <w:t xml:space="preserve">, </w:t>
      </w:r>
      <w:r w:rsidRPr="00DA11DD">
        <w:t>Inland Revenue, PO Box 2198, Wellington 6140.</w:t>
      </w:r>
    </w:p>
    <w:p w14:paraId="163BF885" w14:textId="6B8C8F81" w:rsidR="00702B7E" w:rsidRPr="00DA11DD" w:rsidRDefault="00CF2C4C" w:rsidP="000B7839">
      <w:pPr>
        <w:pStyle w:val="InsideCover"/>
      </w:pPr>
      <w:r>
        <w:rPr>
          <w:rFonts w:eastAsia="Calibri"/>
          <w:lang w:eastAsia="en-US"/>
        </w:rPr>
        <w:t>Tax, foreign investment and productivity</w:t>
      </w:r>
      <w:r w:rsidR="0036156B">
        <w:rPr>
          <w:rFonts w:eastAsia="Calibri"/>
          <w:lang w:eastAsia="en-US"/>
        </w:rPr>
        <w:t xml:space="preserve"> – </w:t>
      </w:r>
      <w:r>
        <w:rPr>
          <w:rFonts w:eastAsia="Calibri"/>
          <w:lang w:eastAsia="en-US"/>
        </w:rPr>
        <w:t>draft long-term insights briefing</w:t>
      </w:r>
    </w:p>
    <w:p w14:paraId="117DB2FE" w14:textId="5A7F7B59" w:rsidR="00E644A6" w:rsidRPr="004768FA" w:rsidRDefault="00E644A6" w:rsidP="00E644A6">
      <w:r w:rsidRPr="004768FA">
        <w:t xml:space="preserve">ISBN </w:t>
      </w:r>
      <w:r w:rsidRPr="00630AAA">
        <w:t>978-1-98-857335-9</w:t>
      </w:r>
      <w:r w:rsidR="00452E0C">
        <w:t xml:space="preserve"> (Online)</w:t>
      </w:r>
    </w:p>
    <w:p w14:paraId="138EF619" w14:textId="339327CF" w:rsidR="00702B7E" w:rsidRPr="00DA11DD" w:rsidRDefault="00376F5C" w:rsidP="00D929C1">
      <w:pPr>
        <w:spacing w:after="480"/>
      </w:pPr>
      <w:r w:rsidRPr="00DA11DD">
        <w:rPr>
          <w:noProof/>
        </w:rPr>
        <w:drawing>
          <wp:anchor distT="0" distB="0" distL="114300" distR="114300" simplePos="0" relativeHeight="251658240" behindDoc="0" locked="0" layoutInCell="1" allowOverlap="1" wp14:anchorId="76106491" wp14:editId="6DEF03C9">
            <wp:simplePos x="0" y="0"/>
            <wp:positionH relativeFrom="column">
              <wp:posOffset>635</wp:posOffset>
            </wp:positionH>
            <wp:positionV relativeFrom="paragraph">
              <wp:posOffset>150495</wp:posOffset>
            </wp:positionV>
            <wp:extent cx="982345" cy="341630"/>
            <wp:effectExtent l="0" t="0" r="8255" b="1270"/>
            <wp:wrapSquare wrapText="bothSides"/>
            <wp:docPr id="3" name="Graphic 3" descr="Creative Commons Attribution 4.0 International Licen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y.svg"/>
                    <pic:cNvPicPr/>
                  </pic:nvPicPr>
                  <pic:blipFill>
                    <a:blip r:embed="rId8">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982345" cy="341630"/>
                    </a:xfrm>
                    <a:prstGeom prst="rect">
                      <a:avLst/>
                    </a:prstGeom>
                  </pic:spPr>
                </pic:pic>
              </a:graphicData>
            </a:graphic>
          </wp:anchor>
        </w:drawing>
      </w:r>
      <w:r w:rsidR="00702B7E" w:rsidRPr="00DA11DD">
        <w:t>© Crown Copyright</w:t>
      </w:r>
    </w:p>
    <w:p w14:paraId="6E83E250" w14:textId="77777777" w:rsidR="00702B7E" w:rsidRPr="00DA11DD" w:rsidRDefault="00702B7E" w:rsidP="000B7839">
      <w:pPr>
        <w:pStyle w:val="InsideCover"/>
      </w:pPr>
      <w:r w:rsidRPr="00DA11DD">
        <w:t>This work is licensed under the Creative Commons Attribution 4.0 International Licence. In essence, you are free to copy, distribute and adapt the work, as long as you attribute the work to the Crown and abide by the other licence terms.</w:t>
      </w:r>
    </w:p>
    <w:p w14:paraId="548E10F8" w14:textId="54C08859" w:rsidR="000A6E3B" w:rsidRDefault="00702B7E" w:rsidP="000B7839">
      <w:pPr>
        <w:pStyle w:val="InsideCover"/>
      </w:pPr>
      <w:r w:rsidRPr="00DA11DD">
        <w:t>The document is available at</w:t>
      </w:r>
      <w:r w:rsidR="000A6E3B" w:rsidRPr="00DA11DD">
        <w:t xml:space="preserve"> </w:t>
      </w:r>
      <w:r w:rsidR="000B7839">
        <w:br/>
      </w:r>
      <w:hyperlink r:id="rId10" w:history="1">
        <w:r w:rsidR="005C74F8" w:rsidRPr="00FF3BF9">
          <w:rPr>
            <w:rStyle w:val="Hyperlink"/>
          </w:rPr>
          <w:t>https://taxpolicy.ird.govt.nz/publications/2022/2022-other-draft-ltib</w:t>
        </w:r>
      </w:hyperlink>
    </w:p>
    <w:p w14:paraId="12305C3F" w14:textId="77777777" w:rsidR="005C74F8" w:rsidRPr="00DA11DD" w:rsidRDefault="005C74F8" w:rsidP="000B7839">
      <w:pPr>
        <w:pStyle w:val="InsideCover"/>
      </w:pPr>
    </w:p>
    <w:p w14:paraId="692DE850" w14:textId="77777777" w:rsidR="00702B7E" w:rsidRPr="00DA11DD" w:rsidRDefault="00702B7E" w:rsidP="00D929C1">
      <w:pPr>
        <w:sectPr w:rsidR="00702B7E" w:rsidRPr="00DA11DD" w:rsidSect="00702B7E">
          <w:headerReference w:type="even" r:id="rId11"/>
          <w:headerReference w:type="default" r:id="rId12"/>
          <w:footerReference w:type="even" r:id="rId13"/>
          <w:footerReference w:type="default" r:id="rId14"/>
          <w:headerReference w:type="first" r:id="rId15"/>
          <w:footerReference w:type="first" r:id="rId16"/>
          <w:type w:val="nextColumn"/>
          <w:pgSz w:w="11906" w:h="16838" w:code="9"/>
          <w:pgMar w:top="1304" w:right="1559" w:bottom="1134" w:left="1559" w:header="720" w:footer="567" w:gutter="0"/>
          <w:pgNumType w:start="1"/>
          <w:cols w:space="720"/>
          <w:titlePg/>
        </w:sectPr>
      </w:pPr>
    </w:p>
    <w:p w14:paraId="21362652" w14:textId="77777777" w:rsidR="003959E1" w:rsidRPr="00230781" w:rsidRDefault="003959E1" w:rsidP="00230781">
      <w:pPr>
        <w:spacing w:before="0" w:after="560"/>
        <w:jc w:val="center"/>
        <w:rPr>
          <w:b/>
          <w:color w:val="1F85A3"/>
          <w:sz w:val="24"/>
          <w:szCs w:val="24"/>
        </w:rPr>
      </w:pPr>
      <w:r w:rsidRPr="00230781">
        <w:rPr>
          <w:b/>
          <w:color w:val="1F85A3"/>
          <w:sz w:val="24"/>
          <w:szCs w:val="24"/>
        </w:rPr>
        <w:lastRenderedPageBreak/>
        <w:t>CONTENTS</w:t>
      </w:r>
    </w:p>
    <w:bookmarkStart w:id="1" w:name="_Hlt510587982"/>
    <w:bookmarkStart w:id="2" w:name="_Hlt478443407"/>
    <w:bookmarkStart w:id="3" w:name="_Toc14174909"/>
    <w:bookmarkEnd w:id="0"/>
    <w:bookmarkEnd w:id="1"/>
    <w:bookmarkEnd w:id="2"/>
    <w:p w14:paraId="1B9EA300" w14:textId="5E607EC8" w:rsidR="003770A1" w:rsidRDefault="001448F7">
      <w:pPr>
        <w:pStyle w:val="TOC1"/>
        <w:rPr>
          <w:rFonts w:asciiTheme="minorHAnsi" w:eastAsiaTheme="minorEastAsia" w:hAnsiTheme="minorHAnsi" w:cstheme="minorBidi"/>
          <w:b w:val="0"/>
          <w:sz w:val="22"/>
          <w:szCs w:val="22"/>
        </w:rPr>
      </w:pPr>
      <w:r>
        <w:fldChar w:fldCharType="begin"/>
      </w:r>
      <w:r>
        <w:instrText xml:space="preserve"> TOC \o "1-2" \h \z \u </w:instrText>
      </w:r>
      <w:r>
        <w:fldChar w:fldCharType="separate"/>
      </w:r>
      <w:hyperlink w:anchor="_Toc96585510" w:history="1">
        <w:r w:rsidR="003770A1" w:rsidRPr="002140D5">
          <w:rPr>
            <w:rStyle w:val="Hyperlink"/>
          </w:rPr>
          <w:t>EXECUTIVE SUMMARY</w:t>
        </w:r>
        <w:r w:rsidR="003770A1">
          <w:rPr>
            <w:webHidden/>
          </w:rPr>
          <w:tab/>
        </w:r>
        <w:r w:rsidR="003770A1">
          <w:rPr>
            <w:webHidden/>
          </w:rPr>
          <w:fldChar w:fldCharType="begin"/>
        </w:r>
        <w:r w:rsidR="003770A1">
          <w:rPr>
            <w:webHidden/>
          </w:rPr>
          <w:instrText xml:space="preserve"> PAGEREF _Toc96585510 \h </w:instrText>
        </w:r>
        <w:r w:rsidR="003770A1">
          <w:rPr>
            <w:webHidden/>
          </w:rPr>
        </w:r>
        <w:r w:rsidR="003770A1">
          <w:rPr>
            <w:webHidden/>
          </w:rPr>
          <w:fldChar w:fldCharType="separate"/>
        </w:r>
        <w:r w:rsidR="003770A1">
          <w:rPr>
            <w:webHidden/>
          </w:rPr>
          <w:t>5</w:t>
        </w:r>
        <w:r w:rsidR="003770A1">
          <w:rPr>
            <w:webHidden/>
          </w:rPr>
          <w:fldChar w:fldCharType="end"/>
        </w:r>
      </w:hyperlink>
    </w:p>
    <w:p w14:paraId="2FDFED79" w14:textId="10773944" w:rsidR="003770A1" w:rsidRDefault="003770A1">
      <w:pPr>
        <w:pStyle w:val="TOC1"/>
        <w:rPr>
          <w:rFonts w:asciiTheme="minorHAnsi" w:eastAsiaTheme="minorEastAsia" w:hAnsiTheme="minorHAnsi" w:cstheme="minorBidi"/>
          <w:b w:val="0"/>
          <w:sz w:val="22"/>
          <w:szCs w:val="22"/>
        </w:rPr>
      </w:pPr>
      <w:hyperlink w:anchor="_Toc96585511" w:history="1">
        <w:r w:rsidRPr="002140D5">
          <w:rPr>
            <w:rStyle w:val="Hyperlink"/>
          </w:rPr>
          <w:t xml:space="preserve">CHAPTER 1 </w:t>
        </w:r>
        <w:r>
          <w:rPr>
            <w:rStyle w:val="Hyperlink"/>
          </w:rPr>
          <w:tab/>
        </w:r>
        <w:r w:rsidRPr="002140D5">
          <w:rPr>
            <w:rStyle w:val="Hyperlink"/>
          </w:rPr>
          <w:t>Introduction</w:t>
        </w:r>
        <w:r>
          <w:rPr>
            <w:webHidden/>
          </w:rPr>
          <w:tab/>
        </w:r>
        <w:r>
          <w:rPr>
            <w:webHidden/>
          </w:rPr>
          <w:fldChar w:fldCharType="begin"/>
        </w:r>
        <w:r>
          <w:rPr>
            <w:webHidden/>
          </w:rPr>
          <w:instrText xml:space="preserve"> PAGEREF _Toc96585511 \h </w:instrText>
        </w:r>
        <w:r>
          <w:rPr>
            <w:webHidden/>
          </w:rPr>
        </w:r>
        <w:r>
          <w:rPr>
            <w:webHidden/>
          </w:rPr>
          <w:fldChar w:fldCharType="separate"/>
        </w:r>
        <w:r>
          <w:rPr>
            <w:webHidden/>
          </w:rPr>
          <w:t>7</w:t>
        </w:r>
        <w:r>
          <w:rPr>
            <w:webHidden/>
          </w:rPr>
          <w:fldChar w:fldCharType="end"/>
        </w:r>
      </w:hyperlink>
    </w:p>
    <w:p w14:paraId="3CA616D2" w14:textId="390C7AD8" w:rsidR="003770A1" w:rsidRDefault="003770A1">
      <w:pPr>
        <w:pStyle w:val="TOC2"/>
        <w:rPr>
          <w:rFonts w:asciiTheme="minorHAnsi" w:eastAsiaTheme="minorEastAsia" w:hAnsiTheme="minorHAnsi" w:cstheme="minorBidi"/>
          <w:sz w:val="22"/>
          <w:szCs w:val="22"/>
        </w:rPr>
      </w:pPr>
      <w:hyperlink w:anchor="_Toc96585512" w:history="1">
        <w:r w:rsidRPr="002140D5">
          <w:rPr>
            <w:rStyle w:val="Hyperlink"/>
            <w:rFonts w:eastAsia="Calibri"/>
            <w:lang w:eastAsia="en-US"/>
          </w:rPr>
          <w:t>Background</w:t>
        </w:r>
        <w:r>
          <w:rPr>
            <w:webHidden/>
          </w:rPr>
          <w:tab/>
        </w:r>
        <w:r>
          <w:rPr>
            <w:webHidden/>
          </w:rPr>
          <w:fldChar w:fldCharType="begin"/>
        </w:r>
        <w:r>
          <w:rPr>
            <w:webHidden/>
          </w:rPr>
          <w:instrText xml:space="preserve"> PAGEREF _Toc96585512 \h </w:instrText>
        </w:r>
        <w:r>
          <w:rPr>
            <w:webHidden/>
          </w:rPr>
        </w:r>
        <w:r>
          <w:rPr>
            <w:webHidden/>
          </w:rPr>
          <w:fldChar w:fldCharType="separate"/>
        </w:r>
        <w:r>
          <w:rPr>
            <w:webHidden/>
          </w:rPr>
          <w:t>9</w:t>
        </w:r>
        <w:r>
          <w:rPr>
            <w:webHidden/>
          </w:rPr>
          <w:fldChar w:fldCharType="end"/>
        </w:r>
      </w:hyperlink>
    </w:p>
    <w:p w14:paraId="4AC6444A" w14:textId="40052F4F" w:rsidR="003770A1" w:rsidRDefault="003770A1">
      <w:pPr>
        <w:pStyle w:val="TOC2"/>
        <w:rPr>
          <w:rFonts w:asciiTheme="minorHAnsi" w:eastAsiaTheme="minorEastAsia" w:hAnsiTheme="minorHAnsi" w:cstheme="minorBidi"/>
          <w:sz w:val="22"/>
          <w:szCs w:val="22"/>
        </w:rPr>
      </w:pPr>
      <w:hyperlink w:anchor="_Toc96585513" w:history="1">
        <w:r w:rsidRPr="002140D5">
          <w:rPr>
            <w:rStyle w:val="Hyperlink"/>
            <w:rFonts w:eastAsia="Calibri"/>
            <w:lang w:eastAsia="en-US"/>
          </w:rPr>
          <w:t>Key trends and issues</w:t>
        </w:r>
        <w:r>
          <w:rPr>
            <w:webHidden/>
          </w:rPr>
          <w:tab/>
        </w:r>
        <w:r>
          <w:rPr>
            <w:webHidden/>
          </w:rPr>
          <w:fldChar w:fldCharType="begin"/>
        </w:r>
        <w:r>
          <w:rPr>
            <w:webHidden/>
          </w:rPr>
          <w:instrText xml:space="preserve"> PAGEREF _Toc96585513 \h </w:instrText>
        </w:r>
        <w:r>
          <w:rPr>
            <w:webHidden/>
          </w:rPr>
        </w:r>
        <w:r>
          <w:rPr>
            <w:webHidden/>
          </w:rPr>
          <w:fldChar w:fldCharType="separate"/>
        </w:r>
        <w:r>
          <w:rPr>
            <w:webHidden/>
          </w:rPr>
          <w:t>9</w:t>
        </w:r>
        <w:r>
          <w:rPr>
            <w:webHidden/>
          </w:rPr>
          <w:fldChar w:fldCharType="end"/>
        </w:r>
      </w:hyperlink>
    </w:p>
    <w:p w14:paraId="3336A818" w14:textId="11356FA6" w:rsidR="003770A1" w:rsidRDefault="003770A1">
      <w:pPr>
        <w:pStyle w:val="TOC2"/>
        <w:rPr>
          <w:rFonts w:asciiTheme="minorHAnsi" w:eastAsiaTheme="minorEastAsia" w:hAnsiTheme="minorHAnsi" w:cstheme="minorBidi"/>
          <w:sz w:val="22"/>
          <w:szCs w:val="22"/>
        </w:rPr>
      </w:pPr>
      <w:hyperlink w:anchor="_Toc96585514" w:history="1">
        <w:r w:rsidRPr="002140D5">
          <w:rPr>
            <w:rStyle w:val="Hyperlink"/>
            <w:rFonts w:eastAsia="Calibri"/>
            <w:lang w:eastAsia="en-US"/>
          </w:rPr>
          <w:t>Feedback received on the scoping paper</w:t>
        </w:r>
        <w:r>
          <w:rPr>
            <w:webHidden/>
          </w:rPr>
          <w:tab/>
        </w:r>
        <w:r>
          <w:rPr>
            <w:webHidden/>
          </w:rPr>
          <w:fldChar w:fldCharType="begin"/>
        </w:r>
        <w:r>
          <w:rPr>
            <w:webHidden/>
          </w:rPr>
          <w:instrText xml:space="preserve"> PAGEREF _Toc96585514 \h </w:instrText>
        </w:r>
        <w:r>
          <w:rPr>
            <w:webHidden/>
          </w:rPr>
        </w:r>
        <w:r>
          <w:rPr>
            <w:webHidden/>
          </w:rPr>
          <w:fldChar w:fldCharType="separate"/>
        </w:r>
        <w:r>
          <w:rPr>
            <w:webHidden/>
          </w:rPr>
          <w:t>12</w:t>
        </w:r>
        <w:r>
          <w:rPr>
            <w:webHidden/>
          </w:rPr>
          <w:fldChar w:fldCharType="end"/>
        </w:r>
      </w:hyperlink>
    </w:p>
    <w:p w14:paraId="52DB790F" w14:textId="38842346" w:rsidR="003770A1" w:rsidRDefault="003770A1">
      <w:pPr>
        <w:pStyle w:val="TOC2"/>
        <w:rPr>
          <w:rFonts w:asciiTheme="minorHAnsi" w:eastAsiaTheme="minorEastAsia" w:hAnsiTheme="minorHAnsi" w:cstheme="minorBidi"/>
          <w:sz w:val="22"/>
          <w:szCs w:val="22"/>
        </w:rPr>
      </w:pPr>
      <w:hyperlink w:anchor="_Toc96585515" w:history="1">
        <w:r w:rsidRPr="002140D5">
          <w:rPr>
            <w:rStyle w:val="Hyperlink"/>
            <w:rFonts w:eastAsia="Calibri"/>
            <w:lang w:eastAsia="en-US"/>
          </w:rPr>
          <w:t>Outline of the draft LTIB</w:t>
        </w:r>
        <w:r>
          <w:rPr>
            <w:webHidden/>
          </w:rPr>
          <w:tab/>
        </w:r>
        <w:r>
          <w:rPr>
            <w:webHidden/>
          </w:rPr>
          <w:fldChar w:fldCharType="begin"/>
        </w:r>
        <w:r>
          <w:rPr>
            <w:webHidden/>
          </w:rPr>
          <w:instrText xml:space="preserve"> PAGEREF _Toc96585515 \h </w:instrText>
        </w:r>
        <w:r>
          <w:rPr>
            <w:webHidden/>
          </w:rPr>
        </w:r>
        <w:r>
          <w:rPr>
            <w:webHidden/>
          </w:rPr>
          <w:fldChar w:fldCharType="separate"/>
        </w:r>
        <w:r>
          <w:rPr>
            <w:webHidden/>
          </w:rPr>
          <w:t>14</w:t>
        </w:r>
        <w:r>
          <w:rPr>
            <w:webHidden/>
          </w:rPr>
          <w:fldChar w:fldCharType="end"/>
        </w:r>
      </w:hyperlink>
    </w:p>
    <w:p w14:paraId="48C01435" w14:textId="28C05594" w:rsidR="003770A1" w:rsidRDefault="003770A1">
      <w:pPr>
        <w:pStyle w:val="TOC2"/>
        <w:rPr>
          <w:rFonts w:asciiTheme="minorHAnsi" w:eastAsiaTheme="minorEastAsia" w:hAnsiTheme="minorHAnsi" w:cstheme="minorBidi"/>
          <w:sz w:val="22"/>
          <w:szCs w:val="22"/>
        </w:rPr>
      </w:pPr>
      <w:hyperlink w:anchor="_Toc96585516" w:history="1">
        <w:r w:rsidRPr="002140D5">
          <w:rPr>
            <w:rStyle w:val="Hyperlink"/>
            <w:rFonts w:eastAsia="Calibri"/>
            <w:lang w:eastAsia="en-US"/>
          </w:rPr>
          <w:t>What do you think?</w:t>
        </w:r>
        <w:r>
          <w:rPr>
            <w:webHidden/>
          </w:rPr>
          <w:tab/>
        </w:r>
        <w:r>
          <w:rPr>
            <w:webHidden/>
          </w:rPr>
          <w:fldChar w:fldCharType="begin"/>
        </w:r>
        <w:r>
          <w:rPr>
            <w:webHidden/>
          </w:rPr>
          <w:instrText xml:space="preserve"> PAGEREF _Toc96585516 \h </w:instrText>
        </w:r>
        <w:r>
          <w:rPr>
            <w:webHidden/>
          </w:rPr>
        </w:r>
        <w:r>
          <w:rPr>
            <w:webHidden/>
          </w:rPr>
          <w:fldChar w:fldCharType="separate"/>
        </w:r>
        <w:r>
          <w:rPr>
            <w:webHidden/>
          </w:rPr>
          <w:t>14</w:t>
        </w:r>
        <w:r>
          <w:rPr>
            <w:webHidden/>
          </w:rPr>
          <w:fldChar w:fldCharType="end"/>
        </w:r>
      </w:hyperlink>
    </w:p>
    <w:p w14:paraId="0BD41457" w14:textId="48DCAE4F" w:rsidR="003770A1" w:rsidRDefault="003770A1">
      <w:pPr>
        <w:pStyle w:val="TOC1"/>
        <w:rPr>
          <w:rFonts w:asciiTheme="minorHAnsi" w:eastAsiaTheme="minorEastAsia" w:hAnsiTheme="minorHAnsi" w:cstheme="minorBidi"/>
          <w:b w:val="0"/>
          <w:sz w:val="22"/>
          <w:szCs w:val="22"/>
        </w:rPr>
      </w:pPr>
      <w:hyperlink w:anchor="_Toc96585517" w:history="1">
        <w:r w:rsidRPr="002140D5">
          <w:rPr>
            <w:rStyle w:val="Hyperlink"/>
          </w:rPr>
          <w:t xml:space="preserve">CHAPTER 2 </w:t>
        </w:r>
        <w:r>
          <w:rPr>
            <w:rStyle w:val="Hyperlink"/>
          </w:rPr>
          <w:tab/>
        </w:r>
        <w:r w:rsidRPr="002140D5">
          <w:rPr>
            <w:rStyle w:val="Hyperlink"/>
          </w:rPr>
          <w:t>Taxing inbound investment income – modelling economic effects and trade-offs</w:t>
        </w:r>
        <w:r>
          <w:rPr>
            <w:webHidden/>
          </w:rPr>
          <w:tab/>
        </w:r>
        <w:r>
          <w:rPr>
            <w:webHidden/>
          </w:rPr>
          <w:fldChar w:fldCharType="begin"/>
        </w:r>
        <w:r>
          <w:rPr>
            <w:webHidden/>
          </w:rPr>
          <w:instrText xml:space="preserve"> PAGEREF _Toc96585517 \h </w:instrText>
        </w:r>
        <w:r>
          <w:rPr>
            <w:webHidden/>
          </w:rPr>
        </w:r>
        <w:r>
          <w:rPr>
            <w:webHidden/>
          </w:rPr>
          <w:fldChar w:fldCharType="separate"/>
        </w:r>
        <w:r>
          <w:rPr>
            <w:webHidden/>
          </w:rPr>
          <w:t>16</w:t>
        </w:r>
        <w:r>
          <w:rPr>
            <w:webHidden/>
          </w:rPr>
          <w:fldChar w:fldCharType="end"/>
        </w:r>
      </w:hyperlink>
    </w:p>
    <w:p w14:paraId="621D1456" w14:textId="4206C832" w:rsidR="003770A1" w:rsidRDefault="003770A1">
      <w:pPr>
        <w:pStyle w:val="TOC2"/>
        <w:rPr>
          <w:rFonts w:asciiTheme="minorHAnsi" w:eastAsiaTheme="minorEastAsia" w:hAnsiTheme="minorHAnsi" w:cstheme="minorBidi"/>
          <w:sz w:val="22"/>
          <w:szCs w:val="22"/>
        </w:rPr>
      </w:pPr>
      <w:hyperlink w:anchor="_Toc96585518" w:history="1">
        <w:r w:rsidRPr="002140D5">
          <w:rPr>
            <w:rStyle w:val="Hyperlink"/>
            <w:rFonts w:eastAsia="Calibri"/>
            <w:lang w:eastAsia="en-US"/>
          </w:rPr>
          <w:t>Introduction</w:t>
        </w:r>
        <w:r>
          <w:rPr>
            <w:webHidden/>
          </w:rPr>
          <w:tab/>
        </w:r>
        <w:r>
          <w:rPr>
            <w:webHidden/>
          </w:rPr>
          <w:fldChar w:fldCharType="begin"/>
        </w:r>
        <w:r>
          <w:rPr>
            <w:webHidden/>
          </w:rPr>
          <w:instrText xml:space="preserve"> PAGEREF _Toc96585518 \h </w:instrText>
        </w:r>
        <w:r>
          <w:rPr>
            <w:webHidden/>
          </w:rPr>
        </w:r>
        <w:r>
          <w:rPr>
            <w:webHidden/>
          </w:rPr>
          <w:fldChar w:fldCharType="separate"/>
        </w:r>
        <w:r>
          <w:rPr>
            <w:webHidden/>
          </w:rPr>
          <w:t>16</w:t>
        </w:r>
        <w:r>
          <w:rPr>
            <w:webHidden/>
          </w:rPr>
          <w:fldChar w:fldCharType="end"/>
        </w:r>
      </w:hyperlink>
    </w:p>
    <w:p w14:paraId="10A21311" w14:textId="6F4DE3DF" w:rsidR="003770A1" w:rsidRDefault="003770A1">
      <w:pPr>
        <w:pStyle w:val="TOC2"/>
        <w:rPr>
          <w:rFonts w:asciiTheme="minorHAnsi" w:eastAsiaTheme="minorEastAsia" w:hAnsiTheme="minorHAnsi" w:cstheme="minorBidi"/>
          <w:sz w:val="22"/>
          <w:szCs w:val="22"/>
        </w:rPr>
      </w:pPr>
      <w:hyperlink w:anchor="_Toc96585519" w:history="1">
        <w:r w:rsidRPr="002140D5">
          <w:rPr>
            <w:rStyle w:val="Hyperlink"/>
            <w:rFonts w:eastAsia="Calibri"/>
            <w:lang w:eastAsia="en-US"/>
          </w:rPr>
          <w:t>The effects of source-based taxes on inbound investment income in a small open economy – a simple model</w:t>
        </w:r>
        <w:r>
          <w:rPr>
            <w:webHidden/>
          </w:rPr>
          <w:tab/>
        </w:r>
        <w:r>
          <w:rPr>
            <w:webHidden/>
          </w:rPr>
          <w:fldChar w:fldCharType="begin"/>
        </w:r>
        <w:r>
          <w:rPr>
            <w:webHidden/>
          </w:rPr>
          <w:instrText xml:space="preserve"> PAGEREF _Toc96585519 \h </w:instrText>
        </w:r>
        <w:r>
          <w:rPr>
            <w:webHidden/>
          </w:rPr>
        </w:r>
        <w:r>
          <w:rPr>
            <w:webHidden/>
          </w:rPr>
          <w:fldChar w:fldCharType="separate"/>
        </w:r>
        <w:r>
          <w:rPr>
            <w:webHidden/>
          </w:rPr>
          <w:t>17</w:t>
        </w:r>
        <w:r>
          <w:rPr>
            <w:webHidden/>
          </w:rPr>
          <w:fldChar w:fldCharType="end"/>
        </w:r>
      </w:hyperlink>
    </w:p>
    <w:p w14:paraId="34C23543" w14:textId="711F39B5" w:rsidR="003770A1" w:rsidRDefault="003770A1">
      <w:pPr>
        <w:pStyle w:val="TOC2"/>
        <w:rPr>
          <w:rFonts w:asciiTheme="minorHAnsi" w:eastAsiaTheme="minorEastAsia" w:hAnsiTheme="minorHAnsi" w:cstheme="minorBidi"/>
          <w:sz w:val="22"/>
          <w:szCs w:val="22"/>
        </w:rPr>
      </w:pPr>
      <w:hyperlink w:anchor="_Toc96585520" w:history="1">
        <w:r w:rsidRPr="002140D5">
          <w:rPr>
            <w:rStyle w:val="Hyperlink"/>
            <w:rFonts w:eastAsia="Calibri"/>
            <w:lang w:eastAsia="en-US"/>
          </w:rPr>
          <w:t>Different types of capital inflows and different costs of capital</w:t>
        </w:r>
        <w:r>
          <w:rPr>
            <w:webHidden/>
          </w:rPr>
          <w:tab/>
        </w:r>
        <w:r>
          <w:rPr>
            <w:webHidden/>
          </w:rPr>
          <w:fldChar w:fldCharType="begin"/>
        </w:r>
        <w:r>
          <w:rPr>
            <w:webHidden/>
          </w:rPr>
          <w:instrText xml:space="preserve"> PAGEREF _Toc96585520 \h </w:instrText>
        </w:r>
        <w:r>
          <w:rPr>
            <w:webHidden/>
          </w:rPr>
        </w:r>
        <w:r>
          <w:rPr>
            <w:webHidden/>
          </w:rPr>
          <w:fldChar w:fldCharType="separate"/>
        </w:r>
        <w:r>
          <w:rPr>
            <w:webHidden/>
          </w:rPr>
          <w:t>20</w:t>
        </w:r>
        <w:r>
          <w:rPr>
            <w:webHidden/>
          </w:rPr>
          <w:fldChar w:fldCharType="end"/>
        </w:r>
      </w:hyperlink>
    </w:p>
    <w:p w14:paraId="19822D20" w14:textId="39C05748" w:rsidR="003770A1" w:rsidRDefault="003770A1">
      <w:pPr>
        <w:pStyle w:val="TOC2"/>
        <w:rPr>
          <w:rFonts w:asciiTheme="minorHAnsi" w:eastAsiaTheme="minorEastAsia" w:hAnsiTheme="minorHAnsi" w:cstheme="minorBidi"/>
          <w:sz w:val="22"/>
          <w:szCs w:val="22"/>
        </w:rPr>
      </w:pPr>
      <w:hyperlink w:anchor="_Toc96585521" w:history="1">
        <w:r w:rsidRPr="002140D5">
          <w:rPr>
            <w:rStyle w:val="Hyperlink"/>
            <w:rFonts w:eastAsia="Calibri"/>
            <w:lang w:eastAsia="en-US"/>
          </w:rPr>
          <w:t>How important are source-based taxes likely to be in determining FDI and broader levels of capital stock in New Zealand?</w:t>
        </w:r>
        <w:r>
          <w:rPr>
            <w:webHidden/>
          </w:rPr>
          <w:tab/>
        </w:r>
        <w:r>
          <w:rPr>
            <w:webHidden/>
          </w:rPr>
          <w:fldChar w:fldCharType="begin"/>
        </w:r>
        <w:r>
          <w:rPr>
            <w:webHidden/>
          </w:rPr>
          <w:instrText xml:space="preserve"> PAGEREF _Toc96585521 \h </w:instrText>
        </w:r>
        <w:r>
          <w:rPr>
            <w:webHidden/>
          </w:rPr>
        </w:r>
        <w:r>
          <w:rPr>
            <w:webHidden/>
          </w:rPr>
          <w:fldChar w:fldCharType="separate"/>
        </w:r>
        <w:r>
          <w:rPr>
            <w:webHidden/>
          </w:rPr>
          <w:t>21</w:t>
        </w:r>
        <w:r>
          <w:rPr>
            <w:webHidden/>
          </w:rPr>
          <w:fldChar w:fldCharType="end"/>
        </w:r>
      </w:hyperlink>
    </w:p>
    <w:p w14:paraId="3209D9AD" w14:textId="5517E6E9" w:rsidR="003770A1" w:rsidRDefault="003770A1">
      <w:pPr>
        <w:pStyle w:val="TOC1"/>
        <w:rPr>
          <w:rFonts w:asciiTheme="minorHAnsi" w:eastAsiaTheme="minorEastAsia" w:hAnsiTheme="minorHAnsi" w:cstheme="minorBidi"/>
          <w:b w:val="0"/>
          <w:sz w:val="22"/>
          <w:szCs w:val="22"/>
        </w:rPr>
      </w:pPr>
      <w:hyperlink w:anchor="_Toc96585522" w:history="1">
        <w:r w:rsidRPr="002140D5">
          <w:rPr>
            <w:rStyle w:val="Hyperlink"/>
            <w:rFonts w:eastAsia="Calibri"/>
          </w:rPr>
          <w:t xml:space="preserve">CHAPTER 3 </w:t>
        </w:r>
        <w:r>
          <w:rPr>
            <w:rStyle w:val="Hyperlink"/>
            <w:rFonts w:eastAsia="Calibri"/>
          </w:rPr>
          <w:tab/>
        </w:r>
        <w:r w:rsidRPr="002140D5">
          <w:rPr>
            <w:rStyle w:val="Hyperlink"/>
            <w:rFonts w:eastAsia="Calibri"/>
          </w:rPr>
          <w:t>Benchmarking New Zealand’s costs of capital and EMTRs against those of other OECD countries</w:t>
        </w:r>
        <w:r>
          <w:rPr>
            <w:webHidden/>
          </w:rPr>
          <w:tab/>
        </w:r>
        <w:r>
          <w:rPr>
            <w:webHidden/>
          </w:rPr>
          <w:fldChar w:fldCharType="begin"/>
        </w:r>
        <w:r>
          <w:rPr>
            <w:webHidden/>
          </w:rPr>
          <w:instrText xml:space="preserve"> PAGEREF _Toc96585522 \h </w:instrText>
        </w:r>
        <w:r>
          <w:rPr>
            <w:webHidden/>
          </w:rPr>
        </w:r>
        <w:r>
          <w:rPr>
            <w:webHidden/>
          </w:rPr>
          <w:fldChar w:fldCharType="separate"/>
        </w:r>
        <w:r>
          <w:rPr>
            <w:webHidden/>
          </w:rPr>
          <w:t>24</w:t>
        </w:r>
        <w:r>
          <w:rPr>
            <w:webHidden/>
          </w:rPr>
          <w:fldChar w:fldCharType="end"/>
        </w:r>
      </w:hyperlink>
    </w:p>
    <w:p w14:paraId="3EF08C67" w14:textId="483873EB" w:rsidR="003770A1" w:rsidRDefault="003770A1">
      <w:pPr>
        <w:pStyle w:val="TOC2"/>
        <w:rPr>
          <w:rFonts w:asciiTheme="minorHAnsi" w:eastAsiaTheme="minorEastAsia" w:hAnsiTheme="minorHAnsi" w:cstheme="minorBidi"/>
          <w:sz w:val="22"/>
          <w:szCs w:val="22"/>
        </w:rPr>
      </w:pPr>
      <w:hyperlink w:anchor="_Toc96585523" w:history="1">
        <w:r w:rsidRPr="002140D5">
          <w:rPr>
            <w:rStyle w:val="Hyperlink"/>
            <w:rFonts w:eastAsia="Calibri"/>
            <w:lang w:eastAsia="en-US"/>
          </w:rPr>
          <w:t>Introduction</w:t>
        </w:r>
        <w:r>
          <w:rPr>
            <w:webHidden/>
          </w:rPr>
          <w:tab/>
        </w:r>
        <w:r>
          <w:rPr>
            <w:webHidden/>
          </w:rPr>
          <w:fldChar w:fldCharType="begin"/>
        </w:r>
        <w:r>
          <w:rPr>
            <w:webHidden/>
          </w:rPr>
          <w:instrText xml:space="preserve"> PAGEREF _Toc96585523 \h </w:instrText>
        </w:r>
        <w:r>
          <w:rPr>
            <w:webHidden/>
          </w:rPr>
        </w:r>
        <w:r>
          <w:rPr>
            <w:webHidden/>
          </w:rPr>
          <w:fldChar w:fldCharType="separate"/>
        </w:r>
        <w:r>
          <w:rPr>
            <w:webHidden/>
          </w:rPr>
          <w:t>24</w:t>
        </w:r>
        <w:r>
          <w:rPr>
            <w:webHidden/>
          </w:rPr>
          <w:fldChar w:fldCharType="end"/>
        </w:r>
      </w:hyperlink>
    </w:p>
    <w:p w14:paraId="2D471AFE" w14:textId="25ADD293" w:rsidR="003770A1" w:rsidRDefault="003770A1">
      <w:pPr>
        <w:pStyle w:val="TOC2"/>
        <w:rPr>
          <w:rFonts w:asciiTheme="minorHAnsi" w:eastAsiaTheme="minorEastAsia" w:hAnsiTheme="minorHAnsi" w:cstheme="minorBidi"/>
          <w:sz w:val="22"/>
          <w:szCs w:val="22"/>
        </w:rPr>
      </w:pPr>
      <w:hyperlink w:anchor="_Toc96585524" w:history="1">
        <w:r w:rsidRPr="002140D5">
          <w:rPr>
            <w:rStyle w:val="Hyperlink"/>
            <w:rFonts w:eastAsia="Calibri"/>
            <w:lang w:eastAsia="en-US"/>
          </w:rPr>
          <w:t>The OECD modelling and some key assumptions</w:t>
        </w:r>
        <w:r>
          <w:rPr>
            <w:webHidden/>
          </w:rPr>
          <w:tab/>
        </w:r>
        <w:r>
          <w:rPr>
            <w:webHidden/>
          </w:rPr>
          <w:fldChar w:fldCharType="begin"/>
        </w:r>
        <w:r>
          <w:rPr>
            <w:webHidden/>
          </w:rPr>
          <w:instrText xml:space="preserve"> PAGEREF _Toc96585524 \h </w:instrText>
        </w:r>
        <w:r>
          <w:rPr>
            <w:webHidden/>
          </w:rPr>
        </w:r>
        <w:r>
          <w:rPr>
            <w:webHidden/>
          </w:rPr>
          <w:fldChar w:fldCharType="separate"/>
        </w:r>
        <w:r>
          <w:rPr>
            <w:webHidden/>
          </w:rPr>
          <w:t>25</w:t>
        </w:r>
        <w:r>
          <w:rPr>
            <w:webHidden/>
          </w:rPr>
          <w:fldChar w:fldCharType="end"/>
        </w:r>
      </w:hyperlink>
    </w:p>
    <w:p w14:paraId="1BE3585E" w14:textId="01588919" w:rsidR="003770A1" w:rsidRDefault="003770A1">
      <w:pPr>
        <w:pStyle w:val="TOC2"/>
        <w:rPr>
          <w:rFonts w:asciiTheme="minorHAnsi" w:eastAsiaTheme="minorEastAsia" w:hAnsiTheme="minorHAnsi" w:cstheme="minorBidi"/>
          <w:sz w:val="22"/>
          <w:szCs w:val="22"/>
        </w:rPr>
      </w:pPr>
      <w:hyperlink w:anchor="_Toc96585525" w:history="1">
        <w:r w:rsidRPr="002140D5">
          <w:rPr>
            <w:rStyle w:val="Hyperlink"/>
            <w:rFonts w:eastAsia="Calibri"/>
            <w:lang w:eastAsia="en-US"/>
          </w:rPr>
          <w:t>The OECD estimates of costs of capital and EMTRs</w:t>
        </w:r>
        <w:r>
          <w:rPr>
            <w:webHidden/>
          </w:rPr>
          <w:tab/>
        </w:r>
        <w:r>
          <w:rPr>
            <w:webHidden/>
          </w:rPr>
          <w:fldChar w:fldCharType="begin"/>
        </w:r>
        <w:r>
          <w:rPr>
            <w:webHidden/>
          </w:rPr>
          <w:instrText xml:space="preserve"> PAGEREF _Toc96585525 \h </w:instrText>
        </w:r>
        <w:r>
          <w:rPr>
            <w:webHidden/>
          </w:rPr>
        </w:r>
        <w:r>
          <w:rPr>
            <w:webHidden/>
          </w:rPr>
          <w:fldChar w:fldCharType="separate"/>
        </w:r>
        <w:r>
          <w:rPr>
            <w:webHidden/>
          </w:rPr>
          <w:t>27</w:t>
        </w:r>
        <w:r>
          <w:rPr>
            <w:webHidden/>
          </w:rPr>
          <w:fldChar w:fldCharType="end"/>
        </w:r>
      </w:hyperlink>
    </w:p>
    <w:p w14:paraId="7BC1DCAC" w14:textId="11026D29" w:rsidR="003770A1" w:rsidRDefault="003770A1">
      <w:pPr>
        <w:pStyle w:val="TOC1"/>
        <w:rPr>
          <w:rFonts w:asciiTheme="minorHAnsi" w:eastAsiaTheme="minorEastAsia" w:hAnsiTheme="minorHAnsi" w:cstheme="minorBidi"/>
          <w:b w:val="0"/>
          <w:sz w:val="22"/>
          <w:szCs w:val="22"/>
        </w:rPr>
      </w:pPr>
      <w:hyperlink w:anchor="_Toc96585526" w:history="1">
        <w:r w:rsidRPr="002140D5">
          <w:rPr>
            <w:rStyle w:val="Hyperlink"/>
            <w:rFonts w:eastAsia="Calibri"/>
            <w:lang w:eastAsia="en-US"/>
          </w:rPr>
          <w:t xml:space="preserve">CHAPTER 4 </w:t>
        </w:r>
        <w:r>
          <w:rPr>
            <w:rStyle w:val="Hyperlink"/>
            <w:rFonts w:eastAsia="Calibri"/>
            <w:lang w:eastAsia="en-US"/>
          </w:rPr>
          <w:tab/>
        </w:r>
        <w:r w:rsidRPr="002140D5">
          <w:rPr>
            <w:rStyle w:val="Hyperlink"/>
            <w:rFonts w:eastAsia="Calibri"/>
            <w:lang w:eastAsia="en-US"/>
          </w:rPr>
          <w:t>A deeper look at costs of capital and EMTRs for New Zealand</w:t>
        </w:r>
        <w:r>
          <w:rPr>
            <w:webHidden/>
          </w:rPr>
          <w:tab/>
        </w:r>
        <w:r>
          <w:rPr>
            <w:webHidden/>
          </w:rPr>
          <w:fldChar w:fldCharType="begin"/>
        </w:r>
        <w:r>
          <w:rPr>
            <w:webHidden/>
          </w:rPr>
          <w:instrText xml:space="preserve"> PAGEREF _Toc96585526 \h </w:instrText>
        </w:r>
        <w:r>
          <w:rPr>
            <w:webHidden/>
          </w:rPr>
        </w:r>
        <w:r>
          <w:rPr>
            <w:webHidden/>
          </w:rPr>
          <w:fldChar w:fldCharType="separate"/>
        </w:r>
        <w:r>
          <w:rPr>
            <w:webHidden/>
          </w:rPr>
          <w:t>33</w:t>
        </w:r>
        <w:r>
          <w:rPr>
            <w:webHidden/>
          </w:rPr>
          <w:fldChar w:fldCharType="end"/>
        </w:r>
      </w:hyperlink>
    </w:p>
    <w:p w14:paraId="573B9A1C" w14:textId="2818CE93" w:rsidR="003770A1" w:rsidRDefault="003770A1">
      <w:pPr>
        <w:pStyle w:val="TOC2"/>
        <w:rPr>
          <w:rFonts w:asciiTheme="minorHAnsi" w:eastAsiaTheme="minorEastAsia" w:hAnsiTheme="minorHAnsi" w:cstheme="minorBidi"/>
          <w:sz w:val="22"/>
          <w:szCs w:val="22"/>
        </w:rPr>
      </w:pPr>
      <w:hyperlink w:anchor="_Toc96585527" w:history="1">
        <w:r w:rsidRPr="002140D5">
          <w:rPr>
            <w:rStyle w:val="Hyperlink"/>
            <w:rFonts w:eastAsia="Calibri"/>
            <w:lang w:eastAsia="en-US"/>
          </w:rPr>
          <w:t>Introduction</w:t>
        </w:r>
        <w:r>
          <w:rPr>
            <w:webHidden/>
          </w:rPr>
          <w:tab/>
        </w:r>
        <w:r>
          <w:rPr>
            <w:webHidden/>
          </w:rPr>
          <w:fldChar w:fldCharType="begin"/>
        </w:r>
        <w:r>
          <w:rPr>
            <w:webHidden/>
          </w:rPr>
          <w:instrText xml:space="preserve"> PAGEREF _Toc96585527 \h </w:instrText>
        </w:r>
        <w:r>
          <w:rPr>
            <w:webHidden/>
          </w:rPr>
        </w:r>
        <w:r>
          <w:rPr>
            <w:webHidden/>
          </w:rPr>
          <w:fldChar w:fldCharType="separate"/>
        </w:r>
        <w:r>
          <w:rPr>
            <w:webHidden/>
          </w:rPr>
          <w:t>33</w:t>
        </w:r>
        <w:r>
          <w:rPr>
            <w:webHidden/>
          </w:rPr>
          <w:fldChar w:fldCharType="end"/>
        </w:r>
      </w:hyperlink>
    </w:p>
    <w:p w14:paraId="2494061B" w14:textId="5A2D0A2F" w:rsidR="003770A1" w:rsidRDefault="003770A1">
      <w:pPr>
        <w:pStyle w:val="TOC2"/>
        <w:rPr>
          <w:rFonts w:asciiTheme="minorHAnsi" w:eastAsiaTheme="minorEastAsia" w:hAnsiTheme="minorHAnsi" w:cstheme="minorBidi"/>
          <w:sz w:val="22"/>
          <w:szCs w:val="22"/>
        </w:rPr>
      </w:pPr>
      <w:hyperlink w:anchor="_Toc96585528" w:history="1">
        <w:r w:rsidRPr="002140D5">
          <w:rPr>
            <w:rStyle w:val="Hyperlink"/>
            <w:rFonts w:eastAsia="Calibri"/>
            <w:lang w:eastAsia="en-US"/>
          </w:rPr>
          <w:t>Companies with foreign marginal shareholders: no AIL and no NRWT</w:t>
        </w:r>
        <w:r>
          <w:rPr>
            <w:webHidden/>
          </w:rPr>
          <w:tab/>
        </w:r>
        <w:r>
          <w:rPr>
            <w:webHidden/>
          </w:rPr>
          <w:fldChar w:fldCharType="begin"/>
        </w:r>
        <w:r>
          <w:rPr>
            <w:webHidden/>
          </w:rPr>
          <w:instrText xml:space="preserve"> PAGEREF _Toc96585528 \h </w:instrText>
        </w:r>
        <w:r>
          <w:rPr>
            <w:webHidden/>
          </w:rPr>
        </w:r>
        <w:r>
          <w:rPr>
            <w:webHidden/>
          </w:rPr>
          <w:fldChar w:fldCharType="separate"/>
        </w:r>
        <w:r>
          <w:rPr>
            <w:webHidden/>
          </w:rPr>
          <w:t>34</w:t>
        </w:r>
        <w:r>
          <w:rPr>
            <w:webHidden/>
          </w:rPr>
          <w:fldChar w:fldCharType="end"/>
        </w:r>
      </w:hyperlink>
    </w:p>
    <w:p w14:paraId="5DBAFCCB" w14:textId="6C01818E" w:rsidR="003770A1" w:rsidRDefault="003770A1">
      <w:pPr>
        <w:pStyle w:val="TOC2"/>
        <w:rPr>
          <w:rFonts w:asciiTheme="minorHAnsi" w:eastAsiaTheme="minorEastAsia" w:hAnsiTheme="minorHAnsi" w:cstheme="minorBidi"/>
          <w:sz w:val="22"/>
          <w:szCs w:val="22"/>
        </w:rPr>
      </w:pPr>
      <w:hyperlink w:anchor="_Toc96585529" w:history="1">
        <w:r w:rsidRPr="002140D5">
          <w:rPr>
            <w:rStyle w:val="Hyperlink"/>
            <w:rFonts w:eastAsia="Calibri"/>
            <w:lang w:eastAsia="en-US"/>
          </w:rPr>
          <w:t>Non-resident withholding tax (NRWT) on interest and the approved issuer levy (AIL)</w:t>
        </w:r>
        <w:r>
          <w:rPr>
            <w:webHidden/>
          </w:rPr>
          <w:tab/>
        </w:r>
        <w:r>
          <w:rPr>
            <w:webHidden/>
          </w:rPr>
          <w:fldChar w:fldCharType="begin"/>
        </w:r>
        <w:r>
          <w:rPr>
            <w:webHidden/>
          </w:rPr>
          <w:instrText xml:space="preserve"> PAGEREF _Toc96585529 \h </w:instrText>
        </w:r>
        <w:r>
          <w:rPr>
            <w:webHidden/>
          </w:rPr>
        </w:r>
        <w:r>
          <w:rPr>
            <w:webHidden/>
          </w:rPr>
          <w:fldChar w:fldCharType="separate"/>
        </w:r>
        <w:r>
          <w:rPr>
            <w:webHidden/>
          </w:rPr>
          <w:t>37</w:t>
        </w:r>
        <w:r>
          <w:rPr>
            <w:webHidden/>
          </w:rPr>
          <w:fldChar w:fldCharType="end"/>
        </w:r>
      </w:hyperlink>
    </w:p>
    <w:p w14:paraId="6980E06B" w14:textId="2B5B3162" w:rsidR="003770A1" w:rsidRDefault="003770A1">
      <w:pPr>
        <w:pStyle w:val="TOC2"/>
        <w:rPr>
          <w:rFonts w:asciiTheme="minorHAnsi" w:eastAsiaTheme="minorEastAsia" w:hAnsiTheme="minorHAnsi" w:cstheme="minorBidi"/>
          <w:sz w:val="22"/>
          <w:szCs w:val="22"/>
        </w:rPr>
      </w:pPr>
      <w:hyperlink w:anchor="_Toc96585530" w:history="1">
        <w:r w:rsidRPr="002140D5">
          <w:rPr>
            <w:rStyle w:val="Hyperlink"/>
            <w:rFonts w:eastAsia="Calibri"/>
            <w:lang w:eastAsia="en-US"/>
          </w:rPr>
          <w:t>SMEs where there may be little or no shareholding by non-residents</w:t>
        </w:r>
        <w:r>
          <w:rPr>
            <w:webHidden/>
          </w:rPr>
          <w:tab/>
        </w:r>
        <w:r>
          <w:rPr>
            <w:webHidden/>
          </w:rPr>
          <w:fldChar w:fldCharType="begin"/>
        </w:r>
        <w:r>
          <w:rPr>
            <w:webHidden/>
          </w:rPr>
          <w:instrText xml:space="preserve"> PAGEREF _Toc96585530 \h </w:instrText>
        </w:r>
        <w:r>
          <w:rPr>
            <w:webHidden/>
          </w:rPr>
        </w:r>
        <w:r>
          <w:rPr>
            <w:webHidden/>
          </w:rPr>
          <w:fldChar w:fldCharType="separate"/>
        </w:r>
        <w:r>
          <w:rPr>
            <w:webHidden/>
          </w:rPr>
          <w:t>39</w:t>
        </w:r>
        <w:r>
          <w:rPr>
            <w:webHidden/>
          </w:rPr>
          <w:fldChar w:fldCharType="end"/>
        </w:r>
      </w:hyperlink>
    </w:p>
    <w:p w14:paraId="102E5F90" w14:textId="252282AE" w:rsidR="003770A1" w:rsidRDefault="003770A1">
      <w:pPr>
        <w:pStyle w:val="TOC1"/>
        <w:rPr>
          <w:rFonts w:asciiTheme="minorHAnsi" w:eastAsiaTheme="minorEastAsia" w:hAnsiTheme="minorHAnsi" w:cstheme="minorBidi"/>
          <w:b w:val="0"/>
          <w:sz w:val="22"/>
          <w:szCs w:val="22"/>
        </w:rPr>
      </w:pPr>
      <w:hyperlink w:anchor="_Toc96585531" w:history="1">
        <w:r w:rsidRPr="002140D5">
          <w:rPr>
            <w:rStyle w:val="Hyperlink"/>
            <w:rFonts w:eastAsia="Calibri"/>
            <w:lang w:eastAsia="en-US"/>
          </w:rPr>
          <w:t xml:space="preserve">CHAPTER 5 </w:t>
        </w:r>
        <w:r>
          <w:rPr>
            <w:rStyle w:val="Hyperlink"/>
            <w:rFonts w:eastAsia="Calibri"/>
            <w:lang w:eastAsia="en-US"/>
          </w:rPr>
          <w:tab/>
        </w:r>
        <w:r w:rsidRPr="002140D5">
          <w:rPr>
            <w:rStyle w:val="Hyperlink"/>
            <w:rFonts w:eastAsia="Calibri"/>
            <w:lang w:eastAsia="en-US"/>
          </w:rPr>
          <w:t>Tax changes to reduce New Zealand’s costs of capital and EMTRs and make them more neutral</w:t>
        </w:r>
        <w:r>
          <w:rPr>
            <w:webHidden/>
          </w:rPr>
          <w:tab/>
        </w:r>
        <w:r>
          <w:rPr>
            <w:webHidden/>
          </w:rPr>
          <w:fldChar w:fldCharType="begin"/>
        </w:r>
        <w:r>
          <w:rPr>
            <w:webHidden/>
          </w:rPr>
          <w:instrText xml:space="preserve"> PAGEREF _Toc96585531 \h </w:instrText>
        </w:r>
        <w:r>
          <w:rPr>
            <w:webHidden/>
          </w:rPr>
        </w:r>
        <w:r>
          <w:rPr>
            <w:webHidden/>
          </w:rPr>
          <w:fldChar w:fldCharType="separate"/>
        </w:r>
        <w:r>
          <w:rPr>
            <w:webHidden/>
          </w:rPr>
          <w:t>41</w:t>
        </w:r>
        <w:r>
          <w:rPr>
            <w:webHidden/>
          </w:rPr>
          <w:fldChar w:fldCharType="end"/>
        </w:r>
      </w:hyperlink>
    </w:p>
    <w:p w14:paraId="5E14BFFF" w14:textId="161AAAA2" w:rsidR="003770A1" w:rsidRDefault="003770A1">
      <w:pPr>
        <w:pStyle w:val="TOC2"/>
        <w:rPr>
          <w:rFonts w:asciiTheme="minorHAnsi" w:eastAsiaTheme="minorEastAsia" w:hAnsiTheme="minorHAnsi" w:cstheme="minorBidi"/>
          <w:sz w:val="22"/>
          <w:szCs w:val="22"/>
        </w:rPr>
      </w:pPr>
      <w:hyperlink w:anchor="_Toc96585532" w:history="1">
        <w:r w:rsidRPr="002140D5">
          <w:rPr>
            <w:rStyle w:val="Hyperlink"/>
            <w:rFonts w:eastAsia="Calibri"/>
            <w:lang w:eastAsia="en-US"/>
          </w:rPr>
          <w:t>Costs and benefits of reducing costs of capital and EMTRs</w:t>
        </w:r>
        <w:r>
          <w:rPr>
            <w:webHidden/>
          </w:rPr>
          <w:tab/>
        </w:r>
        <w:r>
          <w:rPr>
            <w:webHidden/>
          </w:rPr>
          <w:fldChar w:fldCharType="begin"/>
        </w:r>
        <w:r>
          <w:rPr>
            <w:webHidden/>
          </w:rPr>
          <w:instrText xml:space="preserve"> PAGEREF _Toc96585532 \h </w:instrText>
        </w:r>
        <w:r>
          <w:rPr>
            <w:webHidden/>
          </w:rPr>
        </w:r>
        <w:r>
          <w:rPr>
            <w:webHidden/>
          </w:rPr>
          <w:fldChar w:fldCharType="separate"/>
        </w:r>
        <w:r>
          <w:rPr>
            <w:webHidden/>
          </w:rPr>
          <w:t>41</w:t>
        </w:r>
        <w:r>
          <w:rPr>
            <w:webHidden/>
          </w:rPr>
          <w:fldChar w:fldCharType="end"/>
        </w:r>
      </w:hyperlink>
    </w:p>
    <w:p w14:paraId="5D168BAD" w14:textId="3768101F" w:rsidR="003770A1" w:rsidRDefault="003770A1">
      <w:pPr>
        <w:pStyle w:val="TOC2"/>
        <w:rPr>
          <w:rFonts w:asciiTheme="minorHAnsi" w:eastAsiaTheme="minorEastAsia" w:hAnsiTheme="minorHAnsi" w:cstheme="minorBidi"/>
          <w:sz w:val="22"/>
          <w:szCs w:val="22"/>
        </w:rPr>
      </w:pPr>
      <w:hyperlink w:anchor="_Toc96585533" w:history="1">
        <w:r w:rsidRPr="002140D5">
          <w:rPr>
            <w:rStyle w:val="Hyperlink"/>
            <w:rFonts w:eastAsia="Calibri"/>
            <w:lang w:eastAsia="en-US"/>
          </w:rPr>
          <w:t>Choosing between different methods of reducing taxes on inbound investment</w:t>
        </w:r>
        <w:r>
          <w:rPr>
            <w:webHidden/>
          </w:rPr>
          <w:tab/>
        </w:r>
        <w:r>
          <w:rPr>
            <w:webHidden/>
          </w:rPr>
          <w:fldChar w:fldCharType="begin"/>
        </w:r>
        <w:r>
          <w:rPr>
            <w:webHidden/>
          </w:rPr>
          <w:instrText xml:space="preserve"> PAGEREF _Toc96585533 \h </w:instrText>
        </w:r>
        <w:r>
          <w:rPr>
            <w:webHidden/>
          </w:rPr>
        </w:r>
        <w:r>
          <w:rPr>
            <w:webHidden/>
          </w:rPr>
          <w:fldChar w:fldCharType="separate"/>
        </w:r>
        <w:r>
          <w:rPr>
            <w:webHidden/>
          </w:rPr>
          <w:t>42</w:t>
        </w:r>
        <w:r>
          <w:rPr>
            <w:webHidden/>
          </w:rPr>
          <w:fldChar w:fldCharType="end"/>
        </w:r>
      </w:hyperlink>
    </w:p>
    <w:p w14:paraId="44F95738" w14:textId="1C032812" w:rsidR="003770A1" w:rsidRDefault="003770A1">
      <w:pPr>
        <w:pStyle w:val="TOC2"/>
        <w:rPr>
          <w:rFonts w:asciiTheme="minorHAnsi" w:eastAsiaTheme="minorEastAsia" w:hAnsiTheme="minorHAnsi" w:cstheme="minorBidi"/>
          <w:sz w:val="22"/>
          <w:szCs w:val="22"/>
        </w:rPr>
      </w:pPr>
      <w:hyperlink w:anchor="_Toc96585534" w:history="1">
        <w:r w:rsidRPr="002140D5">
          <w:rPr>
            <w:rStyle w:val="Hyperlink"/>
            <w:rFonts w:eastAsia="Calibri"/>
            <w:lang w:eastAsia="en-US"/>
          </w:rPr>
          <w:t>Possible options</w:t>
        </w:r>
        <w:r>
          <w:rPr>
            <w:webHidden/>
          </w:rPr>
          <w:tab/>
        </w:r>
        <w:r>
          <w:rPr>
            <w:webHidden/>
          </w:rPr>
          <w:fldChar w:fldCharType="begin"/>
        </w:r>
        <w:r>
          <w:rPr>
            <w:webHidden/>
          </w:rPr>
          <w:instrText xml:space="preserve"> PAGEREF _Toc96585534 \h </w:instrText>
        </w:r>
        <w:r>
          <w:rPr>
            <w:webHidden/>
          </w:rPr>
        </w:r>
        <w:r>
          <w:rPr>
            <w:webHidden/>
          </w:rPr>
          <w:fldChar w:fldCharType="separate"/>
        </w:r>
        <w:r>
          <w:rPr>
            <w:webHidden/>
          </w:rPr>
          <w:t>43</w:t>
        </w:r>
        <w:r>
          <w:rPr>
            <w:webHidden/>
          </w:rPr>
          <w:fldChar w:fldCharType="end"/>
        </w:r>
      </w:hyperlink>
    </w:p>
    <w:p w14:paraId="2C93E459" w14:textId="37FC1D4F" w:rsidR="003770A1" w:rsidRDefault="003770A1">
      <w:pPr>
        <w:pStyle w:val="TOC1"/>
        <w:rPr>
          <w:rFonts w:asciiTheme="minorHAnsi" w:eastAsiaTheme="minorEastAsia" w:hAnsiTheme="minorHAnsi" w:cstheme="minorBidi"/>
          <w:b w:val="0"/>
          <w:sz w:val="22"/>
          <w:szCs w:val="22"/>
        </w:rPr>
      </w:pPr>
      <w:hyperlink w:anchor="_Toc96585535" w:history="1">
        <w:r w:rsidRPr="002140D5">
          <w:rPr>
            <w:rStyle w:val="Hyperlink"/>
            <w:rFonts w:eastAsia="Calibri"/>
            <w:lang w:eastAsia="en-US"/>
          </w:rPr>
          <w:t xml:space="preserve">CHAPTER 6 </w:t>
        </w:r>
        <w:r>
          <w:rPr>
            <w:rStyle w:val="Hyperlink"/>
            <w:rFonts w:eastAsia="Calibri"/>
            <w:lang w:eastAsia="en-US"/>
          </w:rPr>
          <w:tab/>
        </w:r>
        <w:r w:rsidRPr="002140D5">
          <w:rPr>
            <w:rStyle w:val="Hyperlink"/>
            <w:rFonts w:eastAsia="Calibri"/>
            <w:lang w:eastAsia="en-US"/>
          </w:rPr>
          <w:t>Reducing the company tax rate</w:t>
        </w:r>
        <w:r>
          <w:rPr>
            <w:webHidden/>
          </w:rPr>
          <w:tab/>
        </w:r>
        <w:r>
          <w:rPr>
            <w:webHidden/>
          </w:rPr>
          <w:fldChar w:fldCharType="begin"/>
        </w:r>
        <w:r>
          <w:rPr>
            <w:webHidden/>
          </w:rPr>
          <w:instrText xml:space="preserve"> PAGEREF _Toc96585535 \h </w:instrText>
        </w:r>
        <w:r>
          <w:rPr>
            <w:webHidden/>
          </w:rPr>
        </w:r>
        <w:r>
          <w:rPr>
            <w:webHidden/>
          </w:rPr>
          <w:fldChar w:fldCharType="separate"/>
        </w:r>
        <w:r>
          <w:rPr>
            <w:webHidden/>
          </w:rPr>
          <w:t>45</w:t>
        </w:r>
        <w:r>
          <w:rPr>
            <w:webHidden/>
          </w:rPr>
          <w:fldChar w:fldCharType="end"/>
        </w:r>
      </w:hyperlink>
    </w:p>
    <w:p w14:paraId="40ABFE7A" w14:textId="6C67AABC" w:rsidR="003770A1" w:rsidRDefault="003770A1">
      <w:pPr>
        <w:pStyle w:val="TOC2"/>
        <w:rPr>
          <w:rFonts w:asciiTheme="minorHAnsi" w:eastAsiaTheme="minorEastAsia" w:hAnsiTheme="minorHAnsi" w:cstheme="minorBidi"/>
          <w:sz w:val="22"/>
          <w:szCs w:val="22"/>
        </w:rPr>
      </w:pPr>
      <w:hyperlink w:anchor="_Toc96585536" w:history="1">
        <w:r w:rsidRPr="002140D5">
          <w:rPr>
            <w:rStyle w:val="Hyperlink"/>
            <w:rFonts w:eastAsia="Calibri"/>
            <w:lang w:eastAsia="en-US"/>
          </w:rPr>
          <w:t>Introduction</w:t>
        </w:r>
        <w:r>
          <w:rPr>
            <w:webHidden/>
          </w:rPr>
          <w:tab/>
        </w:r>
        <w:r>
          <w:rPr>
            <w:webHidden/>
          </w:rPr>
          <w:fldChar w:fldCharType="begin"/>
        </w:r>
        <w:r>
          <w:rPr>
            <w:webHidden/>
          </w:rPr>
          <w:instrText xml:space="preserve"> PAGEREF _Toc96585536 \h </w:instrText>
        </w:r>
        <w:r>
          <w:rPr>
            <w:webHidden/>
          </w:rPr>
        </w:r>
        <w:r>
          <w:rPr>
            <w:webHidden/>
          </w:rPr>
          <w:fldChar w:fldCharType="separate"/>
        </w:r>
        <w:r>
          <w:rPr>
            <w:webHidden/>
          </w:rPr>
          <w:t>45</w:t>
        </w:r>
        <w:r>
          <w:rPr>
            <w:webHidden/>
          </w:rPr>
          <w:fldChar w:fldCharType="end"/>
        </w:r>
      </w:hyperlink>
    </w:p>
    <w:p w14:paraId="214E677D" w14:textId="22401DC6" w:rsidR="003770A1" w:rsidRDefault="003770A1">
      <w:pPr>
        <w:pStyle w:val="TOC2"/>
        <w:rPr>
          <w:rFonts w:asciiTheme="minorHAnsi" w:eastAsiaTheme="minorEastAsia" w:hAnsiTheme="minorHAnsi" w:cstheme="minorBidi"/>
          <w:sz w:val="22"/>
          <w:szCs w:val="22"/>
        </w:rPr>
      </w:pPr>
      <w:hyperlink w:anchor="_Toc96585537" w:history="1">
        <w:r w:rsidRPr="002140D5">
          <w:rPr>
            <w:rStyle w:val="Hyperlink"/>
            <w:rFonts w:eastAsia="Calibri"/>
            <w:lang w:eastAsia="en-US"/>
          </w:rPr>
          <w:t>The dual role of company tax</w:t>
        </w:r>
        <w:r>
          <w:rPr>
            <w:webHidden/>
          </w:rPr>
          <w:tab/>
        </w:r>
        <w:r>
          <w:rPr>
            <w:webHidden/>
          </w:rPr>
          <w:fldChar w:fldCharType="begin"/>
        </w:r>
        <w:r>
          <w:rPr>
            <w:webHidden/>
          </w:rPr>
          <w:instrText xml:space="preserve"> PAGEREF _Toc96585537 \h </w:instrText>
        </w:r>
        <w:r>
          <w:rPr>
            <w:webHidden/>
          </w:rPr>
        </w:r>
        <w:r>
          <w:rPr>
            <w:webHidden/>
          </w:rPr>
          <w:fldChar w:fldCharType="separate"/>
        </w:r>
        <w:r>
          <w:rPr>
            <w:webHidden/>
          </w:rPr>
          <w:t>45</w:t>
        </w:r>
        <w:r>
          <w:rPr>
            <w:webHidden/>
          </w:rPr>
          <w:fldChar w:fldCharType="end"/>
        </w:r>
      </w:hyperlink>
    </w:p>
    <w:p w14:paraId="57E4DFBB" w14:textId="19566B45" w:rsidR="003770A1" w:rsidRDefault="003770A1">
      <w:pPr>
        <w:pStyle w:val="TOC2"/>
        <w:rPr>
          <w:rFonts w:asciiTheme="minorHAnsi" w:eastAsiaTheme="minorEastAsia" w:hAnsiTheme="minorHAnsi" w:cstheme="minorBidi"/>
          <w:sz w:val="22"/>
          <w:szCs w:val="22"/>
        </w:rPr>
      </w:pPr>
      <w:hyperlink w:anchor="_Toc96585538" w:history="1">
        <w:r w:rsidRPr="002140D5">
          <w:rPr>
            <w:rStyle w:val="Hyperlink"/>
            <w:rFonts w:eastAsia="Calibri"/>
            <w:lang w:eastAsia="en-US"/>
          </w:rPr>
          <w:t>Impact on costs of capital and EMTRs</w:t>
        </w:r>
        <w:r>
          <w:rPr>
            <w:webHidden/>
          </w:rPr>
          <w:tab/>
        </w:r>
        <w:r>
          <w:rPr>
            <w:webHidden/>
          </w:rPr>
          <w:fldChar w:fldCharType="begin"/>
        </w:r>
        <w:r>
          <w:rPr>
            <w:webHidden/>
          </w:rPr>
          <w:instrText xml:space="preserve"> PAGEREF _Toc96585538 \h </w:instrText>
        </w:r>
        <w:r>
          <w:rPr>
            <w:webHidden/>
          </w:rPr>
        </w:r>
        <w:r>
          <w:rPr>
            <w:webHidden/>
          </w:rPr>
          <w:fldChar w:fldCharType="separate"/>
        </w:r>
        <w:r>
          <w:rPr>
            <w:webHidden/>
          </w:rPr>
          <w:t>46</w:t>
        </w:r>
        <w:r>
          <w:rPr>
            <w:webHidden/>
          </w:rPr>
          <w:fldChar w:fldCharType="end"/>
        </w:r>
      </w:hyperlink>
    </w:p>
    <w:p w14:paraId="0267E10E" w14:textId="30452392" w:rsidR="003770A1" w:rsidRDefault="003770A1">
      <w:pPr>
        <w:pStyle w:val="TOC2"/>
        <w:rPr>
          <w:rFonts w:asciiTheme="minorHAnsi" w:eastAsiaTheme="minorEastAsia" w:hAnsiTheme="minorHAnsi" w:cstheme="minorBidi"/>
          <w:sz w:val="22"/>
          <w:szCs w:val="22"/>
        </w:rPr>
      </w:pPr>
      <w:hyperlink w:anchor="_Toc96585539" w:history="1">
        <w:r w:rsidRPr="002140D5">
          <w:rPr>
            <w:rStyle w:val="Hyperlink"/>
            <w:rFonts w:eastAsia="Calibri"/>
            <w:lang w:eastAsia="en-US"/>
          </w:rPr>
          <w:t>Pros</w:t>
        </w:r>
        <w:r>
          <w:rPr>
            <w:webHidden/>
          </w:rPr>
          <w:tab/>
        </w:r>
        <w:r>
          <w:rPr>
            <w:webHidden/>
          </w:rPr>
          <w:fldChar w:fldCharType="begin"/>
        </w:r>
        <w:r>
          <w:rPr>
            <w:webHidden/>
          </w:rPr>
          <w:instrText xml:space="preserve"> PAGEREF _Toc96585539 \h </w:instrText>
        </w:r>
        <w:r>
          <w:rPr>
            <w:webHidden/>
          </w:rPr>
        </w:r>
        <w:r>
          <w:rPr>
            <w:webHidden/>
          </w:rPr>
          <w:fldChar w:fldCharType="separate"/>
        </w:r>
        <w:r>
          <w:rPr>
            <w:webHidden/>
          </w:rPr>
          <w:t>47</w:t>
        </w:r>
        <w:r>
          <w:rPr>
            <w:webHidden/>
          </w:rPr>
          <w:fldChar w:fldCharType="end"/>
        </w:r>
      </w:hyperlink>
    </w:p>
    <w:p w14:paraId="66317A93" w14:textId="291C70AB" w:rsidR="003770A1" w:rsidRDefault="003770A1">
      <w:pPr>
        <w:pStyle w:val="TOC2"/>
        <w:rPr>
          <w:rFonts w:asciiTheme="minorHAnsi" w:eastAsiaTheme="minorEastAsia" w:hAnsiTheme="minorHAnsi" w:cstheme="minorBidi"/>
          <w:sz w:val="22"/>
          <w:szCs w:val="22"/>
        </w:rPr>
      </w:pPr>
      <w:hyperlink w:anchor="_Toc96585540" w:history="1">
        <w:r w:rsidRPr="002140D5">
          <w:rPr>
            <w:rStyle w:val="Hyperlink"/>
            <w:rFonts w:eastAsia="Calibri"/>
            <w:lang w:eastAsia="en-US"/>
          </w:rPr>
          <w:t>Cons</w:t>
        </w:r>
        <w:r>
          <w:rPr>
            <w:webHidden/>
          </w:rPr>
          <w:tab/>
        </w:r>
        <w:r>
          <w:rPr>
            <w:webHidden/>
          </w:rPr>
          <w:fldChar w:fldCharType="begin"/>
        </w:r>
        <w:r>
          <w:rPr>
            <w:webHidden/>
          </w:rPr>
          <w:instrText xml:space="preserve"> PAGEREF _Toc96585540 \h </w:instrText>
        </w:r>
        <w:r>
          <w:rPr>
            <w:webHidden/>
          </w:rPr>
        </w:r>
        <w:r>
          <w:rPr>
            <w:webHidden/>
          </w:rPr>
          <w:fldChar w:fldCharType="separate"/>
        </w:r>
        <w:r>
          <w:rPr>
            <w:webHidden/>
          </w:rPr>
          <w:t>48</w:t>
        </w:r>
        <w:r>
          <w:rPr>
            <w:webHidden/>
          </w:rPr>
          <w:fldChar w:fldCharType="end"/>
        </w:r>
      </w:hyperlink>
    </w:p>
    <w:p w14:paraId="133844DB" w14:textId="28821AC4" w:rsidR="003770A1" w:rsidRDefault="003770A1">
      <w:pPr>
        <w:pStyle w:val="TOC2"/>
        <w:rPr>
          <w:rFonts w:asciiTheme="minorHAnsi" w:eastAsiaTheme="minorEastAsia" w:hAnsiTheme="minorHAnsi" w:cstheme="minorBidi"/>
          <w:sz w:val="22"/>
          <w:szCs w:val="22"/>
        </w:rPr>
      </w:pPr>
      <w:hyperlink w:anchor="_Toc96585541" w:history="1">
        <w:r w:rsidRPr="002140D5">
          <w:rPr>
            <w:rStyle w:val="Hyperlink"/>
            <w:rFonts w:eastAsia="Calibri"/>
            <w:lang w:eastAsia="en-US"/>
          </w:rPr>
          <w:t>International experience</w:t>
        </w:r>
        <w:r>
          <w:rPr>
            <w:webHidden/>
          </w:rPr>
          <w:tab/>
        </w:r>
        <w:r>
          <w:rPr>
            <w:webHidden/>
          </w:rPr>
          <w:fldChar w:fldCharType="begin"/>
        </w:r>
        <w:r>
          <w:rPr>
            <w:webHidden/>
          </w:rPr>
          <w:instrText xml:space="preserve"> PAGEREF _Toc96585541 \h </w:instrText>
        </w:r>
        <w:r>
          <w:rPr>
            <w:webHidden/>
          </w:rPr>
        </w:r>
        <w:r>
          <w:rPr>
            <w:webHidden/>
          </w:rPr>
          <w:fldChar w:fldCharType="separate"/>
        </w:r>
        <w:r>
          <w:rPr>
            <w:webHidden/>
          </w:rPr>
          <w:t>51</w:t>
        </w:r>
        <w:r>
          <w:rPr>
            <w:webHidden/>
          </w:rPr>
          <w:fldChar w:fldCharType="end"/>
        </w:r>
      </w:hyperlink>
    </w:p>
    <w:p w14:paraId="70B63BCE" w14:textId="4A1413D1" w:rsidR="003770A1" w:rsidRDefault="003770A1">
      <w:pPr>
        <w:pStyle w:val="TOC2"/>
        <w:rPr>
          <w:rFonts w:asciiTheme="minorHAnsi" w:eastAsiaTheme="minorEastAsia" w:hAnsiTheme="minorHAnsi" w:cstheme="minorBidi"/>
          <w:sz w:val="22"/>
          <w:szCs w:val="22"/>
        </w:rPr>
      </w:pPr>
      <w:hyperlink w:anchor="_Toc96585542" w:history="1">
        <w:r w:rsidRPr="002140D5">
          <w:rPr>
            <w:rStyle w:val="Hyperlink"/>
            <w:rFonts w:eastAsia="Calibri"/>
            <w:lang w:eastAsia="en-US"/>
          </w:rPr>
          <w:t>Should future company tax rate cuts be signalled in advance?</w:t>
        </w:r>
        <w:r>
          <w:rPr>
            <w:webHidden/>
          </w:rPr>
          <w:tab/>
        </w:r>
        <w:r>
          <w:rPr>
            <w:webHidden/>
          </w:rPr>
          <w:fldChar w:fldCharType="begin"/>
        </w:r>
        <w:r>
          <w:rPr>
            <w:webHidden/>
          </w:rPr>
          <w:instrText xml:space="preserve"> PAGEREF _Toc96585542 \h </w:instrText>
        </w:r>
        <w:r>
          <w:rPr>
            <w:webHidden/>
          </w:rPr>
        </w:r>
        <w:r>
          <w:rPr>
            <w:webHidden/>
          </w:rPr>
          <w:fldChar w:fldCharType="separate"/>
        </w:r>
        <w:r>
          <w:rPr>
            <w:webHidden/>
          </w:rPr>
          <w:t>52</w:t>
        </w:r>
        <w:r>
          <w:rPr>
            <w:webHidden/>
          </w:rPr>
          <w:fldChar w:fldCharType="end"/>
        </w:r>
      </w:hyperlink>
    </w:p>
    <w:p w14:paraId="1A213B29" w14:textId="11ECB24D" w:rsidR="003770A1" w:rsidRDefault="003770A1">
      <w:pPr>
        <w:pStyle w:val="TOC2"/>
        <w:rPr>
          <w:rFonts w:asciiTheme="minorHAnsi" w:eastAsiaTheme="minorEastAsia" w:hAnsiTheme="minorHAnsi" w:cstheme="minorBidi"/>
          <w:sz w:val="22"/>
          <w:szCs w:val="22"/>
        </w:rPr>
      </w:pPr>
      <w:hyperlink w:anchor="_Toc96585543" w:history="1">
        <w:r w:rsidRPr="002140D5">
          <w:rPr>
            <w:rStyle w:val="Hyperlink"/>
            <w:rFonts w:eastAsia="Calibri"/>
            <w:lang w:eastAsia="en-US"/>
          </w:rPr>
          <w:t>Implications for unincorporated enterprises and domestic SMEs operating as companies</w:t>
        </w:r>
        <w:r>
          <w:rPr>
            <w:webHidden/>
          </w:rPr>
          <w:tab/>
        </w:r>
        <w:r>
          <w:rPr>
            <w:webHidden/>
          </w:rPr>
          <w:fldChar w:fldCharType="begin"/>
        </w:r>
        <w:r>
          <w:rPr>
            <w:webHidden/>
          </w:rPr>
          <w:instrText xml:space="preserve"> PAGEREF _Toc96585543 \h </w:instrText>
        </w:r>
        <w:r>
          <w:rPr>
            <w:webHidden/>
          </w:rPr>
        </w:r>
        <w:r>
          <w:rPr>
            <w:webHidden/>
          </w:rPr>
          <w:fldChar w:fldCharType="separate"/>
        </w:r>
        <w:r>
          <w:rPr>
            <w:webHidden/>
          </w:rPr>
          <w:t>52</w:t>
        </w:r>
        <w:r>
          <w:rPr>
            <w:webHidden/>
          </w:rPr>
          <w:fldChar w:fldCharType="end"/>
        </w:r>
      </w:hyperlink>
    </w:p>
    <w:p w14:paraId="07E747F9" w14:textId="5DFD4035" w:rsidR="003770A1" w:rsidRDefault="003770A1">
      <w:pPr>
        <w:pStyle w:val="TOC1"/>
        <w:rPr>
          <w:rFonts w:asciiTheme="minorHAnsi" w:eastAsiaTheme="minorEastAsia" w:hAnsiTheme="minorHAnsi" w:cstheme="minorBidi"/>
          <w:b w:val="0"/>
          <w:sz w:val="22"/>
          <w:szCs w:val="22"/>
        </w:rPr>
      </w:pPr>
      <w:hyperlink w:anchor="_Toc96585544" w:history="1">
        <w:r w:rsidRPr="002140D5">
          <w:rPr>
            <w:rStyle w:val="Hyperlink"/>
            <w:rFonts w:eastAsia="Calibri"/>
            <w:lang w:eastAsia="en-US"/>
          </w:rPr>
          <w:t xml:space="preserve">CHAPTER 7 </w:t>
        </w:r>
        <w:r>
          <w:rPr>
            <w:rStyle w:val="Hyperlink"/>
            <w:rFonts w:eastAsia="Calibri"/>
            <w:lang w:eastAsia="en-US"/>
          </w:rPr>
          <w:tab/>
        </w:r>
        <w:r w:rsidRPr="002140D5">
          <w:rPr>
            <w:rStyle w:val="Hyperlink"/>
            <w:rFonts w:eastAsia="Calibri"/>
            <w:lang w:eastAsia="en-US"/>
          </w:rPr>
          <w:t>Accelerated Depreciation</w:t>
        </w:r>
        <w:r>
          <w:rPr>
            <w:webHidden/>
          </w:rPr>
          <w:tab/>
        </w:r>
        <w:r>
          <w:rPr>
            <w:webHidden/>
          </w:rPr>
          <w:fldChar w:fldCharType="begin"/>
        </w:r>
        <w:r>
          <w:rPr>
            <w:webHidden/>
          </w:rPr>
          <w:instrText xml:space="preserve"> PAGEREF _Toc96585544 \h </w:instrText>
        </w:r>
        <w:r>
          <w:rPr>
            <w:webHidden/>
          </w:rPr>
        </w:r>
        <w:r>
          <w:rPr>
            <w:webHidden/>
          </w:rPr>
          <w:fldChar w:fldCharType="separate"/>
        </w:r>
        <w:r>
          <w:rPr>
            <w:webHidden/>
          </w:rPr>
          <w:t>54</w:t>
        </w:r>
        <w:r>
          <w:rPr>
            <w:webHidden/>
          </w:rPr>
          <w:fldChar w:fldCharType="end"/>
        </w:r>
      </w:hyperlink>
    </w:p>
    <w:p w14:paraId="4EC0D826" w14:textId="264199B4" w:rsidR="003770A1" w:rsidRDefault="003770A1">
      <w:pPr>
        <w:pStyle w:val="TOC2"/>
        <w:rPr>
          <w:rFonts w:asciiTheme="minorHAnsi" w:eastAsiaTheme="minorEastAsia" w:hAnsiTheme="minorHAnsi" w:cstheme="minorBidi"/>
          <w:sz w:val="22"/>
          <w:szCs w:val="22"/>
        </w:rPr>
      </w:pPr>
      <w:hyperlink w:anchor="_Toc96585545" w:history="1">
        <w:r w:rsidRPr="002140D5">
          <w:rPr>
            <w:rStyle w:val="Hyperlink"/>
            <w:rFonts w:eastAsia="Calibri"/>
            <w:lang w:eastAsia="en-US"/>
          </w:rPr>
          <w:t>Introduction</w:t>
        </w:r>
        <w:r>
          <w:rPr>
            <w:webHidden/>
          </w:rPr>
          <w:tab/>
        </w:r>
        <w:r>
          <w:rPr>
            <w:webHidden/>
          </w:rPr>
          <w:fldChar w:fldCharType="begin"/>
        </w:r>
        <w:r>
          <w:rPr>
            <w:webHidden/>
          </w:rPr>
          <w:instrText xml:space="preserve"> PAGEREF _Toc96585545 \h </w:instrText>
        </w:r>
        <w:r>
          <w:rPr>
            <w:webHidden/>
          </w:rPr>
        </w:r>
        <w:r>
          <w:rPr>
            <w:webHidden/>
          </w:rPr>
          <w:fldChar w:fldCharType="separate"/>
        </w:r>
        <w:r>
          <w:rPr>
            <w:webHidden/>
          </w:rPr>
          <w:t>54</w:t>
        </w:r>
        <w:r>
          <w:rPr>
            <w:webHidden/>
          </w:rPr>
          <w:fldChar w:fldCharType="end"/>
        </w:r>
      </w:hyperlink>
    </w:p>
    <w:p w14:paraId="57310896" w14:textId="69CAC62C" w:rsidR="003770A1" w:rsidRDefault="003770A1">
      <w:pPr>
        <w:pStyle w:val="TOC2"/>
        <w:rPr>
          <w:rFonts w:asciiTheme="minorHAnsi" w:eastAsiaTheme="minorEastAsia" w:hAnsiTheme="minorHAnsi" w:cstheme="minorBidi"/>
          <w:sz w:val="22"/>
          <w:szCs w:val="22"/>
        </w:rPr>
      </w:pPr>
      <w:hyperlink w:anchor="_Toc96585546" w:history="1">
        <w:r w:rsidRPr="002140D5">
          <w:rPr>
            <w:rStyle w:val="Hyperlink"/>
            <w:rFonts w:eastAsia="Calibri"/>
            <w:lang w:eastAsia="en-US"/>
          </w:rPr>
          <w:t>Possible accelerated depreciation measures</w:t>
        </w:r>
        <w:r>
          <w:rPr>
            <w:webHidden/>
          </w:rPr>
          <w:tab/>
        </w:r>
        <w:r>
          <w:rPr>
            <w:webHidden/>
          </w:rPr>
          <w:fldChar w:fldCharType="begin"/>
        </w:r>
        <w:r>
          <w:rPr>
            <w:webHidden/>
          </w:rPr>
          <w:instrText xml:space="preserve"> PAGEREF _Toc96585546 \h </w:instrText>
        </w:r>
        <w:r>
          <w:rPr>
            <w:webHidden/>
          </w:rPr>
        </w:r>
        <w:r>
          <w:rPr>
            <w:webHidden/>
          </w:rPr>
          <w:fldChar w:fldCharType="separate"/>
        </w:r>
        <w:r>
          <w:rPr>
            <w:webHidden/>
          </w:rPr>
          <w:t>54</w:t>
        </w:r>
        <w:r>
          <w:rPr>
            <w:webHidden/>
          </w:rPr>
          <w:fldChar w:fldCharType="end"/>
        </w:r>
      </w:hyperlink>
    </w:p>
    <w:p w14:paraId="0F235A15" w14:textId="270B677A" w:rsidR="003770A1" w:rsidRDefault="003770A1">
      <w:pPr>
        <w:pStyle w:val="TOC2"/>
        <w:rPr>
          <w:rFonts w:asciiTheme="minorHAnsi" w:eastAsiaTheme="minorEastAsia" w:hAnsiTheme="minorHAnsi" w:cstheme="minorBidi"/>
          <w:sz w:val="22"/>
          <w:szCs w:val="22"/>
        </w:rPr>
      </w:pPr>
      <w:hyperlink w:anchor="_Toc96585547" w:history="1">
        <w:r w:rsidRPr="002140D5">
          <w:rPr>
            <w:rStyle w:val="Hyperlink"/>
            <w:rFonts w:eastAsia="Calibri"/>
            <w:lang w:eastAsia="en-US"/>
          </w:rPr>
          <w:t>Impacts on costs of capital and EMTRs</w:t>
        </w:r>
        <w:r>
          <w:rPr>
            <w:webHidden/>
          </w:rPr>
          <w:tab/>
        </w:r>
        <w:r>
          <w:rPr>
            <w:webHidden/>
          </w:rPr>
          <w:fldChar w:fldCharType="begin"/>
        </w:r>
        <w:r>
          <w:rPr>
            <w:webHidden/>
          </w:rPr>
          <w:instrText xml:space="preserve"> PAGEREF _Toc96585547 \h </w:instrText>
        </w:r>
        <w:r>
          <w:rPr>
            <w:webHidden/>
          </w:rPr>
        </w:r>
        <w:r>
          <w:rPr>
            <w:webHidden/>
          </w:rPr>
          <w:fldChar w:fldCharType="separate"/>
        </w:r>
        <w:r>
          <w:rPr>
            <w:webHidden/>
          </w:rPr>
          <w:t>55</w:t>
        </w:r>
        <w:r>
          <w:rPr>
            <w:webHidden/>
          </w:rPr>
          <w:fldChar w:fldCharType="end"/>
        </w:r>
      </w:hyperlink>
    </w:p>
    <w:p w14:paraId="5A438735" w14:textId="04B8AE70" w:rsidR="003770A1" w:rsidRDefault="003770A1">
      <w:pPr>
        <w:pStyle w:val="TOC2"/>
        <w:rPr>
          <w:rFonts w:asciiTheme="minorHAnsi" w:eastAsiaTheme="minorEastAsia" w:hAnsiTheme="minorHAnsi" w:cstheme="minorBidi"/>
          <w:sz w:val="22"/>
          <w:szCs w:val="22"/>
        </w:rPr>
      </w:pPr>
      <w:hyperlink w:anchor="_Toc96585548" w:history="1">
        <w:r w:rsidRPr="002140D5">
          <w:rPr>
            <w:rStyle w:val="Hyperlink"/>
            <w:rFonts w:eastAsia="Calibri"/>
            <w:lang w:eastAsia="en-US"/>
          </w:rPr>
          <w:t>Effects of the two accelerated depreciation schemes on neutrality</w:t>
        </w:r>
        <w:r>
          <w:rPr>
            <w:webHidden/>
          </w:rPr>
          <w:tab/>
        </w:r>
        <w:r>
          <w:rPr>
            <w:webHidden/>
          </w:rPr>
          <w:fldChar w:fldCharType="begin"/>
        </w:r>
        <w:r>
          <w:rPr>
            <w:webHidden/>
          </w:rPr>
          <w:instrText xml:space="preserve"> PAGEREF _Toc96585548 \h </w:instrText>
        </w:r>
        <w:r>
          <w:rPr>
            <w:webHidden/>
          </w:rPr>
        </w:r>
        <w:r>
          <w:rPr>
            <w:webHidden/>
          </w:rPr>
          <w:fldChar w:fldCharType="separate"/>
        </w:r>
        <w:r>
          <w:rPr>
            <w:webHidden/>
          </w:rPr>
          <w:t>56</w:t>
        </w:r>
        <w:r>
          <w:rPr>
            <w:webHidden/>
          </w:rPr>
          <w:fldChar w:fldCharType="end"/>
        </w:r>
      </w:hyperlink>
    </w:p>
    <w:p w14:paraId="6BA6E334" w14:textId="51161DE7" w:rsidR="003770A1" w:rsidRDefault="003770A1">
      <w:pPr>
        <w:pStyle w:val="TOC2"/>
        <w:rPr>
          <w:rFonts w:asciiTheme="minorHAnsi" w:eastAsiaTheme="minorEastAsia" w:hAnsiTheme="minorHAnsi" w:cstheme="minorBidi"/>
          <w:sz w:val="22"/>
          <w:szCs w:val="22"/>
        </w:rPr>
      </w:pPr>
      <w:hyperlink w:anchor="_Toc96585549" w:history="1">
        <w:r w:rsidRPr="002140D5">
          <w:rPr>
            <w:rStyle w:val="Hyperlink"/>
            <w:rFonts w:eastAsia="Calibri"/>
            <w:lang w:eastAsia="en-US"/>
          </w:rPr>
          <w:t>Design issues</w:t>
        </w:r>
        <w:r>
          <w:rPr>
            <w:webHidden/>
          </w:rPr>
          <w:tab/>
        </w:r>
        <w:r>
          <w:rPr>
            <w:webHidden/>
          </w:rPr>
          <w:fldChar w:fldCharType="begin"/>
        </w:r>
        <w:r>
          <w:rPr>
            <w:webHidden/>
          </w:rPr>
          <w:instrText xml:space="preserve"> PAGEREF _Toc96585549 \h </w:instrText>
        </w:r>
        <w:r>
          <w:rPr>
            <w:webHidden/>
          </w:rPr>
        </w:r>
        <w:r>
          <w:rPr>
            <w:webHidden/>
          </w:rPr>
          <w:fldChar w:fldCharType="separate"/>
        </w:r>
        <w:r>
          <w:rPr>
            <w:webHidden/>
          </w:rPr>
          <w:t>57</w:t>
        </w:r>
        <w:r>
          <w:rPr>
            <w:webHidden/>
          </w:rPr>
          <w:fldChar w:fldCharType="end"/>
        </w:r>
      </w:hyperlink>
    </w:p>
    <w:p w14:paraId="7C6731C1" w14:textId="3AD3C2FD" w:rsidR="003770A1" w:rsidRDefault="003770A1">
      <w:pPr>
        <w:pStyle w:val="TOC2"/>
        <w:rPr>
          <w:rFonts w:asciiTheme="minorHAnsi" w:eastAsiaTheme="minorEastAsia" w:hAnsiTheme="minorHAnsi" w:cstheme="minorBidi"/>
          <w:sz w:val="22"/>
          <w:szCs w:val="22"/>
        </w:rPr>
      </w:pPr>
      <w:hyperlink w:anchor="_Toc96585550" w:history="1">
        <w:r w:rsidRPr="002140D5">
          <w:rPr>
            <w:rStyle w:val="Hyperlink"/>
            <w:rFonts w:eastAsia="Calibri"/>
            <w:lang w:eastAsia="en-US"/>
          </w:rPr>
          <w:t>International experience</w:t>
        </w:r>
        <w:r>
          <w:rPr>
            <w:webHidden/>
          </w:rPr>
          <w:tab/>
        </w:r>
        <w:r>
          <w:rPr>
            <w:webHidden/>
          </w:rPr>
          <w:fldChar w:fldCharType="begin"/>
        </w:r>
        <w:r>
          <w:rPr>
            <w:webHidden/>
          </w:rPr>
          <w:instrText xml:space="preserve"> PAGEREF _Toc96585550 \h </w:instrText>
        </w:r>
        <w:r>
          <w:rPr>
            <w:webHidden/>
          </w:rPr>
        </w:r>
        <w:r>
          <w:rPr>
            <w:webHidden/>
          </w:rPr>
          <w:fldChar w:fldCharType="separate"/>
        </w:r>
        <w:r>
          <w:rPr>
            <w:webHidden/>
          </w:rPr>
          <w:t>58</w:t>
        </w:r>
        <w:r>
          <w:rPr>
            <w:webHidden/>
          </w:rPr>
          <w:fldChar w:fldCharType="end"/>
        </w:r>
      </w:hyperlink>
    </w:p>
    <w:p w14:paraId="1DECC0A9" w14:textId="33210810" w:rsidR="003770A1" w:rsidRDefault="003770A1">
      <w:pPr>
        <w:pStyle w:val="TOC2"/>
        <w:rPr>
          <w:rFonts w:asciiTheme="minorHAnsi" w:eastAsiaTheme="minorEastAsia" w:hAnsiTheme="minorHAnsi" w:cstheme="minorBidi"/>
          <w:sz w:val="22"/>
          <w:szCs w:val="22"/>
        </w:rPr>
      </w:pPr>
      <w:hyperlink w:anchor="_Toc96585551" w:history="1">
        <w:r w:rsidRPr="002140D5">
          <w:rPr>
            <w:rStyle w:val="Hyperlink"/>
            <w:rFonts w:eastAsia="Calibri"/>
            <w:lang w:eastAsia="en-US"/>
          </w:rPr>
          <w:t>Pros and cons of accelerated depreciation</w:t>
        </w:r>
        <w:r>
          <w:rPr>
            <w:webHidden/>
          </w:rPr>
          <w:tab/>
        </w:r>
        <w:r>
          <w:rPr>
            <w:webHidden/>
          </w:rPr>
          <w:fldChar w:fldCharType="begin"/>
        </w:r>
        <w:r>
          <w:rPr>
            <w:webHidden/>
          </w:rPr>
          <w:instrText xml:space="preserve"> PAGEREF _Toc96585551 \h </w:instrText>
        </w:r>
        <w:r>
          <w:rPr>
            <w:webHidden/>
          </w:rPr>
        </w:r>
        <w:r>
          <w:rPr>
            <w:webHidden/>
          </w:rPr>
          <w:fldChar w:fldCharType="separate"/>
        </w:r>
        <w:r>
          <w:rPr>
            <w:webHidden/>
          </w:rPr>
          <w:t>58</w:t>
        </w:r>
        <w:r>
          <w:rPr>
            <w:webHidden/>
          </w:rPr>
          <w:fldChar w:fldCharType="end"/>
        </w:r>
      </w:hyperlink>
    </w:p>
    <w:p w14:paraId="1EA7DD80" w14:textId="5795094B" w:rsidR="003770A1" w:rsidRDefault="003770A1">
      <w:pPr>
        <w:pStyle w:val="TOC1"/>
        <w:rPr>
          <w:rFonts w:asciiTheme="minorHAnsi" w:eastAsiaTheme="minorEastAsia" w:hAnsiTheme="minorHAnsi" w:cstheme="minorBidi"/>
          <w:b w:val="0"/>
          <w:sz w:val="22"/>
          <w:szCs w:val="22"/>
        </w:rPr>
      </w:pPr>
      <w:hyperlink w:anchor="_Toc96585552" w:history="1">
        <w:r w:rsidRPr="002140D5">
          <w:rPr>
            <w:rStyle w:val="Hyperlink"/>
            <w:rFonts w:eastAsia="Calibri"/>
            <w:lang w:eastAsia="en-US"/>
          </w:rPr>
          <w:t xml:space="preserve">CHAPTER 8 </w:t>
        </w:r>
        <w:r>
          <w:rPr>
            <w:rStyle w:val="Hyperlink"/>
            <w:rFonts w:eastAsia="Calibri"/>
            <w:lang w:eastAsia="en-US"/>
          </w:rPr>
          <w:tab/>
        </w:r>
        <w:r w:rsidRPr="002140D5">
          <w:rPr>
            <w:rStyle w:val="Hyperlink"/>
            <w:rFonts w:eastAsia="Calibri"/>
            <w:lang w:eastAsia="en-US"/>
          </w:rPr>
          <w:t>Indexation</w:t>
        </w:r>
        <w:r>
          <w:rPr>
            <w:webHidden/>
          </w:rPr>
          <w:tab/>
        </w:r>
        <w:r>
          <w:rPr>
            <w:webHidden/>
          </w:rPr>
          <w:fldChar w:fldCharType="begin"/>
        </w:r>
        <w:r>
          <w:rPr>
            <w:webHidden/>
          </w:rPr>
          <w:instrText xml:space="preserve"> PAGEREF _Toc96585552 \h </w:instrText>
        </w:r>
        <w:r>
          <w:rPr>
            <w:webHidden/>
          </w:rPr>
        </w:r>
        <w:r>
          <w:rPr>
            <w:webHidden/>
          </w:rPr>
          <w:fldChar w:fldCharType="separate"/>
        </w:r>
        <w:r>
          <w:rPr>
            <w:webHidden/>
          </w:rPr>
          <w:t>61</w:t>
        </w:r>
        <w:r>
          <w:rPr>
            <w:webHidden/>
          </w:rPr>
          <w:fldChar w:fldCharType="end"/>
        </w:r>
      </w:hyperlink>
    </w:p>
    <w:p w14:paraId="28E943A1" w14:textId="2E44930A" w:rsidR="003770A1" w:rsidRDefault="003770A1">
      <w:pPr>
        <w:pStyle w:val="TOC2"/>
        <w:rPr>
          <w:rFonts w:asciiTheme="minorHAnsi" w:eastAsiaTheme="minorEastAsia" w:hAnsiTheme="minorHAnsi" w:cstheme="minorBidi"/>
          <w:sz w:val="22"/>
          <w:szCs w:val="22"/>
        </w:rPr>
      </w:pPr>
      <w:hyperlink w:anchor="_Toc96585553" w:history="1">
        <w:r w:rsidRPr="002140D5">
          <w:rPr>
            <w:rStyle w:val="Hyperlink"/>
            <w:rFonts w:eastAsia="Calibri"/>
            <w:lang w:eastAsia="en-US"/>
          </w:rPr>
          <w:t>Introduction</w:t>
        </w:r>
        <w:r>
          <w:rPr>
            <w:webHidden/>
          </w:rPr>
          <w:tab/>
        </w:r>
        <w:r>
          <w:rPr>
            <w:webHidden/>
          </w:rPr>
          <w:fldChar w:fldCharType="begin"/>
        </w:r>
        <w:r>
          <w:rPr>
            <w:webHidden/>
          </w:rPr>
          <w:instrText xml:space="preserve"> PAGEREF _Toc96585553 \h </w:instrText>
        </w:r>
        <w:r>
          <w:rPr>
            <w:webHidden/>
          </w:rPr>
        </w:r>
        <w:r>
          <w:rPr>
            <w:webHidden/>
          </w:rPr>
          <w:fldChar w:fldCharType="separate"/>
        </w:r>
        <w:r>
          <w:rPr>
            <w:webHidden/>
          </w:rPr>
          <w:t>61</w:t>
        </w:r>
        <w:r>
          <w:rPr>
            <w:webHidden/>
          </w:rPr>
          <w:fldChar w:fldCharType="end"/>
        </w:r>
      </w:hyperlink>
    </w:p>
    <w:p w14:paraId="17D43FF2" w14:textId="3164797A" w:rsidR="003770A1" w:rsidRDefault="003770A1">
      <w:pPr>
        <w:pStyle w:val="TOC2"/>
        <w:rPr>
          <w:rFonts w:asciiTheme="minorHAnsi" w:eastAsiaTheme="minorEastAsia" w:hAnsiTheme="minorHAnsi" w:cstheme="minorBidi"/>
          <w:sz w:val="22"/>
          <w:szCs w:val="22"/>
        </w:rPr>
      </w:pPr>
      <w:hyperlink w:anchor="_Toc96585554" w:history="1">
        <w:r w:rsidRPr="002140D5">
          <w:rPr>
            <w:rStyle w:val="Hyperlink"/>
            <w:rFonts w:eastAsia="Calibri"/>
            <w:lang w:eastAsia="en-US"/>
          </w:rPr>
          <w:t>How might the tax system be indexed for inflation?</w:t>
        </w:r>
        <w:r>
          <w:rPr>
            <w:webHidden/>
          </w:rPr>
          <w:tab/>
        </w:r>
        <w:r>
          <w:rPr>
            <w:webHidden/>
          </w:rPr>
          <w:fldChar w:fldCharType="begin"/>
        </w:r>
        <w:r>
          <w:rPr>
            <w:webHidden/>
          </w:rPr>
          <w:instrText xml:space="preserve"> PAGEREF _Toc96585554 \h </w:instrText>
        </w:r>
        <w:r>
          <w:rPr>
            <w:webHidden/>
          </w:rPr>
        </w:r>
        <w:r>
          <w:rPr>
            <w:webHidden/>
          </w:rPr>
          <w:fldChar w:fldCharType="separate"/>
        </w:r>
        <w:r>
          <w:rPr>
            <w:webHidden/>
          </w:rPr>
          <w:t>62</w:t>
        </w:r>
        <w:r>
          <w:rPr>
            <w:webHidden/>
          </w:rPr>
          <w:fldChar w:fldCharType="end"/>
        </w:r>
      </w:hyperlink>
    </w:p>
    <w:p w14:paraId="44A5F331" w14:textId="15F9B6BA" w:rsidR="003770A1" w:rsidRDefault="003770A1">
      <w:pPr>
        <w:pStyle w:val="TOC2"/>
        <w:rPr>
          <w:rFonts w:asciiTheme="minorHAnsi" w:eastAsiaTheme="minorEastAsia" w:hAnsiTheme="minorHAnsi" w:cstheme="minorBidi"/>
          <w:sz w:val="22"/>
          <w:szCs w:val="22"/>
        </w:rPr>
      </w:pPr>
      <w:hyperlink w:anchor="_Toc96585555" w:history="1">
        <w:r w:rsidRPr="002140D5">
          <w:rPr>
            <w:rStyle w:val="Hyperlink"/>
            <w:rFonts w:eastAsia="Calibri"/>
            <w:lang w:eastAsia="en-US"/>
          </w:rPr>
          <w:t>Impacts on costs of capital</w:t>
        </w:r>
        <w:r>
          <w:rPr>
            <w:webHidden/>
          </w:rPr>
          <w:tab/>
        </w:r>
        <w:r>
          <w:rPr>
            <w:webHidden/>
          </w:rPr>
          <w:fldChar w:fldCharType="begin"/>
        </w:r>
        <w:r>
          <w:rPr>
            <w:webHidden/>
          </w:rPr>
          <w:instrText xml:space="preserve"> PAGEREF _Toc96585555 \h </w:instrText>
        </w:r>
        <w:r>
          <w:rPr>
            <w:webHidden/>
          </w:rPr>
        </w:r>
        <w:r>
          <w:rPr>
            <w:webHidden/>
          </w:rPr>
          <w:fldChar w:fldCharType="separate"/>
        </w:r>
        <w:r>
          <w:rPr>
            <w:webHidden/>
          </w:rPr>
          <w:t>63</w:t>
        </w:r>
        <w:r>
          <w:rPr>
            <w:webHidden/>
          </w:rPr>
          <w:fldChar w:fldCharType="end"/>
        </w:r>
      </w:hyperlink>
    </w:p>
    <w:p w14:paraId="2D6F7532" w14:textId="72EDE1EB" w:rsidR="003770A1" w:rsidRDefault="003770A1">
      <w:pPr>
        <w:pStyle w:val="TOC2"/>
        <w:rPr>
          <w:rFonts w:asciiTheme="minorHAnsi" w:eastAsiaTheme="minorEastAsia" w:hAnsiTheme="minorHAnsi" w:cstheme="minorBidi"/>
          <w:sz w:val="22"/>
          <w:szCs w:val="22"/>
        </w:rPr>
      </w:pPr>
      <w:hyperlink w:anchor="_Toc96585556" w:history="1">
        <w:r w:rsidRPr="002140D5">
          <w:rPr>
            <w:rStyle w:val="Hyperlink"/>
            <w:rFonts w:eastAsia="Calibri"/>
            <w:lang w:eastAsia="en-US"/>
          </w:rPr>
          <w:t>Pros and cons of comprehensive indexation</w:t>
        </w:r>
        <w:r>
          <w:rPr>
            <w:webHidden/>
          </w:rPr>
          <w:tab/>
        </w:r>
        <w:r>
          <w:rPr>
            <w:webHidden/>
          </w:rPr>
          <w:fldChar w:fldCharType="begin"/>
        </w:r>
        <w:r>
          <w:rPr>
            <w:webHidden/>
          </w:rPr>
          <w:instrText xml:space="preserve"> PAGEREF _Toc96585556 \h </w:instrText>
        </w:r>
        <w:r>
          <w:rPr>
            <w:webHidden/>
          </w:rPr>
        </w:r>
        <w:r>
          <w:rPr>
            <w:webHidden/>
          </w:rPr>
          <w:fldChar w:fldCharType="separate"/>
        </w:r>
        <w:r>
          <w:rPr>
            <w:webHidden/>
          </w:rPr>
          <w:t>65</w:t>
        </w:r>
        <w:r>
          <w:rPr>
            <w:webHidden/>
          </w:rPr>
          <w:fldChar w:fldCharType="end"/>
        </w:r>
      </w:hyperlink>
    </w:p>
    <w:p w14:paraId="27EFC333" w14:textId="495EAC7D" w:rsidR="003770A1" w:rsidRDefault="003770A1">
      <w:pPr>
        <w:pStyle w:val="TOC2"/>
        <w:rPr>
          <w:rFonts w:asciiTheme="minorHAnsi" w:eastAsiaTheme="minorEastAsia" w:hAnsiTheme="minorHAnsi" w:cstheme="minorBidi"/>
          <w:sz w:val="22"/>
          <w:szCs w:val="22"/>
        </w:rPr>
      </w:pPr>
      <w:hyperlink w:anchor="_Toc96585557" w:history="1">
        <w:r w:rsidRPr="002140D5">
          <w:rPr>
            <w:rStyle w:val="Hyperlink"/>
            <w:rFonts w:eastAsia="Calibri"/>
            <w:lang w:eastAsia="en-US"/>
          </w:rPr>
          <w:t>Pros and cons of partial indexation</w:t>
        </w:r>
        <w:r>
          <w:rPr>
            <w:webHidden/>
          </w:rPr>
          <w:tab/>
        </w:r>
        <w:r>
          <w:rPr>
            <w:webHidden/>
          </w:rPr>
          <w:fldChar w:fldCharType="begin"/>
        </w:r>
        <w:r>
          <w:rPr>
            <w:webHidden/>
          </w:rPr>
          <w:instrText xml:space="preserve"> PAGEREF _Toc96585557 \h </w:instrText>
        </w:r>
        <w:r>
          <w:rPr>
            <w:webHidden/>
          </w:rPr>
        </w:r>
        <w:r>
          <w:rPr>
            <w:webHidden/>
          </w:rPr>
          <w:fldChar w:fldCharType="separate"/>
        </w:r>
        <w:r>
          <w:rPr>
            <w:webHidden/>
          </w:rPr>
          <w:t>65</w:t>
        </w:r>
        <w:r>
          <w:rPr>
            <w:webHidden/>
          </w:rPr>
          <w:fldChar w:fldCharType="end"/>
        </w:r>
      </w:hyperlink>
    </w:p>
    <w:p w14:paraId="342052AC" w14:textId="1051207C" w:rsidR="003770A1" w:rsidRDefault="003770A1">
      <w:pPr>
        <w:pStyle w:val="TOC2"/>
        <w:rPr>
          <w:rFonts w:asciiTheme="minorHAnsi" w:eastAsiaTheme="minorEastAsia" w:hAnsiTheme="minorHAnsi" w:cstheme="minorBidi"/>
          <w:sz w:val="22"/>
          <w:szCs w:val="22"/>
        </w:rPr>
      </w:pPr>
      <w:hyperlink w:anchor="_Toc96585558" w:history="1">
        <w:r w:rsidRPr="002140D5">
          <w:rPr>
            <w:rStyle w:val="Hyperlink"/>
            <w:rFonts w:eastAsia="Calibri"/>
            <w:lang w:eastAsia="en-US"/>
          </w:rPr>
          <w:t>The appropriate index</w:t>
        </w:r>
        <w:r>
          <w:rPr>
            <w:webHidden/>
          </w:rPr>
          <w:tab/>
        </w:r>
        <w:r>
          <w:rPr>
            <w:webHidden/>
          </w:rPr>
          <w:fldChar w:fldCharType="begin"/>
        </w:r>
        <w:r>
          <w:rPr>
            <w:webHidden/>
          </w:rPr>
          <w:instrText xml:space="preserve"> PAGEREF _Toc96585558 \h </w:instrText>
        </w:r>
        <w:r>
          <w:rPr>
            <w:webHidden/>
          </w:rPr>
        </w:r>
        <w:r>
          <w:rPr>
            <w:webHidden/>
          </w:rPr>
          <w:fldChar w:fldCharType="separate"/>
        </w:r>
        <w:r>
          <w:rPr>
            <w:webHidden/>
          </w:rPr>
          <w:t>66</w:t>
        </w:r>
        <w:r>
          <w:rPr>
            <w:webHidden/>
          </w:rPr>
          <w:fldChar w:fldCharType="end"/>
        </w:r>
      </w:hyperlink>
    </w:p>
    <w:p w14:paraId="57104D7A" w14:textId="0B926C7F" w:rsidR="003770A1" w:rsidRDefault="003770A1">
      <w:pPr>
        <w:pStyle w:val="TOC1"/>
        <w:rPr>
          <w:rFonts w:asciiTheme="minorHAnsi" w:eastAsiaTheme="minorEastAsia" w:hAnsiTheme="minorHAnsi" w:cstheme="minorBidi"/>
          <w:b w:val="0"/>
          <w:sz w:val="22"/>
          <w:szCs w:val="22"/>
        </w:rPr>
      </w:pPr>
      <w:hyperlink w:anchor="_Toc96585559" w:history="1">
        <w:r w:rsidRPr="002140D5">
          <w:rPr>
            <w:rStyle w:val="Hyperlink"/>
            <w:rFonts w:eastAsia="Calibri"/>
            <w:lang w:eastAsia="en-US"/>
          </w:rPr>
          <w:t xml:space="preserve">CHAPTER 9 </w:t>
        </w:r>
        <w:r>
          <w:rPr>
            <w:rStyle w:val="Hyperlink"/>
            <w:rFonts w:eastAsia="Calibri"/>
            <w:lang w:eastAsia="en-US"/>
          </w:rPr>
          <w:tab/>
        </w:r>
        <w:r w:rsidRPr="002140D5">
          <w:rPr>
            <w:rStyle w:val="Hyperlink"/>
            <w:rFonts w:eastAsia="Calibri"/>
            <w:lang w:eastAsia="en-US"/>
          </w:rPr>
          <w:t>Thin capitalisation</w:t>
        </w:r>
        <w:r>
          <w:rPr>
            <w:webHidden/>
          </w:rPr>
          <w:tab/>
        </w:r>
        <w:r>
          <w:rPr>
            <w:webHidden/>
          </w:rPr>
          <w:fldChar w:fldCharType="begin"/>
        </w:r>
        <w:r>
          <w:rPr>
            <w:webHidden/>
          </w:rPr>
          <w:instrText xml:space="preserve"> PAGEREF _Toc96585559 \h </w:instrText>
        </w:r>
        <w:r>
          <w:rPr>
            <w:webHidden/>
          </w:rPr>
        </w:r>
        <w:r>
          <w:rPr>
            <w:webHidden/>
          </w:rPr>
          <w:fldChar w:fldCharType="separate"/>
        </w:r>
        <w:r>
          <w:rPr>
            <w:webHidden/>
          </w:rPr>
          <w:t>68</w:t>
        </w:r>
        <w:r>
          <w:rPr>
            <w:webHidden/>
          </w:rPr>
          <w:fldChar w:fldCharType="end"/>
        </w:r>
      </w:hyperlink>
    </w:p>
    <w:p w14:paraId="2779159E" w14:textId="0D0034B3" w:rsidR="003770A1" w:rsidRDefault="003770A1">
      <w:pPr>
        <w:pStyle w:val="TOC2"/>
        <w:rPr>
          <w:rFonts w:asciiTheme="minorHAnsi" w:eastAsiaTheme="minorEastAsia" w:hAnsiTheme="minorHAnsi" w:cstheme="minorBidi"/>
          <w:sz w:val="22"/>
          <w:szCs w:val="22"/>
        </w:rPr>
      </w:pPr>
      <w:hyperlink w:anchor="_Toc96585560" w:history="1">
        <w:r w:rsidRPr="002140D5">
          <w:rPr>
            <w:rStyle w:val="Hyperlink"/>
            <w:rFonts w:eastAsia="Calibri"/>
            <w:lang w:eastAsia="en-US"/>
          </w:rPr>
          <w:t>Introduction</w:t>
        </w:r>
        <w:r>
          <w:rPr>
            <w:webHidden/>
          </w:rPr>
          <w:tab/>
        </w:r>
        <w:r>
          <w:rPr>
            <w:webHidden/>
          </w:rPr>
          <w:fldChar w:fldCharType="begin"/>
        </w:r>
        <w:r>
          <w:rPr>
            <w:webHidden/>
          </w:rPr>
          <w:instrText xml:space="preserve"> PAGEREF _Toc96585560 \h </w:instrText>
        </w:r>
        <w:r>
          <w:rPr>
            <w:webHidden/>
          </w:rPr>
        </w:r>
        <w:r>
          <w:rPr>
            <w:webHidden/>
          </w:rPr>
          <w:fldChar w:fldCharType="separate"/>
        </w:r>
        <w:r>
          <w:rPr>
            <w:webHidden/>
          </w:rPr>
          <w:t>68</w:t>
        </w:r>
        <w:r>
          <w:rPr>
            <w:webHidden/>
          </w:rPr>
          <w:fldChar w:fldCharType="end"/>
        </w:r>
      </w:hyperlink>
    </w:p>
    <w:p w14:paraId="6B3F0F22" w14:textId="62DB2989" w:rsidR="003770A1" w:rsidRDefault="003770A1">
      <w:pPr>
        <w:pStyle w:val="TOC2"/>
        <w:rPr>
          <w:rFonts w:asciiTheme="minorHAnsi" w:eastAsiaTheme="minorEastAsia" w:hAnsiTheme="minorHAnsi" w:cstheme="minorBidi"/>
          <w:sz w:val="22"/>
          <w:szCs w:val="22"/>
        </w:rPr>
      </w:pPr>
      <w:hyperlink w:anchor="_Toc96585561" w:history="1">
        <w:r w:rsidRPr="002140D5">
          <w:rPr>
            <w:rStyle w:val="Hyperlink"/>
            <w:rFonts w:eastAsia="Calibri"/>
            <w:lang w:eastAsia="en-US"/>
          </w:rPr>
          <w:t>Thin capitalisation rules</w:t>
        </w:r>
        <w:r>
          <w:rPr>
            <w:webHidden/>
          </w:rPr>
          <w:tab/>
        </w:r>
        <w:r>
          <w:rPr>
            <w:webHidden/>
          </w:rPr>
          <w:fldChar w:fldCharType="begin"/>
        </w:r>
        <w:r>
          <w:rPr>
            <w:webHidden/>
          </w:rPr>
          <w:instrText xml:space="preserve"> PAGEREF _Toc96585561 \h </w:instrText>
        </w:r>
        <w:r>
          <w:rPr>
            <w:webHidden/>
          </w:rPr>
        </w:r>
        <w:r>
          <w:rPr>
            <w:webHidden/>
          </w:rPr>
          <w:fldChar w:fldCharType="separate"/>
        </w:r>
        <w:r>
          <w:rPr>
            <w:webHidden/>
          </w:rPr>
          <w:t>69</w:t>
        </w:r>
        <w:r>
          <w:rPr>
            <w:webHidden/>
          </w:rPr>
          <w:fldChar w:fldCharType="end"/>
        </w:r>
      </w:hyperlink>
    </w:p>
    <w:p w14:paraId="6D348927" w14:textId="5E526F05" w:rsidR="003770A1" w:rsidRDefault="003770A1">
      <w:pPr>
        <w:pStyle w:val="TOC2"/>
        <w:rPr>
          <w:rFonts w:asciiTheme="minorHAnsi" w:eastAsiaTheme="minorEastAsia" w:hAnsiTheme="minorHAnsi" w:cstheme="minorBidi"/>
          <w:sz w:val="22"/>
          <w:szCs w:val="22"/>
        </w:rPr>
      </w:pPr>
      <w:hyperlink w:anchor="_Toc96585562" w:history="1">
        <w:r w:rsidRPr="002140D5">
          <w:rPr>
            <w:rStyle w:val="Hyperlink"/>
            <w:rFonts w:eastAsia="Calibri"/>
            <w:lang w:eastAsia="en-US"/>
          </w:rPr>
          <w:t>International evidence on thin capitalisation rules and investment</w:t>
        </w:r>
        <w:r>
          <w:rPr>
            <w:webHidden/>
          </w:rPr>
          <w:tab/>
        </w:r>
        <w:r>
          <w:rPr>
            <w:webHidden/>
          </w:rPr>
          <w:fldChar w:fldCharType="begin"/>
        </w:r>
        <w:r>
          <w:rPr>
            <w:webHidden/>
          </w:rPr>
          <w:instrText xml:space="preserve"> PAGEREF _Toc96585562 \h </w:instrText>
        </w:r>
        <w:r>
          <w:rPr>
            <w:webHidden/>
          </w:rPr>
        </w:r>
        <w:r>
          <w:rPr>
            <w:webHidden/>
          </w:rPr>
          <w:fldChar w:fldCharType="separate"/>
        </w:r>
        <w:r>
          <w:rPr>
            <w:webHidden/>
          </w:rPr>
          <w:t>70</w:t>
        </w:r>
        <w:r>
          <w:rPr>
            <w:webHidden/>
          </w:rPr>
          <w:fldChar w:fldCharType="end"/>
        </w:r>
      </w:hyperlink>
    </w:p>
    <w:p w14:paraId="137E9C79" w14:textId="1610FFD6" w:rsidR="003770A1" w:rsidRDefault="003770A1">
      <w:pPr>
        <w:pStyle w:val="TOC2"/>
        <w:rPr>
          <w:rFonts w:asciiTheme="minorHAnsi" w:eastAsiaTheme="minorEastAsia" w:hAnsiTheme="minorHAnsi" w:cstheme="minorBidi"/>
          <w:sz w:val="22"/>
          <w:szCs w:val="22"/>
        </w:rPr>
      </w:pPr>
      <w:hyperlink w:anchor="_Toc96585563" w:history="1">
        <w:r w:rsidRPr="002140D5">
          <w:rPr>
            <w:rStyle w:val="Hyperlink"/>
            <w:rFonts w:eastAsia="Calibri"/>
            <w:lang w:eastAsia="en-US"/>
          </w:rPr>
          <w:t>Impact on costs of capital and EMTRs</w:t>
        </w:r>
        <w:r>
          <w:rPr>
            <w:webHidden/>
          </w:rPr>
          <w:tab/>
        </w:r>
        <w:r>
          <w:rPr>
            <w:webHidden/>
          </w:rPr>
          <w:fldChar w:fldCharType="begin"/>
        </w:r>
        <w:r>
          <w:rPr>
            <w:webHidden/>
          </w:rPr>
          <w:instrText xml:space="preserve"> PAGEREF _Toc96585563 \h </w:instrText>
        </w:r>
        <w:r>
          <w:rPr>
            <w:webHidden/>
          </w:rPr>
        </w:r>
        <w:r>
          <w:rPr>
            <w:webHidden/>
          </w:rPr>
          <w:fldChar w:fldCharType="separate"/>
        </w:r>
        <w:r>
          <w:rPr>
            <w:webHidden/>
          </w:rPr>
          <w:t>70</w:t>
        </w:r>
        <w:r>
          <w:rPr>
            <w:webHidden/>
          </w:rPr>
          <w:fldChar w:fldCharType="end"/>
        </w:r>
      </w:hyperlink>
    </w:p>
    <w:p w14:paraId="7B4598CF" w14:textId="73E9E92A" w:rsidR="003770A1" w:rsidRDefault="003770A1">
      <w:pPr>
        <w:pStyle w:val="TOC2"/>
        <w:rPr>
          <w:rFonts w:asciiTheme="minorHAnsi" w:eastAsiaTheme="minorEastAsia" w:hAnsiTheme="minorHAnsi" w:cstheme="minorBidi"/>
          <w:sz w:val="22"/>
          <w:szCs w:val="22"/>
        </w:rPr>
      </w:pPr>
      <w:hyperlink w:anchor="_Toc96585564" w:history="1">
        <w:r w:rsidRPr="002140D5">
          <w:rPr>
            <w:rStyle w:val="Hyperlink"/>
            <w:rFonts w:eastAsia="Calibri"/>
            <w:lang w:eastAsia="en-US"/>
          </w:rPr>
          <w:t>Increasing the safe harbour threshold: policy considerations</w:t>
        </w:r>
        <w:r>
          <w:rPr>
            <w:webHidden/>
          </w:rPr>
          <w:tab/>
        </w:r>
        <w:r>
          <w:rPr>
            <w:webHidden/>
          </w:rPr>
          <w:fldChar w:fldCharType="begin"/>
        </w:r>
        <w:r>
          <w:rPr>
            <w:webHidden/>
          </w:rPr>
          <w:instrText xml:space="preserve"> PAGEREF _Toc96585564 \h </w:instrText>
        </w:r>
        <w:r>
          <w:rPr>
            <w:webHidden/>
          </w:rPr>
        </w:r>
        <w:r>
          <w:rPr>
            <w:webHidden/>
          </w:rPr>
          <w:fldChar w:fldCharType="separate"/>
        </w:r>
        <w:r>
          <w:rPr>
            <w:webHidden/>
          </w:rPr>
          <w:t>72</w:t>
        </w:r>
        <w:r>
          <w:rPr>
            <w:webHidden/>
          </w:rPr>
          <w:fldChar w:fldCharType="end"/>
        </w:r>
      </w:hyperlink>
    </w:p>
    <w:p w14:paraId="380428A6" w14:textId="154B2C5F" w:rsidR="003770A1" w:rsidRDefault="003770A1">
      <w:pPr>
        <w:pStyle w:val="TOC2"/>
        <w:rPr>
          <w:rFonts w:asciiTheme="minorHAnsi" w:eastAsiaTheme="minorEastAsia" w:hAnsiTheme="minorHAnsi" w:cstheme="minorBidi"/>
          <w:sz w:val="22"/>
          <w:szCs w:val="22"/>
        </w:rPr>
      </w:pPr>
      <w:hyperlink w:anchor="_Toc96585565" w:history="1">
        <w:r w:rsidRPr="002140D5">
          <w:rPr>
            <w:rStyle w:val="Hyperlink"/>
            <w:rFonts w:eastAsia="Calibri"/>
            <w:lang w:eastAsia="en-US"/>
          </w:rPr>
          <w:t>Other solutions</w:t>
        </w:r>
        <w:r>
          <w:rPr>
            <w:webHidden/>
          </w:rPr>
          <w:tab/>
        </w:r>
        <w:r>
          <w:rPr>
            <w:webHidden/>
          </w:rPr>
          <w:fldChar w:fldCharType="begin"/>
        </w:r>
        <w:r>
          <w:rPr>
            <w:webHidden/>
          </w:rPr>
          <w:instrText xml:space="preserve"> PAGEREF _Toc96585565 \h </w:instrText>
        </w:r>
        <w:r>
          <w:rPr>
            <w:webHidden/>
          </w:rPr>
        </w:r>
        <w:r>
          <w:rPr>
            <w:webHidden/>
          </w:rPr>
          <w:fldChar w:fldCharType="separate"/>
        </w:r>
        <w:r>
          <w:rPr>
            <w:webHidden/>
          </w:rPr>
          <w:t>74</w:t>
        </w:r>
        <w:r>
          <w:rPr>
            <w:webHidden/>
          </w:rPr>
          <w:fldChar w:fldCharType="end"/>
        </w:r>
      </w:hyperlink>
    </w:p>
    <w:p w14:paraId="12982E11" w14:textId="0B590D58" w:rsidR="003770A1" w:rsidRDefault="003770A1">
      <w:pPr>
        <w:pStyle w:val="TOC1"/>
        <w:rPr>
          <w:rFonts w:asciiTheme="minorHAnsi" w:eastAsiaTheme="minorEastAsia" w:hAnsiTheme="minorHAnsi" w:cstheme="minorBidi"/>
          <w:b w:val="0"/>
          <w:sz w:val="22"/>
          <w:szCs w:val="22"/>
        </w:rPr>
      </w:pPr>
      <w:hyperlink w:anchor="_Toc96585566" w:history="1">
        <w:r w:rsidRPr="002140D5">
          <w:rPr>
            <w:rStyle w:val="Hyperlink"/>
            <w:rFonts w:eastAsia="Calibri"/>
            <w:lang w:eastAsia="en-US"/>
          </w:rPr>
          <w:t xml:space="preserve">CHAPTER 10 </w:t>
        </w:r>
        <w:r>
          <w:rPr>
            <w:rStyle w:val="Hyperlink"/>
            <w:rFonts w:eastAsia="Calibri"/>
            <w:lang w:eastAsia="en-US"/>
          </w:rPr>
          <w:tab/>
        </w:r>
        <w:r w:rsidRPr="002140D5">
          <w:rPr>
            <w:rStyle w:val="Hyperlink"/>
            <w:rFonts w:eastAsia="Calibri"/>
            <w:lang w:eastAsia="en-US"/>
          </w:rPr>
          <w:t>Allowance for corporate equity</w:t>
        </w:r>
        <w:r>
          <w:rPr>
            <w:webHidden/>
          </w:rPr>
          <w:tab/>
        </w:r>
        <w:r>
          <w:rPr>
            <w:webHidden/>
          </w:rPr>
          <w:fldChar w:fldCharType="begin"/>
        </w:r>
        <w:r>
          <w:rPr>
            <w:webHidden/>
          </w:rPr>
          <w:instrText xml:space="preserve"> PAGEREF _Toc96585566 \h </w:instrText>
        </w:r>
        <w:r>
          <w:rPr>
            <w:webHidden/>
          </w:rPr>
        </w:r>
        <w:r>
          <w:rPr>
            <w:webHidden/>
          </w:rPr>
          <w:fldChar w:fldCharType="separate"/>
        </w:r>
        <w:r>
          <w:rPr>
            <w:webHidden/>
          </w:rPr>
          <w:t>75</w:t>
        </w:r>
        <w:r>
          <w:rPr>
            <w:webHidden/>
          </w:rPr>
          <w:fldChar w:fldCharType="end"/>
        </w:r>
      </w:hyperlink>
    </w:p>
    <w:p w14:paraId="732BF9C5" w14:textId="5F35C890" w:rsidR="003770A1" w:rsidRDefault="003770A1">
      <w:pPr>
        <w:pStyle w:val="TOC2"/>
        <w:rPr>
          <w:rFonts w:asciiTheme="minorHAnsi" w:eastAsiaTheme="minorEastAsia" w:hAnsiTheme="minorHAnsi" w:cstheme="minorBidi"/>
          <w:sz w:val="22"/>
          <w:szCs w:val="22"/>
        </w:rPr>
      </w:pPr>
      <w:hyperlink w:anchor="_Toc96585567" w:history="1">
        <w:r w:rsidRPr="002140D5">
          <w:rPr>
            <w:rStyle w:val="Hyperlink"/>
            <w:rFonts w:eastAsia="Calibri"/>
            <w:lang w:eastAsia="en-US"/>
          </w:rPr>
          <w:t>Introduction</w:t>
        </w:r>
        <w:r>
          <w:rPr>
            <w:webHidden/>
          </w:rPr>
          <w:tab/>
        </w:r>
        <w:r>
          <w:rPr>
            <w:webHidden/>
          </w:rPr>
          <w:fldChar w:fldCharType="begin"/>
        </w:r>
        <w:r>
          <w:rPr>
            <w:webHidden/>
          </w:rPr>
          <w:instrText xml:space="preserve"> PAGEREF _Toc96585567 \h </w:instrText>
        </w:r>
        <w:r>
          <w:rPr>
            <w:webHidden/>
          </w:rPr>
        </w:r>
        <w:r>
          <w:rPr>
            <w:webHidden/>
          </w:rPr>
          <w:fldChar w:fldCharType="separate"/>
        </w:r>
        <w:r>
          <w:rPr>
            <w:webHidden/>
          </w:rPr>
          <w:t>75</w:t>
        </w:r>
        <w:r>
          <w:rPr>
            <w:webHidden/>
          </w:rPr>
          <w:fldChar w:fldCharType="end"/>
        </w:r>
      </w:hyperlink>
    </w:p>
    <w:p w14:paraId="7919F239" w14:textId="7A248337" w:rsidR="003770A1" w:rsidRDefault="003770A1">
      <w:pPr>
        <w:pStyle w:val="TOC2"/>
        <w:rPr>
          <w:rFonts w:asciiTheme="minorHAnsi" w:eastAsiaTheme="minorEastAsia" w:hAnsiTheme="minorHAnsi" w:cstheme="minorBidi"/>
          <w:sz w:val="22"/>
          <w:szCs w:val="22"/>
        </w:rPr>
      </w:pPr>
      <w:hyperlink w:anchor="_Toc96585568" w:history="1">
        <w:r w:rsidRPr="002140D5">
          <w:rPr>
            <w:rStyle w:val="Hyperlink"/>
            <w:rFonts w:eastAsia="Calibri"/>
            <w:lang w:eastAsia="en-US"/>
          </w:rPr>
          <w:t>Policy objectives</w:t>
        </w:r>
        <w:r>
          <w:rPr>
            <w:webHidden/>
          </w:rPr>
          <w:tab/>
        </w:r>
        <w:r>
          <w:rPr>
            <w:webHidden/>
          </w:rPr>
          <w:fldChar w:fldCharType="begin"/>
        </w:r>
        <w:r>
          <w:rPr>
            <w:webHidden/>
          </w:rPr>
          <w:instrText xml:space="preserve"> PAGEREF _Toc96585568 \h </w:instrText>
        </w:r>
        <w:r>
          <w:rPr>
            <w:webHidden/>
          </w:rPr>
        </w:r>
        <w:r>
          <w:rPr>
            <w:webHidden/>
          </w:rPr>
          <w:fldChar w:fldCharType="separate"/>
        </w:r>
        <w:r>
          <w:rPr>
            <w:webHidden/>
          </w:rPr>
          <w:t>75</w:t>
        </w:r>
        <w:r>
          <w:rPr>
            <w:webHidden/>
          </w:rPr>
          <w:fldChar w:fldCharType="end"/>
        </w:r>
      </w:hyperlink>
    </w:p>
    <w:p w14:paraId="736E780E" w14:textId="01BB6DA6" w:rsidR="003770A1" w:rsidRDefault="003770A1">
      <w:pPr>
        <w:pStyle w:val="TOC2"/>
        <w:rPr>
          <w:rFonts w:asciiTheme="minorHAnsi" w:eastAsiaTheme="minorEastAsia" w:hAnsiTheme="minorHAnsi" w:cstheme="minorBidi"/>
          <w:sz w:val="22"/>
          <w:szCs w:val="22"/>
        </w:rPr>
      </w:pPr>
      <w:hyperlink w:anchor="_Toc96585569" w:history="1">
        <w:r w:rsidRPr="002140D5">
          <w:rPr>
            <w:rStyle w:val="Hyperlink"/>
            <w:rFonts w:eastAsia="Calibri"/>
            <w:lang w:eastAsia="en-US"/>
          </w:rPr>
          <w:t>Design issues</w:t>
        </w:r>
        <w:r>
          <w:rPr>
            <w:webHidden/>
          </w:rPr>
          <w:tab/>
        </w:r>
        <w:r>
          <w:rPr>
            <w:webHidden/>
          </w:rPr>
          <w:fldChar w:fldCharType="begin"/>
        </w:r>
        <w:r>
          <w:rPr>
            <w:webHidden/>
          </w:rPr>
          <w:instrText xml:space="preserve"> PAGEREF _Toc96585569 \h </w:instrText>
        </w:r>
        <w:r>
          <w:rPr>
            <w:webHidden/>
          </w:rPr>
        </w:r>
        <w:r>
          <w:rPr>
            <w:webHidden/>
          </w:rPr>
          <w:fldChar w:fldCharType="separate"/>
        </w:r>
        <w:r>
          <w:rPr>
            <w:webHidden/>
          </w:rPr>
          <w:t>77</w:t>
        </w:r>
        <w:r>
          <w:rPr>
            <w:webHidden/>
          </w:rPr>
          <w:fldChar w:fldCharType="end"/>
        </w:r>
      </w:hyperlink>
    </w:p>
    <w:p w14:paraId="70009AF5" w14:textId="7261AE33" w:rsidR="003770A1" w:rsidRDefault="003770A1">
      <w:pPr>
        <w:pStyle w:val="TOC1"/>
        <w:rPr>
          <w:rFonts w:asciiTheme="minorHAnsi" w:eastAsiaTheme="minorEastAsia" w:hAnsiTheme="minorHAnsi" w:cstheme="minorBidi"/>
          <w:b w:val="0"/>
          <w:sz w:val="22"/>
          <w:szCs w:val="22"/>
        </w:rPr>
      </w:pPr>
      <w:hyperlink w:anchor="_Toc96585570" w:history="1">
        <w:r w:rsidRPr="002140D5">
          <w:rPr>
            <w:rStyle w:val="Hyperlink"/>
            <w:rFonts w:eastAsia="Calibri"/>
            <w:lang w:eastAsia="en-US"/>
          </w:rPr>
          <w:t xml:space="preserve">CHAPTER 11 </w:t>
        </w:r>
        <w:r>
          <w:rPr>
            <w:rStyle w:val="Hyperlink"/>
            <w:rFonts w:eastAsia="Calibri"/>
            <w:lang w:eastAsia="en-US"/>
          </w:rPr>
          <w:tab/>
        </w:r>
        <w:r w:rsidRPr="002140D5">
          <w:rPr>
            <w:rStyle w:val="Hyperlink"/>
            <w:rFonts w:eastAsia="Calibri"/>
            <w:lang w:eastAsia="en-US"/>
          </w:rPr>
          <w:t>Incentives for specific businesses or industries</w:t>
        </w:r>
        <w:r>
          <w:rPr>
            <w:webHidden/>
          </w:rPr>
          <w:tab/>
        </w:r>
        <w:r>
          <w:rPr>
            <w:webHidden/>
          </w:rPr>
          <w:fldChar w:fldCharType="begin"/>
        </w:r>
        <w:r>
          <w:rPr>
            <w:webHidden/>
          </w:rPr>
          <w:instrText xml:space="preserve"> PAGEREF _Toc96585570 \h </w:instrText>
        </w:r>
        <w:r>
          <w:rPr>
            <w:webHidden/>
          </w:rPr>
        </w:r>
        <w:r>
          <w:rPr>
            <w:webHidden/>
          </w:rPr>
          <w:fldChar w:fldCharType="separate"/>
        </w:r>
        <w:r>
          <w:rPr>
            <w:webHidden/>
          </w:rPr>
          <w:t>81</w:t>
        </w:r>
        <w:r>
          <w:rPr>
            <w:webHidden/>
          </w:rPr>
          <w:fldChar w:fldCharType="end"/>
        </w:r>
      </w:hyperlink>
    </w:p>
    <w:p w14:paraId="62459C2B" w14:textId="30F1EF48" w:rsidR="003770A1" w:rsidRDefault="003770A1">
      <w:pPr>
        <w:pStyle w:val="TOC2"/>
        <w:rPr>
          <w:rFonts w:asciiTheme="minorHAnsi" w:eastAsiaTheme="minorEastAsia" w:hAnsiTheme="minorHAnsi" w:cstheme="minorBidi"/>
          <w:sz w:val="22"/>
          <w:szCs w:val="22"/>
        </w:rPr>
      </w:pPr>
      <w:hyperlink w:anchor="_Toc96585571" w:history="1">
        <w:r w:rsidRPr="002140D5">
          <w:rPr>
            <w:rStyle w:val="Hyperlink"/>
            <w:rFonts w:eastAsia="Calibri"/>
            <w:lang w:eastAsia="en-US"/>
          </w:rPr>
          <w:t>Introduction</w:t>
        </w:r>
        <w:r>
          <w:rPr>
            <w:webHidden/>
          </w:rPr>
          <w:tab/>
        </w:r>
        <w:r>
          <w:rPr>
            <w:webHidden/>
          </w:rPr>
          <w:fldChar w:fldCharType="begin"/>
        </w:r>
        <w:r>
          <w:rPr>
            <w:webHidden/>
          </w:rPr>
          <w:instrText xml:space="preserve"> PAGEREF _Toc96585571 \h </w:instrText>
        </w:r>
        <w:r>
          <w:rPr>
            <w:webHidden/>
          </w:rPr>
        </w:r>
        <w:r>
          <w:rPr>
            <w:webHidden/>
          </w:rPr>
          <w:fldChar w:fldCharType="separate"/>
        </w:r>
        <w:r>
          <w:rPr>
            <w:webHidden/>
          </w:rPr>
          <w:t>81</w:t>
        </w:r>
        <w:r>
          <w:rPr>
            <w:webHidden/>
          </w:rPr>
          <w:fldChar w:fldCharType="end"/>
        </w:r>
      </w:hyperlink>
    </w:p>
    <w:p w14:paraId="2384FE81" w14:textId="14DBD54C" w:rsidR="003770A1" w:rsidRDefault="003770A1">
      <w:pPr>
        <w:pStyle w:val="TOC2"/>
        <w:rPr>
          <w:rFonts w:asciiTheme="minorHAnsi" w:eastAsiaTheme="minorEastAsia" w:hAnsiTheme="minorHAnsi" w:cstheme="minorBidi"/>
          <w:sz w:val="22"/>
          <w:szCs w:val="22"/>
        </w:rPr>
      </w:pPr>
      <w:hyperlink w:anchor="_Toc96585572" w:history="1">
        <w:r w:rsidRPr="002140D5">
          <w:rPr>
            <w:rStyle w:val="Hyperlink"/>
            <w:rFonts w:eastAsia="Calibri"/>
            <w:lang w:eastAsia="en-US"/>
          </w:rPr>
          <w:t>Pros</w:t>
        </w:r>
        <w:r>
          <w:rPr>
            <w:webHidden/>
          </w:rPr>
          <w:tab/>
        </w:r>
        <w:r>
          <w:rPr>
            <w:webHidden/>
          </w:rPr>
          <w:fldChar w:fldCharType="begin"/>
        </w:r>
        <w:r>
          <w:rPr>
            <w:webHidden/>
          </w:rPr>
          <w:instrText xml:space="preserve"> PAGEREF _Toc96585572 \h </w:instrText>
        </w:r>
        <w:r>
          <w:rPr>
            <w:webHidden/>
          </w:rPr>
        </w:r>
        <w:r>
          <w:rPr>
            <w:webHidden/>
          </w:rPr>
          <w:fldChar w:fldCharType="separate"/>
        </w:r>
        <w:r>
          <w:rPr>
            <w:webHidden/>
          </w:rPr>
          <w:t>82</w:t>
        </w:r>
        <w:r>
          <w:rPr>
            <w:webHidden/>
          </w:rPr>
          <w:fldChar w:fldCharType="end"/>
        </w:r>
      </w:hyperlink>
    </w:p>
    <w:p w14:paraId="40246F62" w14:textId="2E7257CC" w:rsidR="003770A1" w:rsidRDefault="003770A1">
      <w:pPr>
        <w:pStyle w:val="TOC2"/>
        <w:rPr>
          <w:rFonts w:asciiTheme="minorHAnsi" w:eastAsiaTheme="minorEastAsia" w:hAnsiTheme="minorHAnsi" w:cstheme="minorBidi"/>
          <w:sz w:val="22"/>
          <w:szCs w:val="22"/>
        </w:rPr>
      </w:pPr>
      <w:hyperlink w:anchor="_Toc96585573" w:history="1">
        <w:r w:rsidRPr="002140D5">
          <w:rPr>
            <w:rStyle w:val="Hyperlink"/>
            <w:rFonts w:eastAsia="Calibri"/>
            <w:lang w:eastAsia="en-US"/>
          </w:rPr>
          <w:t>Cons</w:t>
        </w:r>
        <w:r>
          <w:rPr>
            <w:webHidden/>
          </w:rPr>
          <w:tab/>
        </w:r>
        <w:r>
          <w:rPr>
            <w:webHidden/>
          </w:rPr>
          <w:fldChar w:fldCharType="begin"/>
        </w:r>
        <w:r>
          <w:rPr>
            <w:webHidden/>
          </w:rPr>
          <w:instrText xml:space="preserve"> PAGEREF _Toc96585573 \h </w:instrText>
        </w:r>
        <w:r>
          <w:rPr>
            <w:webHidden/>
          </w:rPr>
        </w:r>
        <w:r>
          <w:rPr>
            <w:webHidden/>
          </w:rPr>
          <w:fldChar w:fldCharType="separate"/>
        </w:r>
        <w:r>
          <w:rPr>
            <w:webHidden/>
          </w:rPr>
          <w:t>82</w:t>
        </w:r>
        <w:r>
          <w:rPr>
            <w:webHidden/>
          </w:rPr>
          <w:fldChar w:fldCharType="end"/>
        </w:r>
      </w:hyperlink>
    </w:p>
    <w:p w14:paraId="50D1D83E" w14:textId="364B75C5" w:rsidR="003770A1" w:rsidRDefault="003770A1">
      <w:pPr>
        <w:pStyle w:val="TOC2"/>
        <w:rPr>
          <w:rFonts w:asciiTheme="minorHAnsi" w:eastAsiaTheme="minorEastAsia" w:hAnsiTheme="minorHAnsi" w:cstheme="minorBidi"/>
          <w:sz w:val="22"/>
          <w:szCs w:val="22"/>
        </w:rPr>
      </w:pPr>
      <w:hyperlink w:anchor="_Toc96585574" w:history="1">
        <w:r w:rsidRPr="002140D5">
          <w:rPr>
            <w:rStyle w:val="Hyperlink"/>
            <w:rFonts w:eastAsia="Calibri"/>
            <w:lang w:eastAsia="en-US"/>
          </w:rPr>
          <w:t>International experience</w:t>
        </w:r>
        <w:r>
          <w:rPr>
            <w:webHidden/>
          </w:rPr>
          <w:tab/>
        </w:r>
        <w:r>
          <w:rPr>
            <w:webHidden/>
          </w:rPr>
          <w:fldChar w:fldCharType="begin"/>
        </w:r>
        <w:r>
          <w:rPr>
            <w:webHidden/>
          </w:rPr>
          <w:instrText xml:space="preserve"> PAGEREF _Toc96585574 \h </w:instrText>
        </w:r>
        <w:r>
          <w:rPr>
            <w:webHidden/>
          </w:rPr>
        </w:r>
        <w:r>
          <w:rPr>
            <w:webHidden/>
          </w:rPr>
          <w:fldChar w:fldCharType="separate"/>
        </w:r>
        <w:r>
          <w:rPr>
            <w:webHidden/>
          </w:rPr>
          <w:t>84</w:t>
        </w:r>
        <w:r>
          <w:rPr>
            <w:webHidden/>
          </w:rPr>
          <w:fldChar w:fldCharType="end"/>
        </w:r>
      </w:hyperlink>
    </w:p>
    <w:p w14:paraId="1D61B3F8" w14:textId="2864D470" w:rsidR="003770A1" w:rsidRDefault="003770A1">
      <w:pPr>
        <w:pStyle w:val="TOC1"/>
        <w:rPr>
          <w:rFonts w:asciiTheme="minorHAnsi" w:eastAsiaTheme="minorEastAsia" w:hAnsiTheme="minorHAnsi" w:cstheme="minorBidi"/>
          <w:b w:val="0"/>
          <w:sz w:val="22"/>
          <w:szCs w:val="22"/>
        </w:rPr>
      </w:pPr>
      <w:hyperlink w:anchor="_Toc96585575" w:history="1">
        <w:r w:rsidRPr="002140D5">
          <w:rPr>
            <w:rStyle w:val="Hyperlink"/>
            <w:rFonts w:eastAsia="Calibri"/>
            <w:lang w:eastAsia="en-US"/>
          </w:rPr>
          <w:t xml:space="preserve">CHAPTER 12 </w:t>
        </w:r>
        <w:r>
          <w:rPr>
            <w:rStyle w:val="Hyperlink"/>
            <w:rFonts w:eastAsia="Calibri"/>
            <w:lang w:eastAsia="en-US"/>
          </w:rPr>
          <w:tab/>
        </w:r>
        <w:r w:rsidRPr="002140D5">
          <w:rPr>
            <w:rStyle w:val="Hyperlink"/>
            <w:rFonts w:eastAsia="Calibri"/>
            <w:lang w:eastAsia="en-US"/>
          </w:rPr>
          <w:t>Dual income tax system</w:t>
        </w:r>
        <w:r>
          <w:rPr>
            <w:webHidden/>
          </w:rPr>
          <w:tab/>
        </w:r>
        <w:r>
          <w:rPr>
            <w:webHidden/>
          </w:rPr>
          <w:fldChar w:fldCharType="begin"/>
        </w:r>
        <w:r>
          <w:rPr>
            <w:webHidden/>
          </w:rPr>
          <w:instrText xml:space="preserve"> PAGEREF _Toc96585575 \h </w:instrText>
        </w:r>
        <w:r>
          <w:rPr>
            <w:webHidden/>
          </w:rPr>
        </w:r>
        <w:r>
          <w:rPr>
            <w:webHidden/>
          </w:rPr>
          <w:fldChar w:fldCharType="separate"/>
        </w:r>
        <w:r>
          <w:rPr>
            <w:webHidden/>
          </w:rPr>
          <w:t>86</w:t>
        </w:r>
        <w:r>
          <w:rPr>
            <w:webHidden/>
          </w:rPr>
          <w:fldChar w:fldCharType="end"/>
        </w:r>
      </w:hyperlink>
    </w:p>
    <w:p w14:paraId="4841E4B8" w14:textId="23E18CB0" w:rsidR="003770A1" w:rsidRDefault="003770A1">
      <w:pPr>
        <w:pStyle w:val="TOC2"/>
        <w:rPr>
          <w:rFonts w:asciiTheme="minorHAnsi" w:eastAsiaTheme="minorEastAsia" w:hAnsiTheme="minorHAnsi" w:cstheme="minorBidi"/>
          <w:sz w:val="22"/>
          <w:szCs w:val="22"/>
        </w:rPr>
      </w:pPr>
      <w:hyperlink w:anchor="_Toc96585576" w:history="1">
        <w:r w:rsidRPr="002140D5">
          <w:rPr>
            <w:rStyle w:val="Hyperlink"/>
            <w:rFonts w:eastAsia="Calibri"/>
            <w:lang w:eastAsia="en-US"/>
          </w:rPr>
          <w:t>Introduction</w:t>
        </w:r>
        <w:r>
          <w:rPr>
            <w:webHidden/>
          </w:rPr>
          <w:tab/>
        </w:r>
        <w:r>
          <w:rPr>
            <w:webHidden/>
          </w:rPr>
          <w:fldChar w:fldCharType="begin"/>
        </w:r>
        <w:r>
          <w:rPr>
            <w:webHidden/>
          </w:rPr>
          <w:instrText xml:space="preserve"> PAGEREF _Toc96585576 \h </w:instrText>
        </w:r>
        <w:r>
          <w:rPr>
            <w:webHidden/>
          </w:rPr>
        </w:r>
        <w:r>
          <w:rPr>
            <w:webHidden/>
          </w:rPr>
          <w:fldChar w:fldCharType="separate"/>
        </w:r>
        <w:r>
          <w:rPr>
            <w:webHidden/>
          </w:rPr>
          <w:t>86</w:t>
        </w:r>
        <w:r>
          <w:rPr>
            <w:webHidden/>
          </w:rPr>
          <w:fldChar w:fldCharType="end"/>
        </w:r>
      </w:hyperlink>
    </w:p>
    <w:p w14:paraId="22F04674" w14:textId="2D6390A3" w:rsidR="003770A1" w:rsidRDefault="003770A1">
      <w:pPr>
        <w:pStyle w:val="TOC2"/>
        <w:rPr>
          <w:rFonts w:asciiTheme="minorHAnsi" w:eastAsiaTheme="minorEastAsia" w:hAnsiTheme="minorHAnsi" w:cstheme="minorBidi"/>
          <w:sz w:val="22"/>
          <w:szCs w:val="22"/>
        </w:rPr>
      </w:pPr>
      <w:hyperlink w:anchor="_Toc96585577" w:history="1">
        <w:r w:rsidRPr="002140D5">
          <w:rPr>
            <w:rStyle w:val="Hyperlink"/>
            <w:rFonts w:eastAsia="Calibri"/>
            <w:lang w:eastAsia="en-US"/>
          </w:rPr>
          <w:t>Pros and cons</w:t>
        </w:r>
        <w:r>
          <w:rPr>
            <w:webHidden/>
          </w:rPr>
          <w:tab/>
        </w:r>
        <w:r>
          <w:rPr>
            <w:webHidden/>
          </w:rPr>
          <w:fldChar w:fldCharType="begin"/>
        </w:r>
        <w:r>
          <w:rPr>
            <w:webHidden/>
          </w:rPr>
          <w:instrText xml:space="preserve"> PAGEREF _Toc96585577 \h </w:instrText>
        </w:r>
        <w:r>
          <w:rPr>
            <w:webHidden/>
          </w:rPr>
        </w:r>
        <w:r>
          <w:rPr>
            <w:webHidden/>
          </w:rPr>
          <w:fldChar w:fldCharType="separate"/>
        </w:r>
        <w:r>
          <w:rPr>
            <w:webHidden/>
          </w:rPr>
          <w:t>90</w:t>
        </w:r>
        <w:r>
          <w:rPr>
            <w:webHidden/>
          </w:rPr>
          <w:fldChar w:fldCharType="end"/>
        </w:r>
      </w:hyperlink>
    </w:p>
    <w:p w14:paraId="76CBA149" w14:textId="60F0737D" w:rsidR="003770A1" w:rsidRDefault="003770A1">
      <w:pPr>
        <w:pStyle w:val="TOC1"/>
        <w:rPr>
          <w:rFonts w:asciiTheme="minorHAnsi" w:eastAsiaTheme="minorEastAsia" w:hAnsiTheme="minorHAnsi" w:cstheme="minorBidi"/>
          <w:b w:val="0"/>
          <w:sz w:val="22"/>
          <w:szCs w:val="22"/>
        </w:rPr>
      </w:pPr>
      <w:hyperlink w:anchor="_Toc96585578" w:history="1">
        <w:r w:rsidRPr="002140D5">
          <w:rPr>
            <w:rStyle w:val="Hyperlink"/>
          </w:rPr>
          <w:t>REFERENCES</w:t>
        </w:r>
        <w:r>
          <w:rPr>
            <w:webHidden/>
          </w:rPr>
          <w:tab/>
        </w:r>
        <w:r>
          <w:rPr>
            <w:webHidden/>
          </w:rPr>
          <w:fldChar w:fldCharType="begin"/>
        </w:r>
        <w:r>
          <w:rPr>
            <w:webHidden/>
          </w:rPr>
          <w:instrText xml:space="preserve"> PAGEREF _Toc96585578 \h </w:instrText>
        </w:r>
        <w:r>
          <w:rPr>
            <w:webHidden/>
          </w:rPr>
        </w:r>
        <w:r>
          <w:rPr>
            <w:webHidden/>
          </w:rPr>
          <w:fldChar w:fldCharType="separate"/>
        </w:r>
        <w:r>
          <w:rPr>
            <w:webHidden/>
          </w:rPr>
          <w:t>94</w:t>
        </w:r>
        <w:r>
          <w:rPr>
            <w:webHidden/>
          </w:rPr>
          <w:fldChar w:fldCharType="end"/>
        </w:r>
      </w:hyperlink>
    </w:p>
    <w:p w14:paraId="0B1757B2" w14:textId="7CF762DB" w:rsidR="002714FB" w:rsidRDefault="001448F7" w:rsidP="002714FB">
      <w:pPr>
        <w:sectPr w:rsidR="002714FB" w:rsidSect="00E73243">
          <w:headerReference w:type="even" r:id="rId17"/>
          <w:headerReference w:type="default" r:id="rId18"/>
          <w:headerReference w:type="first" r:id="rId19"/>
          <w:footerReference w:type="first" r:id="rId20"/>
          <w:type w:val="oddPage"/>
          <w:pgSz w:w="11906" w:h="16838" w:code="9"/>
          <w:pgMar w:top="1304" w:right="1558" w:bottom="1134" w:left="1559" w:header="720" w:footer="567" w:gutter="0"/>
          <w:cols w:space="720"/>
          <w:docGrid w:linePitch="326"/>
        </w:sectPr>
      </w:pPr>
      <w:r>
        <w:fldChar w:fldCharType="end"/>
      </w:r>
    </w:p>
    <w:p w14:paraId="29C94C76" w14:textId="06560400" w:rsidR="00600FCD" w:rsidRPr="00CE7498" w:rsidRDefault="00600FCD" w:rsidP="002714FB">
      <w:pPr>
        <w:pStyle w:val="Heading1-ExecutiveSummary"/>
        <w:pageBreakBefore w:val="0"/>
      </w:pPr>
      <w:bookmarkStart w:id="4" w:name="_Toc14174911"/>
      <w:bookmarkStart w:id="5" w:name="_Toc96585510"/>
      <w:bookmarkEnd w:id="3"/>
      <w:r w:rsidRPr="00CE7498">
        <w:lastRenderedPageBreak/>
        <w:t>E</w:t>
      </w:r>
      <w:r w:rsidR="00721C90">
        <w:t>XECUTIVE SUMMARY</w:t>
      </w:r>
      <w:bookmarkEnd w:id="5"/>
    </w:p>
    <w:p w14:paraId="1A64CA49" w14:textId="01D65C66" w:rsidR="00600FCD" w:rsidRPr="00600FCD" w:rsidRDefault="00600FCD" w:rsidP="00E75272">
      <w:pPr>
        <w:pStyle w:val="ListParagraph"/>
        <w:numPr>
          <w:ilvl w:val="0"/>
          <w:numId w:val="102"/>
        </w:numPr>
        <w:ind w:left="851" w:hanging="851"/>
      </w:pPr>
      <w:r w:rsidRPr="00600FCD">
        <w:t xml:space="preserve">This draft long-term insights briefing (LTIB) examines how New Zealand’s tax settings are likely to affect incentives </w:t>
      </w:r>
      <w:r w:rsidR="00464A08">
        <w:t xml:space="preserve">for firms </w:t>
      </w:r>
      <w:r w:rsidRPr="00600FCD">
        <w:t xml:space="preserve">to invest </w:t>
      </w:r>
      <w:r w:rsidR="003B1DD9">
        <w:t xml:space="preserve">into New Zealand </w:t>
      </w:r>
      <w:r w:rsidRPr="00600FCD">
        <w:t xml:space="preserve">and benchmarks New Zealand’s tax settings against those in other countries. Inland Revenue consulted on this </w:t>
      </w:r>
      <w:r w:rsidR="00EF6764">
        <w:t xml:space="preserve">proposal to base our LTIB on this </w:t>
      </w:r>
      <w:r w:rsidRPr="00600FCD">
        <w:t xml:space="preserve">topic in </w:t>
      </w:r>
      <w:r w:rsidR="000B7839" w:rsidRPr="00600FCD">
        <w:t>August</w:t>
      </w:r>
      <w:r w:rsidR="000B7839">
        <w:t> </w:t>
      </w:r>
      <w:r w:rsidRPr="00600FCD">
        <w:t>2021</w:t>
      </w:r>
      <w:r w:rsidR="00702353">
        <w:t xml:space="preserve">. </w:t>
      </w:r>
      <w:r w:rsidR="0005467B">
        <w:t>S</w:t>
      </w:r>
      <w:r w:rsidRPr="00600FCD">
        <w:t>ubmissions were mainly supportive of the proposal.</w:t>
      </w:r>
    </w:p>
    <w:p w14:paraId="27B11D26" w14:textId="33449334" w:rsidR="00600FCD" w:rsidRPr="00600FCD" w:rsidRDefault="00600FCD" w:rsidP="00E75272">
      <w:pPr>
        <w:pStyle w:val="ListParagraph"/>
        <w:numPr>
          <w:ilvl w:val="0"/>
          <w:numId w:val="102"/>
        </w:numPr>
        <w:ind w:left="851" w:hanging="851"/>
      </w:pPr>
      <w:r w:rsidRPr="00600FCD">
        <w:t>Compared to other OECD countries</w:t>
      </w:r>
      <w:r w:rsidR="00A14645">
        <w:t>,</w:t>
      </w:r>
      <w:r w:rsidRPr="00600FCD">
        <w:t xml:space="preserve"> New Zealand appears to have relatively high taxes on inbound investment. These taxes are likely to mean higher costs of capital (or hurdle rates of return) for investment into New Zealand than </w:t>
      </w:r>
      <w:r w:rsidR="0027017E">
        <w:t xml:space="preserve">for </w:t>
      </w:r>
      <w:r w:rsidR="0064477D">
        <w:t xml:space="preserve">investment into </w:t>
      </w:r>
      <w:r w:rsidRPr="00600FCD">
        <w:t xml:space="preserve">most other OECD countries. </w:t>
      </w:r>
      <w:r w:rsidR="00BE14AB">
        <w:t>High taxes on inbound investment</w:t>
      </w:r>
      <w:r w:rsidRPr="00600FCD">
        <w:t xml:space="preserve"> ha</w:t>
      </w:r>
      <w:r w:rsidR="00686B57">
        <w:t>ve</w:t>
      </w:r>
      <w:r w:rsidRPr="00600FCD">
        <w:t xml:space="preserve"> the potential to </w:t>
      </w:r>
      <w:r w:rsidR="00A12608">
        <w:t xml:space="preserve">reduce economic efficiency by </w:t>
      </w:r>
      <w:r w:rsidR="00A008F0">
        <w:t>reducing</w:t>
      </w:r>
      <w:r w:rsidRPr="00600FCD">
        <w:t xml:space="preserve"> New Zealand’s capital stock and labour productivity.</w:t>
      </w:r>
    </w:p>
    <w:p w14:paraId="50B81159" w14:textId="6A5AFF9B" w:rsidR="00600FCD" w:rsidRPr="00600FCD" w:rsidRDefault="00600FCD" w:rsidP="00E75272">
      <w:pPr>
        <w:pStyle w:val="ListParagraph"/>
        <w:numPr>
          <w:ilvl w:val="0"/>
          <w:numId w:val="102"/>
        </w:numPr>
        <w:ind w:left="851" w:hanging="851"/>
      </w:pPr>
      <w:r w:rsidRPr="00600FCD">
        <w:t>Variability in costs of capital across different types of assets or for investment into New Zealand that is financed in different ways also has the potential to reduc</w:t>
      </w:r>
      <w:r w:rsidR="00D42C8B">
        <w:t>e</w:t>
      </w:r>
      <w:r w:rsidRPr="00600FCD">
        <w:t xml:space="preserve"> productivity.</w:t>
      </w:r>
    </w:p>
    <w:p w14:paraId="407E554E" w14:textId="249429EE" w:rsidR="00600FCD" w:rsidRPr="00600FCD" w:rsidRDefault="00600FCD" w:rsidP="00E75272">
      <w:pPr>
        <w:pStyle w:val="ListParagraph"/>
        <w:numPr>
          <w:ilvl w:val="0"/>
          <w:numId w:val="102"/>
        </w:numPr>
        <w:ind w:left="851" w:hanging="851"/>
      </w:pPr>
      <w:r w:rsidRPr="00600FCD">
        <w:t>This draft LTIB aims to help build up an understanding of how taxes on inbound investment can combine to affect incentives to invest in New Zealand. The analysis is underpinned by modelling the costs of capital and effective marginal tax rates when taking into account the combined effects of company tax rates, depreciation provisions, special tax incentives</w:t>
      </w:r>
      <w:r w:rsidR="004753C4">
        <w:t>,</w:t>
      </w:r>
      <w:r w:rsidRPr="00600FCD">
        <w:t xml:space="preserve"> such as the research and development tax credit, and withholding taxes</w:t>
      </w:r>
      <w:r w:rsidR="003304F0">
        <w:t>. It does so</w:t>
      </w:r>
      <w:r w:rsidRPr="00600FCD">
        <w:t xml:space="preserve"> for investment </w:t>
      </w:r>
      <w:r w:rsidR="003E269B">
        <w:t>that</w:t>
      </w:r>
      <w:r w:rsidRPr="00600FCD">
        <w:t xml:space="preserve"> can be financed using different proportions of debt and equity.</w:t>
      </w:r>
    </w:p>
    <w:p w14:paraId="68C7C1E6" w14:textId="631967F3" w:rsidR="00600FCD" w:rsidRPr="00600FCD" w:rsidRDefault="00600FCD" w:rsidP="00E75272">
      <w:pPr>
        <w:pStyle w:val="ListParagraph"/>
        <w:numPr>
          <w:ilvl w:val="0"/>
          <w:numId w:val="102"/>
        </w:numPr>
        <w:ind w:left="851" w:hanging="851"/>
      </w:pPr>
      <w:r w:rsidRPr="00600FCD">
        <w:t>The draft LTIB suggests that</w:t>
      </w:r>
      <w:r w:rsidR="00643D87">
        <w:t>,</w:t>
      </w:r>
      <w:r w:rsidRPr="00600FCD">
        <w:t xml:space="preserve"> despite New Zealand’s broad-based income tax settings, there is likely to be considerable variability in costs of capital. This variability </w:t>
      </w:r>
      <w:r w:rsidR="003304F0">
        <w:t xml:space="preserve">is </w:t>
      </w:r>
      <w:r w:rsidRPr="00600FCD">
        <w:t>increase</w:t>
      </w:r>
      <w:r w:rsidR="003304F0">
        <w:t>d</w:t>
      </w:r>
      <w:r w:rsidRPr="00600FCD">
        <w:t xml:space="preserve"> significantly by quite small levels of inflation</w:t>
      </w:r>
      <w:r w:rsidR="00F95BCE">
        <w:t>,</w:t>
      </w:r>
      <w:r w:rsidRPr="00600FCD">
        <w:t xml:space="preserve"> especially when interest rates are low.</w:t>
      </w:r>
    </w:p>
    <w:p w14:paraId="5266882B" w14:textId="75EE6F63" w:rsidR="00600FCD" w:rsidRPr="00600FCD" w:rsidRDefault="00600FCD" w:rsidP="00E75272">
      <w:pPr>
        <w:pStyle w:val="ListParagraph"/>
        <w:numPr>
          <w:ilvl w:val="0"/>
          <w:numId w:val="102"/>
        </w:numPr>
        <w:ind w:left="851" w:hanging="851"/>
      </w:pPr>
      <w:r w:rsidRPr="00600FCD">
        <w:t xml:space="preserve">There are likely to be ongoing questions about whether New Zealand should change its business tax settings in ways </w:t>
      </w:r>
      <w:r w:rsidR="00F95BCE">
        <w:t>that</w:t>
      </w:r>
      <w:r w:rsidRPr="00600FCD">
        <w:t xml:space="preserve"> lower costs of capital and make them more neutral</w:t>
      </w:r>
      <w:r w:rsidR="00702353">
        <w:t xml:space="preserve">. </w:t>
      </w:r>
      <w:r w:rsidRPr="00600FCD">
        <w:t xml:space="preserve">Whether to lower costs of capital is a difficult issue because measures </w:t>
      </w:r>
      <w:r w:rsidR="0030131E">
        <w:t>that</w:t>
      </w:r>
      <w:r w:rsidRPr="00600FCD">
        <w:t xml:space="preserve"> do so will normally have a fiscal cost and may often reduce the progressivity of personal income taxes. They can also at times provide windfalls to those who have invested in the past or to those who would invest in New Zealand </w:t>
      </w:r>
      <w:r w:rsidR="003A4ABD">
        <w:t xml:space="preserve">regardless of </w:t>
      </w:r>
      <w:r w:rsidRPr="00600FCD">
        <w:t>whether taxes were cut.</w:t>
      </w:r>
    </w:p>
    <w:p w14:paraId="4282BDE0" w14:textId="7C58BAC4" w:rsidR="00600FCD" w:rsidRPr="00600FCD" w:rsidRDefault="00600FCD" w:rsidP="00E75272">
      <w:pPr>
        <w:pStyle w:val="ListParagraph"/>
        <w:numPr>
          <w:ilvl w:val="0"/>
          <w:numId w:val="102"/>
        </w:numPr>
        <w:ind w:left="851" w:hanging="851"/>
      </w:pPr>
      <w:r w:rsidRPr="00600FCD">
        <w:t xml:space="preserve">Changing the way in which businesses are taxed will always be a vexed issue. As well as the direct impact of any changes on business investment and productivity and growth, complex issues </w:t>
      </w:r>
      <w:r w:rsidR="002A5174">
        <w:t>arise</w:t>
      </w:r>
      <w:r w:rsidRPr="00600FCD">
        <w:t xml:space="preserve"> about how the tax system as a whole fits together and, ultimately, whether </w:t>
      </w:r>
      <w:r w:rsidR="0093264A">
        <w:t>i</w:t>
      </w:r>
      <w:r w:rsidRPr="00600FCD">
        <w:t>t is fair. Questions of how to improve economic efficiency will be important but so too will questions of fairness</w:t>
      </w:r>
      <w:r w:rsidR="006541F2">
        <w:t>,</w:t>
      </w:r>
      <w:r w:rsidRPr="00600FCD">
        <w:t xml:space="preserve"> as well as whether the business tax system is providing a robust source of revenue to finance government spending.</w:t>
      </w:r>
    </w:p>
    <w:p w14:paraId="2CBB1590" w14:textId="2B778176" w:rsidR="00600FCD" w:rsidRPr="00600FCD" w:rsidRDefault="00600FCD" w:rsidP="00E75272">
      <w:pPr>
        <w:pStyle w:val="ListParagraph"/>
        <w:numPr>
          <w:ilvl w:val="0"/>
          <w:numId w:val="102"/>
        </w:numPr>
        <w:ind w:left="851" w:hanging="851"/>
      </w:pPr>
      <w:r w:rsidRPr="00600FCD">
        <w:t xml:space="preserve">When considering whether to change the business tax system and how best to change it if change is deemed desirable, there will always be </w:t>
      </w:r>
      <w:r w:rsidR="003634D3">
        <w:t>difficult</w:t>
      </w:r>
      <w:r w:rsidRPr="00600FCD">
        <w:t xml:space="preserve"> trade-offs to consider. These are likely to be ongoing issues for future governments.</w:t>
      </w:r>
    </w:p>
    <w:p w14:paraId="20371154" w14:textId="22AE6269" w:rsidR="00600FCD" w:rsidRPr="00600FCD" w:rsidRDefault="00600FCD" w:rsidP="00E75272">
      <w:pPr>
        <w:pStyle w:val="ListParagraph"/>
        <w:numPr>
          <w:ilvl w:val="0"/>
          <w:numId w:val="102"/>
        </w:numPr>
        <w:ind w:left="851" w:hanging="851"/>
      </w:pPr>
      <w:r w:rsidRPr="00600FCD">
        <w:t>The aim of this draft LTIB is to initiate a process of discussion on these sorts of issue</w:t>
      </w:r>
      <w:r w:rsidR="00AA6305">
        <w:t>s</w:t>
      </w:r>
      <w:r w:rsidRPr="00600FCD">
        <w:t xml:space="preserve">. It considers </w:t>
      </w:r>
      <w:r w:rsidR="00310B57">
        <w:t>several</w:t>
      </w:r>
      <w:r w:rsidRPr="00600FCD">
        <w:t xml:space="preserve"> possible tax changes, namely:</w:t>
      </w:r>
    </w:p>
    <w:p w14:paraId="7BA07916" w14:textId="77777777" w:rsidR="00600FCD" w:rsidRPr="00600FCD" w:rsidRDefault="00600FCD" w:rsidP="00075D72">
      <w:pPr>
        <w:pStyle w:val="NumberedParagraph-BulletL1"/>
      </w:pPr>
      <w:r w:rsidRPr="00600FCD">
        <w:t>a cut in the company tax rate</w:t>
      </w:r>
    </w:p>
    <w:p w14:paraId="56523C53" w14:textId="77777777" w:rsidR="00600FCD" w:rsidRPr="00600FCD" w:rsidRDefault="00600FCD" w:rsidP="00075D72">
      <w:pPr>
        <w:pStyle w:val="NumberedParagraph-BulletL1"/>
      </w:pPr>
      <w:r w:rsidRPr="00600FCD">
        <w:t>accelerated depreciation provisions</w:t>
      </w:r>
    </w:p>
    <w:p w14:paraId="2BE11565" w14:textId="77777777" w:rsidR="00600FCD" w:rsidRPr="00600FCD" w:rsidRDefault="00600FCD" w:rsidP="00075D72">
      <w:pPr>
        <w:pStyle w:val="NumberedParagraph-BulletL1"/>
      </w:pPr>
      <w:r w:rsidRPr="00600FCD">
        <w:lastRenderedPageBreak/>
        <w:t>inflation indexation of the tax base</w:t>
      </w:r>
    </w:p>
    <w:p w14:paraId="74FE83FA" w14:textId="77777777" w:rsidR="00600FCD" w:rsidRPr="00600FCD" w:rsidRDefault="00600FCD" w:rsidP="00075D72">
      <w:pPr>
        <w:pStyle w:val="NumberedParagraph-BulletL1"/>
      </w:pPr>
      <w:r w:rsidRPr="00600FCD">
        <w:t>a higher thin capitalisation rule safe harbour</w:t>
      </w:r>
    </w:p>
    <w:p w14:paraId="631A082D" w14:textId="77777777" w:rsidR="00600FCD" w:rsidRPr="00600FCD" w:rsidRDefault="00600FCD" w:rsidP="00075D72">
      <w:pPr>
        <w:pStyle w:val="NumberedParagraph-BulletL1"/>
      </w:pPr>
      <w:r w:rsidRPr="00600FCD">
        <w:t>an allowance for corporate equity</w:t>
      </w:r>
    </w:p>
    <w:p w14:paraId="78B89803" w14:textId="074A2AEB" w:rsidR="00600FCD" w:rsidRPr="00600FCD" w:rsidRDefault="00600FCD" w:rsidP="00075D72">
      <w:pPr>
        <w:pStyle w:val="NumberedParagraph-BulletL1"/>
      </w:pPr>
      <w:r w:rsidRPr="00600FCD">
        <w:t>special industry-specific or firm-specific incentives</w:t>
      </w:r>
      <w:r w:rsidR="004B27F4">
        <w:t>, and</w:t>
      </w:r>
    </w:p>
    <w:p w14:paraId="5CAC99FB" w14:textId="435D2DD2" w:rsidR="00600FCD" w:rsidRPr="00600FCD" w:rsidRDefault="00600FCD" w:rsidP="00075D72">
      <w:pPr>
        <w:pStyle w:val="NumberedParagraph-BulletL1"/>
      </w:pPr>
      <w:r w:rsidRPr="00600FCD">
        <w:t>a dual income tax system</w:t>
      </w:r>
      <w:r w:rsidR="004B27F4">
        <w:t>.</w:t>
      </w:r>
    </w:p>
    <w:p w14:paraId="612795F6" w14:textId="623A7492" w:rsidR="00C161A6" w:rsidRDefault="00600FCD" w:rsidP="00E75272">
      <w:pPr>
        <w:pStyle w:val="ListParagraph"/>
        <w:numPr>
          <w:ilvl w:val="0"/>
          <w:numId w:val="102"/>
        </w:numPr>
        <w:ind w:left="851" w:hanging="851"/>
      </w:pPr>
      <w:r w:rsidRPr="00600FCD">
        <w:t xml:space="preserve">These measures </w:t>
      </w:r>
      <w:r w:rsidR="001854C3">
        <w:t>are possible</w:t>
      </w:r>
      <w:r w:rsidRPr="00600FCD">
        <w:t xml:space="preserve"> ways of lowering costs of capital</w:t>
      </w:r>
      <w:r w:rsidR="00122C70">
        <w:t xml:space="preserve"> and some of these </w:t>
      </w:r>
      <w:r w:rsidR="004E51C7">
        <w:t>can also promote tax neutrality</w:t>
      </w:r>
      <w:r w:rsidRPr="00600FCD">
        <w:t xml:space="preserve">. There is unlikely to be a single </w:t>
      </w:r>
      <w:r w:rsidR="00B93E38">
        <w:t>‘</w:t>
      </w:r>
      <w:r w:rsidRPr="00600FCD">
        <w:t>best option</w:t>
      </w:r>
      <w:r w:rsidR="00B93E38">
        <w:t>’</w:t>
      </w:r>
      <w:r w:rsidRPr="00600FCD">
        <w:t>. Choices between the options will ultimately depend on the weightings that are given to different possible objectives of reforms. Feasible options are likely to depend on some quite difficult questions about the sorts of tax instruments that are desirable for New Zealand</w:t>
      </w:r>
      <w:r w:rsidR="003861E3">
        <w:t>.</w:t>
      </w:r>
    </w:p>
    <w:p w14:paraId="0A650FF9" w14:textId="588B832E" w:rsidR="00062E42" w:rsidRDefault="00551578" w:rsidP="00E75272">
      <w:pPr>
        <w:pStyle w:val="ListParagraph"/>
        <w:numPr>
          <w:ilvl w:val="0"/>
          <w:numId w:val="102"/>
        </w:numPr>
        <w:ind w:left="851" w:hanging="851"/>
      </w:pPr>
      <w:r>
        <w:t xml:space="preserve">The analysis in this draft LTIB is supported by </w:t>
      </w:r>
      <w:r w:rsidR="00C56727" w:rsidRPr="00586800">
        <w:rPr>
          <w:rStyle w:val="Emphasis"/>
        </w:rPr>
        <w:t>Tax, foreign investment and productivity</w:t>
      </w:r>
      <w:r w:rsidR="00C56727">
        <w:rPr>
          <w:rStyle w:val="Emphasis"/>
        </w:rPr>
        <w:t xml:space="preserve">: </w:t>
      </w:r>
      <w:r w:rsidR="00901C61">
        <w:rPr>
          <w:rStyle w:val="Emphasis"/>
        </w:rPr>
        <w:t>T</w:t>
      </w:r>
      <w:r w:rsidR="00C56727" w:rsidRPr="00586800">
        <w:rPr>
          <w:rStyle w:val="Emphasis"/>
        </w:rPr>
        <w:t>echnical appendices to support Inland Revenue’s draft long-term insights briefing (LTIB)</w:t>
      </w:r>
      <w:r w:rsidR="0018346C">
        <w:rPr>
          <w:rStyle w:val="Emphasis"/>
        </w:rPr>
        <w:t xml:space="preserve">, </w:t>
      </w:r>
      <w:r w:rsidR="00CB0679">
        <w:t>Inland Revenue</w:t>
      </w:r>
      <w:r w:rsidR="0018346C">
        <w:t xml:space="preserve"> (2022)</w:t>
      </w:r>
      <w:r w:rsidR="00655DE7">
        <w:t xml:space="preserve"> </w:t>
      </w:r>
      <w:r w:rsidR="00D76280">
        <w:t>(</w:t>
      </w:r>
      <w:r w:rsidR="00655DE7">
        <w:rPr>
          <w:i/>
          <w:iCs/>
        </w:rPr>
        <w:t>Technical appendices</w:t>
      </w:r>
      <w:r w:rsidR="00470154" w:rsidRPr="00600A33">
        <w:t>)</w:t>
      </w:r>
      <w:r w:rsidR="00705648">
        <w:t>.</w:t>
      </w:r>
      <w:r w:rsidR="00705648">
        <w:rPr>
          <w:rStyle w:val="FootnoteReference"/>
        </w:rPr>
        <w:footnoteReference w:id="2"/>
      </w:r>
    </w:p>
    <w:p w14:paraId="61420EB8" w14:textId="514AF466" w:rsidR="005926BD" w:rsidRPr="00CE7498" w:rsidRDefault="00600FCD" w:rsidP="00586800">
      <w:pPr>
        <w:pStyle w:val="ListParagraph"/>
        <w:numPr>
          <w:ilvl w:val="0"/>
          <w:numId w:val="102"/>
        </w:numPr>
        <w:ind w:left="851" w:hanging="851"/>
      </w:pPr>
      <w:r w:rsidRPr="00CE7498">
        <w:t>The aim of this draft LTIB is to start a conversation on what people see as the most important objectives for reform and whether particular reforms are worth considering further. The closing date for submissions is Thursday, 14 April 2022.</w:t>
      </w:r>
    </w:p>
    <w:bookmarkEnd w:id="4"/>
    <w:p w14:paraId="329C9610" w14:textId="0B90D50F" w:rsidR="007E5A62" w:rsidRDefault="00124931" w:rsidP="004B1C56">
      <w:pPr>
        <w:pStyle w:val="Heading1"/>
        <w:numPr>
          <w:ilvl w:val="0"/>
          <w:numId w:val="64"/>
        </w:numPr>
      </w:pPr>
      <w:r w:rsidRPr="00C161A6">
        <w:lastRenderedPageBreak/>
        <w:br/>
      </w:r>
      <w:r w:rsidRPr="00C161A6">
        <w:br/>
      </w:r>
      <w:bookmarkStart w:id="6" w:name="_Toc96585511"/>
      <w:r w:rsidRPr="00C161A6">
        <w:t>Introduction</w:t>
      </w:r>
      <w:bookmarkEnd w:id="6"/>
    </w:p>
    <w:tbl>
      <w:tblPr>
        <w:tblStyle w:val="SummaryBox"/>
        <w:tblW w:w="0" w:type="auto"/>
        <w:tblLayout w:type="fixed"/>
        <w:tblLook w:val="04A0" w:firstRow="1" w:lastRow="0" w:firstColumn="1" w:lastColumn="0" w:noHBand="0" w:noVBand="1"/>
      </w:tblPr>
      <w:tblGrid>
        <w:gridCol w:w="8778"/>
      </w:tblGrid>
      <w:tr w:rsidR="009A65A8" w:rsidRPr="00916874" w14:paraId="0BD2AADC" w14:textId="77777777" w:rsidTr="007D07BC">
        <w:tc>
          <w:tcPr>
            <w:tcW w:w="8778" w:type="dxa"/>
          </w:tcPr>
          <w:p w14:paraId="765C5B68" w14:textId="77777777" w:rsidR="009A65A8" w:rsidRPr="00916874" w:rsidRDefault="009A65A8" w:rsidP="00597B6B">
            <w:pPr>
              <w:pStyle w:val="ListBullet"/>
            </w:pPr>
            <w:r w:rsidRPr="00916874">
              <w:t>Inland Revenue is required to produce a long-term insights briefing (LTIB) at least once every three years.</w:t>
            </w:r>
          </w:p>
          <w:p w14:paraId="502B99D2" w14:textId="77777777" w:rsidR="009A65A8" w:rsidRPr="00916874" w:rsidRDefault="009A65A8" w:rsidP="00597B6B">
            <w:pPr>
              <w:pStyle w:val="ListBullet"/>
            </w:pPr>
            <w:r w:rsidRPr="00916874">
              <w:t>This is Inland Revenue’s first LTIB.</w:t>
            </w:r>
          </w:p>
          <w:p w14:paraId="33B8DCA4" w14:textId="58613EA0" w:rsidR="009A65A8" w:rsidRPr="00916874" w:rsidRDefault="009A65A8" w:rsidP="00597B6B">
            <w:pPr>
              <w:pStyle w:val="ListBullet"/>
            </w:pPr>
            <w:r w:rsidRPr="00916874">
              <w:t xml:space="preserve">It examines how </w:t>
            </w:r>
            <w:r w:rsidR="00D84931">
              <w:t>New Zealand’s</w:t>
            </w:r>
            <w:r w:rsidRPr="00916874">
              <w:t xml:space="preserve"> tax settings are likely to affect incentives to invest and benchmarks </w:t>
            </w:r>
            <w:r w:rsidR="001D6EDB">
              <w:t>our</w:t>
            </w:r>
            <w:r w:rsidRPr="00916874">
              <w:t xml:space="preserve"> tax settings against those in other countries.</w:t>
            </w:r>
          </w:p>
          <w:p w14:paraId="55F540C4" w14:textId="77777777" w:rsidR="009A65A8" w:rsidRPr="00916874" w:rsidRDefault="009A65A8" w:rsidP="00597B6B">
            <w:pPr>
              <w:pStyle w:val="ListBullet"/>
            </w:pPr>
            <w:r w:rsidRPr="00916874">
              <w:t>Concerns have been raised for many years about New Zealand’s relatively weak economic performance and the LTIB questions whether New Zealand’s tax settings might be a contributing factor.</w:t>
            </w:r>
          </w:p>
          <w:p w14:paraId="3CC27A17" w14:textId="2CB311F6" w:rsidR="009A65A8" w:rsidRPr="00916874" w:rsidRDefault="009A65A8" w:rsidP="00597B6B">
            <w:pPr>
              <w:pStyle w:val="ListBullet"/>
            </w:pPr>
            <w:r w:rsidRPr="00916874">
              <w:t xml:space="preserve">It examines </w:t>
            </w:r>
            <w:r w:rsidR="008465CB">
              <w:t xml:space="preserve">the </w:t>
            </w:r>
            <w:r w:rsidRPr="00916874">
              <w:t>pros and cons of some possible reform options.</w:t>
            </w:r>
          </w:p>
        </w:tc>
      </w:tr>
    </w:tbl>
    <w:p w14:paraId="66AADFEA" w14:textId="2055BB91" w:rsidR="00916874" w:rsidRPr="00F133F7" w:rsidRDefault="00916874" w:rsidP="00075D72">
      <w:pPr>
        <w:pStyle w:val="NumberedParagraph"/>
        <w:numPr>
          <w:ilvl w:val="1"/>
          <w:numId w:val="64"/>
        </w:numPr>
      </w:pPr>
      <w:r w:rsidRPr="00F133F7">
        <w:t xml:space="preserve">New Zealand’s poor productivity performance has been a longstanding concern. International tax reviews and the work of other agencies have often highlighted tax and its impact on investment as an important factor affecting productivity and economic performance. Despite other public sector work on productivity, no broad analysis has been undertaken of how New Zealand’s tax settings compare with </w:t>
      </w:r>
      <w:r w:rsidR="00A52069">
        <w:t xml:space="preserve">those of </w:t>
      </w:r>
      <w:r w:rsidRPr="00F133F7">
        <w:t>other countries, whether the settings are likely to be having a relatively large effect on investment and/or whether this might be contributing to New Zealand’s weak productivity performance.</w:t>
      </w:r>
    </w:p>
    <w:p w14:paraId="445CF50A" w14:textId="77777777" w:rsidR="00916874" w:rsidRPr="00916874" w:rsidRDefault="00916874" w:rsidP="00075D72">
      <w:pPr>
        <w:pStyle w:val="NumberedParagraph"/>
        <w:numPr>
          <w:ilvl w:val="1"/>
          <w:numId w:val="64"/>
        </w:numPr>
      </w:pPr>
      <w:r w:rsidRPr="00916874">
        <w:t>Questions of how best to address weak productivity and poor economic performance are complex, and there is unlikely to be a single ‘silver bullet’. Many other important productivity issues could be considered including:</w:t>
      </w:r>
    </w:p>
    <w:p w14:paraId="2AB336C2" w14:textId="77777777" w:rsidR="00916874" w:rsidRPr="00916874" w:rsidRDefault="00916874" w:rsidP="00075D72">
      <w:pPr>
        <w:pStyle w:val="NumberedParagraph-BulletL1"/>
        <w:numPr>
          <w:ilvl w:val="2"/>
          <w:numId w:val="64"/>
        </w:numPr>
      </w:pPr>
      <w:r w:rsidRPr="00916874">
        <w:t>competition policy and the degree of monopoly power</w:t>
      </w:r>
    </w:p>
    <w:p w14:paraId="38487C4E" w14:textId="77777777" w:rsidR="00916874" w:rsidRPr="00916874" w:rsidRDefault="00916874" w:rsidP="00075D72">
      <w:pPr>
        <w:pStyle w:val="NumberedParagraph-BulletL1"/>
        <w:numPr>
          <w:ilvl w:val="2"/>
          <w:numId w:val="64"/>
        </w:numPr>
      </w:pPr>
      <w:r w:rsidRPr="00916874">
        <w:t>migration settings and incentives for firms to invest in productivity-improving technology or to bring in cheaper labour, and</w:t>
      </w:r>
    </w:p>
    <w:p w14:paraId="4FD58F48" w14:textId="77777777" w:rsidR="00916874" w:rsidRPr="00916874" w:rsidRDefault="00916874" w:rsidP="00075D72">
      <w:pPr>
        <w:pStyle w:val="NumberedParagraph-BulletL1"/>
        <w:numPr>
          <w:ilvl w:val="2"/>
          <w:numId w:val="64"/>
        </w:numPr>
      </w:pPr>
      <w:r w:rsidRPr="00916874">
        <w:t>broader policy settings, which may affect the housing market and incentives to invest there.</w:t>
      </w:r>
    </w:p>
    <w:p w14:paraId="4EE699EB" w14:textId="6F7D6093" w:rsidR="00916874" w:rsidRPr="00916874" w:rsidRDefault="00916874" w:rsidP="00075D72">
      <w:pPr>
        <w:pStyle w:val="NumberedParagraph"/>
        <w:numPr>
          <w:ilvl w:val="1"/>
          <w:numId w:val="64"/>
        </w:numPr>
      </w:pPr>
      <w:r w:rsidRPr="00916874">
        <w:t xml:space="preserve">While there are likely to be many channels through which taxes affect productivity, one that may have an important influence is tax on </w:t>
      </w:r>
      <w:r w:rsidR="007967A9">
        <w:t xml:space="preserve">inbound </w:t>
      </w:r>
      <w:r w:rsidRPr="00916874">
        <w:t>investment.</w:t>
      </w:r>
    </w:p>
    <w:p w14:paraId="7FABA143" w14:textId="16B06B5D" w:rsidR="00916874" w:rsidRPr="00916874" w:rsidRDefault="00916874" w:rsidP="00075D72">
      <w:pPr>
        <w:pStyle w:val="NumberedParagraph"/>
        <w:numPr>
          <w:ilvl w:val="1"/>
          <w:numId w:val="64"/>
        </w:numPr>
      </w:pPr>
      <w:r w:rsidRPr="00916874">
        <w:t>In its August 2021 scoping paper, Inland Revenue proposed that its 2022 LTIB should focus on tax, investment and productivity.</w:t>
      </w:r>
      <w:r w:rsidRPr="00916874">
        <w:rPr>
          <w:vertAlign w:val="superscript"/>
        </w:rPr>
        <w:footnoteReference w:id="3"/>
      </w:r>
      <w:r w:rsidRPr="00916874">
        <w:t xml:space="preserve"> Submissions received were mainly supportive of this suggestion and we are proceeding with this topic.</w:t>
      </w:r>
    </w:p>
    <w:p w14:paraId="76567FD2" w14:textId="77777777" w:rsidR="00916874" w:rsidRPr="00916874" w:rsidRDefault="00916874" w:rsidP="00075D72">
      <w:pPr>
        <w:pStyle w:val="NumberedParagraph"/>
        <w:numPr>
          <w:ilvl w:val="1"/>
          <w:numId w:val="64"/>
        </w:numPr>
      </w:pPr>
      <w:r w:rsidRPr="00916874">
        <w:t>This is a first draft of the 2022 LTIB. We are seeking further input from the public on this draft LTIB. After consultation, Inland Revenue will prepare a final LTIB that should be presented to Select Committee early in the second half of 2022.</w:t>
      </w:r>
    </w:p>
    <w:p w14:paraId="6F729E7C" w14:textId="79F2F780" w:rsidR="00916874" w:rsidRPr="00916874" w:rsidRDefault="00916874" w:rsidP="00075D72">
      <w:pPr>
        <w:pStyle w:val="NumberedParagraph"/>
        <w:numPr>
          <w:ilvl w:val="1"/>
          <w:numId w:val="64"/>
        </w:numPr>
      </w:pPr>
      <w:bookmarkStart w:id="7" w:name="_Hlk94703759"/>
      <w:r w:rsidRPr="00916874">
        <w:lastRenderedPageBreak/>
        <w:t xml:space="preserve">Other agencies are also looking at productivity issues in their LTIBs, for example, the Ministry of Business, Innovation and Employment’s LTIB entitled </w:t>
      </w:r>
      <w:r w:rsidRPr="00075D72">
        <w:rPr>
          <w:i/>
          <w:iCs/>
        </w:rPr>
        <w:t>The future of business for Aotearoa New Zealand</w:t>
      </w:r>
      <w:r w:rsidRPr="00916874">
        <w:t>.</w:t>
      </w:r>
      <w:r w:rsidRPr="00841507">
        <w:rPr>
          <w:vertAlign w:val="superscript"/>
        </w:rPr>
        <w:footnoteReference w:id="4"/>
      </w:r>
      <w:r w:rsidRPr="00916874">
        <w:t xml:space="preserve"> Our LTIB is narrower</w:t>
      </w:r>
      <w:r w:rsidR="009A0D45">
        <w:t xml:space="preserve"> in scope</w:t>
      </w:r>
      <w:r w:rsidRPr="00916874">
        <w:t>, but it aims to be complementary to, and supportive of, other work in this area.</w:t>
      </w:r>
    </w:p>
    <w:bookmarkEnd w:id="7"/>
    <w:p w14:paraId="1B36FD5A" w14:textId="0EDE5030" w:rsidR="00916874" w:rsidRPr="00916874" w:rsidRDefault="00916874" w:rsidP="00075D72">
      <w:pPr>
        <w:pStyle w:val="NumberedParagraph"/>
        <w:numPr>
          <w:ilvl w:val="1"/>
          <w:numId w:val="64"/>
        </w:numPr>
      </w:pPr>
      <w:r w:rsidRPr="00916874">
        <w:t>Work on this topic has been facilitated by work at the OECD that allows us to benchmark how tax provisions are likely to be affecting costs of capital in New Zealand and in other OECD countries. Costs of capital are hurdle rates of return. New Zealand’s investment demand exceeds the pool of domestic savings of domestic residents</w:t>
      </w:r>
      <w:r w:rsidR="00023397">
        <w:t>,</w:t>
      </w:r>
      <w:r w:rsidRPr="00916874">
        <w:t xml:space="preserve"> so we rely to a considerable extent on imported capital to fund domestic investments. </w:t>
      </w:r>
      <w:r w:rsidR="002E23F9">
        <w:t>F</w:t>
      </w:r>
      <w:r w:rsidRPr="00916874">
        <w:t xml:space="preserve">or investing into New Zealand to be attractive, New Zealand investments will need to generate risk-adjusted returns net of New Zealand taxes </w:t>
      </w:r>
      <w:r w:rsidR="006E1D0C" w:rsidRPr="00916874">
        <w:t xml:space="preserve">comparable </w:t>
      </w:r>
      <w:r w:rsidRPr="00916874">
        <w:t xml:space="preserve">to what non-residents are able to obtain from investing in other countries. Costs of capital are the hurdle pre-tax rates of return </w:t>
      </w:r>
      <w:r w:rsidR="00681A4D">
        <w:t>that</w:t>
      </w:r>
      <w:r w:rsidRPr="00916874">
        <w:t xml:space="preserve"> will make investment in New Zealand marginal, that is, just worth undertaking. These will affect inbound investment into New Zealand and the level and composition of New Zealand’s capital stock.</w:t>
      </w:r>
    </w:p>
    <w:p w14:paraId="27A21461" w14:textId="63DB7B4C" w:rsidR="00916874" w:rsidRPr="00916874" w:rsidRDefault="00916874" w:rsidP="00075D72">
      <w:pPr>
        <w:pStyle w:val="NumberedParagraph"/>
        <w:numPr>
          <w:ilvl w:val="1"/>
          <w:numId w:val="64"/>
        </w:numPr>
      </w:pPr>
      <w:r w:rsidRPr="00916874">
        <w:t>Analysing costs of capital is helpful when considering how different possible tax change</w:t>
      </w:r>
      <w:r w:rsidR="00DB4900">
        <w:t>s</w:t>
      </w:r>
      <w:r w:rsidRPr="00916874">
        <w:t xml:space="preserve"> might affect incentives to invest in different assets</w:t>
      </w:r>
      <w:r w:rsidR="00854C5A">
        <w:t xml:space="preserve"> financed in different ways</w:t>
      </w:r>
      <w:r w:rsidRPr="00916874">
        <w:t>. It is also helpful when examining the likely effects, and pros and cons, of possible future business tax changes.</w:t>
      </w:r>
    </w:p>
    <w:p w14:paraId="0FF486F0" w14:textId="0DA6B857" w:rsidR="00916874" w:rsidRPr="00916874" w:rsidRDefault="00916874" w:rsidP="00075D72">
      <w:pPr>
        <w:pStyle w:val="NumberedParagraph"/>
        <w:numPr>
          <w:ilvl w:val="1"/>
          <w:numId w:val="64"/>
        </w:numPr>
      </w:pPr>
      <w:r w:rsidRPr="00916874">
        <w:t xml:space="preserve">The modelling in this paper is consistent with, and builds upon, many other international studies. These include the cost of capital and effective marginal tax rate (EMTR) analysis of the OECD. The EMTR is the proportion of the real pre-tax rate of return on a marginal investment that is lost in tax. For example, if a marginal investment earns a 4% real pre-tax rate of return but only earns 3% net of New Zealand taxes, its EMTR is 25% or (4% </w:t>
      </w:r>
      <w:r w:rsidR="0018019D">
        <w:t>−</w:t>
      </w:r>
      <w:r w:rsidRPr="00916874">
        <w:t xml:space="preserve"> 3%)/4%. We work with the OECD model and extend it in </w:t>
      </w:r>
      <w:r w:rsidR="00253756">
        <w:t>several</w:t>
      </w:r>
      <w:r w:rsidRPr="00916874">
        <w:t xml:space="preserve"> ways to consider New Zealand</w:t>
      </w:r>
      <w:r w:rsidR="00253756">
        <w:t>’s</w:t>
      </w:r>
      <w:r w:rsidRPr="00916874">
        <w:t xml:space="preserve"> tax settings.</w:t>
      </w:r>
    </w:p>
    <w:p w14:paraId="3C320C7C" w14:textId="77777777" w:rsidR="00916874" w:rsidRPr="00916874" w:rsidRDefault="00916874" w:rsidP="00075D72">
      <w:pPr>
        <w:pStyle w:val="NumberedParagraph"/>
      </w:pPr>
      <w:r w:rsidRPr="00916874">
        <w:t>It should be noted at the outset that any economic modelling work will be a simplification of the real world and, at most, will provide partial insights into how taxes are likely to impact on investment. The assumptions underlying the modelling are discussed further in chapter 3.</w:t>
      </w:r>
    </w:p>
    <w:p w14:paraId="6715B800" w14:textId="77777777" w:rsidR="00916874" w:rsidRPr="00916874" w:rsidRDefault="00916874" w:rsidP="00075D72">
      <w:pPr>
        <w:pStyle w:val="NumberedParagraph"/>
        <w:numPr>
          <w:ilvl w:val="1"/>
          <w:numId w:val="64"/>
        </w:numPr>
      </w:pPr>
      <w:r w:rsidRPr="00916874">
        <w:t>Despite its simplifications, the modelling can be helpful when considering:</w:t>
      </w:r>
    </w:p>
    <w:p w14:paraId="1DC733A9" w14:textId="00469B7D" w:rsidR="00916874" w:rsidRPr="00577A25" w:rsidRDefault="00577A25" w:rsidP="00075D72">
      <w:pPr>
        <w:pStyle w:val="NumberedParagraph-BulletL1"/>
        <w:numPr>
          <w:ilvl w:val="2"/>
          <w:numId w:val="64"/>
        </w:numPr>
      </w:pPr>
      <w:r w:rsidRPr="00577A25">
        <w:t>w</w:t>
      </w:r>
      <w:r w:rsidR="00916874" w:rsidRPr="00577A25">
        <w:t>hether New Zealand appears to be an outlier in how heavily it taxes inbound investment</w:t>
      </w:r>
    </w:p>
    <w:p w14:paraId="7E1596EF" w14:textId="77777777" w:rsidR="00916874" w:rsidRPr="00916874" w:rsidRDefault="00916874" w:rsidP="00075D72">
      <w:pPr>
        <w:pStyle w:val="NumberedParagraph-BulletL1"/>
        <w:numPr>
          <w:ilvl w:val="2"/>
          <w:numId w:val="64"/>
        </w:numPr>
      </w:pPr>
      <w:r w:rsidRPr="00916874">
        <w:t>whether a potential case for policy change exists, and</w:t>
      </w:r>
    </w:p>
    <w:p w14:paraId="1D4C460A" w14:textId="77777777" w:rsidR="00916874" w:rsidRPr="00916874" w:rsidRDefault="00916874" w:rsidP="00075D72">
      <w:pPr>
        <w:pStyle w:val="NumberedParagraph-BulletL1"/>
        <w:numPr>
          <w:ilvl w:val="2"/>
          <w:numId w:val="64"/>
        </w:numPr>
      </w:pPr>
      <w:r w:rsidRPr="00916874">
        <w:t>the pros and cons of different possible policy changes.</w:t>
      </w:r>
    </w:p>
    <w:p w14:paraId="1227A0D0" w14:textId="523F65B5" w:rsidR="00916874" w:rsidRPr="00916874" w:rsidRDefault="00916874" w:rsidP="00075D72">
      <w:pPr>
        <w:pStyle w:val="NumberedParagraph"/>
        <w:numPr>
          <w:ilvl w:val="1"/>
          <w:numId w:val="64"/>
        </w:numPr>
      </w:pPr>
      <w:r w:rsidRPr="00916874">
        <w:t>In practice, there will be important trade-offs to consider when thinking about the pros and cons of any policy changes. If New Zealand is an outlier in its tax treatment of inbound investment, this does not necessarily mean there are compelling grounds for New Zealand to alter its tax settings. At times</w:t>
      </w:r>
      <w:r w:rsidR="00E17363">
        <w:t>,</w:t>
      </w:r>
      <w:r w:rsidRPr="00916874">
        <w:t xml:space="preserve"> New Zealand may be different from other countries in important ways, for example, in its geographical remoteness from other countries or in the set of taxes that it is willing to impose. Decisions about whether to alter tax settings will need to </w:t>
      </w:r>
      <w:r w:rsidRPr="00916874">
        <w:lastRenderedPageBreak/>
        <w:t xml:space="preserve">weigh up conflicting considerations, including not only productivity and economic efficiency but also questions about revenue adequacy and about fairness and income distribution. Decisions on whether to change current settings </w:t>
      </w:r>
      <w:r w:rsidR="00572DE8">
        <w:t>(</w:t>
      </w:r>
      <w:r w:rsidRPr="00916874">
        <w:t>and, if so, how</w:t>
      </w:r>
      <w:r w:rsidR="00572DE8">
        <w:t>)</w:t>
      </w:r>
      <w:r w:rsidRPr="00916874">
        <w:t xml:space="preserve"> will depend on the weightings given to competing objectives.</w:t>
      </w:r>
    </w:p>
    <w:p w14:paraId="1551015D" w14:textId="074CEDB9" w:rsidR="00916874" w:rsidRPr="00916874" w:rsidRDefault="00916874" w:rsidP="00A41B02">
      <w:pPr>
        <w:pStyle w:val="Heading2"/>
        <w:rPr>
          <w:rFonts w:eastAsia="Calibri"/>
          <w:lang w:eastAsia="en-US"/>
        </w:rPr>
      </w:pPr>
      <w:bookmarkStart w:id="8" w:name="_Toc96585512"/>
      <w:r w:rsidRPr="00916874">
        <w:rPr>
          <w:rFonts w:eastAsia="Calibri"/>
          <w:lang w:eastAsia="en-US"/>
        </w:rPr>
        <w:t>Background</w:t>
      </w:r>
      <w:bookmarkEnd w:id="8"/>
    </w:p>
    <w:p w14:paraId="5FAE104B" w14:textId="77777777" w:rsidR="00916874" w:rsidRPr="00916874" w:rsidRDefault="00916874" w:rsidP="00075D72">
      <w:pPr>
        <w:pStyle w:val="NumberedParagraph"/>
        <w:numPr>
          <w:ilvl w:val="1"/>
          <w:numId w:val="64"/>
        </w:numPr>
      </w:pPr>
      <w:r w:rsidRPr="00916874">
        <w:t>Alongside the Treasury, Inland Revenue provides advice to the Ministers of Finance and of Revenue on the tax and social policies administered through the tax system. As part of providing this advice, Inland Revenue has an important stewardship role to ensure that we are well placed to advise present and future governments on tax policy issues that are likely to be of vital interest to New Zealand in the future.</w:t>
      </w:r>
    </w:p>
    <w:p w14:paraId="33B40056" w14:textId="08F570C8" w:rsidR="00916874" w:rsidRPr="00916874" w:rsidRDefault="00916874" w:rsidP="00075D72">
      <w:pPr>
        <w:pStyle w:val="NumberedParagraph"/>
        <w:numPr>
          <w:ilvl w:val="1"/>
          <w:numId w:val="64"/>
        </w:numPr>
      </w:pPr>
      <w:r w:rsidRPr="00916874">
        <w:t>Under the Public Service Act 2020, there is a new legislative requirement for public service chief executives to undertake public consultation on the topics to be included in an LTIB and on a draft of the LTIB itself.</w:t>
      </w:r>
      <w:r w:rsidRPr="00916874">
        <w:rPr>
          <w:vertAlign w:val="superscript"/>
        </w:rPr>
        <w:footnoteReference w:id="5"/>
      </w:r>
      <w:r w:rsidRPr="00916874">
        <w:t xml:space="preserve"> This is required to happen at least once every three years.</w:t>
      </w:r>
    </w:p>
    <w:p w14:paraId="1B7DBD15" w14:textId="77777777" w:rsidR="00916874" w:rsidRPr="00916874" w:rsidRDefault="00916874" w:rsidP="00075D72">
      <w:pPr>
        <w:pStyle w:val="NumberedParagraph"/>
        <w:numPr>
          <w:ilvl w:val="1"/>
          <w:numId w:val="64"/>
        </w:numPr>
      </w:pPr>
      <w:r w:rsidRPr="00916874">
        <w:t>LTIBs are not intended to involve advocacy for any particular policy change. Pros and cons of different policy options are to be considered, but LTIBs are not intended to push for particular policy conclusions. They are expected to look out at least ten years into the future.</w:t>
      </w:r>
    </w:p>
    <w:p w14:paraId="41CBA04D" w14:textId="77777777" w:rsidR="00916874" w:rsidRPr="00916874" w:rsidRDefault="00916874" w:rsidP="00075D72">
      <w:pPr>
        <w:pStyle w:val="NumberedParagraph"/>
        <w:numPr>
          <w:ilvl w:val="1"/>
          <w:numId w:val="64"/>
        </w:numPr>
      </w:pPr>
      <w:r w:rsidRPr="00916874">
        <w:t>The purpose of an LTIB is to make available to the public:</w:t>
      </w:r>
    </w:p>
    <w:p w14:paraId="6FA95502" w14:textId="77777777" w:rsidR="00916874" w:rsidRPr="00916874" w:rsidRDefault="00916874" w:rsidP="00075D72">
      <w:pPr>
        <w:pStyle w:val="NumberedParagraph-BulletL1"/>
        <w:numPr>
          <w:ilvl w:val="2"/>
          <w:numId w:val="64"/>
        </w:numPr>
      </w:pPr>
      <w:r w:rsidRPr="00916874">
        <w:t>information about medium- and long-term trends, risks, and opportunities that affect, or may affect, New Zealand society, and</w:t>
      </w:r>
    </w:p>
    <w:p w14:paraId="4E2F1FD8" w14:textId="4AF45B28" w:rsidR="00916874" w:rsidRPr="00916874" w:rsidRDefault="00916874" w:rsidP="00075D72">
      <w:pPr>
        <w:pStyle w:val="NumberedParagraph-BulletL1"/>
        <w:numPr>
          <w:ilvl w:val="2"/>
          <w:numId w:val="64"/>
        </w:numPr>
      </w:pPr>
      <w:r w:rsidRPr="00916874">
        <w:t>information and impartial analysis of the trends, risks and opportunities that have been identified</w:t>
      </w:r>
      <w:r w:rsidR="007728C5" w:rsidRPr="00916874">
        <w:t>, including policy options for responding to</w:t>
      </w:r>
      <w:r w:rsidR="007728C5">
        <w:t xml:space="preserve"> them</w:t>
      </w:r>
      <w:r w:rsidRPr="00916874">
        <w:t>.</w:t>
      </w:r>
    </w:p>
    <w:p w14:paraId="00E56D86" w14:textId="121385A2" w:rsidR="00916874" w:rsidRPr="00916874" w:rsidRDefault="00916874" w:rsidP="00075D72">
      <w:pPr>
        <w:pStyle w:val="NumberedParagraph"/>
        <w:numPr>
          <w:ilvl w:val="1"/>
          <w:numId w:val="64"/>
        </w:numPr>
      </w:pPr>
      <w:r w:rsidRPr="00916874">
        <w:t xml:space="preserve">This is Inland Revenue’s first </w:t>
      </w:r>
      <w:r w:rsidR="007728C5">
        <w:t>LTIB</w:t>
      </w:r>
      <w:r w:rsidRPr="00916874">
        <w:t>, and the following chapters provide a first draft.</w:t>
      </w:r>
    </w:p>
    <w:p w14:paraId="044C9532" w14:textId="77777777" w:rsidR="00916874" w:rsidRPr="00916874" w:rsidRDefault="00916874" w:rsidP="00C31466">
      <w:pPr>
        <w:pStyle w:val="Heading2"/>
        <w:rPr>
          <w:rFonts w:eastAsia="Calibri"/>
          <w:lang w:eastAsia="en-US"/>
        </w:rPr>
      </w:pPr>
      <w:bookmarkStart w:id="9" w:name="_Toc96585513"/>
      <w:r w:rsidRPr="00916874">
        <w:rPr>
          <w:rFonts w:eastAsia="Calibri"/>
          <w:lang w:eastAsia="en-US"/>
        </w:rPr>
        <w:t>Key trends and issues</w:t>
      </w:r>
      <w:bookmarkEnd w:id="9"/>
    </w:p>
    <w:p w14:paraId="0904430F" w14:textId="77777777" w:rsidR="00916874" w:rsidRPr="00916874" w:rsidRDefault="00916874" w:rsidP="00075D72">
      <w:pPr>
        <w:pStyle w:val="NumberedParagraph"/>
        <w:numPr>
          <w:ilvl w:val="1"/>
          <w:numId w:val="64"/>
        </w:numPr>
      </w:pPr>
      <w:r w:rsidRPr="00916874">
        <w:t>The scoping paper noted that, while New Zealand had a low company tax rate compared to most other OECD countries in the late 1980s, this was no longer true. Since the late 1980s, there have been two cuts in New Zealand’s company tax rate, but most other OECD countries have cut their company rates more than New Zealand over this period. This is shown in figure 1.1.</w:t>
      </w:r>
      <w:r w:rsidRPr="00916874">
        <w:rPr>
          <w:vertAlign w:val="superscript"/>
        </w:rPr>
        <w:footnoteReference w:id="6"/>
      </w:r>
    </w:p>
    <w:p w14:paraId="038D4A27" w14:textId="4FCAF133" w:rsidR="00916874" w:rsidRPr="00916874" w:rsidRDefault="00916874" w:rsidP="00075D72">
      <w:pPr>
        <w:pStyle w:val="Caption"/>
        <w:rPr>
          <w:rFonts w:eastAsia="Calibri"/>
          <w:lang w:eastAsia="en-US"/>
        </w:rPr>
      </w:pPr>
      <w:r w:rsidRPr="00916874">
        <w:rPr>
          <w:rFonts w:eastAsia="Calibri"/>
          <w:lang w:eastAsia="en-US"/>
        </w:rPr>
        <w:lastRenderedPageBreak/>
        <w:t>Figure 1.1:</w:t>
      </w:r>
      <w:r w:rsidR="005258B7">
        <w:rPr>
          <w:rFonts w:eastAsia="Calibri"/>
          <w:lang w:eastAsia="en-US"/>
        </w:rPr>
        <w:t xml:space="preserve"> </w:t>
      </w:r>
      <w:r w:rsidRPr="00916874">
        <w:rPr>
          <w:rFonts w:eastAsia="Calibri"/>
          <w:lang w:eastAsia="en-US"/>
        </w:rPr>
        <w:t>Company tax rates in NZ and some other OECD countries</w:t>
      </w:r>
    </w:p>
    <w:p w14:paraId="7AB7F95C" w14:textId="3A5A8424" w:rsidR="00B30D56" w:rsidRDefault="00D20083" w:rsidP="00672539">
      <w:pPr>
        <w:pStyle w:val="Figure"/>
      </w:pPr>
      <w:r>
        <w:rPr>
          <w:noProof/>
        </w:rPr>
        <w:drawing>
          <wp:inline distT="0" distB="0" distL="0" distR="0" wp14:anchorId="3D8C3803" wp14:editId="76BF54A6">
            <wp:extent cx="5278120" cy="3448964"/>
            <wp:effectExtent l="0" t="0" r="17780" b="18415"/>
            <wp:docPr id="8" name="Chart 8" descr="Company tax rates in NZ and other OECD countries from 1981 to 2020.">
              <a:extLst xmlns:a="http://schemas.openxmlformats.org/drawingml/2006/main">
                <a:ext uri="{FF2B5EF4-FFF2-40B4-BE49-F238E27FC236}">
                  <a16:creationId xmlns:a16="http://schemas.microsoft.com/office/drawing/2014/main" id="{2FD48C40-32C5-4CE0-A274-02D9DEDBAD8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08CCDD0A" w14:textId="58257620" w:rsidR="00B15914" w:rsidRPr="00B15914" w:rsidRDefault="00B15914" w:rsidP="00672539">
      <w:pPr>
        <w:pStyle w:val="NumberedParagraph"/>
      </w:pPr>
      <w:r w:rsidRPr="00B15914">
        <w:t xml:space="preserve">A potential concern is whether high taxes on inbound investment, and a high company tax rate in particular, are reducing inbound investment, productivity and economic performance. The scoping paper noted that New Zealand’s lagging productivity performance had been an issue for decades, </w:t>
      </w:r>
      <w:r w:rsidR="00401E43">
        <w:t>and this</w:t>
      </w:r>
      <w:r w:rsidRPr="00B15914">
        <w:t xml:space="preserve"> included periods when New Zealand’s company tax rate was relatively low as well as when it was relatively high.</w:t>
      </w:r>
    </w:p>
    <w:p w14:paraId="364888B3" w14:textId="0479453D" w:rsidR="00B15914" w:rsidRPr="00B15914" w:rsidRDefault="00B15914" w:rsidP="00075D72">
      <w:pPr>
        <w:pStyle w:val="NumberedParagraph"/>
        <w:numPr>
          <w:ilvl w:val="1"/>
          <w:numId w:val="64"/>
        </w:numPr>
      </w:pPr>
      <w:r w:rsidRPr="00B15914">
        <w:t xml:space="preserve">The scoping paper noted that New Zealand had relatively high EMTRs on inbound investment. This evidence is discussed further in chapter 3. High EMTRs may make it harder for New Zealand firms to respond to new risks and opportunities </w:t>
      </w:r>
      <w:r w:rsidR="00E706BE">
        <w:t>that</w:t>
      </w:r>
      <w:r w:rsidRPr="00B15914">
        <w:t xml:space="preserve"> require investment in new activities (for example, climate change or providing important new infrastructure).</w:t>
      </w:r>
    </w:p>
    <w:p w14:paraId="17B0FA1F" w14:textId="379403B9" w:rsidR="00B15914" w:rsidRPr="00B15914" w:rsidRDefault="00B15914" w:rsidP="00075D72">
      <w:pPr>
        <w:pStyle w:val="NumberedParagraph"/>
        <w:numPr>
          <w:ilvl w:val="1"/>
          <w:numId w:val="64"/>
        </w:numPr>
      </w:pPr>
      <w:r w:rsidRPr="00B15914">
        <w:t xml:space="preserve">The scoping paper also noted the New Zealand Productivity Commission had suggested that attracting both high-quality inbound foreign direct investment (FDI) and outbound direct investment (ODI) was critical for very high-performing frontier firms to develop in small, advanced economies. </w:t>
      </w:r>
      <w:r w:rsidR="003521CD">
        <w:t>The scoping paper</w:t>
      </w:r>
      <w:r w:rsidRPr="00B15914">
        <w:t xml:space="preserve"> pointed out that New Zealand’s FDI was not growing as quickly as most other OECD countries and New Zealand’s ODI performance looked particularly weak. This is shown in figures 1.2 and 1.3.</w:t>
      </w:r>
    </w:p>
    <w:p w14:paraId="7B78287C" w14:textId="445FB403" w:rsidR="00B15914" w:rsidRPr="00B15914" w:rsidRDefault="00B15914" w:rsidP="00075D72">
      <w:pPr>
        <w:pStyle w:val="Caption"/>
        <w:rPr>
          <w:rFonts w:eastAsia="Calibri"/>
          <w:lang w:eastAsia="en-US"/>
        </w:rPr>
      </w:pPr>
      <w:r w:rsidRPr="00B15914">
        <w:rPr>
          <w:rFonts w:eastAsia="Calibri"/>
          <w:lang w:eastAsia="en-US"/>
        </w:rPr>
        <w:lastRenderedPageBreak/>
        <w:t>Figure 1.2:</w:t>
      </w:r>
      <w:r w:rsidR="00524E49">
        <w:rPr>
          <w:rFonts w:eastAsia="Calibri"/>
          <w:lang w:eastAsia="en-US"/>
        </w:rPr>
        <w:t xml:space="preserve"> </w:t>
      </w:r>
      <w:r w:rsidRPr="00B15914">
        <w:rPr>
          <w:rFonts w:eastAsia="Calibri"/>
          <w:lang w:eastAsia="en-US"/>
        </w:rPr>
        <w:t>FDI as a percentage of GDP</w:t>
      </w:r>
    </w:p>
    <w:p w14:paraId="5AD7B854" w14:textId="747E055A" w:rsidR="000E4BC4" w:rsidRDefault="001614D9" w:rsidP="00672539">
      <w:pPr>
        <w:pStyle w:val="Figure"/>
      </w:pPr>
      <w:r>
        <w:rPr>
          <w:noProof/>
        </w:rPr>
        <w:drawing>
          <wp:inline distT="0" distB="0" distL="0" distR="0" wp14:anchorId="21A03E17" wp14:editId="1A98C2AB">
            <wp:extent cx="5114925" cy="3324225"/>
            <wp:effectExtent l="0" t="0" r="9525" b="9525"/>
            <wp:docPr id="4" name="Chart 4" descr="Foreign direct investment as a percentage of GDP - Australia, New Zealand, United Kingdom and the OECD.">
              <a:extLst xmlns:a="http://schemas.openxmlformats.org/drawingml/2006/main">
                <a:ext uri="{FF2B5EF4-FFF2-40B4-BE49-F238E27FC236}">
                  <a16:creationId xmlns:a16="http://schemas.microsoft.com/office/drawing/2014/main" id="{F550F30B-7C77-4312-8E54-0BEB06596E4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22BE665A" w14:textId="2689AED5" w:rsidR="00DB7DE1" w:rsidRPr="00672539" w:rsidRDefault="00DB7DE1" w:rsidP="00075D72">
      <w:pPr>
        <w:pStyle w:val="Caption"/>
        <w:rPr>
          <w:rFonts w:eastAsia="Calibri"/>
        </w:rPr>
      </w:pPr>
      <w:r w:rsidRPr="00DB7DE1">
        <w:rPr>
          <w:rFonts w:eastAsia="Calibri"/>
          <w:lang w:eastAsia="en-US"/>
        </w:rPr>
        <w:t>Figure 1.3:</w:t>
      </w:r>
      <w:r w:rsidR="00524E49">
        <w:rPr>
          <w:rFonts w:eastAsia="Calibri"/>
          <w:lang w:eastAsia="en-US"/>
        </w:rPr>
        <w:t xml:space="preserve"> </w:t>
      </w:r>
      <w:r w:rsidRPr="00DB7DE1">
        <w:rPr>
          <w:rFonts w:eastAsia="Calibri"/>
          <w:lang w:eastAsia="en-US"/>
        </w:rPr>
        <w:t>ODI as a percentage of GDP</w:t>
      </w:r>
    </w:p>
    <w:p w14:paraId="20A01A5F" w14:textId="39AFA9FC" w:rsidR="00DB7DE1" w:rsidRDefault="007B6116" w:rsidP="00672539">
      <w:pPr>
        <w:pStyle w:val="Figure"/>
      </w:pPr>
      <w:r>
        <w:rPr>
          <w:noProof/>
        </w:rPr>
        <w:drawing>
          <wp:inline distT="0" distB="0" distL="0" distR="0" wp14:anchorId="23190B01" wp14:editId="524655C8">
            <wp:extent cx="5114925" cy="3286125"/>
            <wp:effectExtent l="0" t="0" r="9525" b="9525"/>
            <wp:docPr id="5" name="Chart 5" descr="Overseas direct investment as a percentage of GDP - Australia, New Zealand, United Kington and the OECD average.">
              <a:extLst xmlns:a="http://schemas.openxmlformats.org/drawingml/2006/main">
                <a:ext uri="{FF2B5EF4-FFF2-40B4-BE49-F238E27FC236}">
                  <a16:creationId xmlns:a16="http://schemas.microsoft.com/office/drawing/2014/main" id="{E596BE9C-0A0C-4A13-A9F1-16C09CF671B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6312B27C" w14:textId="23E7BDC9" w:rsidR="006D5B39" w:rsidRPr="006D5B39" w:rsidRDefault="006D5B39" w:rsidP="00672539">
      <w:pPr>
        <w:pStyle w:val="NumberedParagraph"/>
      </w:pPr>
      <w:r w:rsidRPr="006D5B39">
        <w:t xml:space="preserve">This LTIB focuses on taxes on inbound investment that may affect FDI performance, as in figure 1.2. It has not been possible to consider the potential impact of tax settings on ODI in the time available. New Zealand’s very low levels of ODI have continued despite a major tax policy change for income years starting </w:t>
      </w:r>
      <w:r w:rsidR="003E0CB2">
        <w:t xml:space="preserve">on or </w:t>
      </w:r>
      <w:r w:rsidRPr="006D5B39">
        <w:t>after 1 July 2009. At that time</w:t>
      </w:r>
      <w:r w:rsidR="00935D68">
        <w:t>,</w:t>
      </w:r>
      <w:r w:rsidRPr="006D5B39">
        <w:t xml:space="preserve"> New Zealand changed its tax rules on outbound investment to exempt the active income of controlled foreign corporations, making the rules much more like those of many other countries. While this might have been expected to encourage ODI, there is no evidence of a strong positive response in the data.</w:t>
      </w:r>
    </w:p>
    <w:p w14:paraId="5F562DDD" w14:textId="162C25FC" w:rsidR="006D5B39" w:rsidRPr="006D5B39" w:rsidRDefault="006D5B39" w:rsidP="00075D72">
      <w:pPr>
        <w:pStyle w:val="NumberedParagraph"/>
        <w:numPr>
          <w:ilvl w:val="1"/>
          <w:numId w:val="64"/>
        </w:numPr>
      </w:pPr>
      <w:r w:rsidRPr="006D5B39">
        <w:lastRenderedPageBreak/>
        <w:t>Finally, the scoping paper discussed New Zealand’s economic performance relative to the USA in real GDP per capita and labour productivity. Real GDP per capita fell in New Zealand relative to the United States until about 1992</w:t>
      </w:r>
      <w:r w:rsidR="00841CEC">
        <w:t>,</w:t>
      </w:r>
      <w:r w:rsidRPr="006D5B39">
        <w:t xml:space="preserve"> when it seemed to stabilise for a period. There has been some small sign of recovery since then. However, as the scoping paper discusses, New Zealand’s labour productivity performance looks worse than its real GDP per capita performance. New Zealand’s level of labour productivity is now 60% of that of the United States. This is slightly lower than it was in the early 1990s.</w:t>
      </w:r>
    </w:p>
    <w:p w14:paraId="082A69EE" w14:textId="0B04EFC2" w:rsidR="006D5B39" w:rsidRPr="006D5B39" w:rsidRDefault="006D5B39" w:rsidP="00075D72">
      <w:pPr>
        <w:pStyle w:val="Caption"/>
        <w:rPr>
          <w:rFonts w:eastAsia="Calibri"/>
          <w:lang w:eastAsia="en-US"/>
        </w:rPr>
      </w:pPr>
      <w:r w:rsidRPr="006D5B39">
        <w:rPr>
          <w:rFonts w:eastAsia="Calibri"/>
          <w:lang w:eastAsia="en-US"/>
        </w:rPr>
        <w:t>Figure 1.4:</w:t>
      </w:r>
      <w:r w:rsidR="00250B58">
        <w:rPr>
          <w:rFonts w:eastAsia="Calibri"/>
          <w:lang w:eastAsia="en-US"/>
        </w:rPr>
        <w:t xml:space="preserve"> </w:t>
      </w:r>
      <w:r w:rsidRPr="006D5B39">
        <w:rPr>
          <w:rFonts w:eastAsia="Calibri"/>
          <w:lang w:eastAsia="en-US"/>
        </w:rPr>
        <w:t>Real GDP per capita relative to the US</w:t>
      </w:r>
    </w:p>
    <w:p w14:paraId="1C592A49" w14:textId="54951673" w:rsidR="006D5B39" w:rsidRDefault="0049114F" w:rsidP="00672539">
      <w:pPr>
        <w:pStyle w:val="Figure"/>
      </w:pPr>
      <w:r>
        <w:rPr>
          <w:noProof/>
        </w:rPr>
        <w:drawing>
          <wp:inline distT="0" distB="0" distL="0" distR="0" wp14:anchorId="768B1077" wp14:editId="6F55BB6F">
            <wp:extent cx="5095875" cy="3095625"/>
            <wp:effectExtent l="0" t="0" r="9525" b="9525"/>
            <wp:docPr id="6" name="Chart 6" descr="Real GDP per capita relative to the US.">
              <a:extLst xmlns:a="http://schemas.openxmlformats.org/drawingml/2006/main">
                <a:ext uri="{FF2B5EF4-FFF2-40B4-BE49-F238E27FC236}">
                  <a16:creationId xmlns:a16="http://schemas.microsoft.com/office/drawing/2014/main" id="{6CCABBB0-EA52-4B2F-8D0E-B4CA9DD1450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03EDA4D8" w14:textId="27899713" w:rsidR="008E22D3" w:rsidRPr="008E22D3" w:rsidRDefault="008E22D3" w:rsidP="00075D72">
      <w:pPr>
        <w:pStyle w:val="NumberedParagraph"/>
        <w:numPr>
          <w:ilvl w:val="1"/>
          <w:numId w:val="64"/>
        </w:numPr>
      </w:pPr>
      <w:r w:rsidRPr="008E22D3">
        <w:t>There are likely to be many other issues that may be more crucial for economic performance than tax policy settings, but important questions are whether New Zealand’s current settings are likely to be having a material adverse impact and whether there are ways of improving our tax settings.</w:t>
      </w:r>
    </w:p>
    <w:p w14:paraId="4ED9AE90" w14:textId="0FC4910E" w:rsidR="008E22D3" w:rsidRPr="008E22D3" w:rsidRDefault="008E22D3" w:rsidP="008E22D3">
      <w:pPr>
        <w:pStyle w:val="Heading2"/>
        <w:rPr>
          <w:rFonts w:eastAsia="Calibri"/>
          <w:lang w:eastAsia="en-US"/>
        </w:rPr>
      </w:pPr>
      <w:bookmarkStart w:id="10" w:name="_Toc96585514"/>
      <w:r w:rsidRPr="008E22D3">
        <w:rPr>
          <w:rFonts w:eastAsia="Calibri"/>
          <w:lang w:eastAsia="en-US"/>
        </w:rPr>
        <w:t>Feedback received on the scoping paper</w:t>
      </w:r>
      <w:bookmarkEnd w:id="10"/>
    </w:p>
    <w:p w14:paraId="100A97B7" w14:textId="0F244AD8" w:rsidR="008E22D3" w:rsidRPr="008E22D3" w:rsidRDefault="008E22D3" w:rsidP="00075D72">
      <w:pPr>
        <w:pStyle w:val="NumberedParagraph"/>
        <w:numPr>
          <w:ilvl w:val="1"/>
          <w:numId w:val="64"/>
        </w:numPr>
      </w:pPr>
      <w:r w:rsidRPr="008E22D3">
        <w:t>Our scoping paper suggested that our LTIB focus on tax, investment and productivity. We received feedback from eight individuals and groups. Most supported tax investment and productivity as a topic for our LTIB. At the same time</w:t>
      </w:r>
      <w:r w:rsidR="008D18C1">
        <w:t>,</w:t>
      </w:r>
      <w:r w:rsidRPr="008E22D3">
        <w:t xml:space="preserve"> </w:t>
      </w:r>
      <w:r w:rsidR="009C12D2">
        <w:t>several</w:t>
      </w:r>
      <w:r w:rsidRPr="008E22D3">
        <w:t xml:space="preserve"> concerns and qualifications </w:t>
      </w:r>
      <w:r w:rsidR="008D18C1">
        <w:t xml:space="preserve">were </w:t>
      </w:r>
      <w:r w:rsidRPr="008E22D3">
        <w:t>raised.</w:t>
      </w:r>
    </w:p>
    <w:p w14:paraId="016B1350" w14:textId="73B53809" w:rsidR="008E22D3" w:rsidRPr="008E22D3" w:rsidRDefault="008E22D3" w:rsidP="00075D72">
      <w:pPr>
        <w:pStyle w:val="NumberedParagraph"/>
        <w:numPr>
          <w:ilvl w:val="1"/>
          <w:numId w:val="64"/>
        </w:numPr>
      </w:pPr>
      <w:r w:rsidRPr="008E22D3">
        <w:t xml:space="preserve">Four of the submissions discussed capital gains tax or productivity concerns arising from the light taxation of property. Two of these suggested that under-taxation of sectors that benefit from tax exempt capital gains may be a bigger issue than the impact of high tax rates on inbound investment reducing productivity. A third submission was concerned that the absence of a capital gains tax was reducing the coherence of the tax system. The Department of the Prime Minister and Cabinet (DPMC) has advised that LTIBs should not focus on issues that have already been subject to considerable analysis. Capital gains tax was considered by the recent Tax Working Group and the Government decided against a general tax on capital gains. </w:t>
      </w:r>
      <w:r w:rsidR="0030651C">
        <w:t>Therefore, w</w:t>
      </w:r>
      <w:r w:rsidRPr="008E22D3">
        <w:t xml:space="preserve">e are not making </w:t>
      </w:r>
      <w:r w:rsidR="00374434">
        <w:t>a</w:t>
      </w:r>
      <w:r w:rsidR="00B75CB0">
        <w:t xml:space="preserve"> capital gains tax on property or a more general tax on capital gains</w:t>
      </w:r>
      <w:r w:rsidRPr="008E22D3">
        <w:t xml:space="preserve"> a central focus because it has been the subject of recent debate and policy consideration.</w:t>
      </w:r>
    </w:p>
    <w:p w14:paraId="03D090A6" w14:textId="77777777" w:rsidR="008E22D3" w:rsidRPr="008E22D3" w:rsidRDefault="008E22D3" w:rsidP="00075D72">
      <w:pPr>
        <w:pStyle w:val="NumberedParagraph"/>
        <w:numPr>
          <w:ilvl w:val="1"/>
          <w:numId w:val="64"/>
        </w:numPr>
      </w:pPr>
      <w:r w:rsidRPr="008E22D3">
        <w:lastRenderedPageBreak/>
        <w:t>A fourth submission commented that the OECD cost of capital and EMTR benchmarking analysis ignores taxes on capital gains. The submission was concerned that this may make New Zealand look relatively worse than is true. New Zealand’s lack of a tax on capital gains could be an advantage of investing in New Zealand, relative to most other countries, when gains are realised through sales of assets such as buildings or goodwill.</w:t>
      </w:r>
    </w:p>
    <w:p w14:paraId="7349E6B3" w14:textId="31C2F900" w:rsidR="008E22D3" w:rsidRPr="008E22D3" w:rsidRDefault="00447FD9" w:rsidP="00075D72">
      <w:pPr>
        <w:pStyle w:val="NumberedParagraph"/>
        <w:numPr>
          <w:ilvl w:val="1"/>
          <w:numId w:val="64"/>
        </w:numPr>
      </w:pPr>
      <w:r>
        <w:t>Most</w:t>
      </w:r>
      <w:r w:rsidR="008E22D3" w:rsidRPr="008E22D3">
        <w:t xml:space="preserve"> submissions raised other important factors that could affect investment </w:t>
      </w:r>
      <w:r w:rsidR="00BD66A6">
        <w:t>that</w:t>
      </w:r>
      <w:r w:rsidR="008E22D3" w:rsidRPr="008E22D3">
        <w:t xml:space="preserve"> were not included in the OECD benchmarking analysis. As well as the desirability of coherence in tax settings, concerns were expressed about overly complex legislation, high compliance costs, and a lack of certainty and predictability adding to the costs and risk of investing in New Zealand. Concerns were also expressed that, for a small country like New Zealand, there may often be relatively small benefits to non-resident firms from investing in the country. Small levels of other costs and uncertainties may make it unattractive for firms to investigate whether investing in New Zealand is likely to be beneficial.</w:t>
      </w:r>
    </w:p>
    <w:p w14:paraId="752467C7" w14:textId="77777777" w:rsidR="008E22D3" w:rsidRPr="008E22D3" w:rsidRDefault="008E22D3" w:rsidP="00075D72">
      <w:pPr>
        <w:pStyle w:val="NumberedParagraph"/>
        <w:numPr>
          <w:ilvl w:val="1"/>
          <w:numId w:val="64"/>
        </w:numPr>
      </w:pPr>
      <w:r w:rsidRPr="008E22D3">
        <w:t>Several of the submissions pointed out that other factors may be as, or even more, important than taxes on inbound investment in affecting decisions about investment in New Zealand. Issues pointed to included comparative advantage, the underlying profitability of investments, and other regulatory issues, such as Overseas Investment Office criteria.</w:t>
      </w:r>
    </w:p>
    <w:p w14:paraId="10AE3CE6" w14:textId="215A46E4" w:rsidR="008E22D3" w:rsidRPr="008E22D3" w:rsidRDefault="008E22D3" w:rsidP="00075D72">
      <w:pPr>
        <w:pStyle w:val="NumberedParagraph"/>
        <w:numPr>
          <w:ilvl w:val="1"/>
          <w:numId w:val="64"/>
        </w:numPr>
      </w:pPr>
      <w:r w:rsidRPr="008E22D3">
        <w:t xml:space="preserve">Two submissions discussed our company tax full imputation scheme and questioned whether it was desirable to continue with an imputation system. One of these </w:t>
      </w:r>
      <w:r w:rsidR="007406CE">
        <w:t xml:space="preserve">submissions </w:t>
      </w:r>
      <w:r w:rsidRPr="008E22D3">
        <w:t xml:space="preserve">pointed to the prevalence of </w:t>
      </w:r>
      <w:r w:rsidR="002F4854">
        <w:t>‘</w:t>
      </w:r>
      <w:r w:rsidRPr="008E22D3">
        <w:t>classical</w:t>
      </w:r>
      <w:r w:rsidR="002F4854">
        <w:t>’</w:t>
      </w:r>
      <w:r w:rsidRPr="008E22D3">
        <w:t xml:space="preserve"> company tax systems overseas – where profits are taxed at the company level and then taxed a second time when dividends are paid to shareholders. A third submission appeared to be pushing in the opposite direction. It raised concerns about differences in tax settings between different entities. These are substantial economic issues, and it has not been possible to consider them in this LTIB.</w:t>
      </w:r>
    </w:p>
    <w:p w14:paraId="076303EC" w14:textId="77777777" w:rsidR="008E22D3" w:rsidRPr="00EB0AE6" w:rsidRDefault="008E22D3" w:rsidP="00075D72">
      <w:pPr>
        <w:pStyle w:val="NumberedParagraph"/>
        <w:numPr>
          <w:ilvl w:val="1"/>
          <w:numId w:val="64"/>
        </w:numPr>
      </w:pPr>
      <w:r w:rsidRPr="008E22D3">
        <w:t xml:space="preserve">Two submissions argued that personal taxes should be taken into account when considering incentives to invest for small and medium enterprises. Even if small and medium enterprises operate as companies, profits will be subject to personal tax when distributed as dividends. </w:t>
      </w:r>
      <w:r w:rsidRPr="00EB0AE6">
        <w:t>We discuss how the OECD modelling might be extended to these sorts of enterprise in chapter 4.</w:t>
      </w:r>
    </w:p>
    <w:p w14:paraId="7C9A2955" w14:textId="7217621D" w:rsidR="008E22D3" w:rsidRPr="008E22D3" w:rsidRDefault="008E22D3" w:rsidP="00075D72">
      <w:pPr>
        <w:pStyle w:val="NumberedParagraph"/>
        <w:numPr>
          <w:ilvl w:val="1"/>
          <w:numId w:val="64"/>
        </w:numPr>
      </w:pPr>
      <w:r w:rsidRPr="008E22D3">
        <w:t>Two submissions discussed environmental taxes. An increase in measured economic performance, such as growth in GDP or labour productivity, may be unattractive if it is accompanied by environmental degradation. This is important and underlines the partial nature of cost of capital and EMTR studies. We do not see any real conflict between this observation and the analysis in this LTIB. Normally, neutrality of tax settings is seen as a plus. However, as the submissions have pointed out, tax neutrality may not be desirable in specific instances where there are negative or positive externalities (spillover costs or benefits to other firms or individuals). In those circumstances, there might be a case for either higher or lower levels of tax on specific investments. One of the submissions argued that</w:t>
      </w:r>
      <w:r w:rsidR="002227CF">
        <w:t>,</w:t>
      </w:r>
      <w:r w:rsidRPr="008E22D3">
        <w:t xml:space="preserve"> for use of non-neutral taxes to be justified, there needs to be clear evidence of market failure and for tax instruments to be the best way of addressing externalities. The submissions also pointed out that environmental taxes could be a way of raising revenue, as well as correcting for market failures.</w:t>
      </w:r>
    </w:p>
    <w:p w14:paraId="7EF831B4" w14:textId="5DE5CB48" w:rsidR="008E22D3" w:rsidRPr="00C91F59" w:rsidRDefault="008E22D3" w:rsidP="00075D72">
      <w:pPr>
        <w:pStyle w:val="NumberedParagraph"/>
        <w:numPr>
          <w:ilvl w:val="1"/>
          <w:numId w:val="64"/>
        </w:numPr>
      </w:pPr>
      <w:r w:rsidRPr="008E22D3">
        <w:t>Two of the submissions argued that New Zealand had been served well by its broad-base</w:t>
      </w:r>
      <w:r w:rsidR="002F3F3E">
        <w:t>d</w:t>
      </w:r>
      <w:r w:rsidRPr="008E22D3">
        <w:t xml:space="preserve"> low-rate tax settings, and that this suggests a high burden of proof is necessary before moving away from these settings. However, two of the </w:t>
      </w:r>
      <w:r w:rsidRPr="008E22D3">
        <w:lastRenderedPageBreak/>
        <w:t>submissions commented favourably on specific tax concessions that had been made available in other countries.</w:t>
      </w:r>
    </w:p>
    <w:p w14:paraId="1297C792" w14:textId="50C26A2F" w:rsidR="008E22D3" w:rsidRPr="008E22D3" w:rsidRDefault="008E22D3" w:rsidP="004D1B89">
      <w:pPr>
        <w:pStyle w:val="Heading2"/>
        <w:rPr>
          <w:rFonts w:eastAsia="Calibri"/>
          <w:lang w:eastAsia="en-US"/>
        </w:rPr>
      </w:pPr>
      <w:bookmarkStart w:id="11" w:name="_Toc96585515"/>
      <w:r w:rsidRPr="008E22D3">
        <w:rPr>
          <w:rFonts w:eastAsia="Calibri"/>
          <w:lang w:eastAsia="en-US"/>
        </w:rPr>
        <w:t>Outline of the draft LTIB</w:t>
      </w:r>
      <w:bookmarkEnd w:id="11"/>
    </w:p>
    <w:p w14:paraId="63CFE535" w14:textId="09970BA0" w:rsidR="008E22D3" w:rsidRPr="00075D72" w:rsidRDefault="008E22D3" w:rsidP="00075D72">
      <w:pPr>
        <w:pStyle w:val="NumberedParagraph"/>
        <w:numPr>
          <w:ilvl w:val="1"/>
          <w:numId w:val="64"/>
        </w:numPr>
        <w:rPr>
          <w:rFonts w:eastAsia="Verdana" w:cs="Verdana"/>
        </w:rPr>
      </w:pPr>
      <w:r w:rsidRPr="008E22D3">
        <w:t>The content of the draft LTIB is as follows. Chapter 2 discusses a framework for examining taxes on inbound investment and whether changes in tax settings are likely to be in New Zealand’s best interests. Chapter 3 provides estimates from the OECD benchmarking analysis of costs of capital or hurdle rates and EMTRs in New Zealand against those for other countries. These suggest that New Zealand has relatively high costs of capital and EMTRs compared with most other OECD countries. Chapter 4 extends the OECD analysis in several w</w:t>
      </w:r>
      <w:r w:rsidRPr="00075D72">
        <w:t>ays to examine how taxes can be impacting on costs of capital and EMTRs in New Zealand.</w:t>
      </w:r>
      <w:r w:rsidR="00FE639B" w:rsidRPr="00075D72">
        <w:t xml:space="preserve"> </w:t>
      </w:r>
      <w:r w:rsidR="00E828A2" w:rsidRPr="00075D72">
        <w:t xml:space="preserve">This analysis is supplemented by a set of technical appendices which are available on </w:t>
      </w:r>
      <w:r w:rsidR="004E2537" w:rsidRPr="00075D72">
        <w:t xml:space="preserve">its tax policy </w:t>
      </w:r>
      <w:r w:rsidR="00AE70CC" w:rsidRPr="00075D72">
        <w:t>website</w:t>
      </w:r>
      <w:r w:rsidR="00702353" w:rsidRPr="00075D72">
        <w:t>.</w:t>
      </w:r>
      <w:r w:rsidR="00AE70CC">
        <w:rPr>
          <w:rStyle w:val="FootnoteReference"/>
        </w:rPr>
        <w:footnoteReference w:id="7"/>
      </w:r>
    </w:p>
    <w:p w14:paraId="399912CC" w14:textId="5035A3E3" w:rsidR="00C95CBB" w:rsidRDefault="008E22D3" w:rsidP="00075D72">
      <w:pPr>
        <w:pStyle w:val="NumberedParagraph"/>
        <w:numPr>
          <w:ilvl w:val="1"/>
          <w:numId w:val="64"/>
        </w:numPr>
      </w:pPr>
      <w:r w:rsidRPr="008E22D3">
        <w:t>The subsequent chapters examine the pros and cons of different ways of reducing costs of capital</w:t>
      </w:r>
      <w:r w:rsidR="002824B9">
        <w:t xml:space="preserve">. Some of these </w:t>
      </w:r>
      <w:r w:rsidR="00B46B1E">
        <w:t xml:space="preserve">ways </w:t>
      </w:r>
      <w:r w:rsidR="002824B9">
        <w:t>can also help in making tax settings</w:t>
      </w:r>
      <w:r w:rsidRPr="008E22D3">
        <w:t xml:space="preserve"> more neutral. Chapter 5 provides an overview of the different policy options that are considered. While these are meant to cover the most likely options to be put forward, the list is far from exhaustive. Chapter 6 examines a cut in the company tax rate. Chapter 7 examines two accelerated depreciation measures: a depreciation loading for assets, and a system of partial expensing. Chapter 8 considers the possibility of indexing the income tax base for inflation so that taxpayers would no longer be taxed on inflationary gains and could no longer deduct inflationary losses. Chapter 9 discusses the possibility of loosening the current thin capitalisation</w:t>
      </w:r>
      <w:r w:rsidR="008D03D9">
        <w:t xml:space="preserve"> rules</w:t>
      </w:r>
      <w:r w:rsidRPr="008E22D3">
        <w:t xml:space="preserve"> by allowing a higher safe harbour threshold. Chapter 10 explores the possibility of an allowance for corporate equity. Chapter 11 discusses the possibility of specific incentives for different types of business. Finally, </w:t>
      </w:r>
      <w:r w:rsidR="00075D72" w:rsidRPr="008E22D3">
        <w:t>chapter</w:t>
      </w:r>
      <w:r w:rsidR="00075D72">
        <w:t> </w:t>
      </w:r>
      <w:r w:rsidRPr="008E22D3">
        <w:t>12 considers the possibility of a more fundamental shift towards a dual income tax system.</w:t>
      </w:r>
    </w:p>
    <w:p w14:paraId="1F9EB150" w14:textId="77777777" w:rsidR="007D114B" w:rsidRPr="00916874" w:rsidRDefault="007D114B" w:rsidP="007D114B">
      <w:pPr>
        <w:pStyle w:val="Heading2"/>
        <w:rPr>
          <w:rFonts w:eastAsia="Calibri"/>
          <w:lang w:eastAsia="en-US"/>
        </w:rPr>
      </w:pPr>
      <w:bookmarkStart w:id="12" w:name="_Toc96585516"/>
      <w:r w:rsidRPr="00916874">
        <w:rPr>
          <w:rFonts w:eastAsia="Calibri"/>
          <w:lang w:eastAsia="en-US"/>
        </w:rPr>
        <w:t>What do you think?</w:t>
      </w:r>
      <w:bookmarkEnd w:id="12"/>
    </w:p>
    <w:p w14:paraId="2604FBE5" w14:textId="77777777" w:rsidR="007D114B" w:rsidRPr="00916874" w:rsidRDefault="007D114B" w:rsidP="00075D72">
      <w:pPr>
        <w:pStyle w:val="NumberedParagraph"/>
        <w:numPr>
          <w:ilvl w:val="1"/>
          <w:numId w:val="64"/>
        </w:numPr>
      </w:pPr>
      <w:r w:rsidRPr="00916874">
        <w:t>We are seeking your feedback on this first draft of th</w:t>
      </w:r>
      <w:r>
        <w:t>e</w:t>
      </w:r>
      <w:r w:rsidRPr="00916874">
        <w:t xml:space="preserve"> 2022 </w:t>
      </w:r>
      <w:r>
        <w:t>LTIB</w:t>
      </w:r>
      <w:r w:rsidRPr="00916874">
        <w:t xml:space="preserve"> on tax, investment and productivity.</w:t>
      </w:r>
    </w:p>
    <w:p w14:paraId="284042A8" w14:textId="77777777" w:rsidR="007D114B" w:rsidRPr="00916874" w:rsidRDefault="007D114B" w:rsidP="00075D72">
      <w:pPr>
        <w:pStyle w:val="NumberedParagraph"/>
        <w:numPr>
          <w:ilvl w:val="1"/>
          <w:numId w:val="64"/>
        </w:numPr>
      </w:pPr>
      <w:r w:rsidRPr="00916874">
        <w:t>Please indicate whether officials from Inland Revenue may contact you to discuss the points raised, if required.</w:t>
      </w:r>
    </w:p>
    <w:p w14:paraId="4449DEEE" w14:textId="4DE4CCE6" w:rsidR="007D114B" w:rsidRPr="00916874" w:rsidRDefault="007D114B" w:rsidP="00075D72">
      <w:pPr>
        <w:pStyle w:val="NumberedParagraph"/>
        <w:numPr>
          <w:ilvl w:val="1"/>
          <w:numId w:val="64"/>
        </w:numPr>
      </w:pPr>
      <w:r w:rsidRPr="00916874">
        <w:t xml:space="preserve">The closing date for submissions on the first draft of our LTIB is </w:t>
      </w:r>
      <w:r w:rsidRPr="00672539">
        <w:rPr>
          <w:b/>
          <w:bCs/>
        </w:rPr>
        <w:t>Thursday</w:t>
      </w:r>
      <w:r w:rsidR="00672539" w:rsidRPr="00672539">
        <w:rPr>
          <w:b/>
          <w:bCs/>
        </w:rPr>
        <w:t>,</w:t>
      </w:r>
      <w:r w:rsidR="00672539">
        <w:rPr>
          <w:b/>
          <w:bCs/>
        </w:rPr>
        <w:t> </w:t>
      </w:r>
      <w:r w:rsidRPr="00672539">
        <w:rPr>
          <w:b/>
          <w:bCs/>
        </w:rPr>
        <w:t>14</w:t>
      </w:r>
      <w:r w:rsidR="00702353" w:rsidRPr="00672539">
        <w:rPr>
          <w:b/>
          <w:bCs/>
        </w:rPr>
        <w:t> </w:t>
      </w:r>
      <w:r w:rsidRPr="00672539">
        <w:rPr>
          <w:b/>
          <w:bCs/>
        </w:rPr>
        <w:t>April 2022</w:t>
      </w:r>
      <w:r w:rsidRPr="00916874">
        <w:t>.</w:t>
      </w:r>
    </w:p>
    <w:p w14:paraId="60FA1744" w14:textId="0C7CC704" w:rsidR="007D114B" w:rsidRDefault="007D114B" w:rsidP="00075D72">
      <w:pPr>
        <w:pStyle w:val="NumberedParagraph"/>
        <w:numPr>
          <w:ilvl w:val="1"/>
          <w:numId w:val="64"/>
        </w:numPr>
      </w:pPr>
      <w:r w:rsidRPr="00916874">
        <w:t>Submissions may be made:</w:t>
      </w:r>
    </w:p>
    <w:p w14:paraId="52108C1A" w14:textId="0167D9EA" w:rsidR="007D114B" w:rsidRDefault="007D114B" w:rsidP="00541FC2">
      <w:pPr>
        <w:pStyle w:val="NumberedParagraph-BulletL1"/>
        <w:numPr>
          <w:ilvl w:val="2"/>
          <w:numId w:val="64"/>
        </w:numPr>
      </w:pPr>
      <w:r w:rsidRPr="00541FC2">
        <w:t>by email to policy.webmaster@ird.govt.nz with ‘LTIB first draft’ in the subject line, or</w:t>
      </w:r>
    </w:p>
    <w:p w14:paraId="434C090F" w14:textId="77777777" w:rsidR="002D1AF7" w:rsidRDefault="002D1AF7">
      <w:pPr>
        <w:spacing w:before="0" w:after="0"/>
        <w:jc w:val="left"/>
        <w:rPr>
          <w:rFonts w:eastAsia="Calibri"/>
          <w:lang w:eastAsia="en-US"/>
        </w:rPr>
      </w:pPr>
      <w:r>
        <w:br w:type="page"/>
      </w:r>
    </w:p>
    <w:p w14:paraId="081F887B" w14:textId="3F8097CA" w:rsidR="00541FC2" w:rsidRPr="00541FC2" w:rsidRDefault="00541FC2" w:rsidP="00541FC2">
      <w:pPr>
        <w:pStyle w:val="NumberedParagraph-BulletL1"/>
        <w:numPr>
          <w:ilvl w:val="2"/>
          <w:numId w:val="64"/>
        </w:numPr>
      </w:pPr>
      <w:r>
        <w:lastRenderedPageBreak/>
        <w:t>by post to:</w:t>
      </w:r>
    </w:p>
    <w:p w14:paraId="1275DE8B" w14:textId="6941FAA8" w:rsidR="00F80952" w:rsidRDefault="007D114B" w:rsidP="00541FC2">
      <w:pPr>
        <w:ind w:left="1418"/>
        <w:jc w:val="left"/>
        <w:rPr>
          <w:rFonts w:eastAsia="Calibri"/>
          <w:lang w:eastAsia="en-US"/>
        </w:rPr>
      </w:pPr>
      <w:r w:rsidRPr="00916874">
        <w:rPr>
          <w:rFonts w:eastAsia="Calibri"/>
          <w:lang w:eastAsia="en-US"/>
        </w:rPr>
        <w:t>LTIB first draft</w:t>
      </w:r>
      <w:r w:rsidRPr="00916874">
        <w:rPr>
          <w:rFonts w:eastAsia="Calibri"/>
          <w:lang w:eastAsia="en-US"/>
        </w:rPr>
        <w:br/>
        <w:t>c/- Deputy Commissioner, Policy and Regulatory Stewardship</w:t>
      </w:r>
      <w:r w:rsidRPr="00916874">
        <w:rPr>
          <w:rFonts w:eastAsia="Calibri"/>
          <w:lang w:eastAsia="en-US"/>
        </w:rPr>
        <w:br/>
        <w:t>Inland Revenue Department</w:t>
      </w:r>
      <w:r w:rsidRPr="00916874">
        <w:rPr>
          <w:rFonts w:eastAsia="Calibri"/>
          <w:lang w:eastAsia="en-US"/>
        </w:rPr>
        <w:br/>
        <w:t>PO Box 2198</w:t>
      </w:r>
      <w:r w:rsidRPr="00916874">
        <w:rPr>
          <w:rFonts w:eastAsia="Calibri"/>
          <w:lang w:eastAsia="en-US"/>
        </w:rPr>
        <w:br/>
        <w:t>Wellington 6140</w:t>
      </w:r>
    </w:p>
    <w:p w14:paraId="599D506D" w14:textId="31B3042E" w:rsidR="007272BC" w:rsidRPr="005926BD" w:rsidRDefault="00F80952" w:rsidP="004B1C56">
      <w:pPr>
        <w:pStyle w:val="Heading1"/>
        <w:numPr>
          <w:ilvl w:val="0"/>
          <w:numId w:val="64"/>
        </w:numPr>
      </w:pPr>
      <w:r>
        <w:lastRenderedPageBreak/>
        <w:br/>
      </w:r>
      <w:r w:rsidR="0043508B">
        <w:br/>
      </w:r>
      <w:bookmarkStart w:id="13" w:name="_Toc96585517"/>
      <w:r w:rsidR="007272BC" w:rsidRPr="005926BD">
        <w:t>Taxing inbound investment income – modelling economic effects and trade-offs</w:t>
      </w:r>
      <w:bookmarkEnd w:id="13"/>
    </w:p>
    <w:tbl>
      <w:tblPr>
        <w:tblStyle w:val="SummaryBox"/>
        <w:tblW w:w="0" w:type="auto"/>
        <w:tblLayout w:type="fixed"/>
        <w:tblLook w:val="04A0" w:firstRow="1" w:lastRow="0" w:firstColumn="1" w:lastColumn="0" w:noHBand="0" w:noVBand="1"/>
      </w:tblPr>
      <w:tblGrid>
        <w:gridCol w:w="8778"/>
      </w:tblGrid>
      <w:tr w:rsidR="007272BC" w:rsidRPr="007272BC" w14:paraId="1D936DE5" w14:textId="77777777" w:rsidTr="007D07BC">
        <w:tc>
          <w:tcPr>
            <w:tcW w:w="8778" w:type="dxa"/>
          </w:tcPr>
          <w:p w14:paraId="2B1DA0B3" w14:textId="22326B10" w:rsidR="007272BC" w:rsidRPr="007272BC" w:rsidRDefault="007272BC" w:rsidP="00597B6B">
            <w:pPr>
              <w:pStyle w:val="ListBullet"/>
            </w:pPr>
            <w:r w:rsidRPr="007272BC">
              <w:rPr>
                <w:lang w:val="en-GB"/>
              </w:rPr>
              <w:t>Measures designed to reduce source-based taxes on investment in a small open economy can promote investment and boost productivity.</w:t>
            </w:r>
          </w:p>
          <w:p w14:paraId="2AAAC214" w14:textId="78ED4CC9" w:rsidR="007272BC" w:rsidRPr="007272BC" w:rsidRDefault="007272BC" w:rsidP="00597B6B">
            <w:pPr>
              <w:pStyle w:val="ListBullet"/>
            </w:pPr>
            <w:r w:rsidRPr="007272BC">
              <w:rPr>
                <w:lang w:val="en-GB"/>
              </w:rPr>
              <w:t xml:space="preserve">At the same time, these measures will often reduce tax collections on sunk investments that have already taken place and on investments that produce economic rents that will take place </w:t>
            </w:r>
            <w:r w:rsidR="00530EE2">
              <w:rPr>
                <w:lang w:val="en-GB"/>
              </w:rPr>
              <w:t xml:space="preserve">regardless of </w:t>
            </w:r>
            <w:r w:rsidRPr="007272BC">
              <w:rPr>
                <w:lang w:val="en-GB"/>
              </w:rPr>
              <w:t>whether source-based taxes are cut.</w:t>
            </w:r>
          </w:p>
          <w:p w14:paraId="73E444F1" w14:textId="42EF0C49" w:rsidR="007272BC" w:rsidRPr="007272BC" w:rsidRDefault="007272BC" w:rsidP="00597B6B">
            <w:pPr>
              <w:pStyle w:val="ListBullet"/>
            </w:pPr>
            <w:r w:rsidRPr="007272BC">
              <w:rPr>
                <w:lang w:val="en-GB"/>
              </w:rPr>
              <w:t>Some measures</w:t>
            </w:r>
            <w:r w:rsidR="005850C1">
              <w:rPr>
                <w:lang w:val="en-GB"/>
              </w:rPr>
              <w:t>,</w:t>
            </w:r>
            <w:r w:rsidRPr="007272BC">
              <w:rPr>
                <w:lang w:val="en-GB"/>
              </w:rPr>
              <w:t xml:space="preserve"> such as cuts in the company tax rate</w:t>
            </w:r>
            <w:r w:rsidR="005850C1">
              <w:rPr>
                <w:lang w:val="en-GB"/>
              </w:rPr>
              <w:t>,</w:t>
            </w:r>
            <w:r w:rsidRPr="007272BC">
              <w:rPr>
                <w:lang w:val="en-GB"/>
              </w:rPr>
              <w:t xml:space="preserve"> may also undermine a government’s goals for the progressivity and integrity of personal income taxation.</w:t>
            </w:r>
          </w:p>
          <w:p w14:paraId="1735BCED" w14:textId="501A9A4D" w:rsidR="007272BC" w:rsidRPr="007272BC" w:rsidRDefault="007272BC" w:rsidP="00597B6B">
            <w:pPr>
              <w:pStyle w:val="ListBullet"/>
            </w:pPr>
            <w:r w:rsidRPr="007272BC">
              <w:rPr>
                <w:lang w:val="en-GB"/>
              </w:rPr>
              <w:t>Greater neutrality of tax settings</w:t>
            </w:r>
            <w:r w:rsidR="00F82F50">
              <w:rPr>
                <w:lang w:val="en-GB"/>
              </w:rPr>
              <w:t>,</w:t>
            </w:r>
            <w:r w:rsidRPr="007272BC">
              <w:rPr>
                <w:lang w:val="en-GB"/>
              </w:rPr>
              <w:t xml:space="preserve"> so that investment financed in different ways and investment in different assets is taxed as consistently as possible</w:t>
            </w:r>
            <w:r w:rsidR="003779AE">
              <w:rPr>
                <w:lang w:val="en-GB"/>
              </w:rPr>
              <w:t>,</w:t>
            </w:r>
            <w:r w:rsidRPr="007272BC">
              <w:rPr>
                <w:lang w:val="en-GB"/>
              </w:rPr>
              <w:t xml:space="preserve"> is also likely to promote productivity and economic efficiency.</w:t>
            </w:r>
          </w:p>
          <w:p w14:paraId="039D8ED1" w14:textId="77777777" w:rsidR="007272BC" w:rsidRPr="007272BC" w:rsidRDefault="007272BC" w:rsidP="00597B6B">
            <w:pPr>
              <w:pStyle w:val="ListBullet"/>
            </w:pPr>
            <w:r w:rsidRPr="007272BC">
              <w:rPr>
                <w:lang w:val="en-GB"/>
              </w:rPr>
              <w:t>Measures reducing source-based taxes are more likely to be in New Zealand’s best interests if there is a substantial investment response.</w:t>
            </w:r>
          </w:p>
          <w:p w14:paraId="4E7C9CAD" w14:textId="5E5FA552" w:rsidR="007272BC" w:rsidRPr="007272BC" w:rsidRDefault="007272BC" w:rsidP="00597B6B">
            <w:pPr>
              <w:pStyle w:val="ListBullet"/>
            </w:pPr>
            <w:r w:rsidRPr="007272BC">
              <w:rPr>
                <w:lang w:val="en-GB"/>
              </w:rPr>
              <w:t>While there is considerable international research on the responsiveness of FDI and capital stock to tax changes, there is currently limited evidence on these issues for New Zealand.</w:t>
            </w:r>
          </w:p>
        </w:tc>
      </w:tr>
    </w:tbl>
    <w:p w14:paraId="3BEBA3E3" w14:textId="77777777" w:rsidR="007272BC" w:rsidRPr="007272BC" w:rsidRDefault="007272BC" w:rsidP="0029171F">
      <w:pPr>
        <w:pStyle w:val="Heading2"/>
        <w:rPr>
          <w:rFonts w:eastAsia="Calibri"/>
          <w:lang w:eastAsia="en-US"/>
        </w:rPr>
      </w:pPr>
      <w:bookmarkStart w:id="14" w:name="_Toc96585518"/>
      <w:r w:rsidRPr="007272BC">
        <w:rPr>
          <w:rFonts w:eastAsia="Calibri"/>
          <w:lang w:eastAsia="en-US"/>
        </w:rPr>
        <w:t>Introduction</w:t>
      </w:r>
      <w:bookmarkEnd w:id="14"/>
    </w:p>
    <w:p w14:paraId="59FB100F" w14:textId="77777777" w:rsidR="007272BC" w:rsidRPr="00F133F7" w:rsidRDefault="007272BC" w:rsidP="00075D72">
      <w:pPr>
        <w:pStyle w:val="NumberedParagraph"/>
        <w:numPr>
          <w:ilvl w:val="1"/>
          <w:numId w:val="64"/>
        </w:numPr>
      </w:pPr>
      <w:r w:rsidRPr="00F133F7">
        <w:t>New Zealand’s tax policy settings will affect incentives for non-residents to invest in New Zealand. They will impact on costs of capital (that is, the real pre-tax rates of return that investments in New Zealand need to generate to be attractive on an after-tax basis).</w:t>
      </w:r>
    </w:p>
    <w:p w14:paraId="0FA3EC10" w14:textId="77777777" w:rsidR="007272BC" w:rsidRPr="007272BC" w:rsidRDefault="007272BC" w:rsidP="00075D72">
      <w:pPr>
        <w:pStyle w:val="NumberedParagraph"/>
        <w:numPr>
          <w:ilvl w:val="1"/>
          <w:numId w:val="64"/>
        </w:numPr>
      </w:pPr>
      <w:r w:rsidRPr="007272BC">
        <w:t>New Zealand depends on capital inflows for its economic development and performance. Inbound investment can generate growth in New Zealand’s capital stock, and with a greater capital stock, labour will tend to become more productive. This will support higher wage rates in New Zealand. Inbound investment could also support productivity and growth through transferring technology, building management expertise and broader business knowhow, and raising the skills and knowledge of the New Zealand workforce. In addition, inbound investment provides access to international production chains and markets.</w:t>
      </w:r>
    </w:p>
    <w:p w14:paraId="1EA3E8C6" w14:textId="42A7AE09" w:rsidR="007272BC" w:rsidRPr="007272BC" w:rsidRDefault="007272BC" w:rsidP="00075D72">
      <w:pPr>
        <w:pStyle w:val="NumberedParagraph"/>
        <w:numPr>
          <w:ilvl w:val="1"/>
          <w:numId w:val="64"/>
        </w:numPr>
      </w:pPr>
      <w:r w:rsidRPr="007272BC">
        <w:t>Company tax is the main tax on inbound investment income. Company tax settings may have important impacts on inbound investment and the efficiency and effectiveness of New Zealand’s tax settings more broadly.</w:t>
      </w:r>
    </w:p>
    <w:p w14:paraId="1125A7EF" w14:textId="35CC6237" w:rsidR="007272BC" w:rsidRPr="007272BC" w:rsidRDefault="007272BC" w:rsidP="00075D72">
      <w:pPr>
        <w:pStyle w:val="NumberedParagraph"/>
        <w:numPr>
          <w:ilvl w:val="1"/>
          <w:numId w:val="64"/>
        </w:numPr>
      </w:pPr>
      <w:r w:rsidRPr="007272BC">
        <w:t xml:space="preserve">Later chapters examine, and extend, work by the OECD on how taxes on inbound investment income can impact on costs of capital and effective marginal tax rates (EMTRs). They look at the pros and cons of some different possible tax policy changes. This chapter discusses an economic framework and some empirical evidence </w:t>
      </w:r>
      <w:r w:rsidR="00486FD2">
        <w:t>that</w:t>
      </w:r>
      <w:r w:rsidRPr="007272BC">
        <w:t xml:space="preserve"> can be helpful in thinking through the likely welfare consequences of taxes on inbound investment.</w:t>
      </w:r>
    </w:p>
    <w:p w14:paraId="6CA8318C" w14:textId="77777777" w:rsidR="007272BC" w:rsidRPr="007272BC" w:rsidRDefault="007272BC" w:rsidP="00075D72">
      <w:pPr>
        <w:pStyle w:val="NumberedParagraph"/>
        <w:numPr>
          <w:ilvl w:val="1"/>
          <w:numId w:val="64"/>
        </w:numPr>
      </w:pPr>
      <w:r w:rsidRPr="007272BC">
        <w:lastRenderedPageBreak/>
        <w:t>We start by presenting a simple economic model, with a single type of capital inflow and a single type of investment, that economists have used to start to examine these sorts of issues. We explain why this model suggests that high taxes on inbound investment into New Zealand can be undesirable. We then discuss a broader range of capital inflows and forms of investment and consider how non-neutral settings can reduce productivity and economic performance. Gains in productivity and economic performance from reducing high EMTRs and making these more neutral will ultimately depend on the responsiveness of investment to tax settings. We complete this chapter by discussing international evidence on how large the effects on investment are likely to be of any reductions in costs of capital and EMTRs.</w:t>
      </w:r>
    </w:p>
    <w:p w14:paraId="0B81AAC5" w14:textId="77777777" w:rsidR="007272BC" w:rsidRPr="00075D72" w:rsidRDefault="007272BC" w:rsidP="00075D72">
      <w:pPr>
        <w:pStyle w:val="NumberedParagraph"/>
        <w:numPr>
          <w:ilvl w:val="1"/>
          <w:numId w:val="64"/>
        </w:numPr>
        <w:rPr>
          <w:lang w:val="en-GB"/>
        </w:rPr>
      </w:pPr>
      <w:r w:rsidRPr="00075D72">
        <w:rPr>
          <w:lang w:val="en-GB"/>
        </w:rPr>
        <w:t xml:space="preserve">Much of the analysis in this chapter has been discussed in other tax reviews, including the </w:t>
      </w:r>
      <w:r w:rsidRPr="00075D72">
        <w:rPr>
          <w:i/>
          <w:iCs/>
          <w:lang w:val="en-GB"/>
        </w:rPr>
        <w:t>Tax Review 2001</w:t>
      </w:r>
      <w:r w:rsidRPr="00075D72">
        <w:rPr>
          <w:lang w:val="en-GB"/>
        </w:rPr>
        <w:t xml:space="preserve"> (chaired by Sir Robert McLeod and commonly referred to as the </w:t>
      </w:r>
      <w:r w:rsidRPr="00075D72">
        <w:rPr>
          <w:i/>
          <w:iCs/>
          <w:lang w:val="en-GB"/>
        </w:rPr>
        <w:t>McLeod Review</w:t>
      </w:r>
      <w:r w:rsidRPr="00075D72">
        <w:rPr>
          <w:lang w:val="en-GB"/>
        </w:rPr>
        <w:t>)</w:t>
      </w:r>
      <w:r w:rsidRPr="007427DB">
        <w:rPr>
          <w:vertAlign w:val="superscript"/>
          <w:lang w:val="en-GB"/>
        </w:rPr>
        <w:footnoteReference w:id="8"/>
      </w:r>
      <w:r w:rsidRPr="00075D72">
        <w:rPr>
          <w:lang w:val="en-GB"/>
        </w:rPr>
        <w:t xml:space="preserve"> and </w:t>
      </w:r>
      <w:r w:rsidRPr="00075D72">
        <w:rPr>
          <w:i/>
          <w:iCs/>
          <w:lang w:val="en-GB"/>
        </w:rPr>
        <w:t>New Zealand’s taxation framework for inbound investment,</w:t>
      </w:r>
      <w:r w:rsidRPr="00075D72">
        <w:rPr>
          <w:lang w:val="en-GB"/>
        </w:rPr>
        <w:t xml:space="preserve"> Inland Revenue and Treasury (2016).</w:t>
      </w:r>
      <w:r w:rsidRPr="007427DB">
        <w:rPr>
          <w:vertAlign w:val="superscript"/>
          <w:lang w:val="en-GB"/>
        </w:rPr>
        <w:footnoteReference w:id="9"/>
      </w:r>
      <w:r w:rsidRPr="00075D72">
        <w:rPr>
          <w:i/>
          <w:iCs/>
          <w:lang w:val="en-GB"/>
        </w:rPr>
        <w:t xml:space="preserve"> </w:t>
      </w:r>
      <w:r w:rsidRPr="00075D72">
        <w:rPr>
          <w:lang w:val="en-GB"/>
        </w:rPr>
        <w:t>The chapter draws on this analysis.</w:t>
      </w:r>
    </w:p>
    <w:p w14:paraId="0880F20E" w14:textId="4E098513" w:rsidR="007272BC" w:rsidRPr="007272BC" w:rsidRDefault="007272BC" w:rsidP="00CE3C97">
      <w:pPr>
        <w:pStyle w:val="Heading2"/>
        <w:rPr>
          <w:rFonts w:eastAsia="Calibri"/>
          <w:lang w:eastAsia="en-US"/>
        </w:rPr>
      </w:pPr>
      <w:bookmarkStart w:id="15" w:name="_Toc96585519"/>
      <w:r w:rsidRPr="007272BC">
        <w:rPr>
          <w:rFonts w:eastAsia="Calibri"/>
          <w:lang w:eastAsia="en-US"/>
        </w:rPr>
        <w:t>The effects of source-based taxes on inbound investment income in a small open economy – a simple model</w:t>
      </w:r>
      <w:bookmarkEnd w:id="15"/>
    </w:p>
    <w:p w14:paraId="55D2B630" w14:textId="77777777" w:rsidR="007272BC" w:rsidRPr="007272BC" w:rsidRDefault="007272BC" w:rsidP="00075D72">
      <w:pPr>
        <w:pStyle w:val="NumberedParagraph"/>
        <w:numPr>
          <w:ilvl w:val="1"/>
          <w:numId w:val="64"/>
        </w:numPr>
      </w:pPr>
      <w:r w:rsidRPr="007272BC">
        <w:t xml:space="preserve">New Zealand imposes company tax and other taxes on non-residents on income sourced from New Zealand, and this is often referred to as a </w:t>
      </w:r>
      <w:r w:rsidRPr="00075D72">
        <w:rPr>
          <w:i/>
          <w:iCs/>
        </w:rPr>
        <w:t>source-based income tax</w:t>
      </w:r>
      <w:r w:rsidRPr="007272BC">
        <w:t xml:space="preserve">. Tax is also imposed on New Zealand residents when they earn income from New Zealand or foreign countries. This is often referred to as a </w:t>
      </w:r>
      <w:r w:rsidRPr="00075D72">
        <w:rPr>
          <w:i/>
          <w:iCs/>
        </w:rPr>
        <w:t xml:space="preserve">residence-based income tax. </w:t>
      </w:r>
      <w:r w:rsidRPr="007272BC">
        <w:t>New Zealand’s tax settings comprise elements of both source-basis and residence-basis taxation.</w:t>
      </w:r>
    </w:p>
    <w:p w14:paraId="0FA424A2" w14:textId="77777777" w:rsidR="007272BC" w:rsidRPr="007272BC" w:rsidRDefault="007272BC" w:rsidP="00075D72">
      <w:pPr>
        <w:pStyle w:val="NumberedParagraph"/>
        <w:numPr>
          <w:ilvl w:val="1"/>
          <w:numId w:val="64"/>
        </w:numPr>
      </w:pPr>
      <w:r w:rsidRPr="007272BC">
        <w:t>A key question is whether it is in the best interests of a small open economy (SOE) to impose source-based income taxes on the income that non-residents earn from investment in the SOE.</w:t>
      </w:r>
    </w:p>
    <w:p w14:paraId="271E227C" w14:textId="77777777" w:rsidR="007272BC" w:rsidRPr="007272BC" w:rsidRDefault="007272BC" w:rsidP="00075D72">
      <w:pPr>
        <w:pStyle w:val="NumberedParagraph"/>
        <w:numPr>
          <w:ilvl w:val="1"/>
          <w:numId w:val="64"/>
        </w:numPr>
      </w:pPr>
      <w:r w:rsidRPr="007272BC">
        <w:t>A standard simple economic model considers an SOE importing a single type of capital. Under the standard SOE assumption, an SOE like New Zealand faces a perfectly elastic supply of capital. This means New Zealand can import as much capital as it wants without affecting the returns that foreigners demand (net of any New Zealand taxes) for supplying their capital to New Zealand. In the model, investment is assumed to take place until additional investment is earning only marginal (or break-even) returns.</w:t>
      </w:r>
    </w:p>
    <w:p w14:paraId="4A1DBB66" w14:textId="78DF8102" w:rsidR="007272BC" w:rsidRPr="007272BC" w:rsidRDefault="007272BC" w:rsidP="00075D72">
      <w:pPr>
        <w:pStyle w:val="NumberedParagraph"/>
        <w:numPr>
          <w:ilvl w:val="1"/>
          <w:numId w:val="64"/>
        </w:numPr>
      </w:pPr>
      <w:r w:rsidRPr="007272BC">
        <w:t xml:space="preserve">To provide non-residents with the returns they demand, investments need to generate a rate of return that is at least as good as what could be achieved if the non-residents supplied their capital to other countries. Economic rents are returns in excess of the return that non-residents demand on their funds. If there are no economic rents, the implication of this model is that there should be no taxes imposed on inbound investment, except to the extent that taxes imposed in the SOE are creditable abroad (that is, taxes overseas are reduced dollar for dollar as a result of tax being paid in New Zealand). This is because it is likely to be a particularly inefficient backdoor way of taxing domestic residents. Any tax imposed will be passed on to other </w:t>
      </w:r>
      <w:r w:rsidR="00515712">
        <w:t xml:space="preserve">domestic </w:t>
      </w:r>
      <w:r w:rsidRPr="007272BC">
        <w:t xml:space="preserve">factors of </w:t>
      </w:r>
      <w:r w:rsidRPr="007272BC">
        <w:lastRenderedPageBreak/>
        <w:t>production, such as land and labour, but in a manner that is less efficient than taxing those factors directly.</w:t>
      </w:r>
    </w:p>
    <w:p w14:paraId="71AB156A" w14:textId="715BF719" w:rsidR="007272BC" w:rsidRPr="007272BC" w:rsidRDefault="007272BC" w:rsidP="00075D72">
      <w:pPr>
        <w:pStyle w:val="NumberedParagraph"/>
        <w:numPr>
          <w:ilvl w:val="1"/>
          <w:numId w:val="64"/>
        </w:numPr>
      </w:pPr>
      <w:r w:rsidRPr="007272BC">
        <w:t xml:space="preserve">The logic behind this model can be most easily seen if we think of debt as being the single form of capital and lending to New Zealand being no more or less risky than lending to other countries. If New Zealand is a net capital importer importing debt from the rest of the world, it must offer an interest rate that non-resident lenders are willing to accept. Suppose we tax interest payments to non-residents. Unless non-residents can claim credits for these taxes (which reduces the amount of tax they pay overseas on this income), the interest rate will need to rise until the net-of-NZ-tax interest rate is the same as what </w:t>
      </w:r>
      <w:r w:rsidR="00A86BBD">
        <w:t xml:space="preserve">the non-resident </w:t>
      </w:r>
      <w:r w:rsidRPr="007272BC">
        <w:t>can obtain from lending to other countries. Thus, the economic incidence of this tax will be borne by domestic borrowers, rather than foreign lenders.</w:t>
      </w:r>
    </w:p>
    <w:p w14:paraId="4B6169C9" w14:textId="1489E5EE" w:rsidR="007272BC" w:rsidRPr="007272BC" w:rsidRDefault="007272BC" w:rsidP="00075D72">
      <w:pPr>
        <w:pStyle w:val="NumberedParagraph"/>
        <w:numPr>
          <w:ilvl w:val="1"/>
          <w:numId w:val="64"/>
        </w:numPr>
      </w:pPr>
      <w:r w:rsidRPr="007272BC">
        <w:t>Much the same story will apply if the single form of capital were equity. A source-based company tax is likely to push up hurdle rates of return until foreign equity investors are earning comparable risk-adjusted returns to what they can obtain elsewhere. If there are no economic rents, the tax will not be borne by non-residents because they will never be willing to accept less than the marginal rate of return that they can obtain from investing in other countries. Instead, hurdle rates of return will need to rise</w:t>
      </w:r>
      <w:r w:rsidR="00B00AC6">
        <w:t>,</w:t>
      </w:r>
      <w:r w:rsidRPr="007272BC">
        <w:t xml:space="preserve"> which will mean less capital stock, a less productive labour force and lower wages. The tax will fall on New Zealanders rather than non-residents.</w:t>
      </w:r>
    </w:p>
    <w:p w14:paraId="73241B9C" w14:textId="7CE0B4BD" w:rsidR="007272BC" w:rsidRPr="007272BC" w:rsidRDefault="007272BC" w:rsidP="00075D72">
      <w:pPr>
        <w:pStyle w:val="NumberedParagraph"/>
        <w:numPr>
          <w:ilvl w:val="1"/>
          <w:numId w:val="64"/>
        </w:numPr>
      </w:pPr>
      <w:r w:rsidRPr="007272BC">
        <w:t>With equity</w:t>
      </w:r>
      <w:r w:rsidR="00F50AC8">
        <w:t>-</w:t>
      </w:r>
      <w:r w:rsidRPr="007272BC">
        <w:t>financed investment there are some additional issues to consider. Risk and uncertainty will complicate the story because different non-resident suppliers of capital will generally have different views about what the returns on an investment are likely to be. This may make the supply of capital less than perfectly elastic. However, it might still be expected that taxes in New Zealand will largely drive up the pre-tax rates of return that investments are required to generate to provide the returns (net of any New Zealand tax) that non-residents demand on their funds.</w:t>
      </w:r>
    </w:p>
    <w:p w14:paraId="4B441679" w14:textId="415C4AD1" w:rsidR="007272BC" w:rsidRPr="007272BC" w:rsidRDefault="007272BC" w:rsidP="00075D72">
      <w:pPr>
        <w:pStyle w:val="NumberedParagraph"/>
        <w:numPr>
          <w:ilvl w:val="1"/>
          <w:numId w:val="64"/>
        </w:numPr>
      </w:pPr>
      <w:r w:rsidRPr="007272BC">
        <w:t>If there are no economic rents and the supply of capital is perfectly elastic, the implication of this model is that</w:t>
      </w:r>
      <w:r w:rsidR="009F58D2">
        <w:t>,</w:t>
      </w:r>
      <w:r w:rsidRPr="007272BC">
        <w:t xml:space="preserve"> except to the extent that taxes imposed in the SOE are creditable abroad, there should be no source-basis taxes imposed on inbound investment income.</w:t>
      </w:r>
    </w:p>
    <w:p w14:paraId="0E1F01E4" w14:textId="3A35DC7B" w:rsidR="007272BC" w:rsidRPr="007272BC" w:rsidRDefault="007272BC" w:rsidP="00075D72">
      <w:pPr>
        <w:pStyle w:val="NumberedParagraph"/>
        <w:numPr>
          <w:ilvl w:val="1"/>
          <w:numId w:val="64"/>
        </w:numPr>
      </w:pPr>
      <w:r w:rsidRPr="007272BC">
        <w:t>This model is discussed in Gordon and Hines (2002), who conclude the burden of a source-based tax will be borne entirely by labour or other fixed factors. A labour income tax would reduce the net wage rate</w:t>
      </w:r>
      <w:r w:rsidR="009B72F6">
        <w:t>,</w:t>
      </w:r>
      <w:r w:rsidRPr="007272BC">
        <w:t xml:space="preserve"> and this would create some labour market distortions. The key point, however, is that these distortions would also be created by a tax on inbound investments that reduces capital stock and makes labour less productive. However, while a source-based tax also distorts investment decisions, a labour income tax does not. Gordon and Hines argue that a strong conclusion about tax policy in an open economy setting is that a source-based tax on capital income should not be used since it is dominated by a labour-income tax (Gordon &amp; Hines, 2002, pp. 1939-1940).</w:t>
      </w:r>
    </w:p>
    <w:p w14:paraId="56984AD0" w14:textId="77777777" w:rsidR="007272BC" w:rsidRPr="007272BC" w:rsidRDefault="007272BC" w:rsidP="00075D72">
      <w:pPr>
        <w:pStyle w:val="NumberedParagraph"/>
        <w:numPr>
          <w:ilvl w:val="1"/>
          <w:numId w:val="64"/>
        </w:numPr>
      </w:pPr>
      <w:r w:rsidRPr="007272BC">
        <w:t>Thus, in this model, source-based taxes that drive up the cost of capital are always undesirable because they burden New Zealanders more than necessary for the tax amount being collected.</w:t>
      </w:r>
    </w:p>
    <w:p w14:paraId="2B7AF63D" w14:textId="32082C8B" w:rsidR="007272BC" w:rsidRPr="007272BC" w:rsidRDefault="007272BC" w:rsidP="00075D72">
      <w:pPr>
        <w:pStyle w:val="NumberedParagraph"/>
        <w:numPr>
          <w:ilvl w:val="1"/>
          <w:numId w:val="64"/>
        </w:numPr>
      </w:pPr>
      <w:r w:rsidRPr="007272BC">
        <w:t>This analysis provides some arguments against source-based taxes on marginal investment into a</w:t>
      </w:r>
      <w:r w:rsidR="000648D4">
        <w:t>n</w:t>
      </w:r>
      <w:r w:rsidRPr="007272BC">
        <w:t xml:space="preserve"> </w:t>
      </w:r>
      <w:r w:rsidR="000648D4">
        <w:t>SOE</w:t>
      </w:r>
      <w:r w:rsidRPr="007272BC">
        <w:t xml:space="preserve"> like New Zealand. </w:t>
      </w:r>
      <w:r w:rsidR="00DD17DF">
        <w:t>However,</w:t>
      </w:r>
      <w:r w:rsidRPr="007272BC">
        <w:t xml:space="preserve"> there are </w:t>
      </w:r>
      <w:r w:rsidR="00DD17DF">
        <w:t>several</w:t>
      </w:r>
      <w:r w:rsidRPr="007272BC">
        <w:t xml:space="preserve"> balancing considerations </w:t>
      </w:r>
      <w:r w:rsidR="00DD17DF">
        <w:t>that</w:t>
      </w:r>
      <w:r w:rsidRPr="007272BC">
        <w:t xml:space="preserve"> push against abandoning source-based taxes altogether.</w:t>
      </w:r>
    </w:p>
    <w:p w14:paraId="2745527C" w14:textId="71DB31F6" w:rsidR="007272BC" w:rsidRPr="007272BC" w:rsidRDefault="007272BC" w:rsidP="00075D72">
      <w:pPr>
        <w:pStyle w:val="NumberedParagraph"/>
        <w:numPr>
          <w:ilvl w:val="1"/>
          <w:numId w:val="64"/>
        </w:numPr>
      </w:pPr>
      <w:r w:rsidRPr="007272BC">
        <w:lastRenderedPageBreak/>
        <w:t>S</w:t>
      </w:r>
      <w:r w:rsidR="005B0B6A">
        <w:t>OEs</w:t>
      </w:r>
      <w:r w:rsidRPr="007272BC">
        <w:t xml:space="preserve"> have not abandoned such taxes (although, as will be discussed in </w:t>
      </w:r>
      <w:r w:rsidR="00831BF0" w:rsidRPr="007272BC">
        <w:t>chapter</w:t>
      </w:r>
      <w:r w:rsidR="00831BF0">
        <w:t> </w:t>
      </w:r>
      <w:r w:rsidRPr="007272BC">
        <w:t>3, many other countries have lower source-based taxes than New Zealand does). In particular:</w:t>
      </w:r>
    </w:p>
    <w:p w14:paraId="4F4740C2" w14:textId="702371D1" w:rsidR="007272BC" w:rsidRPr="007272BC" w:rsidRDefault="007272BC" w:rsidP="00075D72">
      <w:pPr>
        <w:pStyle w:val="NumberedParagraph-BulletL1"/>
        <w:numPr>
          <w:ilvl w:val="2"/>
          <w:numId w:val="64"/>
        </w:numPr>
      </w:pPr>
      <w:r w:rsidRPr="007272BC">
        <w:t xml:space="preserve">Economic rents (profits above a global minimum hurdle rate) may sometimes be substantial, and the burden of taxes </w:t>
      </w:r>
      <w:r w:rsidR="00A86BBD">
        <w:t xml:space="preserve">on these rents </w:t>
      </w:r>
      <w:r w:rsidRPr="007272BC">
        <w:t>may often be borne by foreign investors.</w:t>
      </w:r>
    </w:p>
    <w:p w14:paraId="7B8C3DD8" w14:textId="77777777" w:rsidR="007272BC" w:rsidRPr="007272BC" w:rsidRDefault="007272BC" w:rsidP="00075D72">
      <w:pPr>
        <w:pStyle w:val="NumberedParagraph-BulletL1"/>
        <w:numPr>
          <w:ilvl w:val="2"/>
          <w:numId w:val="64"/>
        </w:numPr>
      </w:pPr>
      <w:r w:rsidRPr="007272BC">
        <w:t>While the supply of capital is likely to be very elastic, it may be less than perfectly elastic, and this may allow some of the burden of taxes to be borne by foreign investors.</w:t>
      </w:r>
    </w:p>
    <w:p w14:paraId="4E2D92D6" w14:textId="77777777" w:rsidR="007272BC" w:rsidRPr="007272BC" w:rsidRDefault="007272BC" w:rsidP="00075D72">
      <w:pPr>
        <w:pStyle w:val="NumberedParagraph-BulletL1"/>
        <w:numPr>
          <w:ilvl w:val="2"/>
          <w:numId w:val="64"/>
        </w:numPr>
      </w:pPr>
      <w:r w:rsidRPr="007272BC">
        <w:t>Reducing tax on both sunk investments and land would provide windfall gains to existing owners of firms with these assets where the firms had undertaken the investment in the expectation that future returns would be taxed. Replacing this revenue source is likely to impose burdens on New Zealanders.</w:t>
      </w:r>
    </w:p>
    <w:p w14:paraId="4566EFE3" w14:textId="70E51546" w:rsidR="007272BC" w:rsidRPr="007272BC" w:rsidRDefault="007272BC" w:rsidP="00075D72">
      <w:pPr>
        <w:pStyle w:val="NumberedParagraph-BulletL1"/>
        <w:numPr>
          <w:ilvl w:val="2"/>
          <w:numId w:val="64"/>
        </w:numPr>
      </w:pPr>
      <w:r w:rsidRPr="007272BC">
        <w:t>Foreign tax credits for taxes paid in New Zealand may be available overseas, especially non-resident withholding taxes (NRWT).</w:t>
      </w:r>
    </w:p>
    <w:p w14:paraId="190DB0A2" w14:textId="1A1A844B" w:rsidR="007272BC" w:rsidRPr="007272BC" w:rsidRDefault="007272BC" w:rsidP="00075D72">
      <w:pPr>
        <w:pStyle w:val="NumberedParagraph-BulletL1"/>
        <w:numPr>
          <w:ilvl w:val="2"/>
          <w:numId w:val="64"/>
        </w:numPr>
      </w:pPr>
      <w:r w:rsidRPr="007272BC">
        <w:t>When taxes are borne by foreign investors, it allows New Zealanders to pay lower taxes. To give tax cuts where a substantial benefit flows to non-residents may be costly to New Zealanders.</w:t>
      </w:r>
    </w:p>
    <w:p w14:paraId="3D3DF02C" w14:textId="77777777" w:rsidR="007272BC" w:rsidRPr="007272BC" w:rsidRDefault="007272BC" w:rsidP="00075D72">
      <w:pPr>
        <w:pStyle w:val="NumberedParagraph-BulletL1"/>
        <w:numPr>
          <w:ilvl w:val="2"/>
          <w:numId w:val="64"/>
        </w:numPr>
      </w:pPr>
      <w:r w:rsidRPr="007272BC">
        <w:t>In later chapters we look at some other ways of taxing economic rents. The analysis suggests that if we could find sensible and efficient ways of taxing economic rents and if we could restrict the benefits of source-based tax cuts to new investment only, high source-based taxes on inbound investment would be reducing economic efficiency and there would be a case for reducing these taxes.</w:t>
      </w:r>
    </w:p>
    <w:p w14:paraId="0C33A01B" w14:textId="167BABAF" w:rsidR="007272BC" w:rsidRPr="007272BC" w:rsidRDefault="007272BC" w:rsidP="00075D72">
      <w:pPr>
        <w:pStyle w:val="NumberedParagraph"/>
        <w:numPr>
          <w:ilvl w:val="1"/>
          <w:numId w:val="64"/>
        </w:numPr>
      </w:pPr>
      <w:r w:rsidRPr="007272BC">
        <w:t>There are, however, also some important fairness issues to consider. Company tax has a dual role in New Zealand. Not only is it the most important source-based tax on the income of non-residents, it is also an important source of revenue and an important way of supporting the progressivity and integrity of personal income taxation.</w:t>
      </w:r>
      <w:r w:rsidRPr="007272BC">
        <w:rPr>
          <w:vertAlign w:val="superscript"/>
        </w:rPr>
        <w:footnoteReference w:id="10"/>
      </w:r>
      <w:r w:rsidRPr="007272BC">
        <w:t xml:space="preserve"> Without a company tax, it would be much easier for those with high income and wealth to earn their income through companies and minimise the tax they paid. Thus, company tax is important in maintaining the integrity and coherence of the personal tax system.</w:t>
      </w:r>
    </w:p>
    <w:p w14:paraId="3391D04D" w14:textId="21760529" w:rsidR="007272BC" w:rsidRPr="007272BC" w:rsidRDefault="007272BC" w:rsidP="00075D72">
      <w:pPr>
        <w:pStyle w:val="NumberedParagraph"/>
        <w:numPr>
          <w:ilvl w:val="1"/>
          <w:numId w:val="64"/>
        </w:numPr>
      </w:pPr>
      <w:r w:rsidRPr="007272BC">
        <w:t>For example, Inland Revenue data on a set of high-wealth individuals (HWIs) suggests that, of their total taxable income earned both directly and through entities, only 5% is taxed at personal rates, with 12% taxed at the trustee tax rate and 83% taxed at the company rate. A zero</w:t>
      </w:r>
      <w:r w:rsidR="00554505">
        <w:t xml:space="preserve"> </w:t>
      </w:r>
      <w:r w:rsidRPr="007272BC">
        <w:t>company tax rate would create considerable scope for some HWIs to pay little or no tax until profits accumulating in companies are eventually paid to shareholders as dividends.</w:t>
      </w:r>
    </w:p>
    <w:p w14:paraId="7BF0DF0E" w14:textId="47B0AC4B" w:rsidR="007272BC" w:rsidRPr="007272BC" w:rsidRDefault="00341AD4" w:rsidP="00075D72">
      <w:pPr>
        <w:pStyle w:val="NumberedParagraph"/>
        <w:numPr>
          <w:ilvl w:val="1"/>
          <w:numId w:val="64"/>
        </w:numPr>
      </w:pPr>
      <w:r>
        <w:t>A balancing consideration is</w:t>
      </w:r>
      <w:r w:rsidR="007272BC" w:rsidRPr="007272BC">
        <w:t xml:space="preserve"> that lowering the company tax rate would reduce incentives for multinational companies to shift profits away from New Zealand through transfer pricing or thinly capitalising their New Zealand subsidiaries.</w:t>
      </w:r>
    </w:p>
    <w:p w14:paraId="62AA080E" w14:textId="4EDFFA5D" w:rsidR="007272BC" w:rsidRPr="009855C3" w:rsidRDefault="007272BC" w:rsidP="00075D72">
      <w:pPr>
        <w:pStyle w:val="NumberedParagraph"/>
        <w:numPr>
          <w:ilvl w:val="1"/>
          <w:numId w:val="64"/>
        </w:numPr>
      </w:pPr>
      <w:r w:rsidRPr="003B6F2B">
        <w:lastRenderedPageBreak/>
        <w:t>McKeehan and Zodrow (2017) provide a formal model that attempts to trade off the different pros and cons of cutting source-based taxes in a</w:t>
      </w:r>
      <w:r w:rsidR="002A46AD" w:rsidRPr="003B6F2B">
        <w:t>n</w:t>
      </w:r>
      <w:r w:rsidRPr="003B6F2B">
        <w:t xml:space="preserve"> SOE</w:t>
      </w:r>
      <w:r w:rsidRPr="009855C3">
        <w:t>.</w:t>
      </w:r>
    </w:p>
    <w:p w14:paraId="3003F78D" w14:textId="76DECA99" w:rsidR="007272BC" w:rsidRPr="007272BC" w:rsidRDefault="007272BC" w:rsidP="00CE3C97">
      <w:pPr>
        <w:pStyle w:val="Heading2"/>
        <w:rPr>
          <w:rFonts w:eastAsia="Calibri"/>
          <w:lang w:eastAsia="en-US"/>
        </w:rPr>
      </w:pPr>
      <w:bookmarkStart w:id="16" w:name="_Toc96585520"/>
      <w:r w:rsidRPr="007272BC">
        <w:rPr>
          <w:rFonts w:eastAsia="Calibri"/>
          <w:lang w:eastAsia="en-US"/>
        </w:rPr>
        <w:t>Different types of capital inflows and different costs of capital</w:t>
      </w:r>
      <w:bookmarkEnd w:id="16"/>
    </w:p>
    <w:p w14:paraId="233C965E" w14:textId="77777777" w:rsidR="007272BC" w:rsidRPr="007272BC" w:rsidRDefault="007272BC" w:rsidP="00075D72">
      <w:pPr>
        <w:pStyle w:val="NumberedParagraph"/>
        <w:numPr>
          <w:ilvl w:val="1"/>
          <w:numId w:val="64"/>
        </w:numPr>
      </w:pPr>
      <w:r w:rsidRPr="007272BC">
        <w:t>The simple model outlined above assumed a single type of capital inflow and a single type of investment. In practice, source-based taxes may affect:</w:t>
      </w:r>
    </w:p>
    <w:p w14:paraId="66616C30" w14:textId="77777777" w:rsidR="007272BC" w:rsidRPr="007272BC" w:rsidRDefault="007272BC" w:rsidP="00075D72">
      <w:pPr>
        <w:pStyle w:val="NumberedParagraph-BulletL1"/>
        <w:numPr>
          <w:ilvl w:val="2"/>
          <w:numId w:val="64"/>
        </w:numPr>
      </w:pPr>
      <w:r w:rsidRPr="007272BC">
        <w:t>both foreign direct investment (FDI) and foreign portfolio investment (FPI) (passive portfolio holdings of New Zealand debt and equity securities by overseas investors)</w:t>
      </w:r>
    </w:p>
    <w:p w14:paraId="428057B0" w14:textId="77777777" w:rsidR="007272BC" w:rsidRPr="007272BC" w:rsidRDefault="007272BC" w:rsidP="00075D72">
      <w:pPr>
        <w:pStyle w:val="NumberedParagraph-BulletL1"/>
        <w:numPr>
          <w:ilvl w:val="2"/>
          <w:numId w:val="64"/>
        </w:numPr>
      </w:pPr>
      <w:r w:rsidRPr="007272BC">
        <w:t>how firms are financed, for example, with debt or equity, and</w:t>
      </w:r>
    </w:p>
    <w:p w14:paraId="50B0C424" w14:textId="77777777" w:rsidR="007272BC" w:rsidRPr="007272BC" w:rsidRDefault="007272BC" w:rsidP="00075D72">
      <w:pPr>
        <w:pStyle w:val="NumberedParagraph-BulletL1"/>
        <w:numPr>
          <w:ilvl w:val="2"/>
          <w:numId w:val="64"/>
        </w:numPr>
      </w:pPr>
      <w:r w:rsidRPr="007272BC">
        <w:t>the sorts of assets that are acquired (for example, buildings, machinery and equipment, inventories or intangible assets).</w:t>
      </w:r>
    </w:p>
    <w:p w14:paraId="286184AD" w14:textId="5083A9D0" w:rsidR="007272BC" w:rsidRPr="007272BC" w:rsidRDefault="007272BC" w:rsidP="00CE3C97">
      <w:pPr>
        <w:pStyle w:val="Heading3"/>
        <w:rPr>
          <w:rFonts w:eastAsia="Calibri"/>
          <w:lang w:eastAsia="en-US"/>
        </w:rPr>
      </w:pPr>
      <w:r w:rsidRPr="007272BC">
        <w:rPr>
          <w:rFonts w:eastAsia="Calibri"/>
          <w:lang w:eastAsia="en-US"/>
        </w:rPr>
        <w:t>FDI or FPI</w:t>
      </w:r>
    </w:p>
    <w:p w14:paraId="402BB465" w14:textId="77777777" w:rsidR="007272BC" w:rsidRPr="007272BC" w:rsidRDefault="007272BC" w:rsidP="00075D72">
      <w:pPr>
        <w:pStyle w:val="NumberedParagraph"/>
        <w:numPr>
          <w:ilvl w:val="1"/>
          <w:numId w:val="64"/>
        </w:numPr>
      </w:pPr>
      <w:r w:rsidRPr="007272BC">
        <w:t>The simple model outlined above makes no distinction between FDI and FPI. However, as the McLeod Review discusses, there may be some important differences. For example, there could be important productivity spillovers from FDI that may make FDI a more powerful way of promoting productivity and growth than FPI. By itself, this might be a reason for considering lower source-based taxes on FDI than on FPI. At the same time, economic rents are likely to be more of an issue for FDI than for FPI, which might be a reason for having a higher tax rate on FDI than on FPI.</w:t>
      </w:r>
    </w:p>
    <w:p w14:paraId="67B44E78" w14:textId="5A8610B2" w:rsidR="007272BC" w:rsidRPr="007272BC" w:rsidRDefault="007272BC" w:rsidP="00CE3C97">
      <w:pPr>
        <w:pStyle w:val="Heading3"/>
        <w:rPr>
          <w:rFonts w:eastAsia="Calibri"/>
          <w:lang w:eastAsia="en-US"/>
        </w:rPr>
      </w:pPr>
      <w:r w:rsidRPr="007272BC">
        <w:rPr>
          <w:rFonts w:eastAsia="Calibri"/>
          <w:lang w:eastAsia="en-US"/>
        </w:rPr>
        <w:t>Debt and equity</w:t>
      </w:r>
    </w:p>
    <w:p w14:paraId="0B335240" w14:textId="2FA57701" w:rsidR="007272BC" w:rsidRPr="007272BC" w:rsidRDefault="007272BC" w:rsidP="00075D72">
      <w:pPr>
        <w:pStyle w:val="NumberedParagraph"/>
        <w:numPr>
          <w:ilvl w:val="1"/>
          <w:numId w:val="64"/>
        </w:numPr>
      </w:pPr>
      <w:r w:rsidRPr="007272BC">
        <w:t>Costs of capital and EMTRs are likely to be much higher for equity-financed investment into New Zealand than for debt-financed investment because interest is a deductible expense</w:t>
      </w:r>
      <w:r w:rsidR="00B51C55">
        <w:t>,</w:t>
      </w:r>
      <w:r w:rsidRPr="007272BC">
        <w:t xml:space="preserve"> whereas dividends are not. We see in later chapters that, while New Zealand has relatively high costs of capital and EMTRs compared to most OECD countries, there will be instances where investments are being subsidised by the tax system and EMTRs are negative. The same model that suggests source-based taxes on inbound investment are particularly inefficient would suggest that source-based subsidies to inbound investment are also particularly inefficient – unless the subsidies are justified by important productivity spillovers or perhaps assist in supporting broader measures of wellbeing. The subsidies would benefit domestic factors, such as labour, but in a less efficient way than if these factors were subsidised directly.</w:t>
      </w:r>
    </w:p>
    <w:p w14:paraId="4AE71001" w14:textId="77777777" w:rsidR="007272BC" w:rsidRPr="007272BC" w:rsidRDefault="007272BC" w:rsidP="00075D72">
      <w:pPr>
        <w:pStyle w:val="NumberedParagraph"/>
        <w:numPr>
          <w:ilvl w:val="1"/>
          <w:numId w:val="64"/>
        </w:numPr>
      </w:pPr>
      <w:r w:rsidRPr="007272BC">
        <w:t>Some measures that may reduce source-based taxes, such as a reduction in the company tax rate, would also reduce differences between equity-financed and debt-financed investment. Other measures, such as accelerated depreciation, would reduce costs of capital and EMTRs without reducing the distortions between these different ways of financing investment.</w:t>
      </w:r>
    </w:p>
    <w:p w14:paraId="1D5DDD64" w14:textId="5FD62339" w:rsidR="007272BC" w:rsidRPr="007272BC" w:rsidRDefault="007272BC" w:rsidP="00CE3C97">
      <w:pPr>
        <w:pStyle w:val="Heading3"/>
        <w:rPr>
          <w:rFonts w:eastAsia="Calibri"/>
          <w:lang w:eastAsia="en-US"/>
        </w:rPr>
      </w:pPr>
      <w:r w:rsidRPr="007272BC">
        <w:rPr>
          <w:rFonts w:eastAsia="Calibri"/>
          <w:lang w:eastAsia="en-US"/>
        </w:rPr>
        <w:t>Types of asset</w:t>
      </w:r>
    </w:p>
    <w:p w14:paraId="350315CD" w14:textId="1AD242F5" w:rsidR="007272BC" w:rsidRPr="007272BC" w:rsidRDefault="007272BC" w:rsidP="00075D72">
      <w:pPr>
        <w:pStyle w:val="NumberedParagraph"/>
        <w:numPr>
          <w:ilvl w:val="1"/>
          <w:numId w:val="64"/>
        </w:numPr>
      </w:pPr>
      <w:r w:rsidRPr="007272BC">
        <w:t xml:space="preserve">The OECD benchmarking exercise suggests New Zealand has relatively high costs of capital and EMTRs on average. However, costs of capital and EMTRs </w:t>
      </w:r>
      <w:r w:rsidR="00A86BBD">
        <w:t>do</w:t>
      </w:r>
      <w:r w:rsidRPr="007272BC">
        <w:t xml:space="preserve"> differ between investment in different assets. For some assets, such as investment in intangible assets, there can often be an element of subsidy if investments are partially debt financed.</w:t>
      </w:r>
    </w:p>
    <w:p w14:paraId="52683675" w14:textId="77777777" w:rsidR="007272BC" w:rsidRPr="007272BC" w:rsidRDefault="007272BC" w:rsidP="0056330D">
      <w:pPr>
        <w:pStyle w:val="Heading3"/>
        <w:rPr>
          <w:rFonts w:eastAsia="Calibri"/>
          <w:lang w:eastAsia="en-US"/>
        </w:rPr>
      </w:pPr>
      <w:r w:rsidRPr="007272BC">
        <w:rPr>
          <w:rFonts w:eastAsia="Calibri"/>
          <w:lang w:eastAsia="en-US"/>
        </w:rPr>
        <w:lastRenderedPageBreak/>
        <w:t>Tax neutrality</w:t>
      </w:r>
    </w:p>
    <w:p w14:paraId="02FE104F" w14:textId="0F5F775D" w:rsidR="007272BC" w:rsidRPr="007272BC" w:rsidRDefault="007272BC" w:rsidP="00075D72">
      <w:pPr>
        <w:pStyle w:val="NumberedParagraph"/>
        <w:numPr>
          <w:ilvl w:val="1"/>
          <w:numId w:val="64"/>
        </w:numPr>
      </w:pPr>
      <w:r w:rsidRPr="007272BC">
        <w:t>The neutrality of tax settings is an important consideration. Suppose that investment funds can be attracted at a real cost of 3% to New Zealand (net of any New Zealand taxes). Also suppose that a non-neutral tax system means that investment in one type of asset (type 1 assets) initially has a cost of capital or hurdle rate of return of 5%</w:t>
      </w:r>
      <w:r w:rsidR="00A86BBD">
        <w:t xml:space="preserve"> because it faces a relatively heavy tax impost. I</w:t>
      </w:r>
      <w:r w:rsidRPr="007272BC">
        <w:t>nvestment in a second type of asset (type 2 assets) has a cost of capital of 2%</w:t>
      </w:r>
      <w:r w:rsidR="00A86BBD">
        <w:t xml:space="preserve"> because it faces a much more favourable tax impost</w:t>
      </w:r>
      <w:r w:rsidRPr="007272BC">
        <w:t>. Suppose we change the tax rules so that the cost of capital for both types of assets becomes 3.5%. This will increase investment in type 1 assets and reduce investment in type 2 assets. New Zealand will gain type 1 assets earning pre-tax rates of return of between 5% and 3.5% while losing type 2 assets earning between 2% and 3.5%. This will mean gaining higher-returning investments while losing lower-returning investments. Economic efficiency and the productivity of New Zealand’s capital stock will tend to increase.</w:t>
      </w:r>
    </w:p>
    <w:p w14:paraId="67C44618" w14:textId="2AA22EA9" w:rsidR="007272BC" w:rsidRPr="007272BC" w:rsidRDefault="007272BC" w:rsidP="00075D72">
      <w:pPr>
        <w:pStyle w:val="NumberedParagraph"/>
        <w:numPr>
          <w:ilvl w:val="1"/>
          <w:numId w:val="64"/>
        </w:numPr>
      </w:pPr>
      <w:r w:rsidRPr="007272BC">
        <w:t>Likewise</w:t>
      </w:r>
      <w:r w:rsidR="00157119">
        <w:t>,</w:t>
      </w:r>
      <w:r w:rsidRPr="007272BC">
        <w:t xml:space="preserve"> greater neutrality </w:t>
      </w:r>
      <w:r w:rsidR="00A86BBD">
        <w:t xml:space="preserve">in the tax treatment </w:t>
      </w:r>
      <w:r w:rsidRPr="007272BC">
        <w:t>of different forms of capital inflow is also likely to promote economic efficiency and productivity by causing more productive investments to displace those with lower productivity.</w:t>
      </w:r>
    </w:p>
    <w:p w14:paraId="6FC1E4AE" w14:textId="7DFE4CFB" w:rsidR="007272BC" w:rsidRPr="007272BC" w:rsidRDefault="007272BC" w:rsidP="00CE3C97">
      <w:pPr>
        <w:pStyle w:val="Heading2"/>
        <w:rPr>
          <w:rFonts w:eastAsia="Calibri"/>
          <w:lang w:eastAsia="en-US"/>
        </w:rPr>
      </w:pPr>
      <w:bookmarkStart w:id="17" w:name="_Toc96585521"/>
      <w:r w:rsidRPr="007272BC">
        <w:rPr>
          <w:rFonts w:eastAsia="Calibri"/>
          <w:lang w:eastAsia="en-US"/>
        </w:rPr>
        <w:t>How important are source-based taxes likely to be in determining FDI and broader levels of capital stock in New Zealand?</w:t>
      </w:r>
      <w:bookmarkEnd w:id="17"/>
    </w:p>
    <w:p w14:paraId="7C6ECF82" w14:textId="77777777" w:rsidR="007272BC" w:rsidRPr="007272BC" w:rsidRDefault="007272BC" w:rsidP="00075D72">
      <w:pPr>
        <w:pStyle w:val="NumberedParagraph"/>
        <w:numPr>
          <w:ilvl w:val="1"/>
          <w:numId w:val="64"/>
        </w:numPr>
      </w:pPr>
      <w:r w:rsidRPr="007272BC">
        <w:t>The key benefit of reducing source-based taxes is that this is likely to increase FDI and inbound investment and New Zealand’s capital stock more broadly.</w:t>
      </w:r>
    </w:p>
    <w:p w14:paraId="421BA86F" w14:textId="77777777" w:rsidR="007272BC" w:rsidRPr="007272BC" w:rsidRDefault="007272BC" w:rsidP="00075D72">
      <w:pPr>
        <w:pStyle w:val="NumberedParagraph"/>
        <w:numPr>
          <w:ilvl w:val="1"/>
          <w:numId w:val="64"/>
        </w:numPr>
      </w:pPr>
      <w:r w:rsidRPr="007272BC">
        <w:t>Important questions are whether additional FDI is likely to generate important productivity spillovers (for example, through the transfer of technology, management skills and broader business knowhow) and how big the effects on FDI and New Zealand’s capital stock are likely to be. In this section, we examine some international evidence on these issues.</w:t>
      </w:r>
    </w:p>
    <w:p w14:paraId="3A198E0E" w14:textId="77777777" w:rsidR="007272BC" w:rsidRPr="007272BC" w:rsidRDefault="007272BC" w:rsidP="00075D72">
      <w:pPr>
        <w:pStyle w:val="NumberedParagraph"/>
        <w:numPr>
          <w:ilvl w:val="1"/>
          <w:numId w:val="64"/>
        </w:numPr>
      </w:pPr>
      <w:r w:rsidRPr="007272BC">
        <w:t>It should be noted that an increase in FDI does not necessarily mean an increase in New Zealand’s capital stock. For example, if a foreign company takes control of an existing New Zealand business, this will be measured as an increase in FDI. There may, however, be no increase in New Zealand’s capital stock.</w:t>
      </w:r>
    </w:p>
    <w:p w14:paraId="016B7FDD" w14:textId="3C4EAF6C" w:rsidR="007272BC" w:rsidRPr="007272BC" w:rsidRDefault="007272BC" w:rsidP="00CE3C97">
      <w:pPr>
        <w:pStyle w:val="Heading3"/>
        <w:rPr>
          <w:rFonts w:eastAsia="Calibri"/>
          <w:lang w:eastAsia="en-US"/>
        </w:rPr>
      </w:pPr>
      <w:r w:rsidRPr="007272BC">
        <w:rPr>
          <w:rFonts w:eastAsia="Calibri"/>
          <w:lang w:eastAsia="en-US"/>
        </w:rPr>
        <w:t>FDI: productivity spillovers and sensitivity to tax</w:t>
      </w:r>
    </w:p>
    <w:p w14:paraId="1414ED6C" w14:textId="0428E9B1" w:rsidR="007272BC" w:rsidRPr="007272BC" w:rsidRDefault="007272BC" w:rsidP="00075D72">
      <w:pPr>
        <w:pStyle w:val="NumberedParagraph"/>
        <w:numPr>
          <w:ilvl w:val="1"/>
          <w:numId w:val="64"/>
        </w:numPr>
      </w:pPr>
      <w:r w:rsidRPr="007272BC">
        <w:t xml:space="preserve">Many countries have attempted to impose low taxes on inbound FDI in the hope that this will generate positive productivity spillovers for other firms in the same industry or firms in connected industries. If there were substantial productivity spillovers, this could be a reason for going further than the simple model discussed </w:t>
      </w:r>
      <w:r w:rsidR="00A86BBD">
        <w:t>earlier in this chapter</w:t>
      </w:r>
      <w:r w:rsidRPr="007272BC">
        <w:t xml:space="preserve"> suggests and subsidising inbound investment.</w:t>
      </w:r>
    </w:p>
    <w:p w14:paraId="01E4FB31" w14:textId="77777777" w:rsidR="007272BC" w:rsidRPr="007272BC" w:rsidRDefault="007272BC" w:rsidP="00075D72">
      <w:pPr>
        <w:pStyle w:val="NumberedParagraph"/>
        <w:numPr>
          <w:ilvl w:val="1"/>
          <w:numId w:val="64"/>
        </w:numPr>
      </w:pPr>
      <w:r w:rsidRPr="007272BC">
        <w:t>However, there are reasons to require a high burden of proof before cutting taxes or subsidising investment because of potential productivity spillovers or other externalities. Unless there is strong and quantifiable evidence of spillover benefits, a danger exists that providing tax subsidies would encourage lobbying and make it much more difficult to maintain a robust tax revenue base and a neutral and efficient tax system.</w:t>
      </w:r>
    </w:p>
    <w:p w14:paraId="48853332" w14:textId="6ADAE89B" w:rsidR="007272BC" w:rsidRPr="007272BC" w:rsidRDefault="007272BC" w:rsidP="00075D72">
      <w:pPr>
        <w:pStyle w:val="NumberedParagraph"/>
        <w:numPr>
          <w:ilvl w:val="1"/>
          <w:numId w:val="64"/>
        </w:numPr>
      </w:pPr>
      <w:r w:rsidRPr="007272BC">
        <w:t xml:space="preserve">Our reading of the evidence is that, while examples of productivity spillovers will inevitably exist, there is very little clear and consistent evidence of substantial productivity spillovers from FDI into New Zealand. These issues are discussed by Doan, Maré, and Iyer (2015). They find that, while foreign-owned firms make a significant contribution to the New Zealand economy, there is little </w:t>
      </w:r>
      <w:r w:rsidRPr="007272BC">
        <w:lastRenderedPageBreak/>
        <w:t>evidence of substantial positive spillover effects from inbound FDI to local firms’ productivity. There are also questions about whether firms in New Zealand that are acquired by foreign entities have an improved productivity performance. Fabling and Sanderson (2014</w:t>
      </w:r>
      <w:r w:rsidRPr="00D50145">
        <w:t>)</w:t>
      </w:r>
      <w:r w:rsidRPr="007272BC">
        <w:t xml:space="preserve"> discuss this issue. While foreign-acquired firms appear to increase both average wages and gross output relative to firms that remain in domestic ownership, the authors find no evidence that these acquired firms boost their productivity performance.</w:t>
      </w:r>
    </w:p>
    <w:p w14:paraId="3909E3B0" w14:textId="0DF86ED4" w:rsidR="007272BC" w:rsidRPr="007272BC" w:rsidRDefault="007272BC" w:rsidP="00075D72">
      <w:pPr>
        <w:pStyle w:val="NumberedParagraph"/>
        <w:numPr>
          <w:ilvl w:val="1"/>
          <w:numId w:val="64"/>
        </w:numPr>
      </w:pPr>
      <w:r w:rsidRPr="007272BC">
        <w:t>Many authors have argued that tax will have little effect on FDI and that a host of other factors, such as the nature of competition in product markets, the cost and availability of intermediate supplies, and proximity to final markets, will be more important. For example, Markusen (1995) argues that any effects of taxes on FDI will be unnoticeable in practice.</w:t>
      </w:r>
    </w:p>
    <w:p w14:paraId="4B70B9EB" w14:textId="1994F3F1" w:rsidR="007272BC" w:rsidRPr="007272BC" w:rsidRDefault="007272BC" w:rsidP="00075D72">
      <w:pPr>
        <w:pStyle w:val="NumberedParagraph"/>
        <w:numPr>
          <w:ilvl w:val="1"/>
          <w:numId w:val="64"/>
        </w:numPr>
      </w:pPr>
      <w:r w:rsidRPr="007272BC">
        <w:t xml:space="preserve">However, there is evidence that taxes may have important effects on levels of FDI and that the sensitivity of FDI to tax may have been growing over time. This literature is discussed in Hines (1999). De Mooij and Ederveen (2003) (in a widely cited review of the literature) found a median semi-elasticity of </w:t>
      </w:r>
      <w:r w:rsidR="005A7441">
        <w:noBreakHyphen/>
      </w:r>
      <w:r w:rsidRPr="007272BC">
        <w:t>3.3 (meaning that a 1% point cut in the company tax rate of the host country – where the income is sourced from – leads to a 3.3% increase in FDI). Moreover, the authors find evidence that this elasticity has been increasing over time, and that bigger effects are found if tax effects are measured in terms of effective tax rates (such as the OECD EMTR analysis reported in this LTIB) rather than statutory tax rates.</w:t>
      </w:r>
    </w:p>
    <w:p w14:paraId="3E994430" w14:textId="77777777" w:rsidR="007272BC" w:rsidRPr="007272BC" w:rsidRDefault="007272BC" w:rsidP="00075D72">
      <w:pPr>
        <w:pStyle w:val="NumberedParagraph"/>
        <w:numPr>
          <w:ilvl w:val="1"/>
          <w:numId w:val="64"/>
        </w:numPr>
      </w:pPr>
      <w:r w:rsidRPr="007272BC">
        <w:t>There is an open question whether these international studies are likely to be relevant to an economy like New Zealand, which is very distant from other markets. It is reasonable to suspect that elasticities may be much higher for, say, small landlocked countries in Europe, where companies can respond to taxes and locate a production centre to supply much the same market in one of several countries other than the country where final sales of goods or services will take place.</w:t>
      </w:r>
    </w:p>
    <w:p w14:paraId="18D9BAC9" w14:textId="1C2588F4" w:rsidR="007272BC" w:rsidRPr="007272BC" w:rsidRDefault="007272BC" w:rsidP="00075D72">
      <w:pPr>
        <w:pStyle w:val="NumberedParagraph"/>
        <w:numPr>
          <w:ilvl w:val="1"/>
          <w:numId w:val="64"/>
        </w:numPr>
      </w:pPr>
      <w:r w:rsidRPr="007272BC">
        <w:t xml:space="preserve">New Zealand observed limited growth in FDI when the company tax rate was cut in 2008 and 2011 (see pp. 8-9 of Inland Revenue and Treasury (2016) </w:t>
      </w:r>
      <w:r w:rsidRPr="00E143FA">
        <w:rPr>
          <w:rStyle w:val="Emphasis"/>
        </w:rPr>
        <w:t>New Zealand taxation framework for inbound investment</w:t>
      </w:r>
      <w:r w:rsidRPr="007272BC">
        <w:t xml:space="preserve">). However, evidence presented in </w:t>
      </w:r>
      <w:r w:rsidR="00281962">
        <w:t xml:space="preserve">appendix 5 of </w:t>
      </w:r>
      <w:r w:rsidR="0077525F">
        <w:t xml:space="preserve">the </w:t>
      </w:r>
      <w:r w:rsidR="00A33F15">
        <w:rPr>
          <w:i/>
          <w:iCs/>
        </w:rPr>
        <w:t>T</w:t>
      </w:r>
      <w:r w:rsidR="0002100F">
        <w:rPr>
          <w:i/>
          <w:iCs/>
        </w:rPr>
        <w:t xml:space="preserve">echnical </w:t>
      </w:r>
      <w:r w:rsidR="0002100F" w:rsidRPr="0002100F">
        <w:rPr>
          <w:i/>
          <w:iCs/>
        </w:rPr>
        <w:t>appendices</w:t>
      </w:r>
      <w:r w:rsidRPr="007272BC">
        <w:t xml:space="preserve"> suggests that EMTRs increased</w:t>
      </w:r>
      <w:r w:rsidR="003747C7">
        <w:t>,</w:t>
      </w:r>
      <w:r w:rsidRPr="007272BC">
        <w:t xml:space="preserve"> rather than decreased</w:t>
      </w:r>
      <w:r w:rsidR="003747C7">
        <w:t>,</w:t>
      </w:r>
      <w:r w:rsidRPr="007272BC">
        <w:t xml:space="preserve"> in 2011 as a result of other tax changes</w:t>
      </w:r>
      <w:r w:rsidR="004202BE">
        <w:t>,</w:t>
      </w:r>
      <w:r w:rsidRPr="007272BC">
        <w:t xml:space="preserve"> including changes to depreciation rates. Also</w:t>
      </w:r>
      <w:r w:rsidR="00FA1692">
        <w:t>,</w:t>
      </w:r>
      <w:r w:rsidRPr="007272BC">
        <w:t xml:space="preserve"> the eyeballing of the data in the Inland Revenue and Treasury paper may be misleading if tax changes take a long time to have an effect. Freebairn (2015) reports studies suggesting that it may take seven to ten years for half of the long-run response to take place. Other confounding things may be happening at the same time (including a Global Financial Crisis and other tax measures, such as reductions in depreciation deductions and a tightening of thin capitalisation rules). As far as we are aware, no study of the sensitivity of FDI in New Zealand to tax rates has been conducted.</w:t>
      </w:r>
    </w:p>
    <w:p w14:paraId="73DF6039" w14:textId="01ED69CE" w:rsidR="007272BC" w:rsidRPr="007272BC" w:rsidRDefault="007272BC" w:rsidP="003B6F2B">
      <w:pPr>
        <w:pStyle w:val="Heading3"/>
        <w:rPr>
          <w:rFonts w:eastAsia="Calibri"/>
          <w:lang w:val="en-GB" w:eastAsia="en-US"/>
        </w:rPr>
      </w:pPr>
      <w:r w:rsidRPr="007272BC">
        <w:rPr>
          <w:rFonts w:eastAsia="Calibri"/>
          <w:lang w:val="en-GB" w:eastAsia="en-US"/>
        </w:rPr>
        <w:lastRenderedPageBreak/>
        <w:t>Capital stock: sensitivity to tax</w:t>
      </w:r>
    </w:p>
    <w:p w14:paraId="6CE6C10A" w14:textId="4F71914C" w:rsidR="009A65A8" w:rsidRPr="00075D72" w:rsidRDefault="007272BC" w:rsidP="003B6F2B">
      <w:pPr>
        <w:pStyle w:val="NumberedParagraph"/>
        <w:keepNext/>
        <w:keepLines/>
        <w:numPr>
          <w:ilvl w:val="1"/>
          <w:numId w:val="64"/>
        </w:numPr>
        <w:rPr>
          <w:lang w:val="en-GB"/>
        </w:rPr>
      </w:pPr>
      <w:r w:rsidRPr="00075D72">
        <w:rPr>
          <w:lang w:val="en-GB"/>
        </w:rPr>
        <w:t xml:space="preserve">An alternative is to look at the responsiveness of capital stock to tax parameters. Hassett and Hubbard (2002) suggest that studies have tended to find increasing elasticities through time, although this appears to be the result of more robust ways of estimating elasticities rather than because the elasticities themselves are changing through time. The authors suggest elasticities of capital stock with respect to user costs are in the range of </w:t>
      </w:r>
      <w:r w:rsidR="003B6F2B">
        <w:rPr>
          <w:lang w:val="en-GB"/>
        </w:rPr>
        <w:br/>
      </w:r>
      <w:r w:rsidRPr="00075D72">
        <w:rPr>
          <w:lang w:val="en-GB"/>
        </w:rPr>
        <w:t>-0.</w:t>
      </w:r>
      <w:r w:rsidR="00831BF0" w:rsidRPr="00075D72">
        <w:rPr>
          <w:lang w:val="en-GB"/>
        </w:rPr>
        <w:t>5</w:t>
      </w:r>
      <w:r w:rsidR="00831BF0">
        <w:rPr>
          <w:lang w:val="en-GB"/>
        </w:rPr>
        <w:t> </w:t>
      </w:r>
      <w:r w:rsidR="00831BF0" w:rsidRPr="00075D72">
        <w:rPr>
          <w:lang w:val="en-GB"/>
        </w:rPr>
        <w:t>to</w:t>
      </w:r>
      <w:r w:rsidR="00831BF0">
        <w:rPr>
          <w:lang w:val="en-GB"/>
        </w:rPr>
        <w:t> </w:t>
      </w:r>
      <w:r w:rsidRPr="00075D72">
        <w:rPr>
          <w:lang w:val="en-GB"/>
        </w:rPr>
        <w:t xml:space="preserve">-1.0. Nolan and Nolan (2021) discuss two models for New Zealand. One provides an estimate of around -0.7, which is consistent with previous work for New Zealand by Szeto and Ryan (2009). This is within the range suggested by </w:t>
      </w:r>
      <w:r w:rsidR="00995894" w:rsidRPr="00075D72">
        <w:rPr>
          <w:lang w:val="en-GB"/>
        </w:rPr>
        <w:t>Hassett</w:t>
      </w:r>
      <w:r w:rsidRPr="00075D72">
        <w:rPr>
          <w:lang w:val="en-GB"/>
        </w:rPr>
        <w:t xml:space="preserve"> and H</w:t>
      </w:r>
      <w:r w:rsidR="00995894" w:rsidRPr="00075D72">
        <w:rPr>
          <w:lang w:val="en-GB"/>
        </w:rPr>
        <w:t>ubbard</w:t>
      </w:r>
      <w:r w:rsidRPr="00075D72">
        <w:rPr>
          <w:lang w:val="en-GB"/>
        </w:rPr>
        <w:t>. A second model has a higher elasticity of -1.42. There has been insufficient modelling in New Zealand for us to have a very robust set of estimates.</w:t>
      </w:r>
    </w:p>
    <w:p w14:paraId="58A52787" w14:textId="7BB5D7C6" w:rsidR="00644621" w:rsidRPr="004B1C56" w:rsidRDefault="009A65A8" w:rsidP="004B1C56">
      <w:pPr>
        <w:pStyle w:val="Heading1"/>
        <w:numPr>
          <w:ilvl w:val="0"/>
          <w:numId w:val="64"/>
        </w:numPr>
        <w:rPr>
          <w:rFonts w:eastAsia="Calibri"/>
        </w:rPr>
      </w:pPr>
      <w:r w:rsidRPr="004B1C56">
        <w:rPr>
          <w:lang w:val="en-GB"/>
        </w:rPr>
        <w:lastRenderedPageBreak/>
        <w:br/>
      </w:r>
      <w:r w:rsidR="00283901" w:rsidRPr="004B1C56">
        <w:rPr>
          <w:lang w:val="en-GB"/>
        </w:rPr>
        <w:br/>
      </w:r>
      <w:bookmarkStart w:id="18" w:name="_Toc96585522"/>
      <w:r w:rsidR="00644621" w:rsidRPr="004B1C56">
        <w:rPr>
          <w:rFonts w:eastAsia="Calibri"/>
        </w:rPr>
        <w:t>Benchmarking New Zealand’s costs of capital and EMTRs against those of other OECD countries</w:t>
      </w:r>
      <w:bookmarkEnd w:id="18"/>
    </w:p>
    <w:tbl>
      <w:tblPr>
        <w:tblStyle w:val="SummaryBox"/>
        <w:tblW w:w="0" w:type="auto"/>
        <w:tblLayout w:type="fixed"/>
        <w:tblLook w:val="04A0" w:firstRow="1" w:lastRow="0" w:firstColumn="1" w:lastColumn="0" w:noHBand="0" w:noVBand="1"/>
      </w:tblPr>
      <w:tblGrid>
        <w:gridCol w:w="8778"/>
      </w:tblGrid>
      <w:tr w:rsidR="00644621" w:rsidRPr="00644621" w14:paraId="4E34CC80" w14:textId="77777777" w:rsidTr="007D07BC">
        <w:tc>
          <w:tcPr>
            <w:tcW w:w="8778" w:type="dxa"/>
          </w:tcPr>
          <w:p w14:paraId="043C2443" w14:textId="77777777" w:rsidR="00644621" w:rsidRPr="00644621" w:rsidRDefault="00644621" w:rsidP="00597B6B">
            <w:pPr>
              <w:pStyle w:val="ListBullet"/>
              <w:rPr>
                <w:b/>
                <w:bCs/>
              </w:rPr>
            </w:pPr>
            <w:r w:rsidRPr="00644621">
              <w:t>OECD analysis suggests that New Zealand has relatively high costs of capital and EMTRs for buildings, tangibles and inventories.</w:t>
            </w:r>
          </w:p>
          <w:p w14:paraId="1247D0C5" w14:textId="148F99D2" w:rsidR="00644621" w:rsidRPr="00644621" w:rsidRDefault="00644621" w:rsidP="00597B6B">
            <w:pPr>
              <w:pStyle w:val="ListBullet"/>
              <w:rPr>
                <w:b/>
                <w:bCs/>
              </w:rPr>
            </w:pPr>
            <w:r w:rsidRPr="00644621">
              <w:t xml:space="preserve">New Zealand is likely to </w:t>
            </w:r>
            <w:r w:rsidR="003E3DE8">
              <w:t xml:space="preserve">have </w:t>
            </w:r>
            <w:r w:rsidRPr="00644621">
              <w:t>higher hurdle rates of return than in many other countries before firms will find it profitable to invest.</w:t>
            </w:r>
          </w:p>
          <w:p w14:paraId="6820D268" w14:textId="77777777" w:rsidR="00644621" w:rsidRPr="00644621" w:rsidRDefault="00644621" w:rsidP="00597B6B">
            <w:pPr>
              <w:pStyle w:val="ListBullet"/>
            </w:pPr>
            <w:r w:rsidRPr="00644621">
              <w:t>Other things equal, this is likely to reduce investment into New Zealand and New Zealand’s capital stock.</w:t>
            </w:r>
          </w:p>
        </w:tc>
      </w:tr>
    </w:tbl>
    <w:p w14:paraId="5A9639D8" w14:textId="77777777" w:rsidR="00644621" w:rsidRPr="00644621" w:rsidRDefault="00644621" w:rsidP="00F133F7">
      <w:pPr>
        <w:pStyle w:val="Heading2"/>
        <w:rPr>
          <w:rFonts w:eastAsia="Calibri"/>
          <w:lang w:eastAsia="en-US"/>
        </w:rPr>
      </w:pPr>
      <w:bookmarkStart w:id="19" w:name="_Toc96585523"/>
      <w:r w:rsidRPr="00644621">
        <w:rPr>
          <w:rFonts w:eastAsia="Calibri"/>
          <w:lang w:eastAsia="en-US"/>
        </w:rPr>
        <w:t>Introduction</w:t>
      </w:r>
      <w:bookmarkEnd w:id="19"/>
    </w:p>
    <w:p w14:paraId="5035EA29" w14:textId="77777777" w:rsidR="00644621" w:rsidRPr="00F133F7" w:rsidRDefault="00644621" w:rsidP="00075D72">
      <w:pPr>
        <w:pStyle w:val="NumberedParagraph"/>
        <w:numPr>
          <w:ilvl w:val="1"/>
          <w:numId w:val="64"/>
        </w:numPr>
      </w:pPr>
      <w:r w:rsidRPr="00F133F7">
        <w:t>The aim of this chapter is to examine how New Zealand’s company tax rate and tax depreciation rules are likely to compare to those in other OECD countries. To do this we make use of a model that has been developed by the OECD.</w:t>
      </w:r>
    </w:p>
    <w:p w14:paraId="3F6506CE" w14:textId="77777777" w:rsidR="00644621" w:rsidRPr="00644621" w:rsidRDefault="00644621" w:rsidP="00075D72">
      <w:pPr>
        <w:pStyle w:val="NumberedParagraph"/>
        <w:numPr>
          <w:ilvl w:val="1"/>
          <w:numId w:val="64"/>
        </w:numPr>
      </w:pPr>
      <w:r w:rsidRPr="00644621">
        <w:t>The OECD examines how tax provisions can affect incentives to invest by considering their impact on costs of capital, effective marginal tax rates (EMTRs) and effective average tax rates (EATRs) for a set of assets. This can be useful in benchmarking New Zealand’s tax rules against those in other countries and for examining whether New Zealand is an outlier in the way that it taxes investment. Our focus is on the cost of capital and the closely related EMTR measure.</w:t>
      </w:r>
    </w:p>
    <w:p w14:paraId="21C2D37F" w14:textId="67F734AE" w:rsidR="00644621" w:rsidRPr="00644621" w:rsidRDefault="00644621" w:rsidP="00075D72">
      <w:pPr>
        <w:pStyle w:val="NumberedParagraph"/>
        <w:numPr>
          <w:ilvl w:val="1"/>
          <w:numId w:val="64"/>
        </w:numPr>
      </w:pPr>
      <w:r w:rsidRPr="00644621">
        <w:t>The OECD data is provided on the OECD website</w:t>
      </w:r>
      <w:r w:rsidR="00696416">
        <w:t>.</w:t>
      </w:r>
      <w:r w:rsidR="00831BF0">
        <w:rPr>
          <w:rStyle w:val="FootnoteReference"/>
        </w:rPr>
        <w:footnoteReference w:id="11"/>
      </w:r>
      <w:r w:rsidRPr="00644621">
        <w:t xml:space="preserve"> The model that underlies these results is discussed in Hanappi (2018).</w:t>
      </w:r>
    </w:p>
    <w:p w14:paraId="4A386DA0" w14:textId="77777777" w:rsidR="00644621" w:rsidRPr="00644621" w:rsidRDefault="00644621" w:rsidP="00075D72">
      <w:pPr>
        <w:pStyle w:val="NumberedParagraph"/>
        <w:numPr>
          <w:ilvl w:val="1"/>
          <w:numId w:val="64"/>
        </w:numPr>
      </w:pPr>
      <w:r w:rsidRPr="00644621">
        <w:t>This chapter explains key assumptions underlying the OECD modelling and reports on how New Zealand compares to other OECD countries in the OECD estimates.</w:t>
      </w:r>
    </w:p>
    <w:p w14:paraId="71D27FB2" w14:textId="563AFB8A" w:rsidR="00644621" w:rsidRPr="00644621" w:rsidRDefault="00644621" w:rsidP="00075D72">
      <w:pPr>
        <w:pStyle w:val="NumberedParagraph"/>
        <w:numPr>
          <w:ilvl w:val="1"/>
          <w:numId w:val="64"/>
        </w:numPr>
      </w:pPr>
      <w:r w:rsidRPr="00644621">
        <w:t>The OECD’s model focuses on investment by companies. It only examines the effects of the company tax rate, depreciation rates and the tax treatment of inventories on costs of capital and EMTRs. It does not consider withholding taxes</w:t>
      </w:r>
      <w:r w:rsidR="009377A4">
        <w:t>,</w:t>
      </w:r>
      <w:r w:rsidRPr="00644621">
        <w:t xml:space="preserve"> such as New Zealand’s non-resident withholding tax on interest or its approved issuer levy</w:t>
      </w:r>
      <w:r w:rsidR="007944CB">
        <w:t>,</w:t>
      </w:r>
      <w:r w:rsidRPr="00644621">
        <w:t xml:space="preserve"> or the likely impact of thin capitalisation provisions. It makes some assumptions about debt levels and macroeconomic parameters for its benchmarking exercise.</w:t>
      </w:r>
    </w:p>
    <w:p w14:paraId="3379B112" w14:textId="77777777" w:rsidR="00644621" w:rsidRPr="00644621" w:rsidRDefault="00644621" w:rsidP="00075D72">
      <w:pPr>
        <w:pStyle w:val="NumberedParagraph"/>
        <w:numPr>
          <w:ilvl w:val="1"/>
          <w:numId w:val="64"/>
        </w:numPr>
      </w:pPr>
      <w:r w:rsidRPr="00644621">
        <w:t>The OECD modelling is helpful in providing a first cut analysis of how taxes are likely to compare across OECD countries. However, quite a bit is omitted from this analysis and some of the assumptions being used may not be the most appropriate for New Zealand. We will consider possible extensions to the model and modify some of the parameter values when examining costs of capital and EMTRs for New Zealand in chapter 4.</w:t>
      </w:r>
    </w:p>
    <w:p w14:paraId="5E8ADE79" w14:textId="77777777" w:rsidR="00644621" w:rsidRPr="00644621" w:rsidRDefault="00644621" w:rsidP="00075D72">
      <w:pPr>
        <w:pStyle w:val="NumberedParagraph"/>
        <w:numPr>
          <w:ilvl w:val="1"/>
          <w:numId w:val="64"/>
        </w:numPr>
      </w:pPr>
      <w:r w:rsidRPr="00644621">
        <w:lastRenderedPageBreak/>
        <w:t>The OECD’s analysis suggests that New Zealand has relatively high levels of taxation on inbound investment but relatively neutral taxes across different types of investment.</w:t>
      </w:r>
    </w:p>
    <w:p w14:paraId="1085A71F" w14:textId="5C701D70" w:rsidR="00644621" w:rsidRPr="00644621" w:rsidRDefault="00644621" w:rsidP="00F133F7">
      <w:pPr>
        <w:pStyle w:val="Heading2"/>
        <w:rPr>
          <w:rFonts w:eastAsia="Calibri"/>
          <w:lang w:eastAsia="en-US"/>
        </w:rPr>
      </w:pPr>
      <w:bookmarkStart w:id="20" w:name="_Toc96585524"/>
      <w:r w:rsidRPr="00644621">
        <w:rPr>
          <w:rFonts w:eastAsia="Calibri"/>
          <w:lang w:eastAsia="en-US"/>
        </w:rPr>
        <w:t>The OECD modelling and some key assumptions</w:t>
      </w:r>
      <w:bookmarkEnd w:id="20"/>
    </w:p>
    <w:p w14:paraId="7268F799" w14:textId="71FFBA3A" w:rsidR="00644621" w:rsidRPr="00644621" w:rsidRDefault="00644621" w:rsidP="00075D72">
      <w:pPr>
        <w:pStyle w:val="NumberedParagraph"/>
        <w:numPr>
          <w:ilvl w:val="1"/>
          <w:numId w:val="64"/>
        </w:numPr>
      </w:pPr>
      <w:r w:rsidRPr="00644621">
        <w:t xml:space="preserve">The OECD examines how tax rules can affect the </w:t>
      </w:r>
      <w:r w:rsidRPr="00075D72">
        <w:rPr>
          <w:i/>
          <w:iCs/>
        </w:rPr>
        <w:t>cost of capital</w:t>
      </w:r>
      <w:r w:rsidRPr="00644621">
        <w:t>. As was discussed in chapter 2, the cost of capital is the minimum real pre-tax rate of return needed for an investment to be profitable on an after-tax basis</w:t>
      </w:r>
      <w:r w:rsidR="009C119E">
        <w:t>,</w:t>
      </w:r>
      <w:r w:rsidRPr="00644621">
        <w:t xml:space="preserve"> or the hurdle rate of return. For investments that just meet their cost of capital, the expected present value of future revenues will exactly match the cost of the investment. The investment is sometimes said to be </w:t>
      </w:r>
      <w:r w:rsidRPr="00075D72">
        <w:rPr>
          <w:i/>
          <w:iCs/>
        </w:rPr>
        <w:t>marginal</w:t>
      </w:r>
      <w:r w:rsidRPr="00644621">
        <w:t xml:space="preserve"> (that is, </w:t>
      </w:r>
      <w:r w:rsidRPr="00075D72">
        <w:rPr>
          <w:i/>
          <w:iCs/>
        </w:rPr>
        <w:t>break</w:t>
      </w:r>
      <w:r w:rsidR="00A54D53" w:rsidRPr="00075D72">
        <w:rPr>
          <w:i/>
          <w:iCs/>
        </w:rPr>
        <w:t xml:space="preserve"> </w:t>
      </w:r>
      <w:r w:rsidRPr="00075D72">
        <w:rPr>
          <w:i/>
          <w:iCs/>
        </w:rPr>
        <w:t>even</w:t>
      </w:r>
      <w:r w:rsidRPr="00644621">
        <w:t>) on an after-tax basis.</w:t>
      </w:r>
    </w:p>
    <w:p w14:paraId="3FEF9048" w14:textId="3306F5E8" w:rsidR="00644621" w:rsidRPr="00B40642" w:rsidRDefault="00644621" w:rsidP="00075D72">
      <w:pPr>
        <w:pStyle w:val="NumberedParagraph"/>
        <w:numPr>
          <w:ilvl w:val="1"/>
          <w:numId w:val="64"/>
        </w:numPr>
      </w:pPr>
      <w:r w:rsidRPr="00644621">
        <w:t>New Zealand and other countries import capital from abroad. For non-residents to be willing to invest, they must expect to be able to earn as good risk-adjusted returns from investment in New Zealand as they could obtain from investing in other countries. A common assumption (and one that the OECD adopts) is that non-residents are the marginal equity investors into domestic companies.</w:t>
      </w:r>
      <w:r w:rsidRPr="00644621">
        <w:rPr>
          <w:vertAlign w:val="superscript"/>
        </w:rPr>
        <w:footnoteReference w:id="12"/>
      </w:r>
      <w:r w:rsidRPr="00644621">
        <w:t xml:space="preserve"> This is likely to be a reasonable first approximation for analysing many sectors of the New Zealand economy. This model may not, however, be relevant for sectors where foreign investment is a negligible fraction of total investment. </w:t>
      </w:r>
      <w:r w:rsidRPr="00B40642">
        <w:t xml:space="preserve">This is discussed further in appendix </w:t>
      </w:r>
      <w:r w:rsidR="007661C9" w:rsidRPr="00B40642">
        <w:t>1</w:t>
      </w:r>
      <w:r w:rsidR="00877533" w:rsidRPr="00B40642">
        <w:t xml:space="preserve"> in the </w:t>
      </w:r>
      <w:r w:rsidR="00877533" w:rsidRPr="00B40642">
        <w:rPr>
          <w:i/>
          <w:iCs/>
        </w:rPr>
        <w:t xml:space="preserve">Technical </w:t>
      </w:r>
      <w:r w:rsidR="00D91145" w:rsidRPr="00B40642">
        <w:rPr>
          <w:i/>
          <w:iCs/>
        </w:rPr>
        <w:t>a</w:t>
      </w:r>
      <w:r w:rsidR="00877533" w:rsidRPr="00B40642">
        <w:rPr>
          <w:i/>
          <w:iCs/>
        </w:rPr>
        <w:t>ppen</w:t>
      </w:r>
      <w:r w:rsidR="00FF6526" w:rsidRPr="00B40642">
        <w:rPr>
          <w:i/>
          <w:iCs/>
        </w:rPr>
        <w:t>dices</w:t>
      </w:r>
      <w:r w:rsidR="00D17E77" w:rsidRPr="00B40642">
        <w:t>.</w:t>
      </w:r>
    </w:p>
    <w:p w14:paraId="647F02FB" w14:textId="1A678BF7" w:rsidR="00644621" w:rsidRPr="00644621" w:rsidRDefault="00644621" w:rsidP="00075D72">
      <w:pPr>
        <w:pStyle w:val="NumberedParagraph"/>
        <w:numPr>
          <w:ilvl w:val="1"/>
          <w:numId w:val="64"/>
        </w:numPr>
      </w:pPr>
      <w:r w:rsidRPr="00644621">
        <w:t xml:space="preserve">Suppose that investment is financed by non-resident shareholders who require a fixed rate of return (say, 3%) on their capital </w:t>
      </w:r>
      <w:r w:rsidR="008645B9">
        <w:t>that</w:t>
      </w:r>
      <w:r w:rsidRPr="00644621">
        <w:t xml:space="preserve"> is equal to the return they can obtain from investing in other countries. To make things as simple as possible, assume there is no inflation, so this is the real and nominal rate of return that foreign shareholders demand. Also suppose initially that investment is fully equity financed and that all economic income being generated is fully taxed.</w:t>
      </w:r>
      <w:r w:rsidRPr="00644621">
        <w:rPr>
          <w:vertAlign w:val="superscript"/>
        </w:rPr>
        <w:footnoteReference w:id="13"/>
      </w:r>
      <w:r w:rsidRPr="00644621">
        <w:t xml:space="preserve"> If the company tax rate were 0%, the cost of capital would be 3%. This would be the pre- and post-tax rate of return needed to provide non-residents with the return they demand on a marginal investment. With a company tax rate of 25%, the cost of capital would increase to 4%. After this pre-tax rate of return is taxed at the company tax rate, non-resident shareholders would be left with the 3% after-tax return on their capital that they demand. If the company tax rate were increased to 40%, the cost of capital would increase to 5% to ensure non-resident shareholders end up with the after-tax rate of return they demand.</w:t>
      </w:r>
    </w:p>
    <w:p w14:paraId="77A23571" w14:textId="77777777" w:rsidR="00644621" w:rsidRPr="00644621" w:rsidRDefault="00644621" w:rsidP="00075D72">
      <w:pPr>
        <w:pStyle w:val="NumberedParagraph"/>
        <w:numPr>
          <w:ilvl w:val="1"/>
          <w:numId w:val="64"/>
        </w:numPr>
      </w:pPr>
      <w:r w:rsidRPr="00644621">
        <w:t>In this simple model, the net-of-company-tax rate of return is fixed at 3%. Changes to the company tax rate will affect the hurdle rate of return or cost of capital. In a more complex model, depreciation provisions, real interest rates, inflation and levels of debt financing will also affect the cost of capital.</w:t>
      </w:r>
    </w:p>
    <w:p w14:paraId="24E91D39" w14:textId="77777777" w:rsidR="00644621" w:rsidRPr="00644621" w:rsidRDefault="00644621" w:rsidP="00075D72">
      <w:pPr>
        <w:pStyle w:val="NumberedParagraph"/>
        <w:numPr>
          <w:ilvl w:val="1"/>
          <w:numId w:val="64"/>
        </w:numPr>
      </w:pPr>
      <w:r w:rsidRPr="00644621">
        <w:t>The OECD’s model takes these other factors into account under a set of possible macroeconomic assumptions. They examine the following two cases:</w:t>
      </w:r>
    </w:p>
    <w:p w14:paraId="55303C8D" w14:textId="77777777" w:rsidR="00644621" w:rsidRPr="00644621" w:rsidRDefault="00644621" w:rsidP="00075D72">
      <w:pPr>
        <w:pStyle w:val="NumberedParagraph-BulletL1"/>
        <w:numPr>
          <w:ilvl w:val="2"/>
          <w:numId w:val="64"/>
        </w:numPr>
      </w:pPr>
      <w:r w:rsidRPr="00644621">
        <w:lastRenderedPageBreak/>
        <w:t>real interest rates and inflation rates that are country specific, and</w:t>
      </w:r>
    </w:p>
    <w:p w14:paraId="368FCB42" w14:textId="77777777" w:rsidR="00644621" w:rsidRPr="00644621" w:rsidRDefault="00644621" w:rsidP="00075D72">
      <w:pPr>
        <w:pStyle w:val="NumberedParagraph-BulletL1"/>
        <w:numPr>
          <w:ilvl w:val="2"/>
          <w:numId w:val="64"/>
        </w:numPr>
      </w:pPr>
      <w:r w:rsidRPr="00644621">
        <w:t>a common real interest rate and inflation assumption for all countries.</w:t>
      </w:r>
    </w:p>
    <w:p w14:paraId="45757B3E" w14:textId="77777777" w:rsidR="00644621" w:rsidRPr="00644621" w:rsidRDefault="00644621" w:rsidP="00075D72">
      <w:pPr>
        <w:pStyle w:val="NumberedParagraph"/>
        <w:numPr>
          <w:ilvl w:val="1"/>
          <w:numId w:val="64"/>
        </w:numPr>
      </w:pPr>
      <w:r w:rsidRPr="00644621">
        <w:t>We work with the second of these two cases because this focuses on the impact of tax rules (rather than macroeconomic settings) in affecting incentives to invest in different countries.</w:t>
      </w:r>
    </w:p>
    <w:p w14:paraId="4705D250" w14:textId="77777777" w:rsidR="00644621" w:rsidRPr="00644621" w:rsidRDefault="00644621" w:rsidP="00075D72">
      <w:pPr>
        <w:pStyle w:val="NumberedParagraph"/>
        <w:numPr>
          <w:ilvl w:val="1"/>
          <w:numId w:val="64"/>
        </w:numPr>
      </w:pPr>
      <w:r w:rsidRPr="00644621">
        <w:t>The OECD assumes that the real interest rate is 3% per annum and the inflation rate is 1% per annum. Foreign shareholders demand a 3% real return on the capital they invest into New Zealand and other economies. The real interest rate is also 3%. With 1% inflation, this means a 4.03% nominal interest rate.</w:t>
      </w:r>
      <w:r w:rsidRPr="00644621">
        <w:rPr>
          <w:vertAlign w:val="superscript"/>
        </w:rPr>
        <w:footnoteReference w:id="14"/>
      </w:r>
      <w:r w:rsidRPr="00644621">
        <w:t xml:space="preserve"> Withholding taxes on interest and dividends are ignored in the OECD analysis.</w:t>
      </w:r>
    </w:p>
    <w:p w14:paraId="45622A44" w14:textId="77777777" w:rsidR="00644621" w:rsidRPr="00644621" w:rsidRDefault="00644621" w:rsidP="00075D72">
      <w:pPr>
        <w:pStyle w:val="NumberedParagraph"/>
        <w:numPr>
          <w:ilvl w:val="1"/>
          <w:numId w:val="64"/>
        </w:numPr>
      </w:pPr>
      <w:r w:rsidRPr="00644621">
        <w:t>A key assumption (as in the example outlined above) is that non-residents are the marginal investors and the return on an investment net of New Zealand taxes needs to generate these investors’ required rate of return. Competition is assumed to make this the hurdle rate of return on all investment. This means that taxes on inbound investment are ultimately going to determine costs of capital in New Zealand.</w:t>
      </w:r>
    </w:p>
    <w:p w14:paraId="61FC5F6C" w14:textId="6267B7FE" w:rsidR="00644621" w:rsidRPr="00644621" w:rsidRDefault="00644621" w:rsidP="00075D72">
      <w:pPr>
        <w:pStyle w:val="NumberedParagraph"/>
        <w:numPr>
          <w:ilvl w:val="1"/>
          <w:numId w:val="64"/>
        </w:numPr>
      </w:pPr>
      <w:r w:rsidRPr="00644621">
        <w:t>The cost of capital will also be affected by the proportion of investment that is equity financed and the proportion that is debt financed. This is because interest payments are tax deductible</w:t>
      </w:r>
      <w:r w:rsidR="003A04E1">
        <w:t>,</w:t>
      </w:r>
      <w:r w:rsidRPr="00644621">
        <w:t xml:space="preserve"> whereas dividend payments are not. The OECD assumes that 35% of marginal investment is financed by debt and 65% by foreign equity. It is also assumed that all firms are in a taxpaying position</w:t>
      </w:r>
      <w:r w:rsidR="00FA1692">
        <w:t>. About 34% of companies had a loss that they carried forward from the 2019/20 to the 2020/21 year</w:t>
      </w:r>
      <w:r w:rsidRPr="00644621">
        <w:t>. The OECD modelling does not consider thin</w:t>
      </w:r>
      <w:r w:rsidR="00280DD5">
        <w:t xml:space="preserve"> </w:t>
      </w:r>
      <w:r w:rsidRPr="00644621">
        <w:t>capitalisation restrictions, which may limit interest deductions in some circumstances. Of course, it could be argued that ignoring thin</w:t>
      </w:r>
      <w:r w:rsidR="00280DD5">
        <w:t xml:space="preserve"> </w:t>
      </w:r>
      <w:r w:rsidRPr="00644621">
        <w:t>capitalisation restrictions is consistent with the assumption that firms are only 35% debt financed. In New Zealand, firms that are less than 60% debt financed are not subject to any thin</w:t>
      </w:r>
      <w:r w:rsidR="00280DD5">
        <w:t xml:space="preserve"> </w:t>
      </w:r>
      <w:r w:rsidRPr="00644621">
        <w:t>capitalisation restrictions.</w:t>
      </w:r>
    </w:p>
    <w:p w14:paraId="29E5A194" w14:textId="77777777" w:rsidR="00644621" w:rsidRPr="00644621" w:rsidRDefault="00644621" w:rsidP="00075D72">
      <w:pPr>
        <w:pStyle w:val="NumberedParagraph"/>
        <w:numPr>
          <w:ilvl w:val="1"/>
          <w:numId w:val="64"/>
        </w:numPr>
      </w:pPr>
      <w:r w:rsidRPr="00644621">
        <w:t>The estimates of costs of capital will also be influenced by the tax rules for inventory (or trading stock) and rates of depreciation that are allowed for tax purposes, as well as economic depreciation rates. Economic depreciation is the rate at which assets would fall in market value if there were no inflation. Many countries attempt to have tax depreciation rates as close to economic depreciation as feasible. However, tax depreciation rates are sometimes designed to be faster than economic depreciation rates to provide incentives for investment.</w:t>
      </w:r>
    </w:p>
    <w:p w14:paraId="69748175" w14:textId="69DB9AF2" w:rsidR="00644621" w:rsidRPr="00644621" w:rsidRDefault="00644621" w:rsidP="00075D72">
      <w:pPr>
        <w:pStyle w:val="NumberedParagraph"/>
        <w:numPr>
          <w:ilvl w:val="1"/>
          <w:numId w:val="64"/>
        </w:numPr>
      </w:pPr>
      <w:r w:rsidRPr="00644621">
        <w:t xml:space="preserve">The OECD’s modelling results are only available for the last four years (2017–2020) and for four aggregated sets of assets (buildings, inventories, acquired intangibles and a category of asset described as </w:t>
      </w:r>
      <w:r w:rsidR="002F4854">
        <w:t>‘</w:t>
      </w:r>
      <w:r w:rsidRPr="00644621">
        <w:t>tangibles</w:t>
      </w:r>
      <w:r w:rsidR="002F4854">
        <w:t>’</w:t>
      </w:r>
      <w:r w:rsidRPr="00644621">
        <w:t>, which includes tangible assets that are not buildings – mainly machinery and equipment).</w:t>
      </w:r>
    </w:p>
    <w:p w14:paraId="3597456A" w14:textId="08B69621" w:rsidR="00644621" w:rsidRPr="00644621" w:rsidRDefault="00644621" w:rsidP="00075D72">
      <w:pPr>
        <w:pStyle w:val="NumberedParagraph"/>
        <w:numPr>
          <w:ilvl w:val="1"/>
          <w:numId w:val="64"/>
        </w:numPr>
      </w:pPr>
      <w:r w:rsidRPr="00644621">
        <w:t>The OECD model calculates the real pre-tax rate of return that is necessary to make investments break</w:t>
      </w:r>
      <w:r w:rsidR="00CA133B">
        <w:t xml:space="preserve"> </w:t>
      </w:r>
      <w:r w:rsidRPr="00644621">
        <w:t xml:space="preserve">even given the company tax rates and depreciation rates applying in different OECD countries. This is done by finding the rate of </w:t>
      </w:r>
      <w:r w:rsidRPr="00644621">
        <w:lastRenderedPageBreak/>
        <w:t xml:space="preserve">return required to make the present value of the revenues from an investment equal to the cost. A simple version of the OECD model is outlined in </w:t>
      </w:r>
      <w:r w:rsidR="00831BF0" w:rsidRPr="00DA3564">
        <w:t>appendix</w:t>
      </w:r>
      <w:r w:rsidR="00831BF0">
        <w:t> </w:t>
      </w:r>
      <w:r w:rsidR="008B34D9" w:rsidRPr="00B40642">
        <w:t xml:space="preserve">1 in </w:t>
      </w:r>
      <w:r w:rsidR="00A31B93" w:rsidRPr="00B40642">
        <w:t>the</w:t>
      </w:r>
      <w:r w:rsidR="004108CA" w:rsidRPr="00B40642">
        <w:t xml:space="preserve"> </w:t>
      </w:r>
      <w:r w:rsidR="007E5A65" w:rsidRPr="00B40642">
        <w:rPr>
          <w:i/>
          <w:iCs/>
        </w:rPr>
        <w:t>Technical appendices</w:t>
      </w:r>
      <w:r w:rsidRPr="00DA3564">
        <w:t>.</w:t>
      </w:r>
      <w:r w:rsidRPr="00FA1692">
        <w:rPr>
          <w:vertAlign w:val="superscript"/>
        </w:rPr>
        <w:footnoteReference w:id="15"/>
      </w:r>
    </w:p>
    <w:p w14:paraId="074EBA2B" w14:textId="108DD68E" w:rsidR="00644621" w:rsidRPr="00644621" w:rsidRDefault="00644621" w:rsidP="00075D72">
      <w:pPr>
        <w:pStyle w:val="NumberedParagraph"/>
        <w:numPr>
          <w:ilvl w:val="1"/>
          <w:numId w:val="64"/>
        </w:numPr>
      </w:pPr>
      <w:r w:rsidRPr="00644621">
        <w:t>It should be noted that any economic model is no more than a partial insight. In particular, the OECD model treats the tax rules as certain and assumed to continue forever. Macroeconomic variables</w:t>
      </w:r>
      <w:r w:rsidR="00004370">
        <w:t>,</w:t>
      </w:r>
      <w:r w:rsidRPr="00644621">
        <w:t xml:space="preserve"> such as interest rates and inflation rates</w:t>
      </w:r>
      <w:r w:rsidR="00004370">
        <w:t>,</w:t>
      </w:r>
      <w:r w:rsidRPr="00644621">
        <w:t xml:space="preserve"> are also assumed to remain constant in the future. All of this seems reasonable when considering the long-run effects of tax settings but may ignore some important other considerations. Submitters have pointed out that if tax rules are uncertain and subject to chopping and changing, and especially if policy frameworks are unclear, this can negatively impact on investment in ways that are not captured in formal economic models. Complexity of legislation and compliance costs may also have a negative impact on investment, especially if these cause foreign investors to question whether </w:t>
      </w:r>
      <w:r w:rsidR="0020016A">
        <w:t xml:space="preserve">it is worth </w:t>
      </w:r>
      <w:r w:rsidRPr="00644621">
        <w:t>finding out if investing into New Zealand would be a good idea. If different rules apply to different types of firms, this can add to the complexity.</w:t>
      </w:r>
    </w:p>
    <w:p w14:paraId="7248C21C" w14:textId="30D396BA" w:rsidR="00644621" w:rsidRPr="00644621" w:rsidRDefault="00644621" w:rsidP="00075D72">
      <w:pPr>
        <w:pStyle w:val="NumberedParagraph"/>
        <w:numPr>
          <w:ilvl w:val="1"/>
          <w:numId w:val="64"/>
        </w:numPr>
      </w:pPr>
      <w:r w:rsidRPr="00644621">
        <w:t>In the modelling, it is assumed that investment is undertaken by a company that holds the investment permanently. This ignores one aspect of New Zealand’s tax system, namely the absence of a general tax on capital gains, which may tend to promote investment here relative to investment in other countries. In many other countries, capital gains will normally be subject to some level of tax when assets are sold, whereas this is not the case in New Zealand. Where firms invest with the intention of generating capital gains</w:t>
      </w:r>
      <w:r w:rsidR="007D5ABC">
        <w:t>,</w:t>
      </w:r>
      <w:r w:rsidRPr="00644621">
        <w:t xml:space="preserve"> this analysis may make New Zealand look like it is a relatively higher tax country than is true in practice.</w:t>
      </w:r>
    </w:p>
    <w:p w14:paraId="6C4B98BE" w14:textId="0BD1D885" w:rsidR="00644621" w:rsidRPr="00644621" w:rsidRDefault="00644621" w:rsidP="00F133F7">
      <w:pPr>
        <w:pStyle w:val="Heading2"/>
        <w:rPr>
          <w:rFonts w:eastAsia="Calibri"/>
          <w:lang w:eastAsia="en-US"/>
        </w:rPr>
      </w:pPr>
      <w:bookmarkStart w:id="21" w:name="_Toc96585525"/>
      <w:r w:rsidRPr="00644621">
        <w:rPr>
          <w:rFonts w:eastAsia="Calibri"/>
          <w:lang w:eastAsia="en-US"/>
        </w:rPr>
        <w:t>The OECD estimates of costs of capital and EMTRs</w:t>
      </w:r>
      <w:bookmarkEnd w:id="21"/>
    </w:p>
    <w:p w14:paraId="2B2F9282" w14:textId="68A7F058" w:rsidR="00644621" w:rsidRDefault="00644621" w:rsidP="00075D72">
      <w:pPr>
        <w:pStyle w:val="NumberedParagraph"/>
        <w:numPr>
          <w:ilvl w:val="1"/>
          <w:numId w:val="64"/>
        </w:numPr>
      </w:pPr>
      <w:r w:rsidRPr="00644621">
        <w:t>OECD estimates of costs of capital or hurdle rates of return allow New Zealand’s performance to be benchmarked against the other 37 OECD countries. Results are provided in table 3.1 for 2020, the latest year for which data is available.</w:t>
      </w:r>
    </w:p>
    <w:p w14:paraId="74CDE9AA" w14:textId="55EA5698" w:rsidR="00B80EDA" w:rsidRPr="00B80EDA" w:rsidRDefault="00B80EDA" w:rsidP="00072DC1">
      <w:pPr>
        <w:pStyle w:val="Caption"/>
        <w:keepLines/>
        <w:pageBreakBefore/>
        <w:ind w:left="0"/>
        <w:rPr>
          <w:rFonts w:eastAsia="Calibri"/>
          <w:lang w:eastAsia="en-US"/>
        </w:rPr>
      </w:pPr>
      <w:r w:rsidRPr="00B80EDA">
        <w:rPr>
          <w:rFonts w:eastAsia="Calibri"/>
          <w:lang w:eastAsia="en-US"/>
        </w:rPr>
        <w:lastRenderedPageBreak/>
        <w:t>Table 3.1</w:t>
      </w:r>
      <w:r w:rsidR="009C160D">
        <w:rPr>
          <w:rFonts w:eastAsia="Calibri"/>
          <w:lang w:eastAsia="en-US"/>
        </w:rPr>
        <w:t xml:space="preserve">: </w:t>
      </w:r>
      <w:r w:rsidRPr="00B80EDA">
        <w:rPr>
          <w:rFonts w:eastAsia="Calibri"/>
          <w:lang w:eastAsia="en-US"/>
        </w:rPr>
        <w:t>Estimated costs of capital in 2020</w:t>
      </w:r>
    </w:p>
    <w:tbl>
      <w:tblPr>
        <w:tblStyle w:val="TableGrid"/>
        <w:tblW w:w="8789"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985"/>
        <w:gridCol w:w="850"/>
        <w:gridCol w:w="851"/>
        <w:gridCol w:w="850"/>
        <w:gridCol w:w="851"/>
        <w:gridCol w:w="850"/>
        <w:gridCol w:w="851"/>
        <w:gridCol w:w="850"/>
        <w:gridCol w:w="851"/>
      </w:tblGrid>
      <w:tr w:rsidR="008F1A59" w:rsidRPr="00363CF9" w14:paraId="470BDC12" w14:textId="77777777" w:rsidTr="00455437">
        <w:trPr>
          <w:tblHeader/>
        </w:trPr>
        <w:tc>
          <w:tcPr>
            <w:tcW w:w="1985" w:type="dxa"/>
            <w:vMerge w:val="restart"/>
            <w:shd w:val="clear" w:color="auto" w:fill="232E36"/>
          </w:tcPr>
          <w:p w14:paraId="154B1C47" w14:textId="43C0AF83" w:rsidR="008F1A59" w:rsidRPr="00363CF9" w:rsidRDefault="008F1A59" w:rsidP="008F1A59">
            <w:pPr>
              <w:keepLines/>
              <w:spacing w:before="100" w:after="100"/>
              <w:jc w:val="center"/>
              <w:rPr>
                <w:b/>
                <w:bCs/>
                <w:color w:val="FFFFFF" w:themeColor="background1"/>
                <w:sz w:val="16"/>
                <w:szCs w:val="16"/>
              </w:rPr>
            </w:pPr>
            <w:bookmarkStart w:id="22" w:name="_Hlk96162957"/>
            <w:r>
              <w:rPr>
                <w:b/>
                <w:bCs/>
                <w:color w:val="FFFFFF" w:themeColor="background1"/>
                <w:sz w:val="16"/>
                <w:szCs w:val="16"/>
              </w:rPr>
              <w:t>Country</w:t>
            </w:r>
          </w:p>
        </w:tc>
        <w:tc>
          <w:tcPr>
            <w:tcW w:w="1701" w:type="dxa"/>
            <w:gridSpan w:val="2"/>
            <w:shd w:val="clear" w:color="auto" w:fill="232E36"/>
          </w:tcPr>
          <w:p w14:paraId="7D0352FD" w14:textId="7E87CB7D" w:rsidR="008F1A59" w:rsidRPr="00363CF9" w:rsidRDefault="008F1A59" w:rsidP="008F1A59">
            <w:pPr>
              <w:keepLines/>
              <w:spacing w:before="100" w:after="100"/>
              <w:jc w:val="center"/>
              <w:rPr>
                <w:b/>
                <w:bCs/>
                <w:color w:val="FFFFFF" w:themeColor="background1"/>
                <w:sz w:val="16"/>
                <w:szCs w:val="16"/>
              </w:rPr>
            </w:pPr>
            <w:r>
              <w:rPr>
                <w:b/>
                <w:bCs/>
                <w:color w:val="FFFFFF" w:themeColor="background1"/>
                <w:sz w:val="16"/>
                <w:szCs w:val="16"/>
              </w:rPr>
              <w:t>Buildings</w:t>
            </w:r>
          </w:p>
        </w:tc>
        <w:tc>
          <w:tcPr>
            <w:tcW w:w="1701" w:type="dxa"/>
            <w:gridSpan w:val="2"/>
            <w:shd w:val="clear" w:color="auto" w:fill="232E36"/>
          </w:tcPr>
          <w:p w14:paraId="53691A2E" w14:textId="7CEAE291" w:rsidR="008F1A59" w:rsidRPr="00363CF9" w:rsidRDefault="008F1A59" w:rsidP="008F1A59">
            <w:pPr>
              <w:keepLines/>
              <w:spacing w:before="100" w:after="100"/>
              <w:jc w:val="center"/>
              <w:rPr>
                <w:b/>
                <w:bCs/>
                <w:color w:val="FFFFFF" w:themeColor="background1"/>
                <w:sz w:val="16"/>
                <w:szCs w:val="16"/>
              </w:rPr>
            </w:pPr>
            <w:r>
              <w:rPr>
                <w:b/>
                <w:bCs/>
                <w:color w:val="FFFFFF" w:themeColor="background1"/>
                <w:sz w:val="16"/>
                <w:szCs w:val="16"/>
              </w:rPr>
              <w:t>Inventories</w:t>
            </w:r>
          </w:p>
        </w:tc>
        <w:tc>
          <w:tcPr>
            <w:tcW w:w="1701" w:type="dxa"/>
            <w:gridSpan w:val="2"/>
            <w:shd w:val="clear" w:color="auto" w:fill="232E36"/>
          </w:tcPr>
          <w:p w14:paraId="5B86FF67" w14:textId="5ED6D686" w:rsidR="008F1A59" w:rsidRPr="00363CF9" w:rsidRDefault="008F1A59" w:rsidP="008F1A59">
            <w:pPr>
              <w:keepLines/>
              <w:spacing w:before="100" w:after="100"/>
              <w:jc w:val="center"/>
              <w:rPr>
                <w:b/>
                <w:bCs/>
                <w:color w:val="FFFFFF" w:themeColor="background1"/>
                <w:sz w:val="16"/>
                <w:szCs w:val="16"/>
              </w:rPr>
            </w:pPr>
            <w:r>
              <w:rPr>
                <w:b/>
                <w:bCs/>
                <w:color w:val="FFFFFF" w:themeColor="background1"/>
                <w:sz w:val="16"/>
                <w:szCs w:val="16"/>
              </w:rPr>
              <w:t>Acquired intangibles</w:t>
            </w:r>
          </w:p>
        </w:tc>
        <w:tc>
          <w:tcPr>
            <w:tcW w:w="1701" w:type="dxa"/>
            <w:gridSpan w:val="2"/>
            <w:shd w:val="clear" w:color="auto" w:fill="232E36"/>
          </w:tcPr>
          <w:p w14:paraId="6FF5E2D4" w14:textId="797D79DE" w:rsidR="008F1A59" w:rsidRPr="00363CF9" w:rsidRDefault="008F1A59" w:rsidP="008F1A59">
            <w:pPr>
              <w:keepLines/>
              <w:spacing w:before="100" w:after="100"/>
              <w:jc w:val="center"/>
              <w:rPr>
                <w:b/>
                <w:bCs/>
                <w:color w:val="FFFFFF" w:themeColor="background1"/>
                <w:sz w:val="16"/>
                <w:szCs w:val="16"/>
              </w:rPr>
            </w:pPr>
            <w:r>
              <w:rPr>
                <w:b/>
                <w:bCs/>
                <w:color w:val="FFFFFF" w:themeColor="background1"/>
                <w:sz w:val="16"/>
                <w:szCs w:val="16"/>
              </w:rPr>
              <w:t>Tangible assets</w:t>
            </w:r>
          </w:p>
        </w:tc>
      </w:tr>
      <w:tr w:rsidR="008F1A59" w:rsidRPr="00363CF9" w14:paraId="2635DE99" w14:textId="77777777" w:rsidTr="00455437">
        <w:trPr>
          <w:tblHeader/>
        </w:trPr>
        <w:tc>
          <w:tcPr>
            <w:tcW w:w="1985" w:type="dxa"/>
            <w:vMerge/>
            <w:shd w:val="clear" w:color="auto" w:fill="232E36"/>
          </w:tcPr>
          <w:p w14:paraId="3F47BC16" w14:textId="499641D2" w:rsidR="008F1A59" w:rsidRPr="00363CF9" w:rsidRDefault="008F1A59" w:rsidP="008F1A59">
            <w:pPr>
              <w:keepLines/>
              <w:spacing w:before="100" w:after="100"/>
              <w:jc w:val="center"/>
              <w:rPr>
                <w:b/>
                <w:bCs/>
                <w:color w:val="FFFFFF" w:themeColor="background1"/>
                <w:sz w:val="16"/>
                <w:szCs w:val="16"/>
              </w:rPr>
            </w:pPr>
          </w:p>
        </w:tc>
        <w:tc>
          <w:tcPr>
            <w:tcW w:w="850" w:type="dxa"/>
            <w:shd w:val="clear" w:color="auto" w:fill="232E36"/>
          </w:tcPr>
          <w:p w14:paraId="5820BE56" w14:textId="6BD7D2BD" w:rsidR="008F1A59" w:rsidRPr="00363CF9" w:rsidRDefault="008F1A59" w:rsidP="008F1A59">
            <w:pPr>
              <w:keepLines/>
              <w:spacing w:before="100" w:after="100"/>
              <w:jc w:val="center"/>
              <w:rPr>
                <w:b/>
                <w:bCs/>
                <w:color w:val="FFFFFF" w:themeColor="background1"/>
                <w:sz w:val="16"/>
                <w:szCs w:val="16"/>
              </w:rPr>
            </w:pPr>
            <w:r>
              <w:rPr>
                <w:b/>
                <w:bCs/>
                <w:color w:val="FFFFFF" w:themeColor="background1"/>
                <w:sz w:val="16"/>
                <w:szCs w:val="16"/>
              </w:rPr>
              <w:t>Cost of capital</w:t>
            </w:r>
          </w:p>
        </w:tc>
        <w:tc>
          <w:tcPr>
            <w:tcW w:w="851" w:type="dxa"/>
            <w:shd w:val="clear" w:color="auto" w:fill="232E36"/>
          </w:tcPr>
          <w:p w14:paraId="3E0775BA" w14:textId="0051661F" w:rsidR="008F1A59" w:rsidRPr="00363CF9" w:rsidRDefault="008F1A59" w:rsidP="008F1A59">
            <w:pPr>
              <w:keepLines/>
              <w:spacing w:before="100" w:after="100"/>
              <w:jc w:val="center"/>
              <w:rPr>
                <w:b/>
                <w:bCs/>
                <w:color w:val="FFFFFF" w:themeColor="background1"/>
                <w:sz w:val="16"/>
                <w:szCs w:val="16"/>
              </w:rPr>
            </w:pPr>
            <w:r>
              <w:rPr>
                <w:b/>
                <w:bCs/>
                <w:color w:val="FFFFFF" w:themeColor="background1"/>
                <w:sz w:val="16"/>
                <w:szCs w:val="16"/>
              </w:rPr>
              <w:t>Rank</w:t>
            </w:r>
          </w:p>
        </w:tc>
        <w:tc>
          <w:tcPr>
            <w:tcW w:w="850" w:type="dxa"/>
            <w:shd w:val="clear" w:color="auto" w:fill="232E36"/>
          </w:tcPr>
          <w:p w14:paraId="3F3C4354" w14:textId="761BA316" w:rsidR="008F1A59" w:rsidRPr="00363CF9" w:rsidRDefault="008F1A59" w:rsidP="008F1A59">
            <w:pPr>
              <w:keepLines/>
              <w:spacing w:before="100" w:after="100"/>
              <w:jc w:val="center"/>
              <w:rPr>
                <w:b/>
                <w:bCs/>
                <w:color w:val="FFFFFF" w:themeColor="background1"/>
                <w:sz w:val="16"/>
                <w:szCs w:val="16"/>
              </w:rPr>
            </w:pPr>
            <w:r>
              <w:rPr>
                <w:b/>
                <w:bCs/>
                <w:color w:val="FFFFFF" w:themeColor="background1"/>
                <w:sz w:val="16"/>
                <w:szCs w:val="16"/>
              </w:rPr>
              <w:t>Cost of capital</w:t>
            </w:r>
          </w:p>
        </w:tc>
        <w:tc>
          <w:tcPr>
            <w:tcW w:w="851" w:type="dxa"/>
            <w:shd w:val="clear" w:color="auto" w:fill="232E36"/>
          </w:tcPr>
          <w:p w14:paraId="05EFB06E" w14:textId="1D4C7137" w:rsidR="008F1A59" w:rsidRPr="00363CF9" w:rsidRDefault="008F1A59" w:rsidP="008F1A59">
            <w:pPr>
              <w:keepLines/>
              <w:spacing w:before="100" w:after="100"/>
              <w:jc w:val="center"/>
              <w:rPr>
                <w:b/>
                <w:bCs/>
                <w:color w:val="FFFFFF" w:themeColor="background1"/>
                <w:sz w:val="16"/>
                <w:szCs w:val="16"/>
              </w:rPr>
            </w:pPr>
            <w:r>
              <w:rPr>
                <w:b/>
                <w:bCs/>
                <w:color w:val="FFFFFF" w:themeColor="background1"/>
                <w:sz w:val="16"/>
                <w:szCs w:val="16"/>
              </w:rPr>
              <w:t>Rank</w:t>
            </w:r>
          </w:p>
        </w:tc>
        <w:tc>
          <w:tcPr>
            <w:tcW w:w="850" w:type="dxa"/>
            <w:shd w:val="clear" w:color="auto" w:fill="232E36"/>
          </w:tcPr>
          <w:p w14:paraId="5750274E" w14:textId="35303D1E" w:rsidR="008F1A59" w:rsidRPr="00363CF9" w:rsidRDefault="008F1A59" w:rsidP="008F1A59">
            <w:pPr>
              <w:keepLines/>
              <w:spacing w:before="100" w:after="100"/>
              <w:jc w:val="center"/>
              <w:rPr>
                <w:b/>
                <w:bCs/>
                <w:color w:val="FFFFFF" w:themeColor="background1"/>
                <w:sz w:val="16"/>
                <w:szCs w:val="16"/>
              </w:rPr>
            </w:pPr>
            <w:r>
              <w:rPr>
                <w:b/>
                <w:bCs/>
                <w:color w:val="FFFFFF" w:themeColor="background1"/>
                <w:sz w:val="16"/>
                <w:szCs w:val="16"/>
              </w:rPr>
              <w:t>Cost of capital</w:t>
            </w:r>
          </w:p>
        </w:tc>
        <w:tc>
          <w:tcPr>
            <w:tcW w:w="851" w:type="dxa"/>
            <w:shd w:val="clear" w:color="auto" w:fill="232E36"/>
          </w:tcPr>
          <w:p w14:paraId="3900AFC8" w14:textId="16A587BC" w:rsidR="008F1A59" w:rsidRPr="00363CF9" w:rsidRDefault="008F1A59" w:rsidP="008F1A59">
            <w:pPr>
              <w:keepLines/>
              <w:spacing w:before="100" w:after="100"/>
              <w:jc w:val="center"/>
              <w:rPr>
                <w:b/>
                <w:bCs/>
                <w:color w:val="FFFFFF" w:themeColor="background1"/>
                <w:sz w:val="16"/>
                <w:szCs w:val="16"/>
              </w:rPr>
            </w:pPr>
            <w:r>
              <w:rPr>
                <w:b/>
                <w:bCs/>
                <w:color w:val="FFFFFF" w:themeColor="background1"/>
                <w:sz w:val="16"/>
                <w:szCs w:val="16"/>
              </w:rPr>
              <w:t>Rank</w:t>
            </w:r>
          </w:p>
        </w:tc>
        <w:tc>
          <w:tcPr>
            <w:tcW w:w="850" w:type="dxa"/>
            <w:shd w:val="clear" w:color="auto" w:fill="232E36"/>
          </w:tcPr>
          <w:p w14:paraId="6A645A54" w14:textId="1A4F8E62" w:rsidR="008F1A59" w:rsidRPr="00363CF9" w:rsidRDefault="008F1A59" w:rsidP="008F1A59">
            <w:pPr>
              <w:keepLines/>
              <w:spacing w:before="100" w:after="100"/>
              <w:jc w:val="center"/>
              <w:rPr>
                <w:b/>
                <w:bCs/>
                <w:color w:val="FFFFFF" w:themeColor="background1"/>
                <w:sz w:val="16"/>
                <w:szCs w:val="16"/>
              </w:rPr>
            </w:pPr>
            <w:r>
              <w:rPr>
                <w:b/>
                <w:bCs/>
                <w:color w:val="FFFFFF" w:themeColor="background1"/>
                <w:sz w:val="16"/>
                <w:szCs w:val="16"/>
              </w:rPr>
              <w:t>Cost of capital</w:t>
            </w:r>
          </w:p>
        </w:tc>
        <w:tc>
          <w:tcPr>
            <w:tcW w:w="851" w:type="dxa"/>
            <w:shd w:val="clear" w:color="auto" w:fill="232E36"/>
          </w:tcPr>
          <w:p w14:paraId="26EA3E14" w14:textId="79160E21" w:rsidR="008F1A59" w:rsidRPr="00363CF9" w:rsidRDefault="008F1A59" w:rsidP="008F1A59">
            <w:pPr>
              <w:keepLines/>
              <w:spacing w:before="100" w:after="100"/>
              <w:jc w:val="center"/>
              <w:rPr>
                <w:b/>
                <w:bCs/>
                <w:color w:val="FFFFFF" w:themeColor="background1"/>
                <w:sz w:val="16"/>
                <w:szCs w:val="16"/>
              </w:rPr>
            </w:pPr>
            <w:r>
              <w:rPr>
                <w:b/>
                <w:bCs/>
                <w:color w:val="FFFFFF" w:themeColor="background1"/>
                <w:sz w:val="16"/>
                <w:szCs w:val="16"/>
              </w:rPr>
              <w:t>Rank</w:t>
            </w:r>
          </w:p>
        </w:tc>
      </w:tr>
      <w:tr w:rsidR="00E402A4" w:rsidRPr="00363CF9" w14:paraId="3467DAC8" w14:textId="77777777" w:rsidTr="00455437">
        <w:tc>
          <w:tcPr>
            <w:tcW w:w="1985" w:type="dxa"/>
          </w:tcPr>
          <w:p w14:paraId="09B0C0DF" w14:textId="7A6E518F" w:rsidR="00E402A4" w:rsidRPr="00072DC1" w:rsidRDefault="00E402A4" w:rsidP="00455437">
            <w:pPr>
              <w:pStyle w:val="Table-Text"/>
              <w:keepLines/>
              <w:spacing w:before="40" w:after="40"/>
              <w:rPr>
                <w:rStyle w:val="Strong"/>
              </w:rPr>
            </w:pPr>
            <w:r w:rsidRPr="00072DC1">
              <w:rPr>
                <w:rStyle w:val="Strong"/>
              </w:rPr>
              <w:t>Australia</w:t>
            </w:r>
          </w:p>
        </w:tc>
        <w:tc>
          <w:tcPr>
            <w:tcW w:w="850" w:type="dxa"/>
          </w:tcPr>
          <w:p w14:paraId="65812DA7" w14:textId="4340ADE9" w:rsidR="00E402A4" w:rsidRPr="00363CF9" w:rsidRDefault="00E402A4" w:rsidP="00455437">
            <w:pPr>
              <w:pStyle w:val="Table-Text"/>
              <w:keepLines/>
              <w:tabs>
                <w:tab w:val="decimal" w:pos="376"/>
              </w:tabs>
              <w:spacing w:before="40" w:after="40"/>
            </w:pPr>
            <w:r>
              <w:t>3.4</w:t>
            </w:r>
          </w:p>
        </w:tc>
        <w:tc>
          <w:tcPr>
            <w:tcW w:w="851" w:type="dxa"/>
          </w:tcPr>
          <w:p w14:paraId="5CE3EA66" w14:textId="235C97B7" w:rsidR="00E402A4" w:rsidRPr="00363CF9" w:rsidRDefault="00E402A4" w:rsidP="00455437">
            <w:pPr>
              <w:pStyle w:val="Table-Text"/>
              <w:keepLines/>
              <w:tabs>
                <w:tab w:val="decimal" w:pos="508"/>
              </w:tabs>
              <w:spacing w:before="40" w:after="40"/>
            </w:pPr>
            <w:r>
              <w:t>14</w:t>
            </w:r>
          </w:p>
        </w:tc>
        <w:tc>
          <w:tcPr>
            <w:tcW w:w="850" w:type="dxa"/>
            <w:shd w:val="clear" w:color="auto" w:fill="auto"/>
            <w:vAlign w:val="bottom"/>
          </w:tcPr>
          <w:p w14:paraId="2EA43E85" w14:textId="323519AE" w:rsidR="00E402A4" w:rsidRPr="00363CF9" w:rsidRDefault="00E402A4" w:rsidP="00455437">
            <w:pPr>
              <w:pStyle w:val="Table-Text"/>
              <w:keepLines/>
              <w:tabs>
                <w:tab w:val="decimal" w:pos="362"/>
              </w:tabs>
              <w:spacing w:before="40" w:after="40"/>
            </w:pPr>
            <w:r>
              <w:t>3.9</w:t>
            </w:r>
          </w:p>
        </w:tc>
        <w:tc>
          <w:tcPr>
            <w:tcW w:w="851" w:type="dxa"/>
            <w:vAlign w:val="center"/>
          </w:tcPr>
          <w:p w14:paraId="6DFF4AA2" w14:textId="3A26E5A7" w:rsidR="00E402A4" w:rsidRPr="00363CF9" w:rsidRDefault="00E402A4" w:rsidP="00455437">
            <w:pPr>
              <w:pStyle w:val="Table-Text"/>
              <w:keepLines/>
              <w:tabs>
                <w:tab w:val="decimal" w:pos="514"/>
              </w:tabs>
              <w:spacing w:before="40" w:after="40"/>
            </w:pPr>
            <w:r>
              <w:t>7</w:t>
            </w:r>
          </w:p>
        </w:tc>
        <w:tc>
          <w:tcPr>
            <w:tcW w:w="850" w:type="dxa"/>
            <w:vAlign w:val="center"/>
          </w:tcPr>
          <w:p w14:paraId="75DF0C47" w14:textId="01450F6A" w:rsidR="00E402A4" w:rsidRPr="00363CF9" w:rsidRDefault="00E402A4" w:rsidP="00455437">
            <w:pPr>
              <w:pStyle w:val="Table-Text"/>
              <w:keepLines/>
              <w:tabs>
                <w:tab w:val="decimal" w:pos="376"/>
              </w:tabs>
              <w:spacing w:before="40" w:after="40"/>
            </w:pPr>
            <w:r>
              <w:t>4.0</w:t>
            </w:r>
          </w:p>
        </w:tc>
        <w:tc>
          <w:tcPr>
            <w:tcW w:w="851" w:type="dxa"/>
            <w:vAlign w:val="center"/>
          </w:tcPr>
          <w:p w14:paraId="08E7017F" w14:textId="516CFD85" w:rsidR="00E402A4" w:rsidRPr="00363CF9" w:rsidRDefault="00E402A4" w:rsidP="00455437">
            <w:pPr>
              <w:pStyle w:val="Table-Text"/>
              <w:keepLines/>
              <w:tabs>
                <w:tab w:val="decimal" w:pos="505"/>
              </w:tabs>
              <w:spacing w:before="40" w:after="40"/>
            </w:pPr>
            <w:r>
              <w:t>9</w:t>
            </w:r>
          </w:p>
        </w:tc>
        <w:tc>
          <w:tcPr>
            <w:tcW w:w="850" w:type="dxa"/>
          </w:tcPr>
          <w:p w14:paraId="213128CD" w14:textId="5D46B101" w:rsidR="00E402A4" w:rsidRPr="00363CF9" w:rsidRDefault="00E402A4" w:rsidP="00455437">
            <w:pPr>
              <w:pStyle w:val="Table-Text"/>
              <w:keepLines/>
              <w:tabs>
                <w:tab w:val="decimal" w:pos="376"/>
              </w:tabs>
              <w:spacing w:before="40" w:after="40"/>
            </w:pPr>
            <w:r>
              <w:t>3.7</w:t>
            </w:r>
          </w:p>
        </w:tc>
        <w:tc>
          <w:tcPr>
            <w:tcW w:w="851" w:type="dxa"/>
          </w:tcPr>
          <w:p w14:paraId="75F6F4C5" w14:textId="7C0168EC" w:rsidR="00E402A4" w:rsidRPr="00363CF9" w:rsidRDefault="00E402A4" w:rsidP="00455437">
            <w:pPr>
              <w:pStyle w:val="Table-Text"/>
              <w:keepLines/>
              <w:tabs>
                <w:tab w:val="decimal" w:pos="511"/>
              </w:tabs>
              <w:spacing w:before="40" w:after="40"/>
            </w:pPr>
            <w:r>
              <w:t>6</w:t>
            </w:r>
          </w:p>
        </w:tc>
      </w:tr>
      <w:tr w:rsidR="00E402A4" w:rsidRPr="00363CF9" w14:paraId="6C9B32D8" w14:textId="77777777" w:rsidTr="00455437">
        <w:tc>
          <w:tcPr>
            <w:tcW w:w="1985" w:type="dxa"/>
          </w:tcPr>
          <w:p w14:paraId="45280A8A" w14:textId="63C59DD7" w:rsidR="00E402A4" w:rsidRPr="00072DC1" w:rsidRDefault="00E402A4" w:rsidP="00455437">
            <w:pPr>
              <w:pStyle w:val="Table-Text"/>
              <w:keepLines/>
              <w:spacing w:before="40" w:after="40"/>
              <w:rPr>
                <w:rStyle w:val="Strong"/>
              </w:rPr>
            </w:pPr>
            <w:r w:rsidRPr="00072DC1">
              <w:rPr>
                <w:rStyle w:val="Strong"/>
              </w:rPr>
              <w:t>Austria</w:t>
            </w:r>
          </w:p>
        </w:tc>
        <w:tc>
          <w:tcPr>
            <w:tcW w:w="850" w:type="dxa"/>
          </w:tcPr>
          <w:p w14:paraId="3D62E3E5" w14:textId="00AD5953" w:rsidR="00E402A4" w:rsidRPr="00363CF9" w:rsidRDefault="00E402A4" w:rsidP="00455437">
            <w:pPr>
              <w:pStyle w:val="Table-Text"/>
              <w:keepLines/>
              <w:tabs>
                <w:tab w:val="decimal" w:pos="376"/>
              </w:tabs>
              <w:spacing w:before="40" w:after="40"/>
            </w:pPr>
            <w:r>
              <w:t>3.5</w:t>
            </w:r>
          </w:p>
        </w:tc>
        <w:tc>
          <w:tcPr>
            <w:tcW w:w="851" w:type="dxa"/>
          </w:tcPr>
          <w:p w14:paraId="2C292973" w14:textId="4D1447E1" w:rsidR="00E402A4" w:rsidRPr="00363CF9" w:rsidRDefault="00AA77DA" w:rsidP="00455437">
            <w:pPr>
              <w:pStyle w:val="Table-Text"/>
              <w:keepLines/>
              <w:tabs>
                <w:tab w:val="decimal" w:pos="508"/>
              </w:tabs>
              <w:spacing w:before="40" w:after="40"/>
            </w:pPr>
            <w:r>
              <w:t>12</w:t>
            </w:r>
          </w:p>
        </w:tc>
        <w:tc>
          <w:tcPr>
            <w:tcW w:w="850" w:type="dxa"/>
            <w:shd w:val="clear" w:color="auto" w:fill="auto"/>
            <w:vAlign w:val="bottom"/>
          </w:tcPr>
          <w:p w14:paraId="4227E809" w14:textId="0FACE668" w:rsidR="00E402A4" w:rsidRPr="00363CF9" w:rsidRDefault="00AA77DA" w:rsidP="00455437">
            <w:pPr>
              <w:pStyle w:val="Table-Text"/>
              <w:keepLines/>
              <w:tabs>
                <w:tab w:val="decimal" w:pos="362"/>
              </w:tabs>
              <w:spacing w:before="40" w:after="40"/>
            </w:pPr>
            <w:r>
              <w:t>3.5</w:t>
            </w:r>
          </w:p>
        </w:tc>
        <w:tc>
          <w:tcPr>
            <w:tcW w:w="851" w:type="dxa"/>
            <w:vAlign w:val="center"/>
          </w:tcPr>
          <w:p w14:paraId="0FFD7125" w14:textId="475081B3" w:rsidR="00E402A4" w:rsidRPr="00363CF9" w:rsidRDefault="00AA77DA" w:rsidP="00455437">
            <w:pPr>
              <w:pStyle w:val="Table-Text"/>
              <w:keepLines/>
              <w:tabs>
                <w:tab w:val="decimal" w:pos="514"/>
              </w:tabs>
              <w:spacing w:before="40" w:after="40"/>
            </w:pPr>
            <w:r>
              <w:t>25</w:t>
            </w:r>
          </w:p>
        </w:tc>
        <w:tc>
          <w:tcPr>
            <w:tcW w:w="850" w:type="dxa"/>
            <w:vAlign w:val="center"/>
          </w:tcPr>
          <w:p w14:paraId="08EA640C" w14:textId="71892542" w:rsidR="00E402A4" w:rsidRPr="00363CF9" w:rsidRDefault="00AA77DA" w:rsidP="00455437">
            <w:pPr>
              <w:pStyle w:val="Table-Text"/>
              <w:keepLines/>
              <w:tabs>
                <w:tab w:val="decimal" w:pos="376"/>
              </w:tabs>
              <w:spacing w:before="40" w:after="40"/>
            </w:pPr>
            <w:r>
              <w:t>3.9</w:t>
            </w:r>
          </w:p>
        </w:tc>
        <w:tc>
          <w:tcPr>
            <w:tcW w:w="851" w:type="dxa"/>
            <w:vAlign w:val="center"/>
          </w:tcPr>
          <w:p w14:paraId="230CDE67" w14:textId="4075E227" w:rsidR="00E402A4" w:rsidRPr="00363CF9" w:rsidRDefault="00AA77DA" w:rsidP="00455437">
            <w:pPr>
              <w:pStyle w:val="Table-Text"/>
              <w:keepLines/>
              <w:tabs>
                <w:tab w:val="decimal" w:pos="505"/>
              </w:tabs>
              <w:spacing w:before="40" w:after="40"/>
            </w:pPr>
            <w:r>
              <w:t>12</w:t>
            </w:r>
          </w:p>
        </w:tc>
        <w:tc>
          <w:tcPr>
            <w:tcW w:w="850" w:type="dxa"/>
            <w:vAlign w:val="center"/>
          </w:tcPr>
          <w:p w14:paraId="3FBCD82E" w14:textId="72450BB8" w:rsidR="00E402A4" w:rsidRPr="00363CF9" w:rsidRDefault="00AA77DA" w:rsidP="00455437">
            <w:pPr>
              <w:pStyle w:val="Table-Text"/>
              <w:keepLines/>
              <w:tabs>
                <w:tab w:val="decimal" w:pos="376"/>
              </w:tabs>
              <w:spacing w:before="40" w:after="40"/>
            </w:pPr>
            <w:r>
              <w:t>3.4</w:t>
            </w:r>
          </w:p>
        </w:tc>
        <w:tc>
          <w:tcPr>
            <w:tcW w:w="851" w:type="dxa"/>
          </w:tcPr>
          <w:p w14:paraId="4ABE307B" w14:textId="248882E3" w:rsidR="00E402A4" w:rsidRPr="00363CF9" w:rsidRDefault="00AA77DA" w:rsidP="00455437">
            <w:pPr>
              <w:pStyle w:val="Table-Text"/>
              <w:keepLines/>
              <w:tabs>
                <w:tab w:val="decimal" w:pos="511"/>
              </w:tabs>
              <w:spacing w:before="40" w:after="40"/>
            </w:pPr>
            <w:r>
              <w:t>12</w:t>
            </w:r>
          </w:p>
        </w:tc>
      </w:tr>
      <w:tr w:rsidR="00E402A4" w:rsidRPr="00363CF9" w14:paraId="2AF1B700" w14:textId="77777777" w:rsidTr="00455437">
        <w:tc>
          <w:tcPr>
            <w:tcW w:w="1985" w:type="dxa"/>
          </w:tcPr>
          <w:p w14:paraId="035EF971" w14:textId="46DB5DC5" w:rsidR="00E402A4" w:rsidRPr="00072DC1" w:rsidRDefault="00E402A4" w:rsidP="00455437">
            <w:pPr>
              <w:pStyle w:val="Table-Text"/>
              <w:keepLines/>
              <w:spacing w:before="40" w:after="40"/>
              <w:rPr>
                <w:rStyle w:val="Strong"/>
              </w:rPr>
            </w:pPr>
            <w:r w:rsidRPr="00072DC1">
              <w:rPr>
                <w:rStyle w:val="Strong"/>
              </w:rPr>
              <w:t>Belgium</w:t>
            </w:r>
          </w:p>
        </w:tc>
        <w:tc>
          <w:tcPr>
            <w:tcW w:w="850" w:type="dxa"/>
          </w:tcPr>
          <w:p w14:paraId="0D2F9A2F" w14:textId="7F96390F" w:rsidR="00E402A4" w:rsidRPr="00363CF9" w:rsidRDefault="00AA77DA" w:rsidP="00455437">
            <w:pPr>
              <w:pStyle w:val="Table-Text"/>
              <w:keepLines/>
              <w:tabs>
                <w:tab w:val="decimal" w:pos="376"/>
              </w:tabs>
              <w:spacing w:before="40" w:after="40"/>
            </w:pPr>
            <w:r>
              <w:t>2.3</w:t>
            </w:r>
          </w:p>
        </w:tc>
        <w:tc>
          <w:tcPr>
            <w:tcW w:w="851" w:type="dxa"/>
          </w:tcPr>
          <w:p w14:paraId="6D9413ED" w14:textId="6BBC802F" w:rsidR="00E402A4" w:rsidRPr="00363CF9" w:rsidRDefault="00AA77DA" w:rsidP="00455437">
            <w:pPr>
              <w:pStyle w:val="Table-Text"/>
              <w:keepLines/>
              <w:tabs>
                <w:tab w:val="decimal" w:pos="508"/>
              </w:tabs>
              <w:spacing w:before="40" w:after="40"/>
            </w:pPr>
            <w:r>
              <w:t>37</w:t>
            </w:r>
          </w:p>
        </w:tc>
        <w:tc>
          <w:tcPr>
            <w:tcW w:w="850" w:type="dxa"/>
            <w:shd w:val="clear" w:color="auto" w:fill="auto"/>
            <w:vAlign w:val="bottom"/>
          </w:tcPr>
          <w:p w14:paraId="64CD6DEC" w14:textId="605347C0" w:rsidR="00E402A4" w:rsidRPr="00363CF9" w:rsidRDefault="00AA77DA" w:rsidP="00455437">
            <w:pPr>
              <w:pStyle w:val="Table-Text"/>
              <w:keepLines/>
              <w:tabs>
                <w:tab w:val="decimal" w:pos="362"/>
              </w:tabs>
              <w:spacing w:before="40" w:after="40"/>
            </w:pPr>
            <w:r>
              <w:t>2.7</w:t>
            </w:r>
          </w:p>
        </w:tc>
        <w:tc>
          <w:tcPr>
            <w:tcW w:w="851" w:type="dxa"/>
            <w:vAlign w:val="center"/>
          </w:tcPr>
          <w:p w14:paraId="37FED645" w14:textId="1E896FD2" w:rsidR="00E402A4" w:rsidRPr="00363CF9" w:rsidRDefault="00AA77DA" w:rsidP="00455437">
            <w:pPr>
              <w:pStyle w:val="Table-Text"/>
              <w:keepLines/>
              <w:tabs>
                <w:tab w:val="decimal" w:pos="514"/>
              </w:tabs>
              <w:spacing w:before="40" w:after="40"/>
            </w:pPr>
            <w:r>
              <w:t>38</w:t>
            </w:r>
          </w:p>
        </w:tc>
        <w:tc>
          <w:tcPr>
            <w:tcW w:w="850" w:type="dxa"/>
            <w:vAlign w:val="center"/>
          </w:tcPr>
          <w:p w14:paraId="466EDF3F" w14:textId="2DC374DB" w:rsidR="00E402A4" w:rsidRPr="00363CF9" w:rsidRDefault="00AA77DA" w:rsidP="00455437">
            <w:pPr>
              <w:pStyle w:val="Table-Text"/>
              <w:keepLines/>
              <w:tabs>
                <w:tab w:val="decimal" w:pos="376"/>
              </w:tabs>
              <w:spacing w:before="40" w:after="40"/>
            </w:pPr>
            <w:r>
              <w:t>3.3</w:t>
            </w:r>
          </w:p>
        </w:tc>
        <w:tc>
          <w:tcPr>
            <w:tcW w:w="851" w:type="dxa"/>
            <w:vAlign w:val="center"/>
          </w:tcPr>
          <w:p w14:paraId="267746FC" w14:textId="098FFA51" w:rsidR="00E402A4" w:rsidRPr="00363CF9" w:rsidRDefault="00AA77DA" w:rsidP="00455437">
            <w:pPr>
              <w:pStyle w:val="Table-Text"/>
              <w:keepLines/>
              <w:tabs>
                <w:tab w:val="decimal" w:pos="505"/>
              </w:tabs>
              <w:spacing w:before="40" w:after="40"/>
            </w:pPr>
            <w:r>
              <w:t>26</w:t>
            </w:r>
          </w:p>
        </w:tc>
        <w:tc>
          <w:tcPr>
            <w:tcW w:w="850" w:type="dxa"/>
          </w:tcPr>
          <w:p w14:paraId="48EAF5E2" w14:textId="07D0D9A3" w:rsidR="00E402A4" w:rsidRPr="00363CF9" w:rsidRDefault="00AA77DA" w:rsidP="00455437">
            <w:pPr>
              <w:pStyle w:val="Table-Text"/>
              <w:keepLines/>
              <w:tabs>
                <w:tab w:val="decimal" w:pos="376"/>
              </w:tabs>
              <w:spacing w:before="40" w:after="40"/>
            </w:pPr>
            <w:r>
              <w:t>2.6</w:t>
            </w:r>
          </w:p>
        </w:tc>
        <w:tc>
          <w:tcPr>
            <w:tcW w:w="851" w:type="dxa"/>
          </w:tcPr>
          <w:p w14:paraId="78E7ABC0" w14:textId="794A3439" w:rsidR="00E402A4" w:rsidRPr="00363CF9" w:rsidRDefault="00AA77DA" w:rsidP="00455437">
            <w:pPr>
              <w:pStyle w:val="Table-Text"/>
              <w:keepLines/>
              <w:tabs>
                <w:tab w:val="decimal" w:pos="511"/>
              </w:tabs>
              <w:spacing w:before="40" w:after="40"/>
            </w:pPr>
            <w:r>
              <w:t>36</w:t>
            </w:r>
          </w:p>
        </w:tc>
      </w:tr>
      <w:tr w:rsidR="00E402A4" w:rsidRPr="00363CF9" w14:paraId="1ACCC500" w14:textId="77777777" w:rsidTr="00455437">
        <w:tc>
          <w:tcPr>
            <w:tcW w:w="1985" w:type="dxa"/>
          </w:tcPr>
          <w:p w14:paraId="0A9C4265" w14:textId="08B50AE3" w:rsidR="00E402A4" w:rsidRPr="00072DC1" w:rsidRDefault="00E402A4" w:rsidP="00455437">
            <w:pPr>
              <w:pStyle w:val="Table-Text"/>
              <w:keepLines/>
              <w:spacing w:before="40" w:after="40"/>
              <w:rPr>
                <w:rStyle w:val="Strong"/>
              </w:rPr>
            </w:pPr>
            <w:r w:rsidRPr="00072DC1">
              <w:rPr>
                <w:rStyle w:val="Strong"/>
              </w:rPr>
              <w:t>Canada</w:t>
            </w:r>
          </w:p>
        </w:tc>
        <w:tc>
          <w:tcPr>
            <w:tcW w:w="850" w:type="dxa"/>
          </w:tcPr>
          <w:p w14:paraId="27ABC694" w14:textId="19401D87" w:rsidR="00E402A4" w:rsidRPr="00363CF9" w:rsidRDefault="00AA77DA" w:rsidP="00455437">
            <w:pPr>
              <w:pStyle w:val="Table-Text"/>
              <w:keepLines/>
              <w:tabs>
                <w:tab w:val="decimal" w:pos="376"/>
              </w:tabs>
              <w:spacing w:before="40" w:after="40"/>
            </w:pPr>
            <w:r>
              <w:t>3.2</w:t>
            </w:r>
          </w:p>
        </w:tc>
        <w:tc>
          <w:tcPr>
            <w:tcW w:w="851" w:type="dxa"/>
          </w:tcPr>
          <w:p w14:paraId="03EDE3DA" w14:textId="24E9A5E6" w:rsidR="00E402A4" w:rsidRPr="00363CF9" w:rsidRDefault="00AA77DA" w:rsidP="00455437">
            <w:pPr>
              <w:pStyle w:val="Table-Text"/>
              <w:keepLines/>
              <w:tabs>
                <w:tab w:val="decimal" w:pos="508"/>
              </w:tabs>
              <w:spacing w:before="40" w:after="40"/>
            </w:pPr>
            <w:r>
              <w:t>26</w:t>
            </w:r>
          </w:p>
        </w:tc>
        <w:tc>
          <w:tcPr>
            <w:tcW w:w="850" w:type="dxa"/>
            <w:shd w:val="clear" w:color="auto" w:fill="auto"/>
            <w:vAlign w:val="bottom"/>
          </w:tcPr>
          <w:p w14:paraId="584ACBA1" w14:textId="46549A66" w:rsidR="00E402A4" w:rsidRPr="00363CF9" w:rsidRDefault="00AA77DA" w:rsidP="00455437">
            <w:pPr>
              <w:pStyle w:val="Table-Text"/>
              <w:keepLines/>
              <w:tabs>
                <w:tab w:val="decimal" w:pos="362"/>
              </w:tabs>
              <w:spacing w:before="40" w:after="40"/>
            </w:pPr>
            <w:r>
              <w:t>3.9</w:t>
            </w:r>
          </w:p>
        </w:tc>
        <w:tc>
          <w:tcPr>
            <w:tcW w:w="851" w:type="dxa"/>
            <w:vAlign w:val="center"/>
          </w:tcPr>
          <w:p w14:paraId="4872CA7C" w14:textId="26B8BEAC" w:rsidR="00E402A4" w:rsidRPr="00363CF9" w:rsidRDefault="00AA77DA" w:rsidP="00455437">
            <w:pPr>
              <w:pStyle w:val="Table-Text"/>
              <w:keepLines/>
              <w:tabs>
                <w:tab w:val="decimal" w:pos="514"/>
              </w:tabs>
              <w:spacing w:before="40" w:after="40"/>
            </w:pPr>
            <w:r>
              <w:t>6</w:t>
            </w:r>
          </w:p>
        </w:tc>
        <w:tc>
          <w:tcPr>
            <w:tcW w:w="850" w:type="dxa"/>
            <w:vAlign w:val="center"/>
          </w:tcPr>
          <w:p w14:paraId="76CEDF92" w14:textId="0D3A9D78" w:rsidR="00E402A4" w:rsidRPr="00363CF9" w:rsidRDefault="00AA77DA" w:rsidP="00455437">
            <w:pPr>
              <w:pStyle w:val="Table-Text"/>
              <w:keepLines/>
              <w:tabs>
                <w:tab w:val="decimal" w:pos="376"/>
              </w:tabs>
              <w:spacing w:before="40" w:after="40"/>
            </w:pPr>
            <w:r>
              <w:t>3.4</w:t>
            </w:r>
          </w:p>
        </w:tc>
        <w:tc>
          <w:tcPr>
            <w:tcW w:w="851" w:type="dxa"/>
            <w:vAlign w:val="center"/>
          </w:tcPr>
          <w:p w14:paraId="7963CCC9" w14:textId="75C20AA7" w:rsidR="00E402A4" w:rsidRPr="00363CF9" w:rsidRDefault="00AA77DA" w:rsidP="00455437">
            <w:pPr>
              <w:pStyle w:val="Table-Text"/>
              <w:keepLines/>
              <w:tabs>
                <w:tab w:val="decimal" w:pos="505"/>
              </w:tabs>
              <w:spacing w:before="40" w:after="40"/>
            </w:pPr>
            <w:r>
              <w:t>24</w:t>
            </w:r>
          </w:p>
        </w:tc>
        <w:tc>
          <w:tcPr>
            <w:tcW w:w="850" w:type="dxa"/>
          </w:tcPr>
          <w:p w14:paraId="04B438D4" w14:textId="6624CC38" w:rsidR="00E402A4" w:rsidRPr="00363CF9" w:rsidRDefault="00AA77DA" w:rsidP="00455437">
            <w:pPr>
              <w:pStyle w:val="Table-Text"/>
              <w:keepLines/>
              <w:tabs>
                <w:tab w:val="decimal" w:pos="376"/>
              </w:tabs>
              <w:spacing w:before="40" w:after="40"/>
            </w:pPr>
            <w:r>
              <w:t>3.1</w:t>
            </w:r>
          </w:p>
        </w:tc>
        <w:tc>
          <w:tcPr>
            <w:tcW w:w="851" w:type="dxa"/>
          </w:tcPr>
          <w:p w14:paraId="10F4CF98" w14:textId="769340A7" w:rsidR="00E402A4" w:rsidRPr="00363CF9" w:rsidRDefault="00AA77DA" w:rsidP="00455437">
            <w:pPr>
              <w:pStyle w:val="Table-Text"/>
              <w:keepLines/>
              <w:tabs>
                <w:tab w:val="decimal" w:pos="511"/>
              </w:tabs>
              <w:spacing w:before="40" w:after="40"/>
            </w:pPr>
            <w:r>
              <w:t>25</w:t>
            </w:r>
          </w:p>
        </w:tc>
      </w:tr>
      <w:tr w:rsidR="00E402A4" w:rsidRPr="00363CF9" w14:paraId="37FF911E" w14:textId="77777777" w:rsidTr="00455437">
        <w:tc>
          <w:tcPr>
            <w:tcW w:w="1985" w:type="dxa"/>
          </w:tcPr>
          <w:p w14:paraId="4A307A87" w14:textId="262EFEB7" w:rsidR="00E402A4" w:rsidRPr="00072DC1" w:rsidRDefault="00E402A4" w:rsidP="00455437">
            <w:pPr>
              <w:pStyle w:val="Table-Text"/>
              <w:keepLines/>
              <w:spacing w:before="40" w:after="40"/>
              <w:rPr>
                <w:rStyle w:val="Strong"/>
              </w:rPr>
            </w:pPr>
            <w:r w:rsidRPr="00072DC1">
              <w:rPr>
                <w:rStyle w:val="Strong"/>
              </w:rPr>
              <w:t>Chile</w:t>
            </w:r>
          </w:p>
        </w:tc>
        <w:tc>
          <w:tcPr>
            <w:tcW w:w="850" w:type="dxa"/>
          </w:tcPr>
          <w:p w14:paraId="40D95D24" w14:textId="65295EAA" w:rsidR="00E402A4" w:rsidRPr="00363CF9" w:rsidRDefault="00AA77DA" w:rsidP="00455437">
            <w:pPr>
              <w:pStyle w:val="Table-Text"/>
              <w:keepLines/>
              <w:tabs>
                <w:tab w:val="decimal" w:pos="376"/>
              </w:tabs>
              <w:spacing w:before="40" w:after="40"/>
            </w:pPr>
            <w:r>
              <w:t>3.1</w:t>
            </w:r>
          </w:p>
        </w:tc>
        <w:tc>
          <w:tcPr>
            <w:tcW w:w="851" w:type="dxa"/>
          </w:tcPr>
          <w:p w14:paraId="6DD70E95" w14:textId="3DD012E0" w:rsidR="00E402A4" w:rsidRPr="00363CF9" w:rsidRDefault="00AA77DA" w:rsidP="00455437">
            <w:pPr>
              <w:pStyle w:val="Table-Text"/>
              <w:keepLines/>
              <w:tabs>
                <w:tab w:val="decimal" w:pos="508"/>
              </w:tabs>
              <w:spacing w:before="40" w:after="40"/>
            </w:pPr>
            <w:r>
              <w:t>30</w:t>
            </w:r>
          </w:p>
        </w:tc>
        <w:tc>
          <w:tcPr>
            <w:tcW w:w="850" w:type="dxa"/>
            <w:shd w:val="clear" w:color="auto" w:fill="auto"/>
            <w:vAlign w:val="bottom"/>
          </w:tcPr>
          <w:p w14:paraId="6E576888" w14:textId="7DA9473D" w:rsidR="00E402A4" w:rsidRPr="00363CF9" w:rsidRDefault="00AA77DA" w:rsidP="00455437">
            <w:pPr>
              <w:pStyle w:val="Table-Text"/>
              <w:keepLines/>
              <w:tabs>
                <w:tab w:val="decimal" w:pos="362"/>
              </w:tabs>
              <w:spacing w:before="40" w:after="40"/>
            </w:pPr>
            <w:r>
              <w:t>4.0</w:t>
            </w:r>
          </w:p>
        </w:tc>
        <w:tc>
          <w:tcPr>
            <w:tcW w:w="851" w:type="dxa"/>
            <w:vAlign w:val="center"/>
          </w:tcPr>
          <w:p w14:paraId="2A5213BB" w14:textId="24B202FD" w:rsidR="00E402A4" w:rsidRPr="00363CF9" w:rsidRDefault="00AA77DA" w:rsidP="00455437">
            <w:pPr>
              <w:pStyle w:val="Table-Text"/>
              <w:keepLines/>
              <w:tabs>
                <w:tab w:val="decimal" w:pos="514"/>
              </w:tabs>
              <w:spacing w:before="40" w:after="40"/>
            </w:pPr>
            <w:r>
              <w:t>5</w:t>
            </w:r>
          </w:p>
        </w:tc>
        <w:tc>
          <w:tcPr>
            <w:tcW w:w="850" w:type="dxa"/>
            <w:vAlign w:val="center"/>
          </w:tcPr>
          <w:p w14:paraId="29CBBD2F" w14:textId="1BA97435" w:rsidR="00E402A4" w:rsidRPr="00363CF9" w:rsidRDefault="00AA77DA" w:rsidP="00455437">
            <w:pPr>
              <w:pStyle w:val="Table-Text"/>
              <w:keepLines/>
              <w:tabs>
                <w:tab w:val="decimal" w:pos="376"/>
              </w:tabs>
              <w:spacing w:before="40" w:after="40"/>
            </w:pPr>
            <w:r>
              <w:t>18.5</w:t>
            </w:r>
          </w:p>
        </w:tc>
        <w:tc>
          <w:tcPr>
            <w:tcW w:w="851" w:type="dxa"/>
            <w:vAlign w:val="center"/>
          </w:tcPr>
          <w:p w14:paraId="08257C29" w14:textId="1E5E7B3B" w:rsidR="00E402A4" w:rsidRPr="00363CF9" w:rsidRDefault="00AA77DA" w:rsidP="00455437">
            <w:pPr>
              <w:pStyle w:val="Table-Text"/>
              <w:keepLines/>
              <w:tabs>
                <w:tab w:val="decimal" w:pos="505"/>
              </w:tabs>
              <w:spacing w:before="40" w:after="40"/>
            </w:pPr>
            <w:r>
              <w:t>2</w:t>
            </w:r>
          </w:p>
        </w:tc>
        <w:tc>
          <w:tcPr>
            <w:tcW w:w="850" w:type="dxa"/>
          </w:tcPr>
          <w:p w14:paraId="2118DA55" w14:textId="75860EC5" w:rsidR="00E402A4" w:rsidRPr="00363CF9" w:rsidRDefault="00AA77DA" w:rsidP="00455437">
            <w:pPr>
              <w:pStyle w:val="Table-Text"/>
              <w:keepLines/>
              <w:tabs>
                <w:tab w:val="decimal" w:pos="376"/>
              </w:tabs>
              <w:spacing w:before="40" w:after="40"/>
            </w:pPr>
            <w:r>
              <w:t>2.9</w:t>
            </w:r>
          </w:p>
        </w:tc>
        <w:tc>
          <w:tcPr>
            <w:tcW w:w="851" w:type="dxa"/>
          </w:tcPr>
          <w:p w14:paraId="517CB383" w14:textId="7AD637F5" w:rsidR="00E402A4" w:rsidRPr="00363CF9" w:rsidRDefault="00AA77DA" w:rsidP="00455437">
            <w:pPr>
              <w:pStyle w:val="Table-Text"/>
              <w:keepLines/>
              <w:tabs>
                <w:tab w:val="decimal" w:pos="511"/>
              </w:tabs>
              <w:spacing w:before="40" w:after="40"/>
            </w:pPr>
            <w:r>
              <w:t>31</w:t>
            </w:r>
          </w:p>
        </w:tc>
      </w:tr>
      <w:tr w:rsidR="00E402A4" w:rsidRPr="00363CF9" w14:paraId="0ABB5C0C" w14:textId="77777777" w:rsidTr="00455437">
        <w:tc>
          <w:tcPr>
            <w:tcW w:w="1985" w:type="dxa"/>
          </w:tcPr>
          <w:p w14:paraId="0A359E29" w14:textId="1D92DCD0" w:rsidR="00E402A4" w:rsidRPr="00072DC1" w:rsidRDefault="00E402A4" w:rsidP="00455437">
            <w:pPr>
              <w:pStyle w:val="Table-Text"/>
              <w:keepLines/>
              <w:spacing w:before="40" w:after="40"/>
              <w:rPr>
                <w:rStyle w:val="Strong"/>
              </w:rPr>
            </w:pPr>
            <w:r w:rsidRPr="00072DC1">
              <w:rPr>
                <w:rStyle w:val="Strong"/>
              </w:rPr>
              <w:t>Colombia</w:t>
            </w:r>
          </w:p>
        </w:tc>
        <w:tc>
          <w:tcPr>
            <w:tcW w:w="850" w:type="dxa"/>
          </w:tcPr>
          <w:p w14:paraId="46012E1C" w14:textId="6AF3D7A9" w:rsidR="00E402A4" w:rsidRPr="00363CF9" w:rsidRDefault="00AA77DA" w:rsidP="00455437">
            <w:pPr>
              <w:pStyle w:val="Table-Text"/>
              <w:keepLines/>
              <w:tabs>
                <w:tab w:val="decimal" w:pos="376"/>
              </w:tabs>
              <w:spacing w:before="40" w:after="40"/>
            </w:pPr>
            <w:r>
              <w:t>3.7</w:t>
            </w:r>
          </w:p>
        </w:tc>
        <w:tc>
          <w:tcPr>
            <w:tcW w:w="851" w:type="dxa"/>
          </w:tcPr>
          <w:p w14:paraId="3652D040" w14:textId="5D49F4E0" w:rsidR="00E402A4" w:rsidRPr="00363CF9" w:rsidRDefault="00AA77DA" w:rsidP="00455437">
            <w:pPr>
              <w:pStyle w:val="Table-Text"/>
              <w:keepLines/>
              <w:tabs>
                <w:tab w:val="decimal" w:pos="508"/>
              </w:tabs>
              <w:spacing w:before="40" w:after="40"/>
            </w:pPr>
            <w:r>
              <w:t>5</w:t>
            </w:r>
          </w:p>
        </w:tc>
        <w:tc>
          <w:tcPr>
            <w:tcW w:w="850" w:type="dxa"/>
            <w:shd w:val="clear" w:color="auto" w:fill="auto"/>
            <w:vAlign w:val="bottom"/>
          </w:tcPr>
          <w:p w14:paraId="220BE631" w14:textId="1F887E4B" w:rsidR="00E402A4" w:rsidRPr="00363CF9" w:rsidRDefault="00AA77DA" w:rsidP="00455437">
            <w:pPr>
              <w:pStyle w:val="Table-Text"/>
              <w:keepLines/>
              <w:tabs>
                <w:tab w:val="decimal" w:pos="362"/>
              </w:tabs>
              <w:spacing w:before="40" w:after="40"/>
            </w:pPr>
            <w:r>
              <w:t>4.0</w:t>
            </w:r>
          </w:p>
        </w:tc>
        <w:tc>
          <w:tcPr>
            <w:tcW w:w="851" w:type="dxa"/>
            <w:vAlign w:val="center"/>
          </w:tcPr>
          <w:p w14:paraId="3D8AAF75" w14:textId="1DA5C5C6" w:rsidR="00E402A4" w:rsidRPr="00363CF9" w:rsidRDefault="00AA77DA" w:rsidP="00455437">
            <w:pPr>
              <w:pStyle w:val="Table-Text"/>
              <w:keepLines/>
              <w:tabs>
                <w:tab w:val="decimal" w:pos="514"/>
              </w:tabs>
              <w:spacing w:before="40" w:after="40"/>
            </w:pPr>
            <w:r>
              <w:t>4</w:t>
            </w:r>
          </w:p>
        </w:tc>
        <w:tc>
          <w:tcPr>
            <w:tcW w:w="850" w:type="dxa"/>
            <w:vAlign w:val="center"/>
          </w:tcPr>
          <w:p w14:paraId="0C79E430" w14:textId="7F42E58D" w:rsidR="00E402A4" w:rsidRPr="00363CF9" w:rsidRDefault="00AA77DA" w:rsidP="00455437">
            <w:pPr>
              <w:pStyle w:val="Table-Text"/>
              <w:keepLines/>
              <w:tabs>
                <w:tab w:val="decimal" w:pos="376"/>
              </w:tabs>
              <w:spacing w:before="40" w:after="40"/>
            </w:pPr>
            <w:r>
              <w:t>4.1</w:t>
            </w:r>
          </w:p>
        </w:tc>
        <w:tc>
          <w:tcPr>
            <w:tcW w:w="851" w:type="dxa"/>
            <w:vAlign w:val="center"/>
          </w:tcPr>
          <w:p w14:paraId="3B33C042" w14:textId="06F8ADFE" w:rsidR="00E402A4" w:rsidRPr="00363CF9" w:rsidRDefault="00AA77DA" w:rsidP="00455437">
            <w:pPr>
              <w:pStyle w:val="Table-Text"/>
              <w:keepLines/>
              <w:tabs>
                <w:tab w:val="decimal" w:pos="505"/>
              </w:tabs>
              <w:spacing w:before="40" w:after="40"/>
            </w:pPr>
            <w:r>
              <w:t>8</w:t>
            </w:r>
          </w:p>
        </w:tc>
        <w:tc>
          <w:tcPr>
            <w:tcW w:w="850" w:type="dxa"/>
          </w:tcPr>
          <w:p w14:paraId="4B636E01" w14:textId="1D5D3CD6" w:rsidR="00E402A4" w:rsidRPr="00363CF9" w:rsidRDefault="00AA77DA" w:rsidP="00455437">
            <w:pPr>
              <w:pStyle w:val="Table-Text"/>
              <w:keepLines/>
              <w:tabs>
                <w:tab w:val="decimal" w:pos="376"/>
              </w:tabs>
              <w:spacing w:before="40" w:after="40"/>
            </w:pPr>
            <w:r>
              <w:t>3.7</w:t>
            </w:r>
          </w:p>
        </w:tc>
        <w:tc>
          <w:tcPr>
            <w:tcW w:w="851" w:type="dxa"/>
          </w:tcPr>
          <w:p w14:paraId="408007E3" w14:textId="133F37A5" w:rsidR="00E402A4" w:rsidRPr="00363CF9" w:rsidRDefault="00AA77DA" w:rsidP="00455437">
            <w:pPr>
              <w:pStyle w:val="Table-Text"/>
              <w:keepLines/>
              <w:tabs>
                <w:tab w:val="decimal" w:pos="511"/>
              </w:tabs>
              <w:spacing w:before="40" w:after="40"/>
            </w:pPr>
            <w:r>
              <w:t>5</w:t>
            </w:r>
          </w:p>
        </w:tc>
      </w:tr>
      <w:tr w:rsidR="00AA77DA" w:rsidRPr="00363CF9" w14:paraId="6E6397D1" w14:textId="77777777" w:rsidTr="00455437">
        <w:tc>
          <w:tcPr>
            <w:tcW w:w="1985" w:type="dxa"/>
          </w:tcPr>
          <w:p w14:paraId="50F430CE" w14:textId="288FB870" w:rsidR="00AA77DA" w:rsidRPr="00AA77DA" w:rsidRDefault="00AA77DA" w:rsidP="00455437">
            <w:pPr>
              <w:pStyle w:val="Table-Text"/>
              <w:keepLines/>
              <w:spacing w:before="40" w:after="40"/>
              <w:rPr>
                <w:rStyle w:val="Strong"/>
              </w:rPr>
            </w:pPr>
            <w:r>
              <w:rPr>
                <w:rStyle w:val="Strong"/>
              </w:rPr>
              <w:t>Costa Rica</w:t>
            </w:r>
          </w:p>
        </w:tc>
        <w:tc>
          <w:tcPr>
            <w:tcW w:w="850" w:type="dxa"/>
          </w:tcPr>
          <w:p w14:paraId="43013BC8" w14:textId="5FFE2430" w:rsidR="00AA77DA" w:rsidRPr="00363CF9" w:rsidRDefault="00AA77DA" w:rsidP="00455437">
            <w:pPr>
              <w:pStyle w:val="Table-Text"/>
              <w:keepLines/>
              <w:tabs>
                <w:tab w:val="decimal" w:pos="376"/>
              </w:tabs>
              <w:spacing w:before="40" w:after="40"/>
            </w:pPr>
            <w:r>
              <w:t>3.7</w:t>
            </w:r>
          </w:p>
        </w:tc>
        <w:tc>
          <w:tcPr>
            <w:tcW w:w="851" w:type="dxa"/>
          </w:tcPr>
          <w:p w14:paraId="215F458B" w14:textId="17CF0DF2" w:rsidR="00AA77DA" w:rsidRPr="00363CF9" w:rsidRDefault="00AA77DA" w:rsidP="00455437">
            <w:pPr>
              <w:pStyle w:val="Table-Text"/>
              <w:keepLines/>
              <w:tabs>
                <w:tab w:val="decimal" w:pos="508"/>
              </w:tabs>
              <w:spacing w:before="40" w:after="40"/>
            </w:pPr>
            <w:r>
              <w:t>4</w:t>
            </w:r>
          </w:p>
        </w:tc>
        <w:tc>
          <w:tcPr>
            <w:tcW w:w="850" w:type="dxa"/>
            <w:shd w:val="clear" w:color="auto" w:fill="auto"/>
            <w:vAlign w:val="bottom"/>
          </w:tcPr>
          <w:p w14:paraId="5EFBAFD3" w14:textId="363767C0" w:rsidR="00AA77DA" w:rsidRPr="00363CF9" w:rsidRDefault="00AA77DA" w:rsidP="00455437">
            <w:pPr>
              <w:pStyle w:val="Table-Text"/>
              <w:keepLines/>
              <w:tabs>
                <w:tab w:val="decimal" w:pos="362"/>
              </w:tabs>
              <w:spacing w:before="40" w:after="40"/>
            </w:pPr>
            <w:r>
              <w:t>4.1</w:t>
            </w:r>
          </w:p>
        </w:tc>
        <w:tc>
          <w:tcPr>
            <w:tcW w:w="851" w:type="dxa"/>
            <w:vAlign w:val="center"/>
          </w:tcPr>
          <w:p w14:paraId="789512AE" w14:textId="4F937FAD" w:rsidR="00AA77DA" w:rsidRPr="00363CF9" w:rsidRDefault="00AA77DA" w:rsidP="00455437">
            <w:pPr>
              <w:pStyle w:val="Table-Text"/>
              <w:keepLines/>
              <w:tabs>
                <w:tab w:val="decimal" w:pos="514"/>
              </w:tabs>
              <w:spacing w:before="40" w:after="40"/>
            </w:pPr>
            <w:r>
              <w:t>2</w:t>
            </w:r>
          </w:p>
        </w:tc>
        <w:tc>
          <w:tcPr>
            <w:tcW w:w="850" w:type="dxa"/>
            <w:vAlign w:val="center"/>
          </w:tcPr>
          <w:p w14:paraId="09FAA609" w14:textId="55A38763" w:rsidR="00AA77DA" w:rsidRPr="00363CF9" w:rsidRDefault="00AA77DA" w:rsidP="00455437">
            <w:pPr>
              <w:pStyle w:val="Table-Text"/>
              <w:keepLines/>
              <w:tabs>
                <w:tab w:val="decimal" w:pos="376"/>
              </w:tabs>
              <w:spacing w:before="40" w:after="40"/>
            </w:pPr>
            <w:r>
              <w:t>21.0</w:t>
            </w:r>
          </w:p>
        </w:tc>
        <w:tc>
          <w:tcPr>
            <w:tcW w:w="851" w:type="dxa"/>
            <w:vAlign w:val="center"/>
          </w:tcPr>
          <w:p w14:paraId="6FC04E74" w14:textId="265FF6C4" w:rsidR="00AA77DA" w:rsidRPr="00363CF9" w:rsidRDefault="00AA77DA" w:rsidP="00455437">
            <w:pPr>
              <w:pStyle w:val="Table-Text"/>
              <w:keepLines/>
              <w:tabs>
                <w:tab w:val="decimal" w:pos="505"/>
              </w:tabs>
              <w:spacing w:before="40" w:after="40"/>
            </w:pPr>
            <w:r>
              <w:t>1</w:t>
            </w:r>
          </w:p>
        </w:tc>
        <w:tc>
          <w:tcPr>
            <w:tcW w:w="850" w:type="dxa"/>
          </w:tcPr>
          <w:p w14:paraId="3F8EB845" w14:textId="503FFCDA" w:rsidR="00AA77DA" w:rsidRPr="00363CF9" w:rsidRDefault="00AA77DA" w:rsidP="00455437">
            <w:pPr>
              <w:pStyle w:val="Table-Text"/>
              <w:keepLines/>
              <w:tabs>
                <w:tab w:val="decimal" w:pos="376"/>
              </w:tabs>
              <w:spacing w:before="40" w:after="40"/>
            </w:pPr>
            <w:r>
              <w:t>3.6</w:t>
            </w:r>
          </w:p>
        </w:tc>
        <w:tc>
          <w:tcPr>
            <w:tcW w:w="851" w:type="dxa"/>
          </w:tcPr>
          <w:p w14:paraId="613FF9EB" w14:textId="540AF343" w:rsidR="00AA77DA" w:rsidRPr="00363CF9" w:rsidRDefault="00AA77DA" w:rsidP="00455437">
            <w:pPr>
              <w:pStyle w:val="Table-Text"/>
              <w:keepLines/>
              <w:tabs>
                <w:tab w:val="decimal" w:pos="511"/>
              </w:tabs>
              <w:spacing w:before="40" w:after="40"/>
            </w:pPr>
            <w:r>
              <w:t>8</w:t>
            </w:r>
          </w:p>
        </w:tc>
      </w:tr>
      <w:tr w:rsidR="00E402A4" w:rsidRPr="00363CF9" w14:paraId="4F2AE042" w14:textId="77777777" w:rsidTr="00455437">
        <w:tc>
          <w:tcPr>
            <w:tcW w:w="1985" w:type="dxa"/>
          </w:tcPr>
          <w:p w14:paraId="0235D6BB" w14:textId="1694D059" w:rsidR="00E402A4" w:rsidRPr="00072DC1" w:rsidRDefault="00E402A4" w:rsidP="00455437">
            <w:pPr>
              <w:pStyle w:val="Table-Text"/>
              <w:keepLines/>
              <w:spacing w:before="40" w:after="40"/>
              <w:rPr>
                <w:rStyle w:val="Strong"/>
              </w:rPr>
            </w:pPr>
            <w:r w:rsidRPr="00072DC1">
              <w:rPr>
                <w:rStyle w:val="Strong"/>
              </w:rPr>
              <w:t>Czech Republic</w:t>
            </w:r>
          </w:p>
        </w:tc>
        <w:tc>
          <w:tcPr>
            <w:tcW w:w="850" w:type="dxa"/>
          </w:tcPr>
          <w:p w14:paraId="667B7F33" w14:textId="2370D2F8" w:rsidR="00E402A4" w:rsidRPr="00363CF9" w:rsidRDefault="00AA77DA" w:rsidP="00455437">
            <w:pPr>
              <w:pStyle w:val="Table-Text"/>
              <w:keepLines/>
              <w:tabs>
                <w:tab w:val="decimal" w:pos="376"/>
              </w:tabs>
              <w:spacing w:before="40" w:after="40"/>
            </w:pPr>
            <w:r>
              <w:t>3.5</w:t>
            </w:r>
          </w:p>
        </w:tc>
        <w:tc>
          <w:tcPr>
            <w:tcW w:w="851" w:type="dxa"/>
          </w:tcPr>
          <w:p w14:paraId="2ACBBB5F" w14:textId="688C983C" w:rsidR="00E402A4" w:rsidRPr="00363CF9" w:rsidRDefault="00AA77DA" w:rsidP="00455437">
            <w:pPr>
              <w:pStyle w:val="Table-Text"/>
              <w:keepLines/>
              <w:tabs>
                <w:tab w:val="decimal" w:pos="508"/>
              </w:tabs>
              <w:spacing w:before="40" w:after="40"/>
            </w:pPr>
            <w:r>
              <w:t>8</w:t>
            </w:r>
          </w:p>
        </w:tc>
        <w:tc>
          <w:tcPr>
            <w:tcW w:w="850" w:type="dxa"/>
            <w:shd w:val="clear" w:color="auto" w:fill="auto"/>
            <w:vAlign w:val="bottom"/>
          </w:tcPr>
          <w:p w14:paraId="64DFEEF2" w14:textId="769F67D1" w:rsidR="00E402A4" w:rsidRPr="00363CF9" w:rsidRDefault="00AA77DA" w:rsidP="00455437">
            <w:pPr>
              <w:pStyle w:val="Table-Text"/>
              <w:keepLines/>
              <w:tabs>
                <w:tab w:val="decimal" w:pos="362"/>
              </w:tabs>
              <w:spacing w:before="40" w:after="40"/>
            </w:pPr>
            <w:r>
              <w:t>3.5</w:t>
            </w:r>
          </w:p>
        </w:tc>
        <w:tc>
          <w:tcPr>
            <w:tcW w:w="851" w:type="dxa"/>
            <w:vAlign w:val="center"/>
          </w:tcPr>
          <w:p w14:paraId="7DDEA608" w14:textId="44ACE4ED" w:rsidR="00E402A4" w:rsidRPr="00363CF9" w:rsidRDefault="00AA77DA" w:rsidP="00455437">
            <w:pPr>
              <w:pStyle w:val="Table-Text"/>
              <w:keepLines/>
              <w:tabs>
                <w:tab w:val="decimal" w:pos="514"/>
              </w:tabs>
              <w:spacing w:before="40" w:after="40"/>
            </w:pPr>
            <w:r>
              <w:t>27</w:t>
            </w:r>
          </w:p>
        </w:tc>
        <w:tc>
          <w:tcPr>
            <w:tcW w:w="850" w:type="dxa"/>
            <w:vAlign w:val="center"/>
          </w:tcPr>
          <w:p w14:paraId="6194853A" w14:textId="5BB6505E" w:rsidR="00E402A4" w:rsidRPr="00363CF9" w:rsidRDefault="00AA77DA" w:rsidP="00455437">
            <w:pPr>
              <w:pStyle w:val="Table-Text"/>
              <w:keepLines/>
              <w:tabs>
                <w:tab w:val="decimal" w:pos="376"/>
              </w:tabs>
              <w:spacing w:before="40" w:after="40"/>
            </w:pPr>
            <w:r>
              <w:t>4.0</w:t>
            </w:r>
          </w:p>
        </w:tc>
        <w:tc>
          <w:tcPr>
            <w:tcW w:w="851" w:type="dxa"/>
            <w:vAlign w:val="center"/>
          </w:tcPr>
          <w:p w14:paraId="19C7F9E2" w14:textId="769BE0AB" w:rsidR="00E402A4" w:rsidRPr="00363CF9" w:rsidRDefault="00AA77DA" w:rsidP="00455437">
            <w:pPr>
              <w:pStyle w:val="Table-Text"/>
              <w:keepLines/>
              <w:tabs>
                <w:tab w:val="decimal" w:pos="505"/>
              </w:tabs>
              <w:spacing w:before="40" w:after="40"/>
            </w:pPr>
            <w:r>
              <w:t>11</w:t>
            </w:r>
          </w:p>
        </w:tc>
        <w:tc>
          <w:tcPr>
            <w:tcW w:w="850" w:type="dxa"/>
          </w:tcPr>
          <w:p w14:paraId="27CA1796" w14:textId="31BB0091" w:rsidR="00E402A4" w:rsidRPr="00363CF9" w:rsidRDefault="00AA77DA" w:rsidP="00455437">
            <w:pPr>
              <w:pStyle w:val="Table-Text"/>
              <w:keepLines/>
              <w:tabs>
                <w:tab w:val="decimal" w:pos="376"/>
              </w:tabs>
              <w:spacing w:before="40" w:after="40"/>
            </w:pPr>
            <w:r>
              <w:t>3.2</w:t>
            </w:r>
          </w:p>
        </w:tc>
        <w:tc>
          <w:tcPr>
            <w:tcW w:w="851" w:type="dxa"/>
          </w:tcPr>
          <w:p w14:paraId="0EF7B015" w14:textId="708B1F2A" w:rsidR="00E402A4" w:rsidRPr="00363CF9" w:rsidRDefault="00AA77DA" w:rsidP="00455437">
            <w:pPr>
              <w:pStyle w:val="Table-Text"/>
              <w:keepLines/>
              <w:tabs>
                <w:tab w:val="decimal" w:pos="511"/>
              </w:tabs>
              <w:spacing w:before="40" w:after="40"/>
            </w:pPr>
            <w:r>
              <w:t>23</w:t>
            </w:r>
          </w:p>
        </w:tc>
      </w:tr>
      <w:tr w:rsidR="00E402A4" w:rsidRPr="00363CF9" w14:paraId="377911F3" w14:textId="77777777" w:rsidTr="00455437">
        <w:tc>
          <w:tcPr>
            <w:tcW w:w="1985" w:type="dxa"/>
          </w:tcPr>
          <w:p w14:paraId="470B64FC" w14:textId="7767DD74" w:rsidR="00E402A4" w:rsidRPr="00072DC1" w:rsidRDefault="00E402A4" w:rsidP="00455437">
            <w:pPr>
              <w:pStyle w:val="Table-Text"/>
              <w:keepLines/>
              <w:spacing w:before="40" w:after="40"/>
              <w:rPr>
                <w:rStyle w:val="Strong"/>
              </w:rPr>
            </w:pPr>
            <w:r w:rsidRPr="00072DC1">
              <w:rPr>
                <w:rStyle w:val="Strong"/>
              </w:rPr>
              <w:t>Denmark</w:t>
            </w:r>
          </w:p>
        </w:tc>
        <w:tc>
          <w:tcPr>
            <w:tcW w:w="850" w:type="dxa"/>
          </w:tcPr>
          <w:p w14:paraId="1B2DF429" w14:textId="7578086D" w:rsidR="00E402A4" w:rsidRPr="00363CF9" w:rsidRDefault="00AA77DA" w:rsidP="00455437">
            <w:pPr>
              <w:pStyle w:val="Table-Text"/>
              <w:keepLines/>
              <w:tabs>
                <w:tab w:val="decimal" w:pos="376"/>
              </w:tabs>
              <w:spacing w:before="40" w:after="40"/>
            </w:pPr>
            <w:r>
              <w:t>3.3</w:t>
            </w:r>
          </w:p>
        </w:tc>
        <w:tc>
          <w:tcPr>
            <w:tcW w:w="851" w:type="dxa"/>
          </w:tcPr>
          <w:p w14:paraId="4CFC8FDA" w14:textId="46DFAEA7" w:rsidR="00E402A4" w:rsidRPr="00363CF9" w:rsidRDefault="00AA77DA" w:rsidP="00455437">
            <w:pPr>
              <w:pStyle w:val="Table-Text"/>
              <w:keepLines/>
              <w:tabs>
                <w:tab w:val="decimal" w:pos="508"/>
              </w:tabs>
              <w:spacing w:before="40" w:after="40"/>
            </w:pPr>
            <w:r>
              <w:t>21</w:t>
            </w:r>
          </w:p>
        </w:tc>
        <w:tc>
          <w:tcPr>
            <w:tcW w:w="850" w:type="dxa"/>
            <w:shd w:val="clear" w:color="auto" w:fill="auto"/>
            <w:vAlign w:val="bottom"/>
          </w:tcPr>
          <w:p w14:paraId="10277890" w14:textId="00022379" w:rsidR="00E402A4" w:rsidRPr="00363CF9" w:rsidRDefault="00AA77DA" w:rsidP="00455437">
            <w:pPr>
              <w:pStyle w:val="Table-Text"/>
              <w:keepLines/>
              <w:tabs>
                <w:tab w:val="decimal" w:pos="362"/>
              </w:tabs>
              <w:spacing w:before="40" w:after="40"/>
            </w:pPr>
            <w:r>
              <w:t>3.7</w:t>
            </w:r>
          </w:p>
        </w:tc>
        <w:tc>
          <w:tcPr>
            <w:tcW w:w="851" w:type="dxa"/>
            <w:vAlign w:val="center"/>
          </w:tcPr>
          <w:p w14:paraId="5548E209" w14:textId="71EFD9DB" w:rsidR="00E402A4" w:rsidRPr="00363CF9" w:rsidRDefault="00AA77DA" w:rsidP="00455437">
            <w:pPr>
              <w:pStyle w:val="Table-Text"/>
              <w:keepLines/>
              <w:tabs>
                <w:tab w:val="decimal" w:pos="514"/>
              </w:tabs>
              <w:spacing w:before="40" w:after="40"/>
            </w:pPr>
            <w:r>
              <w:t>13</w:t>
            </w:r>
          </w:p>
        </w:tc>
        <w:tc>
          <w:tcPr>
            <w:tcW w:w="850" w:type="dxa"/>
            <w:vAlign w:val="center"/>
          </w:tcPr>
          <w:p w14:paraId="6814562C" w14:textId="3B8DEF57" w:rsidR="00E402A4" w:rsidRPr="00363CF9" w:rsidRDefault="00AA77DA" w:rsidP="00455437">
            <w:pPr>
              <w:pStyle w:val="Table-Text"/>
              <w:keepLines/>
              <w:tabs>
                <w:tab w:val="decimal" w:pos="376"/>
              </w:tabs>
              <w:spacing w:before="40" w:after="40"/>
            </w:pPr>
            <w:r>
              <w:t>3.1</w:t>
            </w:r>
          </w:p>
        </w:tc>
        <w:tc>
          <w:tcPr>
            <w:tcW w:w="851" w:type="dxa"/>
            <w:vAlign w:val="center"/>
          </w:tcPr>
          <w:p w14:paraId="6F3ACD31" w14:textId="1C422A12" w:rsidR="00E402A4" w:rsidRPr="00363CF9" w:rsidRDefault="00AA77DA" w:rsidP="00455437">
            <w:pPr>
              <w:pStyle w:val="Table-Text"/>
              <w:keepLines/>
              <w:tabs>
                <w:tab w:val="decimal" w:pos="505"/>
              </w:tabs>
              <w:spacing w:before="40" w:after="40"/>
            </w:pPr>
            <w:r>
              <w:t>31</w:t>
            </w:r>
          </w:p>
        </w:tc>
        <w:tc>
          <w:tcPr>
            <w:tcW w:w="850" w:type="dxa"/>
          </w:tcPr>
          <w:p w14:paraId="3DDED0A1" w14:textId="61B02112" w:rsidR="00E402A4" w:rsidRPr="00363CF9" w:rsidRDefault="00AA77DA" w:rsidP="00455437">
            <w:pPr>
              <w:pStyle w:val="Table-Text"/>
              <w:keepLines/>
              <w:tabs>
                <w:tab w:val="decimal" w:pos="376"/>
              </w:tabs>
              <w:spacing w:before="40" w:after="40"/>
            </w:pPr>
            <w:r>
              <w:t>3.5</w:t>
            </w:r>
          </w:p>
        </w:tc>
        <w:tc>
          <w:tcPr>
            <w:tcW w:w="851" w:type="dxa"/>
          </w:tcPr>
          <w:p w14:paraId="27F685D5" w14:textId="33FAACFF" w:rsidR="00E402A4" w:rsidRPr="00363CF9" w:rsidRDefault="00AA77DA" w:rsidP="00455437">
            <w:pPr>
              <w:pStyle w:val="Table-Text"/>
              <w:keepLines/>
              <w:tabs>
                <w:tab w:val="decimal" w:pos="511"/>
              </w:tabs>
              <w:spacing w:before="40" w:after="40"/>
            </w:pPr>
            <w:r>
              <w:t>9</w:t>
            </w:r>
          </w:p>
        </w:tc>
      </w:tr>
      <w:tr w:rsidR="00E402A4" w:rsidRPr="00363CF9" w14:paraId="370E1AAF" w14:textId="77777777" w:rsidTr="00455437">
        <w:tc>
          <w:tcPr>
            <w:tcW w:w="1985" w:type="dxa"/>
          </w:tcPr>
          <w:p w14:paraId="08429F38" w14:textId="4440AB29" w:rsidR="00E402A4" w:rsidRPr="00072DC1" w:rsidRDefault="00E402A4" w:rsidP="00455437">
            <w:pPr>
              <w:pStyle w:val="Table-Text"/>
              <w:keepLines/>
              <w:spacing w:before="40" w:after="40"/>
              <w:rPr>
                <w:rStyle w:val="Strong"/>
              </w:rPr>
            </w:pPr>
            <w:r w:rsidRPr="00072DC1">
              <w:rPr>
                <w:rStyle w:val="Strong"/>
              </w:rPr>
              <w:t>Estonia</w:t>
            </w:r>
          </w:p>
        </w:tc>
        <w:tc>
          <w:tcPr>
            <w:tcW w:w="850" w:type="dxa"/>
          </w:tcPr>
          <w:p w14:paraId="7EE2CD7B" w14:textId="31BB6B5F" w:rsidR="00E402A4" w:rsidRPr="00363CF9" w:rsidRDefault="00AA77DA" w:rsidP="00455437">
            <w:pPr>
              <w:pStyle w:val="Table-Text"/>
              <w:keepLines/>
              <w:tabs>
                <w:tab w:val="decimal" w:pos="376"/>
              </w:tabs>
              <w:spacing w:before="40" w:after="40"/>
            </w:pPr>
            <w:r>
              <w:t>3.0</w:t>
            </w:r>
          </w:p>
        </w:tc>
        <w:tc>
          <w:tcPr>
            <w:tcW w:w="851" w:type="dxa"/>
          </w:tcPr>
          <w:p w14:paraId="5DF1D2FB" w14:textId="01E8557E" w:rsidR="00E402A4" w:rsidRPr="00363CF9" w:rsidRDefault="00AA77DA" w:rsidP="00455437">
            <w:pPr>
              <w:pStyle w:val="Table-Text"/>
              <w:keepLines/>
              <w:tabs>
                <w:tab w:val="decimal" w:pos="508"/>
              </w:tabs>
              <w:spacing w:before="40" w:after="40"/>
            </w:pPr>
            <w:r>
              <w:t>31</w:t>
            </w:r>
          </w:p>
        </w:tc>
        <w:tc>
          <w:tcPr>
            <w:tcW w:w="850" w:type="dxa"/>
            <w:shd w:val="clear" w:color="auto" w:fill="auto"/>
            <w:vAlign w:val="bottom"/>
          </w:tcPr>
          <w:p w14:paraId="2137C539" w14:textId="64C90C84" w:rsidR="00E402A4" w:rsidRPr="00363CF9" w:rsidRDefault="00AA77DA" w:rsidP="00455437">
            <w:pPr>
              <w:pStyle w:val="Table-Text"/>
              <w:keepLines/>
              <w:tabs>
                <w:tab w:val="decimal" w:pos="362"/>
              </w:tabs>
              <w:spacing w:before="40" w:after="40"/>
            </w:pPr>
            <w:r>
              <w:t>3.0</w:t>
            </w:r>
          </w:p>
        </w:tc>
        <w:tc>
          <w:tcPr>
            <w:tcW w:w="851" w:type="dxa"/>
            <w:vAlign w:val="center"/>
          </w:tcPr>
          <w:p w14:paraId="7395CD9B" w14:textId="5ADF8818" w:rsidR="00E402A4" w:rsidRPr="00363CF9" w:rsidRDefault="00AA77DA" w:rsidP="00455437">
            <w:pPr>
              <w:pStyle w:val="Table-Text"/>
              <w:keepLines/>
              <w:tabs>
                <w:tab w:val="decimal" w:pos="514"/>
              </w:tabs>
              <w:spacing w:before="40" w:after="40"/>
            </w:pPr>
            <w:r>
              <w:t>33</w:t>
            </w:r>
          </w:p>
        </w:tc>
        <w:tc>
          <w:tcPr>
            <w:tcW w:w="850" w:type="dxa"/>
            <w:vAlign w:val="center"/>
          </w:tcPr>
          <w:p w14:paraId="54FDB276" w14:textId="5A14C227" w:rsidR="00E402A4" w:rsidRPr="00363CF9" w:rsidRDefault="00AA77DA" w:rsidP="00455437">
            <w:pPr>
              <w:pStyle w:val="Table-Text"/>
              <w:keepLines/>
              <w:tabs>
                <w:tab w:val="decimal" w:pos="376"/>
              </w:tabs>
              <w:spacing w:before="40" w:after="40"/>
            </w:pPr>
            <w:r>
              <w:t>3.0</w:t>
            </w:r>
          </w:p>
        </w:tc>
        <w:tc>
          <w:tcPr>
            <w:tcW w:w="851" w:type="dxa"/>
            <w:vAlign w:val="center"/>
          </w:tcPr>
          <w:p w14:paraId="23B43C26" w14:textId="1C3A8BEE" w:rsidR="00E402A4" w:rsidRPr="00363CF9" w:rsidRDefault="00AA77DA" w:rsidP="00455437">
            <w:pPr>
              <w:pStyle w:val="Table-Text"/>
              <w:keepLines/>
              <w:tabs>
                <w:tab w:val="decimal" w:pos="505"/>
              </w:tabs>
              <w:spacing w:before="40" w:after="40"/>
            </w:pPr>
            <w:r>
              <w:t>33</w:t>
            </w:r>
          </w:p>
        </w:tc>
        <w:tc>
          <w:tcPr>
            <w:tcW w:w="850" w:type="dxa"/>
          </w:tcPr>
          <w:p w14:paraId="54744B21" w14:textId="7AFED097" w:rsidR="00E402A4" w:rsidRPr="00363CF9" w:rsidRDefault="00AA77DA" w:rsidP="00455437">
            <w:pPr>
              <w:pStyle w:val="Table-Text"/>
              <w:keepLines/>
              <w:tabs>
                <w:tab w:val="decimal" w:pos="376"/>
              </w:tabs>
              <w:spacing w:before="40" w:after="40"/>
            </w:pPr>
            <w:r>
              <w:t>3.0</w:t>
            </w:r>
          </w:p>
        </w:tc>
        <w:tc>
          <w:tcPr>
            <w:tcW w:w="851" w:type="dxa"/>
          </w:tcPr>
          <w:p w14:paraId="0C731C37" w14:textId="77C91323" w:rsidR="00E402A4" w:rsidRPr="00363CF9" w:rsidRDefault="00AA77DA" w:rsidP="00455437">
            <w:pPr>
              <w:pStyle w:val="Table-Text"/>
              <w:keepLines/>
              <w:tabs>
                <w:tab w:val="decimal" w:pos="511"/>
              </w:tabs>
              <w:spacing w:before="40" w:after="40"/>
            </w:pPr>
            <w:r>
              <w:t>29</w:t>
            </w:r>
          </w:p>
        </w:tc>
      </w:tr>
      <w:tr w:rsidR="00E402A4" w:rsidRPr="00363CF9" w14:paraId="4568B46A" w14:textId="77777777" w:rsidTr="00455437">
        <w:tc>
          <w:tcPr>
            <w:tcW w:w="1985" w:type="dxa"/>
          </w:tcPr>
          <w:p w14:paraId="5CA092F7" w14:textId="563E4CB7" w:rsidR="00E402A4" w:rsidRPr="00072DC1" w:rsidRDefault="00E402A4" w:rsidP="00455437">
            <w:pPr>
              <w:pStyle w:val="Table-Text"/>
              <w:keepLines/>
              <w:spacing w:before="40" w:after="40"/>
              <w:rPr>
                <w:rStyle w:val="Strong"/>
              </w:rPr>
            </w:pPr>
            <w:r w:rsidRPr="00072DC1">
              <w:rPr>
                <w:rStyle w:val="Strong"/>
              </w:rPr>
              <w:t>Finland</w:t>
            </w:r>
          </w:p>
        </w:tc>
        <w:tc>
          <w:tcPr>
            <w:tcW w:w="850" w:type="dxa"/>
          </w:tcPr>
          <w:p w14:paraId="17330851" w14:textId="42C1A981" w:rsidR="00E402A4" w:rsidRPr="00363CF9" w:rsidRDefault="00AA77DA" w:rsidP="00455437">
            <w:pPr>
              <w:pStyle w:val="Table-Text"/>
              <w:keepLines/>
              <w:tabs>
                <w:tab w:val="decimal" w:pos="376"/>
              </w:tabs>
              <w:spacing w:before="40" w:after="40"/>
            </w:pPr>
            <w:r>
              <w:t>3.2</w:t>
            </w:r>
          </w:p>
        </w:tc>
        <w:tc>
          <w:tcPr>
            <w:tcW w:w="851" w:type="dxa"/>
          </w:tcPr>
          <w:p w14:paraId="1BD2C533" w14:textId="5DB7386D" w:rsidR="00E402A4" w:rsidRPr="00363CF9" w:rsidRDefault="00AA77DA" w:rsidP="00455437">
            <w:pPr>
              <w:pStyle w:val="Table-Text"/>
              <w:keepLines/>
              <w:tabs>
                <w:tab w:val="decimal" w:pos="508"/>
              </w:tabs>
              <w:spacing w:before="40" w:after="40"/>
            </w:pPr>
            <w:r>
              <w:t>25</w:t>
            </w:r>
          </w:p>
        </w:tc>
        <w:tc>
          <w:tcPr>
            <w:tcW w:w="850" w:type="dxa"/>
            <w:shd w:val="clear" w:color="auto" w:fill="auto"/>
            <w:vAlign w:val="bottom"/>
          </w:tcPr>
          <w:p w14:paraId="7FE3EAB9" w14:textId="5DA7D739" w:rsidR="00E402A4" w:rsidRPr="00363CF9" w:rsidRDefault="00AA77DA" w:rsidP="00455437">
            <w:pPr>
              <w:pStyle w:val="Table-Text"/>
              <w:keepLines/>
              <w:tabs>
                <w:tab w:val="decimal" w:pos="362"/>
              </w:tabs>
              <w:spacing w:before="40" w:after="40"/>
            </w:pPr>
            <w:r>
              <w:t>3.6</w:t>
            </w:r>
          </w:p>
        </w:tc>
        <w:tc>
          <w:tcPr>
            <w:tcW w:w="851" w:type="dxa"/>
            <w:vAlign w:val="center"/>
          </w:tcPr>
          <w:p w14:paraId="65B0BA0F" w14:textId="10EDAA15" w:rsidR="00E402A4" w:rsidRPr="00363CF9" w:rsidRDefault="00AA77DA" w:rsidP="00455437">
            <w:pPr>
              <w:pStyle w:val="Table-Text"/>
              <w:keepLines/>
              <w:tabs>
                <w:tab w:val="decimal" w:pos="514"/>
              </w:tabs>
              <w:spacing w:before="40" w:after="40"/>
            </w:pPr>
            <w:r>
              <w:t>19</w:t>
            </w:r>
          </w:p>
        </w:tc>
        <w:tc>
          <w:tcPr>
            <w:tcW w:w="850" w:type="dxa"/>
            <w:vAlign w:val="center"/>
          </w:tcPr>
          <w:p w14:paraId="47DEBF38" w14:textId="477D78ED" w:rsidR="00E402A4" w:rsidRPr="00363CF9" w:rsidRDefault="00AA77DA" w:rsidP="00455437">
            <w:pPr>
              <w:pStyle w:val="Table-Text"/>
              <w:keepLines/>
              <w:tabs>
                <w:tab w:val="decimal" w:pos="376"/>
              </w:tabs>
              <w:spacing w:before="40" w:after="40"/>
            </w:pPr>
            <w:r>
              <w:t>4.7</w:t>
            </w:r>
          </w:p>
        </w:tc>
        <w:tc>
          <w:tcPr>
            <w:tcW w:w="851" w:type="dxa"/>
            <w:vAlign w:val="center"/>
          </w:tcPr>
          <w:p w14:paraId="475AA527" w14:textId="0E098488" w:rsidR="00E402A4" w:rsidRPr="00363CF9" w:rsidRDefault="00AA77DA" w:rsidP="00455437">
            <w:pPr>
              <w:pStyle w:val="Table-Text"/>
              <w:keepLines/>
              <w:tabs>
                <w:tab w:val="decimal" w:pos="505"/>
              </w:tabs>
              <w:spacing w:before="40" w:after="40"/>
            </w:pPr>
            <w:r>
              <w:t>5</w:t>
            </w:r>
          </w:p>
        </w:tc>
        <w:tc>
          <w:tcPr>
            <w:tcW w:w="850" w:type="dxa"/>
          </w:tcPr>
          <w:p w14:paraId="7B7EB2E3" w14:textId="51EF18AA" w:rsidR="00E402A4" w:rsidRPr="00363CF9" w:rsidRDefault="00AA77DA" w:rsidP="00455437">
            <w:pPr>
              <w:pStyle w:val="Table-Text"/>
              <w:keepLines/>
              <w:tabs>
                <w:tab w:val="decimal" w:pos="376"/>
              </w:tabs>
              <w:spacing w:before="40" w:after="40"/>
            </w:pPr>
            <w:r>
              <w:t>3.2</w:t>
            </w:r>
          </w:p>
        </w:tc>
        <w:tc>
          <w:tcPr>
            <w:tcW w:w="851" w:type="dxa"/>
          </w:tcPr>
          <w:p w14:paraId="46A1B9FB" w14:textId="0DE48387" w:rsidR="00E402A4" w:rsidRPr="00363CF9" w:rsidRDefault="00AA77DA" w:rsidP="00455437">
            <w:pPr>
              <w:pStyle w:val="Table-Text"/>
              <w:keepLines/>
              <w:tabs>
                <w:tab w:val="decimal" w:pos="511"/>
              </w:tabs>
              <w:spacing w:before="40" w:after="40"/>
            </w:pPr>
            <w:r>
              <w:t>22</w:t>
            </w:r>
          </w:p>
        </w:tc>
      </w:tr>
      <w:tr w:rsidR="00E402A4" w:rsidRPr="00363CF9" w14:paraId="28F8739F" w14:textId="77777777" w:rsidTr="00455437">
        <w:tc>
          <w:tcPr>
            <w:tcW w:w="1985" w:type="dxa"/>
          </w:tcPr>
          <w:p w14:paraId="724551C5" w14:textId="1D303552" w:rsidR="00E402A4" w:rsidRPr="00072DC1" w:rsidRDefault="00E402A4" w:rsidP="00455437">
            <w:pPr>
              <w:pStyle w:val="Table-Text"/>
              <w:keepLines/>
              <w:spacing w:before="40" w:after="40"/>
              <w:rPr>
                <w:rStyle w:val="Strong"/>
              </w:rPr>
            </w:pPr>
            <w:r w:rsidRPr="00072DC1">
              <w:rPr>
                <w:rStyle w:val="Strong"/>
              </w:rPr>
              <w:t>France</w:t>
            </w:r>
          </w:p>
        </w:tc>
        <w:tc>
          <w:tcPr>
            <w:tcW w:w="850" w:type="dxa"/>
          </w:tcPr>
          <w:p w14:paraId="685EDC96" w14:textId="7F501A64" w:rsidR="00E402A4" w:rsidRPr="00363CF9" w:rsidRDefault="00AA77DA" w:rsidP="00455437">
            <w:pPr>
              <w:pStyle w:val="Table-Text"/>
              <w:keepLines/>
              <w:tabs>
                <w:tab w:val="decimal" w:pos="376"/>
              </w:tabs>
              <w:spacing w:before="40" w:after="40"/>
            </w:pPr>
            <w:r>
              <w:t>3.3</w:t>
            </w:r>
          </w:p>
        </w:tc>
        <w:tc>
          <w:tcPr>
            <w:tcW w:w="851" w:type="dxa"/>
          </w:tcPr>
          <w:p w14:paraId="1A416799" w14:textId="10292BFC" w:rsidR="00E402A4" w:rsidRPr="00363CF9" w:rsidRDefault="00AA77DA" w:rsidP="00455437">
            <w:pPr>
              <w:pStyle w:val="Table-Text"/>
              <w:keepLines/>
              <w:tabs>
                <w:tab w:val="decimal" w:pos="508"/>
              </w:tabs>
              <w:spacing w:before="40" w:after="40"/>
            </w:pPr>
            <w:r>
              <w:t>19</w:t>
            </w:r>
          </w:p>
        </w:tc>
        <w:tc>
          <w:tcPr>
            <w:tcW w:w="850" w:type="dxa"/>
            <w:shd w:val="clear" w:color="auto" w:fill="auto"/>
            <w:vAlign w:val="bottom"/>
          </w:tcPr>
          <w:p w14:paraId="5A300AC8" w14:textId="6575592C" w:rsidR="00E402A4" w:rsidRPr="00363CF9" w:rsidRDefault="00AA77DA" w:rsidP="00455437">
            <w:pPr>
              <w:pStyle w:val="Table-Text"/>
              <w:keepLines/>
              <w:tabs>
                <w:tab w:val="decimal" w:pos="362"/>
              </w:tabs>
              <w:spacing w:before="40" w:after="40"/>
            </w:pPr>
            <w:r>
              <w:t>4.2</w:t>
            </w:r>
          </w:p>
        </w:tc>
        <w:tc>
          <w:tcPr>
            <w:tcW w:w="851" w:type="dxa"/>
            <w:vAlign w:val="center"/>
          </w:tcPr>
          <w:p w14:paraId="001A8F53" w14:textId="68764D76" w:rsidR="00E402A4" w:rsidRPr="00363CF9" w:rsidRDefault="00AA77DA" w:rsidP="00455437">
            <w:pPr>
              <w:pStyle w:val="Table-Text"/>
              <w:keepLines/>
              <w:tabs>
                <w:tab w:val="decimal" w:pos="514"/>
              </w:tabs>
              <w:spacing w:before="40" w:after="40"/>
            </w:pPr>
            <w:r>
              <w:t>1</w:t>
            </w:r>
          </w:p>
        </w:tc>
        <w:tc>
          <w:tcPr>
            <w:tcW w:w="850" w:type="dxa"/>
            <w:vAlign w:val="center"/>
          </w:tcPr>
          <w:p w14:paraId="15F90F83" w14:textId="2BFE9776" w:rsidR="00E402A4" w:rsidRPr="00363CF9" w:rsidRDefault="00AA77DA" w:rsidP="00455437">
            <w:pPr>
              <w:pStyle w:val="Table-Text"/>
              <w:keepLines/>
              <w:tabs>
                <w:tab w:val="decimal" w:pos="376"/>
              </w:tabs>
              <w:spacing w:before="40" w:after="40"/>
            </w:pPr>
            <w:r>
              <w:t>3.7</w:t>
            </w:r>
          </w:p>
        </w:tc>
        <w:tc>
          <w:tcPr>
            <w:tcW w:w="851" w:type="dxa"/>
            <w:vAlign w:val="center"/>
          </w:tcPr>
          <w:p w14:paraId="0ED4DC73" w14:textId="417A3BCD" w:rsidR="00E402A4" w:rsidRPr="00363CF9" w:rsidRDefault="00AA77DA" w:rsidP="00455437">
            <w:pPr>
              <w:pStyle w:val="Table-Text"/>
              <w:keepLines/>
              <w:tabs>
                <w:tab w:val="decimal" w:pos="505"/>
              </w:tabs>
              <w:spacing w:before="40" w:after="40"/>
            </w:pPr>
            <w:r>
              <w:t>17</w:t>
            </w:r>
          </w:p>
        </w:tc>
        <w:tc>
          <w:tcPr>
            <w:tcW w:w="850" w:type="dxa"/>
          </w:tcPr>
          <w:p w14:paraId="1719F10B" w14:textId="0A4CC1E6" w:rsidR="00E402A4" w:rsidRPr="00363CF9" w:rsidRDefault="00AA77DA" w:rsidP="00455437">
            <w:pPr>
              <w:pStyle w:val="Table-Text"/>
              <w:keepLines/>
              <w:tabs>
                <w:tab w:val="decimal" w:pos="376"/>
              </w:tabs>
              <w:spacing w:before="40" w:after="40"/>
            </w:pPr>
            <w:r>
              <w:t>3.4</w:t>
            </w:r>
          </w:p>
        </w:tc>
        <w:tc>
          <w:tcPr>
            <w:tcW w:w="851" w:type="dxa"/>
          </w:tcPr>
          <w:p w14:paraId="5940E0AF" w14:textId="3E84A6AD" w:rsidR="00E402A4" w:rsidRPr="00363CF9" w:rsidRDefault="00AA77DA" w:rsidP="00455437">
            <w:pPr>
              <w:pStyle w:val="Table-Text"/>
              <w:keepLines/>
              <w:tabs>
                <w:tab w:val="decimal" w:pos="511"/>
              </w:tabs>
              <w:spacing w:before="40" w:after="40"/>
            </w:pPr>
            <w:r>
              <w:t>15</w:t>
            </w:r>
          </w:p>
        </w:tc>
      </w:tr>
      <w:tr w:rsidR="00E402A4" w:rsidRPr="00363CF9" w14:paraId="32E80C6B" w14:textId="77777777" w:rsidTr="00455437">
        <w:tc>
          <w:tcPr>
            <w:tcW w:w="1985" w:type="dxa"/>
          </w:tcPr>
          <w:p w14:paraId="31BBF1B5" w14:textId="71AF2F35" w:rsidR="00E402A4" w:rsidRPr="00072DC1" w:rsidRDefault="00E402A4" w:rsidP="00455437">
            <w:pPr>
              <w:pStyle w:val="Table-Text"/>
              <w:keepLines/>
              <w:spacing w:before="40" w:after="40"/>
              <w:rPr>
                <w:rStyle w:val="Strong"/>
              </w:rPr>
            </w:pPr>
            <w:r w:rsidRPr="00072DC1">
              <w:rPr>
                <w:rStyle w:val="Strong"/>
              </w:rPr>
              <w:t>Germany</w:t>
            </w:r>
          </w:p>
        </w:tc>
        <w:tc>
          <w:tcPr>
            <w:tcW w:w="850" w:type="dxa"/>
          </w:tcPr>
          <w:p w14:paraId="123471C4" w14:textId="786A6805" w:rsidR="00E402A4" w:rsidRPr="00363CF9" w:rsidRDefault="00AA77DA" w:rsidP="00455437">
            <w:pPr>
              <w:pStyle w:val="Table-Text"/>
              <w:keepLines/>
              <w:tabs>
                <w:tab w:val="decimal" w:pos="376"/>
              </w:tabs>
              <w:spacing w:before="40" w:after="40"/>
            </w:pPr>
            <w:r>
              <w:t>3.6</w:t>
            </w:r>
          </w:p>
        </w:tc>
        <w:tc>
          <w:tcPr>
            <w:tcW w:w="851" w:type="dxa"/>
          </w:tcPr>
          <w:p w14:paraId="00FD2AD9" w14:textId="4E5B8CDA" w:rsidR="00E402A4" w:rsidRPr="00363CF9" w:rsidRDefault="00AA77DA" w:rsidP="00455437">
            <w:pPr>
              <w:pStyle w:val="Table-Text"/>
              <w:keepLines/>
              <w:tabs>
                <w:tab w:val="decimal" w:pos="508"/>
              </w:tabs>
              <w:spacing w:before="40" w:after="40"/>
            </w:pPr>
            <w:r>
              <w:t>6</w:t>
            </w:r>
          </w:p>
        </w:tc>
        <w:tc>
          <w:tcPr>
            <w:tcW w:w="850" w:type="dxa"/>
            <w:shd w:val="clear" w:color="auto" w:fill="auto"/>
            <w:vAlign w:val="bottom"/>
          </w:tcPr>
          <w:p w14:paraId="0B61749E" w14:textId="10B45B26" w:rsidR="00E402A4" w:rsidRPr="00363CF9" w:rsidRDefault="00AA77DA" w:rsidP="00455437">
            <w:pPr>
              <w:pStyle w:val="Table-Text"/>
              <w:keepLines/>
              <w:tabs>
                <w:tab w:val="decimal" w:pos="362"/>
              </w:tabs>
              <w:spacing w:before="40" w:after="40"/>
            </w:pPr>
            <w:r>
              <w:t>3.7</w:t>
            </w:r>
          </w:p>
        </w:tc>
        <w:tc>
          <w:tcPr>
            <w:tcW w:w="851" w:type="dxa"/>
            <w:vAlign w:val="center"/>
          </w:tcPr>
          <w:p w14:paraId="34C38434" w14:textId="28EF3EF5" w:rsidR="00E402A4" w:rsidRPr="00363CF9" w:rsidRDefault="00AA77DA" w:rsidP="00455437">
            <w:pPr>
              <w:pStyle w:val="Table-Text"/>
              <w:keepLines/>
              <w:tabs>
                <w:tab w:val="decimal" w:pos="514"/>
              </w:tabs>
              <w:spacing w:before="40" w:after="40"/>
            </w:pPr>
            <w:r>
              <w:t>16</w:t>
            </w:r>
          </w:p>
        </w:tc>
        <w:tc>
          <w:tcPr>
            <w:tcW w:w="850" w:type="dxa"/>
            <w:vAlign w:val="center"/>
          </w:tcPr>
          <w:p w14:paraId="4BB383B6" w14:textId="3E819AC1" w:rsidR="00E402A4" w:rsidRPr="00363CF9" w:rsidRDefault="00AA77DA" w:rsidP="00455437">
            <w:pPr>
              <w:pStyle w:val="Table-Text"/>
              <w:keepLines/>
              <w:tabs>
                <w:tab w:val="decimal" w:pos="376"/>
              </w:tabs>
              <w:spacing w:before="40" w:after="40"/>
            </w:pPr>
            <w:r>
              <w:t>3.8</w:t>
            </w:r>
          </w:p>
        </w:tc>
        <w:tc>
          <w:tcPr>
            <w:tcW w:w="851" w:type="dxa"/>
            <w:vAlign w:val="center"/>
          </w:tcPr>
          <w:p w14:paraId="40D0C3E2" w14:textId="18AE5B56" w:rsidR="00E402A4" w:rsidRPr="00363CF9" w:rsidRDefault="00AA77DA" w:rsidP="00455437">
            <w:pPr>
              <w:pStyle w:val="Table-Text"/>
              <w:keepLines/>
              <w:tabs>
                <w:tab w:val="decimal" w:pos="505"/>
              </w:tabs>
              <w:spacing w:before="40" w:after="40"/>
            </w:pPr>
            <w:r>
              <w:t>13</w:t>
            </w:r>
          </w:p>
        </w:tc>
        <w:tc>
          <w:tcPr>
            <w:tcW w:w="850" w:type="dxa"/>
          </w:tcPr>
          <w:p w14:paraId="23F78055" w14:textId="5DEB11BE" w:rsidR="00E402A4" w:rsidRPr="00363CF9" w:rsidRDefault="00AA77DA" w:rsidP="00455437">
            <w:pPr>
              <w:pStyle w:val="Table-Text"/>
              <w:keepLines/>
              <w:tabs>
                <w:tab w:val="decimal" w:pos="376"/>
              </w:tabs>
              <w:spacing w:before="40" w:after="40"/>
            </w:pPr>
            <w:r>
              <w:t>3.9</w:t>
            </w:r>
          </w:p>
        </w:tc>
        <w:tc>
          <w:tcPr>
            <w:tcW w:w="851" w:type="dxa"/>
          </w:tcPr>
          <w:p w14:paraId="6902FE70" w14:textId="13B6D13A" w:rsidR="00E402A4" w:rsidRPr="00363CF9" w:rsidRDefault="00AA77DA" w:rsidP="00455437">
            <w:pPr>
              <w:pStyle w:val="Table-Text"/>
              <w:keepLines/>
              <w:tabs>
                <w:tab w:val="decimal" w:pos="511"/>
              </w:tabs>
              <w:spacing w:before="40" w:after="40"/>
            </w:pPr>
            <w:r>
              <w:t>3</w:t>
            </w:r>
          </w:p>
        </w:tc>
      </w:tr>
      <w:tr w:rsidR="00E402A4" w:rsidRPr="00363CF9" w14:paraId="082CF77B" w14:textId="77777777" w:rsidTr="00455437">
        <w:tc>
          <w:tcPr>
            <w:tcW w:w="1985" w:type="dxa"/>
          </w:tcPr>
          <w:p w14:paraId="0551EE6E" w14:textId="265F1608" w:rsidR="00E402A4" w:rsidRPr="00072DC1" w:rsidRDefault="00E402A4" w:rsidP="00455437">
            <w:pPr>
              <w:pStyle w:val="Table-Text"/>
              <w:keepLines/>
              <w:spacing w:before="40" w:after="40"/>
              <w:rPr>
                <w:rStyle w:val="Strong"/>
              </w:rPr>
            </w:pPr>
            <w:r w:rsidRPr="00072DC1">
              <w:rPr>
                <w:rStyle w:val="Strong"/>
              </w:rPr>
              <w:t>Greece</w:t>
            </w:r>
          </w:p>
        </w:tc>
        <w:tc>
          <w:tcPr>
            <w:tcW w:w="850" w:type="dxa"/>
          </w:tcPr>
          <w:p w14:paraId="3334AA15" w14:textId="58A16EBE" w:rsidR="00E402A4" w:rsidRPr="00363CF9" w:rsidRDefault="00AA77DA" w:rsidP="00455437">
            <w:pPr>
              <w:pStyle w:val="Table-Text"/>
              <w:keepLines/>
              <w:tabs>
                <w:tab w:val="decimal" w:pos="376"/>
              </w:tabs>
              <w:spacing w:before="40" w:after="40"/>
            </w:pPr>
            <w:r>
              <w:t>3.3</w:t>
            </w:r>
          </w:p>
        </w:tc>
        <w:tc>
          <w:tcPr>
            <w:tcW w:w="851" w:type="dxa"/>
          </w:tcPr>
          <w:p w14:paraId="066DC358" w14:textId="77FECA17" w:rsidR="00E402A4" w:rsidRPr="00363CF9" w:rsidRDefault="00AA77DA" w:rsidP="00455437">
            <w:pPr>
              <w:pStyle w:val="Table-Text"/>
              <w:keepLines/>
              <w:tabs>
                <w:tab w:val="decimal" w:pos="508"/>
              </w:tabs>
              <w:spacing w:before="40" w:after="40"/>
            </w:pPr>
            <w:r>
              <w:t>18</w:t>
            </w:r>
          </w:p>
        </w:tc>
        <w:tc>
          <w:tcPr>
            <w:tcW w:w="850" w:type="dxa"/>
            <w:shd w:val="clear" w:color="auto" w:fill="auto"/>
            <w:vAlign w:val="bottom"/>
          </w:tcPr>
          <w:p w14:paraId="3BEBC708" w14:textId="0E526F51" w:rsidR="00E402A4" w:rsidRPr="00363CF9" w:rsidRDefault="00AA77DA" w:rsidP="00455437">
            <w:pPr>
              <w:pStyle w:val="Table-Text"/>
              <w:keepLines/>
              <w:tabs>
                <w:tab w:val="decimal" w:pos="362"/>
              </w:tabs>
              <w:spacing w:before="40" w:after="40"/>
            </w:pPr>
            <w:r>
              <w:t>3.7</w:t>
            </w:r>
          </w:p>
        </w:tc>
        <w:tc>
          <w:tcPr>
            <w:tcW w:w="851" w:type="dxa"/>
            <w:vAlign w:val="center"/>
          </w:tcPr>
          <w:p w14:paraId="5F3F635C" w14:textId="6E077C35" w:rsidR="00E402A4" w:rsidRPr="00363CF9" w:rsidRDefault="00AA77DA" w:rsidP="00455437">
            <w:pPr>
              <w:pStyle w:val="Table-Text"/>
              <w:keepLines/>
              <w:tabs>
                <w:tab w:val="decimal" w:pos="514"/>
              </w:tabs>
              <w:spacing w:before="40" w:after="40"/>
            </w:pPr>
            <w:r>
              <w:t>17</w:t>
            </w:r>
          </w:p>
        </w:tc>
        <w:tc>
          <w:tcPr>
            <w:tcW w:w="850" w:type="dxa"/>
            <w:vAlign w:val="center"/>
          </w:tcPr>
          <w:p w14:paraId="1DD39804" w14:textId="24A98F9D" w:rsidR="00E402A4" w:rsidRPr="00363CF9" w:rsidRDefault="00AA77DA" w:rsidP="00455437">
            <w:pPr>
              <w:pStyle w:val="Table-Text"/>
              <w:keepLines/>
              <w:tabs>
                <w:tab w:val="decimal" w:pos="376"/>
              </w:tabs>
              <w:spacing w:before="40" w:after="40"/>
            </w:pPr>
            <w:r>
              <w:t>4.1</w:t>
            </w:r>
          </w:p>
        </w:tc>
        <w:tc>
          <w:tcPr>
            <w:tcW w:w="851" w:type="dxa"/>
            <w:vAlign w:val="center"/>
          </w:tcPr>
          <w:p w14:paraId="597B91E4" w14:textId="2DAB71FF" w:rsidR="00E402A4" w:rsidRPr="00363CF9" w:rsidRDefault="00AA77DA" w:rsidP="00455437">
            <w:pPr>
              <w:pStyle w:val="Table-Text"/>
              <w:keepLines/>
              <w:tabs>
                <w:tab w:val="decimal" w:pos="505"/>
              </w:tabs>
              <w:spacing w:before="40" w:after="40"/>
            </w:pPr>
            <w:r>
              <w:t>7</w:t>
            </w:r>
          </w:p>
        </w:tc>
        <w:tc>
          <w:tcPr>
            <w:tcW w:w="850" w:type="dxa"/>
          </w:tcPr>
          <w:p w14:paraId="7498B9C2" w14:textId="241F046B" w:rsidR="00E402A4" w:rsidRPr="00363CF9" w:rsidRDefault="00AA77DA" w:rsidP="00455437">
            <w:pPr>
              <w:pStyle w:val="Table-Text"/>
              <w:keepLines/>
              <w:tabs>
                <w:tab w:val="decimal" w:pos="376"/>
              </w:tabs>
              <w:spacing w:before="40" w:after="40"/>
            </w:pPr>
            <w:r>
              <w:t>3.7</w:t>
            </w:r>
          </w:p>
        </w:tc>
        <w:tc>
          <w:tcPr>
            <w:tcW w:w="851" w:type="dxa"/>
          </w:tcPr>
          <w:p w14:paraId="221B30D4" w14:textId="1AD37E4F" w:rsidR="00E402A4" w:rsidRPr="00363CF9" w:rsidRDefault="00AA77DA" w:rsidP="00455437">
            <w:pPr>
              <w:pStyle w:val="Table-Text"/>
              <w:keepLines/>
              <w:tabs>
                <w:tab w:val="decimal" w:pos="511"/>
              </w:tabs>
              <w:spacing w:before="40" w:after="40"/>
            </w:pPr>
            <w:r>
              <w:t>7</w:t>
            </w:r>
          </w:p>
        </w:tc>
      </w:tr>
      <w:tr w:rsidR="00E402A4" w:rsidRPr="00363CF9" w14:paraId="01B57F9E" w14:textId="77777777" w:rsidTr="00455437">
        <w:tc>
          <w:tcPr>
            <w:tcW w:w="1985" w:type="dxa"/>
          </w:tcPr>
          <w:p w14:paraId="06480475" w14:textId="0D6A21B3" w:rsidR="00E402A4" w:rsidRPr="00072DC1" w:rsidRDefault="00E402A4" w:rsidP="00455437">
            <w:pPr>
              <w:pStyle w:val="Table-Text"/>
              <w:keepLines/>
              <w:spacing w:before="40" w:after="40"/>
              <w:rPr>
                <w:rStyle w:val="Strong"/>
              </w:rPr>
            </w:pPr>
            <w:r w:rsidRPr="00072DC1">
              <w:rPr>
                <w:rStyle w:val="Strong"/>
              </w:rPr>
              <w:t>Hungary</w:t>
            </w:r>
          </w:p>
        </w:tc>
        <w:tc>
          <w:tcPr>
            <w:tcW w:w="850" w:type="dxa"/>
          </w:tcPr>
          <w:p w14:paraId="13DFB048" w14:textId="5728383D" w:rsidR="00E402A4" w:rsidRPr="00363CF9" w:rsidRDefault="00AA77DA" w:rsidP="00455437">
            <w:pPr>
              <w:pStyle w:val="Table-Text"/>
              <w:keepLines/>
              <w:tabs>
                <w:tab w:val="decimal" w:pos="376"/>
              </w:tabs>
              <w:spacing w:before="40" w:after="40"/>
            </w:pPr>
            <w:r>
              <w:t>3.3</w:t>
            </w:r>
          </w:p>
        </w:tc>
        <w:tc>
          <w:tcPr>
            <w:tcW w:w="851" w:type="dxa"/>
          </w:tcPr>
          <w:p w14:paraId="077A8158" w14:textId="12EEB0DF" w:rsidR="00E402A4" w:rsidRPr="00363CF9" w:rsidRDefault="00AA77DA" w:rsidP="00455437">
            <w:pPr>
              <w:pStyle w:val="Table-Text"/>
              <w:keepLines/>
              <w:tabs>
                <w:tab w:val="decimal" w:pos="508"/>
              </w:tabs>
              <w:spacing w:before="40" w:after="40"/>
            </w:pPr>
            <w:r>
              <w:t>22</w:t>
            </w:r>
          </w:p>
        </w:tc>
        <w:tc>
          <w:tcPr>
            <w:tcW w:w="850" w:type="dxa"/>
            <w:shd w:val="clear" w:color="auto" w:fill="auto"/>
            <w:vAlign w:val="bottom"/>
          </w:tcPr>
          <w:p w14:paraId="01C0AF84" w14:textId="46F76BBD" w:rsidR="00E402A4" w:rsidRPr="00363CF9" w:rsidRDefault="00AA77DA" w:rsidP="00455437">
            <w:pPr>
              <w:pStyle w:val="Table-Text"/>
              <w:keepLines/>
              <w:tabs>
                <w:tab w:val="decimal" w:pos="362"/>
              </w:tabs>
              <w:spacing w:before="40" w:after="40"/>
            </w:pPr>
            <w:r>
              <w:t>3.3</w:t>
            </w:r>
          </w:p>
        </w:tc>
        <w:tc>
          <w:tcPr>
            <w:tcW w:w="851" w:type="dxa"/>
            <w:vAlign w:val="center"/>
          </w:tcPr>
          <w:p w14:paraId="581A0450" w14:textId="3E6BC319" w:rsidR="00E402A4" w:rsidRPr="00363CF9" w:rsidRDefault="00AA77DA" w:rsidP="00455437">
            <w:pPr>
              <w:pStyle w:val="Table-Text"/>
              <w:keepLines/>
              <w:tabs>
                <w:tab w:val="decimal" w:pos="514"/>
              </w:tabs>
              <w:spacing w:before="40" w:after="40"/>
            </w:pPr>
            <w:r>
              <w:t>31</w:t>
            </w:r>
          </w:p>
        </w:tc>
        <w:tc>
          <w:tcPr>
            <w:tcW w:w="850" w:type="dxa"/>
            <w:vAlign w:val="center"/>
          </w:tcPr>
          <w:p w14:paraId="79245517" w14:textId="0D2F478E" w:rsidR="00E402A4" w:rsidRPr="00363CF9" w:rsidRDefault="00AA77DA" w:rsidP="00455437">
            <w:pPr>
              <w:pStyle w:val="Table-Text"/>
              <w:keepLines/>
              <w:tabs>
                <w:tab w:val="decimal" w:pos="376"/>
              </w:tabs>
              <w:spacing w:before="40" w:after="40"/>
            </w:pPr>
            <w:r>
              <w:t>3.1</w:t>
            </w:r>
          </w:p>
        </w:tc>
        <w:tc>
          <w:tcPr>
            <w:tcW w:w="851" w:type="dxa"/>
            <w:vAlign w:val="center"/>
          </w:tcPr>
          <w:p w14:paraId="01E15702" w14:textId="172B6946" w:rsidR="00E402A4" w:rsidRPr="00363CF9" w:rsidRDefault="00AA77DA" w:rsidP="00455437">
            <w:pPr>
              <w:pStyle w:val="Table-Text"/>
              <w:keepLines/>
              <w:tabs>
                <w:tab w:val="decimal" w:pos="505"/>
              </w:tabs>
              <w:spacing w:before="40" w:after="40"/>
            </w:pPr>
            <w:r>
              <w:t>29</w:t>
            </w:r>
          </w:p>
        </w:tc>
        <w:tc>
          <w:tcPr>
            <w:tcW w:w="850" w:type="dxa"/>
          </w:tcPr>
          <w:p w14:paraId="3CD3A0BF" w14:textId="41E188F2" w:rsidR="00E402A4" w:rsidRPr="00363CF9" w:rsidRDefault="00AA77DA" w:rsidP="00455437">
            <w:pPr>
              <w:pStyle w:val="Table-Text"/>
              <w:keepLines/>
              <w:tabs>
                <w:tab w:val="decimal" w:pos="376"/>
              </w:tabs>
              <w:spacing w:before="40" w:after="40"/>
            </w:pPr>
            <w:r>
              <w:t>3.0</w:t>
            </w:r>
          </w:p>
        </w:tc>
        <w:tc>
          <w:tcPr>
            <w:tcW w:w="851" w:type="dxa"/>
          </w:tcPr>
          <w:p w14:paraId="1DCAA1FF" w14:textId="11488673" w:rsidR="00E402A4" w:rsidRPr="00363CF9" w:rsidRDefault="00AA77DA" w:rsidP="00455437">
            <w:pPr>
              <w:pStyle w:val="Table-Text"/>
              <w:keepLines/>
              <w:tabs>
                <w:tab w:val="decimal" w:pos="511"/>
              </w:tabs>
              <w:spacing w:before="40" w:after="40"/>
            </w:pPr>
            <w:r>
              <w:t>28</w:t>
            </w:r>
          </w:p>
        </w:tc>
      </w:tr>
      <w:tr w:rsidR="00E402A4" w:rsidRPr="00363CF9" w14:paraId="542D9584" w14:textId="77777777" w:rsidTr="00455437">
        <w:tc>
          <w:tcPr>
            <w:tcW w:w="1985" w:type="dxa"/>
          </w:tcPr>
          <w:p w14:paraId="272502AC" w14:textId="613C449E" w:rsidR="00E402A4" w:rsidRPr="00072DC1" w:rsidRDefault="00E402A4" w:rsidP="00455437">
            <w:pPr>
              <w:pStyle w:val="Table-Text"/>
              <w:keepLines/>
              <w:spacing w:before="40" w:after="40"/>
              <w:rPr>
                <w:rStyle w:val="Strong"/>
              </w:rPr>
            </w:pPr>
            <w:r w:rsidRPr="00072DC1">
              <w:rPr>
                <w:rStyle w:val="Strong"/>
              </w:rPr>
              <w:t>Iceland</w:t>
            </w:r>
          </w:p>
        </w:tc>
        <w:tc>
          <w:tcPr>
            <w:tcW w:w="850" w:type="dxa"/>
          </w:tcPr>
          <w:p w14:paraId="51E4371B" w14:textId="4AF752BA" w:rsidR="00E402A4" w:rsidRPr="00363CF9" w:rsidRDefault="00AA77DA" w:rsidP="00455437">
            <w:pPr>
              <w:pStyle w:val="Table-Text"/>
              <w:keepLines/>
              <w:tabs>
                <w:tab w:val="decimal" w:pos="376"/>
              </w:tabs>
              <w:spacing w:before="40" w:after="40"/>
            </w:pPr>
            <w:r>
              <w:t>3.2</w:t>
            </w:r>
          </w:p>
        </w:tc>
        <w:tc>
          <w:tcPr>
            <w:tcW w:w="851" w:type="dxa"/>
          </w:tcPr>
          <w:p w14:paraId="3B22F09C" w14:textId="7581D0D6" w:rsidR="00E402A4" w:rsidRPr="00363CF9" w:rsidRDefault="00AA77DA" w:rsidP="00455437">
            <w:pPr>
              <w:pStyle w:val="Table-Text"/>
              <w:keepLines/>
              <w:tabs>
                <w:tab w:val="decimal" w:pos="508"/>
              </w:tabs>
              <w:spacing w:before="40" w:after="40"/>
            </w:pPr>
            <w:r>
              <w:t>24</w:t>
            </w:r>
          </w:p>
        </w:tc>
        <w:tc>
          <w:tcPr>
            <w:tcW w:w="850" w:type="dxa"/>
            <w:shd w:val="clear" w:color="auto" w:fill="auto"/>
            <w:vAlign w:val="bottom"/>
          </w:tcPr>
          <w:p w14:paraId="4675566E" w14:textId="1C1CAC9E" w:rsidR="00E402A4" w:rsidRPr="00363CF9" w:rsidRDefault="00AA77DA" w:rsidP="00455437">
            <w:pPr>
              <w:pStyle w:val="Table-Text"/>
              <w:keepLines/>
              <w:tabs>
                <w:tab w:val="decimal" w:pos="362"/>
              </w:tabs>
              <w:spacing w:before="40" w:after="40"/>
            </w:pPr>
            <w:r>
              <w:t>3.6</w:t>
            </w:r>
          </w:p>
        </w:tc>
        <w:tc>
          <w:tcPr>
            <w:tcW w:w="851" w:type="dxa"/>
            <w:vAlign w:val="center"/>
          </w:tcPr>
          <w:p w14:paraId="1E8197EC" w14:textId="50F8C5F2" w:rsidR="00E402A4" w:rsidRPr="00363CF9" w:rsidRDefault="00AA77DA" w:rsidP="00455437">
            <w:pPr>
              <w:pStyle w:val="Table-Text"/>
              <w:keepLines/>
              <w:tabs>
                <w:tab w:val="decimal" w:pos="514"/>
              </w:tabs>
              <w:spacing w:before="40" w:after="40"/>
            </w:pPr>
            <w:r>
              <w:t>18</w:t>
            </w:r>
          </w:p>
        </w:tc>
        <w:tc>
          <w:tcPr>
            <w:tcW w:w="850" w:type="dxa"/>
            <w:vAlign w:val="center"/>
          </w:tcPr>
          <w:p w14:paraId="6CAE0A07" w14:textId="3A6D152F" w:rsidR="00E402A4" w:rsidRPr="00363CF9" w:rsidRDefault="00AA77DA" w:rsidP="00455437">
            <w:pPr>
              <w:pStyle w:val="Table-Text"/>
              <w:keepLines/>
              <w:tabs>
                <w:tab w:val="decimal" w:pos="376"/>
              </w:tabs>
              <w:spacing w:before="40" w:after="40"/>
            </w:pPr>
            <w:r>
              <w:t>3.8</w:t>
            </w:r>
          </w:p>
        </w:tc>
        <w:tc>
          <w:tcPr>
            <w:tcW w:w="851" w:type="dxa"/>
            <w:vAlign w:val="center"/>
          </w:tcPr>
          <w:p w14:paraId="6BC3B1D1" w14:textId="2314F087" w:rsidR="00E402A4" w:rsidRPr="00363CF9" w:rsidRDefault="00AA77DA" w:rsidP="00455437">
            <w:pPr>
              <w:pStyle w:val="Table-Text"/>
              <w:keepLines/>
              <w:tabs>
                <w:tab w:val="decimal" w:pos="505"/>
              </w:tabs>
              <w:spacing w:before="40" w:after="40"/>
            </w:pPr>
            <w:r>
              <w:t>14</w:t>
            </w:r>
          </w:p>
        </w:tc>
        <w:tc>
          <w:tcPr>
            <w:tcW w:w="850" w:type="dxa"/>
          </w:tcPr>
          <w:p w14:paraId="4D8981C1" w14:textId="1DF00BA6" w:rsidR="00E402A4" w:rsidRPr="00363CF9" w:rsidRDefault="00AA77DA" w:rsidP="00455437">
            <w:pPr>
              <w:pStyle w:val="Table-Text"/>
              <w:keepLines/>
              <w:tabs>
                <w:tab w:val="decimal" w:pos="376"/>
              </w:tabs>
              <w:spacing w:before="40" w:after="40"/>
            </w:pPr>
            <w:r>
              <w:t>3.4</w:t>
            </w:r>
          </w:p>
        </w:tc>
        <w:tc>
          <w:tcPr>
            <w:tcW w:w="851" w:type="dxa"/>
          </w:tcPr>
          <w:p w14:paraId="2F43B96F" w14:textId="190E6715" w:rsidR="00E402A4" w:rsidRPr="00363CF9" w:rsidRDefault="00AA77DA" w:rsidP="00455437">
            <w:pPr>
              <w:pStyle w:val="Table-Text"/>
              <w:keepLines/>
              <w:tabs>
                <w:tab w:val="decimal" w:pos="511"/>
              </w:tabs>
              <w:spacing w:before="40" w:after="40"/>
            </w:pPr>
            <w:r>
              <w:t>13</w:t>
            </w:r>
          </w:p>
        </w:tc>
      </w:tr>
      <w:tr w:rsidR="00E402A4" w:rsidRPr="00363CF9" w14:paraId="224FEA2A" w14:textId="77777777" w:rsidTr="00455437">
        <w:tc>
          <w:tcPr>
            <w:tcW w:w="1985" w:type="dxa"/>
          </w:tcPr>
          <w:p w14:paraId="70440A90" w14:textId="757DDCFA" w:rsidR="00E402A4" w:rsidRPr="00072DC1" w:rsidRDefault="00E402A4" w:rsidP="00455437">
            <w:pPr>
              <w:pStyle w:val="Table-Text"/>
              <w:keepLines/>
              <w:spacing w:before="40" w:after="40"/>
              <w:rPr>
                <w:rStyle w:val="Strong"/>
              </w:rPr>
            </w:pPr>
            <w:r w:rsidRPr="00072DC1">
              <w:rPr>
                <w:rStyle w:val="Strong"/>
              </w:rPr>
              <w:t>Ireland</w:t>
            </w:r>
          </w:p>
        </w:tc>
        <w:tc>
          <w:tcPr>
            <w:tcW w:w="850" w:type="dxa"/>
          </w:tcPr>
          <w:p w14:paraId="7D561D09" w14:textId="21DCE52C" w:rsidR="00E402A4" w:rsidRPr="00363CF9" w:rsidRDefault="00AA77DA" w:rsidP="00455437">
            <w:pPr>
              <w:pStyle w:val="Table-Text"/>
              <w:keepLines/>
              <w:tabs>
                <w:tab w:val="decimal" w:pos="376"/>
              </w:tabs>
              <w:spacing w:before="40" w:after="40"/>
            </w:pPr>
            <w:r>
              <w:t>3.1</w:t>
            </w:r>
          </w:p>
        </w:tc>
        <w:tc>
          <w:tcPr>
            <w:tcW w:w="851" w:type="dxa"/>
          </w:tcPr>
          <w:p w14:paraId="6BA4E3AB" w14:textId="02C405A7" w:rsidR="00E402A4" w:rsidRPr="00363CF9" w:rsidRDefault="00AA77DA" w:rsidP="00455437">
            <w:pPr>
              <w:pStyle w:val="Table-Text"/>
              <w:keepLines/>
              <w:tabs>
                <w:tab w:val="decimal" w:pos="508"/>
              </w:tabs>
              <w:spacing w:before="40" w:after="40"/>
            </w:pPr>
            <w:r>
              <w:t>28</w:t>
            </w:r>
          </w:p>
        </w:tc>
        <w:tc>
          <w:tcPr>
            <w:tcW w:w="850" w:type="dxa"/>
            <w:shd w:val="clear" w:color="auto" w:fill="auto"/>
            <w:vAlign w:val="bottom"/>
          </w:tcPr>
          <w:p w14:paraId="2FBF0BA3" w14:textId="30469545" w:rsidR="00E402A4" w:rsidRPr="00363CF9" w:rsidRDefault="00AA77DA" w:rsidP="00455437">
            <w:pPr>
              <w:pStyle w:val="Table-Text"/>
              <w:keepLines/>
              <w:tabs>
                <w:tab w:val="decimal" w:pos="362"/>
              </w:tabs>
              <w:spacing w:before="40" w:after="40"/>
            </w:pPr>
            <w:r>
              <w:t>3.4</w:t>
            </w:r>
          </w:p>
        </w:tc>
        <w:tc>
          <w:tcPr>
            <w:tcW w:w="851" w:type="dxa"/>
            <w:vAlign w:val="center"/>
          </w:tcPr>
          <w:p w14:paraId="4F2E3113" w14:textId="72EB3F54" w:rsidR="00E402A4" w:rsidRPr="00363CF9" w:rsidRDefault="00AA77DA" w:rsidP="00455437">
            <w:pPr>
              <w:pStyle w:val="Table-Text"/>
              <w:keepLines/>
              <w:tabs>
                <w:tab w:val="decimal" w:pos="514"/>
              </w:tabs>
              <w:spacing w:before="40" w:after="40"/>
            </w:pPr>
            <w:r>
              <w:t>30</w:t>
            </w:r>
          </w:p>
        </w:tc>
        <w:tc>
          <w:tcPr>
            <w:tcW w:w="850" w:type="dxa"/>
            <w:vAlign w:val="center"/>
          </w:tcPr>
          <w:p w14:paraId="3A1D7CF8" w14:textId="422027D8" w:rsidR="00E402A4" w:rsidRPr="00363CF9" w:rsidRDefault="00AA77DA" w:rsidP="00455437">
            <w:pPr>
              <w:pStyle w:val="Table-Text"/>
              <w:keepLines/>
              <w:tabs>
                <w:tab w:val="decimal" w:pos="376"/>
              </w:tabs>
              <w:spacing w:before="40" w:after="40"/>
            </w:pPr>
            <w:r>
              <w:t>3.8</w:t>
            </w:r>
          </w:p>
        </w:tc>
        <w:tc>
          <w:tcPr>
            <w:tcW w:w="851" w:type="dxa"/>
            <w:vAlign w:val="center"/>
          </w:tcPr>
          <w:p w14:paraId="1850127C" w14:textId="42199567" w:rsidR="00E402A4" w:rsidRPr="00363CF9" w:rsidRDefault="00AA77DA" w:rsidP="00455437">
            <w:pPr>
              <w:pStyle w:val="Table-Text"/>
              <w:keepLines/>
              <w:tabs>
                <w:tab w:val="decimal" w:pos="505"/>
              </w:tabs>
              <w:spacing w:before="40" w:after="40"/>
            </w:pPr>
            <w:r>
              <w:t>15</w:t>
            </w:r>
          </w:p>
        </w:tc>
        <w:tc>
          <w:tcPr>
            <w:tcW w:w="850" w:type="dxa"/>
          </w:tcPr>
          <w:p w14:paraId="52E1D119" w14:textId="49F6AC1F" w:rsidR="00E402A4" w:rsidRPr="00363CF9" w:rsidRDefault="00AA77DA" w:rsidP="00455437">
            <w:pPr>
              <w:pStyle w:val="Table-Text"/>
              <w:keepLines/>
              <w:tabs>
                <w:tab w:val="decimal" w:pos="376"/>
              </w:tabs>
              <w:spacing w:before="40" w:after="40"/>
            </w:pPr>
            <w:r>
              <w:t>3.3</w:t>
            </w:r>
          </w:p>
        </w:tc>
        <w:tc>
          <w:tcPr>
            <w:tcW w:w="851" w:type="dxa"/>
          </w:tcPr>
          <w:p w14:paraId="3C1F92CF" w14:textId="3A897E5D" w:rsidR="00E402A4" w:rsidRPr="00363CF9" w:rsidRDefault="00AA77DA" w:rsidP="00455437">
            <w:pPr>
              <w:pStyle w:val="Table-Text"/>
              <w:keepLines/>
              <w:tabs>
                <w:tab w:val="decimal" w:pos="511"/>
              </w:tabs>
              <w:spacing w:before="40" w:after="40"/>
            </w:pPr>
            <w:r>
              <w:t>19</w:t>
            </w:r>
          </w:p>
        </w:tc>
      </w:tr>
      <w:tr w:rsidR="00E402A4" w:rsidRPr="00363CF9" w14:paraId="78DA9F3C" w14:textId="77777777" w:rsidTr="00455437">
        <w:tc>
          <w:tcPr>
            <w:tcW w:w="1985" w:type="dxa"/>
          </w:tcPr>
          <w:p w14:paraId="14BE2F61" w14:textId="0E8261B5" w:rsidR="00E402A4" w:rsidRPr="00072DC1" w:rsidRDefault="00E402A4" w:rsidP="00455437">
            <w:pPr>
              <w:pStyle w:val="Table-Text"/>
              <w:keepLines/>
              <w:spacing w:before="40" w:after="40"/>
              <w:rPr>
                <w:rStyle w:val="Strong"/>
              </w:rPr>
            </w:pPr>
            <w:r w:rsidRPr="00072DC1">
              <w:rPr>
                <w:rStyle w:val="Strong"/>
              </w:rPr>
              <w:t>Israel</w:t>
            </w:r>
          </w:p>
        </w:tc>
        <w:tc>
          <w:tcPr>
            <w:tcW w:w="850" w:type="dxa"/>
          </w:tcPr>
          <w:p w14:paraId="5F2C5269" w14:textId="4A5F30A2" w:rsidR="00E402A4" w:rsidRPr="00363CF9" w:rsidRDefault="00AA77DA" w:rsidP="00455437">
            <w:pPr>
              <w:pStyle w:val="Table-Text"/>
              <w:keepLines/>
              <w:tabs>
                <w:tab w:val="decimal" w:pos="376"/>
              </w:tabs>
              <w:spacing w:before="40" w:after="40"/>
            </w:pPr>
            <w:r>
              <w:t>3.3</w:t>
            </w:r>
          </w:p>
        </w:tc>
        <w:tc>
          <w:tcPr>
            <w:tcW w:w="851" w:type="dxa"/>
          </w:tcPr>
          <w:p w14:paraId="42626C7F" w14:textId="5EABAD42" w:rsidR="00E402A4" w:rsidRPr="00363CF9" w:rsidRDefault="00AA77DA" w:rsidP="00455437">
            <w:pPr>
              <w:pStyle w:val="Table-Text"/>
              <w:keepLines/>
              <w:tabs>
                <w:tab w:val="decimal" w:pos="508"/>
              </w:tabs>
              <w:spacing w:before="40" w:after="40"/>
            </w:pPr>
            <w:r>
              <w:t>20</w:t>
            </w:r>
          </w:p>
        </w:tc>
        <w:tc>
          <w:tcPr>
            <w:tcW w:w="850" w:type="dxa"/>
            <w:shd w:val="clear" w:color="auto" w:fill="auto"/>
            <w:vAlign w:val="bottom"/>
          </w:tcPr>
          <w:p w14:paraId="54E9229F" w14:textId="25FDDA20" w:rsidR="00E402A4" w:rsidRPr="00363CF9" w:rsidRDefault="00AA77DA" w:rsidP="00455437">
            <w:pPr>
              <w:pStyle w:val="Table-Text"/>
              <w:keepLines/>
              <w:tabs>
                <w:tab w:val="decimal" w:pos="362"/>
              </w:tabs>
              <w:spacing w:before="40" w:after="40"/>
            </w:pPr>
            <w:r>
              <w:t>3.8</w:t>
            </w:r>
          </w:p>
        </w:tc>
        <w:tc>
          <w:tcPr>
            <w:tcW w:w="851" w:type="dxa"/>
            <w:vAlign w:val="center"/>
          </w:tcPr>
          <w:p w14:paraId="0EE2097A" w14:textId="1F2C2F8E" w:rsidR="00E402A4" w:rsidRPr="00363CF9" w:rsidRDefault="00AA77DA" w:rsidP="00455437">
            <w:pPr>
              <w:pStyle w:val="Table-Text"/>
              <w:keepLines/>
              <w:tabs>
                <w:tab w:val="decimal" w:pos="514"/>
              </w:tabs>
              <w:spacing w:before="40" w:after="40"/>
            </w:pPr>
            <w:r>
              <w:t>11</w:t>
            </w:r>
          </w:p>
        </w:tc>
        <w:tc>
          <w:tcPr>
            <w:tcW w:w="850" w:type="dxa"/>
            <w:vAlign w:val="center"/>
          </w:tcPr>
          <w:p w14:paraId="10924D63" w14:textId="2CCA7DAC" w:rsidR="00E402A4" w:rsidRPr="00363CF9" w:rsidRDefault="00AA77DA" w:rsidP="00455437">
            <w:pPr>
              <w:pStyle w:val="Table-Text"/>
              <w:keepLines/>
              <w:tabs>
                <w:tab w:val="decimal" w:pos="376"/>
              </w:tabs>
              <w:spacing w:before="40" w:after="40"/>
            </w:pPr>
            <w:r>
              <w:t>3.6</w:t>
            </w:r>
          </w:p>
        </w:tc>
        <w:tc>
          <w:tcPr>
            <w:tcW w:w="851" w:type="dxa"/>
            <w:vAlign w:val="center"/>
          </w:tcPr>
          <w:p w14:paraId="57AF8E0E" w14:textId="19EC6D77" w:rsidR="00E402A4" w:rsidRPr="00363CF9" w:rsidRDefault="00AA77DA" w:rsidP="00455437">
            <w:pPr>
              <w:pStyle w:val="Table-Text"/>
              <w:keepLines/>
              <w:tabs>
                <w:tab w:val="decimal" w:pos="505"/>
              </w:tabs>
              <w:spacing w:before="40" w:after="40"/>
            </w:pPr>
            <w:r>
              <w:t>22</w:t>
            </w:r>
          </w:p>
        </w:tc>
        <w:tc>
          <w:tcPr>
            <w:tcW w:w="850" w:type="dxa"/>
          </w:tcPr>
          <w:p w14:paraId="04E986AE" w14:textId="63D54792" w:rsidR="00E402A4" w:rsidRPr="00363CF9" w:rsidRDefault="00AA77DA" w:rsidP="00455437">
            <w:pPr>
              <w:pStyle w:val="Table-Text"/>
              <w:keepLines/>
              <w:tabs>
                <w:tab w:val="decimal" w:pos="376"/>
              </w:tabs>
              <w:spacing w:before="40" w:after="40"/>
            </w:pPr>
            <w:r>
              <w:t>3.5</w:t>
            </w:r>
          </w:p>
        </w:tc>
        <w:tc>
          <w:tcPr>
            <w:tcW w:w="851" w:type="dxa"/>
          </w:tcPr>
          <w:p w14:paraId="0DE081A7" w14:textId="5FAA2EA9" w:rsidR="00E402A4" w:rsidRPr="00363CF9" w:rsidRDefault="00AA77DA" w:rsidP="00455437">
            <w:pPr>
              <w:pStyle w:val="Table-Text"/>
              <w:keepLines/>
              <w:tabs>
                <w:tab w:val="decimal" w:pos="511"/>
              </w:tabs>
              <w:spacing w:before="40" w:after="40"/>
            </w:pPr>
            <w:r>
              <w:t>10</w:t>
            </w:r>
          </w:p>
        </w:tc>
      </w:tr>
      <w:tr w:rsidR="00E402A4" w:rsidRPr="00363CF9" w14:paraId="478CC6B5" w14:textId="77777777" w:rsidTr="00455437">
        <w:tc>
          <w:tcPr>
            <w:tcW w:w="1985" w:type="dxa"/>
          </w:tcPr>
          <w:p w14:paraId="4CBA1030" w14:textId="7E8BE74C" w:rsidR="00E402A4" w:rsidRPr="00072DC1" w:rsidRDefault="00E402A4" w:rsidP="00455437">
            <w:pPr>
              <w:pStyle w:val="Table-Text"/>
              <w:keepLines/>
              <w:spacing w:before="40" w:after="40"/>
              <w:rPr>
                <w:rStyle w:val="Strong"/>
              </w:rPr>
            </w:pPr>
            <w:r w:rsidRPr="00072DC1">
              <w:rPr>
                <w:rStyle w:val="Strong"/>
              </w:rPr>
              <w:t>Italy</w:t>
            </w:r>
          </w:p>
        </w:tc>
        <w:tc>
          <w:tcPr>
            <w:tcW w:w="850" w:type="dxa"/>
          </w:tcPr>
          <w:p w14:paraId="190BD6EF" w14:textId="0507B893" w:rsidR="00E402A4" w:rsidRPr="00363CF9" w:rsidRDefault="00AA77DA" w:rsidP="00455437">
            <w:pPr>
              <w:pStyle w:val="Table-Text"/>
              <w:keepLines/>
              <w:tabs>
                <w:tab w:val="decimal" w:pos="376"/>
              </w:tabs>
              <w:spacing w:before="40" w:after="40"/>
            </w:pPr>
            <w:r>
              <w:t>2.6</w:t>
            </w:r>
          </w:p>
        </w:tc>
        <w:tc>
          <w:tcPr>
            <w:tcW w:w="851" w:type="dxa"/>
          </w:tcPr>
          <w:p w14:paraId="76414BF6" w14:textId="1EB228B5" w:rsidR="00E402A4" w:rsidRPr="00363CF9" w:rsidRDefault="00AA77DA" w:rsidP="00455437">
            <w:pPr>
              <w:pStyle w:val="Table-Text"/>
              <w:keepLines/>
              <w:tabs>
                <w:tab w:val="decimal" w:pos="508"/>
              </w:tabs>
              <w:spacing w:before="40" w:after="40"/>
            </w:pPr>
            <w:r>
              <w:t>36</w:t>
            </w:r>
          </w:p>
        </w:tc>
        <w:tc>
          <w:tcPr>
            <w:tcW w:w="850" w:type="dxa"/>
            <w:shd w:val="clear" w:color="auto" w:fill="auto"/>
            <w:vAlign w:val="bottom"/>
          </w:tcPr>
          <w:p w14:paraId="420C24F6" w14:textId="650FB665" w:rsidR="00E402A4" w:rsidRPr="00363CF9" w:rsidRDefault="00AA77DA" w:rsidP="00455437">
            <w:pPr>
              <w:pStyle w:val="Table-Text"/>
              <w:keepLines/>
              <w:tabs>
                <w:tab w:val="decimal" w:pos="362"/>
              </w:tabs>
              <w:spacing w:before="40" w:after="40"/>
            </w:pPr>
            <w:r>
              <w:t>2.8</w:t>
            </w:r>
          </w:p>
        </w:tc>
        <w:tc>
          <w:tcPr>
            <w:tcW w:w="851" w:type="dxa"/>
            <w:vAlign w:val="center"/>
          </w:tcPr>
          <w:p w14:paraId="66F2D04D" w14:textId="613399A5" w:rsidR="00E402A4" w:rsidRPr="00363CF9" w:rsidRDefault="00AA77DA" w:rsidP="00455437">
            <w:pPr>
              <w:pStyle w:val="Table-Text"/>
              <w:keepLines/>
              <w:tabs>
                <w:tab w:val="decimal" w:pos="514"/>
              </w:tabs>
              <w:spacing w:before="40" w:after="40"/>
            </w:pPr>
            <w:r>
              <w:t>37</w:t>
            </w:r>
          </w:p>
        </w:tc>
        <w:tc>
          <w:tcPr>
            <w:tcW w:w="850" w:type="dxa"/>
            <w:vAlign w:val="center"/>
          </w:tcPr>
          <w:p w14:paraId="0C2DF923" w14:textId="544F81FF" w:rsidR="00E402A4" w:rsidRPr="00363CF9" w:rsidRDefault="00AA77DA" w:rsidP="00455437">
            <w:pPr>
              <w:pStyle w:val="Table-Text"/>
              <w:keepLines/>
              <w:tabs>
                <w:tab w:val="decimal" w:pos="376"/>
              </w:tabs>
              <w:spacing w:before="40" w:after="40"/>
            </w:pPr>
            <w:r>
              <w:t>2.9</w:t>
            </w:r>
          </w:p>
        </w:tc>
        <w:tc>
          <w:tcPr>
            <w:tcW w:w="851" w:type="dxa"/>
            <w:vAlign w:val="center"/>
          </w:tcPr>
          <w:p w14:paraId="5ABB5B0D" w14:textId="1604EA6D" w:rsidR="00E402A4" w:rsidRPr="00363CF9" w:rsidRDefault="00AA77DA" w:rsidP="00455437">
            <w:pPr>
              <w:pStyle w:val="Table-Text"/>
              <w:keepLines/>
              <w:tabs>
                <w:tab w:val="decimal" w:pos="505"/>
              </w:tabs>
              <w:spacing w:before="40" w:after="40"/>
            </w:pPr>
            <w:r>
              <w:t>36</w:t>
            </w:r>
          </w:p>
        </w:tc>
        <w:tc>
          <w:tcPr>
            <w:tcW w:w="850" w:type="dxa"/>
          </w:tcPr>
          <w:p w14:paraId="60A0E96C" w14:textId="43840555" w:rsidR="00E402A4" w:rsidRPr="00363CF9" w:rsidRDefault="00AA77DA" w:rsidP="00455437">
            <w:pPr>
              <w:pStyle w:val="Table-Text"/>
              <w:keepLines/>
              <w:tabs>
                <w:tab w:val="decimal" w:pos="376"/>
              </w:tabs>
              <w:spacing w:before="40" w:after="40"/>
            </w:pPr>
            <w:r>
              <w:t>1.3</w:t>
            </w:r>
          </w:p>
        </w:tc>
        <w:tc>
          <w:tcPr>
            <w:tcW w:w="851" w:type="dxa"/>
          </w:tcPr>
          <w:p w14:paraId="1827BD10" w14:textId="56E7E7AB" w:rsidR="00E402A4" w:rsidRPr="00363CF9" w:rsidRDefault="00AA77DA" w:rsidP="00455437">
            <w:pPr>
              <w:pStyle w:val="Table-Text"/>
              <w:keepLines/>
              <w:tabs>
                <w:tab w:val="decimal" w:pos="511"/>
              </w:tabs>
              <w:spacing w:before="40" w:after="40"/>
            </w:pPr>
            <w:r>
              <w:t>38</w:t>
            </w:r>
          </w:p>
        </w:tc>
      </w:tr>
      <w:tr w:rsidR="00E402A4" w:rsidRPr="00363CF9" w14:paraId="5C1C16C5" w14:textId="77777777" w:rsidTr="00455437">
        <w:tc>
          <w:tcPr>
            <w:tcW w:w="1985" w:type="dxa"/>
          </w:tcPr>
          <w:p w14:paraId="4625E95C" w14:textId="305DA2F8" w:rsidR="00E402A4" w:rsidRPr="00072DC1" w:rsidRDefault="00E402A4" w:rsidP="00455437">
            <w:pPr>
              <w:pStyle w:val="Table-Text"/>
              <w:keepLines/>
              <w:spacing w:before="40" w:after="40"/>
              <w:rPr>
                <w:rStyle w:val="Strong"/>
              </w:rPr>
            </w:pPr>
            <w:r w:rsidRPr="00072DC1">
              <w:rPr>
                <w:rStyle w:val="Strong"/>
              </w:rPr>
              <w:t>Japan</w:t>
            </w:r>
          </w:p>
        </w:tc>
        <w:tc>
          <w:tcPr>
            <w:tcW w:w="850" w:type="dxa"/>
          </w:tcPr>
          <w:p w14:paraId="37763A1A" w14:textId="451F0765" w:rsidR="00E402A4" w:rsidRPr="00363CF9" w:rsidRDefault="00AA77DA" w:rsidP="00455437">
            <w:pPr>
              <w:pStyle w:val="Table-Text"/>
              <w:keepLines/>
              <w:tabs>
                <w:tab w:val="decimal" w:pos="376"/>
              </w:tabs>
              <w:spacing w:before="40" w:after="40"/>
            </w:pPr>
            <w:r>
              <w:t>3.7</w:t>
            </w:r>
          </w:p>
        </w:tc>
        <w:tc>
          <w:tcPr>
            <w:tcW w:w="851" w:type="dxa"/>
          </w:tcPr>
          <w:p w14:paraId="4D9FBC74" w14:textId="552493A5" w:rsidR="00E402A4" w:rsidRPr="00363CF9" w:rsidRDefault="00AA77DA" w:rsidP="00455437">
            <w:pPr>
              <w:pStyle w:val="Table-Text"/>
              <w:keepLines/>
              <w:tabs>
                <w:tab w:val="decimal" w:pos="508"/>
              </w:tabs>
              <w:spacing w:before="40" w:after="40"/>
            </w:pPr>
            <w:r>
              <w:t>3</w:t>
            </w:r>
          </w:p>
        </w:tc>
        <w:tc>
          <w:tcPr>
            <w:tcW w:w="850" w:type="dxa"/>
            <w:shd w:val="clear" w:color="auto" w:fill="auto"/>
            <w:vAlign w:val="bottom"/>
          </w:tcPr>
          <w:p w14:paraId="040D9326" w14:textId="7DADC7AF" w:rsidR="00E402A4" w:rsidRPr="00363CF9" w:rsidRDefault="00AA77DA" w:rsidP="00455437">
            <w:pPr>
              <w:pStyle w:val="Table-Text"/>
              <w:keepLines/>
              <w:tabs>
                <w:tab w:val="decimal" w:pos="362"/>
              </w:tabs>
              <w:spacing w:before="40" w:after="40"/>
            </w:pPr>
            <w:r>
              <w:t>3.9</w:t>
            </w:r>
          </w:p>
        </w:tc>
        <w:tc>
          <w:tcPr>
            <w:tcW w:w="851" w:type="dxa"/>
            <w:vAlign w:val="center"/>
          </w:tcPr>
          <w:p w14:paraId="17D2C697" w14:textId="3E38ECDD" w:rsidR="00E402A4" w:rsidRPr="00363CF9" w:rsidRDefault="00AA77DA" w:rsidP="00455437">
            <w:pPr>
              <w:pStyle w:val="Table-Text"/>
              <w:keepLines/>
              <w:tabs>
                <w:tab w:val="decimal" w:pos="514"/>
              </w:tabs>
              <w:spacing w:before="40" w:after="40"/>
            </w:pPr>
            <w:r>
              <w:t>9</w:t>
            </w:r>
          </w:p>
        </w:tc>
        <w:tc>
          <w:tcPr>
            <w:tcW w:w="850" w:type="dxa"/>
            <w:vAlign w:val="center"/>
          </w:tcPr>
          <w:p w14:paraId="0C1941A9" w14:textId="5CE1F129" w:rsidR="00E402A4" w:rsidRPr="00363CF9" w:rsidRDefault="00AA77DA" w:rsidP="00455437">
            <w:pPr>
              <w:pStyle w:val="Table-Text"/>
              <w:keepLines/>
              <w:tabs>
                <w:tab w:val="decimal" w:pos="376"/>
              </w:tabs>
              <w:spacing w:before="40" w:after="40"/>
            </w:pPr>
            <w:r>
              <w:t>5.0</w:t>
            </w:r>
          </w:p>
        </w:tc>
        <w:tc>
          <w:tcPr>
            <w:tcW w:w="851" w:type="dxa"/>
            <w:vAlign w:val="center"/>
          </w:tcPr>
          <w:p w14:paraId="3FF8A9B7" w14:textId="1B84CD3B" w:rsidR="00E402A4" w:rsidRPr="00363CF9" w:rsidRDefault="00AA77DA" w:rsidP="00455437">
            <w:pPr>
              <w:pStyle w:val="Table-Text"/>
              <w:keepLines/>
              <w:tabs>
                <w:tab w:val="decimal" w:pos="505"/>
              </w:tabs>
              <w:spacing w:before="40" w:after="40"/>
            </w:pPr>
            <w:r>
              <w:t>4</w:t>
            </w:r>
          </w:p>
        </w:tc>
        <w:tc>
          <w:tcPr>
            <w:tcW w:w="850" w:type="dxa"/>
          </w:tcPr>
          <w:p w14:paraId="4193A999" w14:textId="7E9D4630" w:rsidR="00E402A4" w:rsidRPr="00363CF9" w:rsidRDefault="00AA77DA" w:rsidP="00455437">
            <w:pPr>
              <w:pStyle w:val="Table-Text"/>
              <w:keepLines/>
              <w:tabs>
                <w:tab w:val="decimal" w:pos="376"/>
              </w:tabs>
              <w:spacing w:before="40" w:after="40"/>
            </w:pPr>
            <w:r>
              <w:t>4.1</w:t>
            </w:r>
          </w:p>
        </w:tc>
        <w:tc>
          <w:tcPr>
            <w:tcW w:w="851" w:type="dxa"/>
          </w:tcPr>
          <w:p w14:paraId="58DE1D6F" w14:textId="119F08E8" w:rsidR="00E402A4" w:rsidRPr="00363CF9" w:rsidRDefault="00AA77DA" w:rsidP="00455437">
            <w:pPr>
              <w:pStyle w:val="Table-Text"/>
              <w:keepLines/>
              <w:tabs>
                <w:tab w:val="decimal" w:pos="511"/>
              </w:tabs>
              <w:spacing w:before="40" w:after="40"/>
            </w:pPr>
            <w:r>
              <w:t>1</w:t>
            </w:r>
          </w:p>
        </w:tc>
      </w:tr>
      <w:tr w:rsidR="00E402A4" w:rsidRPr="00363CF9" w14:paraId="19319C38" w14:textId="77777777" w:rsidTr="00455437">
        <w:tc>
          <w:tcPr>
            <w:tcW w:w="1985" w:type="dxa"/>
          </w:tcPr>
          <w:p w14:paraId="46EBD62E" w14:textId="07E47544" w:rsidR="00E402A4" w:rsidRPr="00072DC1" w:rsidRDefault="00E402A4" w:rsidP="00455437">
            <w:pPr>
              <w:pStyle w:val="Table-Text"/>
              <w:keepLines/>
              <w:spacing w:before="40" w:after="40"/>
              <w:rPr>
                <w:rStyle w:val="Strong"/>
              </w:rPr>
            </w:pPr>
            <w:r w:rsidRPr="00072DC1">
              <w:rPr>
                <w:rStyle w:val="Strong"/>
              </w:rPr>
              <w:t>Korea</w:t>
            </w:r>
          </w:p>
        </w:tc>
        <w:tc>
          <w:tcPr>
            <w:tcW w:w="850" w:type="dxa"/>
          </w:tcPr>
          <w:p w14:paraId="608485D7" w14:textId="7A4D6E67" w:rsidR="00E402A4" w:rsidRPr="00363CF9" w:rsidRDefault="00AA77DA" w:rsidP="00455437">
            <w:pPr>
              <w:pStyle w:val="Table-Text"/>
              <w:keepLines/>
              <w:tabs>
                <w:tab w:val="decimal" w:pos="376"/>
              </w:tabs>
              <w:spacing w:before="40" w:after="40"/>
            </w:pPr>
            <w:r>
              <w:t>3.5</w:t>
            </w:r>
          </w:p>
        </w:tc>
        <w:tc>
          <w:tcPr>
            <w:tcW w:w="851" w:type="dxa"/>
          </w:tcPr>
          <w:p w14:paraId="570F6EDB" w14:textId="58BACE90" w:rsidR="00E402A4" w:rsidRPr="00363CF9" w:rsidRDefault="00AA77DA" w:rsidP="00455437">
            <w:pPr>
              <w:pStyle w:val="Table-Text"/>
              <w:keepLines/>
              <w:tabs>
                <w:tab w:val="decimal" w:pos="508"/>
              </w:tabs>
              <w:spacing w:before="40" w:after="40"/>
            </w:pPr>
            <w:r>
              <w:t>13</w:t>
            </w:r>
          </w:p>
        </w:tc>
        <w:tc>
          <w:tcPr>
            <w:tcW w:w="850" w:type="dxa"/>
            <w:shd w:val="clear" w:color="auto" w:fill="auto"/>
            <w:vAlign w:val="bottom"/>
          </w:tcPr>
          <w:p w14:paraId="061CBB07" w14:textId="28DA2A57" w:rsidR="00E402A4" w:rsidRPr="00363CF9" w:rsidRDefault="00AA77DA" w:rsidP="00455437">
            <w:pPr>
              <w:pStyle w:val="Table-Text"/>
              <w:keepLines/>
              <w:tabs>
                <w:tab w:val="decimal" w:pos="362"/>
              </w:tabs>
              <w:spacing w:before="40" w:after="40"/>
            </w:pPr>
            <w:r>
              <w:t>3.8</w:t>
            </w:r>
          </w:p>
        </w:tc>
        <w:tc>
          <w:tcPr>
            <w:tcW w:w="851" w:type="dxa"/>
            <w:vAlign w:val="center"/>
          </w:tcPr>
          <w:p w14:paraId="173FAB80" w14:textId="6CB25923" w:rsidR="00E402A4" w:rsidRPr="00363CF9" w:rsidRDefault="00AA77DA" w:rsidP="00455437">
            <w:pPr>
              <w:pStyle w:val="Table-Text"/>
              <w:keepLines/>
              <w:tabs>
                <w:tab w:val="decimal" w:pos="514"/>
              </w:tabs>
              <w:spacing w:before="40" w:after="40"/>
            </w:pPr>
            <w:r>
              <w:t>10</w:t>
            </w:r>
          </w:p>
        </w:tc>
        <w:tc>
          <w:tcPr>
            <w:tcW w:w="850" w:type="dxa"/>
            <w:vAlign w:val="center"/>
          </w:tcPr>
          <w:p w14:paraId="00A30A92" w14:textId="7F5A82F0" w:rsidR="00E402A4" w:rsidRPr="00363CF9" w:rsidRDefault="00AA77DA" w:rsidP="00455437">
            <w:pPr>
              <w:pStyle w:val="Table-Text"/>
              <w:keepLines/>
              <w:tabs>
                <w:tab w:val="decimal" w:pos="376"/>
              </w:tabs>
              <w:spacing w:before="40" w:after="40"/>
            </w:pPr>
            <w:r>
              <w:t>4.3</w:t>
            </w:r>
          </w:p>
        </w:tc>
        <w:tc>
          <w:tcPr>
            <w:tcW w:w="851" w:type="dxa"/>
            <w:vAlign w:val="center"/>
          </w:tcPr>
          <w:p w14:paraId="09D937F1" w14:textId="1E8D7023" w:rsidR="00E402A4" w:rsidRPr="00363CF9" w:rsidRDefault="00AA77DA" w:rsidP="00455437">
            <w:pPr>
              <w:pStyle w:val="Table-Text"/>
              <w:keepLines/>
              <w:tabs>
                <w:tab w:val="decimal" w:pos="505"/>
              </w:tabs>
              <w:spacing w:before="40" w:after="40"/>
            </w:pPr>
            <w:r>
              <w:t>6</w:t>
            </w:r>
          </w:p>
        </w:tc>
        <w:tc>
          <w:tcPr>
            <w:tcW w:w="850" w:type="dxa"/>
          </w:tcPr>
          <w:p w14:paraId="6D43D52B" w14:textId="75F51602" w:rsidR="00E402A4" w:rsidRPr="00363CF9" w:rsidRDefault="00AA77DA" w:rsidP="00455437">
            <w:pPr>
              <w:pStyle w:val="Table-Text"/>
              <w:keepLines/>
              <w:tabs>
                <w:tab w:val="decimal" w:pos="376"/>
              </w:tabs>
              <w:spacing w:before="40" w:after="40"/>
            </w:pPr>
            <w:r>
              <w:t>3.2</w:t>
            </w:r>
          </w:p>
        </w:tc>
        <w:tc>
          <w:tcPr>
            <w:tcW w:w="851" w:type="dxa"/>
          </w:tcPr>
          <w:p w14:paraId="5E55B5F0" w14:textId="5AE99AD7" w:rsidR="00E402A4" w:rsidRPr="00363CF9" w:rsidRDefault="00AA77DA" w:rsidP="00455437">
            <w:pPr>
              <w:pStyle w:val="Table-Text"/>
              <w:keepLines/>
              <w:tabs>
                <w:tab w:val="decimal" w:pos="511"/>
              </w:tabs>
              <w:spacing w:before="40" w:after="40"/>
            </w:pPr>
            <w:r>
              <w:t>21</w:t>
            </w:r>
          </w:p>
        </w:tc>
      </w:tr>
      <w:tr w:rsidR="00E402A4" w:rsidRPr="00363CF9" w14:paraId="41927CF2" w14:textId="77777777" w:rsidTr="00455437">
        <w:tc>
          <w:tcPr>
            <w:tcW w:w="1985" w:type="dxa"/>
          </w:tcPr>
          <w:p w14:paraId="41AD7934" w14:textId="54AD942B" w:rsidR="00E402A4" w:rsidRPr="00072DC1" w:rsidRDefault="00E402A4" w:rsidP="00455437">
            <w:pPr>
              <w:pStyle w:val="Table-Text"/>
              <w:keepLines/>
              <w:spacing w:before="40" w:after="40"/>
              <w:rPr>
                <w:rStyle w:val="Strong"/>
              </w:rPr>
            </w:pPr>
            <w:r w:rsidRPr="00072DC1">
              <w:rPr>
                <w:rStyle w:val="Strong"/>
              </w:rPr>
              <w:t>Latvia</w:t>
            </w:r>
          </w:p>
        </w:tc>
        <w:tc>
          <w:tcPr>
            <w:tcW w:w="850" w:type="dxa"/>
          </w:tcPr>
          <w:p w14:paraId="370F87F9" w14:textId="7ECA1471" w:rsidR="00E402A4" w:rsidRPr="00363CF9" w:rsidRDefault="00AA77DA" w:rsidP="00455437">
            <w:pPr>
              <w:pStyle w:val="Table-Text"/>
              <w:keepLines/>
              <w:tabs>
                <w:tab w:val="decimal" w:pos="376"/>
              </w:tabs>
              <w:spacing w:before="40" w:after="40"/>
            </w:pPr>
            <w:r>
              <w:t>3.0</w:t>
            </w:r>
          </w:p>
        </w:tc>
        <w:tc>
          <w:tcPr>
            <w:tcW w:w="851" w:type="dxa"/>
          </w:tcPr>
          <w:p w14:paraId="69E02B41" w14:textId="0BD67229" w:rsidR="00E402A4" w:rsidRPr="00363CF9" w:rsidRDefault="00AA77DA" w:rsidP="00455437">
            <w:pPr>
              <w:pStyle w:val="Table-Text"/>
              <w:keepLines/>
              <w:tabs>
                <w:tab w:val="decimal" w:pos="508"/>
              </w:tabs>
              <w:spacing w:before="40" w:after="40"/>
            </w:pPr>
            <w:r>
              <w:t>32</w:t>
            </w:r>
          </w:p>
        </w:tc>
        <w:tc>
          <w:tcPr>
            <w:tcW w:w="850" w:type="dxa"/>
            <w:shd w:val="clear" w:color="auto" w:fill="auto"/>
            <w:vAlign w:val="bottom"/>
          </w:tcPr>
          <w:p w14:paraId="57E8479C" w14:textId="019F4D62" w:rsidR="00E402A4" w:rsidRPr="00363CF9" w:rsidRDefault="00AA77DA" w:rsidP="00455437">
            <w:pPr>
              <w:pStyle w:val="Table-Text"/>
              <w:keepLines/>
              <w:tabs>
                <w:tab w:val="decimal" w:pos="362"/>
              </w:tabs>
              <w:spacing w:before="40" w:after="40"/>
            </w:pPr>
            <w:r>
              <w:t>3.0</w:t>
            </w:r>
          </w:p>
        </w:tc>
        <w:tc>
          <w:tcPr>
            <w:tcW w:w="851" w:type="dxa"/>
            <w:vAlign w:val="center"/>
          </w:tcPr>
          <w:p w14:paraId="05101433" w14:textId="3F132C4A" w:rsidR="00E402A4" w:rsidRPr="00363CF9" w:rsidRDefault="00AA77DA" w:rsidP="00455437">
            <w:pPr>
              <w:pStyle w:val="Table-Text"/>
              <w:keepLines/>
              <w:tabs>
                <w:tab w:val="decimal" w:pos="514"/>
              </w:tabs>
              <w:spacing w:before="40" w:after="40"/>
            </w:pPr>
            <w:r>
              <w:t>34</w:t>
            </w:r>
          </w:p>
        </w:tc>
        <w:tc>
          <w:tcPr>
            <w:tcW w:w="850" w:type="dxa"/>
            <w:vAlign w:val="center"/>
          </w:tcPr>
          <w:p w14:paraId="54E3AAEA" w14:textId="6299A962" w:rsidR="00E402A4" w:rsidRPr="00363CF9" w:rsidRDefault="00AA77DA" w:rsidP="00455437">
            <w:pPr>
              <w:pStyle w:val="Table-Text"/>
              <w:keepLines/>
              <w:tabs>
                <w:tab w:val="decimal" w:pos="376"/>
              </w:tabs>
              <w:spacing w:before="40" w:after="40"/>
            </w:pPr>
            <w:r>
              <w:t>3.0</w:t>
            </w:r>
          </w:p>
        </w:tc>
        <w:tc>
          <w:tcPr>
            <w:tcW w:w="851" w:type="dxa"/>
            <w:vAlign w:val="center"/>
          </w:tcPr>
          <w:p w14:paraId="3D20AA4D" w14:textId="0BE8A179" w:rsidR="00E402A4" w:rsidRPr="00363CF9" w:rsidRDefault="00AA77DA" w:rsidP="00455437">
            <w:pPr>
              <w:pStyle w:val="Table-Text"/>
              <w:keepLines/>
              <w:tabs>
                <w:tab w:val="decimal" w:pos="505"/>
              </w:tabs>
              <w:spacing w:before="40" w:after="40"/>
            </w:pPr>
            <w:r>
              <w:t>34</w:t>
            </w:r>
          </w:p>
        </w:tc>
        <w:tc>
          <w:tcPr>
            <w:tcW w:w="850" w:type="dxa"/>
          </w:tcPr>
          <w:p w14:paraId="293216E7" w14:textId="598BA876" w:rsidR="00E402A4" w:rsidRPr="00363CF9" w:rsidRDefault="00AA77DA" w:rsidP="00455437">
            <w:pPr>
              <w:pStyle w:val="Table-Text"/>
              <w:keepLines/>
              <w:tabs>
                <w:tab w:val="decimal" w:pos="376"/>
              </w:tabs>
              <w:spacing w:before="40" w:after="40"/>
            </w:pPr>
            <w:r>
              <w:t>3.0</w:t>
            </w:r>
          </w:p>
        </w:tc>
        <w:tc>
          <w:tcPr>
            <w:tcW w:w="851" w:type="dxa"/>
          </w:tcPr>
          <w:p w14:paraId="01A567F9" w14:textId="504C1CAB" w:rsidR="00E402A4" w:rsidRPr="00363CF9" w:rsidRDefault="00AA77DA" w:rsidP="00455437">
            <w:pPr>
              <w:pStyle w:val="Table-Text"/>
              <w:keepLines/>
              <w:tabs>
                <w:tab w:val="decimal" w:pos="511"/>
              </w:tabs>
              <w:spacing w:before="40" w:after="40"/>
            </w:pPr>
            <w:r>
              <w:t>30</w:t>
            </w:r>
          </w:p>
        </w:tc>
      </w:tr>
      <w:tr w:rsidR="00E402A4" w:rsidRPr="00363CF9" w14:paraId="1F0717E0" w14:textId="77777777" w:rsidTr="00455437">
        <w:tc>
          <w:tcPr>
            <w:tcW w:w="1985" w:type="dxa"/>
          </w:tcPr>
          <w:p w14:paraId="1EF64669" w14:textId="28381A24" w:rsidR="00E402A4" w:rsidRPr="00072DC1" w:rsidRDefault="00E402A4" w:rsidP="00455437">
            <w:pPr>
              <w:pStyle w:val="Table-Text"/>
              <w:keepLines/>
              <w:spacing w:before="40" w:after="40"/>
              <w:rPr>
                <w:rStyle w:val="Strong"/>
              </w:rPr>
            </w:pPr>
            <w:r w:rsidRPr="00072DC1">
              <w:rPr>
                <w:rStyle w:val="Strong"/>
              </w:rPr>
              <w:t>Lithuania</w:t>
            </w:r>
          </w:p>
        </w:tc>
        <w:tc>
          <w:tcPr>
            <w:tcW w:w="850" w:type="dxa"/>
          </w:tcPr>
          <w:p w14:paraId="68F7F765" w14:textId="3E5AA894" w:rsidR="00E402A4" w:rsidRPr="00363CF9" w:rsidRDefault="00AA77DA" w:rsidP="00455437">
            <w:pPr>
              <w:pStyle w:val="Table-Text"/>
              <w:keepLines/>
              <w:tabs>
                <w:tab w:val="decimal" w:pos="376"/>
              </w:tabs>
              <w:spacing w:before="40" w:after="40"/>
            </w:pPr>
            <w:r>
              <w:t>2.9</w:t>
            </w:r>
          </w:p>
        </w:tc>
        <w:tc>
          <w:tcPr>
            <w:tcW w:w="851" w:type="dxa"/>
          </w:tcPr>
          <w:p w14:paraId="0BDAC1F3" w14:textId="1CEAD97E" w:rsidR="00E402A4" w:rsidRPr="00363CF9" w:rsidRDefault="00AA77DA" w:rsidP="00455437">
            <w:pPr>
              <w:pStyle w:val="Table-Text"/>
              <w:keepLines/>
              <w:tabs>
                <w:tab w:val="decimal" w:pos="508"/>
              </w:tabs>
              <w:spacing w:before="40" w:after="40"/>
            </w:pPr>
            <w:r>
              <w:t>33</w:t>
            </w:r>
          </w:p>
        </w:tc>
        <w:tc>
          <w:tcPr>
            <w:tcW w:w="850" w:type="dxa"/>
            <w:shd w:val="clear" w:color="auto" w:fill="auto"/>
            <w:vAlign w:val="bottom"/>
          </w:tcPr>
          <w:p w14:paraId="624F3C1A" w14:textId="5ECA9B08" w:rsidR="00E402A4" w:rsidRPr="00363CF9" w:rsidRDefault="00AA77DA" w:rsidP="00455437">
            <w:pPr>
              <w:pStyle w:val="Table-Text"/>
              <w:keepLines/>
              <w:tabs>
                <w:tab w:val="decimal" w:pos="362"/>
              </w:tabs>
              <w:spacing w:before="40" w:after="40"/>
            </w:pPr>
            <w:r>
              <w:t>3.5</w:t>
            </w:r>
          </w:p>
        </w:tc>
        <w:tc>
          <w:tcPr>
            <w:tcW w:w="851" w:type="dxa"/>
            <w:vAlign w:val="center"/>
          </w:tcPr>
          <w:p w14:paraId="14C18D76" w14:textId="2A894F6A" w:rsidR="00E402A4" w:rsidRPr="00363CF9" w:rsidRDefault="00AA77DA" w:rsidP="00455437">
            <w:pPr>
              <w:pStyle w:val="Table-Text"/>
              <w:keepLines/>
              <w:tabs>
                <w:tab w:val="decimal" w:pos="514"/>
              </w:tabs>
              <w:spacing w:before="40" w:after="40"/>
            </w:pPr>
            <w:r>
              <w:t>28</w:t>
            </w:r>
          </w:p>
        </w:tc>
        <w:tc>
          <w:tcPr>
            <w:tcW w:w="850" w:type="dxa"/>
            <w:vAlign w:val="center"/>
          </w:tcPr>
          <w:p w14:paraId="605C9D70" w14:textId="3285BD82" w:rsidR="00E402A4" w:rsidRPr="00363CF9" w:rsidRDefault="00AA77DA" w:rsidP="00455437">
            <w:pPr>
              <w:pStyle w:val="Table-Text"/>
              <w:keepLines/>
              <w:tabs>
                <w:tab w:val="decimal" w:pos="376"/>
              </w:tabs>
              <w:spacing w:before="40" w:after="40"/>
            </w:pPr>
            <w:r>
              <w:t>3.3</w:t>
            </w:r>
          </w:p>
        </w:tc>
        <w:tc>
          <w:tcPr>
            <w:tcW w:w="851" w:type="dxa"/>
            <w:vAlign w:val="center"/>
          </w:tcPr>
          <w:p w14:paraId="5C10CD05" w14:textId="48ADCAE2" w:rsidR="00E402A4" w:rsidRPr="00363CF9" w:rsidRDefault="00AA77DA" w:rsidP="00455437">
            <w:pPr>
              <w:pStyle w:val="Table-Text"/>
              <w:keepLines/>
              <w:tabs>
                <w:tab w:val="decimal" w:pos="505"/>
              </w:tabs>
              <w:spacing w:before="40" w:after="40"/>
            </w:pPr>
            <w:r>
              <w:t>25</w:t>
            </w:r>
          </w:p>
        </w:tc>
        <w:tc>
          <w:tcPr>
            <w:tcW w:w="850" w:type="dxa"/>
          </w:tcPr>
          <w:p w14:paraId="0B9611E9" w14:textId="3B1321CF" w:rsidR="00E402A4" w:rsidRPr="00363CF9" w:rsidRDefault="00AA77DA" w:rsidP="00455437">
            <w:pPr>
              <w:pStyle w:val="Table-Text"/>
              <w:keepLines/>
              <w:tabs>
                <w:tab w:val="decimal" w:pos="376"/>
              </w:tabs>
              <w:spacing w:before="40" w:after="40"/>
            </w:pPr>
            <w:r>
              <w:t>3.2</w:t>
            </w:r>
          </w:p>
        </w:tc>
        <w:tc>
          <w:tcPr>
            <w:tcW w:w="851" w:type="dxa"/>
          </w:tcPr>
          <w:p w14:paraId="1739CA00" w14:textId="71E9835F" w:rsidR="00E402A4" w:rsidRPr="00363CF9" w:rsidRDefault="00AA77DA" w:rsidP="00455437">
            <w:pPr>
              <w:pStyle w:val="Table-Text"/>
              <w:keepLines/>
              <w:tabs>
                <w:tab w:val="decimal" w:pos="511"/>
              </w:tabs>
              <w:spacing w:before="40" w:after="40"/>
            </w:pPr>
            <w:r>
              <w:t>24</w:t>
            </w:r>
          </w:p>
        </w:tc>
      </w:tr>
      <w:tr w:rsidR="00E402A4" w:rsidRPr="00363CF9" w14:paraId="5A2B4E86" w14:textId="77777777" w:rsidTr="00455437">
        <w:tc>
          <w:tcPr>
            <w:tcW w:w="1985" w:type="dxa"/>
          </w:tcPr>
          <w:p w14:paraId="0E3B54CC" w14:textId="1504942B" w:rsidR="00E402A4" w:rsidRPr="00072DC1" w:rsidRDefault="00E402A4" w:rsidP="00455437">
            <w:pPr>
              <w:pStyle w:val="Table-Text"/>
              <w:keepLines/>
              <w:spacing w:before="40" w:after="40"/>
              <w:rPr>
                <w:rStyle w:val="Strong"/>
              </w:rPr>
            </w:pPr>
            <w:r w:rsidRPr="00072DC1">
              <w:rPr>
                <w:rStyle w:val="Strong"/>
              </w:rPr>
              <w:t>Luxembourg</w:t>
            </w:r>
          </w:p>
        </w:tc>
        <w:tc>
          <w:tcPr>
            <w:tcW w:w="850" w:type="dxa"/>
          </w:tcPr>
          <w:p w14:paraId="1530D008" w14:textId="2A541D80" w:rsidR="00E402A4" w:rsidRPr="00363CF9" w:rsidRDefault="00AA77DA" w:rsidP="00455437">
            <w:pPr>
              <w:pStyle w:val="Table-Text"/>
              <w:keepLines/>
              <w:tabs>
                <w:tab w:val="decimal" w:pos="376"/>
              </w:tabs>
              <w:spacing w:before="40" w:after="40"/>
            </w:pPr>
            <w:r>
              <w:t>3.3</w:t>
            </w:r>
          </w:p>
        </w:tc>
        <w:tc>
          <w:tcPr>
            <w:tcW w:w="851" w:type="dxa"/>
          </w:tcPr>
          <w:p w14:paraId="0CA9860C" w14:textId="7638F457" w:rsidR="00E402A4" w:rsidRPr="00363CF9" w:rsidRDefault="00AA77DA" w:rsidP="00455437">
            <w:pPr>
              <w:pStyle w:val="Table-Text"/>
              <w:keepLines/>
              <w:tabs>
                <w:tab w:val="decimal" w:pos="508"/>
              </w:tabs>
              <w:spacing w:before="40" w:after="40"/>
            </w:pPr>
            <w:r>
              <w:t>17</w:t>
            </w:r>
          </w:p>
        </w:tc>
        <w:tc>
          <w:tcPr>
            <w:tcW w:w="850" w:type="dxa"/>
            <w:shd w:val="clear" w:color="auto" w:fill="auto"/>
            <w:vAlign w:val="bottom"/>
          </w:tcPr>
          <w:p w14:paraId="5E88243E" w14:textId="3E511B58" w:rsidR="00E402A4" w:rsidRPr="00363CF9" w:rsidRDefault="00AA77DA" w:rsidP="00455437">
            <w:pPr>
              <w:pStyle w:val="Table-Text"/>
              <w:keepLines/>
              <w:tabs>
                <w:tab w:val="decimal" w:pos="362"/>
              </w:tabs>
              <w:spacing w:before="40" w:after="40"/>
            </w:pPr>
            <w:r>
              <w:t>3.5</w:t>
            </w:r>
          </w:p>
        </w:tc>
        <w:tc>
          <w:tcPr>
            <w:tcW w:w="851" w:type="dxa"/>
            <w:vAlign w:val="center"/>
          </w:tcPr>
          <w:p w14:paraId="27E34CF8" w14:textId="0CB0E16D" w:rsidR="00E402A4" w:rsidRPr="00363CF9" w:rsidRDefault="00AA77DA" w:rsidP="00455437">
            <w:pPr>
              <w:pStyle w:val="Table-Text"/>
              <w:keepLines/>
              <w:tabs>
                <w:tab w:val="decimal" w:pos="514"/>
              </w:tabs>
              <w:spacing w:before="40" w:after="40"/>
            </w:pPr>
            <w:r>
              <w:t>26</w:t>
            </w:r>
          </w:p>
        </w:tc>
        <w:tc>
          <w:tcPr>
            <w:tcW w:w="850" w:type="dxa"/>
            <w:vAlign w:val="center"/>
          </w:tcPr>
          <w:p w14:paraId="560C95E4" w14:textId="79AE8480" w:rsidR="00E402A4" w:rsidRPr="00363CF9" w:rsidRDefault="00AA77DA" w:rsidP="00455437">
            <w:pPr>
              <w:pStyle w:val="Table-Text"/>
              <w:keepLines/>
              <w:tabs>
                <w:tab w:val="decimal" w:pos="376"/>
              </w:tabs>
              <w:spacing w:before="40" w:after="40"/>
            </w:pPr>
            <w:r>
              <w:t>3.6</w:t>
            </w:r>
          </w:p>
        </w:tc>
        <w:tc>
          <w:tcPr>
            <w:tcW w:w="851" w:type="dxa"/>
            <w:vAlign w:val="center"/>
          </w:tcPr>
          <w:p w14:paraId="3BDF36D4" w14:textId="3B646940" w:rsidR="00E402A4" w:rsidRPr="00363CF9" w:rsidRDefault="00AA77DA" w:rsidP="00455437">
            <w:pPr>
              <w:pStyle w:val="Table-Text"/>
              <w:keepLines/>
              <w:tabs>
                <w:tab w:val="decimal" w:pos="505"/>
              </w:tabs>
              <w:spacing w:before="40" w:after="40"/>
            </w:pPr>
            <w:r>
              <w:t>21</w:t>
            </w:r>
          </w:p>
        </w:tc>
        <w:tc>
          <w:tcPr>
            <w:tcW w:w="850" w:type="dxa"/>
          </w:tcPr>
          <w:p w14:paraId="7D47252D" w14:textId="51B0717E" w:rsidR="00E402A4" w:rsidRPr="00363CF9" w:rsidRDefault="00AA77DA" w:rsidP="00455437">
            <w:pPr>
              <w:pStyle w:val="Table-Text"/>
              <w:keepLines/>
              <w:tabs>
                <w:tab w:val="decimal" w:pos="376"/>
              </w:tabs>
              <w:spacing w:before="40" w:after="40"/>
            </w:pPr>
            <w:r>
              <w:t>3.7</w:t>
            </w:r>
          </w:p>
        </w:tc>
        <w:tc>
          <w:tcPr>
            <w:tcW w:w="851" w:type="dxa"/>
          </w:tcPr>
          <w:p w14:paraId="2D6A1819" w14:textId="5E4DAA6A" w:rsidR="00E402A4" w:rsidRPr="00363CF9" w:rsidRDefault="00AA77DA" w:rsidP="00455437">
            <w:pPr>
              <w:pStyle w:val="Table-Text"/>
              <w:keepLines/>
              <w:tabs>
                <w:tab w:val="decimal" w:pos="511"/>
              </w:tabs>
              <w:spacing w:before="40" w:after="40"/>
            </w:pPr>
            <w:r>
              <w:t>4</w:t>
            </w:r>
          </w:p>
        </w:tc>
      </w:tr>
      <w:tr w:rsidR="00E402A4" w:rsidRPr="00363CF9" w14:paraId="6CD3F765" w14:textId="77777777" w:rsidTr="00455437">
        <w:tc>
          <w:tcPr>
            <w:tcW w:w="1985" w:type="dxa"/>
          </w:tcPr>
          <w:p w14:paraId="4F4D5840" w14:textId="44B2903A" w:rsidR="00E402A4" w:rsidRPr="00072DC1" w:rsidRDefault="00E402A4" w:rsidP="00455437">
            <w:pPr>
              <w:pStyle w:val="Table-Text"/>
              <w:keepLines/>
              <w:spacing w:before="40" w:after="40"/>
              <w:rPr>
                <w:rStyle w:val="Strong"/>
              </w:rPr>
            </w:pPr>
            <w:r w:rsidRPr="00072DC1">
              <w:rPr>
                <w:rStyle w:val="Strong"/>
              </w:rPr>
              <w:t>Mexico</w:t>
            </w:r>
          </w:p>
        </w:tc>
        <w:tc>
          <w:tcPr>
            <w:tcW w:w="850" w:type="dxa"/>
          </w:tcPr>
          <w:p w14:paraId="653F6C3C" w14:textId="085C13BD" w:rsidR="00E402A4" w:rsidRPr="00363CF9" w:rsidRDefault="00AA77DA" w:rsidP="00455437">
            <w:pPr>
              <w:pStyle w:val="Table-Text"/>
              <w:keepLines/>
              <w:tabs>
                <w:tab w:val="decimal" w:pos="376"/>
              </w:tabs>
              <w:spacing w:before="40" w:after="40"/>
            </w:pPr>
            <w:r>
              <w:t>3.1</w:t>
            </w:r>
          </w:p>
        </w:tc>
        <w:tc>
          <w:tcPr>
            <w:tcW w:w="851" w:type="dxa"/>
          </w:tcPr>
          <w:p w14:paraId="4D282398" w14:textId="3FDB26A6" w:rsidR="00E402A4" w:rsidRPr="00363CF9" w:rsidRDefault="00AA77DA" w:rsidP="00455437">
            <w:pPr>
              <w:pStyle w:val="Table-Text"/>
              <w:keepLines/>
              <w:tabs>
                <w:tab w:val="decimal" w:pos="508"/>
              </w:tabs>
              <w:spacing w:before="40" w:after="40"/>
            </w:pPr>
            <w:r>
              <w:t>29</w:t>
            </w:r>
          </w:p>
        </w:tc>
        <w:tc>
          <w:tcPr>
            <w:tcW w:w="850" w:type="dxa"/>
            <w:shd w:val="clear" w:color="auto" w:fill="auto"/>
            <w:vAlign w:val="bottom"/>
          </w:tcPr>
          <w:p w14:paraId="17EA6A58" w14:textId="609564B4" w:rsidR="00E402A4" w:rsidRPr="00363CF9" w:rsidRDefault="00AA77DA" w:rsidP="00455437">
            <w:pPr>
              <w:pStyle w:val="Table-Text"/>
              <w:keepLines/>
              <w:tabs>
                <w:tab w:val="decimal" w:pos="362"/>
              </w:tabs>
              <w:spacing w:before="40" w:after="40"/>
            </w:pPr>
            <w:r>
              <w:t>3.9</w:t>
            </w:r>
          </w:p>
        </w:tc>
        <w:tc>
          <w:tcPr>
            <w:tcW w:w="851" w:type="dxa"/>
            <w:vAlign w:val="center"/>
          </w:tcPr>
          <w:p w14:paraId="16FE6992" w14:textId="06ED5E70" w:rsidR="00E402A4" w:rsidRPr="00363CF9" w:rsidRDefault="00AA77DA" w:rsidP="00455437">
            <w:pPr>
              <w:pStyle w:val="Table-Text"/>
              <w:keepLines/>
              <w:tabs>
                <w:tab w:val="decimal" w:pos="514"/>
              </w:tabs>
              <w:spacing w:before="40" w:after="40"/>
            </w:pPr>
            <w:r>
              <w:t>8</w:t>
            </w:r>
          </w:p>
        </w:tc>
        <w:tc>
          <w:tcPr>
            <w:tcW w:w="850" w:type="dxa"/>
            <w:vAlign w:val="center"/>
          </w:tcPr>
          <w:p w14:paraId="3924B0F9" w14:textId="3E954399" w:rsidR="00E402A4" w:rsidRPr="00363CF9" w:rsidRDefault="00AA77DA" w:rsidP="00455437">
            <w:pPr>
              <w:pStyle w:val="Table-Text"/>
              <w:keepLines/>
              <w:tabs>
                <w:tab w:val="decimal" w:pos="376"/>
              </w:tabs>
              <w:spacing w:before="40" w:after="40"/>
            </w:pPr>
            <w:r>
              <w:t>7.2</w:t>
            </w:r>
          </w:p>
        </w:tc>
        <w:tc>
          <w:tcPr>
            <w:tcW w:w="851" w:type="dxa"/>
            <w:vAlign w:val="center"/>
          </w:tcPr>
          <w:p w14:paraId="4FA61D5E" w14:textId="754D033D" w:rsidR="00E402A4" w:rsidRPr="00363CF9" w:rsidRDefault="00AA77DA" w:rsidP="00455437">
            <w:pPr>
              <w:pStyle w:val="Table-Text"/>
              <w:keepLines/>
              <w:tabs>
                <w:tab w:val="decimal" w:pos="505"/>
              </w:tabs>
              <w:spacing w:before="40" w:after="40"/>
            </w:pPr>
            <w:r>
              <w:t>3</w:t>
            </w:r>
          </w:p>
        </w:tc>
        <w:tc>
          <w:tcPr>
            <w:tcW w:w="850" w:type="dxa"/>
          </w:tcPr>
          <w:p w14:paraId="32C181FB" w14:textId="12DD84BA" w:rsidR="00E402A4" w:rsidRPr="00363CF9" w:rsidRDefault="00AA77DA" w:rsidP="00455437">
            <w:pPr>
              <w:pStyle w:val="Table-Text"/>
              <w:keepLines/>
              <w:tabs>
                <w:tab w:val="decimal" w:pos="376"/>
              </w:tabs>
              <w:spacing w:before="40" w:after="40"/>
            </w:pPr>
            <w:r>
              <w:t>3.1</w:t>
            </w:r>
          </w:p>
        </w:tc>
        <w:tc>
          <w:tcPr>
            <w:tcW w:w="851" w:type="dxa"/>
          </w:tcPr>
          <w:p w14:paraId="44A44410" w14:textId="0BD4D4D5" w:rsidR="00E402A4" w:rsidRPr="00363CF9" w:rsidRDefault="00AA77DA" w:rsidP="00455437">
            <w:pPr>
              <w:pStyle w:val="Table-Text"/>
              <w:keepLines/>
              <w:tabs>
                <w:tab w:val="decimal" w:pos="511"/>
              </w:tabs>
              <w:spacing w:before="40" w:after="40"/>
            </w:pPr>
            <w:r>
              <w:t>27</w:t>
            </w:r>
          </w:p>
        </w:tc>
      </w:tr>
      <w:tr w:rsidR="00E402A4" w:rsidRPr="00363CF9" w14:paraId="40A53FF3" w14:textId="77777777" w:rsidTr="00455437">
        <w:tc>
          <w:tcPr>
            <w:tcW w:w="1985" w:type="dxa"/>
          </w:tcPr>
          <w:p w14:paraId="344FE082" w14:textId="5EE05698" w:rsidR="00E402A4" w:rsidRPr="00072DC1" w:rsidRDefault="00E402A4" w:rsidP="00455437">
            <w:pPr>
              <w:pStyle w:val="Table-Text"/>
              <w:keepLines/>
              <w:spacing w:before="40" w:after="40"/>
              <w:rPr>
                <w:rStyle w:val="Strong"/>
              </w:rPr>
            </w:pPr>
            <w:r w:rsidRPr="00072DC1">
              <w:rPr>
                <w:rStyle w:val="Strong"/>
              </w:rPr>
              <w:t>Netherlands</w:t>
            </w:r>
          </w:p>
        </w:tc>
        <w:tc>
          <w:tcPr>
            <w:tcW w:w="850" w:type="dxa"/>
          </w:tcPr>
          <w:p w14:paraId="7764BCEE" w14:textId="7D11786F" w:rsidR="00E402A4" w:rsidRPr="00363CF9" w:rsidRDefault="00AA77DA" w:rsidP="00455437">
            <w:pPr>
              <w:pStyle w:val="Table-Text"/>
              <w:keepLines/>
              <w:tabs>
                <w:tab w:val="decimal" w:pos="376"/>
              </w:tabs>
              <w:spacing w:before="40" w:after="40"/>
            </w:pPr>
            <w:r>
              <w:t>4.0</w:t>
            </w:r>
          </w:p>
        </w:tc>
        <w:tc>
          <w:tcPr>
            <w:tcW w:w="851" w:type="dxa"/>
          </w:tcPr>
          <w:p w14:paraId="6EB0F144" w14:textId="23F73428" w:rsidR="00E402A4" w:rsidRPr="00363CF9" w:rsidRDefault="00AA77DA" w:rsidP="00455437">
            <w:pPr>
              <w:pStyle w:val="Table-Text"/>
              <w:keepLines/>
              <w:tabs>
                <w:tab w:val="decimal" w:pos="508"/>
              </w:tabs>
              <w:spacing w:before="40" w:after="40"/>
            </w:pPr>
            <w:r>
              <w:t>2</w:t>
            </w:r>
          </w:p>
        </w:tc>
        <w:tc>
          <w:tcPr>
            <w:tcW w:w="850" w:type="dxa"/>
            <w:shd w:val="clear" w:color="auto" w:fill="auto"/>
            <w:vAlign w:val="bottom"/>
          </w:tcPr>
          <w:p w14:paraId="1524B2D2" w14:textId="32985697" w:rsidR="00E402A4" w:rsidRPr="00363CF9" w:rsidRDefault="00AA77DA" w:rsidP="00455437">
            <w:pPr>
              <w:pStyle w:val="Table-Text"/>
              <w:keepLines/>
              <w:tabs>
                <w:tab w:val="decimal" w:pos="362"/>
              </w:tabs>
              <w:spacing w:before="40" w:after="40"/>
            </w:pPr>
            <w:r>
              <w:t>3.5</w:t>
            </w:r>
          </w:p>
        </w:tc>
        <w:tc>
          <w:tcPr>
            <w:tcW w:w="851" w:type="dxa"/>
            <w:vAlign w:val="center"/>
          </w:tcPr>
          <w:p w14:paraId="3BECD22B" w14:textId="15D56841" w:rsidR="00E402A4" w:rsidRPr="00363CF9" w:rsidRDefault="00AA77DA" w:rsidP="00455437">
            <w:pPr>
              <w:pStyle w:val="Table-Text"/>
              <w:keepLines/>
              <w:tabs>
                <w:tab w:val="decimal" w:pos="514"/>
              </w:tabs>
              <w:spacing w:before="40" w:after="40"/>
            </w:pPr>
            <w:r>
              <w:t>24</w:t>
            </w:r>
          </w:p>
        </w:tc>
        <w:tc>
          <w:tcPr>
            <w:tcW w:w="850" w:type="dxa"/>
            <w:vAlign w:val="center"/>
          </w:tcPr>
          <w:p w14:paraId="07479816" w14:textId="55D76214" w:rsidR="00E402A4" w:rsidRPr="00363CF9" w:rsidRDefault="00AA77DA" w:rsidP="00455437">
            <w:pPr>
              <w:pStyle w:val="Table-Text"/>
              <w:keepLines/>
              <w:tabs>
                <w:tab w:val="decimal" w:pos="376"/>
              </w:tabs>
              <w:spacing w:before="40" w:after="40"/>
            </w:pPr>
            <w:r>
              <w:t>3.7</w:t>
            </w:r>
          </w:p>
        </w:tc>
        <w:tc>
          <w:tcPr>
            <w:tcW w:w="851" w:type="dxa"/>
            <w:vAlign w:val="center"/>
          </w:tcPr>
          <w:p w14:paraId="60A23D03" w14:textId="664BF20A" w:rsidR="00E402A4" w:rsidRPr="00363CF9" w:rsidRDefault="00AA77DA" w:rsidP="00455437">
            <w:pPr>
              <w:pStyle w:val="Table-Text"/>
              <w:keepLines/>
              <w:tabs>
                <w:tab w:val="decimal" w:pos="505"/>
              </w:tabs>
              <w:spacing w:before="40" w:after="40"/>
            </w:pPr>
            <w:r>
              <w:t>16</w:t>
            </w:r>
          </w:p>
        </w:tc>
        <w:tc>
          <w:tcPr>
            <w:tcW w:w="850" w:type="dxa"/>
          </w:tcPr>
          <w:p w14:paraId="4B0B7EB2" w14:textId="72EB1AD0" w:rsidR="00E402A4" w:rsidRPr="00363CF9" w:rsidRDefault="00AA77DA" w:rsidP="00455437">
            <w:pPr>
              <w:pStyle w:val="Table-Text"/>
              <w:keepLines/>
              <w:tabs>
                <w:tab w:val="decimal" w:pos="376"/>
              </w:tabs>
              <w:spacing w:before="40" w:after="40"/>
            </w:pPr>
            <w:r>
              <w:t>3.3</w:t>
            </w:r>
          </w:p>
        </w:tc>
        <w:tc>
          <w:tcPr>
            <w:tcW w:w="851" w:type="dxa"/>
          </w:tcPr>
          <w:p w14:paraId="13084E01" w14:textId="6CA811BF" w:rsidR="00E402A4" w:rsidRPr="00363CF9" w:rsidRDefault="00AA77DA" w:rsidP="00455437">
            <w:pPr>
              <w:pStyle w:val="Table-Text"/>
              <w:keepLines/>
              <w:tabs>
                <w:tab w:val="decimal" w:pos="511"/>
              </w:tabs>
              <w:spacing w:before="40" w:after="40"/>
            </w:pPr>
            <w:r>
              <w:t>17</w:t>
            </w:r>
          </w:p>
        </w:tc>
      </w:tr>
      <w:tr w:rsidR="00A07B92" w:rsidRPr="00363CF9" w14:paraId="4E93865F" w14:textId="77777777" w:rsidTr="00455437">
        <w:tc>
          <w:tcPr>
            <w:tcW w:w="1985" w:type="dxa"/>
            <w:shd w:val="clear" w:color="auto" w:fill="C2D69B" w:themeFill="accent3" w:themeFillTint="99"/>
          </w:tcPr>
          <w:p w14:paraId="582A4E33" w14:textId="4C59DEEF" w:rsidR="00E402A4" w:rsidRPr="00072DC1" w:rsidRDefault="00E402A4" w:rsidP="00455437">
            <w:pPr>
              <w:pStyle w:val="Table-Text"/>
              <w:keepLines/>
              <w:spacing w:before="40" w:after="40"/>
              <w:rPr>
                <w:rStyle w:val="Strong"/>
              </w:rPr>
            </w:pPr>
            <w:r w:rsidRPr="00072DC1">
              <w:rPr>
                <w:rStyle w:val="Strong"/>
              </w:rPr>
              <w:t>New Zealand</w:t>
            </w:r>
          </w:p>
        </w:tc>
        <w:tc>
          <w:tcPr>
            <w:tcW w:w="850" w:type="dxa"/>
            <w:shd w:val="clear" w:color="auto" w:fill="C2D69B" w:themeFill="accent3" w:themeFillTint="99"/>
          </w:tcPr>
          <w:p w14:paraId="6A06EBBE" w14:textId="0BCFEB64" w:rsidR="00E402A4" w:rsidRPr="00363CF9" w:rsidRDefault="00AA77DA" w:rsidP="00455437">
            <w:pPr>
              <w:pStyle w:val="Table-Text"/>
              <w:keepLines/>
              <w:tabs>
                <w:tab w:val="decimal" w:pos="376"/>
              </w:tabs>
              <w:spacing w:before="40" w:after="40"/>
            </w:pPr>
            <w:r>
              <w:t>4.1</w:t>
            </w:r>
          </w:p>
        </w:tc>
        <w:tc>
          <w:tcPr>
            <w:tcW w:w="851" w:type="dxa"/>
            <w:shd w:val="clear" w:color="auto" w:fill="C2D69B" w:themeFill="accent3" w:themeFillTint="99"/>
          </w:tcPr>
          <w:p w14:paraId="268EC379" w14:textId="42FCB560" w:rsidR="00E402A4" w:rsidRPr="00363CF9" w:rsidRDefault="00AA77DA" w:rsidP="00455437">
            <w:pPr>
              <w:pStyle w:val="Table-Text"/>
              <w:keepLines/>
              <w:tabs>
                <w:tab w:val="decimal" w:pos="508"/>
              </w:tabs>
              <w:spacing w:before="40" w:after="40"/>
            </w:pPr>
            <w:r>
              <w:t>1</w:t>
            </w:r>
          </w:p>
        </w:tc>
        <w:tc>
          <w:tcPr>
            <w:tcW w:w="850" w:type="dxa"/>
            <w:shd w:val="clear" w:color="auto" w:fill="C2D69B" w:themeFill="accent3" w:themeFillTint="99"/>
            <w:vAlign w:val="bottom"/>
          </w:tcPr>
          <w:p w14:paraId="4DEDBE91" w14:textId="4CE559DA" w:rsidR="00E402A4" w:rsidRPr="00363CF9" w:rsidRDefault="00AA77DA" w:rsidP="00455437">
            <w:pPr>
              <w:pStyle w:val="Table-Text"/>
              <w:keepLines/>
              <w:tabs>
                <w:tab w:val="decimal" w:pos="362"/>
              </w:tabs>
              <w:spacing w:before="40" w:after="40"/>
            </w:pPr>
            <w:r>
              <w:t>4.0</w:t>
            </w:r>
          </w:p>
        </w:tc>
        <w:tc>
          <w:tcPr>
            <w:tcW w:w="851" w:type="dxa"/>
            <w:shd w:val="clear" w:color="auto" w:fill="C2D69B" w:themeFill="accent3" w:themeFillTint="99"/>
            <w:vAlign w:val="center"/>
          </w:tcPr>
          <w:p w14:paraId="34B490B3" w14:textId="7BE959CD" w:rsidR="00E402A4" w:rsidRPr="00363CF9" w:rsidRDefault="00AA77DA" w:rsidP="00455437">
            <w:pPr>
              <w:pStyle w:val="Table-Text"/>
              <w:keepLines/>
              <w:tabs>
                <w:tab w:val="decimal" w:pos="514"/>
              </w:tabs>
              <w:spacing w:before="40" w:after="40"/>
            </w:pPr>
            <w:r>
              <w:t>3</w:t>
            </w:r>
          </w:p>
        </w:tc>
        <w:tc>
          <w:tcPr>
            <w:tcW w:w="850" w:type="dxa"/>
            <w:shd w:val="clear" w:color="auto" w:fill="C2D69B" w:themeFill="accent3" w:themeFillTint="99"/>
            <w:vAlign w:val="center"/>
          </w:tcPr>
          <w:p w14:paraId="0E1FFC92" w14:textId="69F06F85" w:rsidR="00E402A4" w:rsidRPr="00363CF9" w:rsidRDefault="00AA77DA" w:rsidP="00455437">
            <w:pPr>
              <w:pStyle w:val="Table-Text"/>
              <w:keepLines/>
              <w:tabs>
                <w:tab w:val="decimal" w:pos="376"/>
              </w:tabs>
              <w:spacing w:before="40" w:after="40"/>
            </w:pPr>
            <w:r>
              <w:t>3.7</w:t>
            </w:r>
          </w:p>
        </w:tc>
        <w:tc>
          <w:tcPr>
            <w:tcW w:w="851" w:type="dxa"/>
            <w:shd w:val="clear" w:color="auto" w:fill="C2D69B" w:themeFill="accent3" w:themeFillTint="99"/>
            <w:vAlign w:val="center"/>
          </w:tcPr>
          <w:p w14:paraId="7C2922D6" w14:textId="46E677CD" w:rsidR="00E402A4" w:rsidRPr="00363CF9" w:rsidRDefault="00AA77DA" w:rsidP="00455437">
            <w:pPr>
              <w:pStyle w:val="Table-Text"/>
              <w:keepLines/>
              <w:tabs>
                <w:tab w:val="decimal" w:pos="505"/>
              </w:tabs>
              <w:spacing w:before="40" w:after="40"/>
            </w:pPr>
            <w:r>
              <w:t>18</w:t>
            </w:r>
          </w:p>
        </w:tc>
        <w:tc>
          <w:tcPr>
            <w:tcW w:w="850" w:type="dxa"/>
            <w:shd w:val="clear" w:color="auto" w:fill="C2D69B" w:themeFill="accent3" w:themeFillTint="99"/>
          </w:tcPr>
          <w:p w14:paraId="512A559D" w14:textId="5BB33D2F" w:rsidR="00E402A4" w:rsidRPr="00363CF9" w:rsidRDefault="00AA77DA" w:rsidP="00455437">
            <w:pPr>
              <w:pStyle w:val="Table-Text"/>
              <w:keepLines/>
              <w:tabs>
                <w:tab w:val="decimal" w:pos="376"/>
              </w:tabs>
              <w:spacing w:before="40" w:after="40"/>
            </w:pPr>
            <w:r>
              <w:t>3.9</w:t>
            </w:r>
          </w:p>
        </w:tc>
        <w:tc>
          <w:tcPr>
            <w:tcW w:w="851" w:type="dxa"/>
            <w:shd w:val="clear" w:color="auto" w:fill="C2D69B" w:themeFill="accent3" w:themeFillTint="99"/>
          </w:tcPr>
          <w:p w14:paraId="60235B33" w14:textId="494427BA" w:rsidR="00E402A4" w:rsidRPr="00363CF9" w:rsidRDefault="00AA77DA" w:rsidP="00455437">
            <w:pPr>
              <w:pStyle w:val="Table-Text"/>
              <w:keepLines/>
              <w:tabs>
                <w:tab w:val="decimal" w:pos="511"/>
              </w:tabs>
              <w:spacing w:before="40" w:after="40"/>
            </w:pPr>
            <w:r>
              <w:t>2</w:t>
            </w:r>
          </w:p>
        </w:tc>
      </w:tr>
      <w:tr w:rsidR="00E402A4" w:rsidRPr="00363CF9" w14:paraId="0A0F792A" w14:textId="77777777" w:rsidTr="00455437">
        <w:tc>
          <w:tcPr>
            <w:tcW w:w="1985" w:type="dxa"/>
          </w:tcPr>
          <w:p w14:paraId="1628CA08" w14:textId="3E2F706B" w:rsidR="00E402A4" w:rsidRPr="00072DC1" w:rsidRDefault="00E402A4" w:rsidP="00455437">
            <w:pPr>
              <w:pStyle w:val="Table-Text"/>
              <w:keepLines/>
              <w:spacing w:before="40" w:after="40"/>
              <w:rPr>
                <w:rStyle w:val="Strong"/>
              </w:rPr>
            </w:pPr>
            <w:r w:rsidRPr="00072DC1">
              <w:rPr>
                <w:rStyle w:val="Strong"/>
              </w:rPr>
              <w:t>Norway</w:t>
            </w:r>
          </w:p>
        </w:tc>
        <w:tc>
          <w:tcPr>
            <w:tcW w:w="850" w:type="dxa"/>
          </w:tcPr>
          <w:p w14:paraId="35DB4BAE" w14:textId="245CD004" w:rsidR="00E402A4" w:rsidRPr="00363CF9" w:rsidRDefault="00AA77DA" w:rsidP="00455437">
            <w:pPr>
              <w:pStyle w:val="Table-Text"/>
              <w:keepLines/>
              <w:tabs>
                <w:tab w:val="decimal" w:pos="376"/>
              </w:tabs>
              <w:spacing w:before="40" w:after="40"/>
            </w:pPr>
            <w:r>
              <w:t>3.5</w:t>
            </w:r>
          </w:p>
        </w:tc>
        <w:tc>
          <w:tcPr>
            <w:tcW w:w="851" w:type="dxa"/>
          </w:tcPr>
          <w:p w14:paraId="38F32395" w14:textId="304CD1BF" w:rsidR="00E402A4" w:rsidRPr="00363CF9" w:rsidRDefault="00AA77DA" w:rsidP="00455437">
            <w:pPr>
              <w:pStyle w:val="Table-Text"/>
              <w:keepLines/>
              <w:tabs>
                <w:tab w:val="decimal" w:pos="508"/>
              </w:tabs>
              <w:spacing w:before="40" w:after="40"/>
            </w:pPr>
            <w:r>
              <w:t>9</w:t>
            </w:r>
          </w:p>
        </w:tc>
        <w:tc>
          <w:tcPr>
            <w:tcW w:w="850" w:type="dxa"/>
            <w:shd w:val="clear" w:color="auto" w:fill="auto"/>
            <w:vAlign w:val="bottom"/>
          </w:tcPr>
          <w:p w14:paraId="62A8EF02" w14:textId="5D3815C1" w:rsidR="00E402A4" w:rsidRPr="00363CF9" w:rsidRDefault="00AA77DA" w:rsidP="00455437">
            <w:pPr>
              <w:pStyle w:val="Table-Text"/>
              <w:keepLines/>
              <w:tabs>
                <w:tab w:val="decimal" w:pos="362"/>
              </w:tabs>
              <w:spacing w:before="40" w:after="40"/>
            </w:pPr>
            <w:r>
              <w:t>3.7</w:t>
            </w:r>
          </w:p>
        </w:tc>
        <w:tc>
          <w:tcPr>
            <w:tcW w:w="851" w:type="dxa"/>
            <w:vAlign w:val="center"/>
          </w:tcPr>
          <w:p w14:paraId="05E5FE71" w14:textId="39F70BCD" w:rsidR="00E402A4" w:rsidRPr="00363CF9" w:rsidRDefault="00AA77DA" w:rsidP="00455437">
            <w:pPr>
              <w:pStyle w:val="Table-Text"/>
              <w:keepLines/>
              <w:tabs>
                <w:tab w:val="decimal" w:pos="514"/>
              </w:tabs>
              <w:spacing w:before="40" w:after="40"/>
            </w:pPr>
            <w:r>
              <w:t>12</w:t>
            </w:r>
          </w:p>
        </w:tc>
        <w:tc>
          <w:tcPr>
            <w:tcW w:w="850" w:type="dxa"/>
            <w:vAlign w:val="center"/>
          </w:tcPr>
          <w:p w14:paraId="635ED8F1" w14:textId="35072FF4" w:rsidR="00E402A4" w:rsidRPr="00363CF9" w:rsidRDefault="00AA77DA" w:rsidP="00455437">
            <w:pPr>
              <w:pStyle w:val="Table-Text"/>
              <w:keepLines/>
              <w:tabs>
                <w:tab w:val="decimal" w:pos="376"/>
              </w:tabs>
              <w:spacing w:before="40" w:after="40"/>
            </w:pPr>
            <w:r>
              <w:t>3.1</w:t>
            </w:r>
          </w:p>
        </w:tc>
        <w:tc>
          <w:tcPr>
            <w:tcW w:w="851" w:type="dxa"/>
            <w:vAlign w:val="center"/>
          </w:tcPr>
          <w:p w14:paraId="48B56F9D" w14:textId="1A1701CD" w:rsidR="00E402A4" w:rsidRPr="00363CF9" w:rsidRDefault="00AA77DA" w:rsidP="00455437">
            <w:pPr>
              <w:pStyle w:val="Table-Text"/>
              <w:keepLines/>
              <w:tabs>
                <w:tab w:val="decimal" w:pos="505"/>
              </w:tabs>
              <w:spacing w:before="40" w:after="40"/>
            </w:pPr>
            <w:r>
              <w:t>30</w:t>
            </w:r>
          </w:p>
        </w:tc>
        <w:tc>
          <w:tcPr>
            <w:tcW w:w="850" w:type="dxa"/>
          </w:tcPr>
          <w:p w14:paraId="7387C09C" w14:textId="6109E172" w:rsidR="00E402A4" w:rsidRPr="00363CF9" w:rsidRDefault="00AA77DA" w:rsidP="00455437">
            <w:pPr>
              <w:pStyle w:val="Table-Text"/>
              <w:keepLines/>
              <w:tabs>
                <w:tab w:val="decimal" w:pos="376"/>
              </w:tabs>
              <w:spacing w:before="40" w:after="40"/>
            </w:pPr>
            <w:r>
              <w:t>3.5</w:t>
            </w:r>
          </w:p>
        </w:tc>
        <w:tc>
          <w:tcPr>
            <w:tcW w:w="851" w:type="dxa"/>
          </w:tcPr>
          <w:p w14:paraId="39F51410" w14:textId="27250FAD" w:rsidR="00E402A4" w:rsidRPr="00363CF9" w:rsidRDefault="00AA77DA" w:rsidP="00455437">
            <w:pPr>
              <w:pStyle w:val="Table-Text"/>
              <w:keepLines/>
              <w:tabs>
                <w:tab w:val="decimal" w:pos="511"/>
              </w:tabs>
              <w:spacing w:before="40" w:after="40"/>
            </w:pPr>
            <w:r>
              <w:t>11</w:t>
            </w:r>
          </w:p>
        </w:tc>
      </w:tr>
      <w:tr w:rsidR="00E402A4" w:rsidRPr="00363CF9" w14:paraId="378179A4" w14:textId="77777777" w:rsidTr="00455437">
        <w:tc>
          <w:tcPr>
            <w:tcW w:w="1985" w:type="dxa"/>
          </w:tcPr>
          <w:p w14:paraId="3DC8F9F2" w14:textId="166857A4" w:rsidR="00E402A4" w:rsidRPr="00072DC1" w:rsidRDefault="00E402A4" w:rsidP="00455437">
            <w:pPr>
              <w:pStyle w:val="Table-Text"/>
              <w:keepLines/>
              <w:spacing w:before="40" w:after="40"/>
              <w:rPr>
                <w:rStyle w:val="Strong"/>
              </w:rPr>
            </w:pPr>
            <w:r w:rsidRPr="00072DC1">
              <w:rPr>
                <w:rStyle w:val="Strong"/>
              </w:rPr>
              <w:t>Poland</w:t>
            </w:r>
          </w:p>
        </w:tc>
        <w:tc>
          <w:tcPr>
            <w:tcW w:w="850" w:type="dxa"/>
          </w:tcPr>
          <w:p w14:paraId="62299C0B" w14:textId="133610D8" w:rsidR="00E402A4" w:rsidRPr="00363CF9" w:rsidRDefault="00AA77DA" w:rsidP="00455437">
            <w:pPr>
              <w:pStyle w:val="Table-Text"/>
              <w:keepLines/>
              <w:tabs>
                <w:tab w:val="decimal" w:pos="376"/>
              </w:tabs>
              <w:spacing w:before="40" w:after="40"/>
            </w:pPr>
            <w:r>
              <w:t>2.8</w:t>
            </w:r>
          </w:p>
        </w:tc>
        <w:tc>
          <w:tcPr>
            <w:tcW w:w="851" w:type="dxa"/>
          </w:tcPr>
          <w:p w14:paraId="715437BF" w14:textId="5F74E999" w:rsidR="00E402A4" w:rsidRPr="00363CF9" w:rsidRDefault="00AA77DA" w:rsidP="00455437">
            <w:pPr>
              <w:pStyle w:val="Table-Text"/>
              <w:keepLines/>
              <w:tabs>
                <w:tab w:val="decimal" w:pos="508"/>
              </w:tabs>
              <w:spacing w:before="40" w:after="40"/>
            </w:pPr>
            <w:r>
              <w:t>34</w:t>
            </w:r>
          </w:p>
        </w:tc>
        <w:tc>
          <w:tcPr>
            <w:tcW w:w="850" w:type="dxa"/>
            <w:shd w:val="clear" w:color="auto" w:fill="auto"/>
            <w:vAlign w:val="bottom"/>
          </w:tcPr>
          <w:p w14:paraId="46EB8DDA" w14:textId="1EE5DA6E" w:rsidR="00E402A4" w:rsidRPr="00363CF9" w:rsidRDefault="00AA77DA" w:rsidP="00455437">
            <w:pPr>
              <w:pStyle w:val="Table-Text"/>
              <w:keepLines/>
              <w:tabs>
                <w:tab w:val="decimal" w:pos="362"/>
              </w:tabs>
              <w:spacing w:before="40" w:after="40"/>
            </w:pPr>
            <w:r>
              <w:t>2.8</w:t>
            </w:r>
          </w:p>
        </w:tc>
        <w:tc>
          <w:tcPr>
            <w:tcW w:w="851" w:type="dxa"/>
            <w:vAlign w:val="center"/>
          </w:tcPr>
          <w:p w14:paraId="55ADBA96" w14:textId="7CDE17DB" w:rsidR="00E402A4" w:rsidRPr="00363CF9" w:rsidRDefault="00AA77DA" w:rsidP="00455437">
            <w:pPr>
              <w:pStyle w:val="Table-Text"/>
              <w:keepLines/>
              <w:tabs>
                <w:tab w:val="decimal" w:pos="514"/>
              </w:tabs>
              <w:spacing w:before="40" w:after="40"/>
            </w:pPr>
            <w:r>
              <w:t>36</w:t>
            </w:r>
          </w:p>
        </w:tc>
        <w:tc>
          <w:tcPr>
            <w:tcW w:w="850" w:type="dxa"/>
            <w:vAlign w:val="center"/>
          </w:tcPr>
          <w:p w14:paraId="04DBF6E5" w14:textId="23D270E9" w:rsidR="00E402A4" w:rsidRPr="00363CF9" w:rsidRDefault="00AA77DA" w:rsidP="00455437">
            <w:pPr>
              <w:pStyle w:val="Table-Text"/>
              <w:keepLines/>
              <w:tabs>
                <w:tab w:val="decimal" w:pos="376"/>
              </w:tabs>
              <w:spacing w:before="40" w:after="40"/>
            </w:pPr>
            <w:r>
              <w:t>3.2</w:t>
            </w:r>
          </w:p>
        </w:tc>
        <w:tc>
          <w:tcPr>
            <w:tcW w:w="851" w:type="dxa"/>
            <w:vAlign w:val="center"/>
          </w:tcPr>
          <w:p w14:paraId="059B5FF9" w14:textId="6ECA0F53" w:rsidR="00E402A4" w:rsidRPr="00363CF9" w:rsidRDefault="00AA77DA" w:rsidP="00455437">
            <w:pPr>
              <w:pStyle w:val="Table-Text"/>
              <w:keepLines/>
              <w:tabs>
                <w:tab w:val="decimal" w:pos="505"/>
              </w:tabs>
              <w:spacing w:before="40" w:after="40"/>
            </w:pPr>
            <w:r>
              <w:t>28</w:t>
            </w:r>
          </w:p>
        </w:tc>
        <w:tc>
          <w:tcPr>
            <w:tcW w:w="850" w:type="dxa"/>
          </w:tcPr>
          <w:p w14:paraId="34BD9073" w14:textId="091566AF" w:rsidR="00E402A4" w:rsidRPr="00363CF9" w:rsidRDefault="00AA77DA" w:rsidP="00455437">
            <w:pPr>
              <w:pStyle w:val="Table-Text"/>
              <w:keepLines/>
              <w:tabs>
                <w:tab w:val="decimal" w:pos="376"/>
              </w:tabs>
              <w:spacing w:before="40" w:after="40"/>
            </w:pPr>
            <w:r>
              <w:t>2.6</w:t>
            </w:r>
          </w:p>
        </w:tc>
        <w:tc>
          <w:tcPr>
            <w:tcW w:w="851" w:type="dxa"/>
          </w:tcPr>
          <w:p w14:paraId="675B6012" w14:textId="18153B72" w:rsidR="00E402A4" w:rsidRPr="00363CF9" w:rsidRDefault="00AA77DA" w:rsidP="00455437">
            <w:pPr>
              <w:pStyle w:val="Table-Text"/>
              <w:keepLines/>
              <w:tabs>
                <w:tab w:val="decimal" w:pos="511"/>
              </w:tabs>
              <w:spacing w:before="40" w:after="40"/>
            </w:pPr>
            <w:r>
              <w:t>35</w:t>
            </w:r>
          </w:p>
        </w:tc>
      </w:tr>
      <w:tr w:rsidR="00E402A4" w:rsidRPr="00363CF9" w14:paraId="11B602DF" w14:textId="77777777" w:rsidTr="00455437">
        <w:tc>
          <w:tcPr>
            <w:tcW w:w="1985" w:type="dxa"/>
          </w:tcPr>
          <w:p w14:paraId="53EC6DE8" w14:textId="70C4002F" w:rsidR="00E402A4" w:rsidRPr="00072DC1" w:rsidRDefault="00E402A4" w:rsidP="00455437">
            <w:pPr>
              <w:pStyle w:val="Table-Text"/>
              <w:keepLines/>
              <w:spacing w:before="40" w:after="40"/>
              <w:rPr>
                <w:rStyle w:val="Strong"/>
              </w:rPr>
            </w:pPr>
            <w:r w:rsidRPr="00072DC1">
              <w:rPr>
                <w:rStyle w:val="Strong"/>
              </w:rPr>
              <w:t>Portugal</w:t>
            </w:r>
          </w:p>
        </w:tc>
        <w:tc>
          <w:tcPr>
            <w:tcW w:w="850" w:type="dxa"/>
          </w:tcPr>
          <w:p w14:paraId="30413FAA" w14:textId="3C92EA20" w:rsidR="00E402A4" w:rsidRPr="00363CF9" w:rsidRDefault="00AA77DA" w:rsidP="00455437">
            <w:pPr>
              <w:pStyle w:val="Table-Text"/>
              <w:keepLines/>
              <w:tabs>
                <w:tab w:val="decimal" w:pos="376"/>
              </w:tabs>
              <w:spacing w:before="40" w:after="40"/>
            </w:pPr>
            <w:r>
              <w:t>2.1</w:t>
            </w:r>
          </w:p>
        </w:tc>
        <w:tc>
          <w:tcPr>
            <w:tcW w:w="851" w:type="dxa"/>
          </w:tcPr>
          <w:p w14:paraId="52342331" w14:textId="6295AF47" w:rsidR="00E402A4" w:rsidRPr="00363CF9" w:rsidRDefault="00AA77DA" w:rsidP="00455437">
            <w:pPr>
              <w:pStyle w:val="Table-Text"/>
              <w:keepLines/>
              <w:tabs>
                <w:tab w:val="decimal" w:pos="508"/>
              </w:tabs>
              <w:spacing w:before="40" w:after="40"/>
            </w:pPr>
            <w:r>
              <w:t>38</w:t>
            </w:r>
          </w:p>
        </w:tc>
        <w:tc>
          <w:tcPr>
            <w:tcW w:w="850" w:type="dxa"/>
            <w:shd w:val="clear" w:color="auto" w:fill="auto"/>
            <w:vAlign w:val="bottom"/>
          </w:tcPr>
          <w:p w14:paraId="3536DEC0" w14:textId="185EB13C" w:rsidR="00E402A4" w:rsidRPr="00363CF9" w:rsidRDefault="00AA77DA" w:rsidP="00455437">
            <w:pPr>
              <w:pStyle w:val="Table-Text"/>
              <w:keepLines/>
              <w:tabs>
                <w:tab w:val="decimal" w:pos="362"/>
              </w:tabs>
              <w:spacing w:before="40" w:after="40"/>
            </w:pPr>
            <w:r>
              <w:t>3.0</w:t>
            </w:r>
          </w:p>
        </w:tc>
        <w:tc>
          <w:tcPr>
            <w:tcW w:w="851" w:type="dxa"/>
            <w:vAlign w:val="center"/>
          </w:tcPr>
          <w:p w14:paraId="150C3E53" w14:textId="07C67834" w:rsidR="00E402A4" w:rsidRPr="00363CF9" w:rsidRDefault="00AA77DA" w:rsidP="00455437">
            <w:pPr>
              <w:pStyle w:val="Table-Text"/>
              <w:keepLines/>
              <w:tabs>
                <w:tab w:val="decimal" w:pos="514"/>
              </w:tabs>
              <w:spacing w:before="40" w:after="40"/>
            </w:pPr>
            <w:r>
              <w:t>35</w:t>
            </w:r>
          </w:p>
        </w:tc>
        <w:tc>
          <w:tcPr>
            <w:tcW w:w="850" w:type="dxa"/>
            <w:vAlign w:val="center"/>
          </w:tcPr>
          <w:p w14:paraId="11BFB013" w14:textId="3F161ED7" w:rsidR="00E402A4" w:rsidRPr="00363CF9" w:rsidRDefault="00AA77DA" w:rsidP="00455437">
            <w:pPr>
              <w:pStyle w:val="Table-Text"/>
              <w:keepLines/>
              <w:tabs>
                <w:tab w:val="decimal" w:pos="376"/>
              </w:tabs>
              <w:spacing w:before="40" w:after="40"/>
            </w:pPr>
            <w:r>
              <w:t>2.7</w:t>
            </w:r>
          </w:p>
        </w:tc>
        <w:tc>
          <w:tcPr>
            <w:tcW w:w="851" w:type="dxa"/>
            <w:vAlign w:val="center"/>
          </w:tcPr>
          <w:p w14:paraId="01D28C0B" w14:textId="6D635865" w:rsidR="00E402A4" w:rsidRPr="00363CF9" w:rsidRDefault="00AA77DA" w:rsidP="00455437">
            <w:pPr>
              <w:pStyle w:val="Table-Text"/>
              <w:keepLines/>
              <w:tabs>
                <w:tab w:val="decimal" w:pos="505"/>
              </w:tabs>
              <w:spacing w:before="40" w:after="40"/>
            </w:pPr>
            <w:r>
              <w:t>37</w:t>
            </w:r>
          </w:p>
        </w:tc>
        <w:tc>
          <w:tcPr>
            <w:tcW w:w="850" w:type="dxa"/>
          </w:tcPr>
          <w:p w14:paraId="05532BE3" w14:textId="79B3D864" w:rsidR="00E402A4" w:rsidRPr="00363CF9" w:rsidRDefault="00AA77DA" w:rsidP="00455437">
            <w:pPr>
              <w:pStyle w:val="Table-Text"/>
              <w:keepLines/>
              <w:tabs>
                <w:tab w:val="decimal" w:pos="376"/>
              </w:tabs>
              <w:spacing w:before="40" w:after="40"/>
            </w:pPr>
            <w:r>
              <w:t>2.2</w:t>
            </w:r>
          </w:p>
        </w:tc>
        <w:tc>
          <w:tcPr>
            <w:tcW w:w="851" w:type="dxa"/>
          </w:tcPr>
          <w:p w14:paraId="62C7452F" w14:textId="0222C161" w:rsidR="00E402A4" w:rsidRPr="00363CF9" w:rsidRDefault="00AA77DA" w:rsidP="00455437">
            <w:pPr>
              <w:pStyle w:val="Table-Text"/>
              <w:keepLines/>
              <w:tabs>
                <w:tab w:val="decimal" w:pos="511"/>
              </w:tabs>
              <w:spacing w:before="40" w:after="40"/>
            </w:pPr>
            <w:r>
              <w:t>37</w:t>
            </w:r>
          </w:p>
        </w:tc>
      </w:tr>
      <w:tr w:rsidR="00E402A4" w:rsidRPr="00363CF9" w14:paraId="133BAA44" w14:textId="77777777" w:rsidTr="00455437">
        <w:tc>
          <w:tcPr>
            <w:tcW w:w="1985" w:type="dxa"/>
          </w:tcPr>
          <w:p w14:paraId="06773284" w14:textId="39054FF9" w:rsidR="00E402A4" w:rsidRPr="00072DC1" w:rsidRDefault="00E402A4" w:rsidP="00455437">
            <w:pPr>
              <w:pStyle w:val="Table-Text"/>
              <w:keepLines/>
              <w:spacing w:before="40" w:after="40"/>
              <w:rPr>
                <w:rStyle w:val="Strong"/>
              </w:rPr>
            </w:pPr>
            <w:r w:rsidRPr="00072DC1">
              <w:rPr>
                <w:rStyle w:val="Strong"/>
              </w:rPr>
              <w:t>Slovak Republic</w:t>
            </w:r>
          </w:p>
        </w:tc>
        <w:tc>
          <w:tcPr>
            <w:tcW w:w="850" w:type="dxa"/>
          </w:tcPr>
          <w:p w14:paraId="25D9B457" w14:textId="191A2645" w:rsidR="00E402A4" w:rsidRPr="00363CF9" w:rsidRDefault="00AA77DA" w:rsidP="00455437">
            <w:pPr>
              <w:pStyle w:val="Table-Text"/>
              <w:keepLines/>
              <w:tabs>
                <w:tab w:val="decimal" w:pos="376"/>
              </w:tabs>
              <w:spacing w:before="40" w:after="40"/>
            </w:pPr>
            <w:r>
              <w:t>3.2</w:t>
            </w:r>
          </w:p>
        </w:tc>
        <w:tc>
          <w:tcPr>
            <w:tcW w:w="851" w:type="dxa"/>
          </w:tcPr>
          <w:p w14:paraId="2BE844E6" w14:textId="0FB884A7" w:rsidR="00E402A4" w:rsidRPr="00363CF9" w:rsidRDefault="00AA77DA" w:rsidP="00455437">
            <w:pPr>
              <w:pStyle w:val="Table-Text"/>
              <w:keepLines/>
              <w:tabs>
                <w:tab w:val="decimal" w:pos="508"/>
              </w:tabs>
              <w:spacing w:before="40" w:after="40"/>
            </w:pPr>
            <w:r>
              <w:t>27</w:t>
            </w:r>
          </w:p>
        </w:tc>
        <w:tc>
          <w:tcPr>
            <w:tcW w:w="850" w:type="dxa"/>
            <w:shd w:val="clear" w:color="auto" w:fill="auto"/>
            <w:vAlign w:val="bottom"/>
          </w:tcPr>
          <w:p w14:paraId="08A7F67D" w14:textId="48EEEB5B" w:rsidR="00E402A4" w:rsidRPr="00363CF9" w:rsidRDefault="00AA77DA" w:rsidP="00455437">
            <w:pPr>
              <w:pStyle w:val="Table-Text"/>
              <w:keepLines/>
              <w:tabs>
                <w:tab w:val="decimal" w:pos="362"/>
              </w:tabs>
              <w:spacing w:before="40" w:after="40"/>
            </w:pPr>
            <w:r>
              <w:t>3.6</w:t>
            </w:r>
          </w:p>
        </w:tc>
        <w:tc>
          <w:tcPr>
            <w:tcW w:w="851" w:type="dxa"/>
            <w:vAlign w:val="center"/>
          </w:tcPr>
          <w:p w14:paraId="2EA7BF1A" w14:textId="4AFA9F3E" w:rsidR="00E402A4" w:rsidRPr="00363CF9" w:rsidRDefault="00AA77DA" w:rsidP="00455437">
            <w:pPr>
              <w:pStyle w:val="Table-Text"/>
              <w:keepLines/>
              <w:tabs>
                <w:tab w:val="decimal" w:pos="514"/>
              </w:tabs>
              <w:spacing w:before="40" w:after="40"/>
            </w:pPr>
            <w:r>
              <w:t>22</w:t>
            </w:r>
          </w:p>
        </w:tc>
        <w:tc>
          <w:tcPr>
            <w:tcW w:w="850" w:type="dxa"/>
            <w:vAlign w:val="center"/>
          </w:tcPr>
          <w:p w14:paraId="745B09EE" w14:textId="50A698A7" w:rsidR="00E402A4" w:rsidRPr="00363CF9" w:rsidRDefault="00AA77DA" w:rsidP="00455437">
            <w:pPr>
              <w:pStyle w:val="Table-Text"/>
              <w:keepLines/>
              <w:tabs>
                <w:tab w:val="decimal" w:pos="376"/>
              </w:tabs>
              <w:spacing w:before="40" w:after="40"/>
            </w:pPr>
            <w:r>
              <w:t>3.4</w:t>
            </w:r>
          </w:p>
        </w:tc>
        <w:tc>
          <w:tcPr>
            <w:tcW w:w="851" w:type="dxa"/>
            <w:vAlign w:val="center"/>
          </w:tcPr>
          <w:p w14:paraId="6398E638" w14:textId="339C17A3" w:rsidR="00E402A4" w:rsidRPr="00363CF9" w:rsidRDefault="00AA77DA" w:rsidP="00455437">
            <w:pPr>
              <w:pStyle w:val="Table-Text"/>
              <w:keepLines/>
              <w:tabs>
                <w:tab w:val="decimal" w:pos="505"/>
              </w:tabs>
              <w:spacing w:before="40" w:after="40"/>
            </w:pPr>
            <w:r>
              <w:t>23</w:t>
            </w:r>
          </w:p>
        </w:tc>
        <w:tc>
          <w:tcPr>
            <w:tcW w:w="850" w:type="dxa"/>
          </w:tcPr>
          <w:p w14:paraId="7BC4EECC" w14:textId="32EF769C" w:rsidR="00E402A4" w:rsidRPr="00363CF9" w:rsidRDefault="00AA77DA" w:rsidP="00455437">
            <w:pPr>
              <w:pStyle w:val="Table-Text"/>
              <w:keepLines/>
              <w:tabs>
                <w:tab w:val="decimal" w:pos="376"/>
              </w:tabs>
              <w:spacing w:before="40" w:after="40"/>
            </w:pPr>
            <w:r>
              <w:t>3.4</w:t>
            </w:r>
          </w:p>
        </w:tc>
        <w:tc>
          <w:tcPr>
            <w:tcW w:w="851" w:type="dxa"/>
          </w:tcPr>
          <w:p w14:paraId="4D09FCFF" w14:textId="2B71B83E" w:rsidR="00E402A4" w:rsidRPr="00363CF9" w:rsidRDefault="00AA77DA" w:rsidP="00455437">
            <w:pPr>
              <w:pStyle w:val="Table-Text"/>
              <w:keepLines/>
              <w:tabs>
                <w:tab w:val="decimal" w:pos="511"/>
              </w:tabs>
              <w:spacing w:before="40" w:after="40"/>
            </w:pPr>
            <w:r>
              <w:t>14</w:t>
            </w:r>
          </w:p>
        </w:tc>
      </w:tr>
      <w:tr w:rsidR="00E402A4" w:rsidRPr="00363CF9" w14:paraId="6169BB33" w14:textId="77777777" w:rsidTr="00455437">
        <w:tc>
          <w:tcPr>
            <w:tcW w:w="1985" w:type="dxa"/>
          </w:tcPr>
          <w:p w14:paraId="494572B9" w14:textId="50740E7B" w:rsidR="00E402A4" w:rsidRPr="00072DC1" w:rsidRDefault="00E402A4" w:rsidP="00455437">
            <w:pPr>
              <w:pStyle w:val="Table-Text"/>
              <w:keepLines/>
              <w:spacing w:before="40" w:after="40"/>
              <w:rPr>
                <w:rStyle w:val="Strong"/>
              </w:rPr>
            </w:pPr>
            <w:r w:rsidRPr="00072DC1">
              <w:rPr>
                <w:rStyle w:val="Strong"/>
              </w:rPr>
              <w:t>Slovenia</w:t>
            </w:r>
          </w:p>
        </w:tc>
        <w:tc>
          <w:tcPr>
            <w:tcW w:w="850" w:type="dxa"/>
          </w:tcPr>
          <w:p w14:paraId="084F02AC" w14:textId="115CC6EE" w:rsidR="00E402A4" w:rsidRPr="00363CF9" w:rsidRDefault="00AA77DA" w:rsidP="00455437">
            <w:pPr>
              <w:pStyle w:val="Table-Text"/>
              <w:keepLines/>
              <w:tabs>
                <w:tab w:val="decimal" w:pos="376"/>
              </w:tabs>
              <w:spacing w:before="40" w:after="40"/>
            </w:pPr>
            <w:r>
              <w:t>3.3</w:t>
            </w:r>
          </w:p>
        </w:tc>
        <w:tc>
          <w:tcPr>
            <w:tcW w:w="851" w:type="dxa"/>
          </w:tcPr>
          <w:p w14:paraId="5A263455" w14:textId="38A03B16" w:rsidR="00E402A4" w:rsidRPr="00363CF9" w:rsidRDefault="00AA77DA" w:rsidP="00455437">
            <w:pPr>
              <w:pStyle w:val="Table-Text"/>
              <w:keepLines/>
              <w:tabs>
                <w:tab w:val="decimal" w:pos="508"/>
              </w:tabs>
              <w:spacing w:before="40" w:after="40"/>
            </w:pPr>
            <w:r>
              <w:t>15</w:t>
            </w:r>
          </w:p>
        </w:tc>
        <w:tc>
          <w:tcPr>
            <w:tcW w:w="850" w:type="dxa"/>
            <w:shd w:val="clear" w:color="auto" w:fill="auto"/>
            <w:vAlign w:val="bottom"/>
          </w:tcPr>
          <w:p w14:paraId="06B29565" w14:textId="2CA10D09" w:rsidR="00E402A4" w:rsidRPr="00363CF9" w:rsidRDefault="00AA77DA" w:rsidP="00455437">
            <w:pPr>
              <w:pStyle w:val="Table-Text"/>
              <w:keepLines/>
              <w:tabs>
                <w:tab w:val="decimal" w:pos="362"/>
              </w:tabs>
              <w:spacing w:before="40" w:after="40"/>
            </w:pPr>
            <w:r>
              <w:t>3.6</w:t>
            </w:r>
          </w:p>
        </w:tc>
        <w:tc>
          <w:tcPr>
            <w:tcW w:w="851" w:type="dxa"/>
            <w:vAlign w:val="center"/>
          </w:tcPr>
          <w:p w14:paraId="0C1A087B" w14:textId="4A4EEAF7" w:rsidR="00E402A4" w:rsidRPr="00363CF9" w:rsidRDefault="00AA77DA" w:rsidP="00455437">
            <w:pPr>
              <w:pStyle w:val="Table-Text"/>
              <w:keepLines/>
              <w:tabs>
                <w:tab w:val="decimal" w:pos="514"/>
              </w:tabs>
              <w:spacing w:before="40" w:after="40"/>
            </w:pPr>
            <w:r>
              <w:t>20</w:t>
            </w:r>
          </w:p>
        </w:tc>
        <w:tc>
          <w:tcPr>
            <w:tcW w:w="850" w:type="dxa"/>
            <w:vAlign w:val="center"/>
          </w:tcPr>
          <w:p w14:paraId="5DC4006B" w14:textId="64081506" w:rsidR="00E402A4" w:rsidRPr="00363CF9" w:rsidRDefault="00AA77DA" w:rsidP="00455437">
            <w:pPr>
              <w:pStyle w:val="Table-Text"/>
              <w:keepLines/>
              <w:tabs>
                <w:tab w:val="decimal" w:pos="376"/>
              </w:tabs>
              <w:spacing w:before="40" w:after="40"/>
            </w:pPr>
            <w:r>
              <w:t>3.3</w:t>
            </w:r>
          </w:p>
        </w:tc>
        <w:tc>
          <w:tcPr>
            <w:tcW w:w="851" w:type="dxa"/>
            <w:vAlign w:val="center"/>
          </w:tcPr>
          <w:p w14:paraId="4350E961" w14:textId="351B1CBC" w:rsidR="00E402A4" w:rsidRPr="00363CF9" w:rsidRDefault="00AA77DA" w:rsidP="00455437">
            <w:pPr>
              <w:pStyle w:val="Table-Text"/>
              <w:keepLines/>
              <w:tabs>
                <w:tab w:val="decimal" w:pos="505"/>
              </w:tabs>
              <w:spacing w:before="40" w:after="40"/>
            </w:pPr>
            <w:r>
              <w:t>27</w:t>
            </w:r>
          </w:p>
        </w:tc>
        <w:tc>
          <w:tcPr>
            <w:tcW w:w="850" w:type="dxa"/>
          </w:tcPr>
          <w:p w14:paraId="12160648" w14:textId="4ED283B6" w:rsidR="00E402A4" w:rsidRPr="00363CF9" w:rsidRDefault="00AA77DA" w:rsidP="00455437">
            <w:pPr>
              <w:pStyle w:val="Table-Text"/>
              <w:keepLines/>
              <w:tabs>
                <w:tab w:val="decimal" w:pos="376"/>
              </w:tabs>
              <w:spacing w:before="40" w:after="40"/>
            </w:pPr>
            <w:r>
              <w:t>3.1</w:t>
            </w:r>
          </w:p>
        </w:tc>
        <w:tc>
          <w:tcPr>
            <w:tcW w:w="851" w:type="dxa"/>
          </w:tcPr>
          <w:p w14:paraId="71FBBC0A" w14:textId="370EC398" w:rsidR="00E402A4" w:rsidRPr="00363CF9" w:rsidRDefault="00AA77DA" w:rsidP="00455437">
            <w:pPr>
              <w:pStyle w:val="Table-Text"/>
              <w:keepLines/>
              <w:tabs>
                <w:tab w:val="decimal" w:pos="511"/>
              </w:tabs>
              <w:spacing w:before="40" w:after="40"/>
            </w:pPr>
            <w:r>
              <w:t>26</w:t>
            </w:r>
          </w:p>
        </w:tc>
      </w:tr>
      <w:tr w:rsidR="00E402A4" w:rsidRPr="00363CF9" w14:paraId="7A3EA333" w14:textId="77777777" w:rsidTr="00455437">
        <w:tc>
          <w:tcPr>
            <w:tcW w:w="1985" w:type="dxa"/>
          </w:tcPr>
          <w:p w14:paraId="0EF17000" w14:textId="4B0ACEB3" w:rsidR="00E402A4" w:rsidRPr="00072DC1" w:rsidRDefault="00E402A4" w:rsidP="00455437">
            <w:pPr>
              <w:pStyle w:val="Table-Text"/>
              <w:keepLines/>
              <w:spacing w:before="40" w:after="40"/>
              <w:rPr>
                <w:rStyle w:val="Strong"/>
              </w:rPr>
            </w:pPr>
            <w:r w:rsidRPr="00072DC1">
              <w:rPr>
                <w:rStyle w:val="Strong"/>
              </w:rPr>
              <w:t>Spain</w:t>
            </w:r>
          </w:p>
        </w:tc>
        <w:tc>
          <w:tcPr>
            <w:tcW w:w="850" w:type="dxa"/>
          </w:tcPr>
          <w:p w14:paraId="5F6266C5" w14:textId="22C5A42A" w:rsidR="00E402A4" w:rsidRPr="00363CF9" w:rsidRDefault="00AA77DA" w:rsidP="00455437">
            <w:pPr>
              <w:pStyle w:val="Table-Text"/>
              <w:keepLines/>
              <w:tabs>
                <w:tab w:val="decimal" w:pos="376"/>
              </w:tabs>
              <w:spacing w:before="40" w:after="40"/>
            </w:pPr>
            <w:r>
              <w:t>3.5</w:t>
            </w:r>
          </w:p>
        </w:tc>
        <w:tc>
          <w:tcPr>
            <w:tcW w:w="851" w:type="dxa"/>
          </w:tcPr>
          <w:p w14:paraId="5D0D8B4D" w14:textId="30D36855" w:rsidR="00E402A4" w:rsidRPr="00363CF9" w:rsidRDefault="00AA77DA" w:rsidP="00455437">
            <w:pPr>
              <w:pStyle w:val="Table-Text"/>
              <w:keepLines/>
              <w:tabs>
                <w:tab w:val="decimal" w:pos="508"/>
              </w:tabs>
              <w:spacing w:before="40" w:after="40"/>
            </w:pPr>
            <w:r>
              <w:t>10</w:t>
            </w:r>
          </w:p>
        </w:tc>
        <w:tc>
          <w:tcPr>
            <w:tcW w:w="850" w:type="dxa"/>
            <w:shd w:val="clear" w:color="auto" w:fill="auto"/>
            <w:vAlign w:val="bottom"/>
          </w:tcPr>
          <w:p w14:paraId="6BA5ECDA" w14:textId="04C87F72" w:rsidR="00E402A4" w:rsidRPr="00363CF9" w:rsidRDefault="00AA77DA" w:rsidP="00455437">
            <w:pPr>
              <w:pStyle w:val="Table-Text"/>
              <w:keepLines/>
              <w:tabs>
                <w:tab w:val="decimal" w:pos="362"/>
              </w:tabs>
              <w:spacing w:before="40" w:after="40"/>
            </w:pPr>
            <w:r>
              <w:t>3.7</w:t>
            </w:r>
          </w:p>
        </w:tc>
        <w:tc>
          <w:tcPr>
            <w:tcW w:w="851" w:type="dxa"/>
            <w:vAlign w:val="center"/>
          </w:tcPr>
          <w:p w14:paraId="577C45E7" w14:textId="71DB1AEA" w:rsidR="00E402A4" w:rsidRPr="00363CF9" w:rsidRDefault="00AA77DA" w:rsidP="00455437">
            <w:pPr>
              <w:pStyle w:val="Table-Text"/>
              <w:keepLines/>
              <w:tabs>
                <w:tab w:val="decimal" w:pos="514"/>
              </w:tabs>
              <w:spacing w:before="40" w:after="40"/>
            </w:pPr>
            <w:r>
              <w:t>15</w:t>
            </w:r>
          </w:p>
        </w:tc>
        <w:tc>
          <w:tcPr>
            <w:tcW w:w="850" w:type="dxa"/>
            <w:vAlign w:val="center"/>
          </w:tcPr>
          <w:p w14:paraId="55929F89" w14:textId="582350FD" w:rsidR="00E402A4" w:rsidRPr="00363CF9" w:rsidRDefault="00AA77DA" w:rsidP="00455437">
            <w:pPr>
              <w:pStyle w:val="Table-Text"/>
              <w:keepLines/>
              <w:tabs>
                <w:tab w:val="decimal" w:pos="376"/>
              </w:tabs>
              <w:spacing w:before="40" w:after="40"/>
            </w:pPr>
            <w:r>
              <w:t>3.6</w:t>
            </w:r>
          </w:p>
        </w:tc>
        <w:tc>
          <w:tcPr>
            <w:tcW w:w="851" w:type="dxa"/>
            <w:vAlign w:val="center"/>
          </w:tcPr>
          <w:p w14:paraId="74FF24D5" w14:textId="2B211C6F" w:rsidR="00E402A4" w:rsidRPr="00363CF9" w:rsidRDefault="00AA77DA" w:rsidP="00455437">
            <w:pPr>
              <w:pStyle w:val="Table-Text"/>
              <w:keepLines/>
              <w:tabs>
                <w:tab w:val="decimal" w:pos="505"/>
              </w:tabs>
              <w:spacing w:before="40" w:after="40"/>
            </w:pPr>
            <w:r>
              <w:t>20</w:t>
            </w:r>
          </w:p>
        </w:tc>
        <w:tc>
          <w:tcPr>
            <w:tcW w:w="850" w:type="dxa"/>
          </w:tcPr>
          <w:p w14:paraId="7B34E5F4" w14:textId="7CFAD564" w:rsidR="00E402A4" w:rsidRPr="00363CF9" w:rsidRDefault="00AA77DA" w:rsidP="00455437">
            <w:pPr>
              <w:pStyle w:val="Table-Text"/>
              <w:keepLines/>
              <w:tabs>
                <w:tab w:val="decimal" w:pos="376"/>
              </w:tabs>
              <w:spacing w:before="40" w:after="40"/>
            </w:pPr>
            <w:r>
              <w:t>3.4</w:t>
            </w:r>
          </w:p>
        </w:tc>
        <w:tc>
          <w:tcPr>
            <w:tcW w:w="851" w:type="dxa"/>
          </w:tcPr>
          <w:p w14:paraId="3766B51B" w14:textId="0BA0C0D2" w:rsidR="00E402A4" w:rsidRPr="00363CF9" w:rsidRDefault="00AA77DA" w:rsidP="00455437">
            <w:pPr>
              <w:pStyle w:val="Table-Text"/>
              <w:keepLines/>
              <w:tabs>
                <w:tab w:val="decimal" w:pos="511"/>
              </w:tabs>
              <w:spacing w:before="40" w:after="40"/>
            </w:pPr>
            <w:r>
              <w:t>16</w:t>
            </w:r>
          </w:p>
        </w:tc>
      </w:tr>
      <w:tr w:rsidR="00E402A4" w:rsidRPr="00363CF9" w14:paraId="3DAB7FFF" w14:textId="77777777" w:rsidTr="00455437">
        <w:tc>
          <w:tcPr>
            <w:tcW w:w="1985" w:type="dxa"/>
          </w:tcPr>
          <w:p w14:paraId="16BB0E73" w14:textId="6B7AADCC" w:rsidR="00E402A4" w:rsidRPr="00072DC1" w:rsidRDefault="00E402A4" w:rsidP="00455437">
            <w:pPr>
              <w:pStyle w:val="Table-Text"/>
              <w:keepLines/>
              <w:spacing w:before="40" w:after="40"/>
              <w:rPr>
                <w:rStyle w:val="Strong"/>
              </w:rPr>
            </w:pPr>
            <w:r w:rsidRPr="00072DC1">
              <w:rPr>
                <w:rStyle w:val="Strong"/>
              </w:rPr>
              <w:t>Sweden</w:t>
            </w:r>
          </w:p>
        </w:tc>
        <w:tc>
          <w:tcPr>
            <w:tcW w:w="850" w:type="dxa"/>
          </w:tcPr>
          <w:p w14:paraId="2126070E" w14:textId="72E9CA8D" w:rsidR="00E402A4" w:rsidRPr="00363CF9" w:rsidRDefault="00AA77DA" w:rsidP="00455437">
            <w:pPr>
              <w:pStyle w:val="Table-Text"/>
              <w:keepLines/>
              <w:tabs>
                <w:tab w:val="decimal" w:pos="376"/>
              </w:tabs>
              <w:spacing w:before="40" w:after="40"/>
            </w:pPr>
            <w:r>
              <w:t>3.3</w:t>
            </w:r>
          </w:p>
        </w:tc>
        <w:tc>
          <w:tcPr>
            <w:tcW w:w="851" w:type="dxa"/>
          </w:tcPr>
          <w:p w14:paraId="4AE9742F" w14:textId="19C641B0" w:rsidR="00E402A4" w:rsidRPr="00363CF9" w:rsidRDefault="00AA77DA" w:rsidP="00455437">
            <w:pPr>
              <w:pStyle w:val="Table-Text"/>
              <w:keepLines/>
              <w:tabs>
                <w:tab w:val="decimal" w:pos="508"/>
              </w:tabs>
              <w:spacing w:before="40" w:after="40"/>
            </w:pPr>
            <w:r>
              <w:t>23</w:t>
            </w:r>
          </w:p>
        </w:tc>
        <w:tc>
          <w:tcPr>
            <w:tcW w:w="850" w:type="dxa"/>
            <w:shd w:val="clear" w:color="auto" w:fill="auto"/>
            <w:vAlign w:val="bottom"/>
          </w:tcPr>
          <w:p w14:paraId="791B0F94" w14:textId="315F6AFB" w:rsidR="00E402A4" w:rsidRPr="00363CF9" w:rsidRDefault="00AA77DA" w:rsidP="00455437">
            <w:pPr>
              <w:pStyle w:val="Table-Text"/>
              <w:keepLines/>
              <w:tabs>
                <w:tab w:val="decimal" w:pos="362"/>
              </w:tabs>
              <w:spacing w:before="40" w:after="40"/>
            </w:pPr>
            <w:r>
              <w:t>3.7</w:t>
            </w:r>
          </w:p>
        </w:tc>
        <w:tc>
          <w:tcPr>
            <w:tcW w:w="851" w:type="dxa"/>
            <w:vAlign w:val="center"/>
          </w:tcPr>
          <w:p w14:paraId="1E319F2C" w14:textId="2DA29536" w:rsidR="00E402A4" w:rsidRPr="00363CF9" w:rsidRDefault="00AA77DA" w:rsidP="00455437">
            <w:pPr>
              <w:pStyle w:val="Table-Text"/>
              <w:keepLines/>
              <w:tabs>
                <w:tab w:val="decimal" w:pos="514"/>
              </w:tabs>
              <w:spacing w:before="40" w:after="40"/>
            </w:pPr>
            <w:r>
              <w:t>14</w:t>
            </w:r>
          </w:p>
        </w:tc>
        <w:tc>
          <w:tcPr>
            <w:tcW w:w="850" w:type="dxa"/>
            <w:vAlign w:val="center"/>
          </w:tcPr>
          <w:p w14:paraId="70B41EF1" w14:textId="13E01170" w:rsidR="00E402A4" w:rsidRPr="00363CF9" w:rsidRDefault="00AA77DA" w:rsidP="00455437">
            <w:pPr>
              <w:pStyle w:val="Table-Text"/>
              <w:keepLines/>
              <w:tabs>
                <w:tab w:val="decimal" w:pos="376"/>
              </w:tabs>
              <w:spacing w:before="40" w:after="40"/>
            </w:pPr>
            <w:r>
              <w:t>4.0</w:t>
            </w:r>
          </w:p>
        </w:tc>
        <w:tc>
          <w:tcPr>
            <w:tcW w:w="851" w:type="dxa"/>
            <w:vAlign w:val="center"/>
          </w:tcPr>
          <w:p w14:paraId="4913FA16" w14:textId="33183645" w:rsidR="00E402A4" w:rsidRPr="00363CF9" w:rsidRDefault="00AA77DA" w:rsidP="00455437">
            <w:pPr>
              <w:pStyle w:val="Table-Text"/>
              <w:keepLines/>
              <w:tabs>
                <w:tab w:val="decimal" w:pos="505"/>
              </w:tabs>
              <w:spacing w:before="40" w:after="40"/>
            </w:pPr>
            <w:r>
              <w:t>10</w:t>
            </w:r>
          </w:p>
        </w:tc>
        <w:tc>
          <w:tcPr>
            <w:tcW w:w="850" w:type="dxa"/>
          </w:tcPr>
          <w:p w14:paraId="1E6E059F" w14:textId="2715049D" w:rsidR="00E402A4" w:rsidRPr="00363CF9" w:rsidRDefault="00AA77DA" w:rsidP="00455437">
            <w:pPr>
              <w:pStyle w:val="Table-Text"/>
              <w:keepLines/>
              <w:tabs>
                <w:tab w:val="decimal" w:pos="376"/>
              </w:tabs>
              <w:spacing w:before="40" w:after="40"/>
            </w:pPr>
            <w:r>
              <w:t>3.3</w:t>
            </w:r>
          </w:p>
        </w:tc>
        <w:tc>
          <w:tcPr>
            <w:tcW w:w="851" w:type="dxa"/>
          </w:tcPr>
          <w:p w14:paraId="7DDA6040" w14:textId="12104E9E" w:rsidR="00E402A4" w:rsidRPr="00363CF9" w:rsidRDefault="00AA77DA" w:rsidP="00455437">
            <w:pPr>
              <w:pStyle w:val="Table-Text"/>
              <w:keepLines/>
              <w:tabs>
                <w:tab w:val="decimal" w:pos="511"/>
              </w:tabs>
              <w:spacing w:before="40" w:after="40"/>
            </w:pPr>
            <w:r>
              <w:t>18</w:t>
            </w:r>
          </w:p>
        </w:tc>
      </w:tr>
      <w:tr w:rsidR="00E402A4" w:rsidRPr="00363CF9" w14:paraId="0C2A3CF7" w14:textId="77777777" w:rsidTr="00455437">
        <w:tc>
          <w:tcPr>
            <w:tcW w:w="1985" w:type="dxa"/>
          </w:tcPr>
          <w:p w14:paraId="1703621A" w14:textId="438F0460" w:rsidR="00E402A4" w:rsidRPr="00072DC1" w:rsidRDefault="00E402A4" w:rsidP="00455437">
            <w:pPr>
              <w:pStyle w:val="Table-Text"/>
              <w:keepLines/>
              <w:spacing w:before="40" w:after="40"/>
              <w:rPr>
                <w:rStyle w:val="Strong"/>
              </w:rPr>
            </w:pPr>
            <w:r w:rsidRPr="00072DC1">
              <w:rPr>
                <w:rStyle w:val="Strong"/>
              </w:rPr>
              <w:t>Switzerland</w:t>
            </w:r>
          </w:p>
        </w:tc>
        <w:tc>
          <w:tcPr>
            <w:tcW w:w="850" w:type="dxa"/>
          </w:tcPr>
          <w:p w14:paraId="77D72E92" w14:textId="06985765" w:rsidR="00E402A4" w:rsidRPr="00363CF9" w:rsidRDefault="00AA77DA" w:rsidP="00455437">
            <w:pPr>
              <w:pStyle w:val="Table-Text"/>
              <w:keepLines/>
              <w:tabs>
                <w:tab w:val="decimal" w:pos="376"/>
              </w:tabs>
              <w:spacing w:before="40" w:after="40"/>
            </w:pPr>
            <w:r>
              <w:t>3.5</w:t>
            </w:r>
          </w:p>
        </w:tc>
        <w:tc>
          <w:tcPr>
            <w:tcW w:w="851" w:type="dxa"/>
          </w:tcPr>
          <w:p w14:paraId="1522A0E9" w14:textId="045147D4" w:rsidR="00E402A4" w:rsidRPr="00363CF9" w:rsidRDefault="00AA77DA" w:rsidP="00455437">
            <w:pPr>
              <w:pStyle w:val="Table-Text"/>
              <w:keepLines/>
              <w:tabs>
                <w:tab w:val="decimal" w:pos="508"/>
              </w:tabs>
              <w:spacing w:before="40" w:after="40"/>
            </w:pPr>
            <w:r>
              <w:t>11</w:t>
            </w:r>
          </w:p>
        </w:tc>
        <w:tc>
          <w:tcPr>
            <w:tcW w:w="850" w:type="dxa"/>
            <w:shd w:val="clear" w:color="auto" w:fill="auto"/>
            <w:vAlign w:val="bottom"/>
          </w:tcPr>
          <w:p w14:paraId="6C83C683" w14:textId="5350B2CA" w:rsidR="00E402A4" w:rsidRPr="00363CF9" w:rsidRDefault="00AA77DA" w:rsidP="00455437">
            <w:pPr>
              <w:pStyle w:val="Table-Text"/>
              <w:keepLines/>
              <w:tabs>
                <w:tab w:val="decimal" w:pos="362"/>
              </w:tabs>
              <w:spacing w:before="40" w:after="40"/>
            </w:pPr>
            <w:r>
              <w:t>3.6</w:t>
            </w:r>
          </w:p>
        </w:tc>
        <w:tc>
          <w:tcPr>
            <w:tcW w:w="851" w:type="dxa"/>
            <w:vAlign w:val="center"/>
          </w:tcPr>
          <w:p w14:paraId="16636E74" w14:textId="5814057C" w:rsidR="00E402A4" w:rsidRPr="00363CF9" w:rsidRDefault="00AA77DA" w:rsidP="00455437">
            <w:pPr>
              <w:pStyle w:val="Table-Text"/>
              <w:keepLines/>
              <w:tabs>
                <w:tab w:val="decimal" w:pos="514"/>
              </w:tabs>
              <w:spacing w:before="40" w:after="40"/>
            </w:pPr>
            <w:r>
              <w:t>21</w:t>
            </w:r>
          </w:p>
        </w:tc>
        <w:tc>
          <w:tcPr>
            <w:tcW w:w="850" w:type="dxa"/>
            <w:vAlign w:val="center"/>
          </w:tcPr>
          <w:p w14:paraId="7F910A1D" w14:textId="0A8F699D" w:rsidR="00E402A4" w:rsidRPr="00363CF9" w:rsidRDefault="00AA77DA" w:rsidP="00455437">
            <w:pPr>
              <w:pStyle w:val="Table-Text"/>
              <w:keepLines/>
              <w:tabs>
                <w:tab w:val="decimal" w:pos="376"/>
              </w:tabs>
              <w:spacing w:before="40" w:after="40"/>
            </w:pPr>
            <w:r>
              <w:t>3.7</w:t>
            </w:r>
          </w:p>
        </w:tc>
        <w:tc>
          <w:tcPr>
            <w:tcW w:w="851" w:type="dxa"/>
            <w:vAlign w:val="center"/>
          </w:tcPr>
          <w:p w14:paraId="7A3E00A7" w14:textId="306A1037" w:rsidR="00E402A4" w:rsidRPr="00363CF9" w:rsidRDefault="00AA77DA" w:rsidP="00455437">
            <w:pPr>
              <w:pStyle w:val="Table-Text"/>
              <w:keepLines/>
              <w:tabs>
                <w:tab w:val="decimal" w:pos="505"/>
              </w:tabs>
              <w:spacing w:before="40" w:after="40"/>
            </w:pPr>
            <w:r>
              <w:t>19</w:t>
            </w:r>
          </w:p>
        </w:tc>
        <w:tc>
          <w:tcPr>
            <w:tcW w:w="850" w:type="dxa"/>
          </w:tcPr>
          <w:p w14:paraId="37AC0C44" w14:textId="1D9906EB" w:rsidR="00E402A4" w:rsidRPr="00363CF9" w:rsidRDefault="00AA77DA" w:rsidP="00455437">
            <w:pPr>
              <w:pStyle w:val="Table-Text"/>
              <w:keepLines/>
              <w:tabs>
                <w:tab w:val="decimal" w:pos="376"/>
              </w:tabs>
              <w:spacing w:before="40" w:after="40"/>
            </w:pPr>
            <w:r>
              <w:t>3.3</w:t>
            </w:r>
          </w:p>
        </w:tc>
        <w:tc>
          <w:tcPr>
            <w:tcW w:w="851" w:type="dxa"/>
          </w:tcPr>
          <w:p w14:paraId="5E5F6172" w14:textId="5BCE5DF4" w:rsidR="00E402A4" w:rsidRPr="00363CF9" w:rsidRDefault="00AA77DA" w:rsidP="00455437">
            <w:pPr>
              <w:pStyle w:val="Table-Text"/>
              <w:keepLines/>
              <w:tabs>
                <w:tab w:val="decimal" w:pos="511"/>
              </w:tabs>
              <w:spacing w:before="40" w:after="40"/>
            </w:pPr>
            <w:r>
              <w:t>20</w:t>
            </w:r>
          </w:p>
        </w:tc>
      </w:tr>
      <w:tr w:rsidR="00E402A4" w:rsidRPr="00363CF9" w14:paraId="3BBF8333" w14:textId="77777777" w:rsidTr="00455437">
        <w:tc>
          <w:tcPr>
            <w:tcW w:w="1985" w:type="dxa"/>
          </w:tcPr>
          <w:p w14:paraId="37B4E27E" w14:textId="4F66C9E9" w:rsidR="00E402A4" w:rsidRPr="00072DC1" w:rsidRDefault="00E402A4" w:rsidP="00455437">
            <w:pPr>
              <w:pStyle w:val="Table-Text"/>
              <w:keepLines/>
              <w:spacing w:before="40" w:after="40"/>
              <w:rPr>
                <w:rStyle w:val="Strong"/>
              </w:rPr>
            </w:pPr>
            <w:r w:rsidRPr="00072DC1">
              <w:rPr>
                <w:rStyle w:val="Strong"/>
              </w:rPr>
              <w:t>Turkey</w:t>
            </w:r>
          </w:p>
        </w:tc>
        <w:tc>
          <w:tcPr>
            <w:tcW w:w="850" w:type="dxa"/>
          </w:tcPr>
          <w:p w14:paraId="46824CA6" w14:textId="6CB3B3E2" w:rsidR="00E402A4" w:rsidRPr="00363CF9" w:rsidRDefault="00AA77DA" w:rsidP="00455437">
            <w:pPr>
              <w:pStyle w:val="Table-Text"/>
              <w:keepLines/>
              <w:tabs>
                <w:tab w:val="decimal" w:pos="376"/>
              </w:tabs>
              <w:spacing w:before="40" w:after="40"/>
            </w:pPr>
            <w:r>
              <w:t>2.6</w:t>
            </w:r>
          </w:p>
        </w:tc>
        <w:tc>
          <w:tcPr>
            <w:tcW w:w="851" w:type="dxa"/>
          </w:tcPr>
          <w:p w14:paraId="3161BC5D" w14:textId="06E20755" w:rsidR="00E402A4" w:rsidRPr="00363CF9" w:rsidRDefault="00AA77DA" w:rsidP="00455437">
            <w:pPr>
              <w:pStyle w:val="Table-Text"/>
              <w:keepLines/>
              <w:tabs>
                <w:tab w:val="decimal" w:pos="508"/>
              </w:tabs>
              <w:spacing w:before="40" w:after="40"/>
            </w:pPr>
            <w:r>
              <w:t>35</w:t>
            </w:r>
          </w:p>
        </w:tc>
        <w:tc>
          <w:tcPr>
            <w:tcW w:w="850" w:type="dxa"/>
            <w:shd w:val="clear" w:color="auto" w:fill="auto"/>
            <w:vAlign w:val="bottom"/>
          </w:tcPr>
          <w:p w14:paraId="0D84054B" w14:textId="21FB8043" w:rsidR="00E402A4" w:rsidRPr="00363CF9" w:rsidRDefault="00AA77DA" w:rsidP="00455437">
            <w:pPr>
              <w:pStyle w:val="Table-Text"/>
              <w:keepLines/>
              <w:tabs>
                <w:tab w:val="decimal" w:pos="362"/>
              </w:tabs>
              <w:spacing w:before="40" w:after="40"/>
            </w:pPr>
            <w:r>
              <w:t>3.2</w:t>
            </w:r>
          </w:p>
        </w:tc>
        <w:tc>
          <w:tcPr>
            <w:tcW w:w="851" w:type="dxa"/>
            <w:vAlign w:val="center"/>
          </w:tcPr>
          <w:p w14:paraId="1CCBC8FE" w14:textId="378977D8" w:rsidR="00E402A4" w:rsidRPr="00363CF9" w:rsidRDefault="00AA77DA" w:rsidP="00455437">
            <w:pPr>
              <w:pStyle w:val="Table-Text"/>
              <w:keepLines/>
              <w:tabs>
                <w:tab w:val="decimal" w:pos="514"/>
              </w:tabs>
              <w:spacing w:before="40" w:after="40"/>
            </w:pPr>
            <w:r>
              <w:t>32</w:t>
            </w:r>
          </w:p>
        </w:tc>
        <w:tc>
          <w:tcPr>
            <w:tcW w:w="850" w:type="dxa"/>
            <w:vAlign w:val="center"/>
          </w:tcPr>
          <w:p w14:paraId="50EA7B55" w14:textId="799FABC8" w:rsidR="00E402A4" w:rsidRPr="00363CF9" w:rsidRDefault="00AA77DA" w:rsidP="00455437">
            <w:pPr>
              <w:pStyle w:val="Table-Text"/>
              <w:keepLines/>
              <w:tabs>
                <w:tab w:val="decimal" w:pos="376"/>
              </w:tabs>
              <w:spacing w:before="40" w:after="40"/>
            </w:pPr>
            <w:r>
              <w:t>2.9</w:t>
            </w:r>
          </w:p>
        </w:tc>
        <w:tc>
          <w:tcPr>
            <w:tcW w:w="851" w:type="dxa"/>
            <w:vAlign w:val="center"/>
          </w:tcPr>
          <w:p w14:paraId="4E8A5B86" w14:textId="4980DF7C" w:rsidR="00E402A4" w:rsidRPr="00363CF9" w:rsidRDefault="00AA77DA" w:rsidP="00455437">
            <w:pPr>
              <w:pStyle w:val="Table-Text"/>
              <w:keepLines/>
              <w:tabs>
                <w:tab w:val="decimal" w:pos="505"/>
              </w:tabs>
              <w:spacing w:before="40" w:after="40"/>
            </w:pPr>
            <w:r>
              <w:t>35</w:t>
            </w:r>
          </w:p>
        </w:tc>
        <w:tc>
          <w:tcPr>
            <w:tcW w:w="850" w:type="dxa"/>
          </w:tcPr>
          <w:p w14:paraId="2CE5EFE2" w14:textId="52DCC612" w:rsidR="00E402A4" w:rsidRPr="00363CF9" w:rsidRDefault="00AA77DA" w:rsidP="00455437">
            <w:pPr>
              <w:pStyle w:val="Table-Text"/>
              <w:keepLines/>
              <w:tabs>
                <w:tab w:val="decimal" w:pos="376"/>
              </w:tabs>
              <w:spacing w:before="40" w:after="40"/>
            </w:pPr>
            <w:r>
              <w:t>2.9</w:t>
            </w:r>
          </w:p>
        </w:tc>
        <w:tc>
          <w:tcPr>
            <w:tcW w:w="851" w:type="dxa"/>
          </w:tcPr>
          <w:p w14:paraId="0C308087" w14:textId="061774F0" w:rsidR="00E402A4" w:rsidRPr="00363CF9" w:rsidRDefault="00AA77DA" w:rsidP="00455437">
            <w:pPr>
              <w:pStyle w:val="Table-Text"/>
              <w:keepLines/>
              <w:tabs>
                <w:tab w:val="decimal" w:pos="511"/>
              </w:tabs>
              <w:spacing w:before="40" w:after="40"/>
            </w:pPr>
            <w:r>
              <w:t>33</w:t>
            </w:r>
          </w:p>
        </w:tc>
      </w:tr>
      <w:tr w:rsidR="00E402A4" w:rsidRPr="00363CF9" w14:paraId="74468E32" w14:textId="77777777" w:rsidTr="00455437">
        <w:tc>
          <w:tcPr>
            <w:tcW w:w="1985" w:type="dxa"/>
          </w:tcPr>
          <w:p w14:paraId="3D19124B" w14:textId="23BCBF26" w:rsidR="00E402A4" w:rsidRPr="00072DC1" w:rsidRDefault="00E402A4" w:rsidP="00455437">
            <w:pPr>
              <w:pStyle w:val="Table-Text"/>
              <w:keepLines/>
              <w:spacing w:before="40" w:after="40"/>
              <w:rPr>
                <w:rStyle w:val="Strong"/>
              </w:rPr>
            </w:pPr>
            <w:r w:rsidRPr="00072DC1">
              <w:rPr>
                <w:rStyle w:val="Strong"/>
              </w:rPr>
              <w:t>United Kingdom</w:t>
            </w:r>
          </w:p>
        </w:tc>
        <w:tc>
          <w:tcPr>
            <w:tcW w:w="850" w:type="dxa"/>
          </w:tcPr>
          <w:p w14:paraId="56C378F8" w14:textId="6C38B909" w:rsidR="00E402A4" w:rsidRPr="00363CF9" w:rsidRDefault="00AA77DA" w:rsidP="00455437">
            <w:pPr>
              <w:pStyle w:val="Table-Text"/>
              <w:keepLines/>
              <w:tabs>
                <w:tab w:val="decimal" w:pos="376"/>
              </w:tabs>
              <w:spacing w:before="40" w:after="40"/>
            </w:pPr>
            <w:r>
              <w:t>3.3</w:t>
            </w:r>
          </w:p>
        </w:tc>
        <w:tc>
          <w:tcPr>
            <w:tcW w:w="851" w:type="dxa"/>
          </w:tcPr>
          <w:p w14:paraId="05DFAE20" w14:textId="743000CB" w:rsidR="00E402A4" w:rsidRPr="00363CF9" w:rsidRDefault="00AA77DA" w:rsidP="00455437">
            <w:pPr>
              <w:pStyle w:val="Table-Text"/>
              <w:keepLines/>
              <w:tabs>
                <w:tab w:val="decimal" w:pos="508"/>
              </w:tabs>
              <w:spacing w:before="40" w:after="40"/>
            </w:pPr>
            <w:r>
              <w:t>16</w:t>
            </w:r>
          </w:p>
        </w:tc>
        <w:tc>
          <w:tcPr>
            <w:tcW w:w="850" w:type="dxa"/>
            <w:shd w:val="clear" w:color="auto" w:fill="auto"/>
            <w:vAlign w:val="bottom"/>
          </w:tcPr>
          <w:p w14:paraId="7127C429" w14:textId="091334A5" w:rsidR="00E402A4" w:rsidRPr="00363CF9" w:rsidRDefault="00AA77DA" w:rsidP="00455437">
            <w:pPr>
              <w:pStyle w:val="Table-Text"/>
              <w:keepLines/>
              <w:tabs>
                <w:tab w:val="decimal" w:pos="362"/>
              </w:tabs>
              <w:spacing w:before="40" w:after="40"/>
            </w:pPr>
            <w:r>
              <w:t>3.4</w:t>
            </w:r>
          </w:p>
        </w:tc>
        <w:tc>
          <w:tcPr>
            <w:tcW w:w="851" w:type="dxa"/>
            <w:vAlign w:val="center"/>
          </w:tcPr>
          <w:p w14:paraId="1D9D3E20" w14:textId="243876B5" w:rsidR="00E402A4" w:rsidRPr="00363CF9" w:rsidRDefault="00AA77DA" w:rsidP="00455437">
            <w:pPr>
              <w:pStyle w:val="Table-Text"/>
              <w:keepLines/>
              <w:tabs>
                <w:tab w:val="decimal" w:pos="514"/>
              </w:tabs>
              <w:spacing w:before="40" w:after="40"/>
            </w:pPr>
            <w:r>
              <w:t>29</w:t>
            </w:r>
          </w:p>
        </w:tc>
        <w:tc>
          <w:tcPr>
            <w:tcW w:w="850" w:type="dxa"/>
            <w:vAlign w:val="center"/>
          </w:tcPr>
          <w:p w14:paraId="34651463" w14:textId="5786FEEA" w:rsidR="00E402A4" w:rsidRPr="00363CF9" w:rsidRDefault="00AA77DA" w:rsidP="00455437">
            <w:pPr>
              <w:pStyle w:val="Table-Text"/>
              <w:keepLines/>
              <w:tabs>
                <w:tab w:val="decimal" w:pos="376"/>
              </w:tabs>
              <w:spacing w:before="40" w:after="40"/>
            </w:pPr>
            <w:r>
              <w:t>3.1</w:t>
            </w:r>
          </w:p>
        </w:tc>
        <w:tc>
          <w:tcPr>
            <w:tcW w:w="851" w:type="dxa"/>
            <w:vAlign w:val="center"/>
          </w:tcPr>
          <w:p w14:paraId="24CBEDBD" w14:textId="6B0116B3" w:rsidR="00E402A4" w:rsidRPr="00363CF9" w:rsidRDefault="00AA77DA" w:rsidP="00455437">
            <w:pPr>
              <w:pStyle w:val="Table-Text"/>
              <w:keepLines/>
              <w:tabs>
                <w:tab w:val="decimal" w:pos="505"/>
              </w:tabs>
              <w:spacing w:before="40" w:after="40"/>
            </w:pPr>
            <w:r>
              <w:t>32</w:t>
            </w:r>
          </w:p>
        </w:tc>
        <w:tc>
          <w:tcPr>
            <w:tcW w:w="850" w:type="dxa"/>
          </w:tcPr>
          <w:p w14:paraId="3E6C21FC" w14:textId="7240ADD0" w:rsidR="00E402A4" w:rsidRPr="00363CF9" w:rsidRDefault="00AA77DA" w:rsidP="00455437">
            <w:pPr>
              <w:pStyle w:val="Table-Text"/>
              <w:keepLines/>
              <w:tabs>
                <w:tab w:val="decimal" w:pos="376"/>
              </w:tabs>
              <w:spacing w:before="40" w:after="40"/>
            </w:pPr>
            <w:r>
              <w:t>2.9</w:t>
            </w:r>
          </w:p>
        </w:tc>
        <w:tc>
          <w:tcPr>
            <w:tcW w:w="851" w:type="dxa"/>
          </w:tcPr>
          <w:p w14:paraId="55608E79" w14:textId="5E1628C3" w:rsidR="00E402A4" w:rsidRPr="00363CF9" w:rsidRDefault="00AA77DA" w:rsidP="00455437">
            <w:pPr>
              <w:pStyle w:val="Table-Text"/>
              <w:keepLines/>
              <w:tabs>
                <w:tab w:val="decimal" w:pos="511"/>
              </w:tabs>
              <w:spacing w:before="40" w:after="40"/>
            </w:pPr>
            <w:r>
              <w:t>32</w:t>
            </w:r>
          </w:p>
        </w:tc>
      </w:tr>
      <w:tr w:rsidR="00E402A4" w:rsidRPr="00363CF9" w14:paraId="40D1A850" w14:textId="77777777" w:rsidTr="00455437">
        <w:tc>
          <w:tcPr>
            <w:tcW w:w="1985" w:type="dxa"/>
            <w:tcBorders>
              <w:bottom w:val="single" w:sz="4" w:space="0" w:color="BFBFBF" w:themeColor="background1" w:themeShade="BF"/>
            </w:tcBorders>
          </w:tcPr>
          <w:p w14:paraId="51CA16FD" w14:textId="59EF8C18" w:rsidR="00E402A4" w:rsidRPr="00072DC1" w:rsidRDefault="00E402A4" w:rsidP="00455437">
            <w:pPr>
              <w:pStyle w:val="Table-Text"/>
              <w:keepLines/>
              <w:spacing w:before="40" w:after="40"/>
              <w:rPr>
                <w:rStyle w:val="Strong"/>
              </w:rPr>
            </w:pPr>
            <w:r w:rsidRPr="00072DC1">
              <w:rPr>
                <w:rStyle w:val="Strong"/>
              </w:rPr>
              <w:t>United States</w:t>
            </w:r>
          </w:p>
        </w:tc>
        <w:tc>
          <w:tcPr>
            <w:tcW w:w="850" w:type="dxa"/>
            <w:tcBorders>
              <w:bottom w:val="single" w:sz="4" w:space="0" w:color="BFBFBF" w:themeColor="background1" w:themeShade="BF"/>
            </w:tcBorders>
          </w:tcPr>
          <w:p w14:paraId="637C87DA" w14:textId="65A38F0A" w:rsidR="00E402A4" w:rsidRPr="00363CF9" w:rsidRDefault="00AA77DA" w:rsidP="00455437">
            <w:pPr>
              <w:pStyle w:val="Table-Text"/>
              <w:keepLines/>
              <w:tabs>
                <w:tab w:val="decimal" w:pos="376"/>
              </w:tabs>
              <w:spacing w:before="40" w:after="40"/>
            </w:pPr>
            <w:r>
              <w:t>3.6</w:t>
            </w:r>
          </w:p>
        </w:tc>
        <w:tc>
          <w:tcPr>
            <w:tcW w:w="851" w:type="dxa"/>
            <w:tcBorders>
              <w:bottom w:val="single" w:sz="4" w:space="0" w:color="BFBFBF" w:themeColor="background1" w:themeShade="BF"/>
            </w:tcBorders>
          </w:tcPr>
          <w:p w14:paraId="50E0C771" w14:textId="1B3046B2" w:rsidR="00E402A4" w:rsidRPr="00363CF9" w:rsidRDefault="00AA77DA" w:rsidP="00455437">
            <w:pPr>
              <w:pStyle w:val="Table-Text"/>
              <w:keepLines/>
              <w:tabs>
                <w:tab w:val="decimal" w:pos="508"/>
              </w:tabs>
              <w:spacing w:before="40" w:after="40"/>
            </w:pPr>
            <w:r>
              <w:t>7</w:t>
            </w:r>
          </w:p>
        </w:tc>
        <w:tc>
          <w:tcPr>
            <w:tcW w:w="850" w:type="dxa"/>
            <w:tcBorders>
              <w:bottom w:val="single" w:sz="4" w:space="0" w:color="BFBFBF" w:themeColor="background1" w:themeShade="BF"/>
            </w:tcBorders>
            <w:shd w:val="clear" w:color="auto" w:fill="auto"/>
            <w:vAlign w:val="bottom"/>
          </w:tcPr>
          <w:p w14:paraId="5A502A97" w14:textId="678365F8" w:rsidR="00E402A4" w:rsidRPr="00363CF9" w:rsidRDefault="00AA77DA" w:rsidP="00455437">
            <w:pPr>
              <w:pStyle w:val="Table-Text"/>
              <w:keepLines/>
              <w:tabs>
                <w:tab w:val="decimal" w:pos="362"/>
              </w:tabs>
              <w:spacing w:before="40" w:after="40"/>
            </w:pPr>
            <w:r>
              <w:t>3.6</w:t>
            </w:r>
          </w:p>
        </w:tc>
        <w:tc>
          <w:tcPr>
            <w:tcW w:w="851" w:type="dxa"/>
            <w:tcBorders>
              <w:bottom w:val="single" w:sz="4" w:space="0" w:color="BFBFBF" w:themeColor="background1" w:themeShade="BF"/>
            </w:tcBorders>
            <w:vAlign w:val="center"/>
          </w:tcPr>
          <w:p w14:paraId="507EDC50" w14:textId="2D3699EA" w:rsidR="00E402A4" w:rsidRPr="00363CF9" w:rsidRDefault="00AA77DA" w:rsidP="00455437">
            <w:pPr>
              <w:pStyle w:val="Table-Text"/>
              <w:keepLines/>
              <w:tabs>
                <w:tab w:val="decimal" w:pos="514"/>
              </w:tabs>
              <w:spacing w:before="40" w:after="40"/>
            </w:pPr>
            <w:r>
              <w:t>23</w:t>
            </w:r>
          </w:p>
        </w:tc>
        <w:tc>
          <w:tcPr>
            <w:tcW w:w="850" w:type="dxa"/>
            <w:tcBorders>
              <w:bottom w:val="single" w:sz="4" w:space="0" w:color="BFBFBF" w:themeColor="background1" w:themeShade="BF"/>
            </w:tcBorders>
            <w:vAlign w:val="center"/>
          </w:tcPr>
          <w:p w14:paraId="2DD6D3C3" w14:textId="7D73C2FC" w:rsidR="00E402A4" w:rsidRPr="00363CF9" w:rsidRDefault="00AA77DA" w:rsidP="00455437">
            <w:pPr>
              <w:pStyle w:val="Table-Text"/>
              <w:keepLines/>
              <w:tabs>
                <w:tab w:val="decimal" w:pos="376"/>
              </w:tabs>
              <w:spacing w:before="40" w:after="40"/>
            </w:pPr>
            <w:r>
              <w:t>2.6</w:t>
            </w:r>
          </w:p>
        </w:tc>
        <w:tc>
          <w:tcPr>
            <w:tcW w:w="851" w:type="dxa"/>
            <w:tcBorders>
              <w:bottom w:val="single" w:sz="4" w:space="0" w:color="BFBFBF" w:themeColor="background1" w:themeShade="BF"/>
            </w:tcBorders>
            <w:vAlign w:val="center"/>
          </w:tcPr>
          <w:p w14:paraId="2586AC7E" w14:textId="12B9C2A6" w:rsidR="00E402A4" w:rsidRPr="00363CF9" w:rsidRDefault="00AA77DA" w:rsidP="00455437">
            <w:pPr>
              <w:pStyle w:val="Table-Text"/>
              <w:keepLines/>
              <w:tabs>
                <w:tab w:val="decimal" w:pos="505"/>
              </w:tabs>
              <w:spacing w:before="40" w:after="40"/>
            </w:pPr>
            <w:r>
              <w:t>38</w:t>
            </w:r>
          </w:p>
        </w:tc>
        <w:tc>
          <w:tcPr>
            <w:tcW w:w="850" w:type="dxa"/>
            <w:tcBorders>
              <w:bottom w:val="single" w:sz="4" w:space="0" w:color="BFBFBF" w:themeColor="background1" w:themeShade="BF"/>
            </w:tcBorders>
          </w:tcPr>
          <w:p w14:paraId="3A9430A5" w14:textId="3857B1FC" w:rsidR="00E402A4" w:rsidRPr="00363CF9" w:rsidRDefault="00AA77DA" w:rsidP="00455437">
            <w:pPr>
              <w:pStyle w:val="Table-Text"/>
              <w:keepLines/>
              <w:tabs>
                <w:tab w:val="decimal" w:pos="376"/>
              </w:tabs>
              <w:spacing w:before="40" w:after="40"/>
            </w:pPr>
            <w:r>
              <w:t>2.6</w:t>
            </w:r>
          </w:p>
        </w:tc>
        <w:tc>
          <w:tcPr>
            <w:tcW w:w="851" w:type="dxa"/>
            <w:tcBorders>
              <w:bottom w:val="single" w:sz="4" w:space="0" w:color="BFBFBF" w:themeColor="background1" w:themeShade="BF"/>
            </w:tcBorders>
          </w:tcPr>
          <w:p w14:paraId="621AFFBC" w14:textId="70C3F46C" w:rsidR="00E402A4" w:rsidRPr="00363CF9" w:rsidRDefault="00AA77DA" w:rsidP="00455437">
            <w:pPr>
              <w:pStyle w:val="Table-Text"/>
              <w:keepLines/>
              <w:tabs>
                <w:tab w:val="decimal" w:pos="511"/>
              </w:tabs>
              <w:spacing w:before="40" w:after="40"/>
            </w:pPr>
            <w:r>
              <w:t>34</w:t>
            </w:r>
          </w:p>
        </w:tc>
      </w:tr>
      <w:tr w:rsidR="00E402A4" w:rsidRPr="00072DC1" w14:paraId="61D4B21F" w14:textId="77777777" w:rsidTr="00455437">
        <w:tc>
          <w:tcPr>
            <w:tcW w:w="1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6A6A6" w:themeFill="background1" w:themeFillShade="A6"/>
          </w:tcPr>
          <w:p w14:paraId="522506E8" w14:textId="0E18A59D" w:rsidR="00E402A4" w:rsidRPr="00E402A4" w:rsidRDefault="00E402A4" w:rsidP="00455437">
            <w:pPr>
              <w:pStyle w:val="Table-Text"/>
              <w:keepLines/>
              <w:spacing w:before="40" w:after="40"/>
              <w:rPr>
                <w:rStyle w:val="Strong"/>
              </w:rPr>
            </w:pPr>
            <w:r w:rsidRPr="00E402A4">
              <w:rPr>
                <w:rStyle w:val="Strong"/>
              </w:rPr>
              <w:t>Average</w:t>
            </w:r>
          </w:p>
        </w:tc>
        <w:tc>
          <w:tcPr>
            <w:tcW w:w="8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6A6A6" w:themeFill="background1" w:themeFillShade="A6"/>
          </w:tcPr>
          <w:p w14:paraId="7186CA3F" w14:textId="7B2A7961" w:rsidR="00E402A4" w:rsidRPr="00072DC1" w:rsidRDefault="00A07B92" w:rsidP="00455437">
            <w:pPr>
              <w:pStyle w:val="Table-Text"/>
              <w:keepLines/>
              <w:tabs>
                <w:tab w:val="decimal" w:pos="376"/>
              </w:tabs>
              <w:spacing w:before="40" w:after="40"/>
              <w:rPr>
                <w:b/>
                <w:bCs/>
              </w:rPr>
            </w:pPr>
            <w:r>
              <w:rPr>
                <w:b/>
                <w:bCs/>
              </w:rPr>
              <w:t>3.3</w:t>
            </w:r>
          </w:p>
        </w:tc>
        <w:tc>
          <w:tcPr>
            <w:tcW w:w="8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6A6A6" w:themeFill="background1" w:themeFillShade="A6"/>
          </w:tcPr>
          <w:p w14:paraId="5B09B62A" w14:textId="77777777" w:rsidR="00E402A4" w:rsidRPr="00072DC1" w:rsidRDefault="00E402A4" w:rsidP="00455437">
            <w:pPr>
              <w:pStyle w:val="Table-Text"/>
              <w:keepLines/>
              <w:tabs>
                <w:tab w:val="decimal" w:pos="508"/>
              </w:tabs>
              <w:spacing w:before="40" w:after="40"/>
              <w:rPr>
                <w:b/>
                <w:bCs/>
              </w:rPr>
            </w:pPr>
          </w:p>
        </w:tc>
        <w:tc>
          <w:tcPr>
            <w:tcW w:w="8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6A6A6" w:themeFill="background1" w:themeFillShade="A6"/>
            <w:vAlign w:val="bottom"/>
          </w:tcPr>
          <w:p w14:paraId="1E9E5D06" w14:textId="43D6BC06" w:rsidR="00E402A4" w:rsidRPr="00072DC1" w:rsidRDefault="00A07B92" w:rsidP="00455437">
            <w:pPr>
              <w:pStyle w:val="Table-Text"/>
              <w:keepLines/>
              <w:tabs>
                <w:tab w:val="decimal" w:pos="362"/>
              </w:tabs>
              <w:spacing w:before="40" w:after="40"/>
              <w:rPr>
                <w:b/>
                <w:bCs/>
              </w:rPr>
            </w:pPr>
            <w:r>
              <w:rPr>
                <w:b/>
                <w:bCs/>
              </w:rPr>
              <w:t>3.6</w:t>
            </w:r>
          </w:p>
        </w:tc>
        <w:tc>
          <w:tcPr>
            <w:tcW w:w="8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6A6A6" w:themeFill="background1" w:themeFillShade="A6"/>
            <w:vAlign w:val="center"/>
          </w:tcPr>
          <w:p w14:paraId="3C637B02" w14:textId="77777777" w:rsidR="00E402A4" w:rsidRPr="00072DC1" w:rsidRDefault="00E402A4" w:rsidP="00455437">
            <w:pPr>
              <w:pStyle w:val="Table-Text"/>
              <w:keepLines/>
              <w:tabs>
                <w:tab w:val="decimal" w:pos="514"/>
              </w:tabs>
              <w:spacing w:before="40" w:after="40"/>
              <w:rPr>
                <w:b/>
                <w:bCs/>
              </w:rPr>
            </w:pPr>
          </w:p>
        </w:tc>
        <w:tc>
          <w:tcPr>
            <w:tcW w:w="8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6A6A6" w:themeFill="background1" w:themeFillShade="A6"/>
            <w:vAlign w:val="center"/>
          </w:tcPr>
          <w:p w14:paraId="4F72CEAC" w14:textId="3C961D71" w:rsidR="00E402A4" w:rsidRPr="00072DC1" w:rsidRDefault="00A07B92" w:rsidP="00455437">
            <w:pPr>
              <w:pStyle w:val="Table-Text"/>
              <w:keepLines/>
              <w:tabs>
                <w:tab w:val="decimal" w:pos="376"/>
              </w:tabs>
              <w:spacing w:before="40" w:after="40"/>
              <w:rPr>
                <w:b/>
                <w:bCs/>
              </w:rPr>
            </w:pPr>
            <w:r>
              <w:rPr>
                <w:b/>
                <w:bCs/>
              </w:rPr>
              <w:t>4.5</w:t>
            </w:r>
          </w:p>
        </w:tc>
        <w:tc>
          <w:tcPr>
            <w:tcW w:w="8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6A6A6" w:themeFill="background1" w:themeFillShade="A6"/>
            <w:vAlign w:val="center"/>
          </w:tcPr>
          <w:p w14:paraId="026F7940" w14:textId="77777777" w:rsidR="00E402A4" w:rsidRPr="00072DC1" w:rsidRDefault="00E402A4" w:rsidP="00455437">
            <w:pPr>
              <w:pStyle w:val="Table-Text"/>
              <w:keepLines/>
              <w:tabs>
                <w:tab w:val="decimal" w:pos="505"/>
              </w:tabs>
              <w:spacing w:before="40" w:after="40"/>
              <w:rPr>
                <w:b/>
                <w:bCs/>
              </w:rPr>
            </w:pPr>
          </w:p>
        </w:tc>
        <w:tc>
          <w:tcPr>
            <w:tcW w:w="8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6A6A6" w:themeFill="background1" w:themeFillShade="A6"/>
          </w:tcPr>
          <w:p w14:paraId="098B3AC9" w14:textId="062AA93E" w:rsidR="00E402A4" w:rsidRPr="00072DC1" w:rsidRDefault="00A07B92" w:rsidP="00455437">
            <w:pPr>
              <w:pStyle w:val="Table-Text"/>
              <w:keepLines/>
              <w:tabs>
                <w:tab w:val="decimal" w:pos="376"/>
              </w:tabs>
              <w:spacing w:before="40" w:after="40"/>
              <w:rPr>
                <w:b/>
                <w:bCs/>
              </w:rPr>
            </w:pPr>
            <w:r>
              <w:rPr>
                <w:b/>
                <w:bCs/>
              </w:rPr>
              <w:t>3.2</w:t>
            </w:r>
          </w:p>
        </w:tc>
        <w:tc>
          <w:tcPr>
            <w:tcW w:w="8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6A6A6" w:themeFill="background1" w:themeFillShade="A6"/>
          </w:tcPr>
          <w:p w14:paraId="3D5ADCC8" w14:textId="77777777" w:rsidR="00E402A4" w:rsidRPr="00072DC1" w:rsidRDefault="00E402A4" w:rsidP="00455437">
            <w:pPr>
              <w:pStyle w:val="Table-Text"/>
              <w:keepLines/>
              <w:tabs>
                <w:tab w:val="decimal" w:pos="511"/>
              </w:tabs>
              <w:spacing w:before="40" w:after="40"/>
              <w:rPr>
                <w:b/>
                <w:bCs/>
              </w:rPr>
            </w:pPr>
          </w:p>
        </w:tc>
      </w:tr>
    </w:tbl>
    <w:bookmarkEnd w:id="22"/>
    <w:p w14:paraId="26FC5EA6" w14:textId="77777777" w:rsidR="00A24486" w:rsidRPr="00A24486" w:rsidRDefault="00A24486" w:rsidP="00075D72">
      <w:pPr>
        <w:pStyle w:val="NumberedParagraph"/>
        <w:numPr>
          <w:ilvl w:val="1"/>
          <w:numId w:val="64"/>
        </w:numPr>
      </w:pPr>
      <w:r w:rsidRPr="00A24486">
        <w:lastRenderedPageBreak/>
        <w:t>It is helpful to consider what the results are telling us. The underlying assumption is of a 3% real interest rate demanded by non-resident investors. Take buildings, for example. The OECD analysis suggests that the hurdle rate of return for investment in buildings (mainly commercial and industrial buildings) is 3.4% in Australia. This means that tax is resulting in a higher hurdle rate of return than would be the case if investment were untaxed (when the cost of capital would be 3%). This is unsurprising. One would normally expect that taxes would raise hurdle rates of return.</w:t>
      </w:r>
    </w:p>
    <w:p w14:paraId="3AC7CCE3" w14:textId="77777777" w:rsidR="00A24486" w:rsidRPr="00A24486" w:rsidRDefault="00A24486" w:rsidP="00075D72">
      <w:pPr>
        <w:pStyle w:val="NumberedParagraph"/>
        <w:numPr>
          <w:ilvl w:val="1"/>
          <w:numId w:val="64"/>
        </w:numPr>
      </w:pPr>
      <w:r w:rsidRPr="00A24486">
        <w:t>To the right of the cost of capital estimate for Australia, there is a rank measure of 14. This means that Australia has the 14</w:t>
      </w:r>
      <w:r w:rsidRPr="00075D72">
        <w:rPr>
          <w:vertAlign w:val="superscript"/>
        </w:rPr>
        <w:t>th</w:t>
      </w:r>
      <w:r w:rsidRPr="00A24486">
        <w:t xml:space="preserve"> highest cost of capital for buildings under the OECD estimates.</w:t>
      </w:r>
    </w:p>
    <w:p w14:paraId="1E0BFE5A" w14:textId="14314914" w:rsidR="00A24486" w:rsidRPr="00A24486" w:rsidRDefault="00A24486" w:rsidP="00075D72">
      <w:pPr>
        <w:pStyle w:val="NumberedParagraph"/>
        <w:numPr>
          <w:ilvl w:val="1"/>
          <w:numId w:val="64"/>
        </w:numPr>
      </w:pPr>
      <w:r w:rsidRPr="00A24486">
        <w:t>Other things being equal, higher costs of capital will tend to reduce investment and capital stock because fewer investments will generate the required rate of return. The OECD data suggests that New Zealand has relatively high costs of capital. It has the highest for buildings, third highest for inventories, 18</w:t>
      </w:r>
      <w:r w:rsidRPr="00075D72">
        <w:rPr>
          <w:vertAlign w:val="superscript"/>
        </w:rPr>
        <w:t>th</w:t>
      </w:r>
      <w:r w:rsidRPr="00A24486">
        <w:t xml:space="preserve"> highest for acquired intangibles, and second highest for </w:t>
      </w:r>
      <w:r w:rsidR="002F4854">
        <w:t>‘</w:t>
      </w:r>
      <w:r w:rsidRPr="00A24486">
        <w:t>tangible assets</w:t>
      </w:r>
      <w:r w:rsidR="002F4854">
        <w:t>’</w:t>
      </w:r>
      <w:r w:rsidRPr="00A24486">
        <w:t xml:space="preserve"> (meaning non-building tangible assets).</w:t>
      </w:r>
    </w:p>
    <w:p w14:paraId="4D298D06" w14:textId="77777777" w:rsidR="00A24486" w:rsidRPr="00A24486" w:rsidRDefault="00A24486" w:rsidP="00075D72">
      <w:pPr>
        <w:pStyle w:val="NumberedParagraph"/>
        <w:numPr>
          <w:ilvl w:val="1"/>
          <w:numId w:val="64"/>
        </w:numPr>
      </w:pPr>
      <w:r w:rsidRPr="00A24486">
        <w:t>Of the various estimates, the figures for buildings and for inventories are likely to be most accurate. The figures for tangible assets are attempting to make an estimate for a large group of different non-building tangible assets that can have different tax depreciation rates and different economic depreciation rates. It can be very difficult to aggregate these into a single average cost of capital.</w:t>
      </w:r>
    </w:p>
    <w:p w14:paraId="4E140036" w14:textId="77777777" w:rsidR="00A24486" w:rsidRPr="00A24486" w:rsidRDefault="00A24486" w:rsidP="00075D72">
      <w:pPr>
        <w:pStyle w:val="NumberedParagraph"/>
        <w:numPr>
          <w:ilvl w:val="1"/>
          <w:numId w:val="64"/>
        </w:numPr>
      </w:pPr>
      <w:r w:rsidRPr="00A24486">
        <w:t>A smaller group of assets, with less variety in economic and tax depreciation rates, is grouped under buildings. Also, costs of capital for inventories can be calculated reasonably simply.</w:t>
      </w:r>
    </w:p>
    <w:p w14:paraId="7058FA12" w14:textId="570454C5" w:rsidR="00A24486" w:rsidRPr="00A24486" w:rsidRDefault="00A24486" w:rsidP="00075D72">
      <w:pPr>
        <w:pStyle w:val="NumberedParagraph"/>
        <w:numPr>
          <w:ilvl w:val="1"/>
          <w:numId w:val="64"/>
        </w:numPr>
      </w:pPr>
      <w:r w:rsidRPr="00A24486">
        <w:t xml:space="preserve">The variability of costs of capital for acquired intangibles is surprising and may be a reason for treating results for these assets with some caution. Very high figures for Chile and Costa Rica are pushing up the average cost of capital estimate significantly. It should be noted that purchased intangibles are likely to comprise a relatively small part of New Zealand’s capital stock. The main purchased intangible may be software. As we discuss in </w:t>
      </w:r>
      <w:r w:rsidR="009D5F5F">
        <w:t xml:space="preserve">appendix 5 of our </w:t>
      </w:r>
      <w:r w:rsidR="00DD6E95">
        <w:rPr>
          <w:i/>
          <w:iCs/>
        </w:rPr>
        <w:t>Technical appendices</w:t>
      </w:r>
      <w:r w:rsidRPr="00A24486">
        <w:t>, this is only 3.7% of the net capital stock of ‘market entities’ whose investment decisions are likely to be directly impacted by the tax settings we are analysing in this LTIB.</w:t>
      </w:r>
    </w:p>
    <w:p w14:paraId="207E784E" w14:textId="77777777" w:rsidR="00A24486" w:rsidRPr="00A24486" w:rsidRDefault="00A24486" w:rsidP="00075D72">
      <w:pPr>
        <w:pStyle w:val="NumberedParagraph"/>
        <w:numPr>
          <w:ilvl w:val="1"/>
          <w:numId w:val="64"/>
        </w:numPr>
      </w:pPr>
      <w:r w:rsidRPr="00A24486">
        <w:t>These estimates are for a few highly aggregated assets only.</w:t>
      </w:r>
    </w:p>
    <w:p w14:paraId="2EDA143D" w14:textId="77777777" w:rsidR="00A24486" w:rsidRPr="00A24486" w:rsidRDefault="00A24486" w:rsidP="00075D72">
      <w:pPr>
        <w:pStyle w:val="NumberedParagraph"/>
        <w:numPr>
          <w:ilvl w:val="1"/>
          <w:numId w:val="64"/>
        </w:numPr>
      </w:pPr>
      <w:r w:rsidRPr="00A24486">
        <w:t>Little difference exists between New Zealand’s costs of capital for the three main types of business investment included in the data: buildings, inventory and tangible assets. Thus, New Zealand’s tax settings appear to be reasonably neutral across these three different aggregate assets. In later chapters, we extend the analysis to consider other forms of investment, including investment in assets where capital expenditure can be immediately written off (or expensed). This will include most investment in self-created intangibles. Looking at a broader set of assets reveals some biases that can be hidden in the OECD’s highly aggregated analysis.</w:t>
      </w:r>
    </w:p>
    <w:p w14:paraId="7F474212" w14:textId="6D26C8C7" w:rsidR="00A24486" w:rsidRPr="00A24486" w:rsidRDefault="00A24486" w:rsidP="00075D72">
      <w:pPr>
        <w:pStyle w:val="NumberedParagraph"/>
        <w:numPr>
          <w:ilvl w:val="1"/>
          <w:numId w:val="64"/>
        </w:numPr>
      </w:pPr>
      <w:r w:rsidRPr="00A24486">
        <w:t>The OECD data only goes back to 2017. The most major change for New Zealand during the period from 2017 to the present was the restoration of building depreciation for commercial and industrial property in 2020. Before that, in 2019, the OECD estimated that New Zealand had a significantly higher cost of capital for buildings of 4.9%. The Netherlands was in second place with a cost of capital of 4.0%. This suggested that</w:t>
      </w:r>
      <w:r w:rsidR="00896460">
        <w:t>,</w:t>
      </w:r>
      <w:r w:rsidRPr="00A24486">
        <w:t xml:space="preserve"> while taxes were pushing the hurdle rate of return for buildings up from 3.0% to a maximum of 4.0% in other OECD countries, they were pushing that rate up to 4.9% in New Zealand. This </w:t>
      </w:r>
      <w:r w:rsidRPr="00A24486">
        <w:lastRenderedPageBreak/>
        <w:t>suggests that a significant number of investments that would have been profitable in other countries were not profitable in New Zealand. In addition, the cost of capital for investment in commercial and industrial buildings was very high relative to other forms of investment. This was likely to be distorting decisions about investment in different assets.</w:t>
      </w:r>
    </w:p>
    <w:p w14:paraId="6BBEAB8A" w14:textId="77777777" w:rsidR="00A24486" w:rsidRPr="00A24486" w:rsidRDefault="00A24486" w:rsidP="00075D72">
      <w:pPr>
        <w:pStyle w:val="NumberedParagraph"/>
        <w:numPr>
          <w:ilvl w:val="1"/>
          <w:numId w:val="64"/>
        </w:numPr>
      </w:pPr>
      <w:r w:rsidRPr="00A24486">
        <w:t>Thus, the 2020 change appears to have reduced the cost of capital for the least favourably taxed form of business investment (commercial and industrial buildings) and made costs of capital more neutral. However, New Zealand’s costs of capital still appear to be quite high relative to other countries.</w:t>
      </w:r>
    </w:p>
    <w:p w14:paraId="0CC7C8D8" w14:textId="4EB7AB43" w:rsidR="00A24486" w:rsidRPr="00A24486" w:rsidRDefault="00A24486" w:rsidP="00075D72">
      <w:pPr>
        <w:pStyle w:val="NumberedParagraph"/>
        <w:numPr>
          <w:ilvl w:val="1"/>
          <w:numId w:val="64"/>
        </w:numPr>
      </w:pPr>
      <w:r w:rsidRPr="00A24486">
        <w:t xml:space="preserve">The OECD also provides information on effective marginal tax rate or EMTRs. The </w:t>
      </w:r>
      <w:r w:rsidRPr="00A24486">
        <w:rPr>
          <w:position w:val="-10"/>
        </w:rPr>
        <w:object w:dxaOrig="1840" w:dyaOrig="300" w14:anchorId="349082F2">
          <v:shape id="_x0000_i1025" type="#_x0000_t75" style="width:92.3pt;height:15.75pt" o:ole="">
            <v:imagedata r:id="rId25" o:title=""/>
          </v:shape>
          <o:OLEObject Type="Embed" ProgID="Equation.DSMT4" ShapeID="_x0000_i1025" DrawAspect="Content" ObjectID="_1707199211" r:id="rId26"/>
        </w:object>
      </w:r>
      <w:r w:rsidRPr="00A24486">
        <w:t xml:space="preserve"> where </w:t>
      </w:r>
      <w:r w:rsidRPr="00075D72">
        <w:rPr>
          <w:i/>
          <w:iCs/>
        </w:rPr>
        <w:t xml:space="preserve">p </w:t>
      </w:r>
      <w:r w:rsidRPr="00A24486">
        <w:t xml:space="preserve">is the pre-tax rate of return on a marginal investment and </w:t>
      </w:r>
      <w:r w:rsidRPr="00075D72">
        <w:rPr>
          <w:i/>
          <w:iCs/>
        </w:rPr>
        <w:t>r</w:t>
      </w:r>
      <w:r w:rsidRPr="00A24486">
        <w:t xml:space="preserve"> is the cost of funds to the economy. For example, as discussed earlier, the cost of capital for investment in buildings in Australia was 3.4% and the cost of funds was 3.0%. This results in an EMTR of 11.8%</w:t>
      </w:r>
      <w:r w:rsidR="00C8084C">
        <w:t>, that is</w:t>
      </w:r>
      <w:r w:rsidR="00477A93">
        <w:t>,</w:t>
      </w:r>
      <w:r w:rsidRPr="00A24486">
        <w:t xml:space="preserve"> </w:t>
      </w:r>
      <w:r w:rsidR="008F1A59">
        <w:br/>
      </w:r>
      <w:r w:rsidRPr="007058C1">
        <w:t>(3.4%</w:t>
      </w:r>
      <w:r w:rsidR="008F1A59" w:rsidRPr="007058C1">
        <w:t>–</w:t>
      </w:r>
      <w:r w:rsidRPr="007058C1">
        <w:t>3.0%)/3.4%</w:t>
      </w:r>
      <w:r w:rsidRPr="00BE231C">
        <w:t>.</w:t>
      </w:r>
      <w:r w:rsidRPr="00A24486">
        <w:t xml:space="preserve"> Clearly there is a very close relationship between the cost of capital and EMTR measures. The higher the cost of capital, the higher will be the EMTR. A higher cost of capital of, say, 3.5% would imply an EMTR of 14.2%</w:t>
      </w:r>
      <w:r w:rsidR="00FA63E7">
        <w:t>, that is</w:t>
      </w:r>
      <w:r w:rsidR="00477A93">
        <w:t>,</w:t>
      </w:r>
      <w:r w:rsidRPr="00A24486">
        <w:t xml:space="preserve"> (3.5%-3.0%)/3.5%.</w:t>
      </w:r>
    </w:p>
    <w:p w14:paraId="6770B5BF" w14:textId="77777777" w:rsidR="00A24486" w:rsidRPr="00A24486" w:rsidRDefault="00A24486" w:rsidP="00075D72">
      <w:pPr>
        <w:pStyle w:val="NumberedParagraph"/>
        <w:numPr>
          <w:ilvl w:val="1"/>
          <w:numId w:val="64"/>
        </w:numPr>
      </w:pPr>
      <w:r w:rsidRPr="00A24486">
        <w:t>The OECD provides estimates of average EMTRs for the 38 OECD countries across their four categories of asset. The OECD estimates that if the real interest rate is 3% and inflation is 1%, these average EMTRs vary from 33.4% for Costa Rica to -30.4% in Italy. New Zealand has an average EMTR of 20.1%, which is 4</w:t>
      </w:r>
      <w:r w:rsidRPr="00075D72">
        <w:rPr>
          <w:vertAlign w:val="superscript"/>
        </w:rPr>
        <w:t>th</w:t>
      </w:r>
      <w:r w:rsidRPr="00A24486">
        <w:t xml:space="preserve"> highest, and Australia has an average EMTR of 14.9%, which is 10</w:t>
      </w:r>
      <w:r w:rsidRPr="00075D72">
        <w:rPr>
          <w:vertAlign w:val="superscript"/>
        </w:rPr>
        <w:t>th</w:t>
      </w:r>
      <w:r w:rsidRPr="00A24486">
        <w:t xml:space="preserve"> highest. However, these estimates are unweighted averages across the four types of assets. This means that equal weighting is being given to each of the four categories of asset. In principle, it would be preferable to use a weighted average EMTR, reflecting the relative sizes of the four categories of asset in the asset mix, but data limitations may make this impractical for a cross-country benchmarking study.</w:t>
      </w:r>
    </w:p>
    <w:p w14:paraId="69F951D3" w14:textId="284CF0B3" w:rsidR="00A24486" w:rsidRPr="00A24486" w:rsidRDefault="00A24486" w:rsidP="00075D72">
      <w:pPr>
        <w:pStyle w:val="NumberedParagraph"/>
        <w:numPr>
          <w:ilvl w:val="1"/>
          <w:numId w:val="64"/>
        </w:numPr>
      </w:pPr>
      <w:r w:rsidRPr="0059107C">
        <w:t>In their 2022 Economic Survey of New Zealand</w:t>
      </w:r>
      <w:r w:rsidRPr="00A24486">
        <w:t xml:space="preserve">, the OECD </w:t>
      </w:r>
      <w:r w:rsidR="00816783">
        <w:t xml:space="preserve">has </w:t>
      </w:r>
      <w:r w:rsidRPr="00A24486">
        <w:t>noted that New Zealand’s statutory company tax rate and its average level of EMTRs were high relative to other OECD countries and to other small, advanced economies. Data is provided in figure 3.1.</w:t>
      </w:r>
      <w:r w:rsidRPr="00A24486">
        <w:rPr>
          <w:vertAlign w:val="superscript"/>
        </w:rPr>
        <w:footnoteReference w:id="16"/>
      </w:r>
    </w:p>
    <w:p w14:paraId="13FD5836" w14:textId="4132838B" w:rsidR="00A24486" w:rsidRDefault="00A05F4B" w:rsidP="00075D72">
      <w:pPr>
        <w:pStyle w:val="Caption"/>
      </w:pPr>
      <w:r>
        <w:lastRenderedPageBreak/>
        <w:t>Figure 3.1:</w:t>
      </w:r>
      <w:r w:rsidR="009C160D">
        <w:t xml:space="preserve"> </w:t>
      </w:r>
      <w:r>
        <w:t>Company tax rate and EMTRs relative to other small, advanced economies</w:t>
      </w:r>
    </w:p>
    <w:p w14:paraId="6190D2C4" w14:textId="123D59AD" w:rsidR="00A05F4B" w:rsidRDefault="00197C79" w:rsidP="00197C79">
      <w:pPr>
        <w:spacing w:before="0"/>
        <w:jc w:val="center"/>
      </w:pPr>
      <w:r>
        <w:rPr>
          <w:noProof/>
          <w:lang w:eastAsia="en-GB"/>
        </w:rPr>
        <w:drawing>
          <wp:inline distT="0" distB="0" distL="0" distR="0" wp14:anchorId="56A601C3" wp14:editId="60EF06FD">
            <wp:extent cx="5580380" cy="4692729"/>
            <wp:effectExtent l="0" t="0" r="0" b="0"/>
            <wp:docPr id="11" name="Picture 1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r:link="rId28" cstate="print">
                      <a:extLst>
                        <a:ext uri="{28A0092B-C50C-407E-A947-70E740481C1C}">
                          <a14:useLocalDpi xmlns:a14="http://schemas.microsoft.com/office/drawing/2010/main" val="0"/>
                        </a:ext>
                      </a:extLst>
                    </a:blip>
                    <a:stretch>
                      <a:fillRect/>
                    </a:stretch>
                  </pic:blipFill>
                  <pic:spPr>
                    <a:xfrm>
                      <a:off x="0" y="0"/>
                      <a:ext cx="5580380" cy="4692729"/>
                    </a:xfrm>
                    <a:prstGeom prst="rect">
                      <a:avLst/>
                    </a:prstGeom>
                  </pic:spPr>
                </pic:pic>
              </a:graphicData>
            </a:graphic>
          </wp:inline>
        </w:drawing>
      </w:r>
    </w:p>
    <w:p w14:paraId="577BC38E" w14:textId="77777777" w:rsidR="007B57B5" w:rsidRPr="001758FB" w:rsidRDefault="007B57B5" w:rsidP="007B57B5">
      <w:pPr>
        <w:keepLines/>
        <w:spacing w:before="0" w:after="240" w:line="220" w:lineRule="exact"/>
        <w:contextualSpacing/>
        <w:rPr>
          <w:rFonts w:eastAsia="Calibri"/>
          <w:color w:val="000000"/>
          <w:sz w:val="16"/>
          <w:szCs w:val="16"/>
          <w:lang w:val="en-GB" w:eastAsia="en-US"/>
        </w:rPr>
      </w:pPr>
      <w:r w:rsidRPr="001758FB">
        <w:rPr>
          <w:rFonts w:eastAsia="Calibri"/>
          <w:color w:val="000000"/>
          <w:sz w:val="16"/>
          <w:szCs w:val="16"/>
          <w:lang w:val="en-GB" w:eastAsia="en-US"/>
        </w:rPr>
        <w:t>1. Sample average.</w:t>
      </w:r>
    </w:p>
    <w:p w14:paraId="4209FF2B" w14:textId="79466433" w:rsidR="007B57B5" w:rsidRPr="001758FB" w:rsidRDefault="007B57B5" w:rsidP="007B57B5">
      <w:pPr>
        <w:keepLines/>
        <w:spacing w:before="120" w:after="360" w:line="220" w:lineRule="exact"/>
        <w:contextualSpacing/>
        <w:rPr>
          <w:rFonts w:eastAsia="Calibri"/>
          <w:color w:val="000000"/>
          <w:sz w:val="16"/>
          <w:szCs w:val="16"/>
          <w:lang w:val="en-GB" w:eastAsia="en-US"/>
        </w:rPr>
      </w:pPr>
      <w:r w:rsidRPr="001758FB">
        <w:rPr>
          <w:rFonts w:eastAsia="Calibri"/>
          <w:color w:val="000000"/>
          <w:sz w:val="16"/>
          <w:szCs w:val="16"/>
          <w:lang w:val="en-GB" w:eastAsia="en-US"/>
        </w:rPr>
        <w:t xml:space="preserve">Note: Effective tax rates (ETRs) are forward-looking synthetic tax policy indicators calculated on the basis of a prospective, hypothetical investment project. See Hanappi, 2018, for the OECD methodology. Small advanced economies are defined as the OECD countries with populations above 1 million and below 20 million people, and with a per capita income above </w:t>
      </w:r>
      <w:r w:rsidR="008F1A59" w:rsidRPr="001758FB">
        <w:rPr>
          <w:rFonts w:eastAsia="Calibri"/>
          <w:color w:val="000000"/>
          <w:sz w:val="16"/>
          <w:szCs w:val="16"/>
          <w:lang w:val="en-GB" w:eastAsia="en-US"/>
        </w:rPr>
        <w:t>US</w:t>
      </w:r>
      <w:r w:rsidR="008F1A59">
        <w:rPr>
          <w:rFonts w:eastAsia="Calibri"/>
          <w:color w:val="000000"/>
          <w:sz w:val="16"/>
          <w:szCs w:val="16"/>
          <w:lang w:val="en-GB" w:eastAsia="en-US"/>
        </w:rPr>
        <w:t>$</w:t>
      </w:r>
      <w:r w:rsidR="008F1A59" w:rsidRPr="001758FB">
        <w:rPr>
          <w:rFonts w:eastAsia="Calibri"/>
          <w:color w:val="000000"/>
          <w:sz w:val="16"/>
          <w:szCs w:val="16"/>
          <w:lang w:val="en-GB" w:eastAsia="en-US"/>
        </w:rPr>
        <w:t>30</w:t>
      </w:r>
      <w:r w:rsidR="008F1A59">
        <w:rPr>
          <w:rFonts w:eastAsia="Calibri"/>
          <w:color w:val="000000"/>
          <w:sz w:val="16"/>
          <w:szCs w:val="16"/>
          <w:lang w:val="en-GB" w:eastAsia="en-US"/>
        </w:rPr>
        <w:t>,</w:t>
      </w:r>
      <w:r w:rsidRPr="001758FB">
        <w:rPr>
          <w:rFonts w:eastAsia="Calibri"/>
          <w:color w:val="000000"/>
          <w:sz w:val="16"/>
          <w:szCs w:val="16"/>
          <w:lang w:val="en-GB" w:eastAsia="en-US"/>
        </w:rPr>
        <w:t>000.</w:t>
      </w:r>
    </w:p>
    <w:p w14:paraId="148EF3A2" w14:textId="77777777" w:rsidR="007B57B5" w:rsidRPr="001758FB" w:rsidRDefault="007B57B5" w:rsidP="007B57B5">
      <w:pPr>
        <w:keepLines/>
        <w:spacing w:before="0" w:after="120" w:line="220" w:lineRule="exact"/>
        <w:contextualSpacing/>
        <w:rPr>
          <w:rFonts w:eastAsia="Calibri"/>
          <w:color w:val="000000"/>
          <w:sz w:val="16"/>
          <w:szCs w:val="16"/>
          <w:lang w:val="en-GB" w:eastAsia="en-US"/>
        </w:rPr>
      </w:pPr>
      <w:r w:rsidRPr="001758FB">
        <w:rPr>
          <w:rFonts w:eastAsia="Calibri"/>
          <w:color w:val="000000"/>
          <w:sz w:val="16"/>
          <w:szCs w:val="16"/>
          <w:lang w:val="en-GB" w:eastAsia="en-US"/>
        </w:rPr>
        <w:t>Source: OECD Tax Database</w:t>
      </w:r>
    </w:p>
    <w:p w14:paraId="4B254D9D" w14:textId="7A628231" w:rsidR="007B57B5" w:rsidRPr="007B57B5" w:rsidRDefault="007B57B5" w:rsidP="00075D72">
      <w:pPr>
        <w:pStyle w:val="NumberedParagraph"/>
      </w:pPr>
      <w:r w:rsidRPr="007B57B5">
        <w:t>It might be noted that while New Zealand has relatively high EMTRs, there are some countries that are estimated to have negative EMTRs. The models discussed in chapter 2 would support reducing EMTRs to zero but not going further and driving them negative unless there are externalities or other broader benefits from inbound investment.</w:t>
      </w:r>
    </w:p>
    <w:p w14:paraId="711F6FFA" w14:textId="77777777" w:rsidR="007B57B5" w:rsidRPr="007B57B5" w:rsidRDefault="007B57B5" w:rsidP="00075D72">
      <w:pPr>
        <w:pStyle w:val="NumberedParagraph"/>
        <w:numPr>
          <w:ilvl w:val="1"/>
          <w:numId w:val="64"/>
        </w:numPr>
      </w:pPr>
      <w:r w:rsidRPr="007B57B5">
        <w:t>Chapter 4 explores the effects of changing some of the assumptions. We extend the modelling by:</w:t>
      </w:r>
    </w:p>
    <w:p w14:paraId="4E108392" w14:textId="77777777" w:rsidR="007B57B5" w:rsidRPr="007B57B5" w:rsidRDefault="007B57B5" w:rsidP="00075D72">
      <w:pPr>
        <w:pStyle w:val="NumberedParagraph-BulletL1"/>
        <w:numPr>
          <w:ilvl w:val="2"/>
          <w:numId w:val="64"/>
        </w:numPr>
      </w:pPr>
      <w:r w:rsidRPr="007B57B5">
        <w:t>considering possible changes to macroeconomic assumptions and assumptions on gearing that are likely to be more relevant for New Zealand</w:t>
      </w:r>
    </w:p>
    <w:p w14:paraId="6A9448A9" w14:textId="77777777" w:rsidR="007B57B5" w:rsidRPr="007B57B5" w:rsidRDefault="007B57B5" w:rsidP="00075D72">
      <w:pPr>
        <w:pStyle w:val="NumberedParagraph-BulletL1"/>
        <w:numPr>
          <w:ilvl w:val="2"/>
          <w:numId w:val="64"/>
        </w:numPr>
      </w:pPr>
      <w:r w:rsidRPr="007B57B5">
        <w:t>considering some factors missing from the OECD analysis, such as non-resident withholding tax on interest and New Zealand’s approved issuer levy</w:t>
      </w:r>
    </w:p>
    <w:p w14:paraId="04C612FD" w14:textId="77777777" w:rsidR="007B57B5" w:rsidRPr="007B57B5" w:rsidRDefault="007B57B5" w:rsidP="00075D72">
      <w:pPr>
        <w:pStyle w:val="NumberedParagraph-BulletL1"/>
        <w:numPr>
          <w:ilvl w:val="2"/>
          <w:numId w:val="64"/>
        </w:numPr>
      </w:pPr>
      <w:r w:rsidRPr="007B57B5">
        <w:lastRenderedPageBreak/>
        <w:t>considering how the model might be extended to domestic small and medium enterprises (SMEs) where foreign investors may not be the marginal investors, and</w:t>
      </w:r>
    </w:p>
    <w:p w14:paraId="3DD3140E" w14:textId="77777777" w:rsidR="007B57B5" w:rsidRPr="007B57B5" w:rsidRDefault="007B57B5" w:rsidP="00075D72">
      <w:pPr>
        <w:pStyle w:val="NumberedParagraph-BulletL1"/>
        <w:numPr>
          <w:ilvl w:val="2"/>
          <w:numId w:val="64"/>
        </w:numPr>
      </w:pPr>
      <w:r w:rsidRPr="007B57B5">
        <w:t>weighting results by levels of capital stock in New Zealand.</w:t>
      </w:r>
    </w:p>
    <w:p w14:paraId="66194A9F" w14:textId="569A292A" w:rsidR="000C0C83" w:rsidRPr="004B1C56" w:rsidRDefault="0056330D" w:rsidP="004B1C56">
      <w:pPr>
        <w:pStyle w:val="Heading1"/>
        <w:numPr>
          <w:ilvl w:val="0"/>
          <w:numId w:val="64"/>
        </w:numPr>
        <w:rPr>
          <w:rFonts w:eastAsia="Calibri"/>
          <w:lang w:eastAsia="en-US"/>
        </w:rPr>
      </w:pPr>
      <w:r>
        <w:lastRenderedPageBreak/>
        <w:br/>
      </w:r>
      <w:r w:rsidR="00C64731">
        <w:br/>
      </w:r>
      <w:bookmarkStart w:id="23" w:name="_Toc96585526"/>
      <w:r w:rsidR="000C0C83" w:rsidRPr="004B1C56">
        <w:rPr>
          <w:rFonts w:eastAsia="Calibri"/>
          <w:lang w:eastAsia="en-US"/>
        </w:rPr>
        <w:t>A deeper look at costs of capital and EMTRs for New Zealand</w:t>
      </w:r>
      <w:bookmarkEnd w:id="23"/>
    </w:p>
    <w:tbl>
      <w:tblPr>
        <w:tblStyle w:val="SummaryBox"/>
        <w:tblW w:w="0" w:type="auto"/>
        <w:tblLayout w:type="fixed"/>
        <w:tblLook w:val="04A0" w:firstRow="1" w:lastRow="0" w:firstColumn="1" w:lastColumn="0" w:noHBand="0" w:noVBand="1"/>
      </w:tblPr>
      <w:tblGrid>
        <w:gridCol w:w="8778"/>
      </w:tblGrid>
      <w:tr w:rsidR="000C0C83" w:rsidRPr="000C0C83" w14:paraId="19AFAD6A" w14:textId="77777777" w:rsidTr="007D07BC">
        <w:tc>
          <w:tcPr>
            <w:tcW w:w="8778" w:type="dxa"/>
          </w:tcPr>
          <w:p w14:paraId="6E274B92" w14:textId="78B3484A" w:rsidR="000C0C83" w:rsidRPr="000C0C83" w:rsidRDefault="000C0C83" w:rsidP="00597B6B">
            <w:pPr>
              <w:pStyle w:val="ListBullet"/>
            </w:pPr>
            <w:r w:rsidRPr="000C0C83">
              <w:t>If depreciation deductions are set to mirror how assets would depreciate in the absence of inflation, they will not be neutral in the presence of even small amounts of inflation. They will tend to favour investment in assets that have lower rates of economic depreciation relative to assets with higher rates of economic depreciation. New Zealand’s tax settings are likely to contain these biases.</w:t>
            </w:r>
          </w:p>
          <w:p w14:paraId="748B0710" w14:textId="0A89F95D" w:rsidR="000C0C83" w:rsidRPr="000C0C83" w:rsidRDefault="000C0C83" w:rsidP="00597B6B">
            <w:pPr>
              <w:pStyle w:val="ListBullet"/>
            </w:pPr>
            <w:r w:rsidRPr="000C0C83">
              <w:t xml:space="preserve">We find evidence of significant biases between different tangible assets, </w:t>
            </w:r>
            <w:r w:rsidR="007D262D">
              <w:t xml:space="preserve">which is </w:t>
            </w:r>
            <w:r w:rsidRPr="000C0C83">
              <w:t>a fact not apparent in the OECD’s estimate of an average cost of capital for these assets.</w:t>
            </w:r>
          </w:p>
          <w:p w14:paraId="149AE7BA" w14:textId="77777777" w:rsidR="000C0C83" w:rsidRDefault="000C0C83" w:rsidP="00597B6B">
            <w:pPr>
              <w:pStyle w:val="ListBullet"/>
            </w:pPr>
            <w:r w:rsidRPr="000C0C83">
              <w:t>While we saw in chapter 3 that New Zealand’s costs of capital and EMTRs are often high relative to other countries, at times EMTRs will be negative and costs of capital will be less than the cost to New Zealand of importing capital. In these cases, investment is effectively being subsidised by the tax system.</w:t>
            </w:r>
          </w:p>
          <w:p w14:paraId="4E6286D0" w14:textId="12145CAF" w:rsidR="00465377" w:rsidRPr="000C0C83" w:rsidRDefault="00465377" w:rsidP="00597B6B">
            <w:pPr>
              <w:pStyle w:val="ListBullet"/>
            </w:pPr>
            <w:r>
              <w:t xml:space="preserve">Inflation tends to increase costs of capital and EMTRs for assets that are already relatively heavily taxed and </w:t>
            </w:r>
            <w:r w:rsidR="00B87231">
              <w:t xml:space="preserve">to </w:t>
            </w:r>
            <w:r w:rsidR="00875C11">
              <w:t>reduce costs of capital and EMTRs for assets that are already lightly taxed.</w:t>
            </w:r>
            <w:r w:rsidR="001A6AA0">
              <w:t xml:space="preserve"> </w:t>
            </w:r>
            <w:r w:rsidR="00E45969">
              <w:t>These inflation biases become larger when real interest rates are low.</w:t>
            </w:r>
          </w:p>
          <w:p w14:paraId="15B8883D" w14:textId="639E2BE1" w:rsidR="000C0C83" w:rsidRDefault="000C0C83" w:rsidP="00597B6B">
            <w:pPr>
              <w:pStyle w:val="ListBullet"/>
            </w:pPr>
            <w:r w:rsidRPr="000C0C83">
              <w:t>Accounting for NRWT and AIL will add to costs of capital and EMTRs</w:t>
            </w:r>
            <w:r w:rsidR="00A217D0">
              <w:t xml:space="preserve"> slightly</w:t>
            </w:r>
            <w:r w:rsidRPr="000C0C83">
              <w:t xml:space="preserve">. </w:t>
            </w:r>
            <w:r w:rsidR="00A717C8">
              <w:t>NRWT</w:t>
            </w:r>
            <w:r w:rsidRPr="000C0C83">
              <w:t xml:space="preserve"> will also introduce some variability in tax imposts between companies that are foreign controlled and those that are not, although the biases between the two seem quite small relative to the tax biases between different types of asset.</w:t>
            </w:r>
          </w:p>
          <w:p w14:paraId="751AA16C" w14:textId="41C5F37C" w:rsidR="000C0C83" w:rsidRPr="000C0C83" w:rsidRDefault="00E14AFC" w:rsidP="00597B6B">
            <w:pPr>
              <w:pStyle w:val="ListBullet"/>
            </w:pPr>
            <w:r>
              <w:t>In the analysis in this draft LTIB</w:t>
            </w:r>
            <w:r w:rsidR="00022F65">
              <w:t>,</w:t>
            </w:r>
            <w:r>
              <w:t xml:space="preserve"> we </w:t>
            </w:r>
            <w:r w:rsidR="003E1661">
              <w:t xml:space="preserve">mainly focus on the case </w:t>
            </w:r>
            <w:r w:rsidR="007843A2">
              <w:t>that</w:t>
            </w:r>
            <w:r w:rsidR="003E1661">
              <w:t xml:space="preserve"> underpins the OECD model where non-residents are marginal shareholders</w:t>
            </w:r>
            <w:r w:rsidR="00D77262">
              <w:t xml:space="preserve"> in companies operating in New Zealand</w:t>
            </w:r>
            <w:r w:rsidR="003E1661">
              <w:t xml:space="preserve">. </w:t>
            </w:r>
            <w:r w:rsidR="00DF269B">
              <w:t xml:space="preserve">It is this which leads to high estimated EMTRs. </w:t>
            </w:r>
            <w:r w:rsidR="00EF44A7">
              <w:t>If</w:t>
            </w:r>
            <w:r w:rsidR="007843A2">
              <w:t>,</w:t>
            </w:r>
            <w:r w:rsidR="00EF44A7">
              <w:t xml:space="preserve"> instead</w:t>
            </w:r>
            <w:r w:rsidR="007843A2">
              <w:t>,</w:t>
            </w:r>
            <w:r w:rsidR="00EF44A7">
              <w:t xml:space="preserve"> New Zealanders are marginal shareholders,</w:t>
            </w:r>
            <w:r w:rsidR="00DF269B">
              <w:t xml:space="preserve"> it becomes much more likely that EMTRs will be negative.</w:t>
            </w:r>
          </w:p>
        </w:tc>
      </w:tr>
    </w:tbl>
    <w:p w14:paraId="039C74AF" w14:textId="77777777" w:rsidR="000C0C83" w:rsidRPr="000C0C83" w:rsidRDefault="000C0C83" w:rsidP="00B17507">
      <w:pPr>
        <w:pStyle w:val="Heading2"/>
        <w:rPr>
          <w:rFonts w:eastAsia="Calibri"/>
          <w:lang w:eastAsia="en-US"/>
        </w:rPr>
      </w:pPr>
      <w:bookmarkStart w:id="24" w:name="_Toc96585527"/>
      <w:r w:rsidRPr="000C0C83">
        <w:rPr>
          <w:rFonts w:eastAsia="Calibri"/>
          <w:lang w:eastAsia="en-US"/>
        </w:rPr>
        <w:t>Introduction</w:t>
      </w:r>
      <w:bookmarkEnd w:id="24"/>
    </w:p>
    <w:p w14:paraId="24350164" w14:textId="0E70F847" w:rsidR="000C0C83" w:rsidRPr="000C0C83" w:rsidRDefault="000C0C83" w:rsidP="00075D72">
      <w:pPr>
        <w:pStyle w:val="NumberedParagraph"/>
        <w:numPr>
          <w:ilvl w:val="1"/>
          <w:numId w:val="64"/>
        </w:numPr>
      </w:pPr>
      <w:r w:rsidRPr="000C0C83">
        <w:t xml:space="preserve">The OECD benchmarking exercise discussed in chapter 3 rested on assumptions the OECD has made and applied to all OECD countries. </w:t>
      </w:r>
      <w:r w:rsidR="00BF05F2" w:rsidRPr="00DC48B7">
        <w:t xml:space="preserve">In appendix 2 of our </w:t>
      </w:r>
      <w:r w:rsidR="00B359CD" w:rsidRPr="00DC48B7">
        <w:rPr>
          <w:i/>
          <w:iCs/>
        </w:rPr>
        <w:t>T</w:t>
      </w:r>
      <w:r w:rsidR="00BF05F2" w:rsidRPr="00DC48B7">
        <w:rPr>
          <w:i/>
          <w:iCs/>
        </w:rPr>
        <w:t xml:space="preserve">echnical </w:t>
      </w:r>
      <w:r w:rsidR="00D66718" w:rsidRPr="00DC48B7">
        <w:rPr>
          <w:i/>
          <w:iCs/>
        </w:rPr>
        <w:t>a</w:t>
      </w:r>
      <w:r w:rsidR="00BF05F2" w:rsidRPr="00DC48B7">
        <w:rPr>
          <w:i/>
          <w:iCs/>
        </w:rPr>
        <w:t>ppendices</w:t>
      </w:r>
      <w:r w:rsidR="004D26D5" w:rsidRPr="00DC48B7">
        <w:t>,</w:t>
      </w:r>
      <w:r w:rsidR="00EC4DC2">
        <w:t xml:space="preserve"> we</w:t>
      </w:r>
      <w:r w:rsidRPr="000C0C83">
        <w:t xml:space="preserve"> modify and extend the analysis in various ways.</w:t>
      </w:r>
      <w:r w:rsidR="00C35129">
        <w:t xml:space="preserve"> In this chapter</w:t>
      </w:r>
      <w:r w:rsidR="002E0676">
        <w:t>,</w:t>
      </w:r>
      <w:r w:rsidR="0019475B">
        <w:t xml:space="preserve"> we provide a shorter discussion of some of the main results.</w:t>
      </w:r>
    </w:p>
    <w:p w14:paraId="4F413873" w14:textId="3E68971F" w:rsidR="005A6A9F" w:rsidRDefault="00D53443" w:rsidP="00075D72">
      <w:pPr>
        <w:pStyle w:val="NumberedParagraph"/>
        <w:numPr>
          <w:ilvl w:val="1"/>
          <w:numId w:val="64"/>
        </w:numPr>
      </w:pPr>
      <w:r>
        <w:t>We consider th</w:t>
      </w:r>
      <w:r w:rsidR="00DA2EFC">
        <w:t xml:space="preserve">e implications of </w:t>
      </w:r>
      <w:r w:rsidR="00165FF4">
        <w:t xml:space="preserve">different </w:t>
      </w:r>
      <w:r w:rsidR="00C416CD">
        <w:t xml:space="preserve">levels </w:t>
      </w:r>
      <w:r w:rsidR="0011384C">
        <w:t xml:space="preserve">of </w:t>
      </w:r>
      <w:r w:rsidR="00C416CD">
        <w:t xml:space="preserve">debt, inflation and real interest rates. We also allow for </w:t>
      </w:r>
      <w:r w:rsidR="00422A27">
        <w:t xml:space="preserve">investment in a broader set of assets. </w:t>
      </w:r>
      <w:r w:rsidR="00E04185">
        <w:t>We extend the OECD model to consider</w:t>
      </w:r>
      <w:r w:rsidR="00C27C11">
        <w:t xml:space="preserve"> the approved issuer levy (AIL) and </w:t>
      </w:r>
      <w:r w:rsidR="00BE06A1">
        <w:t>non-resident withholding tax (</w:t>
      </w:r>
      <w:r w:rsidR="00C27C11">
        <w:t>NRWT</w:t>
      </w:r>
      <w:r w:rsidR="00BE06A1">
        <w:t>)</w:t>
      </w:r>
      <w:r w:rsidR="00C27C11">
        <w:t xml:space="preserve"> on interest. We consider </w:t>
      </w:r>
      <w:r w:rsidR="005C2242">
        <w:t xml:space="preserve">biases that can arise between companies that are foreign controlled </w:t>
      </w:r>
      <w:r w:rsidR="00814501">
        <w:t xml:space="preserve">and those that are not. </w:t>
      </w:r>
      <w:r w:rsidR="00C6400F">
        <w:t xml:space="preserve">We also briefly discuss costs of capital and EMTRs </w:t>
      </w:r>
      <w:r w:rsidR="00780DB1">
        <w:t>for firms where non-residents may not be marginal shareholders.</w:t>
      </w:r>
    </w:p>
    <w:p w14:paraId="655918F2" w14:textId="5B2CD68A" w:rsidR="00346FC8" w:rsidRPr="0029729D" w:rsidRDefault="00346FC8" w:rsidP="00075D72">
      <w:pPr>
        <w:pStyle w:val="NumberedParagraph"/>
        <w:numPr>
          <w:ilvl w:val="1"/>
          <w:numId w:val="64"/>
        </w:numPr>
      </w:pPr>
      <w:r w:rsidRPr="0029729D">
        <w:t xml:space="preserve">We </w:t>
      </w:r>
      <w:r w:rsidR="005C4E7E">
        <w:t>consider the following set of assets</w:t>
      </w:r>
      <w:r w:rsidRPr="0029729D">
        <w:t>:</w:t>
      </w:r>
    </w:p>
    <w:p w14:paraId="261EF8AC" w14:textId="77777777" w:rsidR="00346FC8" w:rsidRPr="0029729D" w:rsidRDefault="00346FC8" w:rsidP="00075D72">
      <w:pPr>
        <w:pStyle w:val="NumberedParagraph-BulletL1"/>
        <w:numPr>
          <w:ilvl w:val="2"/>
          <w:numId w:val="64"/>
        </w:numPr>
      </w:pPr>
      <w:r w:rsidRPr="0029729D">
        <w:t>commercial and industrial buildings</w:t>
      </w:r>
    </w:p>
    <w:p w14:paraId="0D36A286" w14:textId="77777777" w:rsidR="00346FC8" w:rsidRPr="0029729D" w:rsidRDefault="00346FC8" w:rsidP="00075D72">
      <w:pPr>
        <w:pStyle w:val="NumberedParagraph-BulletL1"/>
        <w:numPr>
          <w:ilvl w:val="2"/>
          <w:numId w:val="64"/>
        </w:numPr>
      </w:pPr>
      <w:r w:rsidRPr="0029729D">
        <w:lastRenderedPageBreak/>
        <w:t>plant, machinery and equipment that is assumed to have a variety of economic and tax depreciation rates</w:t>
      </w:r>
    </w:p>
    <w:p w14:paraId="04059F76" w14:textId="77777777" w:rsidR="00346FC8" w:rsidRPr="0029729D" w:rsidRDefault="00346FC8" w:rsidP="00075D72">
      <w:pPr>
        <w:pStyle w:val="NumberedParagraph-BulletL1"/>
        <w:numPr>
          <w:ilvl w:val="2"/>
          <w:numId w:val="64"/>
        </w:numPr>
      </w:pPr>
      <w:r w:rsidRPr="0029729D">
        <w:t>a zero-depreciation asset that is assumed to neither appreciate nor depreciate in real terms</w:t>
      </w:r>
    </w:p>
    <w:p w14:paraId="66C32EDB" w14:textId="77777777" w:rsidR="00346FC8" w:rsidRPr="0029729D" w:rsidRDefault="00346FC8" w:rsidP="00075D72">
      <w:pPr>
        <w:pStyle w:val="NumberedParagraph-BulletL1"/>
        <w:numPr>
          <w:ilvl w:val="2"/>
          <w:numId w:val="64"/>
        </w:numPr>
      </w:pPr>
      <w:r w:rsidRPr="0029729D">
        <w:t>inventories</w:t>
      </w:r>
    </w:p>
    <w:p w14:paraId="68E98237" w14:textId="77777777" w:rsidR="00346FC8" w:rsidRPr="0029729D" w:rsidRDefault="00346FC8" w:rsidP="00075D72">
      <w:pPr>
        <w:pStyle w:val="NumberedParagraph-BulletL1"/>
        <w:numPr>
          <w:ilvl w:val="2"/>
          <w:numId w:val="64"/>
        </w:numPr>
      </w:pPr>
      <w:r w:rsidRPr="0029729D">
        <w:t>appreciating assets, and</w:t>
      </w:r>
    </w:p>
    <w:p w14:paraId="61355F15" w14:textId="77777777" w:rsidR="00346FC8" w:rsidRPr="0029729D" w:rsidRDefault="00346FC8" w:rsidP="00075D72">
      <w:pPr>
        <w:pStyle w:val="NumberedParagraph-BulletL1"/>
        <w:numPr>
          <w:ilvl w:val="2"/>
          <w:numId w:val="64"/>
        </w:numPr>
      </w:pPr>
      <w:r w:rsidRPr="0029729D">
        <w:t>assets for which capital expenditure can be deducted immediately (or expensed).</w:t>
      </w:r>
    </w:p>
    <w:p w14:paraId="578D8012" w14:textId="5E2291DE" w:rsidR="00346FC8" w:rsidRPr="0029729D" w:rsidRDefault="00523906" w:rsidP="00075D72">
      <w:pPr>
        <w:pStyle w:val="NumberedParagraph"/>
        <w:numPr>
          <w:ilvl w:val="1"/>
          <w:numId w:val="64"/>
        </w:numPr>
      </w:pPr>
      <w:r>
        <w:t>Commercial and industrial bu</w:t>
      </w:r>
      <w:r w:rsidR="00A84F18">
        <w:t xml:space="preserve">ildings </w:t>
      </w:r>
      <w:r w:rsidR="00346FC8" w:rsidRPr="0029729D">
        <w:t xml:space="preserve">are assumed to have an economic depreciation rate of 2.69%, which is an OECD estimate of a weighted average of economic depreciation rates across these two types of buildings. </w:t>
      </w:r>
      <w:r w:rsidR="00306893">
        <w:t>New Zealand</w:t>
      </w:r>
      <w:r w:rsidR="005C6B4E">
        <w:t xml:space="preserve">’s tax </w:t>
      </w:r>
      <w:r w:rsidR="00306893">
        <w:t xml:space="preserve">depreciation rates </w:t>
      </w:r>
      <w:r w:rsidR="005C6B4E">
        <w:t xml:space="preserve">for plant, machinery </w:t>
      </w:r>
      <w:r w:rsidR="00162585">
        <w:t xml:space="preserve">and equipment </w:t>
      </w:r>
      <w:r w:rsidR="00873B2C">
        <w:t xml:space="preserve">(PME) </w:t>
      </w:r>
      <w:r w:rsidR="00162585">
        <w:t xml:space="preserve">are set </w:t>
      </w:r>
      <w:r w:rsidR="00306893">
        <w:t>to reflect how assets fall in value</w:t>
      </w:r>
      <w:r w:rsidR="003F4BCB">
        <w:t>.</w:t>
      </w:r>
      <w:r w:rsidR="003F4BCB">
        <w:rPr>
          <w:rStyle w:val="FootnoteReference"/>
        </w:rPr>
        <w:footnoteReference w:id="17"/>
      </w:r>
      <w:r w:rsidR="00306893">
        <w:t xml:space="preserve"> </w:t>
      </w:r>
      <w:r w:rsidR="00B146DA">
        <w:t xml:space="preserve">However, </w:t>
      </w:r>
      <w:r w:rsidR="008E6A61">
        <w:t>inflation</w:t>
      </w:r>
      <w:r w:rsidR="00A11B82">
        <w:t xml:space="preserve"> has not been taken</w:t>
      </w:r>
      <w:r w:rsidR="008E6A61">
        <w:t xml:space="preserve"> into account when setting these depreciation rates. </w:t>
      </w:r>
      <w:r w:rsidR="005A7C1F">
        <w:t xml:space="preserve">This allows us to examine </w:t>
      </w:r>
      <w:r w:rsidR="00873B2C">
        <w:t xml:space="preserve">biases that would arise if New Zealand were perfectly successful in </w:t>
      </w:r>
      <w:r w:rsidR="00BD7256">
        <w:t>matching tax depreciation rates with economic depreciation rates. In practice</w:t>
      </w:r>
      <w:r w:rsidR="003E3B74">
        <w:t>, biases are likely to be larger than we identify because tax depreciation rates</w:t>
      </w:r>
      <w:r w:rsidR="00AF06FA">
        <w:t xml:space="preserve"> will at best be an approximation to economic depreciation rates.</w:t>
      </w:r>
    </w:p>
    <w:p w14:paraId="27B38910" w14:textId="35677B26" w:rsidR="003E5595" w:rsidRDefault="00425331" w:rsidP="00075D72">
      <w:pPr>
        <w:pStyle w:val="NumberedParagraph"/>
        <w:numPr>
          <w:ilvl w:val="1"/>
          <w:numId w:val="64"/>
        </w:numPr>
      </w:pPr>
      <w:r>
        <w:t xml:space="preserve">An example, of a zero-depreciation asset might be land if land were not expected to either increase or decrease in real value. If </w:t>
      </w:r>
      <w:r w:rsidR="004003C7">
        <w:t xml:space="preserve">land were expected to increase in real value, it might </w:t>
      </w:r>
      <w:r w:rsidR="001D05CC">
        <w:t>be covered in the appreciating assets category. As in the OECD analysi</w:t>
      </w:r>
      <w:r w:rsidR="00AF37C7">
        <w:t>s, we allow for trading stock or inventories.</w:t>
      </w:r>
    </w:p>
    <w:p w14:paraId="6FF58117" w14:textId="73311B06" w:rsidR="00346FC8" w:rsidRDefault="00346FC8" w:rsidP="00075D72">
      <w:pPr>
        <w:pStyle w:val="NumberedParagraph"/>
        <w:numPr>
          <w:ilvl w:val="1"/>
          <w:numId w:val="64"/>
        </w:numPr>
      </w:pPr>
      <w:r w:rsidRPr="0029729D">
        <w:t xml:space="preserve">We also consider investments in capital assets that can be immediately written off (or </w:t>
      </w:r>
      <w:r>
        <w:t>‘</w:t>
      </w:r>
      <w:r w:rsidRPr="0029729D">
        <w:t>expensed</w:t>
      </w:r>
      <w:r>
        <w:t>’</w:t>
      </w:r>
      <w:r w:rsidRPr="0029729D">
        <w:t>). This includes investment in planting and growing a forest, mining exploration expenditure, and repairs and maintenance expenditure where this provides ongoing benefits for many years. It also includes investment by a firm in building up intangible assets if the costs of the investment can be deducted immediately, for example, as salaries and wages. Capital expenditure on many intangible assets that are created by a firm itself can be expensed</w:t>
      </w:r>
      <w:r>
        <w:t>,</w:t>
      </w:r>
      <w:r w:rsidRPr="0029729D">
        <w:t xml:space="preserve"> including building up good information and data, establishing reputation and customer goodwill.</w:t>
      </w:r>
    </w:p>
    <w:p w14:paraId="703209EF" w14:textId="5D9EC0D0" w:rsidR="00944428" w:rsidRPr="009C1F81" w:rsidRDefault="005810FE" w:rsidP="00944428">
      <w:pPr>
        <w:pStyle w:val="Heading2"/>
        <w:rPr>
          <w:rFonts w:eastAsia="Calibri"/>
          <w:lang w:eastAsia="en-US"/>
        </w:rPr>
      </w:pPr>
      <w:bookmarkStart w:id="25" w:name="_Toc96585528"/>
      <w:r>
        <w:rPr>
          <w:rFonts w:eastAsia="Calibri"/>
          <w:lang w:eastAsia="en-US"/>
        </w:rPr>
        <w:t xml:space="preserve">Companies with foreign marginal shareholders: </w:t>
      </w:r>
      <w:r w:rsidR="00BE30BB">
        <w:rPr>
          <w:rFonts w:eastAsia="Calibri"/>
          <w:lang w:eastAsia="en-US"/>
        </w:rPr>
        <w:t>no AIL and no NRWT</w:t>
      </w:r>
      <w:bookmarkEnd w:id="25"/>
    </w:p>
    <w:p w14:paraId="48EAA385" w14:textId="215DC884" w:rsidR="008F18A0" w:rsidRPr="0029729D" w:rsidRDefault="008F18A0" w:rsidP="00075D72">
      <w:pPr>
        <w:pStyle w:val="NumberedParagraph"/>
        <w:numPr>
          <w:ilvl w:val="1"/>
          <w:numId w:val="64"/>
        </w:numPr>
      </w:pPr>
      <w:r w:rsidRPr="0029729D">
        <w:t>Table 4.</w:t>
      </w:r>
      <w:r w:rsidR="00393B64">
        <w:t>1</w:t>
      </w:r>
      <w:r w:rsidRPr="0029729D">
        <w:t xml:space="preserve"> shows costs of capital assuming a real interest rate of 3.0% for our set of assets</w:t>
      </w:r>
      <w:r w:rsidR="005F6129">
        <w:t xml:space="preserve"> under different assumptions about inflation and debt levels</w:t>
      </w:r>
      <w:r w:rsidR="00702353">
        <w:t xml:space="preserve">. </w:t>
      </w:r>
      <w:r w:rsidR="00B66316">
        <w:t>As has been discussed, the OECD assum</w:t>
      </w:r>
      <w:r w:rsidR="00103E13">
        <w:t xml:space="preserve">es a real interest rate of 3.0%, inflation of 1% and a debt level of </w:t>
      </w:r>
      <w:r w:rsidR="008E60C2">
        <w:t xml:space="preserve">35%. </w:t>
      </w:r>
      <w:r w:rsidR="00C33941">
        <w:t xml:space="preserve">However, an inflation rate of 2% is in the middle of the Reserve Bank’s target range and evidence present in appendix </w:t>
      </w:r>
      <w:r w:rsidR="00D748F9">
        <w:t xml:space="preserve">2 of our </w:t>
      </w:r>
      <w:r w:rsidR="007D4259">
        <w:rPr>
          <w:i/>
          <w:iCs/>
        </w:rPr>
        <w:t>T</w:t>
      </w:r>
      <w:r w:rsidR="00D748F9" w:rsidRPr="00075D72">
        <w:rPr>
          <w:i/>
          <w:iCs/>
        </w:rPr>
        <w:t xml:space="preserve">echnical appendices </w:t>
      </w:r>
      <w:r w:rsidR="00D748F9">
        <w:t xml:space="preserve">is that average levels of debt for both </w:t>
      </w:r>
      <w:r w:rsidR="007907B8">
        <w:t>foreign</w:t>
      </w:r>
      <w:r w:rsidR="007D4259">
        <w:t>-</w:t>
      </w:r>
      <w:r w:rsidR="007907B8">
        <w:t>controlled and NZX firms is about 43%</w:t>
      </w:r>
      <w:r w:rsidR="004A7A11">
        <w:t>,</w:t>
      </w:r>
      <w:r w:rsidR="007907B8">
        <w:t xml:space="preserve"> ignoring banks. </w:t>
      </w:r>
      <w:r w:rsidRPr="0029729D">
        <w:t xml:space="preserve">The row labelled </w:t>
      </w:r>
      <w:r w:rsidRPr="00075D72">
        <w:rPr>
          <w:i/>
          <w:iCs/>
        </w:rPr>
        <w:t>d</w:t>
      </w:r>
      <w:r w:rsidRPr="0029729D">
        <w:t xml:space="preserve"> denotes the economic rate of depreciation used and the row </w:t>
      </w:r>
      <w:r w:rsidRPr="00075D72">
        <w:rPr>
          <w:i/>
          <w:iCs/>
        </w:rPr>
        <w:t>d*</w:t>
      </w:r>
      <w:r w:rsidRPr="0029729D">
        <w:t xml:space="preserve"> denotes the tax depreciation rate allowed.</w:t>
      </w:r>
    </w:p>
    <w:p w14:paraId="22A6BB1D" w14:textId="2E7BE4E6" w:rsidR="00FB5A82" w:rsidRDefault="00FB5A82" w:rsidP="003B6F2B">
      <w:pPr>
        <w:pStyle w:val="Caption"/>
        <w:keepLines/>
        <w:ind w:left="-851" w:right="-426"/>
        <w:rPr>
          <w:rFonts w:eastAsia="Calibri"/>
          <w:lang w:eastAsia="en-US"/>
        </w:rPr>
      </w:pPr>
      <w:r w:rsidRPr="00FB5A82">
        <w:rPr>
          <w:rFonts w:eastAsia="Calibri"/>
          <w:lang w:eastAsia="en-US"/>
        </w:rPr>
        <w:lastRenderedPageBreak/>
        <w:t>Table 4.</w:t>
      </w:r>
      <w:r w:rsidR="002A0E78">
        <w:rPr>
          <w:rFonts w:eastAsia="Calibri"/>
          <w:lang w:eastAsia="en-US"/>
        </w:rPr>
        <w:t>1</w:t>
      </w:r>
      <w:r w:rsidR="00973817">
        <w:rPr>
          <w:rFonts w:eastAsia="Calibri"/>
          <w:lang w:eastAsia="en-US"/>
        </w:rPr>
        <w:t xml:space="preserve">: </w:t>
      </w:r>
      <w:r w:rsidR="00826CAE">
        <w:rPr>
          <w:rFonts w:eastAsia="Calibri"/>
          <w:lang w:eastAsia="en-US"/>
        </w:rPr>
        <w:t>E</w:t>
      </w:r>
      <w:r w:rsidRPr="00FB5A82">
        <w:rPr>
          <w:rFonts w:eastAsia="Calibri"/>
          <w:lang w:eastAsia="en-US"/>
        </w:rPr>
        <w:t>MTRs, r = 3%, different inflation and debt levels</w:t>
      </w:r>
    </w:p>
    <w:tbl>
      <w:tblPr>
        <w:tblStyle w:val="TableGrid"/>
        <w:tblW w:w="10065" w:type="dxa"/>
        <w:tblInd w:w="-85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left w:w="28" w:type="dxa"/>
          <w:right w:w="28" w:type="dxa"/>
        </w:tblCellMar>
        <w:tblLook w:val="04A0" w:firstRow="1" w:lastRow="0" w:firstColumn="1" w:lastColumn="0" w:noHBand="0" w:noVBand="1"/>
      </w:tblPr>
      <w:tblGrid>
        <w:gridCol w:w="1277"/>
        <w:gridCol w:w="992"/>
        <w:gridCol w:w="737"/>
        <w:gridCol w:w="737"/>
        <w:gridCol w:w="737"/>
        <w:gridCol w:w="737"/>
        <w:gridCol w:w="737"/>
        <w:gridCol w:w="1134"/>
        <w:gridCol w:w="851"/>
        <w:gridCol w:w="1134"/>
        <w:gridCol w:w="992"/>
      </w:tblGrid>
      <w:tr w:rsidR="008F1A59" w:rsidRPr="008F1A59" w14:paraId="4A820F0E" w14:textId="77777777" w:rsidTr="00841651">
        <w:trPr>
          <w:tblHeader/>
        </w:trPr>
        <w:tc>
          <w:tcPr>
            <w:tcW w:w="1277" w:type="dxa"/>
            <w:shd w:val="clear" w:color="auto" w:fill="232E36"/>
          </w:tcPr>
          <w:p w14:paraId="4BFC02A7" w14:textId="77777777" w:rsidR="008F1A59" w:rsidRPr="008F1A59" w:rsidRDefault="008F1A59" w:rsidP="008F1A59">
            <w:pPr>
              <w:keepNext/>
              <w:keepLines/>
              <w:spacing w:before="120" w:after="120"/>
              <w:jc w:val="left"/>
              <w:rPr>
                <w:color w:val="FFFFFF" w:themeColor="background1"/>
                <w:sz w:val="14"/>
                <w:szCs w:val="14"/>
              </w:rPr>
            </w:pPr>
          </w:p>
        </w:tc>
        <w:tc>
          <w:tcPr>
            <w:tcW w:w="992" w:type="dxa"/>
            <w:shd w:val="clear" w:color="auto" w:fill="232E36"/>
          </w:tcPr>
          <w:p w14:paraId="1DFE92DE" w14:textId="77777777" w:rsidR="008F1A59" w:rsidRPr="008F1A59" w:rsidRDefault="008F1A59" w:rsidP="008F1A59">
            <w:pPr>
              <w:keepNext/>
              <w:keepLines/>
              <w:spacing w:before="120" w:after="120"/>
              <w:jc w:val="center"/>
              <w:rPr>
                <w:b/>
                <w:bCs/>
                <w:color w:val="FFFFFF" w:themeColor="background1"/>
                <w:sz w:val="14"/>
                <w:szCs w:val="14"/>
              </w:rPr>
            </w:pPr>
            <w:r w:rsidRPr="008F1A59">
              <w:rPr>
                <w:b/>
                <w:bCs/>
                <w:color w:val="FFFFFF" w:themeColor="background1"/>
                <w:sz w:val="14"/>
                <w:szCs w:val="14"/>
              </w:rPr>
              <w:t>Commercial and industrial buildings</w:t>
            </w:r>
          </w:p>
        </w:tc>
        <w:tc>
          <w:tcPr>
            <w:tcW w:w="3685" w:type="dxa"/>
            <w:gridSpan w:val="5"/>
            <w:shd w:val="clear" w:color="auto" w:fill="232E36"/>
          </w:tcPr>
          <w:p w14:paraId="4A550C17" w14:textId="77777777" w:rsidR="008F1A59" w:rsidRPr="008F1A59" w:rsidRDefault="008F1A59" w:rsidP="008F1A59">
            <w:pPr>
              <w:keepNext/>
              <w:keepLines/>
              <w:spacing w:before="120" w:after="120"/>
              <w:jc w:val="center"/>
              <w:rPr>
                <w:b/>
                <w:bCs/>
                <w:color w:val="FFFFFF" w:themeColor="background1"/>
                <w:sz w:val="14"/>
                <w:szCs w:val="14"/>
              </w:rPr>
            </w:pPr>
            <w:r w:rsidRPr="008F1A59">
              <w:rPr>
                <w:b/>
                <w:bCs/>
                <w:color w:val="FFFFFF" w:themeColor="background1"/>
                <w:sz w:val="14"/>
                <w:szCs w:val="14"/>
              </w:rPr>
              <w:t>Plant, machinery and equipment</w:t>
            </w:r>
          </w:p>
        </w:tc>
        <w:tc>
          <w:tcPr>
            <w:tcW w:w="1134" w:type="dxa"/>
            <w:shd w:val="clear" w:color="auto" w:fill="232E36"/>
          </w:tcPr>
          <w:p w14:paraId="3BBDA619" w14:textId="00F14A80" w:rsidR="008F1A59" w:rsidRPr="008F1A59" w:rsidRDefault="008F1A59" w:rsidP="008F1A59">
            <w:pPr>
              <w:keepNext/>
              <w:keepLines/>
              <w:spacing w:before="120" w:after="120"/>
              <w:jc w:val="center"/>
              <w:rPr>
                <w:b/>
                <w:bCs/>
                <w:color w:val="FFFFFF" w:themeColor="background1"/>
                <w:sz w:val="14"/>
                <w:szCs w:val="14"/>
              </w:rPr>
            </w:pPr>
            <w:r w:rsidRPr="008F1A59">
              <w:rPr>
                <w:b/>
                <w:bCs/>
                <w:color w:val="FFFFFF" w:themeColor="background1"/>
                <w:sz w:val="14"/>
                <w:szCs w:val="14"/>
              </w:rPr>
              <w:t>Zero</w:t>
            </w:r>
            <w:r w:rsidR="002F0565">
              <w:rPr>
                <w:b/>
                <w:bCs/>
                <w:color w:val="FFFFFF" w:themeColor="background1"/>
                <w:sz w:val="14"/>
                <w:szCs w:val="14"/>
              </w:rPr>
              <w:t>-</w:t>
            </w:r>
            <w:r w:rsidRPr="008F1A59">
              <w:rPr>
                <w:b/>
                <w:bCs/>
                <w:color w:val="FFFFFF" w:themeColor="background1"/>
                <w:sz w:val="14"/>
                <w:szCs w:val="14"/>
              </w:rPr>
              <w:t>depreciating assets</w:t>
            </w:r>
          </w:p>
        </w:tc>
        <w:tc>
          <w:tcPr>
            <w:tcW w:w="851" w:type="dxa"/>
            <w:shd w:val="clear" w:color="auto" w:fill="232E36"/>
          </w:tcPr>
          <w:p w14:paraId="7599DB74" w14:textId="77777777" w:rsidR="008F1A59" w:rsidRPr="008F1A59" w:rsidRDefault="008F1A59" w:rsidP="008F1A59">
            <w:pPr>
              <w:keepNext/>
              <w:keepLines/>
              <w:spacing w:before="120" w:after="120"/>
              <w:jc w:val="center"/>
              <w:rPr>
                <w:b/>
                <w:bCs/>
                <w:color w:val="FFFFFF" w:themeColor="background1"/>
                <w:sz w:val="14"/>
                <w:szCs w:val="14"/>
              </w:rPr>
            </w:pPr>
            <w:r w:rsidRPr="008F1A59">
              <w:rPr>
                <w:b/>
                <w:bCs/>
                <w:color w:val="FFFFFF" w:themeColor="background1"/>
                <w:sz w:val="14"/>
                <w:szCs w:val="14"/>
              </w:rPr>
              <w:t>Inventory</w:t>
            </w:r>
          </w:p>
        </w:tc>
        <w:tc>
          <w:tcPr>
            <w:tcW w:w="1134" w:type="dxa"/>
            <w:shd w:val="clear" w:color="auto" w:fill="232E36"/>
          </w:tcPr>
          <w:p w14:paraId="2A84F132" w14:textId="77777777" w:rsidR="008F1A59" w:rsidRPr="008F1A59" w:rsidRDefault="008F1A59" w:rsidP="008F1A59">
            <w:pPr>
              <w:keepNext/>
              <w:keepLines/>
              <w:spacing w:before="120" w:after="120"/>
              <w:jc w:val="center"/>
              <w:rPr>
                <w:b/>
                <w:bCs/>
                <w:color w:val="FFFFFF" w:themeColor="background1"/>
                <w:sz w:val="14"/>
                <w:szCs w:val="14"/>
              </w:rPr>
            </w:pPr>
            <w:r w:rsidRPr="008F1A59">
              <w:rPr>
                <w:b/>
                <w:bCs/>
                <w:color w:val="FFFFFF" w:themeColor="background1"/>
                <w:sz w:val="14"/>
                <w:szCs w:val="14"/>
              </w:rPr>
              <w:t>Appreciating assets</w:t>
            </w:r>
          </w:p>
        </w:tc>
        <w:tc>
          <w:tcPr>
            <w:tcW w:w="992" w:type="dxa"/>
            <w:shd w:val="clear" w:color="auto" w:fill="232E36"/>
          </w:tcPr>
          <w:p w14:paraId="4925CEF9" w14:textId="77777777" w:rsidR="008F1A59" w:rsidRPr="008F1A59" w:rsidRDefault="008F1A59" w:rsidP="008F1A59">
            <w:pPr>
              <w:keepNext/>
              <w:keepLines/>
              <w:spacing w:before="120" w:after="120"/>
              <w:jc w:val="center"/>
              <w:rPr>
                <w:b/>
                <w:bCs/>
                <w:color w:val="FFFFFF" w:themeColor="background1"/>
                <w:sz w:val="14"/>
                <w:szCs w:val="14"/>
              </w:rPr>
            </w:pPr>
            <w:r w:rsidRPr="008F1A59">
              <w:rPr>
                <w:b/>
                <w:bCs/>
                <w:color w:val="FFFFFF" w:themeColor="background1"/>
                <w:sz w:val="14"/>
                <w:szCs w:val="14"/>
              </w:rPr>
              <w:t>Expensing</w:t>
            </w:r>
          </w:p>
        </w:tc>
      </w:tr>
      <w:tr w:rsidR="008F1A59" w:rsidRPr="008F1A59" w14:paraId="4F9EAF32" w14:textId="77777777" w:rsidTr="00841651">
        <w:tc>
          <w:tcPr>
            <w:tcW w:w="1277" w:type="dxa"/>
            <w:shd w:val="clear" w:color="auto" w:fill="auto"/>
            <w:vAlign w:val="bottom"/>
          </w:tcPr>
          <w:p w14:paraId="7A887BCD" w14:textId="77777777" w:rsidR="008F1A59" w:rsidRPr="008F1A59" w:rsidRDefault="008F1A59" w:rsidP="008F1A59">
            <w:pPr>
              <w:keepNext/>
              <w:keepLines/>
              <w:tabs>
                <w:tab w:val="left" w:pos="86"/>
              </w:tabs>
              <w:spacing w:before="60" w:after="60"/>
              <w:jc w:val="left"/>
              <w:rPr>
                <w:sz w:val="14"/>
                <w:szCs w:val="14"/>
              </w:rPr>
            </w:pPr>
            <w:r w:rsidRPr="008F1A59">
              <w:rPr>
                <w:sz w:val="14"/>
                <w:szCs w:val="14"/>
              </w:rPr>
              <w:t>d</w:t>
            </w:r>
          </w:p>
        </w:tc>
        <w:tc>
          <w:tcPr>
            <w:tcW w:w="992" w:type="dxa"/>
            <w:vAlign w:val="center"/>
          </w:tcPr>
          <w:p w14:paraId="61026101" w14:textId="77777777" w:rsidR="008F1A59" w:rsidRPr="008F1A59" w:rsidRDefault="008F1A59" w:rsidP="008F1A59">
            <w:pPr>
              <w:keepNext/>
              <w:keepLines/>
              <w:tabs>
                <w:tab w:val="decimal" w:pos="256"/>
              </w:tabs>
              <w:spacing w:before="60" w:after="60"/>
              <w:jc w:val="center"/>
              <w:rPr>
                <w:sz w:val="14"/>
                <w:szCs w:val="14"/>
              </w:rPr>
            </w:pPr>
            <w:r w:rsidRPr="008F1A59">
              <w:rPr>
                <w:sz w:val="14"/>
                <w:szCs w:val="14"/>
              </w:rPr>
              <w:t>2.69%</w:t>
            </w:r>
          </w:p>
        </w:tc>
        <w:tc>
          <w:tcPr>
            <w:tcW w:w="737" w:type="dxa"/>
            <w:vAlign w:val="center"/>
          </w:tcPr>
          <w:p w14:paraId="3350552E" w14:textId="77777777" w:rsidR="008F1A59" w:rsidRPr="008F1A59" w:rsidRDefault="008F1A59" w:rsidP="008F1A59">
            <w:pPr>
              <w:keepNext/>
              <w:keepLines/>
              <w:tabs>
                <w:tab w:val="decimal" w:pos="256"/>
              </w:tabs>
              <w:spacing w:before="60" w:after="60"/>
              <w:jc w:val="center"/>
              <w:rPr>
                <w:sz w:val="14"/>
                <w:szCs w:val="14"/>
              </w:rPr>
            </w:pPr>
            <w:r w:rsidRPr="008F1A59">
              <w:rPr>
                <w:sz w:val="14"/>
                <w:szCs w:val="14"/>
              </w:rPr>
              <w:t>100.00%</w:t>
            </w:r>
          </w:p>
        </w:tc>
        <w:tc>
          <w:tcPr>
            <w:tcW w:w="737" w:type="dxa"/>
            <w:vAlign w:val="center"/>
          </w:tcPr>
          <w:p w14:paraId="2BE09C2E" w14:textId="77777777" w:rsidR="008F1A59" w:rsidRPr="008F1A59" w:rsidRDefault="008F1A59" w:rsidP="008F1A59">
            <w:pPr>
              <w:keepNext/>
              <w:keepLines/>
              <w:tabs>
                <w:tab w:val="decimal" w:pos="256"/>
              </w:tabs>
              <w:spacing w:before="60" w:after="60"/>
              <w:jc w:val="center"/>
              <w:rPr>
                <w:sz w:val="14"/>
                <w:szCs w:val="14"/>
              </w:rPr>
            </w:pPr>
            <w:r w:rsidRPr="008F1A59">
              <w:rPr>
                <w:sz w:val="14"/>
                <w:szCs w:val="14"/>
              </w:rPr>
              <w:t>50.00%</w:t>
            </w:r>
          </w:p>
        </w:tc>
        <w:tc>
          <w:tcPr>
            <w:tcW w:w="737" w:type="dxa"/>
            <w:vAlign w:val="center"/>
          </w:tcPr>
          <w:p w14:paraId="62D45BB6" w14:textId="77777777" w:rsidR="008F1A59" w:rsidRPr="008F1A59" w:rsidRDefault="008F1A59" w:rsidP="008F1A59">
            <w:pPr>
              <w:keepNext/>
              <w:keepLines/>
              <w:tabs>
                <w:tab w:val="decimal" w:pos="256"/>
              </w:tabs>
              <w:spacing w:before="60" w:after="60"/>
              <w:jc w:val="center"/>
              <w:rPr>
                <w:sz w:val="14"/>
                <w:szCs w:val="14"/>
              </w:rPr>
            </w:pPr>
            <w:r w:rsidRPr="008F1A59">
              <w:rPr>
                <w:sz w:val="14"/>
                <w:szCs w:val="14"/>
              </w:rPr>
              <w:t>10.00%</w:t>
            </w:r>
          </w:p>
        </w:tc>
        <w:tc>
          <w:tcPr>
            <w:tcW w:w="737" w:type="dxa"/>
            <w:vAlign w:val="center"/>
          </w:tcPr>
          <w:p w14:paraId="07CF4E81" w14:textId="77777777" w:rsidR="008F1A59" w:rsidRPr="008F1A59" w:rsidRDefault="008F1A59" w:rsidP="008F1A59">
            <w:pPr>
              <w:keepNext/>
              <w:keepLines/>
              <w:tabs>
                <w:tab w:val="decimal" w:pos="256"/>
              </w:tabs>
              <w:spacing w:before="60" w:after="60"/>
              <w:jc w:val="center"/>
              <w:rPr>
                <w:sz w:val="14"/>
                <w:szCs w:val="14"/>
              </w:rPr>
            </w:pPr>
            <w:r w:rsidRPr="008F1A59">
              <w:rPr>
                <w:sz w:val="14"/>
                <w:szCs w:val="14"/>
              </w:rPr>
              <w:t>4.00%</w:t>
            </w:r>
          </w:p>
        </w:tc>
        <w:tc>
          <w:tcPr>
            <w:tcW w:w="737" w:type="dxa"/>
            <w:vAlign w:val="center"/>
          </w:tcPr>
          <w:p w14:paraId="3703683B" w14:textId="77777777" w:rsidR="008F1A59" w:rsidRPr="008F1A59" w:rsidRDefault="008F1A59" w:rsidP="008F1A59">
            <w:pPr>
              <w:keepNext/>
              <w:keepLines/>
              <w:tabs>
                <w:tab w:val="decimal" w:pos="256"/>
              </w:tabs>
              <w:spacing w:before="60" w:after="60"/>
              <w:jc w:val="center"/>
              <w:rPr>
                <w:sz w:val="14"/>
                <w:szCs w:val="14"/>
              </w:rPr>
            </w:pPr>
            <w:r w:rsidRPr="008F1A59">
              <w:rPr>
                <w:sz w:val="14"/>
                <w:szCs w:val="14"/>
              </w:rPr>
              <w:t>2.00%</w:t>
            </w:r>
          </w:p>
        </w:tc>
        <w:tc>
          <w:tcPr>
            <w:tcW w:w="1134" w:type="dxa"/>
            <w:vAlign w:val="center"/>
          </w:tcPr>
          <w:p w14:paraId="18C27036" w14:textId="77777777" w:rsidR="008F1A59" w:rsidRPr="008F1A59" w:rsidRDefault="008F1A59" w:rsidP="008F1A59">
            <w:pPr>
              <w:keepNext/>
              <w:keepLines/>
              <w:tabs>
                <w:tab w:val="decimal" w:pos="256"/>
              </w:tabs>
              <w:spacing w:before="60" w:after="60"/>
              <w:jc w:val="center"/>
              <w:rPr>
                <w:sz w:val="14"/>
                <w:szCs w:val="14"/>
              </w:rPr>
            </w:pPr>
            <w:r w:rsidRPr="008F1A59">
              <w:rPr>
                <w:sz w:val="14"/>
                <w:szCs w:val="14"/>
              </w:rPr>
              <w:t>0.00%</w:t>
            </w:r>
          </w:p>
        </w:tc>
        <w:tc>
          <w:tcPr>
            <w:tcW w:w="851" w:type="dxa"/>
            <w:vAlign w:val="center"/>
          </w:tcPr>
          <w:p w14:paraId="765773BF" w14:textId="77777777" w:rsidR="008F1A59" w:rsidRPr="008F1A59" w:rsidRDefault="008F1A59" w:rsidP="008F1A59">
            <w:pPr>
              <w:keepNext/>
              <w:keepLines/>
              <w:tabs>
                <w:tab w:val="decimal" w:pos="256"/>
              </w:tabs>
              <w:spacing w:before="60" w:after="60"/>
              <w:jc w:val="center"/>
              <w:rPr>
                <w:sz w:val="14"/>
                <w:szCs w:val="14"/>
              </w:rPr>
            </w:pPr>
          </w:p>
        </w:tc>
        <w:tc>
          <w:tcPr>
            <w:tcW w:w="1134" w:type="dxa"/>
            <w:vAlign w:val="center"/>
          </w:tcPr>
          <w:p w14:paraId="14006611" w14:textId="77777777" w:rsidR="008F1A59" w:rsidRPr="008F1A59" w:rsidRDefault="008F1A59" w:rsidP="008F1A59">
            <w:pPr>
              <w:keepNext/>
              <w:keepLines/>
              <w:tabs>
                <w:tab w:val="decimal" w:pos="256"/>
              </w:tabs>
              <w:spacing w:before="60" w:after="60"/>
              <w:jc w:val="center"/>
              <w:rPr>
                <w:sz w:val="14"/>
                <w:szCs w:val="14"/>
              </w:rPr>
            </w:pPr>
            <w:r w:rsidRPr="008F1A59">
              <w:rPr>
                <w:sz w:val="14"/>
                <w:szCs w:val="14"/>
              </w:rPr>
              <w:t>-1.00%</w:t>
            </w:r>
          </w:p>
        </w:tc>
        <w:tc>
          <w:tcPr>
            <w:tcW w:w="992" w:type="dxa"/>
            <w:vAlign w:val="center"/>
          </w:tcPr>
          <w:p w14:paraId="6E58616E" w14:textId="77777777" w:rsidR="008F1A59" w:rsidRPr="008F1A59" w:rsidRDefault="008F1A59" w:rsidP="008F1A59">
            <w:pPr>
              <w:keepNext/>
              <w:keepLines/>
              <w:tabs>
                <w:tab w:val="decimal" w:pos="256"/>
              </w:tabs>
              <w:spacing w:before="60" w:after="60"/>
              <w:jc w:val="center"/>
              <w:rPr>
                <w:sz w:val="14"/>
                <w:szCs w:val="14"/>
              </w:rPr>
            </w:pPr>
          </w:p>
        </w:tc>
      </w:tr>
      <w:tr w:rsidR="008F1A59" w:rsidRPr="008F1A59" w14:paraId="135AB84B" w14:textId="77777777" w:rsidTr="00841651">
        <w:tc>
          <w:tcPr>
            <w:tcW w:w="1277" w:type="dxa"/>
            <w:shd w:val="clear" w:color="auto" w:fill="auto"/>
            <w:vAlign w:val="bottom"/>
          </w:tcPr>
          <w:p w14:paraId="15B40348" w14:textId="77777777" w:rsidR="008F1A59" w:rsidRPr="008F1A59" w:rsidRDefault="008F1A59" w:rsidP="008F1A59">
            <w:pPr>
              <w:keepNext/>
              <w:keepLines/>
              <w:tabs>
                <w:tab w:val="left" w:pos="86"/>
              </w:tabs>
              <w:spacing w:before="60" w:after="60"/>
              <w:jc w:val="left"/>
              <w:rPr>
                <w:sz w:val="14"/>
                <w:szCs w:val="14"/>
              </w:rPr>
            </w:pPr>
            <w:r w:rsidRPr="008F1A59">
              <w:rPr>
                <w:sz w:val="14"/>
                <w:szCs w:val="14"/>
              </w:rPr>
              <w:t>d*</w:t>
            </w:r>
          </w:p>
        </w:tc>
        <w:tc>
          <w:tcPr>
            <w:tcW w:w="992" w:type="dxa"/>
            <w:vAlign w:val="center"/>
          </w:tcPr>
          <w:p w14:paraId="35EEAD22" w14:textId="77777777" w:rsidR="008F1A59" w:rsidRPr="008F1A59" w:rsidRDefault="008F1A59" w:rsidP="008F1A59">
            <w:pPr>
              <w:keepNext/>
              <w:keepLines/>
              <w:tabs>
                <w:tab w:val="decimal" w:pos="256"/>
              </w:tabs>
              <w:spacing w:before="60" w:after="60"/>
              <w:jc w:val="center"/>
              <w:rPr>
                <w:sz w:val="14"/>
                <w:szCs w:val="14"/>
              </w:rPr>
            </w:pPr>
            <w:r w:rsidRPr="008F1A59">
              <w:rPr>
                <w:sz w:val="14"/>
                <w:szCs w:val="14"/>
              </w:rPr>
              <w:t>2.00%</w:t>
            </w:r>
          </w:p>
        </w:tc>
        <w:tc>
          <w:tcPr>
            <w:tcW w:w="737" w:type="dxa"/>
            <w:vAlign w:val="center"/>
          </w:tcPr>
          <w:p w14:paraId="2074D23C" w14:textId="77777777" w:rsidR="008F1A59" w:rsidRPr="008F1A59" w:rsidRDefault="008F1A59" w:rsidP="008F1A59">
            <w:pPr>
              <w:keepNext/>
              <w:keepLines/>
              <w:tabs>
                <w:tab w:val="decimal" w:pos="256"/>
              </w:tabs>
              <w:spacing w:before="60" w:after="60"/>
              <w:jc w:val="center"/>
              <w:rPr>
                <w:sz w:val="14"/>
                <w:szCs w:val="14"/>
              </w:rPr>
            </w:pPr>
            <w:r w:rsidRPr="008F1A59">
              <w:rPr>
                <w:sz w:val="14"/>
                <w:szCs w:val="14"/>
              </w:rPr>
              <w:t>100.00%</w:t>
            </w:r>
          </w:p>
        </w:tc>
        <w:tc>
          <w:tcPr>
            <w:tcW w:w="737" w:type="dxa"/>
            <w:vAlign w:val="center"/>
          </w:tcPr>
          <w:p w14:paraId="3CB21C51" w14:textId="77777777" w:rsidR="008F1A59" w:rsidRPr="008F1A59" w:rsidRDefault="008F1A59" w:rsidP="008F1A59">
            <w:pPr>
              <w:keepNext/>
              <w:keepLines/>
              <w:tabs>
                <w:tab w:val="decimal" w:pos="256"/>
              </w:tabs>
              <w:spacing w:before="60" w:after="60"/>
              <w:jc w:val="center"/>
              <w:rPr>
                <w:sz w:val="14"/>
                <w:szCs w:val="14"/>
              </w:rPr>
            </w:pPr>
            <w:r w:rsidRPr="008F1A59">
              <w:rPr>
                <w:sz w:val="14"/>
                <w:szCs w:val="14"/>
              </w:rPr>
              <w:t>50.00%</w:t>
            </w:r>
          </w:p>
        </w:tc>
        <w:tc>
          <w:tcPr>
            <w:tcW w:w="737" w:type="dxa"/>
            <w:vAlign w:val="center"/>
          </w:tcPr>
          <w:p w14:paraId="17F52512" w14:textId="77777777" w:rsidR="008F1A59" w:rsidRPr="008F1A59" w:rsidRDefault="008F1A59" w:rsidP="008F1A59">
            <w:pPr>
              <w:keepNext/>
              <w:keepLines/>
              <w:tabs>
                <w:tab w:val="decimal" w:pos="256"/>
              </w:tabs>
              <w:spacing w:before="60" w:after="60"/>
              <w:jc w:val="center"/>
              <w:rPr>
                <w:sz w:val="14"/>
                <w:szCs w:val="14"/>
              </w:rPr>
            </w:pPr>
            <w:r w:rsidRPr="008F1A59">
              <w:rPr>
                <w:sz w:val="14"/>
                <w:szCs w:val="14"/>
              </w:rPr>
              <w:t>10.00%</w:t>
            </w:r>
          </w:p>
        </w:tc>
        <w:tc>
          <w:tcPr>
            <w:tcW w:w="737" w:type="dxa"/>
            <w:vAlign w:val="center"/>
          </w:tcPr>
          <w:p w14:paraId="329BEE9E" w14:textId="77777777" w:rsidR="008F1A59" w:rsidRPr="008F1A59" w:rsidRDefault="008F1A59" w:rsidP="008F1A59">
            <w:pPr>
              <w:keepNext/>
              <w:keepLines/>
              <w:tabs>
                <w:tab w:val="decimal" w:pos="256"/>
              </w:tabs>
              <w:spacing w:before="60" w:after="60"/>
              <w:jc w:val="center"/>
              <w:rPr>
                <w:sz w:val="14"/>
                <w:szCs w:val="14"/>
              </w:rPr>
            </w:pPr>
            <w:r w:rsidRPr="008F1A59">
              <w:rPr>
                <w:sz w:val="14"/>
                <w:szCs w:val="14"/>
              </w:rPr>
              <w:t>4.00%</w:t>
            </w:r>
          </w:p>
        </w:tc>
        <w:tc>
          <w:tcPr>
            <w:tcW w:w="737" w:type="dxa"/>
            <w:vAlign w:val="center"/>
          </w:tcPr>
          <w:p w14:paraId="231DFD64" w14:textId="77777777" w:rsidR="008F1A59" w:rsidRPr="008F1A59" w:rsidRDefault="008F1A59" w:rsidP="008F1A59">
            <w:pPr>
              <w:keepNext/>
              <w:keepLines/>
              <w:tabs>
                <w:tab w:val="decimal" w:pos="256"/>
              </w:tabs>
              <w:spacing w:before="60" w:after="60"/>
              <w:jc w:val="center"/>
              <w:rPr>
                <w:sz w:val="14"/>
                <w:szCs w:val="14"/>
              </w:rPr>
            </w:pPr>
            <w:r w:rsidRPr="008F1A59">
              <w:rPr>
                <w:sz w:val="14"/>
                <w:szCs w:val="14"/>
              </w:rPr>
              <w:t>2.00%</w:t>
            </w:r>
          </w:p>
        </w:tc>
        <w:tc>
          <w:tcPr>
            <w:tcW w:w="1134" w:type="dxa"/>
            <w:vAlign w:val="center"/>
          </w:tcPr>
          <w:p w14:paraId="508E9E93" w14:textId="77777777" w:rsidR="008F1A59" w:rsidRPr="008F1A59" w:rsidRDefault="008F1A59" w:rsidP="008F1A59">
            <w:pPr>
              <w:keepNext/>
              <w:keepLines/>
              <w:tabs>
                <w:tab w:val="decimal" w:pos="256"/>
              </w:tabs>
              <w:spacing w:before="60" w:after="60"/>
              <w:jc w:val="center"/>
              <w:rPr>
                <w:sz w:val="14"/>
                <w:szCs w:val="14"/>
              </w:rPr>
            </w:pPr>
            <w:r w:rsidRPr="008F1A59">
              <w:rPr>
                <w:sz w:val="14"/>
                <w:szCs w:val="14"/>
              </w:rPr>
              <w:t>0.00%</w:t>
            </w:r>
          </w:p>
        </w:tc>
        <w:tc>
          <w:tcPr>
            <w:tcW w:w="851" w:type="dxa"/>
            <w:vAlign w:val="center"/>
          </w:tcPr>
          <w:p w14:paraId="0A663E8E" w14:textId="77777777" w:rsidR="008F1A59" w:rsidRPr="008F1A59" w:rsidRDefault="008F1A59" w:rsidP="008F1A59">
            <w:pPr>
              <w:keepNext/>
              <w:keepLines/>
              <w:tabs>
                <w:tab w:val="decimal" w:pos="256"/>
              </w:tabs>
              <w:spacing w:before="60" w:after="60"/>
              <w:jc w:val="center"/>
              <w:rPr>
                <w:sz w:val="14"/>
                <w:szCs w:val="14"/>
              </w:rPr>
            </w:pPr>
          </w:p>
        </w:tc>
        <w:tc>
          <w:tcPr>
            <w:tcW w:w="1134" w:type="dxa"/>
            <w:vAlign w:val="center"/>
          </w:tcPr>
          <w:p w14:paraId="0F7A7633" w14:textId="77777777" w:rsidR="008F1A59" w:rsidRPr="008F1A59" w:rsidRDefault="008F1A59" w:rsidP="008F1A59">
            <w:pPr>
              <w:keepNext/>
              <w:keepLines/>
              <w:tabs>
                <w:tab w:val="decimal" w:pos="256"/>
              </w:tabs>
              <w:spacing w:before="60" w:after="60"/>
              <w:jc w:val="center"/>
              <w:rPr>
                <w:sz w:val="14"/>
                <w:szCs w:val="14"/>
              </w:rPr>
            </w:pPr>
            <w:r w:rsidRPr="008F1A59">
              <w:rPr>
                <w:sz w:val="14"/>
                <w:szCs w:val="14"/>
              </w:rPr>
              <w:t>0.00%</w:t>
            </w:r>
          </w:p>
        </w:tc>
        <w:tc>
          <w:tcPr>
            <w:tcW w:w="992" w:type="dxa"/>
            <w:vAlign w:val="center"/>
          </w:tcPr>
          <w:p w14:paraId="6815473C" w14:textId="77777777" w:rsidR="008F1A59" w:rsidRPr="008F1A59" w:rsidRDefault="008F1A59" w:rsidP="008F1A59">
            <w:pPr>
              <w:keepNext/>
              <w:keepLines/>
              <w:tabs>
                <w:tab w:val="decimal" w:pos="256"/>
              </w:tabs>
              <w:spacing w:before="60" w:after="60"/>
              <w:jc w:val="center"/>
              <w:rPr>
                <w:sz w:val="14"/>
                <w:szCs w:val="14"/>
              </w:rPr>
            </w:pPr>
          </w:p>
        </w:tc>
      </w:tr>
      <w:tr w:rsidR="008F1A59" w:rsidRPr="008F1A59" w14:paraId="0DC1C1C4" w14:textId="77777777" w:rsidTr="00841651">
        <w:tc>
          <w:tcPr>
            <w:tcW w:w="1277" w:type="dxa"/>
            <w:shd w:val="clear" w:color="auto" w:fill="auto"/>
            <w:vAlign w:val="bottom"/>
          </w:tcPr>
          <w:p w14:paraId="1A5CD384" w14:textId="77777777" w:rsidR="008F1A59" w:rsidRPr="008F1A59" w:rsidRDefault="008F1A59" w:rsidP="008F1A59">
            <w:pPr>
              <w:keepNext/>
              <w:keepLines/>
              <w:tabs>
                <w:tab w:val="left" w:pos="86"/>
              </w:tabs>
              <w:spacing w:before="60" w:after="60"/>
              <w:jc w:val="left"/>
              <w:rPr>
                <w:b/>
                <w:bCs/>
                <w:sz w:val="14"/>
                <w:szCs w:val="14"/>
              </w:rPr>
            </w:pPr>
            <w:r w:rsidRPr="008F1A59">
              <w:rPr>
                <w:b/>
                <w:bCs/>
                <w:sz w:val="14"/>
                <w:szCs w:val="14"/>
              </w:rPr>
              <w:t>Inflation = 2%</w:t>
            </w:r>
          </w:p>
        </w:tc>
        <w:tc>
          <w:tcPr>
            <w:tcW w:w="992" w:type="dxa"/>
            <w:vAlign w:val="center"/>
          </w:tcPr>
          <w:p w14:paraId="762B2041" w14:textId="77777777" w:rsidR="008F1A59" w:rsidRPr="008F1A59" w:rsidRDefault="008F1A59" w:rsidP="008F1A59">
            <w:pPr>
              <w:keepNext/>
              <w:keepLines/>
              <w:tabs>
                <w:tab w:val="decimal" w:pos="256"/>
              </w:tabs>
              <w:spacing w:before="60" w:after="60"/>
              <w:jc w:val="center"/>
              <w:rPr>
                <w:sz w:val="14"/>
                <w:szCs w:val="14"/>
              </w:rPr>
            </w:pPr>
          </w:p>
        </w:tc>
        <w:tc>
          <w:tcPr>
            <w:tcW w:w="737" w:type="dxa"/>
            <w:vAlign w:val="center"/>
          </w:tcPr>
          <w:p w14:paraId="6F814B61" w14:textId="77777777" w:rsidR="008F1A59" w:rsidRPr="008F1A59" w:rsidRDefault="008F1A59" w:rsidP="008F1A59">
            <w:pPr>
              <w:keepNext/>
              <w:keepLines/>
              <w:tabs>
                <w:tab w:val="decimal" w:pos="256"/>
              </w:tabs>
              <w:spacing w:before="60" w:after="60"/>
              <w:jc w:val="center"/>
              <w:rPr>
                <w:sz w:val="14"/>
                <w:szCs w:val="14"/>
              </w:rPr>
            </w:pPr>
          </w:p>
        </w:tc>
        <w:tc>
          <w:tcPr>
            <w:tcW w:w="737" w:type="dxa"/>
            <w:vAlign w:val="center"/>
          </w:tcPr>
          <w:p w14:paraId="4E35CC7C" w14:textId="77777777" w:rsidR="008F1A59" w:rsidRPr="008F1A59" w:rsidRDefault="008F1A59" w:rsidP="008F1A59">
            <w:pPr>
              <w:keepNext/>
              <w:keepLines/>
              <w:tabs>
                <w:tab w:val="decimal" w:pos="256"/>
              </w:tabs>
              <w:spacing w:before="60" w:after="60"/>
              <w:jc w:val="center"/>
              <w:rPr>
                <w:sz w:val="14"/>
                <w:szCs w:val="14"/>
              </w:rPr>
            </w:pPr>
          </w:p>
        </w:tc>
        <w:tc>
          <w:tcPr>
            <w:tcW w:w="737" w:type="dxa"/>
            <w:vAlign w:val="center"/>
          </w:tcPr>
          <w:p w14:paraId="00F2A1D1" w14:textId="77777777" w:rsidR="008F1A59" w:rsidRPr="008F1A59" w:rsidRDefault="008F1A59" w:rsidP="008F1A59">
            <w:pPr>
              <w:keepNext/>
              <w:keepLines/>
              <w:tabs>
                <w:tab w:val="decimal" w:pos="256"/>
              </w:tabs>
              <w:spacing w:before="60" w:after="60"/>
              <w:jc w:val="center"/>
              <w:rPr>
                <w:sz w:val="14"/>
                <w:szCs w:val="14"/>
              </w:rPr>
            </w:pPr>
          </w:p>
        </w:tc>
        <w:tc>
          <w:tcPr>
            <w:tcW w:w="737" w:type="dxa"/>
            <w:vAlign w:val="center"/>
          </w:tcPr>
          <w:p w14:paraId="7736908F" w14:textId="77777777" w:rsidR="008F1A59" w:rsidRPr="008F1A59" w:rsidRDefault="008F1A59" w:rsidP="008F1A59">
            <w:pPr>
              <w:keepNext/>
              <w:keepLines/>
              <w:tabs>
                <w:tab w:val="decimal" w:pos="256"/>
              </w:tabs>
              <w:spacing w:before="60" w:after="60"/>
              <w:jc w:val="center"/>
              <w:rPr>
                <w:sz w:val="14"/>
                <w:szCs w:val="14"/>
              </w:rPr>
            </w:pPr>
          </w:p>
        </w:tc>
        <w:tc>
          <w:tcPr>
            <w:tcW w:w="737" w:type="dxa"/>
            <w:vAlign w:val="center"/>
          </w:tcPr>
          <w:p w14:paraId="0354C2A7" w14:textId="77777777" w:rsidR="008F1A59" w:rsidRPr="008F1A59" w:rsidRDefault="008F1A59" w:rsidP="008F1A59">
            <w:pPr>
              <w:keepNext/>
              <w:keepLines/>
              <w:tabs>
                <w:tab w:val="decimal" w:pos="256"/>
              </w:tabs>
              <w:spacing w:before="60" w:after="60"/>
              <w:jc w:val="center"/>
              <w:rPr>
                <w:sz w:val="14"/>
                <w:szCs w:val="14"/>
              </w:rPr>
            </w:pPr>
          </w:p>
        </w:tc>
        <w:tc>
          <w:tcPr>
            <w:tcW w:w="1134" w:type="dxa"/>
            <w:vAlign w:val="center"/>
          </w:tcPr>
          <w:p w14:paraId="65BC33B1" w14:textId="77777777" w:rsidR="008F1A59" w:rsidRPr="008F1A59" w:rsidRDefault="008F1A59" w:rsidP="008F1A59">
            <w:pPr>
              <w:keepNext/>
              <w:keepLines/>
              <w:tabs>
                <w:tab w:val="decimal" w:pos="256"/>
              </w:tabs>
              <w:spacing w:before="60" w:after="60"/>
              <w:jc w:val="center"/>
              <w:rPr>
                <w:sz w:val="14"/>
                <w:szCs w:val="14"/>
              </w:rPr>
            </w:pPr>
          </w:p>
        </w:tc>
        <w:tc>
          <w:tcPr>
            <w:tcW w:w="851" w:type="dxa"/>
            <w:vAlign w:val="center"/>
          </w:tcPr>
          <w:p w14:paraId="001801E5" w14:textId="77777777" w:rsidR="008F1A59" w:rsidRPr="008F1A59" w:rsidRDefault="008F1A59" w:rsidP="008F1A59">
            <w:pPr>
              <w:keepNext/>
              <w:keepLines/>
              <w:tabs>
                <w:tab w:val="decimal" w:pos="256"/>
              </w:tabs>
              <w:spacing w:before="60" w:after="60"/>
              <w:jc w:val="center"/>
              <w:rPr>
                <w:sz w:val="14"/>
                <w:szCs w:val="14"/>
              </w:rPr>
            </w:pPr>
          </w:p>
        </w:tc>
        <w:tc>
          <w:tcPr>
            <w:tcW w:w="1134" w:type="dxa"/>
            <w:vAlign w:val="center"/>
          </w:tcPr>
          <w:p w14:paraId="340D6A96" w14:textId="77777777" w:rsidR="008F1A59" w:rsidRPr="008F1A59" w:rsidRDefault="008F1A59" w:rsidP="008F1A59">
            <w:pPr>
              <w:keepNext/>
              <w:keepLines/>
              <w:tabs>
                <w:tab w:val="decimal" w:pos="256"/>
              </w:tabs>
              <w:spacing w:before="60" w:after="60"/>
              <w:jc w:val="center"/>
              <w:rPr>
                <w:sz w:val="14"/>
                <w:szCs w:val="14"/>
              </w:rPr>
            </w:pPr>
          </w:p>
        </w:tc>
        <w:tc>
          <w:tcPr>
            <w:tcW w:w="992" w:type="dxa"/>
            <w:vAlign w:val="center"/>
          </w:tcPr>
          <w:p w14:paraId="01BEBF69" w14:textId="77777777" w:rsidR="008F1A59" w:rsidRPr="008F1A59" w:rsidRDefault="008F1A59" w:rsidP="008F1A59">
            <w:pPr>
              <w:keepNext/>
              <w:keepLines/>
              <w:tabs>
                <w:tab w:val="decimal" w:pos="256"/>
              </w:tabs>
              <w:spacing w:before="60" w:after="60"/>
              <w:jc w:val="center"/>
              <w:rPr>
                <w:sz w:val="14"/>
                <w:szCs w:val="14"/>
              </w:rPr>
            </w:pPr>
          </w:p>
        </w:tc>
      </w:tr>
      <w:tr w:rsidR="008F1A59" w:rsidRPr="008F1A59" w14:paraId="55F1F756" w14:textId="77777777" w:rsidTr="00841651">
        <w:tc>
          <w:tcPr>
            <w:tcW w:w="1277" w:type="dxa"/>
            <w:shd w:val="clear" w:color="auto" w:fill="auto"/>
            <w:vAlign w:val="bottom"/>
          </w:tcPr>
          <w:p w14:paraId="5D332C88" w14:textId="77777777" w:rsidR="008F1A59" w:rsidRPr="008F1A59" w:rsidRDefault="008F1A59" w:rsidP="008F1A59">
            <w:pPr>
              <w:keepNext/>
              <w:keepLines/>
              <w:tabs>
                <w:tab w:val="left" w:pos="86"/>
              </w:tabs>
              <w:spacing w:before="60" w:after="60"/>
              <w:jc w:val="left"/>
              <w:rPr>
                <w:sz w:val="14"/>
                <w:szCs w:val="14"/>
              </w:rPr>
            </w:pPr>
            <w:r w:rsidRPr="008F1A59">
              <w:rPr>
                <w:sz w:val="14"/>
                <w:szCs w:val="14"/>
              </w:rPr>
              <w:tab/>
              <w:t>b = 0%</w:t>
            </w:r>
          </w:p>
        </w:tc>
        <w:tc>
          <w:tcPr>
            <w:tcW w:w="992" w:type="dxa"/>
            <w:vAlign w:val="center"/>
          </w:tcPr>
          <w:p w14:paraId="0F405452" w14:textId="77777777" w:rsidR="008F1A59" w:rsidRPr="008F1A59" w:rsidRDefault="008F1A59" w:rsidP="008F1A59">
            <w:pPr>
              <w:keepNext/>
              <w:keepLines/>
              <w:tabs>
                <w:tab w:val="decimal" w:pos="256"/>
              </w:tabs>
              <w:spacing w:before="60" w:after="60"/>
              <w:jc w:val="center"/>
              <w:rPr>
                <w:sz w:val="14"/>
                <w:szCs w:val="14"/>
              </w:rPr>
            </w:pPr>
            <w:r w:rsidRPr="008F1A59">
              <w:rPr>
                <w:sz w:val="14"/>
                <w:szCs w:val="14"/>
              </w:rPr>
              <w:t>34.6%</w:t>
            </w:r>
          </w:p>
        </w:tc>
        <w:tc>
          <w:tcPr>
            <w:tcW w:w="737" w:type="dxa"/>
          </w:tcPr>
          <w:p w14:paraId="31EF8B62" w14:textId="77777777" w:rsidR="008F1A59" w:rsidRPr="008F1A59" w:rsidRDefault="008F1A59" w:rsidP="008F1A59">
            <w:pPr>
              <w:keepNext/>
              <w:keepLines/>
              <w:tabs>
                <w:tab w:val="decimal" w:pos="256"/>
              </w:tabs>
              <w:spacing w:before="60" w:after="60"/>
              <w:jc w:val="center"/>
              <w:rPr>
                <w:sz w:val="14"/>
                <w:szCs w:val="14"/>
              </w:rPr>
            </w:pPr>
            <w:r w:rsidRPr="008F1A59">
              <w:rPr>
                <w:sz w:val="14"/>
                <w:szCs w:val="14"/>
              </w:rPr>
              <w:t>39.1%</w:t>
            </w:r>
          </w:p>
        </w:tc>
        <w:tc>
          <w:tcPr>
            <w:tcW w:w="737" w:type="dxa"/>
          </w:tcPr>
          <w:p w14:paraId="4DC2EDEA" w14:textId="77777777" w:rsidR="008F1A59" w:rsidRPr="008F1A59" w:rsidRDefault="008F1A59" w:rsidP="008F1A59">
            <w:pPr>
              <w:keepNext/>
              <w:keepLines/>
              <w:tabs>
                <w:tab w:val="decimal" w:pos="256"/>
              </w:tabs>
              <w:spacing w:before="60" w:after="60"/>
              <w:jc w:val="center"/>
              <w:rPr>
                <w:sz w:val="14"/>
                <w:szCs w:val="14"/>
              </w:rPr>
            </w:pPr>
            <w:r w:rsidRPr="008F1A59">
              <w:rPr>
                <w:sz w:val="14"/>
                <w:szCs w:val="14"/>
              </w:rPr>
              <w:t>38.7%</w:t>
            </w:r>
          </w:p>
        </w:tc>
        <w:tc>
          <w:tcPr>
            <w:tcW w:w="737" w:type="dxa"/>
          </w:tcPr>
          <w:p w14:paraId="4A2E1681" w14:textId="77777777" w:rsidR="008F1A59" w:rsidRPr="008F1A59" w:rsidRDefault="008F1A59" w:rsidP="008F1A59">
            <w:pPr>
              <w:keepNext/>
              <w:keepLines/>
              <w:tabs>
                <w:tab w:val="decimal" w:pos="256"/>
              </w:tabs>
              <w:spacing w:before="60" w:after="60"/>
              <w:jc w:val="center"/>
              <w:rPr>
                <w:sz w:val="14"/>
                <w:szCs w:val="14"/>
              </w:rPr>
            </w:pPr>
            <w:r w:rsidRPr="008F1A59">
              <w:rPr>
                <w:sz w:val="14"/>
                <w:szCs w:val="14"/>
              </w:rPr>
              <w:t>36.2%</w:t>
            </w:r>
          </w:p>
        </w:tc>
        <w:tc>
          <w:tcPr>
            <w:tcW w:w="737" w:type="dxa"/>
          </w:tcPr>
          <w:p w14:paraId="65222D4D" w14:textId="77777777" w:rsidR="008F1A59" w:rsidRPr="008F1A59" w:rsidRDefault="008F1A59" w:rsidP="008F1A59">
            <w:pPr>
              <w:keepNext/>
              <w:keepLines/>
              <w:tabs>
                <w:tab w:val="decimal" w:pos="256"/>
              </w:tabs>
              <w:spacing w:before="60" w:after="60"/>
              <w:jc w:val="center"/>
              <w:rPr>
                <w:sz w:val="14"/>
                <w:szCs w:val="14"/>
              </w:rPr>
            </w:pPr>
            <w:r w:rsidRPr="008F1A59">
              <w:rPr>
                <w:sz w:val="14"/>
                <w:szCs w:val="14"/>
              </w:rPr>
              <w:t>33.6%</w:t>
            </w:r>
          </w:p>
        </w:tc>
        <w:tc>
          <w:tcPr>
            <w:tcW w:w="737" w:type="dxa"/>
          </w:tcPr>
          <w:p w14:paraId="6B30C607" w14:textId="77777777" w:rsidR="008F1A59" w:rsidRPr="008F1A59" w:rsidRDefault="008F1A59" w:rsidP="008F1A59">
            <w:pPr>
              <w:keepNext/>
              <w:keepLines/>
              <w:tabs>
                <w:tab w:val="decimal" w:pos="256"/>
              </w:tabs>
              <w:spacing w:before="60" w:after="60"/>
              <w:jc w:val="center"/>
              <w:rPr>
                <w:sz w:val="14"/>
                <w:szCs w:val="14"/>
              </w:rPr>
            </w:pPr>
            <w:r w:rsidRPr="008F1A59">
              <w:rPr>
                <w:sz w:val="14"/>
                <w:szCs w:val="14"/>
              </w:rPr>
              <w:t>31.7%</w:t>
            </w:r>
          </w:p>
        </w:tc>
        <w:tc>
          <w:tcPr>
            <w:tcW w:w="1134" w:type="dxa"/>
          </w:tcPr>
          <w:p w14:paraId="4929D954" w14:textId="77777777" w:rsidR="008F1A59" w:rsidRPr="008F1A59" w:rsidRDefault="008F1A59" w:rsidP="008F1A59">
            <w:pPr>
              <w:keepNext/>
              <w:keepLines/>
              <w:tabs>
                <w:tab w:val="decimal" w:pos="256"/>
              </w:tabs>
              <w:spacing w:before="60" w:after="60"/>
              <w:jc w:val="center"/>
              <w:rPr>
                <w:sz w:val="14"/>
                <w:szCs w:val="14"/>
              </w:rPr>
            </w:pPr>
            <w:r w:rsidRPr="008F1A59">
              <w:rPr>
                <w:sz w:val="14"/>
                <w:szCs w:val="14"/>
              </w:rPr>
              <w:t>28.0%</w:t>
            </w:r>
          </w:p>
        </w:tc>
        <w:tc>
          <w:tcPr>
            <w:tcW w:w="851" w:type="dxa"/>
          </w:tcPr>
          <w:p w14:paraId="65833CD0" w14:textId="77777777" w:rsidR="008F1A59" w:rsidRPr="008F1A59" w:rsidRDefault="008F1A59" w:rsidP="008F1A59">
            <w:pPr>
              <w:keepNext/>
              <w:keepLines/>
              <w:tabs>
                <w:tab w:val="decimal" w:pos="256"/>
              </w:tabs>
              <w:spacing w:before="60" w:after="60"/>
              <w:jc w:val="center"/>
              <w:rPr>
                <w:sz w:val="14"/>
                <w:szCs w:val="14"/>
              </w:rPr>
            </w:pPr>
            <w:r w:rsidRPr="008F1A59">
              <w:rPr>
                <w:sz w:val="14"/>
                <w:szCs w:val="14"/>
              </w:rPr>
              <w:t>39.1%</w:t>
            </w:r>
          </w:p>
        </w:tc>
        <w:tc>
          <w:tcPr>
            <w:tcW w:w="1134" w:type="dxa"/>
          </w:tcPr>
          <w:p w14:paraId="76C0D478" w14:textId="77777777" w:rsidR="008F1A59" w:rsidRPr="008F1A59" w:rsidRDefault="008F1A59" w:rsidP="008F1A59">
            <w:pPr>
              <w:keepNext/>
              <w:keepLines/>
              <w:tabs>
                <w:tab w:val="decimal" w:pos="256"/>
              </w:tabs>
              <w:spacing w:before="60" w:after="60"/>
              <w:jc w:val="center"/>
              <w:rPr>
                <w:sz w:val="14"/>
                <w:szCs w:val="14"/>
              </w:rPr>
            </w:pPr>
            <w:r w:rsidRPr="008F1A59">
              <w:rPr>
                <w:sz w:val="14"/>
                <w:szCs w:val="14"/>
              </w:rPr>
              <w:t>20.6%</w:t>
            </w:r>
          </w:p>
        </w:tc>
        <w:tc>
          <w:tcPr>
            <w:tcW w:w="992" w:type="dxa"/>
          </w:tcPr>
          <w:p w14:paraId="5EA408C9" w14:textId="77777777" w:rsidR="008F1A59" w:rsidRPr="008F1A59" w:rsidRDefault="008F1A59" w:rsidP="008F1A59">
            <w:pPr>
              <w:keepNext/>
              <w:keepLines/>
              <w:tabs>
                <w:tab w:val="decimal" w:pos="256"/>
              </w:tabs>
              <w:spacing w:before="60" w:after="60"/>
              <w:jc w:val="center"/>
              <w:rPr>
                <w:sz w:val="14"/>
                <w:szCs w:val="14"/>
              </w:rPr>
            </w:pPr>
            <w:r w:rsidRPr="008F1A59">
              <w:rPr>
                <w:sz w:val="14"/>
                <w:szCs w:val="14"/>
              </w:rPr>
              <w:t>0.0%</w:t>
            </w:r>
          </w:p>
        </w:tc>
      </w:tr>
      <w:tr w:rsidR="008F1A59" w:rsidRPr="008F1A59" w14:paraId="1B951E0D" w14:textId="77777777" w:rsidTr="00841651">
        <w:tc>
          <w:tcPr>
            <w:tcW w:w="1277" w:type="dxa"/>
            <w:shd w:val="clear" w:color="auto" w:fill="auto"/>
            <w:vAlign w:val="bottom"/>
          </w:tcPr>
          <w:p w14:paraId="3EAA82CC" w14:textId="77777777" w:rsidR="008F1A59" w:rsidRPr="008F1A59" w:rsidRDefault="008F1A59" w:rsidP="008F1A59">
            <w:pPr>
              <w:keepNext/>
              <w:keepLines/>
              <w:tabs>
                <w:tab w:val="left" w:pos="86"/>
              </w:tabs>
              <w:spacing w:before="60" w:after="60"/>
              <w:jc w:val="left"/>
              <w:rPr>
                <w:sz w:val="14"/>
                <w:szCs w:val="14"/>
              </w:rPr>
            </w:pPr>
            <w:r w:rsidRPr="008F1A59">
              <w:rPr>
                <w:sz w:val="14"/>
                <w:szCs w:val="14"/>
              </w:rPr>
              <w:tab/>
              <w:t>b = 43%</w:t>
            </w:r>
          </w:p>
        </w:tc>
        <w:tc>
          <w:tcPr>
            <w:tcW w:w="992" w:type="dxa"/>
          </w:tcPr>
          <w:p w14:paraId="2E689CCF" w14:textId="77777777" w:rsidR="008F1A59" w:rsidRPr="008F1A59" w:rsidRDefault="008F1A59" w:rsidP="008F1A59">
            <w:pPr>
              <w:keepNext/>
              <w:keepLines/>
              <w:tabs>
                <w:tab w:val="decimal" w:pos="256"/>
              </w:tabs>
              <w:spacing w:before="60" w:after="60"/>
              <w:jc w:val="center"/>
              <w:rPr>
                <w:sz w:val="14"/>
                <w:szCs w:val="14"/>
              </w:rPr>
            </w:pPr>
            <w:r w:rsidRPr="008F1A59">
              <w:rPr>
                <w:sz w:val="14"/>
                <w:szCs w:val="14"/>
              </w:rPr>
              <w:t>20.4%</w:t>
            </w:r>
          </w:p>
        </w:tc>
        <w:tc>
          <w:tcPr>
            <w:tcW w:w="737" w:type="dxa"/>
          </w:tcPr>
          <w:p w14:paraId="7E547CB9" w14:textId="77777777" w:rsidR="008F1A59" w:rsidRPr="008F1A59" w:rsidRDefault="008F1A59" w:rsidP="008F1A59">
            <w:pPr>
              <w:keepNext/>
              <w:keepLines/>
              <w:tabs>
                <w:tab w:val="decimal" w:pos="256"/>
              </w:tabs>
              <w:spacing w:before="60" w:after="60"/>
              <w:jc w:val="center"/>
              <w:rPr>
                <w:sz w:val="14"/>
                <w:szCs w:val="14"/>
              </w:rPr>
            </w:pPr>
            <w:r w:rsidRPr="008F1A59">
              <w:rPr>
                <w:sz w:val="14"/>
                <w:szCs w:val="14"/>
              </w:rPr>
              <w:t>26.8%</w:t>
            </w:r>
          </w:p>
        </w:tc>
        <w:tc>
          <w:tcPr>
            <w:tcW w:w="737" w:type="dxa"/>
          </w:tcPr>
          <w:p w14:paraId="0A41C902" w14:textId="77777777" w:rsidR="008F1A59" w:rsidRPr="008F1A59" w:rsidRDefault="008F1A59" w:rsidP="008F1A59">
            <w:pPr>
              <w:keepNext/>
              <w:keepLines/>
              <w:tabs>
                <w:tab w:val="decimal" w:pos="256"/>
              </w:tabs>
              <w:spacing w:before="60" w:after="60"/>
              <w:jc w:val="center"/>
              <w:rPr>
                <w:sz w:val="14"/>
                <w:szCs w:val="14"/>
              </w:rPr>
            </w:pPr>
            <w:r w:rsidRPr="008F1A59">
              <w:rPr>
                <w:sz w:val="14"/>
                <w:szCs w:val="14"/>
              </w:rPr>
              <w:t>26.3%</w:t>
            </w:r>
          </w:p>
        </w:tc>
        <w:tc>
          <w:tcPr>
            <w:tcW w:w="737" w:type="dxa"/>
          </w:tcPr>
          <w:p w14:paraId="18C918B0" w14:textId="77777777" w:rsidR="008F1A59" w:rsidRPr="008F1A59" w:rsidRDefault="008F1A59" w:rsidP="008F1A59">
            <w:pPr>
              <w:keepNext/>
              <w:keepLines/>
              <w:tabs>
                <w:tab w:val="decimal" w:pos="256"/>
              </w:tabs>
              <w:spacing w:before="60" w:after="60"/>
              <w:jc w:val="center"/>
              <w:rPr>
                <w:sz w:val="14"/>
                <w:szCs w:val="14"/>
              </w:rPr>
            </w:pPr>
            <w:r w:rsidRPr="008F1A59">
              <w:rPr>
                <w:sz w:val="14"/>
                <w:szCs w:val="14"/>
              </w:rPr>
              <w:t>22.8%</w:t>
            </w:r>
          </w:p>
        </w:tc>
        <w:tc>
          <w:tcPr>
            <w:tcW w:w="737" w:type="dxa"/>
          </w:tcPr>
          <w:p w14:paraId="75C4CBEF" w14:textId="77777777" w:rsidR="008F1A59" w:rsidRPr="008F1A59" w:rsidRDefault="008F1A59" w:rsidP="008F1A59">
            <w:pPr>
              <w:keepNext/>
              <w:keepLines/>
              <w:tabs>
                <w:tab w:val="decimal" w:pos="256"/>
              </w:tabs>
              <w:spacing w:before="60" w:after="60"/>
              <w:jc w:val="center"/>
              <w:rPr>
                <w:sz w:val="14"/>
                <w:szCs w:val="14"/>
              </w:rPr>
            </w:pPr>
            <w:r w:rsidRPr="008F1A59">
              <w:rPr>
                <w:sz w:val="14"/>
                <w:szCs w:val="14"/>
              </w:rPr>
              <w:t>19.2%</w:t>
            </w:r>
          </w:p>
        </w:tc>
        <w:tc>
          <w:tcPr>
            <w:tcW w:w="737" w:type="dxa"/>
          </w:tcPr>
          <w:p w14:paraId="19D09247" w14:textId="77777777" w:rsidR="008F1A59" w:rsidRPr="008F1A59" w:rsidRDefault="008F1A59" w:rsidP="008F1A59">
            <w:pPr>
              <w:keepNext/>
              <w:keepLines/>
              <w:tabs>
                <w:tab w:val="decimal" w:pos="256"/>
              </w:tabs>
              <w:spacing w:before="60" w:after="60"/>
              <w:jc w:val="center"/>
              <w:rPr>
                <w:sz w:val="14"/>
                <w:szCs w:val="14"/>
              </w:rPr>
            </w:pPr>
            <w:r w:rsidRPr="008F1A59">
              <w:rPr>
                <w:sz w:val="14"/>
                <w:szCs w:val="14"/>
              </w:rPr>
              <w:t>16.3%</w:t>
            </w:r>
          </w:p>
        </w:tc>
        <w:tc>
          <w:tcPr>
            <w:tcW w:w="1134" w:type="dxa"/>
          </w:tcPr>
          <w:p w14:paraId="71886A68" w14:textId="77777777" w:rsidR="008F1A59" w:rsidRPr="008F1A59" w:rsidRDefault="008F1A59" w:rsidP="008F1A59">
            <w:pPr>
              <w:keepNext/>
              <w:keepLines/>
              <w:tabs>
                <w:tab w:val="decimal" w:pos="256"/>
              </w:tabs>
              <w:spacing w:before="60" w:after="60"/>
              <w:jc w:val="center"/>
              <w:rPr>
                <w:sz w:val="14"/>
                <w:szCs w:val="14"/>
              </w:rPr>
            </w:pPr>
            <w:r w:rsidRPr="008F1A59">
              <w:rPr>
                <w:sz w:val="14"/>
                <w:szCs w:val="14"/>
              </w:rPr>
              <w:t>10.1%</w:t>
            </w:r>
          </w:p>
        </w:tc>
        <w:tc>
          <w:tcPr>
            <w:tcW w:w="851" w:type="dxa"/>
          </w:tcPr>
          <w:p w14:paraId="196715F7" w14:textId="77777777" w:rsidR="008F1A59" w:rsidRPr="008F1A59" w:rsidRDefault="008F1A59" w:rsidP="008F1A59">
            <w:pPr>
              <w:keepNext/>
              <w:keepLines/>
              <w:tabs>
                <w:tab w:val="decimal" w:pos="256"/>
              </w:tabs>
              <w:spacing w:before="60" w:after="60"/>
              <w:jc w:val="center"/>
              <w:rPr>
                <w:sz w:val="14"/>
                <w:szCs w:val="14"/>
              </w:rPr>
            </w:pPr>
            <w:r w:rsidRPr="008F1A59">
              <w:rPr>
                <w:sz w:val="14"/>
                <w:szCs w:val="14"/>
              </w:rPr>
              <w:t>26.8%</w:t>
            </w:r>
          </w:p>
        </w:tc>
        <w:tc>
          <w:tcPr>
            <w:tcW w:w="1134" w:type="dxa"/>
          </w:tcPr>
          <w:p w14:paraId="22C253B6" w14:textId="77777777" w:rsidR="008F1A59" w:rsidRPr="008F1A59" w:rsidRDefault="008F1A59" w:rsidP="008F1A59">
            <w:pPr>
              <w:keepNext/>
              <w:keepLines/>
              <w:tabs>
                <w:tab w:val="decimal" w:pos="256"/>
              </w:tabs>
              <w:spacing w:before="60" w:after="60"/>
              <w:jc w:val="center"/>
              <w:rPr>
                <w:sz w:val="14"/>
                <w:szCs w:val="14"/>
              </w:rPr>
            </w:pPr>
            <w:r w:rsidRPr="008F1A59">
              <w:rPr>
                <w:sz w:val="14"/>
                <w:szCs w:val="14"/>
              </w:rPr>
              <w:t>-1.8%</w:t>
            </w:r>
          </w:p>
        </w:tc>
        <w:tc>
          <w:tcPr>
            <w:tcW w:w="992" w:type="dxa"/>
          </w:tcPr>
          <w:p w14:paraId="141242B0" w14:textId="77777777" w:rsidR="008F1A59" w:rsidRPr="008F1A59" w:rsidRDefault="008F1A59" w:rsidP="008F1A59">
            <w:pPr>
              <w:keepNext/>
              <w:keepLines/>
              <w:tabs>
                <w:tab w:val="decimal" w:pos="256"/>
              </w:tabs>
              <w:spacing w:before="60" w:after="60"/>
              <w:jc w:val="center"/>
              <w:rPr>
                <w:sz w:val="14"/>
                <w:szCs w:val="14"/>
              </w:rPr>
            </w:pPr>
            <w:r w:rsidRPr="008F1A59">
              <w:rPr>
                <w:sz w:val="14"/>
                <w:szCs w:val="14"/>
              </w:rPr>
              <w:t>-24.9%</w:t>
            </w:r>
          </w:p>
        </w:tc>
      </w:tr>
      <w:tr w:rsidR="008F1A59" w:rsidRPr="008F1A59" w14:paraId="2927EAAE" w14:textId="77777777" w:rsidTr="00841651">
        <w:tc>
          <w:tcPr>
            <w:tcW w:w="1277" w:type="dxa"/>
            <w:shd w:val="clear" w:color="auto" w:fill="auto"/>
            <w:vAlign w:val="bottom"/>
          </w:tcPr>
          <w:p w14:paraId="42AE9078" w14:textId="77777777" w:rsidR="008F1A59" w:rsidRPr="008F1A59" w:rsidRDefault="008F1A59" w:rsidP="008F1A59">
            <w:pPr>
              <w:keepNext/>
              <w:keepLines/>
              <w:tabs>
                <w:tab w:val="left" w:pos="86"/>
              </w:tabs>
              <w:spacing w:before="60" w:after="60"/>
              <w:jc w:val="left"/>
              <w:rPr>
                <w:sz w:val="14"/>
                <w:szCs w:val="14"/>
              </w:rPr>
            </w:pPr>
            <w:r w:rsidRPr="008F1A59">
              <w:rPr>
                <w:sz w:val="14"/>
                <w:szCs w:val="14"/>
              </w:rPr>
              <w:tab/>
              <w:t>b = 60%</w:t>
            </w:r>
          </w:p>
        </w:tc>
        <w:tc>
          <w:tcPr>
            <w:tcW w:w="992" w:type="dxa"/>
          </w:tcPr>
          <w:p w14:paraId="3DE92AD4" w14:textId="77777777" w:rsidR="008F1A59" w:rsidRPr="008F1A59" w:rsidRDefault="008F1A59" w:rsidP="008F1A59">
            <w:pPr>
              <w:keepNext/>
              <w:keepLines/>
              <w:tabs>
                <w:tab w:val="decimal" w:pos="256"/>
              </w:tabs>
              <w:spacing w:before="60" w:after="60"/>
              <w:jc w:val="center"/>
              <w:rPr>
                <w:sz w:val="14"/>
                <w:szCs w:val="14"/>
              </w:rPr>
            </w:pPr>
            <w:r w:rsidRPr="008F1A59">
              <w:rPr>
                <w:sz w:val="14"/>
                <w:szCs w:val="14"/>
              </w:rPr>
              <w:t>13.0%</w:t>
            </w:r>
          </w:p>
        </w:tc>
        <w:tc>
          <w:tcPr>
            <w:tcW w:w="737" w:type="dxa"/>
          </w:tcPr>
          <w:p w14:paraId="351CDBB0" w14:textId="77777777" w:rsidR="008F1A59" w:rsidRPr="008F1A59" w:rsidRDefault="008F1A59" w:rsidP="008F1A59">
            <w:pPr>
              <w:keepNext/>
              <w:keepLines/>
              <w:tabs>
                <w:tab w:val="decimal" w:pos="256"/>
              </w:tabs>
              <w:spacing w:before="60" w:after="60"/>
              <w:jc w:val="center"/>
              <w:rPr>
                <w:sz w:val="14"/>
                <w:szCs w:val="14"/>
              </w:rPr>
            </w:pPr>
            <w:r w:rsidRPr="008F1A59">
              <w:rPr>
                <w:sz w:val="14"/>
                <w:szCs w:val="14"/>
              </w:rPr>
              <w:t>20.5%</w:t>
            </w:r>
          </w:p>
        </w:tc>
        <w:tc>
          <w:tcPr>
            <w:tcW w:w="737" w:type="dxa"/>
          </w:tcPr>
          <w:p w14:paraId="2F24AC28" w14:textId="77777777" w:rsidR="008F1A59" w:rsidRPr="008F1A59" w:rsidRDefault="008F1A59" w:rsidP="008F1A59">
            <w:pPr>
              <w:keepNext/>
              <w:keepLines/>
              <w:tabs>
                <w:tab w:val="decimal" w:pos="256"/>
              </w:tabs>
              <w:spacing w:before="60" w:after="60"/>
              <w:jc w:val="center"/>
              <w:rPr>
                <w:sz w:val="14"/>
                <w:szCs w:val="14"/>
              </w:rPr>
            </w:pPr>
            <w:r w:rsidRPr="008F1A59">
              <w:rPr>
                <w:sz w:val="14"/>
                <w:szCs w:val="14"/>
              </w:rPr>
              <w:t>19.8%</w:t>
            </w:r>
          </w:p>
        </w:tc>
        <w:tc>
          <w:tcPr>
            <w:tcW w:w="737" w:type="dxa"/>
          </w:tcPr>
          <w:p w14:paraId="2CED3D5E" w14:textId="77777777" w:rsidR="008F1A59" w:rsidRPr="008F1A59" w:rsidRDefault="008F1A59" w:rsidP="008F1A59">
            <w:pPr>
              <w:keepNext/>
              <w:keepLines/>
              <w:tabs>
                <w:tab w:val="decimal" w:pos="256"/>
              </w:tabs>
              <w:spacing w:before="60" w:after="60"/>
              <w:jc w:val="center"/>
              <w:rPr>
                <w:sz w:val="14"/>
                <w:szCs w:val="14"/>
              </w:rPr>
            </w:pPr>
            <w:r w:rsidRPr="008F1A59">
              <w:rPr>
                <w:sz w:val="14"/>
                <w:szCs w:val="14"/>
              </w:rPr>
              <w:t>15.9%</w:t>
            </w:r>
          </w:p>
        </w:tc>
        <w:tc>
          <w:tcPr>
            <w:tcW w:w="737" w:type="dxa"/>
          </w:tcPr>
          <w:p w14:paraId="245819E3" w14:textId="77777777" w:rsidR="008F1A59" w:rsidRPr="008F1A59" w:rsidRDefault="008F1A59" w:rsidP="008F1A59">
            <w:pPr>
              <w:keepNext/>
              <w:keepLines/>
              <w:tabs>
                <w:tab w:val="decimal" w:pos="256"/>
              </w:tabs>
              <w:spacing w:before="60" w:after="60"/>
              <w:jc w:val="center"/>
              <w:rPr>
                <w:sz w:val="14"/>
                <w:szCs w:val="14"/>
              </w:rPr>
            </w:pPr>
            <w:r w:rsidRPr="008F1A59">
              <w:rPr>
                <w:sz w:val="14"/>
                <w:szCs w:val="14"/>
              </w:rPr>
              <w:t>11.7%</w:t>
            </w:r>
          </w:p>
        </w:tc>
        <w:tc>
          <w:tcPr>
            <w:tcW w:w="737" w:type="dxa"/>
          </w:tcPr>
          <w:p w14:paraId="62E5F207" w14:textId="77777777" w:rsidR="008F1A59" w:rsidRPr="008F1A59" w:rsidRDefault="008F1A59" w:rsidP="008F1A59">
            <w:pPr>
              <w:keepNext/>
              <w:keepLines/>
              <w:tabs>
                <w:tab w:val="decimal" w:pos="256"/>
              </w:tabs>
              <w:spacing w:before="60" w:after="60"/>
              <w:jc w:val="center"/>
              <w:rPr>
                <w:sz w:val="14"/>
                <w:szCs w:val="14"/>
              </w:rPr>
            </w:pPr>
            <w:r w:rsidRPr="008F1A59">
              <w:rPr>
                <w:sz w:val="14"/>
                <w:szCs w:val="14"/>
              </w:rPr>
              <w:t>8.1%</w:t>
            </w:r>
          </w:p>
        </w:tc>
        <w:tc>
          <w:tcPr>
            <w:tcW w:w="1134" w:type="dxa"/>
          </w:tcPr>
          <w:p w14:paraId="2A82EB35" w14:textId="77777777" w:rsidR="008F1A59" w:rsidRPr="008F1A59" w:rsidRDefault="008F1A59" w:rsidP="008F1A59">
            <w:pPr>
              <w:keepNext/>
              <w:keepLines/>
              <w:tabs>
                <w:tab w:val="decimal" w:pos="256"/>
              </w:tabs>
              <w:spacing w:before="60" w:after="60"/>
              <w:jc w:val="center"/>
              <w:rPr>
                <w:sz w:val="14"/>
                <w:szCs w:val="14"/>
              </w:rPr>
            </w:pPr>
            <w:r w:rsidRPr="008F1A59">
              <w:rPr>
                <w:sz w:val="14"/>
                <w:szCs w:val="14"/>
              </w:rPr>
              <w:t>0.3%</w:t>
            </w:r>
          </w:p>
        </w:tc>
        <w:tc>
          <w:tcPr>
            <w:tcW w:w="851" w:type="dxa"/>
          </w:tcPr>
          <w:p w14:paraId="7B8622F9" w14:textId="77777777" w:rsidR="008F1A59" w:rsidRPr="008F1A59" w:rsidRDefault="008F1A59" w:rsidP="008F1A59">
            <w:pPr>
              <w:keepNext/>
              <w:keepLines/>
              <w:tabs>
                <w:tab w:val="decimal" w:pos="256"/>
              </w:tabs>
              <w:spacing w:before="60" w:after="60"/>
              <w:jc w:val="center"/>
              <w:rPr>
                <w:sz w:val="14"/>
                <w:szCs w:val="14"/>
              </w:rPr>
            </w:pPr>
            <w:r w:rsidRPr="008F1A59">
              <w:rPr>
                <w:sz w:val="14"/>
                <w:szCs w:val="14"/>
              </w:rPr>
              <w:t>20.5%</w:t>
            </w:r>
          </w:p>
        </w:tc>
        <w:tc>
          <w:tcPr>
            <w:tcW w:w="1134" w:type="dxa"/>
          </w:tcPr>
          <w:p w14:paraId="63F898AD" w14:textId="77777777" w:rsidR="008F1A59" w:rsidRPr="008F1A59" w:rsidRDefault="008F1A59" w:rsidP="008F1A59">
            <w:pPr>
              <w:keepNext/>
              <w:keepLines/>
              <w:tabs>
                <w:tab w:val="decimal" w:pos="256"/>
              </w:tabs>
              <w:spacing w:before="60" w:after="60"/>
              <w:jc w:val="center"/>
              <w:rPr>
                <w:sz w:val="14"/>
                <w:szCs w:val="14"/>
              </w:rPr>
            </w:pPr>
            <w:r w:rsidRPr="008F1A59">
              <w:rPr>
                <w:sz w:val="14"/>
                <w:szCs w:val="14"/>
              </w:rPr>
              <w:t>-14.5%</w:t>
            </w:r>
          </w:p>
        </w:tc>
        <w:tc>
          <w:tcPr>
            <w:tcW w:w="992" w:type="dxa"/>
          </w:tcPr>
          <w:p w14:paraId="5306062E" w14:textId="77777777" w:rsidR="008F1A59" w:rsidRPr="008F1A59" w:rsidRDefault="008F1A59" w:rsidP="008F1A59">
            <w:pPr>
              <w:keepNext/>
              <w:keepLines/>
              <w:tabs>
                <w:tab w:val="decimal" w:pos="256"/>
              </w:tabs>
              <w:spacing w:before="60" w:after="60"/>
              <w:jc w:val="center"/>
              <w:rPr>
                <w:sz w:val="14"/>
                <w:szCs w:val="14"/>
              </w:rPr>
            </w:pPr>
            <w:r w:rsidRPr="008F1A59">
              <w:rPr>
                <w:sz w:val="14"/>
                <w:szCs w:val="14"/>
              </w:rPr>
              <w:t>-38.5%</w:t>
            </w:r>
          </w:p>
        </w:tc>
      </w:tr>
      <w:tr w:rsidR="008F1A59" w:rsidRPr="008F1A59" w14:paraId="4AD2B486" w14:textId="77777777" w:rsidTr="00841651">
        <w:tc>
          <w:tcPr>
            <w:tcW w:w="1277" w:type="dxa"/>
            <w:shd w:val="clear" w:color="auto" w:fill="auto"/>
            <w:vAlign w:val="bottom"/>
          </w:tcPr>
          <w:p w14:paraId="7B62D220" w14:textId="77777777" w:rsidR="008F1A59" w:rsidRPr="008F1A59" w:rsidRDefault="008F1A59" w:rsidP="008F1A59">
            <w:pPr>
              <w:keepNext/>
              <w:keepLines/>
              <w:tabs>
                <w:tab w:val="left" w:pos="86"/>
              </w:tabs>
              <w:spacing w:before="60" w:after="60"/>
              <w:jc w:val="left"/>
              <w:rPr>
                <w:sz w:val="14"/>
                <w:szCs w:val="14"/>
              </w:rPr>
            </w:pPr>
            <w:r w:rsidRPr="008F1A59">
              <w:rPr>
                <w:sz w:val="14"/>
                <w:szCs w:val="14"/>
              </w:rPr>
              <w:tab/>
              <w:t>b = 100%</w:t>
            </w:r>
          </w:p>
        </w:tc>
        <w:tc>
          <w:tcPr>
            <w:tcW w:w="992" w:type="dxa"/>
          </w:tcPr>
          <w:p w14:paraId="19240951" w14:textId="77777777" w:rsidR="008F1A59" w:rsidRPr="008F1A59" w:rsidRDefault="008F1A59" w:rsidP="008F1A59">
            <w:pPr>
              <w:keepNext/>
              <w:keepLines/>
              <w:tabs>
                <w:tab w:val="decimal" w:pos="256"/>
              </w:tabs>
              <w:spacing w:before="60" w:after="60"/>
              <w:jc w:val="center"/>
              <w:rPr>
                <w:sz w:val="14"/>
                <w:szCs w:val="14"/>
              </w:rPr>
            </w:pPr>
            <w:r w:rsidRPr="008F1A59">
              <w:rPr>
                <w:sz w:val="14"/>
                <w:szCs w:val="14"/>
              </w:rPr>
              <w:t>-11.5%</w:t>
            </w:r>
          </w:p>
        </w:tc>
        <w:tc>
          <w:tcPr>
            <w:tcW w:w="737" w:type="dxa"/>
          </w:tcPr>
          <w:p w14:paraId="16862D4A" w14:textId="77777777" w:rsidR="008F1A59" w:rsidRPr="008F1A59" w:rsidRDefault="008F1A59" w:rsidP="008F1A59">
            <w:pPr>
              <w:keepNext/>
              <w:keepLines/>
              <w:tabs>
                <w:tab w:val="decimal" w:pos="256"/>
              </w:tabs>
              <w:spacing w:before="60" w:after="60"/>
              <w:jc w:val="center"/>
              <w:rPr>
                <w:sz w:val="14"/>
                <w:szCs w:val="14"/>
              </w:rPr>
            </w:pPr>
            <w:r w:rsidRPr="008F1A59">
              <w:rPr>
                <w:sz w:val="14"/>
                <w:szCs w:val="14"/>
              </w:rPr>
              <w:t>0.0%</w:t>
            </w:r>
          </w:p>
        </w:tc>
        <w:tc>
          <w:tcPr>
            <w:tcW w:w="737" w:type="dxa"/>
          </w:tcPr>
          <w:p w14:paraId="34842096" w14:textId="77777777" w:rsidR="008F1A59" w:rsidRPr="008F1A59" w:rsidRDefault="008F1A59" w:rsidP="008F1A59">
            <w:pPr>
              <w:keepNext/>
              <w:keepLines/>
              <w:tabs>
                <w:tab w:val="decimal" w:pos="256"/>
              </w:tabs>
              <w:spacing w:before="60" w:after="60"/>
              <w:jc w:val="center"/>
              <w:rPr>
                <w:sz w:val="14"/>
                <w:szCs w:val="14"/>
              </w:rPr>
            </w:pPr>
            <w:r w:rsidRPr="008F1A59">
              <w:rPr>
                <w:sz w:val="14"/>
                <w:szCs w:val="14"/>
              </w:rPr>
              <w:t>-0.9%</w:t>
            </w:r>
          </w:p>
        </w:tc>
        <w:tc>
          <w:tcPr>
            <w:tcW w:w="737" w:type="dxa"/>
          </w:tcPr>
          <w:p w14:paraId="4BE2F6E1" w14:textId="77777777" w:rsidR="008F1A59" w:rsidRPr="008F1A59" w:rsidRDefault="008F1A59" w:rsidP="008F1A59">
            <w:pPr>
              <w:keepNext/>
              <w:keepLines/>
              <w:tabs>
                <w:tab w:val="decimal" w:pos="256"/>
              </w:tabs>
              <w:spacing w:before="60" w:after="60"/>
              <w:jc w:val="center"/>
              <w:rPr>
                <w:sz w:val="14"/>
                <w:szCs w:val="14"/>
              </w:rPr>
            </w:pPr>
            <w:r w:rsidRPr="008F1A59">
              <w:rPr>
                <w:sz w:val="14"/>
                <w:szCs w:val="14"/>
              </w:rPr>
              <w:t>-6.5%</w:t>
            </w:r>
          </w:p>
        </w:tc>
        <w:tc>
          <w:tcPr>
            <w:tcW w:w="737" w:type="dxa"/>
          </w:tcPr>
          <w:p w14:paraId="5D25EE27" w14:textId="77777777" w:rsidR="008F1A59" w:rsidRPr="008F1A59" w:rsidRDefault="008F1A59" w:rsidP="008F1A59">
            <w:pPr>
              <w:keepNext/>
              <w:keepLines/>
              <w:tabs>
                <w:tab w:val="decimal" w:pos="256"/>
              </w:tabs>
              <w:spacing w:before="60" w:after="60"/>
              <w:jc w:val="center"/>
              <w:rPr>
                <w:sz w:val="14"/>
                <w:szCs w:val="14"/>
              </w:rPr>
            </w:pPr>
            <w:r w:rsidRPr="008F1A59">
              <w:rPr>
                <w:sz w:val="14"/>
                <w:szCs w:val="14"/>
              </w:rPr>
              <w:t>-13.2%</w:t>
            </w:r>
          </w:p>
        </w:tc>
        <w:tc>
          <w:tcPr>
            <w:tcW w:w="737" w:type="dxa"/>
          </w:tcPr>
          <w:p w14:paraId="132E34E6" w14:textId="77777777" w:rsidR="008F1A59" w:rsidRPr="008F1A59" w:rsidRDefault="008F1A59" w:rsidP="008F1A59">
            <w:pPr>
              <w:keepNext/>
              <w:keepLines/>
              <w:tabs>
                <w:tab w:val="decimal" w:pos="256"/>
              </w:tabs>
              <w:spacing w:before="60" w:after="60"/>
              <w:jc w:val="center"/>
              <w:rPr>
                <w:sz w:val="14"/>
                <w:szCs w:val="14"/>
              </w:rPr>
            </w:pPr>
            <w:r w:rsidRPr="008F1A59">
              <w:rPr>
                <w:sz w:val="14"/>
                <w:szCs w:val="14"/>
              </w:rPr>
              <w:t>-19.2%</w:t>
            </w:r>
          </w:p>
        </w:tc>
        <w:tc>
          <w:tcPr>
            <w:tcW w:w="1134" w:type="dxa"/>
          </w:tcPr>
          <w:p w14:paraId="6EB01027" w14:textId="77777777" w:rsidR="008F1A59" w:rsidRPr="008F1A59" w:rsidRDefault="008F1A59" w:rsidP="008F1A59">
            <w:pPr>
              <w:keepNext/>
              <w:keepLines/>
              <w:tabs>
                <w:tab w:val="decimal" w:pos="256"/>
              </w:tabs>
              <w:spacing w:before="60" w:after="60"/>
              <w:jc w:val="center"/>
              <w:rPr>
                <w:sz w:val="14"/>
                <w:szCs w:val="14"/>
              </w:rPr>
            </w:pPr>
            <w:r w:rsidRPr="008F1A59">
              <w:rPr>
                <w:sz w:val="14"/>
                <w:szCs w:val="14"/>
              </w:rPr>
              <w:t>-34.1%</w:t>
            </w:r>
          </w:p>
        </w:tc>
        <w:tc>
          <w:tcPr>
            <w:tcW w:w="851" w:type="dxa"/>
          </w:tcPr>
          <w:p w14:paraId="736895A3" w14:textId="77777777" w:rsidR="008F1A59" w:rsidRPr="008F1A59" w:rsidRDefault="008F1A59" w:rsidP="008F1A59">
            <w:pPr>
              <w:keepNext/>
              <w:keepLines/>
              <w:tabs>
                <w:tab w:val="decimal" w:pos="256"/>
              </w:tabs>
              <w:spacing w:before="60" w:after="60"/>
              <w:jc w:val="center"/>
              <w:rPr>
                <w:sz w:val="14"/>
                <w:szCs w:val="14"/>
              </w:rPr>
            </w:pPr>
            <w:r w:rsidRPr="008F1A59">
              <w:rPr>
                <w:sz w:val="14"/>
                <w:szCs w:val="14"/>
              </w:rPr>
              <w:t>0.0%</w:t>
            </w:r>
          </w:p>
        </w:tc>
        <w:tc>
          <w:tcPr>
            <w:tcW w:w="1134" w:type="dxa"/>
          </w:tcPr>
          <w:p w14:paraId="0E417698" w14:textId="77777777" w:rsidR="008F1A59" w:rsidRPr="008F1A59" w:rsidRDefault="008F1A59" w:rsidP="008F1A59">
            <w:pPr>
              <w:keepNext/>
              <w:keepLines/>
              <w:tabs>
                <w:tab w:val="decimal" w:pos="256"/>
              </w:tabs>
              <w:spacing w:before="60" w:after="60"/>
              <w:jc w:val="center"/>
              <w:rPr>
                <w:sz w:val="14"/>
                <w:szCs w:val="14"/>
              </w:rPr>
            </w:pPr>
            <w:r w:rsidRPr="008F1A59">
              <w:rPr>
                <w:sz w:val="14"/>
                <w:szCs w:val="14"/>
              </w:rPr>
              <w:t>-62.3%</w:t>
            </w:r>
          </w:p>
        </w:tc>
        <w:tc>
          <w:tcPr>
            <w:tcW w:w="992" w:type="dxa"/>
          </w:tcPr>
          <w:p w14:paraId="006F59BF" w14:textId="77777777" w:rsidR="008F1A59" w:rsidRPr="008F1A59" w:rsidRDefault="008F1A59" w:rsidP="008F1A59">
            <w:pPr>
              <w:keepNext/>
              <w:keepLines/>
              <w:tabs>
                <w:tab w:val="decimal" w:pos="256"/>
              </w:tabs>
              <w:spacing w:before="60" w:after="60"/>
              <w:jc w:val="center"/>
              <w:rPr>
                <w:sz w:val="14"/>
                <w:szCs w:val="14"/>
              </w:rPr>
            </w:pPr>
            <w:r w:rsidRPr="008F1A59">
              <w:rPr>
                <w:sz w:val="14"/>
                <w:szCs w:val="14"/>
              </w:rPr>
              <w:t>-86.2%</w:t>
            </w:r>
          </w:p>
        </w:tc>
      </w:tr>
      <w:tr w:rsidR="008F1A59" w:rsidRPr="008F1A59" w14:paraId="7E7B13CA" w14:textId="77777777" w:rsidTr="00841651">
        <w:tc>
          <w:tcPr>
            <w:tcW w:w="1277" w:type="dxa"/>
            <w:shd w:val="clear" w:color="auto" w:fill="auto"/>
            <w:vAlign w:val="bottom"/>
          </w:tcPr>
          <w:p w14:paraId="1064651B" w14:textId="77777777" w:rsidR="008F1A59" w:rsidRPr="008F1A59" w:rsidRDefault="008F1A59" w:rsidP="008F1A59">
            <w:pPr>
              <w:keepNext/>
              <w:keepLines/>
              <w:tabs>
                <w:tab w:val="left" w:pos="86"/>
              </w:tabs>
              <w:spacing w:before="60" w:after="60"/>
              <w:jc w:val="left"/>
              <w:rPr>
                <w:b/>
                <w:bCs/>
                <w:sz w:val="14"/>
                <w:szCs w:val="14"/>
              </w:rPr>
            </w:pPr>
            <w:r w:rsidRPr="008F1A59">
              <w:rPr>
                <w:b/>
                <w:bCs/>
                <w:sz w:val="14"/>
                <w:szCs w:val="14"/>
              </w:rPr>
              <w:t>Inflation = 0%</w:t>
            </w:r>
          </w:p>
        </w:tc>
        <w:tc>
          <w:tcPr>
            <w:tcW w:w="992" w:type="dxa"/>
          </w:tcPr>
          <w:p w14:paraId="76877560" w14:textId="77777777" w:rsidR="008F1A59" w:rsidRPr="008F1A59" w:rsidRDefault="008F1A59" w:rsidP="008F1A59">
            <w:pPr>
              <w:keepNext/>
              <w:keepLines/>
              <w:tabs>
                <w:tab w:val="decimal" w:pos="256"/>
              </w:tabs>
              <w:spacing w:before="60" w:after="60"/>
              <w:jc w:val="center"/>
              <w:rPr>
                <w:sz w:val="14"/>
                <w:szCs w:val="14"/>
              </w:rPr>
            </w:pPr>
          </w:p>
        </w:tc>
        <w:tc>
          <w:tcPr>
            <w:tcW w:w="737" w:type="dxa"/>
          </w:tcPr>
          <w:p w14:paraId="45AEE966" w14:textId="77777777" w:rsidR="008F1A59" w:rsidRPr="008F1A59" w:rsidRDefault="008F1A59" w:rsidP="008F1A59">
            <w:pPr>
              <w:keepNext/>
              <w:keepLines/>
              <w:tabs>
                <w:tab w:val="decimal" w:pos="256"/>
              </w:tabs>
              <w:spacing w:before="60" w:after="60"/>
              <w:jc w:val="center"/>
              <w:rPr>
                <w:sz w:val="14"/>
                <w:szCs w:val="14"/>
              </w:rPr>
            </w:pPr>
          </w:p>
        </w:tc>
        <w:tc>
          <w:tcPr>
            <w:tcW w:w="737" w:type="dxa"/>
          </w:tcPr>
          <w:p w14:paraId="623CBBE7" w14:textId="77777777" w:rsidR="008F1A59" w:rsidRPr="008F1A59" w:rsidRDefault="008F1A59" w:rsidP="008F1A59">
            <w:pPr>
              <w:keepNext/>
              <w:keepLines/>
              <w:tabs>
                <w:tab w:val="decimal" w:pos="256"/>
              </w:tabs>
              <w:spacing w:before="60" w:after="60"/>
              <w:jc w:val="center"/>
              <w:rPr>
                <w:sz w:val="14"/>
                <w:szCs w:val="14"/>
              </w:rPr>
            </w:pPr>
          </w:p>
        </w:tc>
        <w:tc>
          <w:tcPr>
            <w:tcW w:w="737" w:type="dxa"/>
          </w:tcPr>
          <w:p w14:paraId="4F01828E" w14:textId="77777777" w:rsidR="008F1A59" w:rsidRPr="008F1A59" w:rsidRDefault="008F1A59" w:rsidP="008F1A59">
            <w:pPr>
              <w:keepNext/>
              <w:keepLines/>
              <w:tabs>
                <w:tab w:val="decimal" w:pos="256"/>
              </w:tabs>
              <w:spacing w:before="60" w:after="60"/>
              <w:jc w:val="center"/>
              <w:rPr>
                <w:sz w:val="14"/>
                <w:szCs w:val="14"/>
              </w:rPr>
            </w:pPr>
          </w:p>
        </w:tc>
        <w:tc>
          <w:tcPr>
            <w:tcW w:w="737" w:type="dxa"/>
          </w:tcPr>
          <w:p w14:paraId="07FA622C" w14:textId="77777777" w:rsidR="008F1A59" w:rsidRPr="008F1A59" w:rsidRDefault="008F1A59" w:rsidP="008F1A59">
            <w:pPr>
              <w:keepNext/>
              <w:keepLines/>
              <w:tabs>
                <w:tab w:val="decimal" w:pos="256"/>
              </w:tabs>
              <w:spacing w:before="60" w:after="60"/>
              <w:jc w:val="center"/>
              <w:rPr>
                <w:sz w:val="14"/>
                <w:szCs w:val="14"/>
              </w:rPr>
            </w:pPr>
          </w:p>
        </w:tc>
        <w:tc>
          <w:tcPr>
            <w:tcW w:w="737" w:type="dxa"/>
          </w:tcPr>
          <w:p w14:paraId="2B94EAA2" w14:textId="77777777" w:rsidR="008F1A59" w:rsidRPr="008F1A59" w:rsidRDefault="008F1A59" w:rsidP="008F1A59">
            <w:pPr>
              <w:keepNext/>
              <w:keepLines/>
              <w:tabs>
                <w:tab w:val="decimal" w:pos="256"/>
              </w:tabs>
              <w:spacing w:before="60" w:after="60"/>
              <w:jc w:val="center"/>
              <w:rPr>
                <w:sz w:val="14"/>
                <w:szCs w:val="14"/>
              </w:rPr>
            </w:pPr>
          </w:p>
        </w:tc>
        <w:tc>
          <w:tcPr>
            <w:tcW w:w="1134" w:type="dxa"/>
          </w:tcPr>
          <w:p w14:paraId="0AFA089E" w14:textId="77777777" w:rsidR="008F1A59" w:rsidRPr="008F1A59" w:rsidRDefault="008F1A59" w:rsidP="008F1A59">
            <w:pPr>
              <w:keepNext/>
              <w:keepLines/>
              <w:tabs>
                <w:tab w:val="decimal" w:pos="256"/>
              </w:tabs>
              <w:spacing w:before="60" w:after="60"/>
              <w:jc w:val="center"/>
              <w:rPr>
                <w:sz w:val="14"/>
                <w:szCs w:val="14"/>
              </w:rPr>
            </w:pPr>
          </w:p>
        </w:tc>
        <w:tc>
          <w:tcPr>
            <w:tcW w:w="851" w:type="dxa"/>
          </w:tcPr>
          <w:p w14:paraId="35295EFB" w14:textId="77777777" w:rsidR="008F1A59" w:rsidRPr="008F1A59" w:rsidRDefault="008F1A59" w:rsidP="008F1A59">
            <w:pPr>
              <w:keepNext/>
              <w:keepLines/>
              <w:tabs>
                <w:tab w:val="decimal" w:pos="256"/>
              </w:tabs>
              <w:spacing w:before="60" w:after="60"/>
              <w:jc w:val="center"/>
              <w:rPr>
                <w:sz w:val="14"/>
                <w:szCs w:val="14"/>
              </w:rPr>
            </w:pPr>
          </w:p>
        </w:tc>
        <w:tc>
          <w:tcPr>
            <w:tcW w:w="1134" w:type="dxa"/>
          </w:tcPr>
          <w:p w14:paraId="0F2D84E6" w14:textId="77777777" w:rsidR="008F1A59" w:rsidRPr="008F1A59" w:rsidRDefault="008F1A59" w:rsidP="008F1A59">
            <w:pPr>
              <w:keepNext/>
              <w:keepLines/>
              <w:tabs>
                <w:tab w:val="decimal" w:pos="256"/>
              </w:tabs>
              <w:spacing w:before="60" w:after="60"/>
              <w:jc w:val="center"/>
              <w:rPr>
                <w:sz w:val="14"/>
                <w:szCs w:val="14"/>
              </w:rPr>
            </w:pPr>
          </w:p>
        </w:tc>
        <w:tc>
          <w:tcPr>
            <w:tcW w:w="992" w:type="dxa"/>
          </w:tcPr>
          <w:p w14:paraId="60502A7E" w14:textId="77777777" w:rsidR="008F1A59" w:rsidRPr="008F1A59" w:rsidRDefault="008F1A59" w:rsidP="008F1A59">
            <w:pPr>
              <w:keepNext/>
              <w:keepLines/>
              <w:tabs>
                <w:tab w:val="decimal" w:pos="256"/>
              </w:tabs>
              <w:spacing w:before="60" w:after="60"/>
              <w:jc w:val="center"/>
              <w:rPr>
                <w:sz w:val="14"/>
                <w:szCs w:val="14"/>
              </w:rPr>
            </w:pPr>
          </w:p>
        </w:tc>
      </w:tr>
      <w:tr w:rsidR="008F1A59" w:rsidRPr="008F1A59" w14:paraId="10B20B98" w14:textId="77777777" w:rsidTr="00841651">
        <w:tc>
          <w:tcPr>
            <w:tcW w:w="1277" w:type="dxa"/>
            <w:shd w:val="clear" w:color="auto" w:fill="auto"/>
            <w:vAlign w:val="bottom"/>
          </w:tcPr>
          <w:p w14:paraId="52B31B6D" w14:textId="77777777" w:rsidR="008F1A59" w:rsidRPr="008F1A59" w:rsidRDefault="008F1A59" w:rsidP="008F1A59">
            <w:pPr>
              <w:keepNext/>
              <w:keepLines/>
              <w:tabs>
                <w:tab w:val="left" w:pos="86"/>
              </w:tabs>
              <w:spacing w:before="60" w:after="60"/>
              <w:jc w:val="left"/>
              <w:rPr>
                <w:sz w:val="14"/>
                <w:szCs w:val="14"/>
              </w:rPr>
            </w:pPr>
            <w:r w:rsidRPr="008F1A59">
              <w:rPr>
                <w:sz w:val="14"/>
                <w:szCs w:val="14"/>
              </w:rPr>
              <w:tab/>
              <w:t>b = 0%</w:t>
            </w:r>
          </w:p>
        </w:tc>
        <w:tc>
          <w:tcPr>
            <w:tcW w:w="992" w:type="dxa"/>
          </w:tcPr>
          <w:p w14:paraId="3C3005EE" w14:textId="77777777" w:rsidR="008F1A59" w:rsidRPr="008F1A59" w:rsidRDefault="008F1A59" w:rsidP="008F1A59">
            <w:pPr>
              <w:keepNext/>
              <w:keepLines/>
              <w:tabs>
                <w:tab w:val="decimal" w:pos="256"/>
              </w:tabs>
              <w:spacing w:before="60" w:after="60"/>
              <w:jc w:val="center"/>
              <w:rPr>
                <w:sz w:val="14"/>
                <w:szCs w:val="14"/>
              </w:rPr>
            </w:pPr>
            <w:r w:rsidRPr="008F1A59">
              <w:rPr>
                <w:sz w:val="14"/>
                <w:szCs w:val="14"/>
              </w:rPr>
              <w:t>30.7%</w:t>
            </w:r>
          </w:p>
        </w:tc>
        <w:tc>
          <w:tcPr>
            <w:tcW w:w="737" w:type="dxa"/>
          </w:tcPr>
          <w:p w14:paraId="1960536E" w14:textId="77777777" w:rsidR="008F1A59" w:rsidRPr="008F1A59" w:rsidRDefault="008F1A59" w:rsidP="008F1A59">
            <w:pPr>
              <w:keepNext/>
              <w:keepLines/>
              <w:tabs>
                <w:tab w:val="decimal" w:pos="256"/>
              </w:tabs>
              <w:spacing w:before="60" w:after="60"/>
              <w:jc w:val="center"/>
              <w:rPr>
                <w:sz w:val="14"/>
                <w:szCs w:val="14"/>
              </w:rPr>
            </w:pPr>
            <w:r w:rsidRPr="008F1A59">
              <w:rPr>
                <w:sz w:val="14"/>
                <w:szCs w:val="14"/>
              </w:rPr>
              <w:t>28.0%</w:t>
            </w:r>
          </w:p>
        </w:tc>
        <w:tc>
          <w:tcPr>
            <w:tcW w:w="737" w:type="dxa"/>
          </w:tcPr>
          <w:p w14:paraId="1F6D5FE1" w14:textId="77777777" w:rsidR="008F1A59" w:rsidRPr="008F1A59" w:rsidRDefault="008F1A59" w:rsidP="008F1A59">
            <w:pPr>
              <w:keepNext/>
              <w:keepLines/>
              <w:tabs>
                <w:tab w:val="decimal" w:pos="256"/>
              </w:tabs>
              <w:spacing w:before="60" w:after="60"/>
              <w:jc w:val="center"/>
              <w:rPr>
                <w:sz w:val="14"/>
                <w:szCs w:val="14"/>
              </w:rPr>
            </w:pPr>
            <w:r w:rsidRPr="008F1A59">
              <w:rPr>
                <w:sz w:val="14"/>
                <w:szCs w:val="14"/>
              </w:rPr>
              <w:t>28.0%</w:t>
            </w:r>
          </w:p>
        </w:tc>
        <w:tc>
          <w:tcPr>
            <w:tcW w:w="737" w:type="dxa"/>
          </w:tcPr>
          <w:p w14:paraId="42040811" w14:textId="77777777" w:rsidR="008F1A59" w:rsidRPr="008F1A59" w:rsidRDefault="008F1A59" w:rsidP="008F1A59">
            <w:pPr>
              <w:keepNext/>
              <w:keepLines/>
              <w:tabs>
                <w:tab w:val="decimal" w:pos="256"/>
              </w:tabs>
              <w:spacing w:before="60" w:after="60"/>
              <w:jc w:val="center"/>
              <w:rPr>
                <w:sz w:val="14"/>
                <w:szCs w:val="14"/>
              </w:rPr>
            </w:pPr>
            <w:r w:rsidRPr="008F1A59">
              <w:rPr>
                <w:sz w:val="14"/>
                <w:szCs w:val="14"/>
              </w:rPr>
              <w:t>28.0%</w:t>
            </w:r>
          </w:p>
        </w:tc>
        <w:tc>
          <w:tcPr>
            <w:tcW w:w="737" w:type="dxa"/>
          </w:tcPr>
          <w:p w14:paraId="2FB63909" w14:textId="77777777" w:rsidR="008F1A59" w:rsidRPr="008F1A59" w:rsidRDefault="008F1A59" w:rsidP="008F1A59">
            <w:pPr>
              <w:keepNext/>
              <w:keepLines/>
              <w:tabs>
                <w:tab w:val="decimal" w:pos="256"/>
              </w:tabs>
              <w:spacing w:before="60" w:after="60"/>
              <w:jc w:val="center"/>
              <w:rPr>
                <w:sz w:val="14"/>
                <w:szCs w:val="14"/>
              </w:rPr>
            </w:pPr>
            <w:r w:rsidRPr="008F1A59">
              <w:rPr>
                <w:sz w:val="14"/>
                <w:szCs w:val="14"/>
              </w:rPr>
              <w:t>28.0%</w:t>
            </w:r>
          </w:p>
        </w:tc>
        <w:tc>
          <w:tcPr>
            <w:tcW w:w="737" w:type="dxa"/>
          </w:tcPr>
          <w:p w14:paraId="7CB6E555" w14:textId="77777777" w:rsidR="008F1A59" w:rsidRPr="008F1A59" w:rsidRDefault="008F1A59" w:rsidP="008F1A59">
            <w:pPr>
              <w:keepNext/>
              <w:keepLines/>
              <w:tabs>
                <w:tab w:val="decimal" w:pos="256"/>
              </w:tabs>
              <w:spacing w:before="60" w:after="60"/>
              <w:jc w:val="center"/>
              <w:rPr>
                <w:sz w:val="14"/>
                <w:szCs w:val="14"/>
              </w:rPr>
            </w:pPr>
            <w:r w:rsidRPr="008F1A59">
              <w:rPr>
                <w:sz w:val="14"/>
                <w:szCs w:val="14"/>
              </w:rPr>
              <w:t>28.0%</w:t>
            </w:r>
          </w:p>
        </w:tc>
        <w:tc>
          <w:tcPr>
            <w:tcW w:w="1134" w:type="dxa"/>
          </w:tcPr>
          <w:p w14:paraId="0F88F0A2" w14:textId="77777777" w:rsidR="008F1A59" w:rsidRPr="008F1A59" w:rsidRDefault="008F1A59" w:rsidP="008F1A59">
            <w:pPr>
              <w:keepNext/>
              <w:keepLines/>
              <w:tabs>
                <w:tab w:val="decimal" w:pos="256"/>
              </w:tabs>
              <w:spacing w:before="60" w:after="60"/>
              <w:jc w:val="center"/>
              <w:rPr>
                <w:sz w:val="14"/>
                <w:szCs w:val="14"/>
              </w:rPr>
            </w:pPr>
            <w:r w:rsidRPr="008F1A59">
              <w:rPr>
                <w:sz w:val="14"/>
                <w:szCs w:val="14"/>
              </w:rPr>
              <w:t>28.0%</w:t>
            </w:r>
          </w:p>
        </w:tc>
        <w:tc>
          <w:tcPr>
            <w:tcW w:w="851" w:type="dxa"/>
          </w:tcPr>
          <w:p w14:paraId="138428FB" w14:textId="77777777" w:rsidR="008F1A59" w:rsidRPr="008F1A59" w:rsidRDefault="008F1A59" w:rsidP="008F1A59">
            <w:pPr>
              <w:keepNext/>
              <w:keepLines/>
              <w:tabs>
                <w:tab w:val="decimal" w:pos="256"/>
              </w:tabs>
              <w:spacing w:before="60" w:after="60"/>
              <w:jc w:val="center"/>
              <w:rPr>
                <w:sz w:val="14"/>
                <w:szCs w:val="14"/>
              </w:rPr>
            </w:pPr>
            <w:r w:rsidRPr="008F1A59">
              <w:rPr>
                <w:sz w:val="14"/>
                <w:szCs w:val="14"/>
              </w:rPr>
              <w:t>28.0%</w:t>
            </w:r>
          </w:p>
        </w:tc>
        <w:tc>
          <w:tcPr>
            <w:tcW w:w="1134" w:type="dxa"/>
          </w:tcPr>
          <w:p w14:paraId="5024EC84" w14:textId="77777777" w:rsidR="008F1A59" w:rsidRPr="008F1A59" w:rsidRDefault="008F1A59" w:rsidP="008F1A59">
            <w:pPr>
              <w:keepNext/>
              <w:keepLines/>
              <w:tabs>
                <w:tab w:val="decimal" w:pos="256"/>
              </w:tabs>
              <w:spacing w:before="60" w:after="60"/>
              <w:jc w:val="center"/>
              <w:rPr>
                <w:sz w:val="14"/>
                <w:szCs w:val="14"/>
              </w:rPr>
            </w:pPr>
            <w:r w:rsidRPr="008F1A59">
              <w:rPr>
                <w:sz w:val="14"/>
                <w:szCs w:val="14"/>
              </w:rPr>
              <w:t>20.6%</w:t>
            </w:r>
          </w:p>
        </w:tc>
        <w:tc>
          <w:tcPr>
            <w:tcW w:w="992" w:type="dxa"/>
          </w:tcPr>
          <w:p w14:paraId="33925ACC" w14:textId="77777777" w:rsidR="008F1A59" w:rsidRPr="008F1A59" w:rsidRDefault="008F1A59" w:rsidP="008F1A59">
            <w:pPr>
              <w:keepNext/>
              <w:keepLines/>
              <w:tabs>
                <w:tab w:val="decimal" w:pos="256"/>
              </w:tabs>
              <w:spacing w:before="60" w:after="60"/>
              <w:jc w:val="center"/>
              <w:rPr>
                <w:sz w:val="14"/>
                <w:szCs w:val="14"/>
              </w:rPr>
            </w:pPr>
            <w:r w:rsidRPr="008F1A59">
              <w:rPr>
                <w:sz w:val="14"/>
                <w:szCs w:val="14"/>
              </w:rPr>
              <w:t>0.0%</w:t>
            </w:r>
          </w:p>
        </w:tc>
      </w:tr>
      <w:tr w:rsidR="008F1A59" w:rsidRPr="008F1A59" w14:paraId="20164633" w14:textId="77777777" w:rsidTr="00841651">
        <w:tc>
          <w:tcPr>
            <w:tcW w:w="1277" w:type="dxa"/>
            <w:shd w:val="clear" w:color="auto" w:fill="auto"/>
            <w:vAlign w:val="bottom"/>
          </w:tcPr>
          <w:p w14:paraId="197384A3" w14:textId="77777777" w:rsidR="008F1A59" w:rsidRPr="008F1A59" w:rsidRDefault="008F1A59" w:rsidP="008F1A59">
            <w:pPr>
              <w:keepNext/>
              <w:keepLines/>
              <w:tabs>
                <w:tab w:val="left" w:pos="86"/>
              </w:tabs>
              <w:spacing w:before="60" w:after="60"/>
              <w:jc w:val="left"/>
              <w:rPr>
                <w:sz w:val="14"/>
                <w:szCs w:val="14"/>
              </w:rPr>
            </w:pPr>
            <w:r w:rsidRPr="008F1A59">
              <w:rPr>
                <w:sz w:val="14"/>
                <w:szCs w:val="14"/>
              </w:rPr>
              <w:tab/>
              <w:t>b = 43%</w:t>
            </w:r>
          </w:p>
        </w:tc>
        <w:tc>
          <w:tcPr>
            <w:tcW w:w="992" w:type="dxa"/>
          </w:tcPr>
          <w:p w14:paraId="7FB42073" w14:textId="77777777" w:rsidR="008F1A59" w:rsidRPr="008F1A59" w:rsidRDefault="008F1A59" w:rsidP="008F1A59">
            <w:pPr>
              <w:keepNext/>
              <w:keepLines/>
              <w:tabs>
                <w:tab w:val="decimal" w:pos="256"/>
              </w:tabs>
              <w:spacing w:before="60" w:after="60"/>
              <w:jc w:val="center"/>
              <w:rPr>
                <w:sz w:val="14"/>
                <w:szCs w:val="14"/>
              </w:rPr>
            </w:pPr>
            <w:r w:rsidRPr="008F1A59">
              <w:rPr>
                <w:sz w:val="14"/>
                <w:szCs w:val="14"/>
              </w:rPr>
              <w:t>21.4%</w:t>
            </w:r>
          </w:p>
        </w:tc>
        <w:tc>
          <w:tcPr>
            <w:tcW w:w="737" w:type="dxa"/>
          </w:tcPr>
          <w:p w14:paraId="3C4DE7AB" w14:textId="77777777" w:rsidR="008F1A59" w:rsidRPr="008F1A59" w:rsidRDefault="008F1A59" w:rsidP="008F1A59">
            <w:pPr>
              <w:keepNext/>
              <w:keepLines/>
              <w:tabs>
                <w:tab w:val="decimal" w:pos="256"/>
              </w:tabs>
              <w:spacing w:before="60" w:after="60"/>
              <w:jc w:val="center"/>
              <w:rPr>
                <w:sz w:val="14"/>
                <w:szCs w:val="14"/>
              </w:rPr>
            </w:pPr>
            <w:r w:rsidRPr="008F1A59">
              <w:rPr>
                <w:sz w:val="14"/>
                <w:szCs w:val="14"/>
              </w:rPr>
              <w:t>18.1%</w:t>
            </w:r>
          </w:p>
        </w:tc>
        <w:tc>
          <w:tcPr>
            <w:tcW w:w="737" w:type="dxa"/>
          </w:tcPr>
          <w:p w14:paraId="13BD69C2" w14:textId="77777777" w:rsidR="008F1A59" w:rsidRPr="008F1A59" w:rsidRDefault="008F1A59" w:rsidP="008F1A59">
            <w:pPr>
              <w:keepNext/>
              <w:keepLines/>
              <w:tabs>
                <w:tab w:val="decimal" w:pos="256"/>
              </w:tabs>
              <w:spacing w:before="60" w:after="60"/>
              <w:jc w:val="center"/>
              <w:rPr>
                <w:sz w:val="14"/>
                <w:szCs w:val="14"/>
              </w:rPr>
            </w:pPr>
            <w:r w:rsidRPr="008F1A59">
              <w:rPr>
                <w:sz w:val="14"/>
                <w:szCs w:val="14"/>
              </w:rPr>
              <w:t>18.1%</w:t>
            </w:r>
          </w:p>
        </w:tc>
        <w:tc>
          <w:tcPr>
            <w:tcW w:w="737" w:type="dxa"/>
          </w:tcPr>
          <w:p w14:paraId="648EFAC3" w14:textId="77777777" w:rsidR="008F1A59" w:rsidRPr="008F1A59" w:rsidRDefault="008F1A59" w:rsidP="008F1A59">
            <w:pPr>
              <w:keepNext/>
              <w:keepLines/>
              <w:tabs>
                <w:tab w:val="decimal" w:pos="256"/>
              </w:tabs>
              <w:spacing w:before="60" w:after="60"/>
              <w:jc w:val="center"/>
              <w:rPr>
                <w:sz w:val="14"/>
                <w:szCs w:val="14"/>
              </w:rPr>
            </w:pPr>
            <w:r w:rsidRPr="008F1A59">
              <w:rPr>
                <w:sz w:val="14"/>
                <w:szCs w:val="14"/>
              </w:rPr>
              <w:t>18.1%</w:t>
            </w:r>
          </w:p>
        </w:tc>
        <w:tc>
          <w:tcPr>
            <w:tcW w:w="737" w:type="dxa"/>
          </w:tcPr>
          <w:p w14:paraId="5C36E906" w14:textId="77777777" w:rsidR="008F1A59" w:rsidRPr="008F1A59" w:rsidRDefault="008F1A59" w:rsidP="008F1A59">
            <w:pPr>
              <w:keepNext/>
              <w:keepLines/>
              <w:tabs>
                <w:tab w:val="decimal" w:pos="256"/>
              </w:tabs>
              <w:spacing w:before="60" w:after="60"/>
              <w:jc w:val="center"/>
              <w:rPr>
                <w:sz w:val="14"/>
                <w:szCs w:val="14"/>
              </w:rPr>
            </w:pPr>
            <w:r w:rsidRPr="008F1A59">
              <w:rPr>
                <w:sz w:val="14"/>
                <w:szCs w:val="14"/>
              </w:rPr>
              <w:t>18.1%</w:t>
            </w:r>
          </w:p>
        </w:tc>
        <w:tc>
          <w:tcPr>
            <w:tcW w:w="737" w:type="dxa"/>
          </w:tcPr>
          <w:p w14:paraId="41967162" w14:textId="77777777" w:rsidR="008F1A59" w:rsidRPr="008F1A59" w:rsidRDefault="008F1A59" w:rsidP="008F1A59">
            <w:pPr>
              <w:keepNext/>
              <w:keepLines/>
              <w:tabs>
                <w:tab w:val="decimal" w:pos="256"/>
              </w:tabs>
              <w:spacing w:before="60" w:after="60"/>
              <w:jc w:val="center"/>
              <w:rPr>
                <w:sz w:val="14"/>
                <w:szCs w:val="14"/>
              </w:rPr>
            </w:pPr>
            <w:r w:rsidRPr="008F1A59">
              <w:rPr>
                <w:sz w:val="14"/>
                <w:szCs w:val="14"/>
              </w:rPr>
              <w:t>18.1%</w:t>
            </w:r>
          </w:p>
        </w:tc>
        <w:tc>
          <w:tcPr>
            <w:tcW w:w="1134" w:type="dxa"/>
          </w:tcPr>
          <w:p w14:paraId="43888D26" w14:textId="77777777" w:rsidR="008F1A59" w:rsidRPr="008F1A59" w:rsidRDefault="008F1A59" w:rsidP="008F1A59">
            <w:pPr>
              <w:keepNext/>
              <w:keepLines/>
              <w:tabs>
                <w:tab w:val="decimal" w:pos="256"/>
              </w:tabs>
              <w:spacing w:before="60" w:after="60"/>
              <w:jc w:val="center"/>
              <w:rPr>
                <w:sz w:val="14"/>
                <w:szCs w:val="14"/>
              </w:rPr>
            </w:pPr>
            <w:r w:rsidRPr="008F1A59">
              <w:rPr>
                <w:sz w:val="14"/>
                <w:szCs w:val="14"/>
              </w:rPr>
              <w:t>18.1%</w:t>
            </w:r>
          </w:p>
        </w:tc>
        <w:tc>
          <w:tcPr>
            <w:tcW w:w="851" w:type="dxa"/>
          </w:tcPr>
          <w:p w14:paraId="689BCEC2" w14:textId="77777777" w:rsidR="008F1A59" w:rsidRPr="008F1A59" w:rsidRDefault="008F1A59" w:rsidP="008F1A59">
            <w:pPr>
              <w:keepNext/>
              <w:keepLines/>
              <w:tabs>
                <w:tab w:val="decimal" w:pos="256"/>
              </w:tabs>
              <w:spacing w:before="60" w:after="60"/>
              <w:jc w:val="center"/>
              <w:rPr>
                <w:sz w:val="14"/>
                <w:szCs w:val="14"/>
              </w:rPr>
            </w:pPr>
            <w:r w:rsidRPr="008F1A59">
              <w:rPr>
                <w:sz w:val="14"/>
                <w:szCs w:val="14"/>
              </w:rPr>
              <w:t>18.1%</w:t>
            </w:r>
          </w:p>
        </w:tc>
        <w:tc>
          <w:tcPr>
            <w:tcW w:w="1134" w:type="dxa"/>
          </w:tcPr>
          <w:p w14:paraId="3C57CE28" w14:textId="77777777" w:rsidR="008F1A59" w:rsidRPr="008F1A59" w:rsidRDefault="008F1A59" w:rsidP="008F1A59">
            <w:pPr>
              <w:keepNext/>
              <w:keepLines/>
              <w:tabs>
                <w:tab w:val="decimal" w:pos="256"/>
              </w:tabs>
              <w:spacing w:before="60" w:after="60"/>
              <w:jc w:val="center"/>
              <w:rPr>
                <w:sz w:val="14"/>
                <w:szCs w:val="14"/>
              </w:rPr>
            </w:pPr>
            <w:r w:rsidRPr="008F1A59">
              <w:rPr>
                <w:sz w:val="14"/>
                <w:szCs w:val="14"/>
              </w:rPr>
              <w:t>8.4%</w:t>
            </w:r>
          </w:p>
        </w:tc>
        <w:tc>
          <w:tcPr>
            <w:tcW w:w="992" w:type="dxa"/>
          </w:tcPr>
          <w:p w14:paraId="0F8C9AAB" w14:textId="77777777" w:rsidR="008F1A59" w:rsidRPr="008F1A59" w:rsidRDefault="008F1A59" w:rsidP="008F1A59">
            <w:pPr>
              <w:keepNext/>
              <w:keepLines/>
              <w:tabs>
                <w:tab w:val="decimal" w:pos="256"/>
              </w:tabs>
              <w:spacing w:before="60" w:after="60"/>
              <w:jc w:val="center"/>
              <w:rPr>
                <w:sz w:val="14"/>
                <w:szCs w:val="14"/>
              </w:rPr>
            </w:pPr>
            <w:r w:rsidRPr="008F1A59">
              <w:rPr>
                <w:sz w:val="14"/>
                <w:szCs w:val="14"/>
              </w:rPr>
              <w:t>-13.7%</w:t>
            </w:r>
          </w:p>
        </w:tc>
      </w:tr>
      <w:tr w:rsidR="008F1A59" w:rsidRPr="008F1A59" w14:paraId="3795FA75" w14:textId="77777777" w:rsidTr="00841651">
        <w:tc>
          <w:tcPr>
            <w:tcW w:w="1277" w:type="dxa"/>
            <w:shd w:val="clear" w:color="auto" w:fill="auto"/>
            <w:vAlign w:val="bottom"/>
          </w:tcPr>
          <w:p w14:paraId="118FCF39" w14:textId="77777777" w:rsidR="008F1A59" w:rsidRPr="008F1A59" w:rsidRDefault="008F1A59" w:rsidP="008F1A59">
            <w:pPr>
              <w:keepNext/>
              <w:keepLines/>
              <w:tabs>
                <w:tab w:val="left" w:pos="86"/>
              </w:tabs>
              <w:spacing w:before="60" w:after="60"/>
              <w:jc w:val="left"/>
              <w:rPr>
                <w:sz w:val="14"/>
                <w:szCs w:val="14"/>
              </w:rPr>
            </w:pPr>
            <w:r w:rsidRPr="008F1A59">
              <w:rPr>
                <w:sz w:val="14"/>
                <w:szCs w:val="14"/>
              </w:rPr>
              <w:tab/>
              <w:t>b = 60%</w:t>
            </w:r>
          </w:p>
        </w:tc>
        <w:tc>
          <w:tcPr>
            <w:tcW w:w="992" w:type="dxa"/>
          </w:tcPr>
          <w:p w14:paraId="550D7621" w14:textId="77777777" w:rsidR="008F1A59" w:rsidRPr="008F1A59" w:rsidRDefault="008F1A59" w:rsidP="008F1A59">
            <w:pPr>
              <w:keepNext/>
              <w:keepLines/>
              <w:tabs>
                <w:tab w:val="decimal" w:pos="256"/>
              </w:tabs>
              <w:spacing w:before="60" w:after="60"/>
              <w:jc w:val="center"/>
              <w:rPr>
                <w:sz w:val="14"/>
                <w:szCs w:val="14"/>
              </w:rPr>
            </w:pPr>
            <w:r w:rsidRPr="008F1A59">
              <w:rPr>
                <w:sz w:val="14"/>
                <w:szCs w:val="14"/>
              </w:rPr>
              <w:t>17.0%</w:t>
            </w:r>
          </w:p>
        </w:tc>
        <w:tc>
          <w:tcPr>
            <w:tcW w:w="737" w:type="dxa"/>
          </w:tcPr>
          <w:p w14:paraId="0079A137" w14:textId="77777777" w:rsidR="008F1A59" w:rsidRPr="008F1A59" w:rsidRDefault="008F1A59" w:rsidP="008F1A59">
            <w:pPr>
              <w:keepNext/>
              <w:keepLines/>
              <w:tabs>
                <w:tab w:val="decimal" w:pos="256"/>
              </w:tabs>
              <w:spacing w:before="60" w:after="60"/>
              <w:jc w:val="center"/>
              <w:rPr>
                <w:sz w:val="14"/>
                <w:szCs w:val="14"/>
              </w:rPr>
            </w:pPr>
            <w:r w:rsidRPr="008F1A59">
              <w:rPr>
                <w:sz w:val="14"/>
                <w:szCs w:val="14"/>
              </w:rPr>
              <w:t>13.5%</w:t>
            </w:r>
          </w:p>
        </w:tc>
        <w:tc>
          <w:tcPr>
            <w:tcW w:w="737" w:type="dxa"/>
          </w:tcPr>
          <w:p w14:paraId="552A6A8F" w14:textId="77777777" w:rsidR="008F1A59" w:rsidRPr="008F1A59" w:rsidRDefault="008F1A59" w:rsidP="008F1A59">
            <w:pPr>
              <w:keepNext/>
              <w:keepLines/>
              <w:tabs>
                <w:tab w:val="decimal" w:pos="256"/>
              </w:tabs>
              <w:spacing w:before="60" w:after="60"/>
              <w:jc w:val="center"/>
              <w:rPr>
                <w:sz w:val="14"/>
                <w:szCs w:val="14"/>
              </w:rPr>
            </w:pPr>
            <w:r w:rsidRPr="008F1A59">
              <w:rPr>
                <w:sz w:val="14"/>
                <w:szCs w:val="14"/>
              </w:rPr>
              <w:t>13.5%</w:t>
            </w:r>
          </w:p>
        </w:tc>
        <w:tc>
          <w:tcPr>
            <w:tcW w:w="737" w:type="dxa"/>
          </w:tcPr>
          <w:p w14:paraId="5746D6E7" w14:textId="77777777" w:rsidR="008F1A59" w:rsidRPr="008F1A59" w:rsidRDefault="008F1A59" w:rsidP="008F1A59">
            <w:pPr>
              <w:keepNext/>
              <w:keepLines/>
              <w:tabs>
                <w:tab w:val="decimal" w:pos="256"/>
              </w:tabs>
              <w:spacing w:before="60" w:after="60"/>
              <w:jc w:val="center"/>
              <w:rPr>
                <w:sz w:val="14"/>
                <w:szCs w:val="14"/>
              </w:rPr>
            </w:pPr>
            <w:r w:rsidRPr="008F1A59">
              <w:rPr>
                <w:sz w:val="14"/>
                <w:szCs w:val="14"/>
              </w:rPr>
              <w:t>13.5%</w:t>
            </w:r>
          </w:p>
        </w:tc>
        <w:tc>
          <w:tcPr>
            <w:tcW w:w="737" w:type="dxa"/>
          </w:tcPr>
          <w:p w14:paraId="53AF30E3" w14:textId="77777777" w:rsidR="008F1A59" w:rsidRPr="008F1A59" w:rsidRDefault="008F1A59" w:rsidP="008F1A59">
            <w:pPr>
              <w:keepNext/>
              <w:keepLines/>
              <w:tabs>
                <w:tab w:val="decimal" w:pos="256"/>
              </w:tabs>
              <w:spacing w:before="60" w:after="60"/>
              <w:jc w:val="center"/>
              <w:rPr>
                <w:sz w:val="14"/>
                <w:szCs w:val="14"/>
              </w:rPr>
            </w:pPr>
            <w:r w:rsidRPr="008F1A59">
              <w:rPr>
                <w:sz w:val="14"/>
                <w:szCs w:val="14"/>
              </w:rPr>
              <w:t>13.5%</w:t>
            </w:r>
          </w:p>
        </w:tc>
        <w:tc>
          <w:tcPr>
            <w:tcW w:w="737" w:type="dxa"/>
          </w:tcPr>
          <w:p w14:paraId="02F34D8F" w14:textId="77777777" w:rsidR="008F1A59" w:rsidRPr="008F1A59" w:rsidRDefault="008F1A59" w:rsidP="008F1A59">
            <w:pPr>
              <w:keepNext/>
              <w:keepLines/>
              <w:tabs>
                <w:tab w:val="decimal" w:pos="256"/>
              </w:tabs>
              <w:spacing w:before="60" w:after="60"/>
              <w:jc w:val="center"/>
              <w:rPr>
                <w:sz w:val="14"/>
                <w:szCs w:val="14"/>
              </w:rPr>
            </w:pPr>
            <w:r w:rsidRPr="008F1A59">
              <w:rPr>
                <w:sz w:val="14"/>
                <w:szCs w:val="14"/>
              </w:rPr>
              <w:t>13.5%</w:t>
            </w:r>
          </w:p>
        </w:tc>
        <w:tc>
          <w:tcPr>
            <w:tcW w:w="1134" w:type="dxa"/>
          </w:tcPr>
          <w:p w14:paraId="4AF3194D" w14:textId="77777777" w:rsidR="008F1A59" w:rsidRPr="008F1A59" w:rsidRDefault="008F1A59" w:rsidP="008F1A59">
            <w:pPr>
              <w:keepNext/>
              <w:keepLines/>
              <w:tabs>
                <w:tab w:val="decimal" w:pos="256"/>
              </w:tabs>
              <w:spacing w:before="60" w:after="60"/>
              <w:jc w:val="center"/>
              <w:rPr>
                <w:sz w:val="14"/>
                <w:szCs w:val="14"/>
              </w:rPr>
            </w:pPr>
            <w:r w:rsidRPr="008F1A59">
              <w:rPr>
                <w:sz w:val="14"/>
                <w:szCs w:val="14"/>
              </w:rPr>
              <w:t>13.5%</w:t>
            </w:r>
          </w:p>
        </w:tc>
        <w:tc>
          <w:tcPr>
            <w:tcW w:w="851" w:type="dxa"/>
          </w:tcPr>
          <w:p w14:paraId="6B1E7B36" w14:textId="77777777" w:rsidR="008F1A59" w:rsidRPr="008F1A59" w:rsidRDefault="008F1A59" w:rsidP="008F1A59">
            <w:pPr>
              <w:keepNext/>
              <w:keepLines/>
              <w:tabs>
                <w:tab w:val="decimal" w:pos="256"/>
              </w:tabs>
              <w:spacing w:before="60" w:after="60"/>
              <w:jc w:val="center"/>
              <w:rPr>
                <w:sz w:val="14"/>
                <w:szCs w:val="14"/>
              </w:rPr>
            </w:pPr>
            <w:r w:rsidRPr="008F1A59">
              <w:rPr>
                <w:sz w:val="14"/>
                <w:szCs w:val="14"/>
              </w:rPr>
              <w:t>13.5%</w:t>
            </w:r>
          </w:p>
        </w:tc>
        <w:tc>
          <w:tcPr>
            <w:tcW w:w="1134" w:type="dxa"/>
          </w:tcPr>
          <w:p w14:paraId="0B69A81A" w14:textId="77777777" w:rsidR="008F1A59" w:rsidRPr="008F1A59" w:rsidRDefault="008F1A59" w:rsidP="008F1A59">
            <w:pPr>
              <w:keepNext/>
              <w:keepLines/>
              <w:tabs>
                <w:tab w:val="decimal" w:pos="256"/>
              </w:tabs>
              <w:spacing w:before="60" w:after="60"/>
              <w:jc w:val="center"/>
              <w:rPr>
                <w:sz w:val="14"/>
                <w:szCs w:val="14"/>
              </w:rPr>
            </w:pPr>
            <w:r w:rsidRPr="008F1A59">
              <w:rPr>
                <w:sz w:val="14"/>
                <w:szCs w:val="14"/>
              </w:rPr>
              <w:t>2.5%</w:t>
            </w:r>
          </w:p>
        </w:tc>
        <w:tc>
          <w:tcPr>
            <w:tcW w:w="992" w:type="dxa"/>
          </w:tcPr>
          <w:p w14:paraId="6F62AD0F" w14:textId="77777777" w:rsidR="008F1A59" w:rsidRPr="008F1A59" w:rsidRDefault="008F1A59" w:rsidP="008F1A59">
            <w:pPr>
              <w:keepNext/>
              <w:keepLines/>
              <w:tabs>
                <w:tab w:val="decimal" w:pos="256"/>
              </w:tabs>
              <w:spacing w:before="60" w:after="60"/>
              <w:jc w:val="center"/>
              <w:rPr>
                <w:sz w:val="14"/>
                <w:szCs w:val="14"/>
              </w:rPr>
            </w:pPr>
            <w:r w:rsidRPr="008F1A59">
              <w:rPr>
                <w:sz w:val="14"/>
                <w:szCs w:val="14"/>
              </w:rPr>
              <w:t>-20.2%</w:t>
            </w:r>
          </w:p>
        </w:tc>
      </w:tr>
      <w:tr w:rsidR="008F1A59" w:rsidRPr="008F1A59" w14:paraId="63677ED9" w14:textId="77777777" w:rsidTr="00841651">
        <w:tc>
          <w:tcPr>
            <w:tcW w:w="1277" w:type="dxa"/>
            <w:shd w:val="clear" w:color="auto" w:fill="auto"/>
            <w:vAlign w:val="bottom"/>
          </w:tcPr>
          <w:p w14:paraId="0FB62476" w14:textId="77777777" w:rsidR="008F1A59" w:rsidRPr="008F1A59" w:rsidRDefault="008F1A59" w:rsidP="008F1A59">
            <w:pPr>
              <w:keepNext/>
              <w:keepLines/>
              <w:tabs>
                <w:tab w:val="left" w:pos="86"/>
              </w:tabs>
              <w:spacing w:before="60" w:after="60"/>
              <w:jc w:val="left"/>
              <w:rPr>
                <w:sz w:val="14"/>
                <w:szCs w:val="14"/>
              </w:rPr>
            </w:pPr>
            <w:r w:rsidRPr="008F1A59">
              <w:rPr>
                <w:sz w:val="14"/>
                <w:szCs w:val="14"/>
              </w:rPr>
              <w:tab/>
              <w:t>b = 100%</w:t>
            </w:r>
          </w:p>
        </w:tc>
        <w:tc>
          <w:tcPr>
            <w:tcW w:w="992" w:type="dxa"/>
          </w:tcPr>
          <w:p w14:paraId="59A1810E" w14:textId="77777777" w:rsidR="008F1A59" w:rsidRPr="008F1A59" w:rsidRDefault="008F1A59" w:rsidP="008F1A59">
            <w:pPr>
              <w:keepNext/>
              <w:keepLines/>
              <w:tabs>
                <w:tab w:val="decimal" w:pos="256"/>
              </w:tabs>
              <w:spacing w:before="60" w:after="60"/>
              <w:jc w:val="center"/>
              <w:rPr>
                <w:sz w:val="14"/>
                <w:szCs w:val="14"/>
              </w:rPr>
            </w:pPr>
            <w:r w:rsidRPr="008F1A59">
              <w:rPr>
                <w:sz w:val="14"/>
                <w:szCs w:val="14"/>
              </w:rPr>
              <w:t>4.4%</w:t>
            </w:r>
          </w:p>
        </w:tc>
        <w:tc>
          <w:tcPr>
            <w:tcW w:w="737" w:type="dxa"/>
          </w:tcPr>
          <w:p w14:paraId="23E0ED26" w14:textId="77777777" w:rsidR="008F1A59" w:rsidRPr="008F1A59" w:rsidRDefault="008F1A59" w:rsidP="008F1A59">
            <w:pPr>
              <w:keepNext/>
              <w:keepLines/>
              <w:tabs>
                <w:tab w:val="decimal" w:pos="256"/>
              </w:tabs>
              <w:spacing w:before="60" w:after="60"/>
              <w:jc w:val="center"/>
              <w:rPr>
                <w:sz w:val="14"/>
                <w:szCs w:val="14"/>
              </w:rPr>
            </w:pPr>
            <w:r w:rsidRPr="008F1A59">
              <w:rPr>
                <w:sz w:val="14"/>
                <w:szCs w:val="14"/>
              </w:rPr>
              <w:t>0.0%</w:t>
            </w:r>
          </w:p>
        </w:tc>
        <w:tc>
          <w:tcPr>
            <w:tcW w:w="737" w:type="dxa"/>
          </w:tcPr>
          <w:p w14:paraId="06F69656" w14:textId="77777777" w:rsidR="008F1A59" w:rsidRPr="008F1A59" w:rsidRDefault="008F1A59" w:rsidP="008F1A59">
            <w:pPr>
              <w:keepNext/>
              <w:keepLines/>
              <w:tabs>
                <w:tab w:val="decimal" w:pos="256"/>
              </w:tabs>
              <w:spacing w:before="60" w:after="60"/>
              <w:jc w:val="center"/>
              <w:rPr>
                <w:sz w:val="14"/>
                <w:szCs w:val="14"/>
              </w:rPr>
            </w:pPr>
            <w:r w:rsidRPr="008F1A59">
              <w:rPr>
                <w:sz w:val="14"/>
                <w:szCs w:val="14"/>
              </w:rPr>
              <w:t>0.0%</w:t>
            </w:r>
          </w:p>
        </w:tc>
        <w:tc>
          <w:tcPr>
            <w:tcW w:w="737" w:type="dxa"/>
          </w:tcPr>
          <w:p w14:paraId="3CF21851" w14:textId="77777777" w:rsidR="008F1A59" w:rsidRPr="008F1A59" w:rsidRDefault="008F1A59" w:rsidP="008F1A59">
            <w:pPr>
              <w:keepNext/>
              <w:keepLines/>
              <w:tabs>
                <w:tab w:val="decimal" w:pos="256"/>
              </w:tabs>
              <w:spacing w:before="60" w:after="60"/>
              <w:jc w:val="center"/>
              <w:rPr>
                <w:sz w:val="14"/>
                <w:szCs w:val="14"/>
              </w:rPr>
            </w:pPr>
            <w:r w:rsidRPr="008F1A59">
              <w:rPr>
                <w:sz w:val="14"/>
                <w:szCs w:val="14"/>
              </w:rPr>
              <w:t>0.0%</w:t>
            </w:r>
          </w:p>
        </w:tc>
        <w:tc>
          <w:tcPr>
            <w:tcW w:w="737" w:type="dxa"/>
          </w:tcPr>
          <w:p w14:paraId="2E9BA24F" w14:textId="77777777" w:rsidR="008F1A59" w:rsidRPr="008F1A59" w:rsidRDefault="008F1A59" w:rsidP="008F1A59">
            <w:pPr>
              <w:keepNext/>
              <w:keepLines/>
              <w:tabs>
                <w:tab w:val="decimal" w:pos="256"/>
              </w:tabs>
              <w:spacing w:before="60" w:after="60"/>
              <w:jc w:val="center"/>
              <w:rPr>
                <w:sz w:val="14"/>
                <w:szCs w:val="14"/>
              </w:rPr>
            </w:pPr>
            <w:r w:rsidRPr="008F1A59">
              <w:rPr>
                <w:sz w:val="14"/>
                <w:szCs w:val="14"/>
              </w:rPr>
              <w:t>0.0%</w:t>
            </w:r>
          </w:p>
        </w:tc>
        <w:tc>
          <w:tcPr>
            <w:tcW w:w="737" w:type="dxa"/>
          </w:tcPr>
          <w:p w14:paraId="23AE8419" w14:textId="77777777" w:rsidR="008F1A59" w:rsidRPr="008F1A59" w:rsidRDefault="008F1A59" w:rsidP="008F1A59">
            <w:pPr>
              <w:keepNext/>
              <w:keepLines/>
              <w:tabs>
                <w:tab w:val="decimal" w:pos="256"/>
              </w:tabs>
              <w:spacing w:before="60" w:after="60"/>
              <w:jc w:val="center"/>
              <w:rPr>
                <w:sz w:val="14"/>
                <w:szCs w:val="14"/>
              </w:rPr>
            </w:pPr>
            <w:r w:rsidRPr="008F1A59">
              <w:rPr>
                <w:sz w:val="14"/>
                <w:szCs w:val="14"/>
              </w:rPr>
              <w:t>0.0%</w:t>
            </w:r>
          </w:p>
        </w:tc>
        <w:tc>
          <w:tcPr>
            <w:tcW w:w="1134" w:type="dxa"/>
          </w:tcPr>
          <w:p w14:paraId="790E6CEC" w14:textId="77777777" w:rsidR="008F1A59" w:rsidRPr="008F1A59" w:rsidRDefault="008F1A59" w:rsidP="008F1A59">
            <w:pPr>
              <w:keepNext/>
              <w:keepLines/>
              <w:tabs>
                <w:tab w:val="decimal" w:pos="256"/>
              </w:tabs>
              <w:spacing w:before="60" w:after="60"/>
              <w:jc w:val="center"/>
              <w:rPr>
                <w:sz w:val="14"/>
                <w:szCs w:val="14"/>
              </w:rPr>
            </w:pPr>
            <w:r w:rsidRPr="008F1A59">
              <w:rPr>
                <w:sz w:val="14"/>
                <w:szCs w:val="14"/>
              </w:rPr>
              <w:t>0.0%</w:t>
            </w:r>
          </w:p>
        </w:tc>
        <w:tc>
          <w:tcPr>
            <w:tcW w:w="851" w:type="dxa"/>
          </w:tcPr>
          <w:p w14:paraId="3975A2A1" w14:textId="77777777" w:rsidR="008F1A59" w:rsidRPr="008F1A59" w:rsidRDefault="008F1A59" w:rsidP="008F1A59">
            <w:pPr>
              <w:keepNext/>
              <w:keepLines/>
              <w:tabs>
                <w:tab w:val="decimal" w:pos="256"/>
              </w:tabs>
              <w:spacing w:before="60" w:after="60"/>
              <w:jc w:val="center"/>
              <w:rPr>
                <w:sz w:val="14"/>
                <w:szCs w:val="14"/>
              </w:rPr>
            </w:pPr>
            <w:r w:rsidRPr="008F1A59">
              <w:rPr>
                <w:sz w:val="14"/>
                <w:szCs w:val="14"/>
              </w:rPr>
              <w:t>0.0%</w:t>
            </w:r>
          </w:p>
        </w:tc>
        <w:tc>
          <w:tcPr>
            <w:tcW w:w="1134" w:type="dxa"/>
          </w:tcPr>
          <w:p w14:paraId="70ECCEEE" w14:textId="77777777" w:rsidR="008F1A59" w:rsidRPr="008F1A59" w:rsidRDefault="008F1A59" w:rsidP="008F1A59">
            <w:pPr>
              <w:keepNext/>
              <w:keepLines/>
              <w:tabs>
                <w:tab w:val="decimal" w:pos="256"/>
              </w:tabs>
              <w:spacing w:before="60" w:after="60"/>
              <w:jc w:val="center"/>
              <w:rPr>
                <w:sz w:val="14"/>
                <w:szCs w:val="14"/>
              </w:rPr>
            </w:pPr>
            <w:r w:rsidRPr="008F1A59">
              <w:rPr>
                <w:sz w:val="14"/>
                <w:szCs w:val="14"/>
              </w:rPr>
              <w:t>-14.9%</w:t>
            </w:r>
          </w:p>
        </w:tc>
        <w:tc>
          <w:tcPr>
            <w:tcW w:w="992" w:type="dxa"/>
          </w:tcPr>
          <w:p w14:paraId="47CB7580" w14:textId="77777777" w:rsidR="008F1A59" w:rsidRPr="008F1A59" w:rsidRDefault="008F1A59" w:rsidP="008F1A59">
            <w:pPr>
              <w:keepNext/>
              <w:keepLines/>
              <w:tabs>
                <w:tab w:val="decimal" w:pos="256"/>
              </w:tabs>
              <w:spacing w:before="60" w:after="60"/>
              <w:jc w:val="center"/>
              <w:rPr>
                <w:sz w:val="14"/>
                <w:szCs w:val="14"/>
              </w:rPr>
            </w:pPr>
            <w:r w:rsidRPr="008F1A59">
              <w:rPr>
                <w:sz w:val="14"/>
                <w:szCs w:val="14"/>
              </w:rPr>
              <w:t>-38.9%</w:t>
            </w:r>
          </w:p>
        </w:tc>
      </w:tr>
    </w:tbl>
    <w:p w14:paraId="5952CA5F" w14:textId="4B1217BA" w:rsidR="008E72CA" w:rsidRPr="008E72CA" w:rsidRDefault="008E72CA" w:rsidP="00075D72">
      <w:pPr>
        <w:pStyle w:val="NumberedParagraph"/>
        <w:numPr>
          <w:ilvl w:val="1"/>
          <w:numId w:val="64"/>
        </w:numPr>
      </w:pPr>
      <w:r w:rsidRPr="008E72CA">
        <w:t>We draw attention to the following points illustrated by table 4.</w:t>
      </w:r>
      <w:r w:rsidR="02B02E83">
        <w:t>1</w:t>
      </w:r>
      <w:r w:rsidRPr="008E72CA">
        <w:t>:</w:t>
      </w:r>
    </w:p>
    <w:p w14:paraId="7496757B" w14:textId="0F7CBC7B" w:rsidR="008E72CA" w:rsidRPr="008E72CA" w:rsidRDefault="004E455E" w:rsidP="00075D72">
      <w:pPr>
        <w:pStyle w:val="NumberedParagraph-BulletL1"/>
        <w:numPr>
          <w:ilvl w:val="2"/>
          <w:numId w:val="64"/>
        </w:numPr>
      </w:pPr>
      <w:r>
        <w:t>C</w:t>
      </w:r>
      <w:r w:rsidR="008E72CA" w:rsidRPr="008E72CA">
        <w:t>onsider the set of results when inflation is assumed to be 2%. If there is no debt, EMTRs vary, falling from 39.1% for very short-lived PME and inventories to 0.0% with expensing. No investments are subsidised, and there is often a substantial positive EMTR.</w:t>
      </w:r>
      <w:r w:rsidR="006D517A">
        <w:t xml:space="preserve"> </w:t>
      </w:r>
      <w:r w:rsidR="00234D39">
        <w:t>If there is no debt and capital expenditure can be expensed, the cost of capital will</w:t>
      </w:r>
      <w:r w:rsidR="00CA0443">
        <w:t xml:space="preserve"> be 3.0% and equal to the cost of funds to the economy. The EMTR will be zero</w:t>
      </w:r>
      <w:r w:rsidR="008A79BF">
        <w:t>.</w:t>
      </w:r>
    </w:p>
    <w:p w14:paraId="4B25D835" w14:textId="77777777" w:rsidR="008E72CA" w:rsidRPr="008E72CA" w:rsidRDefault="008E72CA" w:rsidP="00075D72">
      <w:pPr>
        <w:pStyle w:val="NumberedParagraph-BulletL1"/>
        <w:numPr>
          <w:ilvl w:val="2"/>
          <w:numId w:val="64"/>
        </w:numPr>
      </w:pPr>
      <w:r w:rsidRPr="008E72CA">
        <w:t xml:space="preserve">However, with full debt finance and 2% inflation, EMTRs are never greater than zero. Required rates of return for marginal investments would not exceed, and would often be lower than, the cost of funds to the economy. They fall from 0.0% for very short-lived PME and inventories to </w:t>
      </w:r>
      <w:r w:rsidRPr="008E72CA">
        <w:noBreakHyphen/>
        <w:t>86.2% with expensing.</w:t>
      </w:r>
    </w:p>
    <w:p w14:paraId="05E45215" w14:textId="77777777" w:rsidR="008E72CA" w:rsidRPr="008E72CA" w:rsidRDefault="008E72CA" w:rsidP="00075D72">
      <w:pPr>
        <w:pStyle w:val="NumberedParagraph-BulletL1"/>
        <w:numPr>
          <w:ilvl w:val="2"/>
          <w:numId w:val="64"/>
        </w:numPr>
      </w:pPr>
      <w:r w:rsidRPr="008E72CA">
        <w:t>At current average debt levels of around 43%, there is normally a positive EMTR and EMTRs can often be over 20%.</w:t>
      </w:r>
    </w:p>
    <w:p w14:paraId="232DA787" w14:textId="1370B279" w:rsidR="008E72CA" w:rsidRPr="008E72CA" w:rsidRDefault="008E72CA" w:rsidP="00075D72">
      <w:pPr>
        <w:pStyle w:val="NumberedParagraph-BulletL1"/>
        <w:numPr>
          <w:ilvl w:val="2"/>
          <w:numId w:val="64"/>
        </w:numPr>
      </w:pPr>
      <w:r w:rsidRPr="008E72CA">
        <w:t>Negative EMTRs are possible for some assets</w:t>
      </w:r>
      <w:r w:rsidR="005B20D0">
        <w:t>. This is true</w:t>
      </w:r>
      <w:r w:rsidRPr="008E72CA">
        <w:t xml:space="preserve"> </w:t>
      </w:r>
      <w:r w:rsidR="00673956">
        <w:t xml:space="preserve">for assets </w:t>
      </w:r>
      <w:r w:rsidR="0093267A">
        <w:t>that</w:t>
      </w:r>
      <w:r w:rsidR="00673956">
        <w:t xml:space="preserve"> depreciate slowl</w:t>
      </w:r>
      <w:r w:rsidR="00AB672E">
        <w:t xml:space="preserve">y, for assets </w:t>
      </w:r>
      <w:r w:rsidR="00F81838">
        <w:t>that</w:t>
      </w:r>
      <w:r w:rsidR="00AB672E">
        <w:t xml:space="preserve"> appreciate and for assets </w:t>
      </w:r>
      <w:r w:rsidR="00F81838">
        <w:t>that</w:t>
      </w:r>
      <w:r w:rsidR="00AB672E">
        <w:t xml:space="preserve"> can be expensed</w:t>
      </w:r>
      <w:r w:rsidR="005B20D0">
        <w:t>, especially</w:t>
      </w:r>
      <w:r w:rsidR="00AB672E">
        <w:t xml:space="preserve"> </w:t>
      </w:r>
      <w:r w:rsidRPr="008E72CA">
        <w:t>if there are high levels of debt.</w:t>
      </w:r>
    </w:p>
    <w:p w14:paraId="564DDD64" w14:textId="5C34FEFA" w:rsidR="001E6594" w:rsidRDefault="008E72CA" w:rsidP="00075D72">
      <w:pPr>
        <w:pStyle w:val="NumberedParagraph-BulletL1"/>
        <w:numPr>
          <w:ilvl w:val="2"/>
          <w:numId w:val="64"/>
        </w:numPr>
      </w:pPr>
      <w:r w:rsidRPr="008E72CA">
        <w:t xml:space="preserve">When there is no </w:t>
      </w:r>
      <w:r w:rsidR="000F006E">
        <w:t>inflation</w:t>
      </w:r>
      <w:r w:rsidRPr="008E72CA">
        <w:t xml:space="preserve">, </w:t>
      </w:r>
      <w:r w:rsidR="000A4FBB">
        <w:t>EMTRs would be constant over a large set of different types of asset for any given level of debt.</w:t>
      </w:r>
      <w:r w:rsidR="001E6594">
        <w:t xml:space="preserve"> For example, with a debt level of </w:t>
      </w:r>
      <w:r w:rsidR="000E465C">
        <w:t xml:space="preserve">43%, EMTRs for many assets would be </w:t>
      </w:r>
      <w:r w:rsidR="00EF4A92">
        <w:t>18.1</w:t>
      </w:r>
      <w:r w:rsidR="000E465C">
        <w:t>%</w:t>
      </w:r>
      <w:r w:rsidR="00B9744A">
        <w:t xml:space="preserve">. This is a consequence of assuming that economic depreciation is deductible for many classes of assets. </w:t>
      </w:r>
      <w:r w:rsidR="008F4092">
        <w:t>The EMTR would be slightly higher for commercial and industrial buildings if, as assumed, the tax depreciation rate is slightly lower than the economic depreciation</w:t>
      </w:r>
      <w:r w:rsidR="002D3223">
        <w:t xml:space="preserve"> rate</w:t>
      </w:r>
      <w:r w:rsidR="008F4092">
        <w:t xml:space="preserve">. </w:t>
      </w:r>
      <w:r w:rsidR="00A56C66">
        <w:t>The EMTR would be lower for preferentially taxed appreciating assets or assets where capital expenditure can</w:t>
      </w:r>
      <w:r w:rsidR="00025861">
        <w:t xml:space="preserve"> be expensed.</w:t>
      </w:r>
    </w:p>
    <w:p w14:paraId="2980ACDA" w14:textId="5278F675" w:rsidR="008E72CA" w:rsidRPr="008E72CA" w:rsidRDefault="00BF1F13" w:rsidP="00075D72">
      <w:pPr>
        <w:pStyle w:val="NumberedParagraph-BulletL1"/>
        <w:numPr>
          <w:ilvl w:val="2"/>
          <w:numId w:val="64"/>
        </w:numPr>
      </w:pPr>
      <w:r>
        <w:t xml:space="preserve">An inflation rate of </w:t>
      </w:r>
      <w:r w:rsidR="008E72CA" w:rsidRPr="008E72CA">
        <w:t xml:space="preserve">2% can increase EMTRs on short-lived assets and inventories significantly (from the company tax rate of 28.0% to 39.1%). Conversely, when there is 100% debt finance, 2% inflation can increase </w:t>
      </w:r>
      <w:r w:rsidR="008E72CA" w:rsidRPr="008E72CA">
        <w:lastRenderedPageBreak/>
        <w:t xml:space="preserve">tax subsidies significantly. For example, with expensing the EMTR falls from </w:t>
      </w:r>
      <w:r w:rsidR="008E72CA" w:rsidRPr="008E72CA">
        <w:noBreakHyphen/>
        <w:t xml:space="preserve">38.9% to </w:t>
      </w:r>
      <w:r w:rsidR="008E72CA" w:rsidRPr="008E72CA">
        <w:noBreakHyphen/>
        <w:t>86.2%.</w:t>
      </w:r>
      <w:r w:rsidR="00174E78">
        <w:rPr>
          <w:rStyle w:val="FootnoteReference"/>
        </w:rPr>
        <w:footnoteReference w:id="18"/>
      </w:r>
    </w:p>
    <w:p w14:paraId="2355FF18" w14:textId="67CBAC1C" w:rsidR="008E72CA" w:rsidRPr="008E72CA" w:rsidRDefault="008E72CA" w:rsidP="00075D72">
      <w:pPr>
        <w:pStyle w:val="NumberedParagraph"/>
        <w:numPr>
          <w:ilvl w:val="1"/>
          <w:numId w:val="64"/>
        </w:numPr>
      </w:pPr>
      <w:r w:rsidRPr="008E72CA">
        <w:t>We have noted that</w:t>
      </w:r>
      <w:r w:rsidR="00862ED8">
        <w:t>,</w:t>
      </w:r>
      <w:r w:rsidRPr="008E72CA">
        <w:t xml:space="preserve"> with a world real interest rate of 3%, a small level of inflation of 2% per annum can add to investment biases significantly. As discussed in appendix </w:t>
      </w:r>
      <w:r w:rsidR="00BF2660">
        <w:t xml:space="preserve">3 of the </w:t>
      </w:r>
      <w:r w:rsidR="001D6C3A">
        <w:rPr>
          <w:i/>
          <w:iCs/>
        </w:rPr>
        <w:t>T</w:t>
      </w:r>
      <w:r w:rsidR="00BF2660" w:rsidRPr="00075D72">
        <w:rPr>
          <w:i/>
          <w:iCs/>
        </w:rPr>
        <w:t>echnical appendices</w:t>
      </w:r>
      <w:r w:rsidRPr="008E72CA">
        <w:t>, there is some uncertainty about the most appropriate real interest rate to use. The OECD considers a real interest rate of 3% is being demanded by foreign shareholders and lenders. However, other studies have used higher real interest rate assumptions and, until this year, the OECD also had a variant where a real interest rate of 5% was assumed.</w:t>
      </w:r>
    </w:p>
    <w:p w14:paraId="3527F783" w14:textId="200FD263" w:rsidR="008E72CA" w:rsidRPr="008E72CA" w:rsidRDefault="008E72CA" w:rsidP="00075D72">
      <w:pPr>
        <w:pStyle w:val="NumberedParagraph"/>
        <w:numPr>
          <w:ilvl w:val="1"/>
          <w:numId w:val="64"/>
        </w:numPr>
      </w:pPr>
      <w:r w:rsidRPr="008E72CA">
        <w:t>Table 4.</w:t>
      </w:r>
      <w:r w:rsidR="005E6E51">
        <w:t>2</w:t>
      </w:r>
      <w:r w:rsidRPr="008E72CA">
        <w:t xml:space="preserve"> compares EMTRs for a company that is 43% debt financed, using a 3% real interest rate and a 5% real interest rate.</w:t>
      </w:r>
    </w:p>
    <w:p w14:paraId="594F347B" w14:textId="0B96A3D0" w:rsidR="008E72CA" w:rsidRPr="008E72CA" w:rsidRDefault="008E72CA" w:rsidP="003B6F2B">
      <w:pPr>
        <w:pStyle w:val="Caption"/>
        <w:keepLines/>
        <w:ind w:left="-709" w:right="-284"/>
        <w:rPr>
          <w:rFonts w:eastAsia="Calibri"/>
          <w:lang w:eastAsia="en-US"/>
        </w:rPr>
      </w:pPr>
      <w:r w:rsidRPr="008E72CA">
        <w:rPr>
          <w:rFonts w:eastAsia="Calibri"/>
          <w:lang w:eastAsia="en-US"/>
        </w:rPr>
        <w:t>Table 4.</w:t>
      </w:r>
      <w:r w:rsidR="005E6E51">
        <w:rPr>
          <w:rFonts w:eastAsia="Calibri"/>
          <w:lang w:eastAsia="en-US"/>
        </w:rPr>
        <w:t>2</w:t>
      </w:r>
      <w:r w:rsidR="00973817">
        <w:rPr>
          <w:rFonts w:eastAsia="Calibri"/>
          <w:lang w:eastAsia="en-US"/>
        </w:rPr>
        <w:t xml:space="preserve">: </w:t>
      </w:r>
      <w:r w:rsidRPr="008E72CA">
        <w:rPr>
          <w:rFonts w:eastAsia="Calibri"/>
          <w:lang w:eastAsia="en-US"/>
        </w:rPr>
        <w:t xml:space="preserve">EMTRs, </w:t>
      </w:r>
      <w:r w:rsidR="003E7D6A">
        <w:rPr>
          <w:rFonts w:eastAsia="Calibri"/>
          <w:lang w:eastAsia="en-US"/>
        </w:rPr>
        <w:t>debt</w:t>
      </w:r>
      <w:r w:rsidRPr="008E72CA">
        <w:rPr>
          <w:rFonts w:eastAsia="Calibri"/>
          <w:lang w:eastAsia="en-US"/>
        </w:rPr>
        <w:t>= 43%, different values of r and inflation rates</w:t>
      </w:r>
    </w:p>
    <w:tbl>
      <w:tblPr>
        <w:tblStyle w:val="TableGrid"/>
        <w:tblW w:w="9781" w:type="dxa"/>
        <w:tblInd w:w="-714"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left w:w="28" w:type="dxa"/>
          <w:right w:w="28" w:type="dxa"/>
        </w:tblCellMar>
        <w:tblLook w:val="04A0" w:firstRow="1" w:lastRow="0" w:firstColumn="1" w:lastColumn="0" w:noHBand="0" w:noVBand="1"/>
      </w:tblPr>
      <w:tblGrid>
        <w:gridCol w:w="1276"/>
        <w:gridCol w:w="993"/>
        <w:gridCol w:w="850"/>
        <w:gridCol w:w="709"/>
        <w:gridCol w:w="709"/>
        <w:gridCol w:w="567"/>
        <w:gridCol w:w="570"/>
        <w:gridCol w:w="1133"/>
        <w:gridCol w:w="850"/>
        <w:gridCol w:w="1133"/>
        <w:gridCol w:w="991"/>
      </w:tblGrid>
      <w:tr w:rsidR="008F1A59" w:rsidRPr="008F1A59" w14:paraId="5FD57BD5" w14:textId="77777777" w:rsidTr="00841651">
        <w:trPr>
          <w:tblHeader/>
        </w:trPr>
        <w:tc>
          <w:tcPr>
            <w:tcW w:w="1276" w:type="dxa"/>
            <w:shd w:val="clear" w:color="auto" w:fill="232E36"/>
          </w:tcPr>
          <w:p w14:paraId="1D3A1069" w14:textId="77777777" w:rsidR="008F1A59" w:rsidRPr="008F1A59" w:rsidRDefault="008F1A59" w:rsidP="00586800">
            <w:pPr>
              <w:keepNext/>
              <w:keepLines/>
              <w:spacing w:before="120" w:after="120"/>
              <w:jc w:val="left"/>
              <w:rPr>
                <w:color w:val="FFFFFF" w:themeColor="background1"/>
                <w:sz w:val="14"/>
                <w:szCs w:val="14"/>
              </w:rPr>
            </w:pPr>
          </w:p>
        </w:tc>
        <w:tc>
          <w:tcPr>
            <w:tcW w:w="993" w:type="dxa"/>
            <w:shd w:val="clear" w:color="auto" w:fill="232E36"/>
          </w:tcPr>
          <w:p w14:paraId="57945D24" w14:textId="77777777" w:rsidR="008F1A59" w:rsidRPr="008F1A59" w:rsidRDefault="008F1A59" w:rsidP="00586800">
            <w:pPr>
              <w:keepNext/>
              <w:keepLines/>
              <w:spacing w:before="120" w:after="120"/>
              <w:jc w:val="center"/>
              <w:rPr>
                <w:b/>
                <w:bCs/>
                <w:color w:val="FFFFFF" w:themeColor="background1"/>
                <w:sz w:val="14"/>
                <w:szCs w:val="14"/>
              </w:rPr>
            </w:pPr>
            <w:r w:rsidRPr="008F1A59">
              <w:rPr>
                <w:b/>
                <w:bCs/>
                <w:color w:val="FFFFFF" w:themeColor="background1"/>
                <w:sz w:val="14"/>
                <w:szCs w:val="14"/>
              </w:rPr>
              <w:t>Commercial and industrial buildings</w:t>
            </w:r>
          </w:p>
        </w:tc>
        <w:tc>
          <w:tcPr>
            <w:tcW w:w="3405" w:type="dxa"/>
            <w:gridSpan w:val="5"/>
            <w:shd w:val="clear" w:color="auto" w:fill="232E36"/>
          </w:tcPr>
          <w:p w14:paraId="71C6157A" w14:textId="77777777" w:rsidR="008F1A59" w:rsidRPr="008F1A59" w:rsidRDefault="008F1A59" w:rsidP="00586800">
            <w:pPr>
              <w:keepNext/>
              <w:keepLines/>
              <w:spacing w:before="120" w:after="120"/>
              <w:jc w:val="center"/>
              <w:rPr>
                <w:b/>
                <w:bCs/>
                <w:color w:val="FFFFFF" w:themeColor="background1"/>
                <w:sz w:val="14"/>
                <w:szCs w:val="14"/>
              </w:rPr>
            </w:pPr>
            <w:r w:rsidRPr="008F1A59">
              <w:rPr>
                <w:b/>
                <w:bCs/>
                <w:color w:val="FFFFFF" w:themeColor="background1"/>
                <w:sz w:val="14"/>
                <w:szCs w:val="14"/>
              </w:rPr>
              <w:t>Plant, machinery and equipment</w:t>
            </w:r>
          </w:p>
        </w:tc>
        <w:tc>
          <w:tcPr>
            <w:tcW w:w="1133" w:type="dxa"/>
            <w:shd w:val="clear" w:color="auto" w:fill="232E36"/>
          </w:tcPr>
          <w:p w14:paraId="5732DCA2" w14:textId="5A9B8E3A" w:rsidR="008F1A59" w:rsidRPr="008F1A59" w:rsidRDefault="008F1A59" w:rsidP="00586800">
            <w:pPr>
              <w:keepNext/>
              <w:keepLines/>
              <w:spacing w:before="120" w:after="120"/>
              <w:jc w:val="center"/>
              <w:rPr>
                <w:b/>
                <w:bCs/>
                <w:color w:val="FFFFFF" w:themeColor="background1"/>
                <w:sz w:val="14"/>
                <w:szCs w:val="14"/>
              </w:rPr>
            </w:pPr>
            <w:r w:rsidRPr="008F1A59">
              <w:rPr>
                <w:b/>
                <w:bCs/>
                <w:color w:val="FFFFFF" w:themeColor="background1"/>
                <w:sz w:val="14"/>
                <w:szCs w:val="14"/>
              </w:rPr>
              <w:t>Zero</w:t>
            </w:r>
            <w:r w:rsidR="002F0565">
              <w:rPr>
                <w:b/>
                <w:bCs/>
                <w:color w:val="FFFFFF" w:themeColor="background1"/>
                <w:sz w:val="14"/>
                <w:szCs w:val="14"/>
              </w:rPr>
              <w:t>-</w:t>
            </w:r>
            <w:r w:rsidRPr="008F1A59">
              <w:rPr>
                <w:b/>
                <w:bCs/>
                <w:color w:val="FFFFFF" w:themeColor="background1"/>
                <w:sz w:val="14"/>
                <w:szCs w:val="14"/>
              </w:rPr>
              <w:t>depreciating assets</w:t>
            </w:r>
          </w:p>
        </w:tc>
        <w:tc>
          <w:tcPr>
            <w:tcW w:w="850" w:type="dxa"/>
            <w:shd w:val="clear" w:color="auto" w:fill="232E36"/>
          </w:tcPr>
          <w:p w14:paraId="554721AB" w14:textId="77777777" w:rsidR="008F1A59" w:rsidRPr="008F1A59" w:rsidRDefault="008F1A59" w:rsidP="00586800">
            <w:pPr>
              <w:keepNext/>
              <w:keepLines/>
              <w:spacing w:before="120" w:after="120"/>
              <w:jc w:val="center"/>
              <w:rPr>
                <w:b/>
                <w:bCs/>
                <w:color w:val="FFFFFF" w:themeColor="background1"/>
                <w:sz w:val="14"/>
                <w:szCs w:val="14"/>
              </w:rPr>
            </w:pPr>
            <w:r w:rsidRPr="008F1A59">
              <w:rPr>
                <w:b/>
                <w:bCs/>
                <w:color w:val="FFFFFF" w:themeColor="background1"/>
                <w:sz w:val="14"/>
                <w:szCs w:val="14"/>
              </w:rPr>
              <w:t>Inventory</w:t>
            </w:r>
          </w:p>
        </w:tc>
        <w:tc>
          <w:tcPr>
            <w:tcW w:w="1133" w:type="dxa"/>
            <w:shd w:val="clear" w:color="auto" w:fill="232E36"/>
          </w:tcPr>
          <w:p w14:paraId="24E38FC3" w14:textId="77777777" w:rsidR="008F1A59" w:rsidRPr="008F1A59" w:rsidRDefault="008F1A59" w:rsidP="00586800">
            <w:pPr>
              <w:keepNext/>
              <w:keepLines/>
              <w:spacing w:before="120" w:after="120"/>
              <w:jc w:val="center"/>
              <w:rPr>
                <w:b/>
                <w:bCs/>
                <w:color w:val="FFFFFF" w:themeColor="background1"/>
                <w:sz w:val="14"/>
                <w:szCs w:val="14"/>
              </w:rPr>
            </w:pPr>
            <w:r w:rsidRPr="008F1A59">
              <w:rPr>
                <w:b/>
                <w:bCs/>
                <w:color w:val="FFFFFF" w:themeColor="background1"/>
                <w:sz w:val="14"/>
                <w:szCs w:val="14"/>
              </w:rPr>
              <w:t>Appreciating assets</w:t>
            </w:r>
          </w:p>
        </w:tc>
        <w:tc>
          <w:tcPr>
            <w:tcW w:w="991" w:type="dxa"/>
            <w:shd w:val="clear" w:color="auto" w:fill="232E36"/>
          </w:tcPr>
          <w:p w14:paraId="490F023B" w14:textId="77777777" w:rsidR="008F1A59" w:rsidRPr="008F1A59" w:rsidRDefault="008F1A59" w:rsidP="00586800">
            <w:pPr>
              <w:keepNext/>
              <w:keepLines/>
              <w:spacing w:before="120" w:after="120"/>
              <w:jc w:val="center"/>
              <w:rPr>
                <w:b/>
                <w:bCs/>
                <w:color w:val="FFFFFF" w:themeColor="background1"/>
                <w:sz w:val="14"/>
                <w:szCs w:val="14"/>
              </w:rPr>
            </w:pPr>
            <w:r w:rsidRPr="008F1A59">
              <w:rPr>
                <w:b/>
                <w:bCs/>
                <w:color w:val="FFFFFF" w:themeColor="background1"/>
                <w:sz w:val="14"/>
                <w:szCs w:val="14"/>
              </w:rPr>
              <w:t>Expensing</w:t>
            </w:r>
          </w:p>
        </w:tc>
      </w:tr>
      <w:tr w:rsidR="008F1A59" w:rsidRPr="008F1A59" w14:paraId="47E6D310" w14:textId="77777777" w:rsidTr="00841651">
        <w:tc>
          <w:tcPr>
            <w:tcW w:w="1276" w:type="dxa"/>
            <w:shd w:val="clear" w:color="auto" w:fill="auto"/>
          </w:tcPr>
          <w:p w14:paraId="1BFC7186" w14:textId="77777777" w:rsidR="008F1A59" w:rsidRPr="008F1A59" w:rsidRDefault="008F1A59" w:rsidP="00586800">
            <w:pPr>
              <w:keepNext/>
              <w:keepLines/>
              <w:tabs>
                <w:tab w:val="left" w:pos="151"/>
              </w:tabs>
              <w:spacing w:before="60" w:after="60"/>
              <w:jc w:val="left"/>
              <w:rPr>
                <w:sz w:val="14"/>
                <w:szCs w:val="14"/>
              </w:rPr>
            </w:pPr>
            <w:r w:rsidRPr="008F1A59">
              <w:rPr>
                <w:sz w:val="14"/>
                <w:szCs w:val="14"/>
              </w:rPr>
              <w:t>d</w:t>
            </w:r>
          </w:p>
        </w:tc>
        <w:tc>
          <w:tcPr>
            <w:tcW w:w="993" w:type="dxa"/>
            <w:vAlign w:val="center"/>
          </w:tcPr>
          <w:p w14:paraId="3E9BDEAC" w14:textId="77777777" w:rsidR="008F1A59" w:rsidRPr="008F1A59" w:rsidRDefault="008F1A59" w:rsidP="00586800">
            <w:pPr>
              <w:keepNext/>
              <w:keepLines/>
              <w:tabs>
                <w:tab w:val="decimal" w:pos="256"/>
              </w:tabs>
              <w:spacing w:before="60" w:after="60"/>
              <w:jc w:val="center"/>
              <w:rPr>
                <w:sz w:val="14"/>
                <w:szCs w:val="14"/>
              </w:rPr>
            </w:pPr>
            <w:r w:rsidRPr="008F1A59">
              <w:rPr>
                <w:sz w:val="14"/>
                <w:szCs w:val="14"/>
              </w:rPr>
              <w:t>2.69%</w:t>
            </w:r>
          </w:p>
        </w:tc>
        <w:tc>
          <w:tcPr>
            <w:tcW w:w="850" w:type="dxa"/>
            <w:vAlign w:val="center"/>
          </w:tcPr>
          <w:p w14:paraId="7CBA40C6" w14:textId="77777777" w:rsidR="008F1A59" w:rsidRPr="008F1A59" w:rsidRDefault="008F1A59" w:rsidP="00586800">
            <w:pPr>
              <w:keepNext/>
              <w:keepLines/>
              <w:tabs>
                <w:tab w:val="decimal" w:pos="256"/>
              </w:tabs>
              <w:spacing w:before="60" w:after="60"/>
              <w:jc w:val="center"/>
              <w:rPr>
                <w:sz w:val="14"/>
                <w:szCs w:val="14"/>
              </w:rPr>
            </w:pPr>
            <w:r w:rsidRPr="008F1A59">
              <w:rPr>
                <w:sz w:val="14"/>
                <w:szCs w:val="14"/>
              </w:rPr>
              <w:t>100.00%</w:t>
            </w:r>
          </w:p>
        </w:tc>
        <w:tc>
          <w:tcPr>
            <w:tcW w:w="709" w:type="dxa"/>
            <w:vAlign w:val="center"/>
          </w:tcPr>
          <w:p w14:paraId="1053F966" w14:textId="77777777" w:rsidR="008F1A59" w:rsidRPr="008F1A59" w:rsidRDefault="008F1A59" w:rsidP="00586800">
            <w:pPr>
              <w:keepNext/>
              <w:keepLines/>
              <w:tabs>
                <w:tab w:val="decimal" w:pos="256"/>
              </w:tabs>
              <w:spacing w:before="60" w:after="60"/>
              <w:jc w:val="center"/>
              <w:rPr>
                <w:sz w:val="14"/>
                <w:szCs w:val="14"/>
              </w:rPr>
            </w:pPr>
            <w:r w:rsidRPr="008F1A59">
              <w:rPr>
                <w:sz w:val="14"/>
                <w:szCs w:val="14"/>
              </w:rPr>
              <w:t>50.00%</w:t>
            </w:r>
          </w:p>
        </w:tc>
        <w:tc>
          <w:tcPr>
            <w:tcW w:w="709" w:type="dxa"/>
            <w:vAlign w:val="center"/>
          </w:tcPr>
          <w:p w14:paraId="00936F23" w14:textId="77777777" w:rsidR="008F1A59" w:rsidRPr="008F1A59" w:rsidRDefault="008F1A59" w:rsidP="00586800">
            <w:pPr>
              <w:keepNext/>
              <w:keepLines/>
              <w:tabs>
                <w:tab w:val="decimal" w:pos="256"/>
              </w:tabs>
              <w:spacing w:before="60" w:after="60"/>
              <w:jc w:val="center"/>
              <w:rPr>
                <w:sz w:val="14"/>
                <w:szCs w:val="14"/>
              </w:rPr>
            </w:pPr>
            <w:r w:rsidRPr="008F1A59">
              <w:rPr>
                <w:sz w:val="14"/>
                <w:szCs w:val="14"/>
              </w:rPr>
              <w:t>10.00%</w:t>
            </w:r>
          </w:p>
        </w:tc>
        <w:tc>
          <w:tcPr>
            <w:tcW w:w="567" w:type="dxa"/>
            <w:vAlign w:val="center"/>
          </w:tcPr>
          <w:p w14:paraId="331B4438" w14:textId="77777777" w:rsidR="008F1A59" w:rsidRPr="008F1A59" w:rsidRDefault="008F1A59" w:rsidP="00586800">
            <w:pPr>
              <w:keepNext/>
              <w:keepLines/>
              <w:tabs>
                <w:tab w:val="decimal" w:pos="256"/>
              </w:tabs>
              <w:spacing w:before="60" w:after="60"/>
              <w:jc w:val="center"/>
              <w:rPr>
                <w:sz w:val="14"/>
                <w:szCs w:val="14"/>
              </w:rPr>
            </w:pPr>
            <w:r w:rsidRPr="008F1A59">
              <w:rPr>
                <w:sz w:val="14"/>
                <w:szCs w:val="14"/>
              </w:rPr>
              <w:t>4.00%</w:t>
            </w:r>
          </w:p>
        </w:tc>
        <w:tc>
          <w:tcPr>
            <w:tcW w:w="570" w:type="dxa"/>
            <w:vAlign w:val="center"/>
          </w:tcPr>
          <w:p w14:paraId="3814DC28" w14:textId="77777777" w:rsidR="008F1A59" w:rsidRPr="008F1A59" w:rsidRDefault="008F1A59" w:rsidP="00586800">
            <w:pPr>
              <w:keepNext/>
              <w:keepLines/>
              <w:tabs>
                <w:tab w:val="decimal" w:pos="256"/>
              </w:tabs>
              <w:spacing w:before="60" w:after="60"/>
              <w:jc w:val="center"/>
              <w:rPr>
                <w:sz w:val="14"/>
                <w:szCs w:val="14"/>
              </w:rPr>
            </w:pPr>
            <w:r w:rsidRPr="008F1A59">
              <w:rPr>
                <w:sz w:val="14"/>
                <w:szCs w:val="14"/>
              </w:rPr>
              <w:t>2.00%</w:t>
            </w:r>
          </w:p>
        </w:tc>
        <w:tc>
          <w:tcPr>
            <w:tcW w:w="1133" w:type="dxa"/>
            <w:vAlign w:val="center"/>
          </w:tcPr>
          <w:p w14:paraId="134EB846" w14:textId="77777777" w:rsidR="008F1A59" w:rsidRPr="008F1A59" w:rsidRDefault="008F1A59" w:rsidP="00586800">
            <w:pPr>
              <w:keepNext/>
              <w:keepLines/>
              <w:tabs>
                <w:tab w:val="decimal" w:pos="256"/>
              </w:tabs>
              <w:spacing w:before="60" w:after="60"/>
              <w:jc w:val="center"/>
              <w:rPr>
                <w:sz w:val="14"/>
                <w:szCs w:val="14"/>
              </w:rPr>
            </w:pPr>
            <w:r w:rsidRPr="008F1A59">
              <w:rPr>
                <w:sz w:val="14"/>
                <w:szCs w:val="14"/>
              </w:rPr>
              <w:t>0.00%</w:t>
            </w:r>
          </w:p>
        </w:tc>
        <w:tc>
          <w:tcPr>
            <w:tcW w:w="850" w:type="dxa"/>
            <w:vAlign w:val="center"/>
          </w:tcPr>
          <w:p w14:paraId="4E000708" w14:textId="77777777" w:rsidR="008F1A59" w:rsidRPr="008F1A59" w:rsidRDefault="008F1A59" w:rsidP="00586800">
            <w:pPr>
              <w:keepNext/>
              <w:keepLines/>
              <w:tabs>
                <w:tab w:val="decimal" w:pos="256"/>
              </w:tabs>
              <w:spacing w:before="60" w:after="60"/>
              <w:jc w:val="center"/>
              <w:rPr>
                <w:sz w:val="14"/>
                <w:szCs w:val="14"/>
              </w:rPr>
            </w:pPr>
          </w:p>
        </w:tc>
        <w:tc>
          <w:tcPr>
            <w:tcW w:w="1133" w:type="dxa"/>
            <w:vAlign w:val="center"/>
          </w:tcPr>
          <w:p w14:paraId="721AA12F" w14:textId="77777777" w:rsidR="008F1A59" w:rsidRPr="008F1A59" w:rsidRDefault="008F1A59" w:rsidP="00586800">
            <w:pPr>
              <w:keepNext/>
              <w:keepLines/>
              <w:tabs>
                <w:tab w:val="decimal" w:pos="256"/>
              </w:tabs>
              <w:spacing w:before="60" w:after="60"/>
              <w:jc w:val="center"/>
              <w:rPr>
                <w:sz w:val="14"/>
                <w:szCs w:val="14"/>
              </w:rPr>
            </w:pPr>
            <w:r w:rsidRPr="008F1A59">
              <w:rPr>
                <w:sz w:val="14"/>
                <w:szCs w:val="14"/>
              </w:rPr>
              <w:t>-1.00%</w:t>
            </w:r>
          </w:p>
        </w:tc>
        <w:tc>
          <w:tcPr>
            <w:tcW w:w="991" w:type="dxa"/>
            <w:vAlign w:val="center"/>
          </w:tcPr>
          <w:p w14:paraId="02A67BC4" w14:textId="77777777" w:rsidR="008F1A59" w:rsidRPr="008F1A59" w:rsidRDefault="008F1A59" w:rsidP="00586800">
            <w:pPr>
              <w:keepNext/>
              <w:keepLines/>
              <w:tabs>
                <w:tab w:val="decimal" w:pos="256"/>
              </w:tabs>
              <w:spacing w:before="60" w:after="60"/>
              <w:jc w:val="center"/>
              <w:rPr>
                <w:sz w:val="14"/>
                <w:szCs w:val="14"/>
              </w:rPr>
            </w:pPr>
          </w:p>
        </w:tc>
      </w:tr>
      <w:tr w:rsidR="008F1A59" w:rsidRPr="008F1A59" w14:paraId="426F7429" w14:textId="77777777" w:rsidTr="00841651">
        <w:tc>
          <w:tcPr>
            <w:tcW w:w="1276" w:type="dxa"/>
            <w:shd w:val="clear" w:color="auto" w:fill="auto"/>
          </w:tcPr>
          <w:p w14:paraId="7D3BE3E1" w14:textId="77777777" w:rsidR="008F1A59" w:rsidRPr="008F1A59" w:rsidRDefault="008F1A59" w:rsidP="00586800">
            <w:pPr>
              <w:keepNext/>
              <w:keepLines/>
              <w:tabs>
                <w:tab w:val="left" w:pos="151"/>
              </w:tabs>
              <w:spacing w:before="60" w:after="60"/>
              <w:jc w:val="left"/>
              <w:rPr>
                <w:sz w:val="14"/>
                <w:szCs w:val="14"/>
              </w:rPr>
            </w:pPr>
            <w:r w:rsidRPr="008F1A59">
              <w:rPr>
                <w:sz w:val="14"/>
                <w:szCs w:val="14"/>
              </w:rPr>
              <w:t>d*</w:t>
            </w:r>
          </w:p>
        </w:tc>
        <w:tc>
          <w:tcPr>
            <w:tcW w:w="993" w:type="dxa"/>
            <w:vAlign w:val="center"/>
          </w:tcPr>
          <w:p w14:paraId="7DA22220" w14:textId="77777777" w:rsidR="008F1A59" w:rsidRPr="008F1A59" w:rsidRDefault="008F1A59" w:rsidP="00586800">
            <w:pPr>
              <w:keepNext/>
              <w:keepLines/>
              <w:tabs>
                <w:tab w:val="decimal" w:pos="256"/>
              </w:tabs>
              <w:spacing w:before="60" w:after="60"/>
              <w:jc w:val="center"/>
              <w:rPr>
                <w:sz w:val="14"/>
                <w:szCs w:val="14"/>
              </w:rPr>
            </w:pPr>
            <w:r w:rsidRPr="008F1A59">
              <w:rPr>
                <w:sz w:val="14"/>
                <w:szCs w:val="14"/>
              </w:rPr>
              <w:t>2.00%</w:t>
            </w:r>
          </w:p>
        </w:tc>
        <w:tc>
          <w:tcPr>
            <w:tcW w:w="850" w:type="dxa"/>
            <w:vAlign w:val="center"/>
          </w:tcPr>
          <w:p w14:paraId="50041B56" w14:textId="77777777" w:rsidR="008F1A59" w:rsidRPr="008F1A59" w:rsidRDefault="008F1A59" w:rsidP="00586800">
            <w:pPr>
              <w:keepNext/>
              <w:keepLines/>
              <w:tabs>
                <w:tab w:val="decimal" w:pos="256"/>
              </w:tabs>
              <w:spacing w:before="60" w:after="60"/>
              <w:jc w:val="center"/>
              <w:rPr>
                <w:sz w:val="14"/>
                <w:szCs w:val="14"/>
              </w:rPr>
            </w:pPr>
            <w:r w:rsidRPr="008F1A59">
              <w:rPr>
                <w:sz w:val="14"/>
                <w:szCs w:val="14"/>
              </w:rPr>
              <w:t>100.00%</w:t>
            </w:r>
          </w:p>
        </w:tc>
        <w:tc>
          <w:tcPr>
            <w:tcW w:w="709" w:type="dxa"/>
            <w:vAlign w:val="center"/>
          </w:tcPr>
          <w:p w14:paraId="489999DE" w14:textId="77777777" w:rsidR="008F1A59" w:rsidRPr="008F1A59" w:rsidRDefault="008F1A59" w:rsidP="00586800">
            <w:pPr>
              <w:keepNext/>
              <w:keepLines/>
              <w:tabs>
                <w:tab w:val="decimal" w:pos="256"/>
              </w:tabs>
              <w:spacing w:before="60" w:after="60"/>
              <w:jc w:val="center"/>
              <w:rPr>
                <w:sz w:val="14"/>
                <w:szCs w:val="14"/>
              </w:rPr>
            </w:pPr>
            <w:r w:rsidRPr="008F1A59">
              <w:rPr>
                <w:sz w:val="14"/>
                <w:szCs w:val="14"/>
              </w:rPr>
              <w:t>50.00%</w:t>
            </w:r>
          </w:p>
        </w:tc>
        <w:tc>
          <w:tcPr>
            <w:tcW w:w="709" w:type="dxa"/>
            <w:vAlign w:val="center"/>
          </w:tcPr>
          <w:p w14:paraId="47B0BB81" w14:textId="77777777" w:rsidR="008F1A59" w:rsidRPr="008F1A59" w:rsidRDefault="008F1A59" w:rsidP="00586800">
            <w:pPr>
              <w:keepNext/>
              <w:keepLines/>
              <w:tabs>
                <w:tab w:val="decimal" w:pos="256"/>
              </w:tabs>
              <w:spacing w:before="60" w:after="60"/>
              <w:jc w:val="center"/>
              <w:rPr>
                <w:sz w:val="14"/>
                <w:szCs w:val="14"/>
              </w:rPr>
            </w:pPr>
            <w:r w:rsidRPr="008F1A59">
              <w:rPr>
                <w:sz w:val="14"/>
                <w:szCs w:val="14"/>
              </w:rPr>
              <w:t>10.00%</w:t>
            </w:r>
          </w:p>
        </w:tc>
        <w:tc>
          <w:tcPr>
            <w:tcW w:w="567" w:type="dxa"/>
            <w:vAlign w:val="center"/>
          </w:tcPr>
          <w:p w14:paraId="6216263E" w14:textId="77777777" w:rsidR="008F1A59" w:rsidRPr="008F1A59" w:rsidRDefault="008F1A59" w:rsidP="00586800">
            <w:pPr>
              <w:keepNext/>
              <w:keepLines/>
              <w:tabs>
                <w:tab w:val="decimal" w:pos="256"/>
              </w:tabs>
              <w:spacing w:before="60" w:after="60"/>
              <w:jc w:val="center"/>
              <w:rPr>
                <w:sz w:val="14"/>
                <w:szCs w:val="14"/>
              </w:rPr>
            </w:pPr>
            <w:r w:rsidRPr="008F1A59">
              <w:rPr>
                <w:sz w:val="14"/>
                <w:szCs w:val="14"/>
              </w:rPr>
              <w:t>4.00%</w:t>
            </w:r>
          </w:p>
        </w:tc>
        <w:tc>
          <w:tcPr>
            <w:tcW w:w="570" w:type="dxa"/>
            <w:vAlign w:val="center"/>
          </w:tcPr>
          <w:p w14:paraId="06C60553" w14:textId="77777777" w:rsidR="008F1A59" w:rsidRPr="008F1A59" w:rsidRDefault="008F1A59" w:rsidP="00586800">
            <w:pPr>
              <w:keepNext/>
              <w:keepLines/>
              <w:tabs>
                <w:tab w:val="decimal" w:pos="256"/>
              </w:tabs>
              <w:spacing w:before="60" w:after="60"/>
              <w:jc w:val="center"/>
              <w:rPr>
                <w:sz w:val="14"/>
                <w:szCs w:val="14"/>
              </w:rPr>
            </w:pPr>
            <w:r w:rsidRPr="008F1A59">
              <w:rPr>
                <w:sz w:val="14"/>
                <w:szCs w:val="14"/>
              </w:rPr>
              <w:t>2.00%</w:t>
            </w:r>
          </w:p>
        </w:tc>
        <w:tc>
          <w:tcPr>
            <w:tcW w:w="1133" w:type="dxa"/>
            <w:vAlign w:val="center"/>
          </w:tcPr>
          <w:p w14:paraId="75C6EABC" w14:textId="77777777" w:rsidR="008F1A59" w:rsidRPr="008F1A59" w:rsidRDefault="008F1A59" w:rsidP="00586800">
            <w:pPr>
              <w:keepNext/>
              <w:keepLines/>
              <w:tabs>
                <w:tab w:val="decimal" w:pos="256"/>
              </w:tabs>
              <w:spacing w:before="60" w:after="60"/>
              <w:jc w:val="center"/>
              <w:rPr>
                <w:sz w:val="14"/>
                <w:szCs w:val="14"/>
              </w:rPr>
            </w:pPr>
            <w:r w:rsidRPr="008F1A59">
              <w:rPr>
                <w:sz w:val="14"/>
                <w:szCs w:val="14"/>
              </w:rPr>
              <w:t>0.00%</w:t>
            </w:r>
          </w:p>
        </w:tc>
        <w:tc>
          <w:tcPr>
            <w:tcW w:w="850" w:type="dxa"/>
            <w:vAlign w:val="center"/>
          </w:tcPr>
          <w:p w14:paraId="6B28273B" w14:textId="77777777" w:rsidR="008F1A59" w:rsidRPr="008F1A59" w:rsidRDefault="008F1A59" w:rsidP="00586800">
            <w:pPr>
              <w:keepNext/>
              <w:keepLines/>
              <w:tabs>
                <w:tab w:val="decimal" w:pos="256"/>
              </w:tabs>
              <w:spacing w:before="60" w:after="60"/>
              <w:jc w:val="center"/>
              <w:rPr>
                <w:sz w:val="14"/>
                <w:szCs w:val="14"/>
              </w:rPr>
            </w:pPr>
          </w:p>
        </w:tc>
        <w:tc>
          <w:tcPr>
            <w:tcW w:w="1133" w:type="dxa"/>
            <w:vAlign w:val="center"/>
          </w:tcPr>
          <w:p w14:paraId="7E75E2DD" w14:textId="77777777" w:rsidR="008F1A59" w:rsidRPr="008F1A59" w:rsidRDefault="008F1A59" w:rsidP="00586800">
            <w:pPr>
              <w:keepNext/>
              <w:keepLines/>
              <w:tabs>
                <w:tab w:val="decimal" w:pos="256"/>
              </w:tabs>
              <w:spacing w:before="60" w:after="60"/>
              <w:jc w:val="center"/>
              <w:rPr>
                <w:sz w:val="14"/>
                <w:szCs w:val="14"/>
              </w:rPr>
            </w:pPr>
            <w:r w:rsidRPr="008F1A59">
              <w:rPr>
                <w:sz w:val="14"/>
                <w:szCs w:val="14"/>
              </w:rPr>
              <w:t>0.00%</w:t>
            </w:r>
          </w:p>
        </w:tc>
        <w:tc>
          <w:tcPr>
            <w:tcW w:w="991" w:type="dxa"/>
            <w:vAlign w:val="center"/>
          </w:tcPr>
          <w:p w14:paraId="0B8D2FCD" w14:textId="77777777" w:rsidR="008F1A59" w:rsidRPr="008F1A59" w:rsidRDefault="008F1A59" w:rsidP="00586800">
            <w:pPr>
              <w:keepNext/>
              <w:keepLines/>
              <w:tabs>
                <w:tab w:val="decimal" w:pos="256"/>
              </w:tabs>
              <w:spacing w:before="60" w:after="60"/>
              <w:jc w:val="center"/>
              <w:rPr>
                <w:sz w:val="14"/>
                <w:szCs w:val="14"/>
              </w:rPr>
            </w:pPr>
          </w:p>
        </w:tc>
      </w:tr>
      <w:tr w:rsidR="008F1A59" w:rsidRPr="008F1A59" w14:paraId="4ED609D7" w14:textId="77777777" w:rsidTr="00841651">
        <w:tc>
          <w:tcPr>
            <w:tcW w:w="1276" w:type="dxa"/>
            <w:shd w:val="clear" w:color="auto" w:fill="auto"/>
          </w:tcPr>
          <w:p w14:paraId="48C81492" w14:textId="77777777" w:rsidR="008F1A59" w:rsidRPr="008F1A59" w:rsidRDefault="008F1A59" w:rsidP="00586800">
            <w:pPr>
              <w:keepNext/>
              <w:keepLines/>
              <w:tabs>
                <w:tab w:val="left" w:pos="151"/>
              </w:tabs>
              <w:spacing w:before="60" w:after="60"/>
              <w:jc w:val="left"/>
              <w:rPr>
                <w:b/>
                <w:bCs/>
                <w:sz w:val="14"/>
                <w:szCs w:val="14"/>
              </w:rPr>
            </w:pPr>
            <w:r w:rsidRPr="008F1A59">
              <w:rPr>
                <w:b/>
                <w:bCs/>
                <w:sz w:val="14"/>
                <w:szCs w:val="14"/>
              </w:rPr>
              <w:t>r = 3%</w:t>
            </w:r>
          </w:p>
        </w:tc>
        <w:tc>
          <w:tcPr>
            <w:tcW w:w="993" w:type="dxa"/>
            <w:vAlign w:val="center"/>
          </w:tcPr>
          <w:p w14:paraId="3ECA1069" w14:textId="77777777" w:rsidR="008F1A59" w:rsidRPr="008F1A59" w:rsidRDefault="008F1A59" w:rsidP="00586800">
            <w:pPr>
              <w:keepNext/>
              <w:keepLines/>
              <w:tabs>
                <w:tab w:val="decimal" w:pos="256"/>
              </w:tabs>
              <w:spacing w:before="60" w:after="60"/>
              <w:jc w:val="center"/>
              <w:rPr>
                <w:sz w:val="14"/>
                <w:szCs w:val="14"/>
              </w:rPr>
            </w:pPr>
          </w:p>
        </w:tc>
        <w:tc>
          <w:tcPr>
            <w:tcW w:w="850" w:type="dxa"/>
            <w:vAlign w:val="center"/>
          </w:tcPr>
          <w:p w14:paraId="68E47125" w14:textId="77777777" w:rsidR="008F1A59" w:rsidRPr="008F1A59" w:rsidRDefault="008F1A59" w:rsidP="00586800">
            <w:pPr>
              <w:keepNext/>
              <w:keepLines/>
              <w:tabs>
                <w:tab w:val="decimal" w:pos="256"/>
              </w:tabs>
              <w:spacing w:before="60" w:after="60"/>
              <w:jc w:val="center"/>
              <w:rPr>
                <w:sz w:val="14"/>
                <w:szCs w:val="14"/>
              </w:rPr>
            </w:pPr>
          </w:p>
        </w:tc>
        <w:tc>
          <w:tcPr>
            <w:tcW w:w="709" w:type="dxa"/>
            <w:vAlign w:val="center"/>
          </w:tcPr>
          <w:p w14:paraId="1ED592F4" w14:textId="77777777" w:rsidR="008F1A59" w:rsidRPr="008F1A59" w:rsidRDefault="008F1A59" w:rsidP="00586800">
            <w:pPr>
              <w:keepNext/>
              <w:keepLines/>
              <w:tabs>
                <w:tab w:val="decimal" w:pos="256"/>
              </w:tabs>
              <w:spacing w:before="60" w:after="60"/>
              <w:jc w:val="center"/>
              <w:rPr>
                <w:sz w:val="14"/>
                <w:szCs w:val="14"/>
              </w:rPr>
            </w:pPr>
          </w:p>
        </w:tc>
        <w:tc>
          <w:tcPr>
            <w:tcW w:w="709" w:type="dxa"/>
            <w:vAlign w:val="center"/>
          </w:tcPr>
          <w:p w14:paraId="02734D72" w14:textId="77777777" w:rsidR="008F1A59" w:rsidRPr="008F1A59" w:rsidRDefault="008F1A59" w:rsidP="00586800">
            <w:pPr>
              <w:keepNext/>
              <w:keepLines/>
              <w:tabs>
                <w:tab w:val="decimal" w:pos="256"/>
              </w:tabs>
              <w:spacing w:before="60" w:after="60"/>
              <w:jc w:val="center"/>
              <w:rPr>
                <w:sz w:val="14"/>
                <w:szCs w:val="14"/>
              </w:rPr>
            </w:pPr>
          </w:p>
        </w:tc>
        <w:tc>
          <w:tcPr>
            <w:tcW w:w="567" w:type="dxa"/>
            <w:vAlign w:val="center"/>
          </w:tcPr>
          <w:p w14:paraId="1C6EC7BD" w14:textId="77777777" w:rsidR="008F1A59" w:rsidRPr="008F1A59" w:rsidRDefault="008F1A59" w:rsidP="00586800">
            <w:pPr>
              <w:keepNext/>
              <w:keepLines/>
              <w:tabs>
                <w:tab w:val="decimal" w:pos="256"/>
              </w:tabs>
              <w:spacing w:before="60" w:after="60"/>
              <w:jc w:val="center"/>
              <w:rPr>
                <w:sz w:val="14"/>
                <w:szCs w:val="14"/>
              </w:rPr>
            </w:pPr>
          </w:p>
        </w:tc>
        <w:tc>
          <w:tcPr>
            <w:tcW w:w="570" w:type="dxa"/>
            <w:vAlign w:val="center"/>
          </w:tcPr>
          <w:p w14:paraId="60F14F6A" w14:textId="77777777" w:rsidR="008F1A59" w:rsidRPr="008F1A59" w:rsidRDefault="008F1A59" w:rsidP="00586800">
            <w:pPr>
              <w:keepNext/>
              <w:keepLines/>
              <w:tabs>
                <w:tab w:val="decimal" w:pos="256"/>
              </w:tabs>
              <w:spacing w:before="60" w:after="60"/>
              <w:jc w:val="center"/>
              <w:rPr>
                <w:sz w:val="14"/>
                <w:szCs w:val="14"/>
              </w:rPr>
            </w:pPr>
          </w:p>
        </w:tc>
        <w:tc>
          <w:tcPr>
            <w:tcW w:w="1133" w:type="dxa"/>
            <w:vAlign w:val="center"/>
          </w:tcPr>
          <w:p w14:paraId="2480775E" w14:textId="77777777" w:rsidR="008F1A59" w:rsidRPr="008F1A59" w:rsidRDefault="008F1A59" w:rsidP="00586800">
            <w:pPr>
              <w:keepNext/>
              <w:keepLines/>
              <w:tabs>
                <w:tab w:val="decimal" w:pos="256"/>
              </w:tabs>
              <w:spacing w:before="60" w:after="60"/>
              <w:jc w:val="center"/>
              <w:rPr>
                <w:sz w:val="14"/>
                <w:szCs w:val="14"/>
              </w:rPr>
            </w:pPr>
          </w:p>
        </w:tc>
        <w:tc>
          <w:tcPr>
            <w:tcW w:w="850" w:type="dxa"/>
            <w:vAlign w:val="center"/>
          </w:tcPr>
          <w:p w14:paraId="6F700D2A" w14:textId="77777777" w:rsidR="008F1A59" w:rsidRPr="008F1A59" w:rsidRDefault="008F1A59" w:rsidP="00586800">
            <w:pPr>
              <w:keepNext/>
              <w:keepLines/>
              <w:tabs>
                <w:tab w:val="decimal" w:pos="256"/>
              </w:tabs>
              <w:spacing w:before="60" w:after="60"/>
              <w:jc w:val="center"/>
              <w:rPr>
                <w:sz w:val="14"/>
                <w:szCs w:val="14"/>
              </w:rPr>
            </w:pPr>
          </w:p>
        </w:tc>
        <w:tc>
          <w:tcPr>
            <w:tcW w:w="1133" w:type="dxa"/>
            <w:vAlign w:val="center"/>
          </w:tcPr>
          <w:p w14:paraId="38B5F10E" w14:textId="77777777" w:rsidR="008F1A59" w:rsidRPr="008F1A59" w:rsidRDefault="008F1A59" w:rsidP="00586800">
            <w:pPr>
              <w:keepNext/>
              <w:keepLines/>
              <w:tabs>
                <w:tab w:val="decimal" w:pos="256"/>
              </w:tabs>
              <w:spacing w:before="60" w:after="60"/>
              <w:jc w:val="center"/>
              <w:rPr>
                <w:sz w:val="14"/>
                <w:szCs w:val="14"/>
              </w:rPr>
            </w:pPr>
          </w:p>
        </w:tc>
        <w:tc>
          <w:tcPr>
            <w:tcW w:w="991" w:type="dxa"/>
            <w:vAlign w:val="center"/>
          </w:tcPr>
          <w:p w14:paraId="36ED7609" w14:textId="77777777" w:rsidR="008F1A59" w:rsidRPr="008F1A59" w:rsidRDefault="008F1A59" w:rsidP="00586800">
            <w:pPr>
              <w:keepNext/>
              <w:keepLines/>
              <w:tabs>
                <w:tab w:val="decimal" w:pos="256"/>
              </w:tabs>
              <w:spacing w:before="60" w:after="60"/>
              <w:jc w:val="center"/>
              <w:rPr>
                <w:sz w:val="14"/>
                <w:szCs w:val="14"/>
              </w:rPr>
            </w:pPr>
          </w:p>
        </w:tc>
      </w:tr>
      <w:tr w:rsidR="008F1A59" w:rsidRPr="008F1A59" w14:paraId="7B74276E" w14:textId="77777777" w:rsidTr="00841651">
        <w:tc>
          <w:tcPr>
            <w:tcW w:w="1276" w:type="dxa"/>
            <w:shd w:val="clear" w:color="auto" w:fill="auto"/>
          </w:tcPr>
          <w:p w14:paraId="04445D64" w14:textId="77777777" w:rsidR="008F1A59" w:rsidRPr="008F1A59" w:rsidRDefault="008F1A59" w:rsidP="00586800">
            <w:pPr>
              <w:keepNext/>
              <w:keepLines/>
              <w:tabs>
                <w:tab w:val="left" w:pos="78"/>
              </w:tabs>
              <w:spacing w:before="60" w:after="60"/>
              <w:jc w:val="left"/>
              <w:rPr>
                <w:sz w:val="14"/>
                <w:szCs w:val="14"/>
              </w:rPr>
            </w:pPr>
            <w:r w:rsidRPr="008F1A59">
              <w:rPr>
                <w:sz w:val="14"/>
                <w:szCs w:val="14"/>
              </w:rPr>
              <w:tab/>
              <w:t>Inflation = 2%</w:t>
            </w:r>
          </w:p>
        </w:tc>
        <w:tc>
          <w:tcPr>
            <w:tcW w:w="993" w:type="dxa"/>
            <w:vAlign w:val="center"/>
          </w:tcPr>
          <w:p w14:paraId="4DBF8877" w14:textId="77777777" w:rsidR="008F1A59" w:rsidRPr="008F1A59" w:rsidRDefault="008F1A59" w:rsidP="00586800">
            <w:pPr>
              <w:keepNext/>
              <w:keepLines/>
              <w:tabs>
                <w:tab w:val="decimal" w:pos="256"/>
              </w:tabs>
              <w:spacing w:before="60" w:after="60"/>
              <w:jc w:val="center"/>
              <w:rPr>
                <w:sz w:val="14"/>
                <w:szCs w:val="14"/>
              </w:rPr>
            </w:pPr>
            <w:r w:rsidRPr="008F1A59">
              <w:rPr>
                <w:sz w:val="14"/>
                <w:szCs w:val="14"/>
              </w:rPr>
              <w:t>20.4%</w:t>
            </w:r>
          </w:p>
        </w:tc>
        <w:tc>
          <w:tcPr>
            <w:tcW w:w="850" w:type="dxa"/>
          </w:tcPr>
          <w:p w14:paraId="47E30D7A" w14:textId="77777777" w:rsidR="008F1A59" w:rsidRPr="008F1A59" w:rsidRDefault="008F1A59" w:rsidP="00586800">
            <w:pPr>
              <w:keepNext/>
              <w:keepLines/>
              <w:tabs>
                <w:tab w:val="decimal" w:pos="256"/>
              </w:tabs>
              <w:spacing w:before="60" w:after="60"/>
              <w:jc w:val="center"/>
              <w:rPr>
                <w:sz w:val="14"/>
                <w:szCs w:val="14"/>
              </w:rPr>
            </w:pPr>
            <w:r w:rsidRPr="008F1A59">
              <w:rPr>
                <w:sz w:val="14"/>
                <w:szCs w:val="14"/>
              </w:rPr>
              <w:t>26.8%</w:t>
            </w:r>
          </w:p>
        </w:tc>
        <w:tc>
          <w:tcPr>
            <w:tcW w:w="709" w:type="dxa"/>
          </w:tcPr>
          <w:p w14:paraId="6C88EFC3" w14:textId="77777777" w:rsidR="008F1A59" w:rsidRPr="008F1A59" w:rsidRDefault="008F1A59" w:rsidP="00586800">
            <w:pPr>
              <w:keepNext/>
              <w:keepLines/>
              <w:tabs>
                <w:tab w:val="decimal" w:pos="256"/>
              </w:tabs>
              <w:spacing w:before="60" w:after="60"/>
              <w:jc w:val="center"/>
              <w:rPr>
                <w:sz w:val="14"/>
                <w:szCs w:val="14"/>
              </w:rPr>
            </w:pPr>
            <w:r w:rsidRPr="008F1A59">
              <w:rPr>
                <w:sz w:val="14"/>
                <w:szCs w:val="14"/>
              </w:rPr>
              <w:t>26.3%</w:t>
            </w:r>
          </w:p>
        </w:tc>
        <w:tc>
          <w:tcPr>
            <w:tcW w:w="709" w:type="dxa"/>
          </w:tcPr>
          <w:p w14:paraId="5C630200" w14:textId="77777777" w:rsidR="008F1A59" w:rsidRPr="008F1A59" w:rsidRDefault="008F1A59" w:rsidP="00586800">
            <w:pPr>
              <w:keepNext/>
              <w:keepLines/>
              <w:tabs>
                <w:tab w:val="decimal" w:pos="256"/>
              </w:tabs>
              <w:spacing w:before="60" w:after="60"/>
              <w:jc w:val="center"/>
              <w:rPr>
                <w:sz w:val="14"/>
                <w:szCs w:val="14"/>
              </w:rPr>
            </w:pPr>
            <w:r w:rsidRPr="008F1A59">
              <w:rPr>
                <w:sz w:val="14"/>
                <w:szCs w:val="14"/>
              </w:rPr>
              <w:t>22.8%</w:t>
            </w:r>
          </w:p>
        </w:tc>
        <w:tc>
          <w:tcPr>
            <w:tcW w:w="567" w:type="dxa"/>
          </w:tcPr>
          <w:p w14:paraId="5D50A512" w14:textId="77777777" w:rsidR="008F1A59" w:rsidRPr="008F1A59" w:rsidRDefault="008F1A59" w:rsidP="00586800">
            <w:pPr>
              <w:keepNext/>
              <w:keepLines/>
              <w:tabs>
                <w:tab w:val="decimal" w:pos="256"/>
              </w:tabs>
              <w:spacing w:before="60" w:after="60"/>
              <w:jc w:val="center"/>
              <w:rPr>
                <w:sz w:val="14"/>
                <w:szCs w:val="14"/>
              </w:rPr>
            </w:pPr>
            <w:r w:rsidRPr="008F1A59">
              <w:rPr>
                <w:sz w:val="14"/>
                <w:szCs w:val="14"/>
              </w:rPr>
              <w:t>19.2%</w:t>
            </w:r>
          </w:p>
        </w:tc>
        <w:tc>
          <w:tcPr>
            <w:tcW w:w="570" w:type="dxa"/>
          </w:tcPr>
          <w:p w14:paraId="79D99307" w14:textId="77777777" w:rsidR="008F1A59" w:rsidRPr="008F1A59" w:rsidRDefault="008F1A59" w:rsidP="00586800">
            <w:pPr>
              <w:keepNext/>
              <w:keepLines/>
              <w:tabs>
                <w:tab w:val="decimal" w:pos="256"/>
              </w:tabs>
              <w:spacing w:before="60" w:after="60"/>
              <w:jc w:val="center"/>
              <w:rPr>
                <w:sz w:val="14"/>
                <w:szCs w:val="14"/>
              </w:rPr>
            </w:pPr>
            <w:r w:rsidRPr="008F1A59">
              <w:rPr>
                <w:sz w:val="14"/>
                <w:szCs w:val="14"/>
              </w:rPr>
              <w:t>16.3%</w:t>
            </w:r>
          </w:p>
        </w:tc>
        <w:tc>
          <w:tcPr>
            <w:tcW w:w="1133" w:type="dxa"/>
          </w:tcPr>
          <w:p w14:paraId="2AEA7E89" w14:textId="77777777" w:rsidR="008F1A59" w:rsidRPr="008F1A59" w:rsidRDefault="008F1A59" w:rsidP="00586800">
            <w:pPr>
              <w:keepNext/>
              <w:keepLines/>
              <w:tabs>
                <w:tab w:val="decimal" w:pos="256"/>
              </w:tabs>
              <w:spacing w:before="60" w:after="60"/>
              <w:jc w:val="center"/>
              <w:rPr>
                <w:sz w:val="14"/>
                <w:szCs w:val="14"/>
              </w:rPr>
            </w:pPr>
            <w:r w:rsidRPr="008F1A59">
              <w:rPr>
                <w:sz w:val="14"/>
                <w:szCs w:val="14"/>
              </w:rPr>
              <w:t>10.1%</w:t>
            </w:r>
          </w:p>
        </w:tc>
        <w:tc>
          <w:tcPr>
            <w:tcW w:w="850" w:type="dxa"/>
          </w:tcPr>
          <w:p w14:paraId="01052584" w14:textId="77777777" w:rsidR="008F1A59" w:rsidRPr="008F1A59" w:rsidRDefault="008F1A59" w:rsidP="00586800">
            <w:pPr>
              <w:keepNext/>
              <w:keepLines/>
              <w:tabs>
                <w:tab w:val="decimal" w:pos="256"/>
              </w:tabs>
              <w:spacing w:before="60" w:after="60"/>
              <w:jc w:val="center"/>
              <w:rPr>
                <w:sz w:val="14"/>
                <w:szCs w:val="14"/>
              </w:rPr>
            </w:pPr>
            <w:r w:rsidRPr="008F1A59">
              <w:rPr>
                <w:sz w:val="14"/>
                <w:szCs w:val="14"/>
              </w:rPr>
              <w:t>26.8%</w:t>
            </w:r>
          </w:p>
        </w:tc>
        <w:tc>
          <w:tcPr>
            <w:tcW w:w="1133" w:type="dxa"/>
          </w:tcPr>
          <w:p w14:paraId="3D7CE0F7" w14:textId="77777777" w:rsidR="008F1A59" w:rsidRPr="008F1A59" w:rsidRDefault="008F1A59" w:rsidP="00586800">
            <w:pPr>
              <w:keepNext/>
              <w:keepLines/>
              <w:tabs>
                <w:tab w:val="decimal" w:pos="256"/>
              </w:tabs>
              <w:spacing w:before="60" w:after="60"/>
              <w:jc w:val="center"/>
              <w:rPr>
                <w:sz w:val="14"/>
                <w:szCs w:val="14"/>
              </w:rPr>
            </w:pPr>
            <w:r w:rsidRPr="008F1A59">
              <w:rPr>
                <w:sz w:val="14"/>
                <w:szCs w:val="14"/>
              </w:rPr>
              <w:t>-1.8%</w:t>
            </w:r>
          </w:p>
        </w:tc>
        <w:tc>
          <w:tcPr>
            <w:tcW w:w="991" w:type="dxa"/>
          </w:tcPr>
          <w:p w14:paraId="7ACF3D6B" w14:textId="77777777" w:rsidR="008F1A59" w:rsidRPr="008F1A59" w:rsidRDefault="008F1A59" w:rsidP="00586800">
            <w:pPr>
              <w:keepNext/>
              <w:keepLines/>
              <w:tabs>
                <w:tab w:val="decimal" w:pos="256"/>
              </w:tabs>
              <w:spacing w:before="60" w:after="60"/>
              <w:jc w:val="center"/>
              <w:rPr>
                <w:sz w:val="14"/>
                <w:szCs w:val="14"/>
              </w:rPr>
            </w:pPr>
            <w:r w:rsidRPr="008F1A59">
              <w:rPr>
                <w:sz w:val="14"/>
                <w:szCs w:val="14"/>
              </w:rPr>
              <w:t>-24.9%</w:t>
            </w:r>
          </w:p>
        </w:tc>
      </w:tr>
      <w:tr w:rsidR="008F1A59" w:rsidRPr="008F1A59" w14:paraId="4173ED12" w14:textId="77777777" w:rsidTr="00841651">
        <w:tc>
          <w:tcPr>
            <w:tcW w:w="1276" w:type="dxa"/>
            <w:shd w:val="clear" w:color="auto" w:fill="auto"/>
          </w:tcPr>
          <w:p w14:paraId="3219A704" w14:textId="77777777" w:rsidR="008F1A59" w:rsidRPr="008F1A59" w:rsidRDefault="008F1A59" w:rsidP="00586800">
            <w:pPr>
              <w:keepNext/>
              <w:keepLines/>
              <w:tabs>
                <w:tab w:val="left" w:pos="78"/>
              </w:tabs>
              <w:spacing w:before="60" w:after="60"/>
              <w:jc w:val="left"/>
              <w:rPr>
                <w:sz w:val="14"/>
                <w:szCs w:val="14"/>
              </w:rPr>
            </w:pPr>
            <w:r w:rsidRPr="008F1A59">
              <w:rPr>
                <w:sz w:val="14"/>
                <w:szCs w:val="14"/>
              </w:rPr>
              <w:tab/>
              <w:t>Inflation = 0%</w:t>
            </w:r>
          </w:p>
        </w:tc>
        <w:tc>
          <w:tcPr>
            <w:tcW w:w="993" w:type="dxa"/>
          </w:tcPr>
          <w:p w14:paraId="1D290844" w14:textId="77777777" w:rsidR="008F1A59" w:rsidRPr="008F1A59" w:rsidRDefault="008F1A59" w:rsidP="00586800">
            <w:pPr>
              <w:keepNext/>
              <w:keepLines/>
              <w:tabs>
                <w:tab w:val="decimal" w:pos="256"/>
              </w:tabs>
              <w:spacing w:before="60" w:after="60"/>
              <w:jc w:val="center"/>
              <w:rPr>
                <w:sz w:val="14"/>
                <w:szCs w:val="14"/>
              </w:rPr>
            </w:pPr>
            <w:r w:rsidRPr="008F1A59">
              <w:rPr>
                <w:sz w:val="14"/>
                <w:szCs w:val="14"/>
              </w:rPr>
              <w:t>21.4%</w:t>
            </w:r>
          </w:p>
        </w:tc>
        <w:tc>
          <w:tcPr>
            <w:tcW w:w="850" w:type="dxa"/>
          </w:tcPr>
          <w:p w14:paraId="4A2EDAF0" w14:textId="77777777" w:rsidR="008F1A59" w:rsidRPr="008F1A59" w:rsidRDefault="008F1A59" w:rsidP="00586800">
            <w:pPr>
              <w:keepNext/>
              <w:keepLines/>
              <w:tabs>
                <w:tab w:val="decimal" w:pos="256"/>
              </w:tabs>
              <w:spacing w:before="60" w:after="60"/>
              <w:jc w:val="center"/>
              <w:rPr>
                <w:sz w:val="14"/>
                <w:szCs w:val="14"/>
              </w:rPr>
            </w:pPr>
            <w:r w:rsidRPr="008F1A59">
              <w:rPr>
                <w:sz w:val="14"/>
                <w:szCs w:val="14"/>
              </w:rPr>
              <w:t>18.1%</w:t>
            </w:r>
          </w:p>
        </w:tc>
        <w:tc>
          <w:tcPr>
            <w:tcW w:w="709" w:type="dxa"/>
          </w:tcPr>
          <w:p w14:paraId="029218E9" w14:textId="77777777" w:rsidR="008F1A59" w:rsidRPr="008F1A59" w:rsidRDefault="008F1A59" w:rsidP="00586800">
            <w:pPr>
              <w:keepNext/>
              <w:keepLines/>
              <w:tabs>
                <w:tab w:val="decimal" w:pos="256"/>
              </w:tabs>
              <w:spacing w:before="60" w:after="60"/>
              <w:jc w:val="center"/>
              <w:rPr>
                <w:sz w:val="14"/>
                <w:szCs w:val="14"/>
              </w:rPr>
            </w:pPr>
            <w:r w:rsidRPr="008F1A59">
              <w:rPr>
                <w:sz w:val="14"/>
                <w:szCs w:val="14"/>
              </w:rPr>
              <w:t>18.1%</w:t>
            </w:r>
          </w:p>
        </w:tc>
        <w:tc>
          <w:tcPr>
            <w:tcW w:w="709" w:type="dxa"/>
          </w:tcPr>
          <w:p w14:paraId="39D24F74" w14:textId="77777777" w:rsidR="008F1A59" w:rsidRPr="008F1A59" w:rsidRDefault="008F1A59" w:rsidP="00586800">
            <w:pPr>
              <w:keepNext/>
              <w:keepLines/>
              <w:tabs>
                <w:tab w:val="decimal" w:pos="256"/>
              </w:tabs>
              <w:spacing w:before="60" w:after="60"/>
              <w:jc w:val="center"/>
              <w:rPr>
                <w:sz w:val="14"/>
                <w:szCs w:val="14"/>
              </w:rPr>
            </w:pPr>
            <w:r w:rsidRPr="008F1A59">
              <w:rPr>
                <w:sz w:val="14"/>
                <w:szCs w:val="14"/>
              </w:rPr>
              <w:t>18.1%</w:t>
            </w:r>
          </w:p>
        </w:tc>
        <w:tc>
          <w:tcPr>
            <w:tcW w:w="567" w:type="dxa"/>
          </w:tcPr>
          <w:p w14:paraId="543EE072" w14:textId="77777777" w:rsidR="008F1A59" w:rsidRPr="008F1A59" w:rsidRDefault="008F1A59" w:rsidP="00586800">
            <w:pPr>
              <w:keepNext/>
              <w:keepLines/>
              <w:tabs>
                <w:tab w:val="decimal" w:pos="256"/>
              </w:tabs>
              <w:spacing w:before="60" w:after="60"/>
              <w:jc w:val="center"/>
              <w:rPr>
                <w:sz w:val="14"/>
                <w:szCs w:val="14"/>
              </w:rPr>
            </w:pPr>
            <w:r w:rsidRPr="008F1A59">
              <w:rPr>
                <w:sz w:val="14"/>
                <w:szCs w:val="14"/>
              </w:rPr>
              <w:t>18.1%</w:t>
            </w:r>
          </w:p>
        </w:tc>
        <w:tc>
          <w:tcPr>
            <w:tcW w:w="570" w:type="dxa"/>
          </w:tcPr>
          <w:p w14:paraId="0B3554F4" w14:textId="77777777" w:rsidR="008F1A59" w:rsidRPr="008F1A59" w:rsidRDefault="008F1A59" w:rsidP="00586800">
            <w:pPr>
              <w:keepNext/>
              <w:keepLines/>
              <w:tabs>
                <w:tab w:val="decimal" w:pos="256"/>
              </w:tabs>
              <w:spacing w:before="60" w:after="60"/>
              <w:jc w:val="center"/>
              <w:rPr>
                <w:sz w:val="14"/>
                <w:szCs w:val="14"/>
              </w:rPr>
            </w:pPr>
            <w:r w:rsidRPr="008F1A59">
              <w:rPr>
                <w:sz w:val="14"/>
                <w:szCs w:val="14"/>
              </w:rPr>
              <w:t>18.1%</w:t>
            </w:r>
          </w:p>
        </w:tc>
        <w:tc>
          <w:tcPr>
            <w:tcW w:w="1133" w:type="dxa"/>
          </w:tcPr>
          <w:p w14:paraId="1808B876" w14:textId="77777777" w:rsidR="008F1A59" w:rsidRPr="008F1A59" w:rsidRDefault="008F1A59" w:rsidP="00586800">
            <w:pPr>
              <w:keepNext/>
              <w:keepLines/>
              <w:tabs>
                <w:tab w:val="decimal" w:pos="256"/>
              </w:tabs>
              <w:spacing w:before="60" w:after="60"/>
              <w:jc w:val="center"/>
              <w:rPr>
                <w:sz w:val="14"/>
                <w:szCs w:val="14"/>
              </w:rPr>
            </w:pPr>
            <w:r w:rsidRPr="008F1A59">
              <w:rPr>
                <w:sz w:val="14"/>
                <w:szCs w:val="14"/>
              </w:rPr>
              <w:t>18.1%</w:t>
            </w:r>
          </w:p>
        </w:tc>
        <w:tc>
          <w:tcPr>
            <w:tcW w:w="850" w:type="dxa"/>
          </w:tcPr>
          <w:p w14:paraId="2199339A" w14:textId="77777777" w:rsidR="008F1A59" w:rsidRPr="008F1A59" w:rsidRDefault="008F1A59" w:rsidP="00586800">
            <w:pPr>
              <w:keepNext/>
              <w:keepLines/>
              <w:tabs>
                <w:tab w:val="decimal" w:pos="256"/>
              </w:tabs>
              <w:spacing w:before="60" w:after="60"/>
              <w:jc w:val="center"/>
              <w:rPr>
                <w:sz w:val="14"/>
                <w:szCs w:val="14"/>
              </w:rPr>
            </w:pPr>
            <w:r w:rsidRPr="008F1A59">
              <w:rPr>
                <w:sz w:val="14"/>
                <w:szCs w:val="14"/>
              </w:rPr>
              <w:t>18.1%</w:t>
            </w:r>
          </w:p>
        </w:tc>
        <w:tc>
          <w:tcPr>
            <w:tcW w:w="1133" w:type="dxa"/>
          </w:tcPr>
          <w:p w14:paraId="0D5D5F49" w14:textId="77777777" w:rsidR="008F1A59" w:rsidRPr="008F1A59" w:rsidRDefault="008F1A59" w:rsidP="00586800">
            <w:pPr>
              <w:keepNext/>
              <w:keepLines/>
              <w:tabs>
                <w:tab w:val="decimal" w:pos="256"/>
              </w:tabs>
              <w:spacing w:before="60" w:after="60"/>
              <w:jc w:val="center"/>
              <w:rPr>
                <w:sz w:val="14"/>
                <w:szCs w:val="14"/>
              </w:rPr>
            </w:pPr>
            <w:r w:rsidRPr="008F1A59">
              <w:rPr>
                <w:sz w:val="14"/>
                <w:szCs w:val="14"/>
              </w:rPr>
              <w:t>8.4%</w:t>
            </w:r>
          </w:p>
        </w:tc>
        <w:tc>
          <w:tcPr>
            <w:tcW w:w="991" w:type="dxa"/>
          </w:tcPr>
          <w:p w14:paraId="521D19CF" w14:textId="77777777" w:rsidR="008F1A59" w:rsidRPr="008F1A59" w:rsidRDefault="008F1A59" w:rsidP="00586800">
            <w:pPr>
              <w:keepNext/>
              <w:keepLines/>
              <w:tabs>
                <w:tab w:val="decimal" w:pos="256"/>
              </w:tabs>
              <w:spacing w:before="60" w:after="60"/>
              <w:jc w:val="center"/>
              <w:rPr>
                <w:sz w:val="14"/>
                <w:szCs w:val="14"/>
              </w:rPr>
            </w:pPr>
            <w:r w:rsidRPr="008F1A59">
              <w:rPr>
                <w:sz w:val="14"/>
                <w:szCs w:val="14"/>
              </w:rPr>
              <w:t>-13.7%</w:t>
            </w:r>
          </w:p>
        </w:tc>
      </w:tr>
      <w:tr w:rsidR="008F1A59" w:rsidRPr="008F1A59" w14:paraId="7C3A363C" w14:textId="77777777" w:rsidTr="00841651">
        <w:tc>
          <w:tcPr>
            <w:tcW w:w="1276" w:type="dxa"/>
            <w:shd w:val="clear" w:color="auto" w:fill="auto"/>
          </w:tcPr>
          <w:p w14:paraId="175AA156" w14:textId="77777777" w:rsidR="008F1A59" w:rsidRPr="008F1A59" w:rsidRDefault="008F1A59" w:rsidP="00586800">
            <w:pPr>
              <w:keepNext/>
              <w:keepLines/>
              <w:tabs>
                <w:tab w:val="left" w:pos="78"/>
              </w:tabs>
              <w:spacing w:before="60" w:after="60"/>
              <w:jc w:val="left"/>
              <w:rPr>
                <w:b/>
                <w:bCs/>
                <w:sz w:val="14"/>
                <w:szCs w:val="14"/>
              </w:rPr>
            </w:pPr>
            <w:r w:rsidRPr="008F1A59">
              <w:rPr>
                <w:b/>
                <w:bCs/>
                <w:sz w:val="14"/>
                <w:szCs w:val="14"/>
              </w:rPr>
              <w:t>r = 5%</w:t>
            </w:r>
          </w:p>
        </w:tc>
        <w:tc>
          <w:tcPr>
            <w:tcW w:w="993" w:type="dxa"/>
          </w:tcPr>
          <w:p w14:paraId="0AEC12E6" w14:textId="77777777" w:rsidR="008F1A59" w:rsidRPr="008F1A59" w:rsidRDefault="008F1A59" w:rsidP="00586800">
            <w:pPr>
              <w:keepNext/>
              <w:keepLines/>
              <w:tabs>
                <w:tab w:val="decimal" w:pos="256"/>
              </w:tabs>
              <w:spacing w:before="60" w:after="60"/>
              <w:jc w:val="center"/>
              <w:rPr>
                <w:sz w:val="14"/>
                <w:szCs w:val="14"/>
              </w:rPr>
            </w:pPr>
          </w:p>
        </w:tc>
        <w:tc>
          <w:tcPr>
            <w:tcW w:w="850" w:type="dxa"/>
          </w:tcPr>
          <w:p w14:paraId="1D9DACF1" w14:textId="77777777" w:rsidR="008F1A59" w:rsidRPr="008F1A59" w:rsidRDefault="008F1A59" w:rsidP="00586800">
            <w:pPr>
              <w:keepNext/>
              <w:keepLines/>
              <w:tabs>
                <w:tab w:val="decimal" w:pos="256"/>
              </w:tabs>
              <w:spacing w:before="60" w:after="60"/>
              <w:jc w:val="center"/>
              <w:rPr>
                <w:sz w:val="14"/>
                <w:szCs w:val="14"/>
              </w:rPr>
            </w:pPr>
          </w:p>
        </w:tc>
        <w:tc>
          <w:tcPr>
            <w:tcW w:w="709" w:type="dxa"/>
          </w:tcPr>
          <w:p w14:paraId="4500538C" w14:textId="77777777" w:rsidR="008F1A59" w:rsidRPr="008F1A59" w:rsidRDefault="008F1A59" w:rsidP="00586800">
            <w:pPr>
              <w:keepNext/>
              <w:keepLines/>
              <w:tabs>
                <w:tab w:val="decimal" w:pos="256"/>
              </w:tabs>
              <w:spacing w:before="60" w:after="60"/>
              <w:jc w:val="center"/>
              <w:rPr>
                <w:sz w:val="14"/>
                <w:szCs w:val="14"/>
              </w:rPr>
            </w:pPr>
          </w:p>
        </w:tc>
        <w:tc>
          <w:tcPr>
            <w:tcW w:w="709" w:type="dxa"/>
          </w:tcPr>
          <w:p w14:paraId="3891EBF7" w14:textId="77777777" w:rsidR="008F1A59" w:rsidRPr="008F1A59" w:rsidRDefault="008F1A59" w:rsidP="00586800">
            <w:pPr>
              <w:keepNext/>
              <w:keepLines/>
              <w:tabs>
                <w:tab w:val="decimal" w:pos="256"/>
              </w:tabs>
              <w:spacing w:before="60" w:after="60"/>
              <w:jc w:val="center"/>
              <w:rPr>
                <w:sz w:val="14"/>
                <w:szCs w:val="14"/>
              </w:rPr>
            </w:pPr>
          </w:p>
        </w:tc>
        <w:tc>
          <w:tcPr>
            <w:tcW w:w="567" w:type="dxa"/>
          </w:tcPr>
          <w:p w14:paraId="51162EDB" w14:textId="77777777" w:rsidR="008F1A59" w:rsidRPr="008F1A59" w:rsidRDefault="008F1A59" w:rsidP="00586800">
            <w:pPr>
              <w:keepNext/>
              <w:keepLines/>
              <w:tabs>
                <w:tab w:val="decimal" w:pos="256"/>
              </w:tabs>
              <w:spacing w:before="60" w:after="60"/>
              <w:jc w:val="center"/>
              <w:rPr>
                <w:sz w:val="14"/>
                <w:szCs w:val="14"/>
              </w:rPr>
            </w:pPr>
          </w:p>
        </w:tc>
        <w:tc>
          <w:tcPr>
            <w:tcW w:w="570" w:type="dxa"/>
          </w:tcPr>
          <w:p w14:paraId="5B107660" w14:textId="77777777" w:rsidR="008F1A59" w:rsidRPr="008F1A59" w:rsidRDefault="008F1A59" w:rsidP="00586800">
            <w:pPr>
              <w:keepNext/>
              <w:keepLines/>
              <w:tabs>
                <w:tab w:val="decimal" w:pos="256"/>
              </w:tabs>
              <w:spacing w:before="60" w:after="60"/>
              <w:jc w:val="center"/>
              <w:rPr>
                <w:sz w:val="14"/>
                <w:szCs w:val="14"/>
              </w:rPr>
            </w:pPr>
          </w:p>
        </w:tc>
        <w:tc>
          <w:tcPr>
            <w:tcW w:w="1133" w:type="dxa"/>
          </w:tcPr>
          <w:p w14:paraId="219A3384" w14:textId="77777777" w:rsidR="008F1A59" w:rsidRPr="008F1A59" w:rsidRDefault="008F1A59" w:rsidP="00586800">
            <w:pPr>
              <w:keepNext/>
              <w:keepLines/>
              <w:tabs>
                <w:tab w:val="decimal" w:pos="256"/>
              </w:tabs>
              <w:spacing w:before="60" w:after="60"/>
              <w:jc w:val="center"/>
              <w:rPr>
                <w:sz w:val="14"/>
                <w:szCs w:val="14"/>
              </w:rPr>
            </w:pPr>
          </w:p>
        </w:tc>
        <w:tc>
          <w:tcPr>
            <w:tcW w:w="850" w:type="dxa"/>
          </w:tcPr>
          <w:p w14:paraId="33B72559" w14:textId="77777777" w:rsidR="008F1A59" w:rsidRPr="008F1A59" w:rsidRDefault="008F1A59" w:rsidP="00586800">
            <w:pPr>
              <w:keepNext/>
              <w:keepLines/>
              <w:tabs>
                <w:tab w:val="decimal" w:pos="256"/>
              </w:tabs>
              <w:spacing w:before="60" w:after="60"/>
              <w:jc w:val="center"/>
              <w:rPr>
                <w:sz w:val="14"/>
                <w:szCs w:val="14"/>
              </w:rPr>
            </w:pPr>
          </w:p>
        </w:tc>
        <w:tc>
          <w:tcPr>
            <w:tcW w:w="1133" w:type="dxa"/>
          </w:tcPr>
          <w:p w14:paraId="14208B5F" w14:textId="77777777" w:rsidR="008F1A59" w:rsidRPr="008F1A59" w:rsidRDefault="008F1A59" w:rsidP="00586800">
            <w:pPr>
              <w:keepNext/>
              <w:keepLines/>
              <w:tabs>
                <w:tab w:val="decimal" w:pos="256"/>
              </w:tabs>
              <w:spacing w:before="60" w:after="60"/>
              <w:jc w:val="center"/>
              <w:rPr>
                <w:sz w:val="14"/>
                <w:szCs w:val="14"/>
              </w:rPr>
            </w:pPr>
          </w:p>
        </w:tc>
        <w:tc>
          <w:tcPr>
            <w:tcW w:w="991" w:type="dxa"/>
          </w:tcPr>
          <w:p w14:paraId="3F8F6C4A" w14:textId="77777777" w:rsidR="008F1A59" w:rsidRPr="008F1A59" w:rsidRDefault="008F1A59" w:rsidP="00586800">
            <w:pPr>
              <w:keepNext/>
              <w:keepLines/>
              <w:tabs>
                <w:tab w:val="decimal" w:pos="256"/>
              </w:tabs>
              <w:spacing w:before="60" w:after="60"/>
              <w:jc w:val="center"/>
              <w:rPr>
                <w:sz w:val="14"/>
                <w:szCs w:val="14"/>
              </w:rPr>
            </w:pPr>
          </w:p>
        </w:tc>
      </w:tr>
      <w:tr w:rsidR="008F1A59" w:rsidRPr="008F1A59" w14:paraId="6D88D66C" w14:textId="77777777" w:rsidTr="00841651">
        <w:tc>
          <w:tcPr>
            <w:tcW w:w="1276" w:type="dxa"/>
            <w:shd w:val="clear" w:color="auto" w:fill="auto"/>
          </w:tcPr>
          <w:p w14:paraId="603F9674" w14:textId="77777777" w:rsidR="008F1A59" w:rsidRPr="008F1A59" w:rsidRDefault="008F1A59" w:rsidP="00586800">
            <w:pPr>
              <w:keepNext/>
              <w:keepLines/>
              <w:tabs>
                <w:tab w:val="left" w:pos="78"/>
              </w:tabs>
              <w:spacing w:before="60" w:after="60"/>
              <w:jc w:val="left"/>
              <w:rPr>
                <w:sz w:val="14"/>
                <w:szCs w:val="14"/>
              </w:rPr>
            </w:pPr>
            <w:r w:rsidRPr="008F1A59">
              <w:rPr>
                <w:sz w:val="14"/>
                <w:szCs w:val="14"/>
              </w:rPr>
              <w:tab/>
              <w:t>Inflation = 2%</w:t>
            </w:r>
          </w:p>
        </w:tc>
        <w:tc>
          <w:tcPr>
            <w:tcW w:w="993" w:type="dxa"/>
          </w:tcPr>
          <w:p w14:paraId="027BC752" w14:textId="77777777" w:rsidR="008F1A59" w:rsidRPr="008F1A59" w:rsidRDefault="008F1A59" w:rsidP="00586800">
            <w:pPr>
              <w:keepNext/>
              <w:keepLines/>
              <w:tabs>
                <w:tab w:val="decimal" w:pos="256"/>
              </w:tabs>
              <w:spacing w:before="60" w:after="60"/>
              <w:jc w:val="center"/>
              <w:rPr>
                <w:sz w:val="14"/>
                <w:szCs w:val="14"/>
              </w:rPr>
            </w:pPr>
            <w:r w:rsidRPr="008F1A59">
              <w:rPr>
                <w:sz w:val="14"/>
                <w:szCs w:val="14"/>
              </w:rPr>
              <w:t>19.1%</w:t>
            </w:r>
          </w:p>
        </w:tc>
        <w:tc>
          <w:tcPr>
            <w:tcW w:w="850" w:type="dxa"/>
          </w:tcPr>
          <w:p w14:paraId="619A4CD5" w14:textId="77777777" w:rsidR="008F1A59" w:rsidRPr="008F1A59" w:rsidRDefault="008F1A59" w:rsidP="00586800">
            <w:pPr>
              <w:keepNext/>
              <w:keepLines/>
              <w:tabs>
                <w:tab w:val="decimal" w:pos="256"/>
              </w:tabs>
              <w:spacing w:before="60" w:after="60"/>
              <w:jc w:val="center"/>
              <w:rPr>
                <w:sz w:val="14"/>
                <w:szCs w:val="14"/>
              </w:rPr>
            </w:pPr>
            <w:r w:rsidRPr="008F1A59">
              <w:rPr>
                <w:sz w:val="14"/>
                <w:szCs w:val="14"/>
              </w:rPr>
              <w:t>23.6%</w:t>
            </w:r>
          </w:p>
        </w:tc>
        <w:tc>
          <w:tcPr>
            <w:tcW w:w="709" w:type="dxa"/>
          </w:tcPr>
          <w:p w14:paraId="7782827C" w14:textId="77777777" w:rsidR="008F1A59" w:rsidRPr="008F1A59" w:rsidRDefault="008F1A59" w:rsidP="00586800">
            <w:pPr>
              <w:keepNext/>
              <w:keepLines/>
              <w:tabs>
                <w:tab w:val="decimal" w:pos="256"/>
              </w:tabs>
              <w:spacing w:before="60" w:after="60"/>
              <w:jc w:val="center"/>
              <w:rPr>
                <w:sz w:val="14"/>
                <w:szCs w:val="14"/>
              </w:rPr>
            </w:pPr>
            <w:r w:rsidRPr="008F1A59">
              <w:rPr>
                <w:sz w:val="14"/>
                <w:szCs w:val="14"/>
              </w:rPr>
              <w:t>23.1%</w:t>
            </w:r>
          </w:p>
        </w:tc>
        <w:tc>
          <w:tcPr>
            <w:tcW w:w="709" w:type="dxa"/>
          </w:tcPr>
          <w:p w14:paraId="64D4D099" w14:textId="77777777" w:rsidR="008F1A59" w:rsidRPr="008F1A59" w:rsidRDefault="008F1A59" w:rsidP="00586800">
            <w:pPr>
              <w:keepNext/>
              <w:keepLines/>
              <w:tabs>
                <w:tab w:val="decimal" w:pos="256"/>
              </w:tabs>
              <w:spacing w:before="60" w:after="60"/>
              <w:jc w:val="center"/>
              <w:rPr>
                <w:sz w:val="14"/>
                <w:szCs w:val="14"/>
              </w:rPr>
            </w:pPr>
            <w:r w:rsidRPr="008F1A59">
              <w:rPr>
                <w:sz w:val="14"/>
                <w:szCs w:val="14"/>
              </w:rPr>
              <w:t>20.4%</w:t>
            </w:r>
          </w:p>
        </w:tc>
        <w:tc>
          <w:tcPr>
            <w:tcW w:w="567" w:type="dxa"/>
          </w:tcPr>
          <w:p w14:paraId="535359AB" w14:textId="77777777" w:rsidR="008F1A59" w:rsidRPr="008F1A59" w:rsidRDefault="008F1A59" w:rsidP="00586800">
            <w:pPr>
              <w:keepNext/>
              <w:keepLines/>
              <w:tabs>
                <w:tab w:val="decimal" w:pos="256"/>
              </w:tabs>
              <w:spacing w:before="60" w:after="60"/>
              <w:jc w:val="center"/>
              <w:rPr>
                <w:sz w:val="14"/>
                <w:szCs w:val="14"/>
              </w:rPr>
            </w:pPr>
            <w:r w:rsidRPr="008F1A59">
              <w:rPr>
                <w:sz w:val="14"/>
                <w:szCs w:val="14"/>
              </w:rPr>
              <w:t>18.0%</w:t>
            </w:r>
          </w:p>
        </w:tc>
        <w:tc>
          <w:tcPr>
            <w:tcW w:w="570" w:type="dxa"/>
          </w:tcPr>
          <w:p w14:paraId="3FA3D807" w14:textId="77777777" w:rsidR="008F1A59" w:rsidRPr="008F1A59" w:rsidRDefault="008F1A59" w:rsidP="00586800">
            <w:pPr>
              <w:keepNext/>
              <w:keepLines/>
              <w:tabs>
                <w:tab w:val="decimal" w:pos="256"/>
              </w:tabs>
              <w:spacing w:before="60" w:after="60"/>
              <w:jc w:val="center"/>
              <w:rPr>
                <w:sz w:val="14"/>
                <w:szCs w:val="14"/>
              </w:rPr>
            </w:pPr>
            <w:r w:rsidRPr="008F1A59">
              <w:rPr>
                <w:sz w:val="14"/>
                <w:szCs w:val="14"/>
              </w:rPr>
              <w:t>16.3%</w:t>
            </w:r>
          </w:p>
        </w:tc>
        <w:tc>
          <w:tcPr>
            <w:tcW w:w="1133" w:type="dxa"/>
          </w:tcPr>
          <w:p w14:paraId="0BA35565" w14:textId="77777777" w:rsidR="008F1A59" w:rsidRPr="008F1A59" w:rsidRDefault="008F1A59" w:rsidP="00586800">
            <w:pPr>
              <w:keepNext/>
              <w:keepLines/>
              <w:tabs>
                <w:tab w:val="decimal" w:pos="256"/>
              </w:tabs>
              <w:spacing w:before="60" w:after="60"/>
              <w:jc w:val="center"/>
              <w:rPr>
                <w:sz w:val="14"/>
                <w:szCs w:val="14"/>
              </w:rPr>
            </w:pPr>
            <w:r w:rsidRPr="008F1A59">
              <w:rPr>
                <w:sz w:val="14"/>
                <w:szCs w:val="14"/>
              </w:rPr>
              <w:t>13.5%</w:t>
            </w:r>
          </w:p>
        </w:tc>
        <w:tc>
          <w:tcPr>
            <w:tcW w:w="850" w:type="dxa"/>
          </w:tcPr>
          <w:p w14:paraId="140FB6CC" w14:textId="77777777" w:rsidR="008F1A59" w:rsidRPr="008F1A59" w:rsidRDefault="008F1A59" w:rsidP="00586800">
            <w:pPr>
              <w:keepNext/>
              <w:keepLines/>
              <w:tabs>
                <w:tab w:val="decimal" w:pos="256"/>
              </w:tabs>
              <w:spacing w:before="60" w:after="60"/>
              <w:jc w:val="center"/>
              <w:rPr>
                <w:sz w:val="14"/>
                <w:szCs w:val="14"/>
              </w:rPr>
            </w:pPr>
            <w:r w:rsidRPr="008F1A59">
              <w:rPr>
                <w:sz w:val="14"/>
                <w:szCs w:val="14"/>
              </w:rPr>
              <w:t>23.6%</w:t>
            </w:r>
          </w:p>
        </w:tc>
        <w:tc>
          <w:tcPr>
            <w:tcW w:w="1133" w:type="dxa"/>
          </w:tcPr>
          <w:p w14:paraId="39E45EF1" w14:textId="77777777" w:rsidR="008F1A59" w:rsidRPr="008F1A59" w:rsidRDefault="008F1A59" w:rsidP="00586800">
            <w:pPr>
              <w:keepNext/>
              <w:keepLines/>
              <w:tabs>
                <w:tab w:val="decimal" w:pos="256"/>
              </w:tabs>
              <w:spacing w:before="60" w:after="60"/>
              <w:jc w:val="center"/>
              <w:rPr>
                <w:sz w:val="14"/>
                <w:szCs w:val="14"/>
              </w:rPr>
            </w:pPr>
            <w:r w:rsidRPr="008F1A59">
              <w:rPr>
                <w:sz w:val="14"/>
                <w:szCs w:val="14"/>
              </w:rPr>
              <w:t>7.3%</w:t>
            </w:r>
          </w:p>
        </w:tc>
        <w:tc>
          <w:tcPr>
            <w:tcW w:w="991" w:type="dxa"/>
          </w:tcPr>
          <w:p w14:paraId="091B0B30" w14:textId="77777777" w:rsidR="008F1A59" w:rsidRPr="008F1A59" w:rsidRDefault="008F1A59" w:rsidP="00586800">
            <w:pPr>
              <w:keepNext/>
              <w:keepLines/>
              <w:tabs>
                <w:tab w:val="decimal" w:pos="256"/>
              </w:tabs>
              <w:spacing w:before="60" w:after="60"/>
              <w:jc w:val="center"/>
              <w:rPr>
                <w:sz w:val="14"/>
                <w:szCs w:val="14"/>
              </w:rPr>
            </w:pPr>
            <w:r w:rsidRPr="008F1A59">
              <w:rPr>
                <w:sz w:val="14"/>
                <w:szCs w:val="14"/>
              </w:rPr>
              <w:t>-20.1%</w:t>
            </w:r>
          </w:p>
        </w:tc>
      </w:tr>
      <w:tr w:rsidR="008F1A59" w:rsidRPr="008F1A59" w14:paraId="11D14CFC" w14:textId="77777777" w:rsidTr="00841651">
        <w:tc>
          <w:tcPr>
            <w:tcW w:w="1276" w:type="dxa"/>
            <w:shd w:val="clear" w:color="auto" w:fill="auto"/>
          </w:tcPr>
          <w:p w14:paraId="3596F0F6" w14:textId="77777777" w:rsidR="008F1A59" w:rsidRPr="008F1A59" w:rsidRDefault="008F1A59" w:rsidP="00586800">
            <w:pPr>
              <w:keepNext/>
              <w:keepLines/>
              <w:tabs>
                <w:tab w:val="left" w:pos="78"/>
              </w:tabs>
              <w:spacing w:before="60" w:after="60"/>
              <w:jc w:val="left"/>
              <w:rPr>
                <w:sz w:val="14"/>
                <w:szCs w:val="14"/>
              </w:rPr>
            </w:pPr>
            <w:r w:rsidRPr="008F1A59">
              <w:rPr>
                <w:sz w:val="14"/>
                <w:szCs w:val="14"/>
              </w:rPr>
              <w:tab/>
              <w:t>Inflation = 0%</w:t>
            </w:r>
          </w:p>
        </w:tc>
        <w:tc>
          <w:tcPr>
            <w:tcW w:w="993" w:type="dxa"/>
          </w:tcPr>
          <w:p w14:paraId="7AA6CD6D" w14:textId="77777777" w:rsidR="008F1A59" w:rsidRPr="008F1A59" w:rsidRDefault="008F1A59" w:rsidP="00586800">
            <w:pPr>
              <w:keepNext/>
              <w:keepLines/>
              <w:tabs>
                <w:tab w:val="decimal" w:pos="256"/>
              </w:tabs>
              <w:spacing w:before="60" w:after="60"/>
              <w:jc w:val="center"/>
              <w:rPr>
                <w:sz w:val="14"/>
                <w:szCs w:val="14"/>
              </w:rPr>
            </w:pPr>
            <w:r w:rsidRPr="008F1A59">
              <w:rPr>
                <w:sz w:val="14"/>
                <w:szCs w:val="14"/>
              </w:rPr>
              <w:t>20.5%</w:t>
            </w:r>
          </w:p>
        </w:tc>
        <w:tc>
          <w:tcPr>
            <w:tcW w:w="850" w:type="dxa"/>
          </w:tcPr>
          <w:p w14:paraId="6C23DA69" w14:textId="77777777" w:rsidR="008F1A59" w:rsidRPr="008F1A59" w:rsidRDefault="008F1A59" w:rsidP="00586800">
            <w:pPr>
              <w:keepNext/>
              <w:keepLines/>
              <w:tabs>
                <w:tab w:val="decimal" w:pos="256"/>
              </w:tabs>
              <w:spacing w:before="60" w:after="60"/>
              <w:jc w:val="center"/>
              <w:rPr>
                <w:sz w:val="14"/>
                <w:szCs w:val="14"/>
              </w:rPr>
            </w:pPr>
            <w:r w:rsidRPr="008F1A59">
              <w:rPr>
                <w:sz w:val="14"/>
                <w:szCs w:val="14"/>
              </w:rPr>
              <w:t>18.1%</w:t>
            </w:r>
          </w:p>
        </w:tc>
        <w:tc>
          <w:tcPr>
            <w:tcW w:w="709" w:type="dxa"/>
          </w:tcPr>
          <w:p w14:paraId="367EEC40" w14:textId="77777777" w:rsidR="008F1A59" w:rsidRPr="008F1A59" w:rsidRDefault="008F1A59" w:rsidP="00586800">
            <w:pPr>
              <w:keepNext/>
              <w:keepLines/>
              <w:tabs>
                <w:tab w:val="decimal" w:pos="256"/>
              </w:tabs>
              <w:spacing w:before="60" w:after="60"/>
              <w:jc w:val="center"/>
              <w:rPr>
                <w:sz w:val="14"/>
                <w:szCs w:val="14"/>
              </w:rPr>
            </w:pPr>
            <w:r w:rsidRPr="008F1A59">
              <w:rPr>
                <w:sz w:val="14"/>
                <w:szCs w:val="14"/>
              </w:rPr>
              <w:t>18.1%</w:t>
            </w:r>
          </w:p>
        </w:tc>
        <w:tc>
          <w:tcPr>
            <w:tcW w:w="709" w:type="dxa"/>
          </w:tcPr>
          <w:p w14:paraId="3E3A21B3" w14:textId="77777777" w:rsidR="008F1A59" w:rsidRPr="008F1A59" w:rsidRDefault="008F1A59" w:rsidP="00586800">
            <w:pPr>
              <w:keepNext/>
              <w:keepLines/>
              <w:tabs>
                <w:tab w:val="decimal" w:pos="256"/>
              </w:tabs>
              <w:spacing w:before="60" w:after="60"/>
              <w:jc w:val="center"/>
              <w:rPr>
                <w:sz w:val="14"/>
                <w:szCs w:val="14"/>
              </w:rPr>
            </w:pPr>
            <w:r w:rsidRPr="008F1A59">
              <w:rPr>
                <w:sz w:val="14"/>
                <w:szCs w:val="14"/>
              </w:rPr>
              <w:t>18.1%</w:t>
            </w:r>
          </w:p>
        </w:tc>
        <w:tc>
          <w:tcPr>
            <w:tcW w:w="567" w:type="dxa"/>
          </w:tcPr>
          <w:p w14:paraId="572BB0AF" w14:textId="77777777" w:rsidR="008F1A59" w:rsidRPr="008F1A59" w:rsidRDefault="008F1A59" w:rsidP="00586800">
            <w:pPr>
              <w:keepNext/>
              <w:keepLines/>
              <w:tabs>
                <w:tab w:val="decimal" w:pos="256"/>
              </w:tabs>
              <w:spacing w:before="60" w:after="60"/>
              <w:jc w:val="center"/>
              <w:rPr>
                <w:sz w:val="14"/>
                <w:szCs w:val="14"/>
              </w:rPr>
            </w:pPr>
            <w:r w:rsidRPr="008F1A59">
              <w:rPr>
                <w:sz w:val="14"/>
                <w:szCs w:val="14"/>
              </w:rPr>
              <w:t>18.1%</w:t>
            </w:r>
          </w:p>
        </w:tc>
        <w:tc>
          <w:tcPr>
            <w:tcW w:w="570" w:type="dxa"/>
          </w:tcPr>
          <w:p w14:paraId="42260F8D" w14:textId="77777777" w:rsidR="008F1A59" w:rsidRPr="008F1A59" w:rsidRDefault="008F1A59" w:rsidP="00586800">
            <w:pPr>
              <w:keepNext/>
              <w:keepLines/>
              <w:tabs>
                <w:tab w:val="decimal" w:pos="256"/>
              </w:tabs>
              <w:spacing w:before="60" w:after="60"/>
              <w:jc w:val="center"/>
              <w:rPr>
                <w:sz w:val="14"/>
                <w:szCs w:val="14"/>
              </w:rPr>
            </w:pPr>
            <w:r w:rsidRPr="008F1A59">
              <w:rPr>
                <w:sz w:val="14"/>
                <w:szCs w:val="14"/>
              </w:rPr>
              <w:t>18.1%</w:t>
            </w:r>
          </w:p>
        </w:tc>
        <w:tc>
          <w:tcPr>
            <w:tcW w:w="1133" w:type="dxa"/>
          </w:tcPr>
          <w:p w14:paraId="492F763B" w14:textId="77777777" w:rsidR="008F1A59" w:rsidRPr="008F1A59" w:rsidRDefault="008F1A59" w:rsidP="00586800">
            <w:pPr>
              <w:keepNext/>
              <w:keepLines/>
              <w:tabs>
                <w:tab w:val="decimal" w:pos="256"/>
              </w:tabs>
              <w:spacing w:before="60" w:after="60"/>
              <w:jc w:val="center"/>
              <w:rPr>
                <w:sz w:val="14"/>
                <w:szCs w:val="14"/>
              </w:rPr>
            </w:pPr>
            <w:r w:rsidRPr="008F1A59">
              <w:rPr>
                <w:sz w:val="14"/>
                <w:szCs w:val="14"/>
              </w:rPr>
              <w:t>18.1%</w:t>
            </w:r>
          </w:p>
        </w:tc>
        <w:tc>
          <w:tcPr>
            <w:tcW w:w="850" w:type="dxa"/>
          </w:tcPr>
          <w:p w14:paraId="3CD77F63" w14:textId="77777777" w:rsidR="008F1A59" w:rsidRPr="008F1A59" w:rsidRDefault="008F1A59" w:rsidP="00586800">
            <w:pPr>
              <w:keepNext/>
              <w:keepLines/>
              <w:tabs>
                <w:tab w:val="decimal" w:pos="256"/>
              </w:tabs>
              <w:spacing w:before="60" w:after="60"/>
              <w:jc w:val="center"/>
              <w:rPr>
                <w:sz w:val="14"/>
                <w:szCs w:val="14"/>
              </w:rPr>
            </w:pPr>
            <w:r w:rsidRPr="008F1A59">
              <w:rPr>
                <w:sz w:val="14"/>
                <w:szCs w:val="14"/>
              </w:rPr>
              <w:t>18.1%</w:t>
            </w:r>
          </w:p>
        </w:tc>
        <w:tc>
          <w:tcPr>
            <w:tcW w:w="1133" w:type="dxa"/>
          </w:tcPr>
          <w:p w14:paraId="323EDD85" w14:textId="77777777" w:rsidR="008F1A59" w:rsidRPr="008F1A59" w:rsidRDefault="008F1A59" w:rsidP="00586800">
            <w:pPr>
              <w:keepNext/>
              <w:keepLines/>
              <w:tabs>
                <w:tab w:val="decimal" w:pos="256"/>
              </w:tabs>
              <w:spacing w:before="60" w:after="60"/>
              <w:jc w:val="center"/>
              <w:rPr>
                <w:sz w:val="14"/>
                <w:szCs w:val="14"/>
              </w:rPr>
            </w:pPr>
            <w:r w:rsidRPr="008F1A59">
              <w:rPr>
                <w:sz w:val="14"/>
                <w:szCs w:val="14"/>
              </w:rPr>
              <w:t>12.6%</w:t>
            </w:r>
          </w:p>
        </w:tc>
        <w:tc>
          <w:tcPr>
            <w:tcW w:w="991" w:type="dxa"/>
          </w:tcPr>
          <w:p w14:paraId="30C50804" w14:textId="77777777" w:rsidR="008F1A59" w:rsidRPr="008F1A59" w:rsidRDefault="008F1A59" w:rsidP="00586800">
            <w:pPr>
              <w:keepNext/>
              <w:keepLines/>
              <w:tabs>
                <w:tab w:val="decimal" w:pos="256"/>
              </w:tabs>
              <w:spacing w:before="60" w:after="60"/>
              <w:jc w:val="center"/>
              <w:rPr>
                <w:sz w:val="14"/>
                <w:szCs w:val="14"/>
              </w:rPr>
            </w:pPr>
            <w:r w:rsidRPr="008F1A59">
              <w:rPr>
                <w:sz w:val="14"/>
                <w:szCs w:val="14"/>
              </w:rPr>
              <w:t>-13.7%</w:t>
            </w:r>
          </w:p>
        </w:tc>
      </w:tr>
    </w:tbl>
    <w:p w14:paraId="671E05E6" w14:textId="77777777" w:rsidR="009C1F81" w:rsidRPr="009C1F81" w:rsidRDefault="009C1F81" w:rsidP="00075D72">
      <w:pPr>
        <w:pStyle w:val="NumberedParagraph"/>
        <w:numPr>
          <w:ilvl w:val="1"/>
          <w:numId w:val="64"/>
        </w:numPr>
      </w:pPr>
      <w:r w:rsidRPr="009C1F81">
        <w:t>We draw attention to the following points:</w:t>
      </w:r>
    </w:p>
    <w:p w14:paraId="60D6BD59" w14:textId="77777777" w:rsidR="009C1F81" w:rsidRPr="009C1F81" w:rsidRDefault="009C1F81" w:rsidP="00075D72">
      <w:pPr>
        <w:pStyle w:val="NumberedParagraph-BulletL1"/>
        <w:numPr>
          <w:ilvl w:val="2"/>
          <w:numId w:val="64"/>
        </w:numPr>
      </w:pPr>
      <w:r w:rsidRPr="009C1F81">
        <w:t>If there were no inflation and tax depreciation rates accurately measured economic depreciation, EMTRs would be the same for PME with different rates of economic depreciation, zero-depreciation assets and inventories. This would apply whether the world interest rate was 3% or 5%.</w:t>
      </w:r>
    </w:p>
    <w:p w14:paraId="292AE3BD" w14:textId="77777777" w:rsidR="009C1F81" w:rsidRPr="009C1F81" w:rsidRDefault="009C1F81" w:rsidP="00075D72">
      <w:pPr>
        <w:pStyle w:val="NumberedParagraph-BulletL1"/>
        <w:numPr>
          <w:ilvl w:val="2"/>
          <w:numId w:val="64"/>
        </w:numPr>
      </w:pPr>
      <w:r w:rsidRPr="009C1F81">
        <w:t>With either real interest rate, inflation creates a tax bias that pushes up EMTRs for short-lived PME and inventories. With expensing, it makes the negative EMTRs more negative.</w:t>
      </w:r>
    </w:p>
    <w:p w14:paraId="6D6F8C6B" w14:textId="3F0BD277" w:rsidR="009C1F81" w:rsidRPr="009C1F81" w:rsidRDefault="009C1F81" w:rsidP="00075D72">
      <w:pPr>
        <w:pStyle w:val="NumberedParagraph-BulletL1"/>
        <w:numPr>
          <w:ilvl w:val="2"/>
          <w:numId w:val="64"/>
        </w:numPr>
      </w:pPr>
      <w:r w:rsidRPr="009C1F81">
        <w:t>However, inflation is considerably less distorting with a higher real interest rate assumption. With a real interest rate of 3%, inflation raises the EMTR for short-lived PME and inventories from 18.1% to 26.8%, while lowering the EMTR for a zero-depreciation asset from 18.1% to 10.1%. By contrast, with a 5% real interest rate, inflation only increas</w:t>
      </w:r>
      <w:r w:rsidR="00DE5839">
        <w:t>es</w:t>
      </w:r>
      <w:r w:rsidRPr="009C1F81">
        <w:t xml:space="preserve"> the EMTR for short-lived PMEs and inventories </w:t>
      </w:r>
      <w:r w:rsidR="00354A98">
        <w:t xml:space="preserve">from 18.1% </w:t>
      </w:r>
      <w:r w:rsidRPr="009C1F81">
        <w:t xml:space="preserve">to 23.6% and only </w:t>
      </w:r>
      <w:r w:rsidR="00AB1AC3">
        <w:t>reduces</w:t>
      </w:r>
      <w:r w:rsidRPr="009C1F81">
        <w:t xml:space="preserve"> the EMTR for zero-depreciation assets </w:t>
      </w:r>
      <w:r w:rsidR="00AB1AC3">
        <w:t xml:space="preserve">from 18.1% </w:t>
      </w:r>
      <w:r w:rsidRPr="009C1F81">
        <w:t>to 13.5%. Inflation biases on costs of capital and EMTRs get large when the inflation rate is large relative to the real interest rate.</w:t>
      </w:r>
    </w:p>
    <w:p w14:paraId="6B6ADF00" w14:textId="6D91E16A" w:rsidR="009C1F81" w:rsidRPr="009C1F81" w:rsidRDefault="009C1F81" w:rsidP="00CA72CD">
      <w:pPr>
        <w:pStyle w:val="Heading2"/>
        <w:rPr>
          <w:rFonts w:eastAsia="Calibri"/>
          <w:lang w:eastAsia="en-US"/>
        </w:rPr>
      </w:pPr>
      <w:bookmarkStart w:id="26" w:name="_Toc96585529"/>
      <w:r w:rsidRPr="009C1F81">
        <w:rPr>
          <w:rFonts w:eastAsia="Calibri"/>
          <w:lang w:eastAsia="en-US"/>
        </w:rPr>
        <w:lastRenderedPageBreak/>
        <w:t>Non-resident withholding tax (NRWT)</w:t>
      </w:r>
      <w:r w:rsidR="007A2C4E">
        <w:rPr>
          <w:rFonts w:eastAsia="Calibri"/>
          <w:lang w:eastAsia="en-US"/>
        </w:rPr>
        <w:t xml:space="preserve"> on interest</w:t>
      </w:r>
      <w:r w:rsidR="004B0AA9">
        <w:rPr>
          <w:rFonts w:eastAsia="Calibri"/>
          <w:lang w:eastAsia="en-US"/>
        </w:rPr>
        <w:t xml:space="preserve"> and the</w:t>
      </w:r>
      <w:r w:rsidRPr="009C1F81">
        <w:rPr>
          <w:rFonts w:eastAsia="Calibri"/>
          <w:lang w:eastAsia="en-US"/>
        </w:rPr>
        <w:t xml:space="preserve"> approved issuer levy (AIL)</w:t>
      </w:r>
      <w:bookmarkEnd w:id="26"/>
    </w:p>
    <w:p w14:paraId="7DFA0632" w14:textId="3BB8D15C" w:rsidR="009C1F81" w:rsidRPr="009C1F81" w:rsidRDefault="009C1F81" w:rsidP="00075D72">
      <w:pPr>
        <w:pStyle w:val="NumberedParagraph"/>
        <w:numPr>
          <w:ilvl w:val="1"/>
          <w:numId w:val="64"/>
        </w:numPr>
      </w:pPr>
      <w:r w:rsidRPr="009C1F81">
        <w:t xml:space="preserve">The OECD analysis does not take account of </w:t>
      </w:r>
      <w:r w:rsidR="007D2B5A">
        <w:t>NRWT</w:t>
      </w:r>
      <w:r w:rsidRPr="009C1F81">
        <w:t xml:space="preserve"> on interest</w:t>
      </w:r>
      <w:r w:rsidR="00101B9E">
        <w:t xml:space="preserve"> or AIL</w:t>
      </w:r>
      <w:r w:rsidRPr="009C1F81">
        <w:t xml:space="preserve">. </w:t>
      </w:r>
      <w:r w:rsidR="008E1E8A">
        <w:t xml:space="preserve">Appendix </w:t>
      </w:r>
      <w:r w:rsidR="00115CD2">
        <w:t xml:space="preserve">2 in the </w:t>
      </w:r>
      <w:r w:rsidR="001D1229">
        <w:rPr>
          <w:i/>
          <w:iCs/>
        </w:rPr>
        <w:t>T</w:t>
      </w:r>
      <w:r w:rsidR="00115CD2" w:rsidRPr="00075D72">
        <w:rPr>
          <w:i/>
          <w:iCs/>
        </w:rPr>
        <w:t xml:space="preserve">echnical appendices </w:t>
      </w:r>
      <w:r w:rsidR="00115CD2">
        <w:t>extends the analysis to take account of these two taxes</w:t>
      </w:r>
      <w:r w:rsidR="00BA0503">
        <w:t>/levies</w:t>
      </w:r>
      <w:r w:rsidR="00115CD2">
        <w:t>.</w:t>
      </w:r>
      <w:r w:rsidR="00200EE5">
        <w:t xml:space="preserve"> </w:t>
      </w:r>
      <w:r w:rsidR="00061002">
        <w:t xml:space="preserve">Here we draw out some </w:t>
      </w:r>
      <w:r w:rsidR="00AA364B">
        <w:t>key points from the fuller discussion in the appendix.</w:t>
      </w:r>
      <w:r w:rsidR="004524E8">
        <w:t xml:space="preserve"> We begin by </w:t>
      </w:r>
      <w:r w:rsidRPr="009C1F81">
        <w:t>discuss</w:t>
      </w:r>
      <w:r w:rsidR="00AA2412">
        <w:t>ing</w:t>
      </w:r>
      <w:r w:rsidRPr="009C1F81">
        <w:t xml:space="preserve"> NRWT on interest and the AIL and </w:t>
      </w:r>
      <w:r w:rsidR="00451B0C">
        <w:t>summaris</w:t>
      </w:r>
      <w:r w:rsidR="00C57538">
        <w:t>e the effects of</w:t>
      </w:r>
      <w:r w:rsidRPr="009C1F81">
        <w:t xml:space="preserve"> these taxes/levies </w:t>
      </w:r>
      <w:r w:rsidR="00C57538">
        <w:t xml:space="preserve">on </w:t>
      </w:r>
      <w:r w:rsidRPr="009C1F81">
        <w:t xml:space="preserve">the real interest rates that firms will need to pay. </w:t>
      </w:r>
      <w:r w:rsidR="00C57538">
        <w:t xml:space="preserve">We </w:t>
      </w:r>
      <w:r w:rsidR="004524E8">
        <w:t>then</w:t>
      </w:r>
      <w:r w:rsidR="00C57538">
        <w:t xml:space="preserve"> </w:t>
      </w:r>
      <w:r w:rsidR="00A4338F">
        <w:t>consider how the</w:t>
      </w:r>
      <w:r w:rsidR="000B602F">
        <w:t>se</w:t>
      </w:r>
      <w:r w:rsidR="00A4338F">
        <w:t xml:space="preserve"> changes in interest rates </w:t>
      </w:r>
      <w:r w:rsidR="00773C51">
        <w:t xml:space="preserve">can </w:t>
      </w:r>
      <w:r w:rsidR="00DC22D0">
        <w:t>impact on costs of capital and EMTRs</w:t>
      </w:r>
      <w:r w:rsidR="00AA2412">
        <w:t xml:space="preserve">. </w:t>
      </w:r>
      <w:r w:rsidRPr="009C1F81">
        <w:t>To keep the extent of the discussion manageable, we do not consider NRWT on dividends or New Zealand’s foreign investor tax credit. Including these could sometimes lead to somewhat lower costs of capital than we analyse, but this is left for further work.</w:t>
      </w:r>
    </w:p>
    <w:p w14:paraId="7BCCAE76" w14:textId="30CBE82F" w:rsidR="009C1F81" w:rsidRPr="009C1F81" w:rsidRDefault="009C1F81" w:rsidP="00CA72CD">
      <w:pPr>
        <w:pStyle w:val="Heading3"/>
        <w:rPr>
          <w:rFonts w:eastAsia="Calibri"/>
          <w:lang w:eastAsia="en-US"/>
        </w:rPr>
      </w:pPr>
      <w:r w:rsidRPr="009C1F81">
        <w:rPr>
          <w:rFonts w:eastAsia="Calibri"/>
          <w:lang w:eastAsia="en-US"/>
        </w:rPr>
        <w:t>NRWT, AIL and real interest rates</w:t>
      </w:r>
    </w:p>
    <w:p w14:paraId="764DE045" w14:textId="05D11BA9" w:rsidR="009C1F81" w:rsidRPr="009C1F81" w:rsidRDefault="009C1F81" w:rsidP="00075D72">
      <w:pPr>
        <w:pStyle w:val="NumberedParagraph"/>
        <w:numPr>
          <w:ilvl w:val="1"/>
          <w:numId w:val="64"/>
        </w:numPr>
      </w:pPr>
      <w:r w:rsidRPr="009C1F81">
        <w:t>N</w:t>
      </w:r>
      <w:r w:rsidR="00B13B96">
        <w:t>RWT</w:t>
      </w:r>
      <w:r w:rsidRPr="009C1F81">
        <w:t xml:space="preserve"> is withheld at a rate of 10% for countries with which New Zealand has a double tax agreement </w:t>
      </w:r>
      <w:r w:rsidR="00574E41">
        <w:t>and</w:t>
      </w:r>
      <w:r w:rsidRPr="009C1F81">
        <w:t xml:space="preserve"> 15% for other countries. Most often it will be withheld at a rate of 10%, and we use this rate in our analysis. Where debt is from a related party (for example, a foreign parent company), NRWT must be withheld. However, an alternative exists when debt is from third parties. This </w:t>
      </w:r>
      <w:r w:rsidR="00A1524C">
        <w:t xml:space="preserve">alternative </w:t>
      </w:r>
      <w:r w:rsidRPr="009C1F81">
        <w:t>is for the borrowing firms to pay AIL at a rate of 2% in lieu of NRWT.</w:t>
      </w:r>
    </w:p>
    <w:p w14:paraId="24A1BD91" w14:textId="32C6AF7D" w:rsidR="009C1F81" w:rsidRPr="009C1F81" w:rsidRDefault="009C1F81" w:rsidP="00075D72">
      <w:pPr>
        <w:pStyle w:val="NumberedParagraph"/>
        <w:numPr>
          <w:ilvl w:val="1"/>
          <w:numId w:val="64"/>
        </w:numPr>
      </w:pPr>
      <w:r w:rsidRPr="009C1F81">
        <w:t>A difference between the two types of taxes is that NRWT may give rise to tax credits overseas that reduce the amount of tax overseas lenders must pay on their interest income from New Zealand.</w:t>
      </w:r>
      <w:r w:rsidR="003242D4">
        <w:t xml:space="preserve"> A second difference</w:t>
      </w:r>
      <w:r w:rsidR="00627134">
        <w:t>,</w:t>
      </w:r>
      <w:r w:rsidR="003242D4">
        <w:t xml:space="preserve"> which becomes important </w:t>
      </w:r>
      <w:r w:rsidR="00294DE1">
        <w:t>when considering the impacts of these taxes/levies on costs of capital</w:t>
      </w:r>
      <w:r w:rsidR="00E649B1">
        <w:t>,</w:t>
      </w:r>
      <w:r w:rsidR="00294DE1">
        <w:t xml:space="preserve"> </w:t>
      </w:r>
      <w:r w:rsidR="003242D4">
        <w:t>is that AIL is deductible for income tax purposes while NRWT is not.</w:t>
      </w:r>
    </w:p>
    <w:p w14:paraId="41B401BC" w14:textId="1D29DC2E" w:rsidR="009C1F81" w:rsidRPr="009C1F81" w:rsidRDefault="009C1F81" w:rsidP="00075D72">
      <w:pPr>
        <w:pStyle w:val="NumberedParagraph"/>
        <w:numPr>
          <w:ilvl w:val="1"/>
          <w:numId w:val="64"/>
        </w:numPr>
      </w:pPr>
      <w:r w:rsidRPr="009C1F81">
        <w:t>Interest paid to third parties is most often subject to AIL rather than NRWT, and we assume this is the case in our analysis. We assume that all related-party loans from abroad are subject to NRWT at a rate of 10%, and all third-party loans from abroad are subject to AIL.</w:t>
      </w:r>
    </w:p>
    <w:p w14:paraId="4C506BF8" w14:textId="46BCA8C8" w:rsidR="009C1F81" w:rsidRPr="009C1F81" w:rsidRDefault="009C1F81" w:rsidP="00075D72">
      <w:pPr>
        <w:pStyle w:val="NumberedParagraph"/>
        <w:numPr>
          <w:ilvl w:val="1"/>
          <w:numId w:val="64"/>
        </w:numPr>
      </w:pPr>
      <w:r w:rsidRPr="009C1F81">
        <w:t xml:space="preserve">Third-party lenders are expected to require an after-tax return that provides them with the real return they could obtain from investing their money elsewhere. </w:t>
      </w:r>
      <w:r w:rsidR="00B43E9F">
        <w:t>Suppose that in the absence of NRWT and AIL non-residents would require a 3% real interest rate for investing into New Zealand.</w:t>
      </w:r>
      <w:r w:rsidR="00855872">
        <w:t xml:space="preserve"> Now consider the impact of introducing AIL</w:t>
      </w:r>
      <w:r w:rsidR="00702353">
        <w:t xml:space="preserve">. </w:t>
      </w:r>
      <w:r w:rsidR="00896469">
        <w:t>Also assume that the inflation rate is 2%</w:t>
      </w:r>
      <w:r w:rsidR="00930FFF">
        <w:t xml:space="preserve">. </w:t>
      </w:r>
      <w:r w:rsidRPr="009C1F81">
        <w:t>AIL is levied on the full nominal interest rate</w:t>
      </w:r>
      <w:r w:rsidR="007C2C71">
        <w:t xml:space="preserve"> and this would raise the </w:t>
      </w:r>
      <w:r w:rsidRPr="009C1F81">
        <w:t>real interest rate to approximately 3.10%.</w:t>
      </w:r>
      <w:r w:rsidRPr="009C1F81">
        <w:rPr>
          <w:vertAlign w:val="superscript"/>
        </w:rPr>
        <w:footnoteReference w:id="19"/>
      </w:r>
      <w:r w:rsidRPr="009C1F81">
        <w:t xml:space="preserve"> This will tend to raise costs of capital and EMTRs slightly for all firms that are partly debt financed.</w:t>
      </w:r>
    </w:p>
    <w:p w14:paraId="092CEE46" w14:textId="32D830A0" w:rsidR="009C1F81" w:rsidRPr="009C1F81" w:rsidRDefault="006B7A6B" w:rsidP="00075D72">
      <w:pPr>
        <w:pStyle w:val="NumberedParagraph"/>
        <w:numPr>
          <w:ilvl w:val="1"/>
          <w:numId w:val="64"/>
        </w:numPr>
      </w:pPr>
      <w:r>
        <w:t xml:space="preserve">For companies with marginal non-resident shareholders that </w:t>
      </w:r>
      <w:r w:rsidR="000A72D5">
        <w:t xml:space="preserve">are not foreign controlled, AIL is the only additional tax to consider. </w:t>
      </w:r>
      <w:r w:rsidR="009C1F81" w:rsidRPr="009C1F81">
        <w:t xml:space="preserve">Foreign-controlled companies that are partly financed by related-party debt </w:t>
      </w:r>
      <w:r w:rsidR="008D054B">
        <w:t>will also be affected by</w:t>
      </w:r>
      <w:r w:rsidR="009C1F81" w:rsidRPr="009C1F81">
        <w:t xml:space="preserve"> NRWT. At one extreme, if NRWT is fully creditable abroad, there should be no increase in the real interest rate demanded on related-party lending. </w:t>
      </w:r>
      <w:r w:rsidR="00AE4F4F">
        <w:t>If</w:t>
      </w:r>
      <w:r w:rsidR="00915951">
        <w:t>,</w:t>
      </w:r>
      <w:r w:rsidR="00C839FC">
        <w:t xml:space="preserve"> on the other hand, NRWT is not creditable abroad, this 10% tax on nominal interest would b</w:t>
      </w:r>
      <w:r w:rsidR="00734929">
        <w:t>e expected to increase the real interest rate that must be paid.</w:t>
      </w:r>
      <w:r w:rsidR="00E0698C">
        <w:t xml:space="preserve"> If </w:t>
      </w:r>
      <w:r w:rsidR="002759F9">
        <w:t>the</w:t>
      </w:r>
      <w:r w:rsidR="00E0698C">
        <w:t xml:space="preserve"> real </w:t>
      </w:r>
      <w:r w:rsidR="002759F9">
        <w:t xml:space="preserve">interest rate demanded </w:t>
      </w:r>
      <w:r w:rsidR="00E0698C">
        <w:t>net of</w:t>
      </w:r>
      <w:r w:rsidR="00D43E46">
        <w:t xml:space="preserve"> any NRWT is 3%</w:t>
      </w:r>
      <w:r w:rsidR="00344754">
        <w:t>, t</w:t>
      </w:r>
      <w:r w:rsidR="009C1F81" w:rsidRPr="009C1F81">
        <w:t>he real interest rate on related-party lending would be expected to rise to 3.55%</w:t>
      </w:r>
      <w:r w:rsidR="00702353">
        <w:t>.</w:t>
      </w:r>
      <w:r w:rsidR="009C1F81" w:rsidRPr="009C1F81">
        <w:rPr>
          <w:vertAlign w:val="superscript"/>
        </w:rPr>
        <w:footnoteReference w:id="20"/>
      </w:r>
    </w:p>
    <w:p w14:paraId="1BBDAD80" w14:textId="178CCC3F" w:rsidR="009C1F81" w:rsidRPr="009C1F81" w:rsidRDefault="009C1F81" w:rsidP="00075D72">
      <w:pPr>
        <w:pStyle w:val="NumberedParagraph"/>
        <w:numPr>
          <w:ilvl w:val="1"/>
          <w:numId w:val="64"/>
        </w:numPr>
      </w:pPr>
      <w:r w:rsidRPr="009C1F81">
        <w:lastRenderedPageBreak/>
        <w:t>Data on firms from whom Inland Revenue collects information as part of its International Questionnaire (IQ firms)</w:t>
      </w:r>
      <w:r w:rsidR="001B122C">
        <w:t xml:space="preserve"> reveals that</w:t>
      </w:r>
      <w:r w:rsidR="00793B5B">
        <w:t xml:space="preserve"> 37.3% of intere</w:t>
      </w:r>
      <w:r w:rsidR="00A0084F">
        <w:t xml:space="preserve">st-bearing </w:t>
      </w:r>
      <w:r w:rsidR="00793B5B">
        <w:t>debt acquired by these firms was</w:t>
      </w:r>
      <w:r w:rsidRPr="009C1F81">
        <w:t xml:space="preserve"> </w:t>
      </w:r>
      <w:r w:rsidR="00A0084F">
        <w:t xml:space="preserve">from related parties. </w:t>
      </w:r>
      <w:r w:rsidR="009C1D02">
        <w:t xml:space="preserve">In our analysis, we assume that this fraction of debt </w:t>
      </w:r>
      <w:r w:rsidR="00FD7D26">
        <w:t>is subject to a 10% NRWT for foreign-controlled companies with the remaining debt being subject to AIL</w:t>
      </w:r>
      <w:r w:rsidR="007C48FC">
        <w:t xml:space="preserve">. We consider </w:t>
      </w:r>
      <w:r w:rsidR="006168FC">
        <w:t xml:space="preserve">both the possibility that NRWT is creditable and </w:t>
      </w:r>
      <w:r w:rsidR="00535435">
        <w:t xml:space="preserve">the possibility </w:t>
      </w:r>
      <w:r w:rsidR="001E4734">
        <w:t>that NRWT is not creditable for these firms.</w:t>
      </w:r>
    </w:p>
    <w:p w14:paraId="0D4F1063" w14:textId="19C70C7F" w:rsidR="00387A3B" w:rsidRPr="009C1F81" w:rsidRDefault="00387A3B" w:rsidP="00387A3B">
      <w:pPr>
        <w:pStyle w:val="Heading3"/>
        <w:rPr>
          <w:rFonts w:eastAsia="Calibri"/>
          <w:lang w:eastAsia="en-US"/>
        </w:rPr>
      </w:pPr>
      <w:r w:rsidRPr="009C1F81">
        <w:rPr>
          <w:rFonts w:eastAsia="Calibri"/>
          <w:lang w:eastAsia="en-US"/>
        </w:rPr>
        <w:t xml:space="preserve">NRWT, AIL and </w:t>
      </w:r>
      <w:r w:rsidR="001A1AC8">
        <w:rPr>
          <w:rFonts w:eastAsia="Calibri"/>
          <w:lang w:eastAsia="en-US"/>
        </w:rPr>
        <w:t>impacts on costs of capital</w:t>
      </w:r>
    </w:p>
    <w:p w14:paraId="6AD4968E" w14:textId="77777777" w:rsidR="00170106" w:rsidRPr="00170106" w:rsidRDefault="00170106" w:rsidP="00075D72">
      <w:pPr>
        <w:pStyle w:val="NumberedParagraph"/>
        <w:numPr>
          <w:ilvl w:val="1"/>
          <w:numId w:val="64"/>
        </w:numPr>
      </w:pPr>
      <w:r w:rsidRPr="00170106">
        <w:t>We now have two separate ways in which taxes may be impacting on costs of capital:</w:t>
      </w:r>
    </w:p>
    <w:p w14:paraId="489781BC" w14:textId="77777777" w:rsidR="00170106" w:rsidRPr="00170106" w:rsidRDefault="00170106" w:rsidP="00075D72">
      <w:pPr>
        <w:pStyle w:val="NumberedParagraph-BulletL1"/>
        <w:numPr>
          <w:ilvl w:val="2"/>
          <w:numId w:val="64"/>
        </w:numPr>
      </w:pPr>
      <w:r w:rsidRPr="00170106">
        <w:t>by depreciation rates and company tax rates affecting hurdle rates of return at a given set of real interest rates in New Zealand, and</w:t>
      </w:r>
    </w:p>
    <w:p w14:paraId="7758F411" w14:textId="77777777" w:rsidR="00170106" w:rsidRPr="00170106" w:rsidRDefault="00170106" w:rsidP="00075D72">
      <w:pPr>
        <w:pStyle w:val="NumberedParagraph-BulletL1"/>
        <w:numPr>
          <w:ilvl w:val="2"/>
          <w:numId w:val="64"/>
        </w:numPr>
      </w:pPr>
      <w:r w:rsidRPr="00170106">
        <w:t>by NRWT on interest and AIL affecting real interest rates themselves.</w:t>
      </w:r>
    </w:p>
    <w:p w14:paraId="2A982A29" w14:textId="19671FF8" w:rsidR="00170106" w:rsidRPr="00170106" w:rsidRDefault="00170106" w:rsidP="00075D72">
      <w:pPr>
        <w:pStyle w:val="NumberedParagraph"/>
        <w:numPr>
          <w:ilvl w:val="1"/>
          <w:numId w:val="64"/>
        </w:numPr>
      </w:pPr>
      <w:r w:rsidRPr="00170106">
        <w:t>Estimated effects on costs of capital are examined in table 4.</w:t>
      </w:r>
      <w:r w:rsidR="001E7682">
        <w:t>3</w:t>
      </w:r>
      <w:r w:rsidRPr="00170106">
        <w:t xml:space="preserve"> assuming a world real interest rate of 3% and 2% inflation</w:t>
      </w:r>
      <w:r w:rsidR="00843D79">
        <w:t xml:space="preserve">. </w:t>
      </w:r>
      <w:r w:rsidR="00843D79" w:rsidRPr="00075D72">
        <w:rPr>
          <w:lang w:val="en-US"/>
        </w:rPr>
        <w:t xml:space="preserve">EMTRs can become somewhat difficult to interpret when we start to take account of creditable taxes such as NRWT. Levying a fully creditable tax may increase the EMTR because it reduces the cost of borrowing to New Zealand even if it has no impact on costs of capital and incentives to invest in New Zealand. For this reason, we </w:t>
      </w:r>
      <w:r w:rsidR="005A2BAD" w:rsidRPr="00075D72">
        <w:rPr>
          <w:lang w:val="en-US"/>
        </w:rPr>
        <w:t>focus on costs of capital rather than EMTRs</w:t>
      </w:r>
      <w:r w:rsidRPr="00170106">
        <w:t>.</w:t>
      </w:r>
    </w:p>
    <w:p w14:paraId="2A9635A5" w14:textId="637C311E" w:rsidR="00170106" w:rsidRDefault="00170106" w:rsidP="003B6F2B">
      <w:pPr>
        <w:pStyle w:val="Caption"/>
        <w:ind w:left="-709" w:right="-426"/>
        <w:rPr>
          <w:rFonts w:eastAsia="Calibri"/>
          <w:lang w:eastAsia="en-US"/>
        </w:rPr>
      </w:pPr>
      <w:r w:rsidRPr="00170106">
        <w:rPr>
          <w:rFonts w:eastAsia="Calibri"/>
          <w:lang w:eastAsia="en-US"/>
        </w:rPr>
        <w:t>Table 4.</w:t>
      </w:r>
      <w:r w:rsidR="00C73909">
        <w:rPr>
          <w:rFonts w:eastAsia="Calibri"/>
          <w:lang w:eastAsia="en-US"/>
        </w:rPr>
        <w:t>3</w:t>
      </w:r>
      <w:r w:rsidR="007E7469">
        <w:rPr>
          <w:rFonts w:eastAsia="Calibri"/>
          <w:lang w:eastAsia="en-US"/>
        </w:rPr>
        <w:t xml:space="preserve">: </w:t>
      </w:r>
      <w:r w:rsidRPr="00170106">
        <w:rPr>
          <w:rFonts w:eastAsia="Calibri"/>
          <w:lang w:eastAsia="en-US"/>
        </w:rPr>
        <w:t xml:space="preserve">Costs of capital, r = 3%, inflation = 2%, </w:t>
      </w:r>
      <w:r w:rsidR="00D77010">
        <w:rPr>
          <w:rFonts w:eastAsia="Calibri"/>
          <w:lang w:eastAsia="en-US"/>
        </w:rPr>
        <w:t>debt</w:t>
      </w:r>
      <w:r w:rsidRPr="00170106">
        <w:rPr>
          <w:rFonts w:eastAsia="Calibri"/>
          <w:lang w:eastAsia="en-US"/>
        </w:rPr>
        <w:t xml:space="preserve"> = </w:t>
      </w:r>
      <w:r w:rsidR="00F65CEA">
        <w:rPr>
          <w:rFonts w:eastAsia="Calibri"/>
          <w:lang w:eastAsia="en-US"/>
        </w:rPr>
        <w:t>43%</w:t>
      </w:r>
      <w:r w:rsidRPr="00170106">
        <w:rPr>
          <w:rFonts w:eastAsia="Calibri"/>
          <w:lang w:eastAsia="en-US"/>
        </w:rPr>
        <w:t xml:space="preserve">, </w:t>
      </w:r>
      <w:r w:rsidRPr="00170106">
        <w:rPr>
          <w:rFonts w:eastAsia="Calibri"/>
          <w:lang w:eastAsia="en-US"/>
        </w:rPr>
        <w:br/>
        <w:t>AIL</w:t>
      </w:r>
      <w:r w:rsidR="00EF54B3">
        <w:rPr>
          <w:rFonts w:eastAsia="Calibri"/>
          <w:lang w:eastAsia="en-US"/>
        </w:rPr>
        <w:t xml:space="preserve"> = 2%</w:t>
      </w:r>
      <w:r w:rsidRPr="00170106">
        <w:rPr>
          <w:rFonts w:eastAsia="Calibri"/>
          <w:lang w:eastAsia="en-US"/>
        </w:rPr>
        <w:t xml:space="preserve"> and NRWT</w:t>
      </w:r>
      <w:r w:rsidR="00EF54B3">
        <w:rPr>
          <w:rFonts w:eastAsia="Calibri"/>
          <w:lang w:eastAsia="en-US"/>
        </w:rPr>
        <w:t xml:space="preserve"> = 10%</w:t>
      </w:r>
    </w:p>
    <w:tbl>
      <w:tblPr>
        <w:tblStyle w:val="TableGrid"/>
        <w:tblW w:w="9994" w:type="dxa"/>
        <w:tblInd w:w="-714"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left w:w="28" w:type="dxa"/>
          <w:right w:w="28" w:type="dxa"/>
        </w:tblCellMar>
        <w:tblLook w:val="04A0" w:firstRow="1" w:lastRow="0" w:firstColumn="1" w:lastColumn="0" w:noHBand="0" w:noVBand="1"/>
      </w:tblPr>
      <w:tblGrid>
        <w:gridCol w:w="1560"/>
        <w:gridCol w:w="992"/>
        <w:gridCol w:w="851"/>
        <w:gridCol w:w="708"/>
        <w:gridCol w:w="709"/>
        <w:gridCol w:w="567"/>
        <w:gridCol w:w="567"/>
        <w:gridCol w:w="1134"/>
        <w:gridCol w:w="851"/>
        <w:gridCol w:w="1134"/>
        <w:gridCol w:w="921"/>
      </w:tblGrid>
      <w:tr w:rsidR="00586800" w:rsidRPr="00586800" w14:paraId="128B3952" w14:textId="77777777" w:rsidTr="00841651">
        <w:trPr>
          <w:tblHeader/>
        </w:trPr>
        <w:tc>
          <w:tcPr>
            <w:tcW w:w="1560" w:type="dxa"/>
            <w:shd w:val="clear" w:color="auto" w:fill="232E36"/>
          </w:tcPr>
          <w:p w14:paraId="49ED3A38" w14:textId="77777777" w:rsidR="00586800" w:rsidRPr="00586800" w:rsidRDefault="00586800" w:rsidP="00586800">
            <w:pPr>
              <w:keepNext/>
              <w:keepLines/>
              <w:spacing w:before="120" w:after="120"/>
              <w:jc w:val="left"/>
              <w:rPr>
                <w:color w:val="FFFFFF" w:themeColor="background1"/>
                <w:sz w:val="14"/>
                <w:szCs w:val="14"/>
              </w:rPr>
            </w:pPr>
          </w:p>
        </w:tc>
        <w:tc>
          <w:tcPr>
            <w:tcW w:w="992" w:type="dxa"/>
            <w:shd w:val="clear" w:color="auto" w:fill="232E36"/>
          </w:tcPr>
          <w:p w14:paraId="2CDF65C3" w14:textId="77777777" w:rsidR="00586800" w:rsidRPr="00586800" w:rsidRDefault="00586800" w:rsidP="00586800">
            <w:pPr>
              <w:keepNext/>
              <w:keepLines/>
              <w:spacing w:before="120" w:after="120"/>
              <w:jc w:val="center"/>
              <w:rPr>
                <w:b/>
                <w:bCs/>
                <w:color w:val="FFFFFF" w:themeColor="background1"/>
                <w:sz w:val="14"/>
                <w:szCs w:val="14"/>
              </w:rPr>
            </w:pPr>
            <w:r w:rsidRPr="00586800">
              <w:rPr>
                <w:b/>
                <w:bCs/>
                <w:color w:val="FFFFFF" w:themeColor="background1"/>
                <w:sz w:val="14"/>
                <w:szCs w:val="14"/>
              </w:rPr>
              <w:t>Commercial and industrial buildings</w:t>
            </w:r>
          </w:p>
        </w:tc>
        <w:tc>
          <w:tcPr>
            <w:tcW w:w="3402" w:type="dxa"/>
            <w:gridSpan w:val="5"/>
            <w:shd w:val="clear" w:color="auto" w:fill="232E36"/>
          </w:tcPr>
          <w:p w14:paraId="114FC781" w14:textId="77777777" w:rsidR="00586800" w:rsidRPr="00586800" w:rsidRDefault="00586800" w:rsidP="00586800">
            <w:pPr>
              <w:keepNext/>
              <w:keepLines/>
              <w:spacing w:before="120" w:after="120"/>
              <w:jc w:val="center"/>
              <w:rPr>
                <w:b/>
                <w:bCs/>
                <w:color w:val="FFFFFF" w:themeColor="background1"/>
                <w:sz w:val="14"/>
                <w:szCs w:val="14"/>
              </w:rPr>
            </w:pPr>
            <w:r w:rsidRPr="00586800">
              <w:rPr>
                <w:b/>
                <w:bCs/>
                <w:color w:val="FFFFFF" w:themeColor="background1"/>
                <w:sz w:val="14"/>
                <w:szCs w:val="14"/>
              </w:rPr>
              <w:t>Plant, machinery and equipment</w:t>
            </w:r>
          </w:p>
        </w:tc>
        <w:tc>
          <w:tcPr>
            <w:tcW w:w="1134" w:type="dxa"/>
            <w:shd w:val="clear" w:color="auto" w:fill="232E36"/>
          </w:tcPr>
          <w:p w14:paraId="3CA5554A" w14:textId="2EE02D47" w:rsidR="00586800" w:rsidRPr="00586800" w:rsidRDefault="00586800" w:rsidP="00586800">
            <w:pPr>
              <w:keepNext/>
              <w:keepLines/>
              <w:spacing w:before="120" w:after="120"/>
              <w:jc w:val="center"/>
              <w:rPr>
                <w:b/>
                <w:bCs/>
                <w:color w:val="FFFFFF" w:themeColor="background1"/>
                <w:sz w:val="14"/>
                <w:szCs w:val="14"/>
              </w:rPr>
            </w:pPr>
            <w:r w:rsidRPr="00586800">
              <w:rPr>
                <w:b/>
                <w:bCs/>
                <w:color w:val="FFFFFF" w:themeColor="background1"/>
                <w:sz w:val="14"/>
                <w:szCs w:val="14"/>
              </w:rPr>
              <w:t>Zero</w:t>
            </w:r>
            <w:r w:rsidR="00165CE3">
              <w:rPr>
                <w:b/>
                <w:bCs/>
                <w:color w:val="FFFFFF" w:themeColor="background1"/>
                <w:sz w:val="14"/>
                <w:szCs w:val="14"/>
              </w:rPr>
              <w:t>-</w:t>
            </w:r>
            <w:r w:rsidRPr="00586800">
              <w:rPr>
                <w:b/>
                <w:bCs/>
                <w:color w:val="FFFFFF" w:themeColor="background1"/>
                <w:sz w:val="14"/>
                <w:szCs w:val="14"/>
              </w:rPr>
              <w:t>depreciating assets</w:t>
            </w:r>
          </w:p>
        </w:tc>
        <w:tc>
          <w:tcPr>
            <w:tcW w:w="851" w:type="dxa"/>
            <w:shd w:val="clear" w:color="auto" w:fill="232E36"/>
          </w:tcPr>
          <w:p w14:paraId="2DC5BEEB" w14:textId="77777777" w:rsidR="00586800" w:rsidRPr="00586800" w:rsidRDefault="00586800" w:rsidP="00586800">
            <w:pPr>
              <w:keepNext/>
              <w:keepLines/>
              <w:spacing w:before="120" w:after="120"/>
              <w:jc w:val="center"/>
              <w:rPr>
                <w:b/>
                <w:bCs/>
                <w:color w:val="FFFFFF" w:themeColor="background1"/>
                <w:sz w:val="14"/>
                <w:szCs w:val="14"/>
              </w:rPr>
            </w:pPr>
            <w:r w:rsidRPr="00586800">
              <w:rPr>
                <w:b/>
                <w:bCs/>
                <w:color w:val="FFFFFF" w:themeColor="background1"/>
                <w:sz w:val="14"/>
                <w:szCs w:val="14"/>
              </w:rPr>
              <w:t>Inventory</w:t>
            </w:r>
          </w:p>
        </w:tc>
        <w:tc>
          <w:tcPr>
            <w:tcW w:w="1134" w:type="dxa"/>
            <w:shd w:val="clear" w:color="auto" w:fill="232E36"/>
          </w:tcPr>
          <w:p w14:paraId="1639F858" w14:textId="77777777" w:rsidR="00586800" w:rsidRPr="00586800" w:rsidRDefault="00586800" w:rsidP="00586800">
            <w:pPr>
              <w:keepNext/>
              <w:keepLines/>
              <w:spacing w:before="120" w:after="120"/>
              <w:jc w:val="center"/>
              <w:rPr>
                <w:b/>
                <w:bCs/>
                <w:color w:val="FFFFFF" w:themeColor="background1"/>
                <w:sz w:val="14"/>
                <w:szCs w:val="14"/>
              </w:rPr>
            </w:pPr>
            <w:r w:rsidRPr="00586800">
              <w:rPr>
                <w:b/>
                <w:bCs/>
                <w:color w:val="FFFFFF" w:themeColor="background1"/>
                <w:sz w:val="14"/>
                <w:szCs w:val="14"/>
              </w:rPr>
              <w:t>Appreciating assets</w:t>
            </w:r>
          </w:p>
        </w:tc>
        <w:tc>
          <w:tcPr>
            <w:tcW w:w="921" w:type="dxa"/>
            <w:shd w:val="clear" w:color="auto" w:fill="232E36"/>
          </w:tcPr>
          <w:p w14:paraId="48F8F992" w14:textId="77777777" w:rsidR="00586800" w:rsidRPr="00586800" w:rsidRDefault="00586800" w:rsidP="00586800">
            <w:pPr>
              <w:keepNext/>
              <w:keepLines/>
              <w:spacing w:before="120" w:after="120"/>
              <w:jc w:val="center"/>
              <w:rPr>
                <w:b/>
                <w:bCs/>
                <w:color w:val="FFFFFF" w:themeColor="background1"/>
                <w:sz w:val="14"/>
                <w:szCs w:val="14"/>
              </w:rPr>
            </w:pPr>
            <w:r w:rsidRPr="00586800">
              <w:rPr>
                <w:b/>
                <w:bCs/>
                <w:color w:val="FFFFFF" w:themeColor="background1"/>
                <w:sz w:val="14"/>
                <w:szCs w:val="14"/>
              </w:rPr>
              <w:t>Expensing</w:t>
            </w:r>
          </w:p>
        </w:tc>
      </w:tr>
      <w:tr w:rsidR="00586800" w:rsidRPr="00586800" w14:paraId="2C5E7CD0" w14:textId="77777777" w:rsidTr="00841651">
        <w:tc>
          <w:tcPr>
            <w:tcW w:w="1560" w:type="dxa"/>
            <w:shd w:val="clear" w:color="auto" w:fill="auto"/>
          </w:tcPr>
          <w:p w14:paraId="0222CC1F" w14:textId="01AB8ACC" w:rsidR="00586800" w:rsidRPr="00586800" w:rsidRDefault="00090128" w:rsidP="00586800">
            <w:pPr>
              <w:keepNext/>
              <w:keepLines/>
              <w:spacing w:before="60" w:after="60"/>
              <w:jc w:val="left"/>
              <w:rPr>
                <w:b/>
                <w:bCs/>
                <w:sz w:val="14"/>
                <w:szCs w:val="14"/>
              </w:rPr>
            </w:pPr>
            <w:r>
              <w:rPr>
                <w:sz w:val="14"/>
                <w:szCs w:val="14"/>
              </w:rPr>
              <w:t>d</w:t>
            </w:r>
          </w:p>
        </w:tc>
        <w:tc>
          <w:tcPr>
            <w:tcW w:w="992" w:type="dxa"/>
            <w:vAlign w:val="center"/>
          </w:tcPr>
          <w:p w14:paraId="0BFD5FC3" w14:textId="77777777" w:rsidR="00586800" w:rsidRPr="00586800" w:rsidRDefault="00586800" w:rsidP="00586800">
            <w:pPr>
              <w:keepNext/>
              <w:keepLines/>
              <w:tabs>
                <w:tab w:val="decimal" w:pos="256"/>
              </w:tabs>
              <w:spacing w:before="60" w:after="60"/>
              <w:jc w:val="center"/>
              <w:rPr>
                <w:sz w:val="14"/>
                <w:szCs w:val="14"/>
              </w:rPr>
            </w:pPr>
            <w:r w:rsidRPr="00586800">
              <w:rPr>
                <w:sz w:val="14"/>
                <w:szCs w:val="14"/>
              </w:rPr>
              <w:t>2.69%</w:t>
            </w:r>
          </w:p>
        </w:tc>
        <w:tc>
          <w:tcPr>
            <w:tcW w:w="851" w:type="dxa"/>
            <w:vAlign w:val="center"/>
          </w:tcPr>
          <w:p w14:paraId="124F6C8C" w14:textId="77777777" w:rsidR="00586800" w:rsidRPr="00586800" w:rsidRDefault="00586800" w:rsidP="00586800">
            <w:pPr>
              <w:keepNext/>
              <w:keepLines/>
              <w:tabs>
                <w:tab w:val="decimal" w:pos="256"/>
              </w:tabs>
              <w:spacing w:before="60" w:after="60"/>
              <w:jc w:val="center"/>
              <w:rPr>
                <w:sz w:val="14"/>
                <w:szCs w:val="14"/>
              </w:rPr>
            </w:pPr>
            <w:r w:rsidRPr="00586800">
              <w:rPr>
                <w:sz w:val="14"/>
                <w:szCs w:val="14"/>
              </w:rPr>
              <w:t>100.00%</w:t>
            </w:r>
          </w:p>
        </w:tc>
        <w:tc>
          <w:tcPr>
            <w:tcW w:w="708" w:type="dxa"/>
            <w:vAlign w:val="center"/>
          </w:tcPr>
          <w:p w14:paraId="0C0403E1" w14:textId="77777777" w:rsidR="00586800" w:rsidRPr="00586800" w:rsidRDefault="00586800" w:rsidP="00586800">
            <w:pPr>
              <w:keepNext/>
              <w:keepLines/>
              <w:tabs>
                <w:tab w:val="decimal" w:pos="256"/>
              </w:tabs>
              <w:spacing w:before="60" w:after="60"/>
              <w:jc w:val="center"/>
              <w:rPr>
                <w:sz w:val="14"/>
                <w:szCs w:val="14"/>
              </w:rPr>
            </w:pPr>
            <w:r w:rsidRPr="00586800">
              <w:rPr>
                <w:sz w:val="14"/>
                <w:szCs w:val="14"/>
              </w:rPr>
              <w:t>50.00%</w:t>
            </w:r>
          </w:p>
        </w:tc>
        <w:tc>
          <w:tcPr>
            <w:tcW w:w="709" w:type="dxa"/>
            <w:vAlign w:val="center"/>
          </w:tcPr>
          <w:p w14:paraId="11158ED8" w14:textId="77777777" w:rsidR="00586800" w:rsidRPr="00586800" w:rsidRDefault="00586800" w:rsidP="00586800">
            <w:pPr>
              <w:keepNext/>
              <w:keepLines/>
              <w:tabs>
                <w:tab w:val="decimal" w:pos="256"/>
              </w:tabs>
              <w:spacing w:before="60" w:after="60"/>
              <w:jc w:val="center"/>
              <w:rPr>
                <w:sz w:val="14"/>
                <w:szCs w:val="14"/>
              </w:rPr>
            </w:pPr>
            <w:r w:rsidRPr="00586800">
              <w:rPr>
                <w:sz w:val="14"/>
                <w:szCs w:val="14"/>
              </w:rPr>
              <w:t>10.00%</w:t>
            </w:r>
          </w:p>
        </w:tc>
        <w:tc>
          <w:tcPr>
            <w:tcW w:w="567" w:type="dxa"/>
            <w:vAlign w:val="center"/>
          </w:tcPr>
          <w:p w14:paraId="0315A3DD" w14:textId="77777777" w:rsidR="00586800" w:rsidRPr="00586800" w:rsidRDefault="00586800" w:rsidP="00586800">
            <w:pPr>
              <w:keepNext/>
              <w:keepLines/>
              <w:tabs>
                <w:tab w:val="decimal" w:pos="256"/>
              </w:tabs>
              <w:spacing w:before="60" w:after="60"/>
              <w:jc w:val="center"/>
              <w:rPr>
                <w:sz w:val="14"/>
                <w:szCs w:val="14"/>
              </w:rPr>
            </w:pPr>
            <w:r w:rsidRPr="00586800">
              <w:rPr>
                <w:sz w:val="14"/>
                <w:szCs w:val="14"/>
              </w:rPr>
              <w:t>4.00%</w:t>
            </w:r>
          </w:p>
        </w:tc>
        <w:tc>
          <w:tcPr>
            <w:tcW w:w="567" w:type="dxa"/>
            <w:vAlign w:val="center"/>
          </w:tcPr>
          <w:p w14:paraId="703C17A2" w14:textId="77777777" w:rsidR="00586800" w:rsidRPr="00586800" w:rsidRDefault="00586800" w:rsidP="00586800">
            <w:pPr>
              <w:keepNext/>
              <w:keepLines/>
              <w:tabs>
                <w:tab w:val="decimal" w:pos="256"/>
              </w:tabs>
              <w:spacing w:before="60" w:after="60"/>
              <w:jc w:val="center"/>
              <w:rPr>
                <w:sz w:val="14"/>
                <w:szCs w:val="14"/>
              </w:rPr>
            </w:pPr>
            <w:r w:rsidRPr="00586800">
              <w:rPr>
                <w:sz w:val="14"/>
                <w:szCs w:val="14"/>
              </w:rPr>
              <w:t>2.00%</w:t>
            </w:r>
          </w:p>
        </w:tc>
        <w:tc>
          <w:tcPr>
            <w:tcW w:w="1134" w:type="dxa"/>
            <w:vAlign w:val="center"/>
          </w:tcPr>
          <w:p w14:paraId="4C6388D8" w14:textId="77777777" w:rsidR="00586800" w:rsidRPr="00586800" w:rsidRDefault="00586800" w:rsidP="00586800">
            <w:pPr>
              <w:keepNext/>
              <w:keepLines/>
              <w:tabs>
                <w:tab w:val="decimal" w:pos="256"/>
              </w:tabs>
              <w:spacing w:before="60" w:after="60"/>
              <w:jc w:val="center"/>
              <w:rPr>
                <w:sz w:val="14"/>
                <w:szCs w:val="14"/>
              </w:rPr>
            </w:pPr>
            <w:r w:rsidRPr="00586800">
              <w:rPr>
                <w:sz w:val="14"/>
                <w:szCs w:val="14"/>
              </w:rPr>
              <w:t>0.00%</w:t>
            </w:r>
          </w:p>
        </w:tc>
        <w:tc>
          <w:tcPr>
            <w:tcW w:w="851" w:type="dxa"/>
            <w:vAlign w:val="center"/>
          </w:tcPr>
          <w:p w14:paraId="21859752" w14:textId="77777777" w:rsidR="00586800" w:rsidRPr="00586800" w:rsidRDefault="00586800" w:rsidP="00586800">
            <w:pPr>
              <w:keepNext/>
              <w:keepLines/>
              <w:tabs>
                <w:tab w:val="decimal" w:pos="256"/>
              </w:tabs>
              <w:spacing w:before="60" w:after="60"/>
              <w:jc w:val="center"/>
              <w:rPr>
                <w:sz w:val="14"/>
                <w:szCs w:val="14"/>
              </w:rPr>
            </w:pPr>
          </w:p>
        </w:tc>
        <w:tc>
          <w:tcPr>
            <w:tcW w:w="1134" w:type="dxa"/>
            <w:vAlign w:val="center"/>
          </w:tcPr>
          <w:p w14:paraId="1D0AD7E5" w14:textId="77777777" w:rsidR="00586800" w:rsidRPr="00586800" w:rsidRDefault="00586800" w:rsidP="00586800">
            <w:pPr>
              <w:keepNext/>
              <w:keepLines/>
              <w:tabs>
                <w:tab w:val="decimal" w:pos="256"/>
              </w:tabs>
              <w:spacing w:before="60" w:after="60"/>
              <w:jc w:val="center"/>
              <w:rPr>
                <w:sz w:val="14"/>
                <w:szCs w:val="14"/>
              </w:rPr>
            </w:pPr>
            <w:r w:rsidRPr="00586800">
              <w:rPr>
                <w:sz w:val="14"/>
                <w:szCs w:val="14"/>
              </w:rPr>
              <w:t>-1.00%</w:t>
            </w:r>
          </w:p>
        </w:tc>
        <w:tc>
          <w:tcPr>
            <w:tcW w:w="921" w:type="dxa"/>
            <w:vAlign w:val="center"/>
          </w:tcPr>
          <w:p w14:paraId="44091B06" w14:textId="77777777" w:rsidR="00586800" w:rsidRPr="00586800" w:rsidRDefault="00586800" w:rsidP="00586800">
            <w:pPr>
              <w:keepNext/>
              <w:keepLines/>
              <w:tabs>
                <w:tab w:val="decimal" w:pos="256"/>
              </w:tabs>
              <w:spacing w:before="60" w:after="60"/>
              <w:jc w:val="center"/>
              <w:rPr>
                <w:sz w:val="14"/>
                <w:szCs w:val="14"/>
              </w:rPr>
            </w:pPr>
          </w:p>
        </w:tc>
      </w:tr>
      <w:tr w:rsidR="00586800" w:rsidRPr="00586800" w14:paraId="43FFFF28" w14:textId="77777777" w:rsidTr="00841651">
        <w:tc>
          <w:tcPr>
            <w:tcW w:w="1560" w:type="dxa"/>
            <w:shd w:val="clear" w:color="auto" w:fill="auto"/>
          </w:tcPr>
          <w:p w14:paraId="3FE703EA" w14:textId="2CF87692" w:rsidR="00586800" w:rsidRPr="00586800" w:rsidRDefault="00090128" w:rsidP="00586800">
            <w:pPr>
              <w:keepNext/>
              <w:keepLines/>
              <w:spacing w:before="60" w:after="60"/>
              <w:jc w:val="left"/>
              <w:rPr>
                <w:b/>
                <w:bCs/>
                <w:sz w:val="14"/>
                <w:szCs w:val="14"/>
              </w:rPr>
            </w:pPr>
            <w:r>
              <w:rPr>
                <w:sz w:val="14"/>
                <w:szCs w:val="14"/>
              </w:rPr>
              <w:t>d*</w:t>
            </w:r>
          </w:p>
        </w:tc>
        <w:tc>
          <w:tcPr>
            <w:tcW w:w="992" w:type="dxa"/>
            <w:vAlign w:val="center"/>
          </w:tcPr>
          <w:p w14:paraId="1C8E055F" w14:textId="77777777" w:rsidR="00586800" w:rsidRPr="00586800" w:rsidRDefault="00586800" w:rsidP="00586800">
            <w:pPr>
              <w:keepNext/>
              <w:keepLines/>
              <w:tabs>
                <w:tab w:val="decimal" w:pos="256"/>
              </w:tabs>
              <w:spacing w:before="60" w:after="60"/>
              <w:jc w:val="center"/>
              <w:rPr>
                <w:sz w:val="14"/>
                <w:szCs w:val="14"/>
              </w:rPr>
            </w:pPr>
            <w:r w:rsidRPr="00586800">
              <w:rPr>
                <w:sz w:val="14"/>
                <w:szCs w:val="14"/>
              </w:rPr>
              <w:t>2.00%</w:t>
            </w:r>
          </w:p>
        </w:tc>
        <w:tc>
          <w:tcPr>
            <w:tcW w:w="851" w:type="dxa"/>
            <w:vAlign w:val="center"/>
          </w:tcPr>
          <w:p w14:paraId="0F70CD6E" w14:textId="77777777" w:rsidR="00586800" w:rsidRPr="00586800" w:rsidRDefault="00586800" w:rsidP="00586800">
            <w:pPr>
              <w:keepNext/>
              <w:keepLines/>
              <w:tabs>
                <w:tab w:val="decimal" w:pos="256"/>
              </w:tabs>
              <w:spacing w:before="60" w:after="60"/>
              <w:jc w:val="center"/>
              <w:rPr>
                <w:sz w:val="14"/>
                <w:szCs w:val="14"/>
              </w:rPr>
            </w:pPr>
            <w:r w:rsidRPr="00586800">
              <w:rPr>
                <w:sz w:val="14"/>
                <w:szCs w:val="14"/>
              </w:rPr>
              <w:t>100.00%</w:t>
            </w:r>
          </w:p>
        </w:tc>
        <w:tc>
          <w:tcPr>
            <w:tcW w:w="708" w:type="dxa"/>
            <w:vAlign w:val="center"/>
          </w:tcPr>
          <w:p w14:paraId="7585A61C" w14:textId="77777777" w:rsidR="00586800" w:rsidRPr="00586800" w:rsidRDefault="00586800" w:rsidP="00586800">
            <w:pPr>
              <w:keepNext/>
              <w:keepLines/>
              <w:tabs>
                <w:tab w:val="decimal" w:pos="256"/>
              </w:tabs>
              <w:spacing w:before="60" w:after="60"/>
              <w:jc w:val="center"/>
              <w:rPr>
                <w:sz w:val="14"/>
                <w:szCs w:val="14"/>
              </w:rPr>
            </w:pPr>
            <w:r w:rsidRPr="00586800">
              <w:rPr>
                <w:sz w:val="14"/>
                <w:szCs w:val="14"/>
              </w:rPr>
              <w:t>50.00%</w:t>
            </w:r>
          </w:p>
        </w:tc>
        <w:tc>
          <w:tcPr>
            <w:tcW w:w="709" w:type="dxa"/>
            <w:vAlign w:val="center"/>
          </w:tcPr>
          <w:p w14:paraId="2342865F" w14:textId="77777777" w:rsidR="00586800" w:rsidRPr="00586800" w:rsidRDefault="00586800" w:rsidP="00586800">
            <w:pPr>
              <w:keepNext/>
              <w:keepLines/>
              <w:tabs>
                <w:tab w:val="decimal" w:pos="256"/>
              </w:tabs>
              <w:spacing w:before="60" w:after="60"/>
              <w:jc w:val="center"/>
              <w:rPr>
                <w:sz w:val="14"/>
                <w:szCs w:val="14"/>
              </w:rPr>
            </w:pPr>
            <w:r w:rsidRPr="00586800">
              <w:rPr>
                <w:sz w:val="14"/>
                <w:szCs w:val="14"/>
              </w:rPr>
              <w:t>10.00%</w:t>
            </w:r>
          </w:p>
        </w:tc>
        <w:tc>
          <w:tcPr>
            <w:tcW w:w="567" w:type="dxa"/>
            <w:vAlign w:val="center"/>
          </w:tcPr>
          <w:p w14:paraId="4A29AA47" w14:textId="77777777" w:rsidR="00586800" w:rsidRPr="00586800" w:rsidRDefault="00586800" w:rsidP="00586800">
            <w:pPr>
              <w:keepNext/>
              <w:keepLines/>
              <w:tabs>
                <w:tab w:val="decimal" w:pos="256"/>
              </w:tabs>
              <w:spacing w:before="60" w:after="60"/>
              <w:jc w:val="center"/>
              <w:rPr>
                <w:sz w:val="14"/>
                <w:szCs w:val="14"/>
              </w:rPr>
            </w:pPr>
            <w:r w:rsidRPr="00586800">
              <w:rPr>
                <w:sz w:val="14"/>
                <w:szCs w:val="14"/>
              </w:rPr>
              <w:t>4.00%</w:t>
            </w:r>
          </w:p>
        </w:tc>
        <w:tc>
          <w:tcPr>
            <w:tcW w:w="567" w:type="dxa"/>
            <w:vAlign w:val="center"/>
          </w:tcPr>
          <w:p w14:paraId="3B762F60" w14:textId="77777777" w:rsidR="00586800" w:rsidRPr="00586800" w:rsidRDefault="00586800" w:rsidP="00586800">
            <w:pPr>
              <w:keepNext/>
              <w:keepLines/>
              <w:tabs>
                <w:tab w:val="decimal" w:pos="256"/>
              </w:tabs>
              <w:spacing w:before="60" w:after="60"/>
              <w:jc w:val="center"/>
              <w:rPr>
                <w:sz w:val="14"/>
                <w:szCs w:val="14"/>
              </w:rPr>
            </w:pPr>
            <w:r w:rsidRPr="00586800">
              <w:rPr>
                <w:sz w:val="14"/>
                <w:szCs w:val="14"/>
              </w:rPr>
              <w:t>2.00%</w:t>
            </w:r>
          </w:p>
        </w:tc>
        <w:tc>
          <w:tcPr>
            <w:tcW w:w="1134" w:type="dxa"/>
            <w:vAlign w:val="center"/>
          </w:tcPr>
          <w:p w14:paraId="40043796" w14:textId="77777777" w:rsidR="00586800" w:rsidRPr="00586800" w:rsidRDefault="00586800" w:rsidP="00586800">
            <w:pPr>
              <w:keepNext/>
              <w:keepLines/>
              <w:tabs>
                <w:tab w:val="decimal" w:pos="256"/>
              </w:tabs>
              <w:spacing w:before="60" w:after="60"/>
              <w:jc w:val="center"/>
              <w:rPr>
                <w:sz w:val="14"/>
                <w:szCs w:val="14"/>
              </w:rPr>
            </w:pPr>
            <w:r w:rsidRPr="00586800">
              <w:rPr>
                <w:sz w:val="14"/>
                <w:szCs w:val="14"/>
              </w:rPr>
              <w:t>0.00%</w:t>
            </w:r>
          </w:p>
        </w:tc>
        <w:tc>
          <w:tcPr>
            <w:tcW w:w="851" w:type="dxa"/>
            <w:vAlign w:val="center"/>
          </w:tcPr>
          <w:p w14:paraId="7CD55ACB" w14:textId="77777777" w:rsidR="00586800" w:rsidRPr="00586800" w:rsidRDefault="00586800" w:rsidP="00586800">
            <w:pPr>
              <w:keepNext/>
              <w:keepLines/>
              <w:tabs>
                <w:tab w:val="decimal" w:pos="256"/>
              </w:tabs>
              <w:spacing w:before="60" w:after="60"/>
              <w:jc w:val="center"/>
              <w:rPr>
                <w:sz w:val="14"/>
                <w:szCs w:val="14"/>
              </w:rPr>
            </w:pPr>
          </w:p>
        </w:tc>
        <w:tc>
          <w:tcPr>
            <w:tcW w:w="1134" w:type="dxa"/>
            <w:vAlign w:val="center"/>
          </w:tcPr>
          <w:p w14:paraId="20090DC4" w14:textId="77777777" w:rsidR="00586800" w:rsidRPr="00586800" w:rsidRDefault="00586800" w:rsidP="00586800">
            <w:pPr>
              <w:keepNext/>
              <w:keepLines/>
              <w:tabs>
                <w:tab w:val="decimal" w:pos="256"/>
              </w:tabs>
              <w:spacing w:before="60" w:after="60"/>
              <w:jc w:val="center"/>
              <w:rPr>
                <w:sz w:val="14"/>
                <w:szCs w:val="14"/>
              </w:rPr>
            </w:pPr>
            <w:r w:rsidRPr="00586800">
              <w:rPr>
                <w:sz w:val="14"/>
                <w:szCs w:val="14"/>
              </w:rPr>
              <w:t>0.00%</w:t>
            </w:r>
          </w:p>
        </w:tc>
        <w:tc>
          <w:tcPr>
            <w:tcW w:w="921" w:type="dxa"/>
            <w:vAlign w:val="center"/>
          </w:tcPr>
          <w:p w14:paraId="1661E0F6" w14:textId="77777777" w:rsidR="00586800" w:rsidRPr="00586800" w:rsidRDefault="00586800" w:rsidP="00586800">
            <w:pPr>
              <w:keepNext/>
              <w:keepLines/>
              <w:tabs>
                <w:tab w:val="decimal" w:pos="256"/>
              </w:tabs>
              <w:spacing w:before="60" w:after="60"/>
              <w:jc w:val="center"/>
              <w:rPr>
                <w:sz w:val="14"/>
                <w:szCs w:val="14"/>
              </w:rPr>
            </w:pPr>
          </w:p>
        </w:tc>
      </w:tr>
      <w:tr w:rsidR="00586800" w:rsidRPr="00586800" w14:paraId="57886718" w14:textId="77777777" w:rsidTr="00841651">
        <w:tc>
          <w:tcPr>
            <w:tcW w:w="1560" w:type="dxa"/>
            <w:shd w:val="clear" w:color="auto" w:fill="auto"/>
          </w:tcPr>
          <w:p w14:paraId="4EEC6770" w14:textId="55F95C20" w:rsidR="00586800" w:rsidRPr="00586800" w:rsidRDefault="00586800" w:rsidP="00586800">
            <w:pPr>
              <w:keepNext/>
              <w:keepLines/>
              <w:spacing w:before="60" w:after="60"/>
              <w:jc w:val="left"/>
              <w:rPr>
                <w:b/>
                <w:bCs/>
                <w:sz w:val="14"/>
                <w:szCs w:val="14"/>
              </w:rPr>
            </w:pPr>
            <w:r w:rsidRPr="00586800">
              <w:rPr>
                <w:b/>
                <w:bCs/>
                <w:sz w:val="14"/>
                <w:szCs w:val="14"/>
              </w:rPr>
              <w:t>Cost</w:t>
            </w:r>
            <w:r w:rsidR="00AD2A2E">
              <w:rPr>
                <w:b/>
                <w:bCs/>
                <w:sz w:val="14"/>
                <w:szCs w:val="14"/>
              </w:rPr>
              <w:t>s</w:t>
            </w:r>
            <w:r w:rsidRPr="00586800">
              <w:rPr>
                <w:b/>
                <w:bCs/>
                <w:sz w:val="14"/>
                <w:szCs w:val="14"/>
              </w:rPr>
              <w:t xml:space="preserve"> of capital</w:t>
            </w:r>
          </w:p>
        </w:tc>
        <w:tc>
          <w:tcPr>
            <w:tcW w:w="992" w:type="dxa"/>
            <w:vAlign w:val="center"/>
          </w:tcPr>
          <w:p w14:paraId="5E491F95" w14:textId="77777777" w:rsidR="00586800" w:rsidRPr="00586800" w:rsidRDefault="00586800" w:rsidP="00586800">
            <w:pPr>
              <w:keepNext/>
              <w:keepLines/>
              <w:tabs>
                <w:tab w:val="decimal" w:pos="256"/>
              </w:tabs>
              <w:spacing w:before="60" w:after="60"/>
              <w:jc w:val="center"/>
              <w:rPr>
                <w:sz w:val="14"/>
                <w:szCs w:val="14"/>
              </w:rPr>
            </w:pPr>
          </w:p>
        </w:tc>
        <w:tc>
          <w:tcPr>
            <w:tcW w:w="851" w:type="dxa"/>
            <w:vAlign w:val="center"/>
          </w:tcPr>
          <w:p w14:paraId="364D868C" w14:textId="77777777" w:rsidR="00586800" w:rsidRPr="00586800" w:rsidRDefault="00586800" w:rsidP="00586800">
            <w:pPr>
              <w:keepNext/>
              <w:keepLines/>
              <w:tabs>
                <w:tab w:val="decimal" w:pos="256"/>
              </w:tabs>
              <w:spacing w:before="60" w:after="60"/>
              <w:jc w:val="center"/>
              <w:rPr>
                <w:sz w:val="14"/>
                <w:szCs w:val="14"/>
              </w:rPr>
            </w:pPr>
          </w:p>
        </w:tc>
        <w:tc>
          <w:tcPr>
            <w:tcW w:w="708" w:type="dxa"/>
            <w:vAlign w:val="center"/>
          </w:tcPr>
          <w:p w14:paraId="572F8685" w14:textId="77777777" w:rsidR="00586800" w:rsidRPr="00586800" w:rsidRDefault="00586800" w:rsidP="00586800">
            <w:pPr>
              <w:keepNext/>
              <w:keepLines/>
              <w:tabs>
                <w:tab w:val="decimal" w:pos="256"/>
              </w:tabs>
              <w:spacing w:before="60" w:after="60"/>
              <w:jc w:val="center"/>
              <w:rPr>
                <w:sz w:val="14"/>
                <w:szCs w:val="14"/>
              </w:rPr>
            </w:pPr>
          </w:p>
        </w:tc>
        <w:tc>
          <w:tcPr>
            <w:tcW w:w="709" w:type="dxa"/>
            <w:vAlign w:val="center"/>
          </w:tcPr>
          <w:p w14:paraId="5548781A" w14:textId="77777777" w:rsidR="00586800" w:rsidRPr="00586800" w:rsidRDefault="00586800" w:rsidP="00586800">
            <w:pPr>
              <w:keepNext/>
              <w:keepLines/>
              <w:tabs>
                <w:tab w:val="decimal" w:pos="256"/>
              </w:tabs>
              <w:spacing w:before="60" w:after="60"/>
              <w:jc w:val="center"/>
              <w:rPr>
                <w:sz w:val="14"/>
                <w:szCs w:val="14"/>
              </w:rPr>
            </w:pPr>
          </w:p>
        </w:tc>
        <w:tc>
          <w:tcPr>
            <w:tcW w:w="567" w:type="dxa"/>
            <w:vAlign w:val="center"/>
          </w:tcPr>
          <w:p w14:paraId="58346AD7" w14:textId="77777777" w:rsidR="00586800" w:rsidRPr="00586800" w:rsidRDefault="00586800" w:rsidP="00586800">
            <w:pPr>
              <w:keepNext/>
              <w:keepLines/>
              <w:tabs>
                <w:tab w:val="decimal" w:pos="256"/>
              </w:tabs>
              <w:spacing w:before="60" w:after="60"/>
              <w:jc w:val="center"/>
              <w:rPr>
                <w:sz w:val="14"/>
                <w:szCs w:val="14"/>
              </w:rPr>
            </w:pPr>
          </w:p>
        </w:tc>
        <w:tc>
          <w:tcPr>
            <w:tcW w:w="567" w:type="dxa"/>
            <w:vAlign w:val="center"/>
          </w:tcPr>
          <w:p w14:paraId="6DF39B6F" w14:textId="77777777" w:rsidR="00586800" w:rsidRPr="00586800" w:rsidRDefault="00586800" w:rsidP="00586800">
            <w:pPr>
              <w:keepNext/>
              <w:keepLines/>
              <w:tabs>
                <w:tab w:val="decimal" w:pos="256"/>
              </w:tabs>
              <w:spacing w:before="60" w:after="60"/>
              <w:jc w:val="center"/>
              <w:rPr>
                <w:sz w:val="14"/>
                <w:szCs w:val="14"/>
              </w:rPr>
            </w:pPr>
          </w:p>
        </w:tc>
        <w:tc>
          <w:tcPr>
            <w:tcW w:w="1134" w:type="dxa"/>
            <w:vAlign w:val="center"/>
          </w:tcPr>
          <w:p w14:paraId="359EEFA7" w14:textId="77777777" w:rsidR="00586800" w:rsidRPr="00586800" w:rsidRDefault="00586800" w:rsidP="00586800">
            <w:pPr>
              <w:keepNext/>
              <w:keepLines/>
              <w:tabs>
                <w:tab w:val="decimal" w:pos="256"/>
              </w:tabs>
              <w:spacing w:before="60" w:after="60"/>
              <w:jc w:val="center"/>
              <w:rPr>
                <w:sz w:val="14"/>
                <w:szCs w:val="14"/>
              </w:rPr>
            </w:pPr>
          </w:p>
        </w:tc>
        <w:tc>
          <w:tcPr>
            <w:tcW w:w="851" w:type="dxa"/>
            <w:vAlign w:val="center"/>
          </w:tcPr>
          <w:p w14:paraId="2D5CBD19" w14:textId="77777777" w:rsidR="00586800" w:rsidRPr="00586800" w:rsidRDefault="00586800" w:rsidP="00586800">
            <w:pPr>
              <w:keepNext/>
              <w:keepLines/>
              <w:tabs>
                <w:tab w:val="decimal" w:pos="256"/>
              </w:tabs>
              <w:spacing w:before="60" w:after="60"/>
              <w:jc w:val="center"/>
              <w:rPr>
                <w:sz w:val="14"/>
                <w:szCs w:val="14"/>
              </w:rPr>
            </w:pPr>
          </w:p>
        </w:tc>
        <w:tc>
          <w:tcPr>
            <w:tcW w:w="1134" w:type="dxa"/>
            <w:vAlign w:val="center"/>
          </w:tcPr>
          <w:p w14:paraId="59CF4358" w14:textId="77777777" w:rsidR="00586800" w:rsidRPr="00586800" w:rsidRDefault="00586800" w:rsidP="00586800">
            <w:pPr>
              <w:keepNext/>
              <w:keepLines/>
              <w:tabs>
                <w:tab w:val="decimal" w:pos="256"/>
              </w:tabs>
              <w:spacing w:before="60" w:after="60"/>
              <w:jc w:val="center"/>
              <w:rPr>
                <w:sz w:val="14"/>
                <w:szCs w:val="14"/>
              </w:rPr>
            </w:pPr>
          </w:p>
        </w:tc>
        <w:tc>
          <w:tcPr>
            <w:tcW w:w="921" w:type="dxa"/>
            <w:vAlign w:val="center"/>
          </w:tcPr>
          <w:p w14:paraId="7F5769F2" w14:textId="77777777" w:rsidR="00586800" w:rsidRPr="00586800" w:rsidRDefault="00586800" w:rsidP="00586800">
            <w:pPr>
              <w:keepNext/>
              <w:keepLines/>
              <w:tabs>
                <w:tab w:val="decimal" w:pos="256"/>
              </w:tabs>
              <w:spacing w:before="60" w:after="60"/>
              <w:jc w:val="center"/>
              <w:rPr>
                <w:sz w:val="14"/>
                <w:szCs w:val="14"/>
              </w:rPr>
            </w:pPr>
          </w:p>
        </w:tc>
      </w:tr>
      <w:tr w:rsidR="00586800" w:rsidRPr="00586800" w14:paraId="54308781" w14:textId="77777777" w:rsidTr="00841651">
        <w:tc>
          <w:tcPr>
            <w:tcW w:w="1560" w:type="dxa"/>
            <w:shd w:val="clear" w:color="auto" w:fill="auto"/>
          </w:tcPr>
          <w:p w14:paraId="26E7D910" w14:textId="77777777" w:rsidR="00586800" w:rsidRPr="00586800" w:rsidRDefault="00586800" w:rsidP="00586800">
            <w:pPr>
              <w:keepNext/>
              <w:keepLines/>
              <w:spacing w:before="60" w:after="60"/>
              <w:jc w:val="left"/>
              <w:rPr>
                <w:sz w:val="14"/>
                <w:szCs w:val="14"/>
              </w:rPr>
            </w:pPr>
            <w:r w:rsidRPr="00586800">
              <w:rPr>
                <w:sz w:val="14"/>
                <w:szCs w:val="14"/>
              </w:rPr>
              <w:t>No AIL or NRWT</w:t>
            </w:r>
          </w:p>
          <w:p w14:paraId="277F1062" w14:textId="77777777" w:rsidR="00586800" w:rsidRPr="00586800" w:rsidRDefault="00586800" w:rsidP="00586800">
            <w:pPr>
              <w:keepNext/>
              <w:keepLines/>
              <w:spacing w:before="60" w:after="60"/>
              <w:jc w:val="left"/>
              <w:rPr>
                <w:sz w:val="14"/>
                <w:szCs w:val="14"/>
              </w:rPr>
            </w:pPr>
            <w:r w:rsidRPr="00586800">
              <w:rPr>
                <w:sz w:val="14"/>
                <w:szCs w:val="14"/>
              </w:rPr>
              <w:t>All companies</w:t>
            </w:r>
          </w:p>
        </w:tc>
        <w:tc>
          <w:tcPr>
            <w:tcW w:w="992" w:type="dxa"/>
            <w:vAlign w:val="center"/>
          </w:tcPr>
          <w:p w14:paraId="50A443B6" w14:textId="77777777" w:rsidR="00586800" w:rsidRPr="00586800" w:rsidRDefault="00586800" w:rsidP="00586800">
            <w:pPr>
              <w:keepNext/>
              <w:keepLines/>
              <w:tabs>
                <w:tab w:val="decimal" w:pos="256"/>
              </w:tabs>
              <w:spacing w:before="60" w:after="60"/>
              <w:jc w:val="center"/>
              <w:rPr>
                <w:sz w:val="14"/>
                <w:szCs w:val="14"/>
              </w:rPr>
            </w:pPr>
            <w:r w:rsidRPr="00586800">
              <w:rPr>
                <w:sz w:val="14"/>
                <w:szCs w:val="14"/>
              </w:rPr>
              <w:t>3.77%</w:t>
            </w:r>
          </w:p>
        </w:tc>
        <w:tc>
          <w:tcPr>
            <w:tcW w:w="851" w:type="dxa"/>
            <w:vAlign w:val="center"/>
          </w:tcPr>
          <w:p w14:paraId="48C67B3A" w14:textId="77777777" w:rsidR="00586800" w:rsidRPr="00586800" w:rsidRDefault="00586800" w:rsidP="00586800">
            <w:pPr>
              <w:keepNext/>
              <w:keepLines/>
              <w:tabs>
                <w:tab w:val="decimal" w:pos="256"/>
              </w:tabs>
              <w:spacing w:before="60" w:after="60"/>
              <w:jc w:val="center"/>
              <w:rPr>
                <w:sz w:val="14"/>
                <w:szCs w:val="14"/>
              </w:rPr>
            </w:pPr>
            <w:r w:rsidRPr="00586800">
              <w:rPr>
                <w:sz w:val="14"/>
                <w:szCs w:val="14"/>
              </w:rPr>
              <w:t>4.10%</w:t>
            </w:r>
          </w:p>
        </w:tc>
        <w:tc>
          <w:tcPr>
            <w:tcW w:w="708" w:type="dxa"/>
            <w:vAlign w:val="center"/>
          </w:tcPr>
          <w:p w14:paraId="01723F4F" w14:textId="77777777" w:rsidR="00586800" w:rsidRPr="00586800" w:rsidRDefault="00586800" w:rsidP="00586800">
            <w:pPr>
              <w:keepNext/>
              <w:keepLines/>
              <w:tabs>
                <w:tab w:val="decimal" w:pos="256"/>
              </w:tabs>
              <w:spacing w:before="60" w:after="60"/>
              <w:jc w:val="center"/>
              <w:rPr>
                <w:sz w:val="14"/>
                <w:szCs w:val="14"/>
              </w:rPr>
            </w:pPr>
            <w:r w:rsidRPr="00586800">
              <w:rPr>
                <w:sz w:val="14"/>
                <w:szCs w:val="14"/>
              </w:rPr>
              <w:t>4.07%</w:t>
            </w:r>
          </w:p>
        </w:tc>
        <w:tc>
          <w:tcPr>
            <w:tcW w:w="709" w:type="dxa"/>
            <w:vAlign w:val="center"/>
          </w:tcPr>
          <w:p w14:paraId="16F36802" w14:textId="77777777" w:rsidR="00586800" w:rsidRPr="00586800" w:rsidRDefault="00586800" w:rsidP="00586800">
            <w:pPr>
              <w:keepNext/>
              <w:keepLines/>
              <w:tabs>
                <w:tab w:val="decimal" w:pos="256"/>
              </w:tabs>
              <w:spacing w:before="60" w:after="60"/>
              <w:jc w:val="center"/>
              <w:rPr>
                <w:sz w:val="14"/>
                <w:szCs w:val="14"/>
              </w:rPr>
            </w:pPr>
            <w:r w:rsidRPr="00586800">
              <w:rPr>
                <w:sz w:val="14"/>
                <w:szCs w:val="14"/>
              </w:rPr>
              <w:t>3.89%</w:t>
            </w:r>
          </w:p>
        </w:tc>
        <w:tc>
          <w:tcPr>
            <w:tcW w:w="567" w:type="dxa"/>
            <w:vAlign w:val="center"/>
          </w:tcPr>
          <w:p w14:paraId="12E9D1F2" w14:textId="77777777" w:rsidR="00586800" w:rsidRPr="00586800" w:rsidRDefault="00586800" w:rsidP="00586800">
            <w:pPr>
              <w:keepNext/>
              <w:keepLines/>
              <w:tabs>
                <w:tab w:val="decimal" w:pos="256"/>
              </w:tabs>
              <w:spacing w:before="60" w:after="60"/>
              <w:jc w:val="center"/>
              <w:rPr>
                <w:sz w:val="14"/>
                <w:szCs w:val="14"/>
              </w:rPr>
            </w:pPr>
            <w:r w:rsidRPr="00586800">
              <w:rPr>
                <w:sz w:val="14"/>
                <w:szCs w:val="14"/>
              </w:rPr>
              <w:t>3.71%</w:t>
            </w:r>
          </w:p>
        </w:tc>
        <w:tc>
          <w:tcPr>
            <w:tcW w:w="567" w:type="dxa"/>
            <w:vAlign w:val="center"/>
          </w:tcPr>
          <w:p w14:paraId="2F27FF41" w14:textId="77777777" w:rsidR="00586800" w:rsidRPr="00586800" w:rsidRDefault="00586800" w:rsidP="00586800">
            <w:pPr>
              <w:keepNext/>
              <w:keepLines/>
              <w:tabs>
                <w:tab w:val="decimal" w:pos="256"/>
              </w:tabs>
              <w:spacing w:before="60" w:after="60"/>
              <w:jc w:val="center"/>
              <w:rPr>
                <w:sz w:val="14"/>
                <w:szCs w:val="14"/>
              </w:rPr>
            </w:pPr>
            <w:r w:rsidRPr="00586800">
              <w:rPr>
                <w:sz w:val="14"/>
                <w:szCs w:val="14"/>
              </w:rPr>
              <w:t>3.58%</w:t>
            </w:r>
          </w:p>
        </w:tc>
        <w:tc>
          <w:tcPr>
            <w:tcW w:w="1134" w:type="dxa"/>
            <w:vAlign w:val="center"/>
          </w:tcPr>
          <w:p w14:paraId="2C7823A3" w14:textId="77777777" w:rsidR="00586800" w:rsidRPr="00586800" w:rsidRDefault="00586800" w:rsidP="00586800">
            <w:pPr>
              <w:keepNext/>
              <w:keepLines/>
              <w:tabs>
                <w:tab w:val="decimal" w:pos="256"/>
              </w:tabs>
              <w:spacing w:before="60" w:after="60"/>
              <w:jc w:val="center"/>
              <w:rPr>
                <w:sz w:val="14"/>
                <w:szCs w:val="14"/>
              </w:rPr>
            </w:pPr>
            <w:r w:rsidRPr="00586800">
              <w:rPr>
                <w:sz w:val="14"/>
                <w:szCs w:val="14"/>
              </w:rPr>
              <w:t>3.34%</w:t>
            </w:r>
          </w:p>
        </w:tc>
        <w:tc>
          <w:tcPr>
            <w:tcW w:w="851" w:type="dxa"/>
            <w:vAlign w:val="center"/>
          </w:tcPr>
          <w:p w14:paraId="17FBFD32" w14:textId="77777777" w:rsidR="00586800" w:rsidRPr="00586800" w:rsidRDefault="00586800" w:rsidP="00586800">
            <w:pPr>
              <w:keepNext/>
              <w:keepLines/>
              <w:tabs>
                <w:tab w:val="decimal" w:pos="256"/>
              </w:tabs>
              <w:spacing w:before="60" w:after="60"/>
              <w:jc w:val="center"/>
              <w:rPr>
                <w:sz w:val="14"/>
                <w:szCs w:val="14"/>
              </w:rPr>
            </w:pPr>
            <w:r w:rsidRPr="00586800">
              <w:rPr>
                <w:sz w:val="14"/>
                <w:szCs w:val="14"/>
              </w:rPr>
              <w:t>4.10%</w:t>
            </w:r>
          </w:p>
        </w:tc>
        <w:tc>
          <w:tcPr>
            <w:tcW w:w="1134" w:type="dxa"/>
            <w:vAlign w:val="center"/>
          </w:tcPr>
          <w:p w14:paraId="392D223F" w14:textId="77777777" w:rsidR="00586800" w:rsidRPr="00586800" w:rsidRDefault="00586800" w:rsidP="00586800">
            <w:pPr>
              <w:keepNext/>
              <w:keepLines/>
              <w:tabs>
                <w:tab w:val="decimal" w:pos="256"/>
              </w:tabs>
              <w:spacing w:before="60" w:after="60"/>
              <w:jc w:val="center"/>
              <w:rPr>
                <w:sz w:val="14"/>
                <w:szCs w:val="14"/>
              </w:rPr>
            </w:pPr>
            <w:r w:rsidRPr="00586800">
              <w:rPr>
                <w:sz w:val="14"/>
                <w:szCs w:val="14"/>
              </w:rPr>
              <w:t>2.95%</w:t>
            </w:r>
          </w:p>
        </w:tc>
        <w:tc>
          <w:tcPr>
            <w:tcW w:w="921" w:type="dxa"/>
            <w:vAlign w:val="center"/>
          </w:tcPr>
          <w:p w14:paraId="13879A20" w14:textId="77777777" w:rsidR="00586800" w:rsidRPr="00586800" w:rsidRDefault="00586800" w:rsidP="00586800">
            <w:pPr>
              <w:keepNext/>
              <w:keepLines/>
              <w:tabs>
                <w:tab w:val="decimal" w:pos="256"/>
              </w:tabs>
              <w:spacing w:before="60" w:after="60"/>
              <w:jc w:val="center"/>
              <w:rPr>
                <w:sz w:val="14"/>
                <w:szCs w:val="14"/>
              </w:rPr>
            </w:pPr>
            <w:r w:rsidRPr="00586800">
              <w:rPr>
                <w:sz w:val="14"/>
                <w:szCs w:val="14"/>
              </w:rPr>
              <w:t>2.40%</w:t>
            </w:r>
          </w:p>
        </w:tc>
      </w:tr>
      <w:tr w:rsidR="00586800" w:rsidRPr="00586800" w14:paraId="6FA9F4D5" w14:textId="77777777" w:rsidTr="00841651">
        <w:tc>
          <w:tcPr>
            <w:tcW w:w="1560" w:type="dxa"/>
            <w:shd w:val="clear" w:color="auto" w:fill="auto"/>
          </w:tcPr>
          <w:p w14:paraId="64CB3D72" w14:textId="77777777" w:rsidR="00586800" w:rsidRPr="00586800" w:rsidRDefault="00586800" w:rsidP="00586800">
            <w:pPr>
              <w:keepNext/>
              <w:keepLines/>
              <w:spacing w:before="60" w:after="60"/>
              <w:jc w:val="left"/>
              <w:rPr>
                <w:sz w:val="14"/>
                <w:szCs w:val="14"/>
              </w:rPr>
            </w:pPr>
            <w:r w:rsidRPr="00586800">
              <w:rPr>
                <w:sz w:val="14"/>
                <w:szCs w:val="14"/>
              </w:rPr>
              <w:t>AIL and NRWT</w:t>
            </w:r>
          </w:p>
          <w:p w14:paraId="64013998" w14:textId="77777777" w:rsidR="00586800" w:rsidRPr="00586800" w:rsidRDefault="00586800" w:rsidP="00586800">
            <w:pPr>
              <w:keepNext/>
              <w:keepLines/>
              <w:spacing w:before="60" w:after="60"/>
              <w:jc w:val="left"/>
              <w:rPr>
                <w:sz w:val="14"/>
                <w:szCs w:val="14"/>
              </w:rPr>
            </w:pPr>
            <w:r w:rsidRPr="00586800">
              <w:rPr>
                <w:sz w:val="14"/>
                <w:szCs w:val="14"/>
              </w:rPr>
              <w:t>Domestic companies with marginal foreign shareholders</w:t>
            </w:r>
          </w:p>
        </w:tc>
        <w:tc>
          <w:tcPr>
            <w:tcW w:w="992" w:type="dxa"/>
            <w:vAlign w:val="center"/>
          </w:tcPr>
          <w:p w14:paraId="1E0B6DBD" w14:textId="77777777" w:rsidR="00586800" w:rsidRPr="00586800" w:rsidRDefault="00586800" w:rsidP="00586800">
            <w:pPr>
              <w:keepNext/>
              <w:keepLines/>
              <w:tabs>
                <w:tab w:val="decimal" w:pos="256"/>
              </w:tabs>
              <w:spacing w:before="60" w:after="60"/>
              <w:jc w:val="center"/>
              <w:rPr>
                <w:sz w:val="14"/>
                <w:szCs w:val="14"/>
              </w:rPr>
            </w:pPr>
            <w:r w:rsidRPr="00586800">
              <w:rPr>
                <w:sz w:val="14"/>
                <w:szCs w:val="14"/>
              </w:rPr>
              <w:t>3.81%</w:t>
            </w:r>
          </w:p>
        </w:tc>
        <w:tc>
          <w:tcPr>
            <w:tcW w:w="851" w:type="dxa"/>
            <w:vAlign w:val="center"/>
          </w:tcPr>
          <w:p w14:paraId="377DA641" w14:textId="77777777" w:rsidR="00586800" w:rsidRPr="00586800" w:rsidRDefault="00586800" w:rsidP="00586800">
            <w:pPr>
              <w:keepNext/>
              <w:keepLines/>
              <w:tabs>
                <w:tab w:val="decimal" w:pos="256"/>
              </w:tabs>
              <w:spacing w:before="60" w:after="60"/>
              <w:jc w:val="center"/>
              <w:rPr>
                <w:sz w:val="14"/>
                <w:szCs w:val="14"/>
              </w:rPr>
            </w:pPr>
            <w:r w:rsidRPr="00586800">
              <w:rPr>
                <w:sz w:val="14"/>
                <w:szCs w:val="14"/>
              </w:rPr>
              <w:t>4.14%</w:t>
            </w:r>
          </w:p>
        </w:tc>
        <w:tc>
          <w:tcPr>
            <w:tcW w:w="708" w:type="dxa"/>
            <w:vAlign w:val="center"/>
          </w:tcPr>
          <w:p w14:paraId="6A5FE719" w14:textId="77777777" w:rsidR="00586800" w:rsidRPr="00586800" w:rsidRDefault="00586800" w:rsidP="00586800">
            <w:pPr>
              <w:keepNext/>
              <w:keepLines/>
              <w:tabs>
                <w:tab w:val="decimal" w:pos="256"/>
              </w:tabs>
              <w:spacing w:before="60" w:after="60"/>
              <w:jc w:val="center"/>
              <w:rPr>
                <w:sz w:val="14"/>
                <w:szCs w:val="14"/>
              </w:rPr>
            </w:pPr>
            <w:r w:rsidRPr="00586800">
              <w:rPr>
                <w:sz w:val="14"/>
                <w:szCs w:val="14"/>
              </w:rPr>
              <w:t>4.11%</w:t>
            </w:r>
          </w:p>
        </w:tc>
        <w:tc>
          <w:tcPr>
            <w:tcW w:w="709" w:type="dxa"/>
            <w:vAlign w:val="center"/>
          </w:tcPr>
          <w:p w14:paraId="7C31A1F7" w14:textId="77777777" w:rsidR="00586800" w:rsidRPr="00586800" w:rsidRDefault="00586800" w:rsidP="00586800">
            <w:pPr>
              <w:keepNext/>
              <w:keepLines/>
              <w:tabs>
                <w:tab w:val="decimal" w:pos="256"/>
              </w:tabs>
              <w:spacing w:before="60" w:after="60"/>
              <w:jc w:val="center"/>
              <w:rPr>
                <w:sz w:val="14"/>
                <w:szCs w:val="14"/>
              </w:rPr>
            </w:pPr>
            <w:r w:rsidRPr="00586800">
              <w:rPr>
                <w:sz w:val="14"/>
                <w:szCs w:val="14"/>
              </w:rPr>
              <w:t>3.93%</w:t>
            </w:r>
          </w:p>
        </w:tc>
        <w:tc>
          <w:tcPr>
            <w:tcW w:w="567" w:type="dxa"/>
            <w:vAlign w:val="center"/>
          </w:tcPr>
          <w:p w14:paraId="171F728D" w14:textId="77777777" w:rsidR="00586800" w:rsidRPr="00586800" w:rsidRDefault="00586800" w:rsidP="00586800">
            <w:pPr>
              <w:keepNext/>
              <w:keepLines/>
              <w:tabs>
                <w:tab w:val="decimal" w:pos="256"/>
              </w:tabs>
              <w:spacing w:before="60" w:after="60"/>
              <w:jc w:val="center"/>
              <w:rPr>
                <w:sz w:val="14"/>
                <w:szCs w:val="14"/>
              </w:rPr>
            </w:pPr>
            <w:r w:rsidRPr="00586800">
              <w:rPr>
                <w:sz w:val="14"/>
                <w:szCs w:val="14"/>
              </w:rPr>
              <w:t>3.76%</w:t>
            </w:r>
          </w:p>
        </w:tc>
        <w:tc>
          <w:tcPr>
            <w:tcW w:w="567" w:type="dxa"/>
            <w:vAlign w:val="center"/>
          </w:tcPr>
          <w:p w14:paraId="2C7A3B67" w14:textId="77777777" w:rsidR="00586800" w:rsidRPr="00586800" w:rsidRDefault="00586800" w:rsidP="00586800">
            <w:pPr>
              <w:keepNext/>
              <w:keepLines/>
              <w:tabs>
                <w:tab w:val="decimal" w:pos="256"/>
              </w:tabs>
              <w:spacing w:before="60" w:after="60"/>
              <w:jc w:val="center"/>
              <w:rPr>
                <w:sz w:val="14"/>
                <w:szCs w:val="14"/>
              </w:rPr>
            </w:pPr>
            <w:r w:rsidRPr="00586800">
              <w:rPr>
                <w:sz w:val="14"/>
                <w:szCs w:val="14"/>
              </w:rPr>
              <w:t>3.63%</w:t>
            </w:r>
          </w:p>
        </w:tc>
        <w:tc>
          <w:tcPr>
            <w:tcW w:w="1134" w:type="dxa"/>
            <w:vAlign w:val="center"/>
          </w:tcPr>
          <w:p w14:paraId="6845B063" w14:textId="77777777" w:rsidR="00586800" w:rsidRPr="00586800" w:rsidRDefault="00586800" w:rsidP="00586800">
            <w:pPr>
              <w:keepNext/>
              <w:keepLines/>
              <w:tabs>
                <w:tab w:val="decimal" w:pos="256"/>
              </w:tabs>
              <w:spacing w:before="60" w:after="60"/>
              <w:jc w:val="center"/>
              <w:rPr>
                <w:sz w:val="14"/>
                <w:szCs w:val="14"/>
              </w:rPr>
            </w:pPr>
            <w:r w:rsidRPr="00586800">
              <w:rPr>
                <w:sz w:val="14"/>
                <w:szCs w:val="14"/>
              </w:rPr>
              <w:t>3.38%</w:t>
            </w:r>
          </w:p>
        </w:tc>
        <w:tc>
          <w:tcPr>
            <w:tcW w:w="851" w:type="dxa"/>
            <w:vAlign w:val="center"/>
          </w:tcPr>
          <w:p w14:paraId="548CBB3A" w14:textId="77777777" w:rsidR="00586800" w:rsidRPr="00586800" w:rsidRDefault="00586800" w:rsidP="00586800">
            <w:pPr>
              <w:keepNext/>
              <w:keepLines/>
              <w:tabs>
                <w:tab w:val="decimal" w:pos="256"/>
              </w:tabs>
              <w:spacing w:before="60" w:after="60"/>
              <w:jc w:val="center"/>
              <w:rPr>
                <w:sz w:val="14"/>
                <w:szCs w:val="14"/>
              </w:rPr>
            </w:pPr>
            <w:r w:rsidRPr="00586800">
              <w:rPr>
                <w:sz w:val="14"/>
                <w:szCs w:val="14"/>
              </w:rPr>
              <w:t>4.14%</w:t>
            </w:r>
          </w:p>
        </w:tc>
        <w:tc>
          <w:tcPr>
            <w:tcW w:w="1134" w:type="dxa"/>
            <w:vAlign w:val="center"/>
          </w:tcPr>
          <w:p w14:paraId="35F7842D" w14:textId="77777777" w:rsidR="00586800" w:rsidRPr="00586800" w:rsidRDefault="00586800" w:rsidP="00586800">
            <w:pPr>
              <w:keepNext/>
              <w:keepLines/>
              <w:tabs>
                <w:tab w:val="decimal" w:pos="256"/>
              </w:tabs>
              <w:spacing w:before="60" w:after="60"/>
              <w:jc w:val="center"/>
              <w:rPr>
                <w:sz w:val="14"/>
                <w:szCs w:val="14"/>
              </w:rPr>
            </w:pPr>
            <w:r w:rsidRPr="00586800">
              <w:rPr>
                <w:sz w:val="14"/>
                <w:szCs w:val="14"/>
              </w:rPr>
              <w:t>2.99%</w:t>
            </w:r>
          </w:p>
        </w:tc>
        <w:tc>
          <w:tcPr>
            <w:tcW w:w="921" w:type="dxa"/>
            <w:vAlign w:val="center"/>
          </w:tcPr>
          <w:p w14:paraId="73967F99" w14:textId="77777777" w:rsidR="00586800" w:rsidRPr="00586800" w:rsidRDefault="00586800" w:rsidP="00586800">
            <w:pPr>
              <w:keepNext/>
              <w:keepLines/>
              <w:tabs>
                <w:tab w:val="decimal" w:pos="256"/>
              </w:tabs>
              <w:spacing w:before="60" w:after="60"/>
              <w:jc w:val="center"/>
              <w:rPr>
                <w:sz w:val="14"/>
                <w:szCs w:val="14"/>
              </w:rPr>
            </w:pPr>
            <w:r w:rsidRPr="00586800">
              <w:rPr>
                <w:sz w:val="14"/>
                <w:szCs w:val="14"/>
              </w:rPr>
              <w:t>2.43%</w:t>
            </w:r>
          </w:p>
        </w:tc>
      </w:tr>
      <w:tr w:rsidR="00586800" w:rsidRPr="00586800" w14:paraId="49915684" w14:textId="77777777" w:rsidTr="00841651">
        <w:tc>
          <w:tcPr>
            <w:tcW w:w="1560" w:type="dxa"/>
            <w:shd w:val="clear" w:color="auto" w:fill="auto"/>
          </w:tcPr>
          <w:p w14:paraId="66229114" w14:textId="13C44660" w:rsidR="00586800" w:rsidRPr="00586800" w:rsidRDefault="00586800" w:rsidP="00586800">
            <w:pPr>
              <w:keepNext/>
              <w:keepLines/>
              <w:spacing w:before="60" w:after="60"/>
              <w:jc w:val="left"/>
              <w:rPr>
                <w:sz w:val="14"/>
                <w:szCs w:val="14"/>
              </w:rPr>
            </w:pPr>
            <w:r w:rsidRPr="00586800">
              <w:rPr>
                <w:sz w:val="14"/>
                <w:szCs w:val="14"/>
              </w:rPr>
              <w:t>AIL and NRWT - Foreign</w:t>
            </w:r>
            <w:r w:rsidR="00A14694">
              <w:rPr>
                <w:sz w:val="14"/>
                <w:szCs w:val="14"/>
              </w:rPr>
              <w:t>-</w:t>
            </w:r>
            <w:r w:rsidRPr="00586800">
              <w:rPr>
                <w:sz w:val="14"/>
                <w:szCs w:val="14"/>
              </w:rPr>
              <w:t>controlled companies, NRWT creditable</w:t>
            </w:r>
          </w:p>
        </w:tc>
        <w:tc>
          <w:tcPr>
            <w:tcW w:w="992" w:type="dxa"/>
            <w:vAlign w:val="center"/>
          </w:tcPr>
          <w:p w14:paraId="5724964A" w14:textId="77777777" w:rsidR="00586800" w:rsidRPr="00586800" w:rsidRDefault="00586800" w:rsidP="00586800">
            <w:pPr>
              <w:keepNext/>
              <w:keepLines/>
              <w:tabs>
                <w:tab w:val="decimal" w:pos="256"/>
              </w:tabs>
              <w:spacing w:before="60" w:after="60"/>
              <w:jc w:val="center"/>
              <w:rPr>
                <w:sz w:val="14"/>
                <w:szCs w:val="14"/>
              </w:rPr>
            </w:pPr>
            <w:r w:rsidRPr="00586800">
              <w:rPr>
                <w:sz w:val="14"/>
                <w:szCs w:val="14"/>
              </w:rPr>
              <w:t>3.80%</w:t>
            </w:r>
          </w:p>
        </w:tc>
        <w:tc>
          <w:tcPr>
            <w:tcW w:w="851" w:type="dxa"/>
            <w:vAlign w:val="center"/>
          </w:tcPr>
          <w:p w14:paraId="31A66F8C" w14:textId="77777777" w:rsidR="00586800" w:rsidRPr="00586800" w:rsidRDefault="00586800" w:rsidP="00586800">
            <w:pPr>
              <w:keepNext/>
              <w:keepLines/>
              <w:tabs>
                <w:tab w:val="decimal" w:pos="256"/>
              </w:tabs>
              <w:spacing w:before="60" w:after="60"/>
              <w:jc w:val="center"/>
              <w:rPr>
                <w:sz w:val="14"/>
                <w:szCs w:val="14"/>
              </w:rPr>
            </w:pPr>
            <w:r w:rsidRPr="00586800">
              <w:rPr>
                <w:sz w:val="14"/>
                <w:szCs w:val="14"/>
              </w:rPr>
              <w:t>4.13%</w:t>
            </w:r>
          </w:p>
        </w:tc>
        <w:tc>
          <w:tcPr>
            <w:tcW w:w="708" w:type="dxa"/>
            <w:vAlign w:val="center"/>
          </w:tcPr>
          <w:p w14:paraId="59121F75" w14:textId="77777777" w:rsidR="00586800" w:rsidRPr="00586800" w:rsidRDefault="00586800" w:rsidP="00586800">
            <w:pPr>
              <w:keepNext/>
              <w:keepLines/>
              <w:tabs>
                <w:tab w:val="decimal" w:pos="256"/>
              </w:tabs>
              <w:spacing w:before="60" w:after="60"/>
              <w:jc w:val="center"/>
              <w:rPr>
                <w:sz w:val="14"/>
                <w:szCs w:val="14"/>
              </w:rPr>
            </w:pPr>
            <w:r w:rsidRPr="00586800">
              <w:rPr>
                <w:sz w:val="14"/>
                <w:szCs w:val="14"/>
              </w:rPr>
              <w:t>4.10%</w:t>
            </w:r>
          </w:p>
        </w:tc>
        <w:tc>
          <w:tcPr>
            <w:tcW w:w="709" w:type="dxa"/>
            <w:vAlign w:val="center"/>
          </w:tcPr>
          <w:p w14:paraId="274D9DED" w14:textId="77777777" w:rsidR="00586800" w:rsidRPr="00586800" w:rsidRDefault="00586800" w:rsidP="00586800">
            <w:pPr>
              <w:keepNext/>
              <w:keepLines/>
              <w:tabs>
                <w:tab w:val="decimal" w:pos="256"/>
              </w:tabs>
              <w:spacing w:before="60" w:after="60"/>
              <w:jc w:val="center"/>
              <w:rPr>
                <w:sz w:val="14"/>
                <w:szCs w:val="14"/>
              </w:rPr>
            </w:pPr>
            <w:r w:rsidRPr="00586800">
              <w:rPr>
                <w:sz w:val="14"/>
                <w:szCs w:val="14"/>
              </w:rPr>
              <w:t>3.91%</w:t>
            </w:r>
          </w:p>
        </w:tc>
        <w:tc>
          <w:tcPr>
            <w:tcW w:w="567" w:type="dxa"/>
            <w:vAlign w:val="center"/>
          </w:tcPr>
          <w:p w14:paraId="67B05F71" w14:textId="77777777" w:rsidR="00586800" w:rsidRPr="00586800" w:rsidRDefault="00586800" w:rsidP="00586800">
            <w:pPr>
              <w:keepNext/>
              <w:keepLines/>
              <w:tabs>
                <w:tab w:val="decimal" w:pos="256"/>
              </w:tabs>
              <w:spacing w:before="60" w:after="60"/>
              <w:jc w:val="center"/>
              <w:rPr>
                <w:sz w:val="14"/>
                <w:szCs w:val="14"/>
              </w:rPr>
            </w:pPr>
            <w:r w:rsidRPr="00586800">
              <w:rPr>
                <w:sz w:val="14"/>
                <w:szCs w:val="14"/>
              </w:rPr>
              <w:t>3.74%</w:t>
            </w:r>
          </w:p>
        </w:tc>
        <w:tc>
          <w:tcPr>
            <w:tcW w:w="567" w:type="dxa"/>
            <w:vAlign w:val="center"/>
          </w:tcPr>
          <w:p w14:paraId="744A63CA" w14:textId="77777777" w:rsidR="00586800" w:rsidRPr="00586800" w:rsidRDefault="00586800" w:rsidP="00586800">
            <w:pPr>
              <w:keepNext/>
              <w:keepLines/>
              <w:tabs>
                <w:tab w:val="decimal" w:pos="256"/>
              </w:tabs>
              <w:spacing w:before="60" w:after="60"/>
              <w:jc w:val="center"/>
              <w:rPr>
                <w:sz w:val="14"/>
                <w:szCs w:val="14"/>
              </w:rPr>
            </w:pPr>
            <w:r w:rsidRPr="00586800">
              <w:rPr>
                <w:sz w:val="14"/>
                <w:szCs w:val="14"/>
              </w:rPr>
              <w:t>3.61%</w:t>
            </w:r>
          </w:p>
        </w:tc>
        <w:tc>
          <w:tcPr>
            <w:tcW w:w="1134" w:type="dxa"/>
            <w:vAlign w:val="center"/>
          </w:tcPr>
          <w:p w14:paraId="64E3323E" w14:textId="77777777" w:rsidR="00586800" w:rsidRPr="00586800" w:rsidRDefault="00586800" w:rsidP="00586800">
            <w:pPr>
              <w:keepNext/>
              <w:keepLines/>
              <w:tabs>
                <w:tab w:val="decimal" w:pos="256"/>
              </w:tabs>
              <w:spacing w:before="60" w:after="60"/>
              <w:jc w:val="center"/>
              <w:rPr>
                <w:sz w:val="14"/>
                <w:szCs w:val="14"/>
              </w:rPr>
            </w:pPr>
            <w:r w:rsidRPr="00586800">
              <w:rPr>
                <w:sz w:val="14"/>
                <w:szCs w:val="14"/>
              </w:rPr>
              <w:t>3.36%</w:t>
            </w:r>
          </w:p>
        </w:tc>
        <w:tc>
          <w:tcPr>
            <w:tcW w:w="851" w:type="dxa"/>
            <w:vAlign w:val="center"/>
          </w:tcPr>
          <w:p w14:paraId="7B0B6A15" w14:textId="77777777" w:rsidR="00586800" w:rsidRPr="00586800" w:rsidRDefault="00586800" w:rsidP="00586800">
            <w:pPr>
              <w:keepNext/>
              <w:keepLines/>
              <w:tabs>
                <w:tab w:val="decimal" w:pos="256"/>
              </w:tabs>
              <w:spacing w:before="60" w:after="60"/>
              <w:jc w:val="center"/>
              <w:rPr>
                <w:sz w:val="14"/>
                <w:szCs w:val="14"/>
              </w:rPr>
            </w:pPr>
            <w:r w:rsidRPr="00586800">
              <w:rPr>
                <w:sz w:val="14"/>
                <w:szCs w:val="14"/>
              </w:rPr>
              <w:t>4.13%</w:t>
            </w:r>
          </w:p>
        </w:tc>
        <w:tc>
          <w:tcPr>
            <w:tcW w:w="1134" w:type="dxa"/>
            <w:vAlign w:val="center"/>
          </w:tcPr>
          <w:p w14:paraId="7FF1A79A" w14:textId="77777777" w:rsidR="00586800" w:rsidRPr="00586800" w:rsidRDefault="00586800" w:rsidP="00586800">
            <w:pPr>
              <w:keepNext/>
              <w:keepLines/>
              <w:tabs>
                <w:tab w:val="decimal" w:pos="256"/>
              </w:tabs>
              <w:spacing w:before="60" w:after="60"/>
              <w:jc w:val="center"/>
              <w:rPr>
                <w:sz w:val="14"/>
                <w:szCs w:val="14"/>
              </w:rPr>
            </w:pPr>
            <w:r w:rsidRPr="00586800">
              <w:rPr>
                <w:sz w:val="14"/>
                <w:szCs w:val="14"/>
              </w:rPr>
              <w:t>2.98%</w:t>
            </w:r>
          </w:p>
        </w:tc>
        <w:tc>
          <w:tcPr>
            <w:tcW w:w="921" w:type="dxa"/>
            <w:vAlign w:val="center"/>
          </w:tcPr>
          <w:p w14:paraId="74B7C870" w14:textId="77777777" w:rsidR="00586800" w:rsidRPr="00586800" w:rsidRDefault="00586800" w:rsidP="00586800">
            <w:pPr>
              <w:keepNext/>
              <w:keepLines/>
              <w:tabs>
                <w:tab w:val="decimal" w:pos="256"/>
              </w:tabs>
              <w:spacing w:before="60" w:after="60"/>
              <w:jc w:val="center"/>
              <w:rPr>
                <w:sz w:val="14"/>
                <w:szCs w:val="14"/>
              </w:rPr>
            </w:pPr>
            <w:r w:rsidRPr="00586800">
              <w:rPr>
                <w:sz w:val="14"/>
                <w:szCs w:val="14"/>
              </w:rPr>
              <w:t>2.42%</w:t>
            </w:r>
          </w:p>
        </w:tc>
      </w:tr>
      <w:tr w:rsidR="00586800" w:rsidRPr="00586800" w14:paraId="13473922" w14:textId="77777777" w:rsidTr="00841651">
        <w:tc>
          <w:tcPr>
            <w:tcW w:w="1560" w:type="dxa"/>
            <w:shd w:val="clear" w:color="auto" w:fill="auto"/>
          </w:tcPr>
          <w:p w14:paraId="67B0DA18" w14:textId="272CCB38" w:rsidR="00586800" w:rsidRPr="00586800" w:rsidRDefault="00586800" w:rsidP="00586800">
            <w:pPr>
              <w:keepNext/>
              <w:keepLines/>
              <w:spacing w:before="60" w:after="60"/>
              <w:jc w:val="left"/>
              <w:rPr>
                <w:sz w:val="14"/>
                <w:szCs w:val="14"/>
              </w:rPr>
            </w:pPr>
            <w:r w:rsidRPr="00586800">
              <w:rPr>
                <w:sz w:val="14"/>
                <w:szCs w:val="14"/>
              </w:rPr>
              <w:t>AIL and NRWT - Foreign</w:t>
            </w:r>
            <w:r w:rsidR="00C40E37">
              <w:rPr>
                <w:sz w:val="14"/>
                <w:szCs w:val="14"/>
              </w:rPr>
              <w:t>-</w:t>
            </w:r>
            <w:r w:rsidRPr="00586800">
              <w:rPr>
                <w:sz w:val="14"/>
                <w:szCs w:val="14"/>
              </w:rPr>
              <w:t xml:space="preserve">controlled companies , NRWT </w:t>
            </w:r>
            <w:r w:rsidRPr="00586800">
              <w:rPr>
                <w:b/>
                <w:bCs/>
                <w:sz w:val="14"/>
                <w:szCs w:val="14"/>
              </w:rPr>
              <w:t>not</w:t>
            </w:r>
            <w:r w:rsidRPr="00586800">
              <w:rPr>
                <w:sz w:val="14"/>
                <w:szCs w:val="14"/>
              </w:rPr>
              <w:t xml:space="preserve"> creditable</w:t>
            </w:r>
          </w:p>
        </w:tc>
        <w:tc>
          <w:tcPr>
            <w:tcW w:w="992" w:type="dxa"/>
            <w:vAlign w:val="center"/>
          </w:tcPr>
          <w:p w14:paraId="06ABCA40" w14:textId="77777777" w:rsidR="00586800" w:rsidRPr="00586800" w:rsidRDefault="00586800" w:rsidP="00586800">
            <w:pPr>
              <w:keepNext/>
              <w:keepLines/>
              <w:tabs>
                <w:tab w:val="decimal" w:pos="256"/>
              </w:tabs>
              <w:spacing w:before="60" w:after="60"/>
              <w:jc w:val="center"/>
              <w:rPr>
                <w:sz w:val="14"/>
                <w:szCs w:val="14"/>
              </w:rPr>
            </w:pPr>
            <w:r w:rsidRPr="00586800">
              <w:rPr>
                <w:sz w:val="14"/>
                <w:szCs w:val="14"/>
              </w:rPr>
              <w:t>3.92%</w:t>
            </w:r>
          </w:p>
        </w:tc>
        <w:tc>
          <w:tcPr>
            <w:tcW w:w="851" w:type="dxa"/>
            <w:vAlign w:val="center"/>
          </w:tcPr>
          <w:p w14:paraId="077AB293" w14:textId="77777777" w:rsidR="00586800" w:rsidRPr="00586800" w:rsidRDefault="00586800" w:rsidP="00586800">
            <w:pPr>
              <w:keepNext/>
              <w:keepLines/>
              <w:tabs>
                <w:tab w:val="decimal" w:pos="256"/>
              </w:tabs>
              <w:spacing w:before="60" w:after="60"/>
              <w:jc w:val="center"/>
              <w:rPr>
                <w:sz w:val="14"/>
                <w:szCs w:val="14"/>
              </w:rPr>
            </w:pPr>
            <w:r w:rsidRPr="00586800">
              <w:rPr>
                <w:sz w:val="14"/>
                <w:szCs w:val="14"/>
              </w:rPr>
              <w:t>4.25%</w:t>
            </w:r>
          </w:p>
        </w:tc>
        <w:tc>
          <w:tcPr>
            <w:tcW w:w="708" w:type="dxa"/>
            <w:vAlign w:val="center"/>
          </w:tcPr>
          <w:p w14:paraId="09216329" w14:textId="77777777" w:rsidR="00586800" w:rsidRPr="00586800" w:rsidRDefault="00586800" w:rsidP="00586800">
            <w:pPr>
              <w:keepNext/>
              <w:keepLines/>
              <w:tabs>
                <w:tab w:val="decimal" w:pos="256"/>
              </w:tabs>
              <w:spacing w:before="60" w:after="60"/>
              <w:jc w:val="center"/>
              <w:rPr>
                <w:sz w:val="14"/>
                <w:szCs w:val="14"/>
              </w:rPr>
            </w:pPr>
            <w:r w:rsidRPr="00586800">
              <w:rPr>
                <w:sz w:val="14"/>
                <w:szCs w:val="14"/>
              </w:rPr>
              <w:t>4.22%</w:t>
            </w:r>
          </w:p>
        </w:tc>
        <w:tc>
          <w:tcPr>
            <w:tcW w:w="709" w:type="dxa"/>
            <w:vAlign w:val="center"/>
          </w:tcPr>
          <w:p w14:paraId="60E5C062" w14:textId="77777777" w:rsidR="00586800" w:rsidRPr="00586800" w:rsidRDefault="00586800" w:rsidP="00586800">
            <w:pPr>
              <w:keepNext/>
              <w:keepLines/>
              <w:tabs>
                <w:tab w:val="decimal" w:pos="256"/>
              </w:tabs>
              <w:spacing w:before="60" w:after="60"/>
              <w:jc w:val="center"/>
              <w:rPr>
                <w:sz w:val="14"/>
                <w:szCs w:val="14"/>
              </w:rPr>
            </w:pPr>
            <w:r w:rsidRPr="00586800">
              <w:rPr>
                <w:sz w:val="14"/>
                <w:szCs w:val="14"/>
              </w:rPr>
              <w:t>4.03%</w:t>
            </w:r>
          </w:p>
        </w:tc>
        <w:tc>
          <w:tcPr>
            <w:tcW w:w="567" w:type="dxa"/>
            <w:vAlign w:val="center"/>
          </w:tcPr>
          <w:p w14:paraId="69125B0C" w14:textId="77777777" w:rsidR="00586800" w:rsidRPr="00586800" w:rsidRDefault="00586800" w:rsidP="00586800">
            <w:pPr>
              <w:keepNext/>
              <w:keepLines/>
              <w:tabs>
                <w:tab w:val="decimal" w:pos="256"/>
              </w:tabs>
              <w:spacing w:before="60" w:after="60"/>
              <w:jc w:val="center"/>
              <w:rPr>
                <w:sz w:val="14"/>
                <w:szCs w:val="14"/>
              </w:rPr>
            </w:pPr>
            <w:r w:rsidRPr="00586800">
              <w:rPr>
                <w:sz w:val="14"/>
                <w:szCs w:val="14"/>
              </w:rPr>
              <w:t>3.86%</w:t>
            </w:r>
          </w:p>
        </w:tc>
        <w:tc>
          <w:tcPr>
            <w:tcW w:w="567" w:type="dxa"/>
            <w:vAlign w:val="center"/>
          </w:tcPr>
          <w:p w14:paraId="003BC756" w14:textId="77777777" w:rsidR="00586800" w:rsidRPr="00586800" w:rsidRDefault="00586800" w:rsidP="00586800">
            <w:pPr>
              <w:keepNext/>
              <w:keepLines/>
              <w:tabs>
                <w:tab w:val="decimal" w:pos="256"/>
              </w:tabs>
              <w:spacing w:before="60" w:after="60"/>
              <w:jc w:val="center"/>
              <w:rPr>
                <w:sz w:val="14"/>
                <w:szCs w:val="14"/>
              </w:rPr>
            </w:pPr>
            <w:r w:rsidRPr="00586800">
              <w:rPr>
                <w:sz w:val="14"/>
                <w:szCs w:val="14"/>
              </w:rPr>
              <w:t>3.73%</w:t>
            </w:r>
          </w:p>
        </w:tc>
        <w:tc>
          <w:tcPr>
            <w:tcW w:w="1134" w:type="dxa"/>
            <w:vAlign w:val="center"/>
          </w:tcPr>
          <w:p w14:paraId="105AD7E8" w14:textId="77777777" w:rsidR="00586800" w:rsidRPr="00586800" w:rsidRDefault="00586800" w:rsidP="00586800">
            <w:pPr>
              <w:keepNext/>
              <w:keepLines/>
              <w:tabs>
                <w:tab w:val="decimal" w:pos="256"/>
              </w:tabs>
              <w:spacing w:before="60" w:after="60"/>
              <w:jc w:val="center"/>
              <w:rPr>
                <w:sz w:val="14"/>
                <w:szCs w:val="14"/>
              </w:rPr>
            </w:pPr>
            <w:r w:rsidRPr="00586800">
              <w:rPr>
                <w:sz w:val="14"/>
                <w:szCs w:val="14"/>
              </w:rPr>
              <w:t>3.49%</w:t>
            </w:r>
          </w:p>
        </w:tc>
        <w:tc>
          <w:tcPr>
            <w:tcW w:w="851" w:type="dxa"/>
            <w:vAlign w:val="center"/>
          </w:tcPr>
          <w:p w14:paraId="08199276" w14:textId="77777777" w:rsidR="00586800" w:rsidRPr="00586800" w:rsidRDefault="00586800" w:rsidP="00586800">
            <w:pPr>
              <w:keepNext/>
              <w:keepLines/>
              <w:tabs>
                <w:tab w:val="decimal" w:pos="256"/>
              </w:tabs>
              <w:spacing w:before="60" w:after="60"/>
              <w:jc w:val="center"/>
              <w:rPr>
                <w:sz w:val="14"/>
                <w:szCs w:val="14"/>
              </w:rPr>
            </w:pPr>
            <w:r w:rsidRPr="00586800">
              <w:rPr>
                <w:sz w:val="14"/>
                <w:szCs w:val="14"/>
              </w:rPr>
              <w:t>4.25%</w:t>
            </w:r>
          </w:p>
        </w:tc>
        <w:tc>
          <w:tcPr>
            <w:tcW w:w="1134" w:type="dxa"/>
            <w:vAlign w:val="center"/>
          </w:tcPr>
          <w:p w14:paraId="58147D08" w14:textId="77777777" w:rsidR="00586800" w:rsidRPr="00586800" w:rsidRDefault="00586800" w:rsidP="00586800">
            <w:pPr>
              <w:keepNext/>
              <w:keepLines/>
              <w:tabs>
                <w:tab w:val="decimal" w:pos="256"/>
              </w:tabs>
              <w:spacing w:before="60" w:after="60"/>
              <w:jc w:val="center"/>
              <w:rPr>
                <w:sz w:val="14"/>
                <w:szCs w:val="14"/>
              </w:rPr>
            </w:pPr>
            <w:r w:rsidRPr="00586800">
              <w:rPr>
                <w:sz w:val="14"/>
                <w:szCs w:val="14"/>
              </w:rPr>
              <w:t>3.10%</w:t>
            </w:r>
          </w:p>
        </w:tc>
        <w:tc>
          <w:tcPr>
            <w:tcW w:w="921" w:type="dxa"/>
            <w:vAlign w:val="center"/>
          </w:tcPr>
          <w:p w14:paraId="250D88D6" w14:textId="77777777" w:rsidR="00586800" w:rsidRPr="00586800" w:rsidRDefault="00586800" w:rsidP="00586800">
            <w:pPr>
              <w:keepNext/>
              <w:keepLines/>
              <w:tabs>
                <w:tab w:val="decimal" w:pos="256"/>
              </w:tabs>
              <w:spacing w:before="60" w:after="60"/>
              <w:jc w:val="center"/>
              <w:rPr>
                <w:sz w:val="14"/>
                <w:szCs w:val="14"/>
              </w:rPr>
            </w:pPr>
            <w:r w:rsidRPr="00586800">
              <w:rPr>
                <w:sz w:val="14"/>
                <w:szCs w:val="14"/>
              </w:rPr>
              <w:t>2.51%</w:t>
            </w:r>
          </w:p>
        </w:tc>
      </w:tr>
    </w:tbl>
    <w:p w14:paraId="5978C076" w14:textId="599A011F" w:rsidR="00A303F4" w:rsidRPr="00A303F4" w:rsidRDefault="00A303F4" w:rsidP="00075D72">
      <w:pPr>
        <w:pStyle w:val="NumberedParagraph"/>
        <w:numPr>
          <w:ilvl w:val="1"/>
          <w:numId w:val="64"/>
        </w:numPr>
      </w:pPr>
      <w:r w:rsidRPr="00A303F4">
        <w:t>We draw attention to the following points illustrated by table 4.</w:t>
      </w:r>
      <w:r w:rsidR="5D51C5C4">
        <w:t>3</w:t>
      </w:r>
      <w:r w:rsidRPr="00A303F4">
        <w:t>:</w:t>
      </w:r>
    </w:p>
    <w:p w14:paraId="24684922" w14:textId="77777777" w:rsidR="00A303F4" w:rsidRPr="00A303F4" w:rsidRDefault="00A303F4" w:rsidP="00075D72">
      <w:pPr>
        <w:pStyle w:val="NumberedParagraph-BulletL1"/>
        <w:numPr>
          <w:ilvl w:val="2"/>
          <w:numId w:val="64"/>
        </w:numPr>
      </w:pPr>
      <w:r w:rsidRPr="00A303F4">
        <w:t>By comparing the third and fourth rows, we see that AIL pushes up costs of capital but only by very small amounts for domestic companies with marginal foreign shareholders that are not foreign controlled.</w:t>
      </w:r>
    </w:p>
    <w:p w14:paraId="4FCA6236" w14:textId="77777777" w:rsidR="00A303F4" w:rsidRPr="00A303F4" w:rsidRDefault="00A303F4" w:rsidP="00075D72">
      <w:pPr>
        <w:pStyle w:val="NumberedParagraph-BulletL1"/>
        <w:numPr>
          <w:ilvl w:val="2"/>
          <w:numId w:val="64"/>
        </w:numPr>
      </w:pPr>
      <w:r w:rsidRPr="00A303F4">
        <w:t xml:space="preserve">By comparing the fourth and fifth rows, we see that the combination of AIL and NRWT has an even smaller effect on pushing up costs of capital </w:t>
      </w:r>
      <w:r w:rsidRPr="00A303F4">
        <w:lastRenderedPageBreak/>
        <w:t>for foreign-controlled companies that can claim credits for NRWT. Unlike AIL, NRWT is not increasing the cost of capital for these companies.</w:t>
      </w:r>
    </w:p>
    <w:p w14:paraId="222688B0" w14:textId="77777777" w:rsidR="00A303F4" w:rsidRPr="00A303F4" w:rsidRDefault="00A303F4" w:rsidP="00075D72">
      <w:pPr>
        <w:pStyle w:val="NumberedParagraph-BulletL1"/>
        <w:numPr>
          <w:ilvl w:val="2"/>
          <w:numId w:val="64"/>
        </w:numPr>
      </w:pPr>
      <w:r w:rsidRPr="00A303F4">
        <w:t>By comparing the fourth and sixth rows, we see that the combination of AIL and NRWT has a bigger effect on costs of capital for foreign-controlled companies that cannot make use of credits for NRWT.</w:t>
      </w:r>
    </w:p>
    <w:p w14:paraId="7ED07ABD" w14:textId="7C2DDF26" w:rsidR="001B3AE0" w:rsidRPr="0055182B" w:rsidRDefault="00A303F4" w:rsidP="00075D72">
      <w:pPr>
        <w:pStyle w:val="NumberedParagraph-BulletL1"/>
      </w:pPr>
      <w:r w:rsidRPr="00A303F4">
        <w:t>Differences in costs of capital going down the rows seem small relative to differences in costs of capital going across the rows. This suggests that tax biases between these different types of company are likely to be small relative to tax biases between different types of asset.</w:t>
      </w:r>
    </w:p>
    <w:p w14:paraId="1F019D86" w14:textId="77777777" w:rsidR="001B3AE0" w:rsidRPr="0055182B" w:rsidRDefault="001B3AE0" w:rsidP="001B3AE0">
      <w:pPr>
        <w:pStyle w:val="Heading2"/>
        <w:rPr>
          <w:rFonts w:eastAsia="Calibri"/>
          <w:lang w:eastAsia="en-US"/>
        </w:rPr>
      </w:pPr>
      <w:bookmarkStart w:id="27" w:name="_Toc96585530"/>
      <w:r w:rsidRPr="0055182B">
        <w:rPr>
          <w:rFonts w:eastAsia="Calibri"/>
          <w:lang w:eastAsia="en-US"/>
        </w:rPr>
        <w:t>SMEs where there may be little or no shareholding by non-residents</w:t>
      </w:r>
      <w:bookmarkEnd w:id="27"/>
    </w:p>
    <w:p w14:paraId="3AA29776" w14:textId="225474BC" w:rsidR="004A1B29" w:rsidRDefault="00A75EFB" w:rsidP="00A51887">
      <w:pPr>
        <w:pStyle w:val="NumberedParagraph"/>
      </w:pPr>
      <w:r>
        <w:t xml:space="preserve">Appendix 2 of </w:t>
      </w:r>
      <w:r w:rsidR="0079443F">
        <w:t xml:space="preserve">the </w:t>
      </w:r>
      <w:r w:rsidR="007E3080">
        <w:rPr>
          <w:i/>
          <w:iCs/>
        </w:rPr>
        <w:t>T</w:t>
      </w:r>
      <w:r w:rsidR="0079443F" w:rsidRPr="00075D72">
        <w:rPr>
          <w:i/>
          <w:iCs/>
        </w:rPr>
        <w:t>echnical appendices</w:t>
      </w:r>
      <w:r w:rsidR="0079443F">
        <w:t xml:space="preserve"> also considers the possibility of an SME where non-residents are not marginal shareholders. Instead</w:t>
      </w:r>
      <w:r w:rsidR="00B67ADF">
        <w:t>,</w:t>
      </w:r>
      <w:r w:rsidR="0079443F">
        <w:t xml:space="preserve"> the firm is owned by </w:t>
      </w:r>
      <w:r w:rsidR="00CE6C78">
        <w:t xml:space="preserve">residents who can borrow or lend at a given real interest rate. </w:t>
      </w:r>
      <w:r w:rsidR="00667DD2">
        <w:t>In appendix 2 we consider t</w:t>
      </w:r>
      <w:r w:rsidR="002F593E">
        <w:t>wo sub-variants</w:t>
      </w:r>
      <w:r w:rsidR="00667DD2">
        <w:t>. In the first, it is assumed that taxable profits are fully distributed to domestic residents.</w:t>
      </w:r>
      <w:r w:rsidR="002F593E">
        <w:t xml:space="preserve"> </w:t>
      </w:r>
      <w:r w:rsidR="004A1B29">
        <w:t>In the second, it is assumed that profits are retained in the company.</w:t>
      </w:r>
    </w:p>
    <w:p w14:paraId="2915FC7D" w14:textId="77777777" w:rsidR="00BD4543" w:rsidRDefault="004A1B29" w:rsidP="00075D72">
      <w:pPr>
        <w:pStyle w:val="NumberedParagraph"/>
      </w:pPr>
      <w:r>
        <w:t>Here we repor</w:t>
      </w:r>
      <w:r w:rsidR="005726CB">
        <w:t>t only the results for the full distribution case. It is assumed that</w:t>
      </w:r>
      <w:r w:rsidR="00DE76F2">
        <w:t xml:space="preserve"> domestic residents are taxed at</w:t>
      </w:r>
      <w:r w:rsidR="00F85376">
        <w:t xml:space="preserve"> a marginal tax rate of 33%, that the world real interest rate is </w:t>
      </w:r>
      <w:r w:rsidR="00436B7E">
        <w:t xml:space="preserve">either </w:t>
      </w:r>
      <w:r w:rsidR="00F85376">
        <w:t xml:space="preserve">3% </w:t>
      </w:r>
      <w:r w:rsidR="00436B7E">
        <w:t xml:space="preserve">or 5% </w:t>
      </w:r>
      <w:r w:rsidR="00F85376">
        <w:t>an</w:t>
      </w:r>
      <w:r w:rsidR="00AE2D1E">
        <w:t>d that there is 2% inflation. AIL pushes up the domestic real interest rate to 3.1</w:t>
      </w:r>
      <w:r w:rsidR="00C337D9">
        <w:t>0</w:t>
      </w:r>
      <w:r w:rsidR="004607F3">
        <w:t>%</w:t>
      </w:r>
      <w:r w:rsidR="00C337D9">
        <w:t xml:space="preserve"> or 5.14% respectively.</w:t>
      </w:r>
    </w:p>
    <w:p w14:paraId="7CD3C46D" w14:textId="6C7AAF4C" w:rsidR="001B3AE0" w:rsidRPr="0055182B" w:rsidRDefault="001B3AE0" w:rsidP="00075D72">
      <w:pPr>
        <w:pStyle w:val="NumberedParagraph"/>
      </w:pPr>
      <w:r w:rsidRPr="0055182B">
        <w:t>Table 4.</w:t>
      </w:r>
      <w:r w:rsidR="001605FA">
        <w:t>4</w:t>
      </w:r>
      <w:r w:rsidRPr="0055182B">
        <w:t xml:space="preserve"> provides estimates </w:t>
      </w:r>
      <w:r w:rsidR="001605FA">
        <w:t>of costs of capital and EMTRs</w:t>
      </w:r>
      <w:r w:rsidRPr="0055182B">
        <w:t>.</w:t>
      </w:r>
    </w:p>
    <w:p w14:paraId="63237784" w14:textId="3A07A9A6" w:rsidR="001B3AE0" w:rsidRPr="0055182B" w:rsidRDefault="001B3AE0" w:rsidP="003B6F2B">
      <w:pPr>
        <w:pStyle w:val="Caption"/>
        <w:keepLines/>
        <w:ind w:left="-426" w:right="-426"/>
        <w:rPr>
          <w:rFonts w:eastAsia="Calibri"/>
          <w:lang w:eastAsia="en-US"/>
        </w:rPr>
      </w:pPr>
      <w:r w:rsidRPr="0055182B">
        <w:rPr>
          <w:rFonts w:eastAsia="Calibri"/>
          <w:lang w:eastAsia="en-US"/>
        </w:rPr>
        <w:t>Table 4.</w:t>
      </w:r>
      <w:r w:rsidR="00E853EF">
        <w:rPr>
          <w:rFonts w:eastAsia="Calibri"/>
          <w:lang w:eastAsia="en-US"/>
        </w:rPr>
        <w:t>4</w:t>
      </w:r>
      <w:r>
        <w:rPr>
          <w:rFonts w:eastAsia="Calibri"/>
          <w:lang w:eastAsia="en-US"/>
        </w:rPr>
        <w:t xml:space="preserve">: </w:t>
      </w:r>
      <w:r w:rsidRPr="0055182B">
        <w:rPr>
          <w:rFonts w:eastAsia="Calibri"/>
          <w:lang w:eastAsia="en-US"/>
        </w:rPr>
        <w:t>Costs of capital and EMTRs for domestic SMEs - full distribution</w:t>
      </w:r>
      <w:r>
        <w:rPr>
          <w:rFonts w:eastAsia="Calibri"/>
          <w:lang w:eastAsia="en-US"/>
        </w:rPr>
        <w:t xml:space="preserve"> </w:t>
      </w:r>
      <w:r w:rsidR="00D86886">
        <w:rPr>
          <w:rFonts w:eastAsia="Calibri"/>
          <w:lang w:eastAsia="en-US"/>
        </w:rPr>
        <w:br/>
      </w:r>
      <w:r w:rsidRPr="0055182B">
        <w:rPr>
          <w:rFonts w:eastAsia="Calibri"/>
          <w:lang w:eastAsia="en-US"/>
        </w:rPr>
        <w:t>m = 33%, inflation = 2.0%</w:t>
      </w:r>
      <w:r w:rsidR="007D7E50">
        <w:rPr>
          <w:rFonts w:eastAsia="Calibri"/>
          <w:lang w:eastAsia="en-US"/>
        </w:rPr>
        <w:t>, AIL = 2%</w:t>
      </w:r>
    </w:p>
    <w:tbl>
      <w:tblPr>
        <w:tblStyle w:val="TableGrid"/>
        <w:tblW w:w="9781" w:type="dxa"/>
        <w:tblInd w:w="-501"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left w:w="28" w:type="dxa"/>
          <w:right w:w="28" w:type="dxa"/>
        </w:tblCellMar>
        <w:tblLook w:val="04A0" w:firstRow="1" w:lastRow="0" w:firstColumn="1" w:lastColumn="0" w:noHBand="0" w:noVBand="1"/>
      </w:tblPr>
      <w:tblGrid>
        <w:gridCol w:w="1347"/>
        <w:gridCol w:w="992"/>
        <w:gridCol w:w="737"/>
        <w:gridCol w:w="681"/>
        <w:gridCol w:w="651"/>
        <w:gridCol w:w="666"/>
        <w:gridCol w:w="667"/>
        <w:gridCol w:w="1134"/>
        <w:gridCol w:w="851"/>
        <w:gridCol w:w="1134"/>
        <w:gridCol w:w="921"/>
      </w:tblGrid>
      <w:tr w:rsidR="008F735E" w:rsidRPr="008F735E" w14:paraId="64407577" w14:textId="77777777" w:rsidTr="00841651">
        <w:trPr>
          <w:tblHeader/>
        </w:trPr>
        <w:tc>
          <w:tcPr>
            <w:tcW w:w="1347" w:type="dxa"/>
            <w:shd w:val="clear" w:color="auto" w:fill="232E36"/>
          </w:tcPr>
          <w:p w14:paraId="2BB70EB8" w14:textId="77777777" w:rsidR="008F735E" w:rsidRPr="008F735E" w:rsidRDefault="008F735E" w:rsidP="00B3483A">
            <w:pPr>
              <w:keepNext/>
              <w:keepLines/>
              <w:spacing w:before="120" w:after="120"/>
              <w:jc w:val="left"/>
              <w:rPr>
                <w:color w:val="FFFFFF" w:themeColor="background1"/>
                <w:sz w:val="14"/>
                <w:szCs w:val="14"/>
              </w:rPr>
            </w:pPr>
            <w:bookmarkStart w:id="28" w:name="_Hlk96159489"/>
          </w:p>
        </w:tc>
        <w:tc>
          <w:tcPr>
            <w:tcW w:w="992" w:type="dxa"/>
            <w:shd w:val="clear" w:color="auto" w:fill="232E36"/>
          </w:tcPr>
          <w:p w14:paraId="28BC7FD6" w14:textId="77777777" w:rsidR="008F735E" w:rsidRPr="008F735E" w:rsidRDefault="008F735E" w:rsidP="00B3483A">
            <w:pPr>
              <w:keepNext/>
              <w:keepLines/>
              <w:spacing w:before="120" w:after="120"/>
              <w:jc w:val="center"/>
              <w:rPr>
                <w:b/>
                <w:bCs/>
                <w:color w:val="FFFFFF" w:themeColor="background1"/>
                <w:sz w:val="14"/>
                <w:szCs w:val="14"/>
              </w:rPr>
            </w:pPr>
            <w:r w:rsidRPr="008F735E">
              <w:rPr>
                <w:b/>
                <w:bCs/>
                <w:color w:val="FFFFFF" w:themeColor="background1"/>
                <w:sz w:val="14"/>
                <w:szCs w:val="14"/>
              </w:rPr>
              <w:t>Commercial and industrial buildings</w:t>
            </w:r>
          </w:p>
        </w:tc>
        <w:tc>
          <w:tcPr>
            <w:tcW w:w="3402" w:type="dxa"/>
            <w:gridSpan w:val="5"/>
            <w:shd w:val="clear" w:color="auto" w:fill="232E36"/>
          </w:tcPr>
          <w:p w14:paraId="62810A29" w14:textId="77777777" w:rsidR="008F735E" w:rsidRPr="008F735E" w:rsidRDefault="008F735E" w:rsidP="00B3483A">
            <w:pPr>
              <w:keepNext/>
              <w:keepLines/>
              <w:spacing w:before="120" w:after="120"/>
              <w:jc w:val="center"/>
              <w:rPr>
                <w:b/>
                <w:bCs/>
                <w:color w:val="FFFFFF" w:themeColor="background1"/>
                <w:sz w:val="14"/>
                <w:szCs w:val="14"/>
              </w:rPr>
            </w:pPr>
            <w:r w:rsidRPr="008F735E">
              <w:rPr>
                <w:b/>
                <w:bCs/>
                <w:color w:val="FFFFFF" w:themeColor="background1"/>
                <w:sz w:val="14"/>
                <w:szCs w:val="14"/>
              </w:rPr>
              <w:t>Plant, machinery and equipment</w:t>
            </w:r>
          </w:p>
        </w:tc>
        <w:tc>
          <w:tcPr>
            <w:tcW w:w="1134" w:type="dxa"/>
            <w:shd w:val="clear" w:color="auto" w:fill="232E36"/>
          </w:tcPr>
          <w:p w14:paraId="0B6FA36F" w14:textId="1AEDF1E3" w:rsidR="008F735E" w:rsidRPr="008F735E" w:rsidRDefault="008F735E" w:rsidP="00B3483A">
            <w:pPr>
              <w:keepNext/>
              <w:keepLines/>
              <w:spacing w:before="120" w:after="120"/>
              <w:jc w:val="center"/>
              <w:rPr>
                <w:b/>
                <w:bCs/>
                <w:color w:val="FFFFFF" w:themeColor="background1"/>
                <w:sz w:val="14"/>
                <w:szCs w:val="14"/>
              </w:rPr>
            </w:pPr>
            <w:r w:rsidRPr="008F735E">
              <w:rPr>
                <w:b/>
                <w:bCs/>
                <w:color w:val="FFFFFF" w:themeColor="background1"/>
                <w:sz w:val="14"/>
                <w:szCs w:val="14"/>
              </w:rPr>
              <w:t>Zero</w:t>
            </w:r>
            <w:r w:rsidR="001A7F84">
              <w:rPr>
                <w:b/>
                <w:bCs/>
                <w:color w:val="FFFFFF" w:themeColor="background1"/>
                <w:sz w:val="14"/>
                <w:szCs w:val="14"/>
              </w:rPr>
              <w:t>-</w:t>
            </w:r>
            <w:r w:rsidRPr="008F735E">
              <w:rPr>
                <w:b/>
                <w:bCs/>
                <w:color w:val="FFFFFF" w:themeColor="background1"/>
                <w:sz w:val="14"/>
                <w:szCs w:val="14"/>
              </w:rPr>
              <w:t>depreciating assets</w:t>
            </w:r>
          </w:p>
        </w:tc>
        <w:tc>
          <w:tcPr>
            <w:tcW w:w="851" w:type="dxa"/>
            <w:shd w:val="clear" w:color="auto" w:fill="232E36"/>
          </w:tcPr>
          <w:p w14:paraId="54DD9950" w14:textId="77777777" w:rsidR="008F735E" w:rsidRPr="008F735E" w:rsidRDefault="008F735E" w:rsidP="00B3483A">
            <w:pPr>
              <w:keepNext/>
              <w:keepLines/>
              <w:spacing w:before="120" w:after="120"/>
              <w:jc w:val="center"/>
              <w:rPr>
                <w:b/>
                <w:bCs/>
                <w:color w:val="FFFFFF" w:themeColor="background1"/>
                <w:sz w:val="14"/>
                <w:szCs w:val="14"/>
              </w:rPr>
            </w:pPr>
            <w:r w:rsidRPr="008F735E">
              <w:rPr>
                <w:b/>
                <w:bCs/>
                <w:color w:val="FFFFFF" w:themeColor="background1"/>
                <w:sz w:val="14"/>
                <w:szCs w:val="14"/>
              </w:rPr>
              <w:t>Inventory</w:t>
            </w:r>
          </w:p>
        </w:tc>
        <w:tc>
          <w:tcPr>
            <w:tcW w:w="1134" w:type="dxa"/>
            <w:shd w:val="clear" w:color="auto" w:fill="232E36"/>
          </w:tcPr>
          <w:p w14:paraId="544F708C" w14:textId="77777777" w:rsidR="008F735E" w:rsidRPr="008F735E" w:rsidRDefault="008F735E" w:rsidP="00B3483A">
            <w:pPr>
              <w:keepNext/>
              <w:keepLines/>
              <w:spacing w:before="120" w:after="120"/>
              <w:jc w:val="center"/>
              <w:rPr>
                <w:b/>
                <w:bCs/>
                <w:color w:val="FFFFFF" w:themeColor="background1"/>
                <w:sz w:val="14"/>
                <w:szCs w:val="14"/>
              </w:rPr>
            </w:pPr>
            <w:r w:rsidRPr="008F735E">
              <w:rPr>
                <w:b/>
                <w:bCs/>
                <w:color w:val="FFFFFF" w:themeColor="background1"/>
                <w:sz w:val="14"/>
                <w:szCs w:val="14"/>
              </w:rPr>
              <w:t>Appreciating assets</w:t>
            </w:r>
          </w:p>
        </w:tc>
        <w:tc>
          <w:tcPr>
            <w:tcW w:w="921" w:type="dxa"/>
            <w:shd w:val="clear" w:color="auto" w:fill="232E36"/>
          </w:tcPr>
          <w:p w14:paraId="069D8693" w14:textId="77777777" w:rsidR="008F735E" w:rsidRPr="008F735E" w:rsidRDefault="008F735E" w:rsidP="00B3483A">
            <w:pPr>
              <w:keepNext/>
              <w:keepLines/>
              <w:spacing w:before="120" w:after="120"/>
              <w:jc w:val="center"/>
              <w:rPr>
                <w:b/>
                <w:bCs/>
                <w:color w:val="FFFFFF" w:themeColor="background1"/>
                <w:sz w:val="14"/>
                <w:szCs w:val="14"/>
              </w:rPr>
            </w:pPr>
            <w:r w:rsidRPr="008F735E">
              <w:rPr>
                <w:b/>
                <w:bCs/>
                <w:color w:val="FFFFFF" w:themeColor="background1"/>
                <w:sz w:val="14"/>
                <w:szCs w:val="14"/>
              </w:rPr>
              <w:t>Expensing</w:t>
            </w:r>
          </w:p>
        </w:tc>
      </w:tr>
      <w:tr w:rsidR="008F735E" w:rsidRPr="008F735E" w14:paraId="7C1FF820" w14:textId="77777777" w:rsidTr="00841651">
        <w:tc>
          <w:tcPr>
            <w:tcW w:w="1347" w:type="dxa"/>
            <w:shd w:val="clear" w:color="auto" w:fill="auto"/>
            <w:vAlign w:val="bottom"/>
          </w:tcPr>
          <w:p w14:paraId="17E73BB0" w14:textId="77777777" w:rsidR="008F735E" w:rsidRPr="008F735E" w:rsidRDefault="008F735E" w:rsidP="00B3483A">
            <w:pPr>
              <w:keepNext/>
              <w:keepLines/>
              <w:tabs>
                <w:tab w:val="left" w:pos="106"/>
              </w:tabs>
              <w:spacing w:before="60" w:after="60"/>
              <w:jc w:val="left"/>
              <w:rPr>
                <w:sz w:val="14"/>
                <w:szCs w:val="14"/>
              </w:rPr>
            </w:pPr>
            <w:r w:rsidRPr="008F735E">
              <w:rPr>
                <w:sz w:val="14"/>
                <w:szCs w:val="14"/>
              </w:rPr>
              <w:t>d</w:t>
            </w:r>
          </w:p>
        </w:tc>
        <w:tc>
          <w:tcPr>
            <w:tcW w:w="992" w:type="dxa"/>
            <w:vAlign w:val="center"/>
          </w:tcPr>
          <w:p w14:paraId="1CE9802B" w14:textId="77777777" w:rsidR="008F735E" w:rsidRPr="008F735E" w:rsidRDefault="008F735E" w:rsidP="00B3483A">
            <w:pPr>
              <w:keepNext/>
              <w:keepLines/>
              <w:tabs>
                <w:tab w:val="decimal" w:pos="256"/>
              </w:tabs>
              <w:spacing w:before="60" w:after="60"/>
              <w:jc w:val="center"/>
              <w:rPr>
                <w:sz w:val="14"/>
                <w:szCs w:val="14"/>
              </w:rPr>
            </w:pPr>
            <w:r w:rsidRPr="008F735E">
              <w:rPr>
                <w:sz w:val="14"/>
                <w:szCs w:val="14"/>
              </w:rPr>
              <w:t>2.69%</w:t>
            </w:r>
          </w:p>
        </w:tc>
        <w:tc>
          <w:tcPr>
            <w:tcW w:w="737" w:type="dxa"/>
            <w:vAlign w:val="center"/>
          </w:tcPr>
          <w:p w14:paraId="44E6B20F" w14:textId="77777777" w:rsidR="008F735E" w:rsidRPr="008F735E" w:rsidRDefault="008F735E" w:rsidP="00B3483A">
            <w:pPr>
              <w:keepNext/>
              <w:keepLines/>
              <w:tabs>
                <w:tab w:val="decimal" w:pos="256"/>
              </w:tabs>
              <w:spacing w:before="60" w:after="60"/>
              <w:jc w:val="center"/>
              <w:rPr>
                <w:sz w:val="14"/>
                <w:szCs w:val="14"/>
              </w:rPr>
            </w:pPr>
            <w:r w:rsidRPr="008F735E">
              <w:rPr>
                <w:sz w:val="14"/>
                <w:szCs w:val="14"/>
              </w:rPr>
              <w:t>100.00%</w:t>
            </w:r>
          </w:p>
        </w:tc>
        <w:tc>
          <w:tcPr>
            <w:tcW w:w="681" w:type="dxa"/>
            <w:vAlign w:val="center"/>
          </w:tcPr>
          <w:p w14:paraId="6149CB61" w14:textId="77777777" w:rsidR="008F735E" w:rsidRPr="008F735E" w:rsidRDefault="008F735E" w:rsidP="00B3483A">
            <w:pPr>
              <w:keepNext/>
              <w:keepLines/>
              <w:tabs>
                <w:tab w:val="decimal" w:pos="256"/>
              </w:tabs>
              <w:spacing w:before="60" w:after="60"/>
              <w:jc w:val="center"/>
              <w:rPr>
                <w:sz w:val="14"/>
                <w:szCs w:val="14"/>
              </w:rPr>
            </w:pPr>
            <w:r w:rsidRPr="008F735E">
              <w:rPr>
                <w:sz w:val="14"/>
                <w:szCs w:val="14"/>
              </w:rPr>
              <w:t>50.00%</w:t>
            </w:r>
          </w:p>
        </w:tc>
        <w:tc>
          <w:tcPr>
            <w:tcW w:w="651" w:type="dxa"/>
            <w:vAlign w:val="center"/>
          </w:tcPr>
          <w:p w14:paraId="670C3196" w14:textId="77777777" w:rsidR="008F735E" w:rsidRPr="008F735E" w:rsidRDefault="008F735E" w:rsidP="00B3483A">
            <w:pPr>
              <w:keepNext/>
              <w:keepLines/>
              <w:tabs>
                <w:tab w:val="decimal" w:pos="256"/>
              </w:tabs>
              <w:spacing w:before="60" w:after="60"/>
              <w:jc w:val="center"/>
              <w:rPr>
                <w:sz w:val="14"/>
                <w:szCs w:val="14"/>
              </w:rPr>
            </w:pPr>
            <w:r w:rsidRPr="008F735E">
              <w:rPr>
                <w:sz w:val="14"/>
                <w:szCs w:val="14"/>
              </w:rPr>
              <w:t>10.00%</w:t>
            </w:r>
          </w:p>
        </w:tc>
        <w:tc>
          <w:tcPr>
            <w:tcW w:w="666" w:type="dxa"/>
            <w:vAlign w:val="center"/>
          </w:tcPr>
          <w:p w14:paraId="59D7302A" w14:textId="77777777" w:rsidR="008F735E" w:rsidRPr="008F735E" w:rsidRDefault="008F735E" w:rsidP="00B3483A">
            <w:pPr>
              <w:keepNext/>
              <w:keepLines/>
              <w:tabs>
                <w:tab w:val="decimal" w:pos="256"/>
              </w:tabs>
              <w:spacing w:before="60" w:after="60"/>
              <w:jc w:val="center"/>
              <w:rPr>
                <w:sz w:val="14"/>
                <w:szCs w:val="14"/>
              </w:rPr>
            </w:pPr>
            <w:r w:rsidRPr="008F735E">
              <w:rPr>
                <w:sz w:val="14"/>
                <w:szCs w:val="14"/>
              </w:rPr>
              <w:t>4.00%</w:t>
            </w:r>
          </w:p>
        </w:tc>
        <w:tc>
          <w:tcPr>
            <w:tcW w:w="667" w:type="dxa"/>
            <w:vAlign w:val="center"/>
          </w:tcPr>
          <w:p w14:paraId="2F5FB1F2" w14:textId="77777777" w:rsidR="008F735E" w:rsidRPr="008F735E" w:rsidRDefault="008F735E" w:rsidP="00B3483A">
            <w:pPr>
              <w:keepNext/>
              <w:keepLines/>
              <w:tabs>
                <w:tab w:val="decimal" w:pos="256"/>
              </w:tabs>
              <w:spacing w:before="60" w:after="60"/>
              <w:jc w:val="center"/>
              <w:rPr>
                <w:sz w:val="14"/>
                <w:szCs w:val="14"/>
              </w:rPr>
            </w:pPr>
            <w:r w:rsidRPr="008F735E">
              <w:rPr>
                <w:sz w:val="14"/>
                <w:szCs w:val="14"/>
              </w:rPr>
              <w:t>2.00%</w:t>
            </w:r>
          </w:p>
        </w:tc>
        <w:tc>
          <w:tcPr>
            <w:tcW w:w="1134" w:type="dxa"/>
            <w:vAlign w:val="center"/>
          </w:tcPr>
          <w:p w14:paraId="053A5FF8" w14:textId="77777777" w:rsidR="008F735E" w:rsidRPr="008F735E" w:rsidRDefault="008F735E" w:rsidP="00B3483A">
            <w:pPr>
              <w:keepNext/>
              <w:keepLines/>
              <w:tabs>
                <w:tab w:val="decimal" w:pos="256"/>
              </w:tabs>
              <w:spacing w:before="60" w:after="60"/>
              <w:jc w:val="center"/>
              <w:rPr>
                <w:sz w:val="14"/>
                <w:szCs w:val="14"/>
              </w:rPr>
            </w:pPr>
            <w:r w:rsidRPr="008F735E">
              <w:rPr>
                <w:sz w:val="14"/>
                <w:szCs w:val="14"/>
              </w:rPr>
              <w:t>0.00%</w:t>
            </w:r>
          </w:p>
        </w:tc>
        <w:tc>
          <w:tcPr>
            <w:tcW w:w="851" w:type="dxa"/>
            <w:vAlign w:val="center"/>
          </w:tcPr>
          <w:p w14:paraId="2B805269" w14:textId="77777777" w:rsidR="008F735E" w:rsidRPr="008F735E" w:rsidRDefault="008F735E" w:rsidP="00B3483A">
            <w:pPr>
              <w:keepNext/>
              <w:keepLines/>
              <w:tabs>
                <w:tab w:val="decimal" w:pos="256"/>
              </w:tabs>
              <w:spacing w:before="60" w:after="60"/>
              <w:jc w:val="center"/>
              <w:rPr>
                <w:sz w:val="14"/>
                <w:szCs w:val="14"/>
              </w:rPr>
            </w:pPr>
          </w:p>
        </w:tc>
        <w:tc>
          <w:tcPr>
            <w:tcW w:w="1134" w:type="dxa"/>
            <w:vAlign w:val="center"/>
          </w:tcPr>
          <w:p w14:paraId="74E64B27" w14:textId="77777777" w:rsidR="008F735E" w:rsidRPr="008F735E" w:rsidRDefault="008F735E" w:rsidP="00B3483A">
            <w:pPr>
              <w:keepNext/>
              <w:keepLines/>
              <w:tabs>
                <w:tab w:val="decimal" w:pos="256"/>
              </w:tabs>
              <w:spacing w:before="60" w:after="60"/>
              <w:jc w:val="center"/>
              <w:rPr>
                <w:sz w:val="14"/>
                <w:szCs w:val="14"/>
              </w:rPr>
            </w:pPr>
            <w:r w:rsidRPr="008F735E">
              <w:rPr>
                <w:sz w:val="14"/>
                <w:szCs w:val="14"/>
              </w:rPr>
              <w:t>-1.00%</w:t>
            </w:r>
          </w:p>
        </w:tc>
        <w:tc>
          <w:tcPr>
            <w:tcW w:w="921" w:type="dxa"/>
            <w:vAlign w:val="center"/>
          </w:tcPr>
          <w:p w14:paraId="41DDFC2C" w14:textId="77777777" w:rsidR="008F735E" w:rsidRPr="008F735E" w:rsidRDefault="008F735E" w:rsidP="00B3483A">
            <w:pPr>
              <w:keepNext/>
              <w:keepLines/>
              <w:tabs>
                <w:tab w:val="decimal" w:pos="256"/>
              </w:tabs>
              <w:spacing w:before="60" w:after="60"/>
              <w:jc w:val="center"/>
              <w:rPr>
                <w:sz w:val="14"/>
                <w:szCs w:val="14"/>
              </w:rPr>
            </w:pPr>
          </w:p>
        </w:tc>
      </w:tr>
      <w:tr w:rsidR="008F735E" w:rsidRPr="008F735E" w14:paraId="79FBFFC4" w14:textId="77777777" w:rsidTr="00841651">
        <w:tc>
          <w:tcPr>
            <w:tcW w:w="1347" w:type="dxa"/>
            <w:shd w:val="clear" w:color="auto" w:fill="auto"/>
            <w:vAlign w:val="bottom"/>
          </w:tcPr>
          <w:p w14:paraId="717EE326" w14:textId="77777777" w:rsidR="008F735E" w:rsidRPr="008F735E" w:rsidRDefault="008F735E" w:rsidP="00B3483A">
            <w:pPr>
              <w:keepNext/>
              <w:keepLines/>
              <w:tabs>
                <w:tab w:val="left" w:pos="106"/>
              </w:tabs>
              <w:spacing w:before="60" w:after="60"/>
              <w:jc w:val="left"/>
              <w:rPr>
                <w:sz w:val="14"/>
                <w:szCs w:val="14"/>
              </w:rPr>
            </w:pPr>
            <w:r w:rsidRPr="008F735E">
              <w:rPr>
                <w:sz w:val="14"/>
                <w:szCs w:val="14"/>
              </w:rPr>
              <w:t>d*</w:t>
            </w:r>
          </w:p>
        </w:tc>
        <w:tc>
          <w:tcPr>
            <w:tcW w:w="992" w:type="dxa"/>
            <w:vAlign w:val="center"/>
          </w:tcPr>
          <w:p w14:paraId="2BDD2F01" w14:textId="77777777" w:rsidR="008F735E" w:rsidRPr="008F735E" w:rsidRDefault="008F735E" w:rsidP="00B3483A">
            <w:pPr>
              <w:keepNext/>
              <w:keepLines/>
              <w:tabs>
                <w:tab w:val="decimal" w:pos="256"/>
              </w:tabs>
              <w:spacing w:before="60" w:after="60"/>
              <w:jc w:val="center"/>
              <w:rPr>
                <w:sz w:val="14"/>
                <w:szCs w:val="14"/>
              </w:rPr>
            </w:pPr>
            <w:r w:rsidRPr="008F735E">
              <w:rPr>
                <w:sz w:val="14"/>
                <w:szCs w:val="14"/>
              </w:rPr>
              <w:t>2.00%</w:t>
            </w:r>
          </w:p>
        </w:tc>
        <w:tc>
          <w:tcPr>
            <w:tcW w:w="737" w:type="dxa"/>
            <w:vAlign w:val="center"/>
          </w:tcPr>
          <w:p w14:paraId="5F60F920" w14:textId="77777777" w:rsidR="008F735E" w:rsidRPr="008F735E" w:rsidRDefault="008F735E" w:rsidP="00B3483A">
            <w:pPr>
              <w:keepNext/>
              <w:keepLines/>
              <w:tabs>
                <w:tab w:val="decimal" w:pos="256"/>
              </w:tabs>
              <w:spacing w:before="60" w:after="60"/>
              <w:jc w:val="center"/>
              <w:rPr>
                <w:sz w:val="14"/>
                <w:szCs w:val="14"/>
              </w:rPr>
            </w:pPr>
            <w:r w:rsidRPr="008F735E">
              <w:rPr>
                <w:sz w:val="14"/>
                <w:szCs w:val="14"/>
              </w:rPr>
              <w:t>100.00%</w:t>
            </w:r>
          </w:p>
        </w:tc>
        <w:tc>
          <w:tcPr>
            <w:tcW w:w="681" w:type="dxa"/>
            <w:vAlign w:val="center"/>
          </w:tcPr>
          <w:p w14:paraId="26423092" w14:textId="77777777" w:rsidR="008F735E" w:rsidRPr="008F735E" w:rsidRDefault="008F735E" w:rsidP="00B3483A">
            <w:pPr>
              <w:keepNext/>
              <w:keepLines/>
              <w:tabs>
                <w:tab w:val="decimal" w:pos="256"/>
              </w:tabs>
              <w:spacing w:before="60" w:after="60"/>
              <w:jc w:val="center"/>
              <w:rPr>
                <w:sz w:val="14"/>
                <w:szCs w:val="14"/>
              </w:rPr>
            </w:pPr>
            <w:r w:rsidRPr="008F735E">
              <w:rPr>
                <w:sz w:val="14"/>
                <w:szCs w:val="14"/>
              </w:rPr>
              <w:t>50.00%</w:t>
            </w:r>
          </w:p>
        </w:tc>
        <w:tc>
          <w:tcPr>
            <w:tcW w:w="651" w:type="dxa"/>
            <w:vAlign w:val="center"/>
          </w:tcPr>
          <w:p w14:paraId="544E12C0" w14:textId="77777777" w:rsidR="008F735E" w:rsidRPr="008F735E" w:rsidRDefault="008F735E" w:rsidP="00B3483A">
            <w:pPr>
              <w:keepNext/>
              <w:keepLines/>
              <w:tabs>
                <w:tab w:val="decimal" w:pos="256"/>
              </w:tabs>
              <w:spacing w:before="60" w:after="60"/>
              <w:jc w:val="center"/>
              <w:rPr>
                <w:sz w:val="14"/>
                <w:szCs w:val="14"/>
              </w:rPr>
            </w:pPr>
            <w:r w:rsidRPr="008F735E">
              <w:rPr>
                <w:sz w:val="14"/>
                <w:szCs w:val="14"/>
              </w:rPr>
              <w:t>10.00%</w:t>
            </w:r>
          </w:p>
        </w:tc>
        <w:tc>
          <w:tcPr>
            <w:tcW w:w="666" w:type="dxa"/>
            <w:vAlign w:val="center"/>
          </w:tcPr>
          <w:p w14:paraId="5232350D" w14:textId="77777777" w:rsidR="008F735E" w:rsidRPr="008F735E" w:rsidRDefault="008F735E" w:rsidP="00B3483A">
            <w:pPr>
              <w:keepNext/>
              <w:keepLines/>
              <w:tabs>
                <w:tab w:val="decimal" w:pos="256"/>
              </w:tabs>
              <w:spacing w:before="60" w:after="60"/>
              <w:jc w:val="center"/>
              <w:rPr>
                <w:sz w:val="14"/>
                <w:szCs w:val="14"/>
              </w:rPr>
            </w:pPr>
            <w:r w:rsidRPr="008F735E">
              <w:rPr>
                <w:sz w:val="14"/>
                <w:szCs w:val="14"/>
              </w:rPr>
              <w:t>4.00%</w:t>
            </w:r>
          </w:p>
        </w:tc>
        <w:tc>
          <w:tcPr>
            <w:tcW w:w="667" w:type="dxa"/>
            <w:vAlign w:val="center"/>
          </w:tcPr>
          <w:p w14:paraId="6B2A23BD" w14:textId="77777777" w:rsidR="008F735E" w:rsidRPr="008F735E" w:rsidRDefault="008F735E" w:rsidP="00B3483A">
            <w:pPr>
              <w:keepNext/>
              <w:keepLines/>
              <w:tabs>
                <w:tab w:val="decimal" w:pos="256"/>
              </w:tabs>
              <w:spacing w:before="60" w:after="60"/>
              <w:jc w:val="center"/>
              <w:rPr>
                <w:sz w:val="14"/>
                <w:szCs w:val="14"/>
              </w:rPr>
            </w:pPr>
            <w:r w:rsidRPr="008F735E">
              <w:rPr>
                <w:sz w:val="14"/>
                <w:szCs w:val="14"/>
              </w:rPr>
              <w:t>2.00%</w:t>
            </w:r>
          </w:p>
        </w:tc>
        <w:tc>
          <w:tcPr>
            <w:tcW w:w="1134" w:type="dxa"/>
            <w:vAlign w:val="center"/>
          </w:tcPr>
          <w:p w14:paraId="4AA9F8B4" w14:textId="77777777" w:rsidR="008F735E" w:rsidRPr="008F735E" w:rsidRDefault="008F735E" w:rsidP="00B3483A">
            <w:pPr>
              <w:keepNext/>
              <w:keepLines/>
              <w:tabs>
                <w:tab w:val="decimal" w:pos="256"/>
              </w:tabs>
              <w:spacing w:before="60" w:after="60"/>
              <w:jc w:val="center"/>
              <w:rPr>
                <w:sz w:val="14"/>
                <w:szCs w:val="14"/>
              </w:rPr>
            </w:pPr>
            <w:r w:rsidRPr="008F735E">
              <w:rPr>
                <w:sz w:val="14"/>
                <w:szCs w:val="14"/>
              </w:rPr>
              <w:t>0.00%</w:t>
            </w:r>
          </w:p>
        </w:tc>
        <w:tc>
          <w:tcPr>
            <w:tcW w:w="851" w:type="dxa"/>
            <w:vAlign w:val="center"/>
          </w:tcPr>
          <w:p w14:paraId="75B6F2B8" w14:textId="77777777" w:rsidR="008F735E" w:rsidRPr="008F735E" w:rsidRDefault="008F735E" w:rsidP="00B3483A">
            <w:pPr>
              <w:keepNext/>
              <w:keepLines/>
              <w:tabs>
                <w:tab w:val="decimal" w:pos="256"/>
              </w:tabs>
              <w:spacing w:before="60" w:after="60"/>
              <w:jc w:val="center"/>
              <w:rPr>
                <w:sz w:val="14"/>
                <w:szCs w:val="14"/>
              </w:rPr>
            </w:pPr>
          </w:p>
        </w:tc>
        <w:tc>
          <w:tcPr>
            <w:tcW w:w="1134" w:type="dxa"/>
            <w:vAlign w:val="center"/>
          </w:tcPr>
          <w:p w14:paraId="068A7B2D" w14:textId="77777777" w:rsidR="008F735E" w:rsidRPr="008F735E" w:rsidRDefault="008F735E" w:rsidP="00B3483A">
            <w:pPr>
              <w:keepNext/>
              <w:keepLines/>
              <w:tabs>
                <w:tab w:val="decimal" w:pos="256"/>
              </w:tabs>
              <w:spacing w:before="60" w:after="60"/>
              <w:jc w:val="center"/>
              <w:rPr>
                <w:sz w:val="14"/>
                <w:szCs w:val="14"/>
              </w:rPr>
            </w:pPr>
            <w:r w:rsidRPr="008F735E">
              <w:rPr>
                <w:sz w:val="14"/>
                <w:szCs w:val="14"/>
              </w:rPr>
              <w:t>0.00%</w:t>
            </w:r>
          </w:p>
        </w:tc>
        <w:tc>
          <w:tcPr>
            <w:tcW w:w="921" w:type="dxa"/>
            <w:vAlign w:val="center"/>
          </w:tcPr>
          <w:p w14:paraId="09A42A6B" w14:textId="77777777" w:rsidR="008F735E" w:rsidRPr="008F735E" w:rsidRDefault="008F735E" w:rsidP="00B3483A">
            <w:pPr>
              <w:keepNext/>
              <w:keepLines/>
              <w:tabs>
                <w:tab w:val="decimal" w:pos="256"/>
              </w:tabs>
              <w:spacing w:before="60" w:after="60"/>
              <w:jc w:val="center"/>
              <w:rPr>
                <w:sz w:val="14"/>
                <w:szCs w:val="14"/>
              </w:rPr>
            </w:pPr>
          </w:p>
        </w:tc>
      </w:tr>
      <w:tr w:rsidR="008F735E" w:rsidRPr="008F735E" w14:paraId="486CFE18" w14:textId="77777777" w:rsidTr="00841651">
        <w:tc>
          <w:tcPr>
            <w:tcW w:w="1347" w:type="dxa"/>
            <w:shd w:val="clear" w:color="auto" w:fill="auto"/>
            <w:vAlign w:val="bottom"/>
          </w:tcPr>
          <w:p w14:paraId="53900B8C" w14:textId="77777777" w:rsidR="008F735E" w:rsidRPr="008F735E" w:rsidRDefault="008F735E" w:rsidP="00B3483A">
            <w:pPr>
              <w:keepNext/>
              <w:keepLines/>
              <w:tabs>
                <w:tab w:val="left" w:pos="106"/>
              </w:tabs>
              <w:spacing w:before="60" w:after="60"/>
              <w:jc w:val="left"/>
              <w:rPr>
                <w:b/>
                <w:bCs/>
                <w:sz w:val="14"/>
                <w:szCs w:val="14"/>
              </w:rPr>
            </w:pPr>
            <w:r w:rsidRPr="008F735E">
              <w:rPr>
                <w:b/>
                <w:bCs/>
                <w:sz w:val="14"/>
                <w:szCs w:val="14"/>
              </w:rPr>
              <w:t>Costs of capital</w:t>
            </w:r>
          </w:p>
        </w:tc>
        <w:tc>
          <w:tcPr>
            <w:tcW w:w="992" w:type="dxa"/>
            <w:vAlign w:val="center"/>
          </w:tcPr>
          <w:p w14:paraId="5817D1C0" w14:textId="77777777" w:rsidR="008F735E" w:rsidRPr="008F735E" w:rsidRDefault="008F735E" w:rsidP="00B3483A">
            <w:pPr>
              <w:keepNext/>
              <w:keepLines/>
              <w:tabs>
                <w:tab w:val="decimal" w:pos="256"/>
              </w:tabs>
              <w:spacing w:before="60" w:after="60"/>
              <w:jc w:val="center"/>
              <w:rPr>
                <w:sz w:val="14"/>
                <w:szCs w:val="14"/>
              </w:rPr>
            </w:pPr>
          </w:p>
        </w:tc>
        <w:tc>
          <w:tcPr>
            <w:tcW w:w="737" w:type="dxa"/>
            <w:vAlign w:val="center"/>
          </w:tcPr>
          <w:p w14:paraId="24D68F10" w14:textId="77777777" w:rsidR="008F735E" w:rsidRPr="008F735E" w:rsidRDefault="008F735E" w:rsidP="00B3483A">
            <w:pPr>
              <w:keepNext/>
              <w:keepLines/>
              <w:tabs>
                <w:tab w:val="decimal" w:pos="256"/>
              </w:tabs>
              <w:spacing w:before="60" w:after="60"/>
              <w:jc w:val="center"/>
              <w:rPr>
                <w:sz w:val="14"/>
                <w:szCs w:val="14"/>
              </w:rPr>
            </w:pPr>
          </w:p>
        </w:tc>
        <w:tc>
          <w:tcPr>
            <w:tcW w:w="681" w:type="dxa"/>
            <w:vAlign w:val="center"/>
          </w:tcPr>
          <w:p w14:paraId="563B2A42" w14:textId="77777777" w:rsidR="008F735E" w:rsidRPr="008F735E" w:rsidRDefault="008F735E" w:rsidP="00B3483A">
            <w:pPr>
              <w:keepNext/>
              <w:keepLines/>
              <w:tabs>
                <w:tab w:val="decimal" w:pos="256"/>
              </w:tabs>
              <w:spacing w:before="60" w:after="60"/>
              <w:jc w:val="center"/>
              <w:rPr>
                <w:sz w:val="14"/>
                <w:szCs w:val="14"/>
              </w:rPr>
            </w:pPr>
          </w:p>
        </w:tc>
        <w:tc>
          <w:tcPr>
            <w:tcW w:w="651" w:type="dxa"/>
            <w:vAlign w:val="center"/>
          </w:tcPr>
          <w:p w14:paraId="36D110D3" w14:textId="77777777" w:rsidR="008F735E" w:rsidRPr="008F735E" w:rsidRDefault="008F735E" w:rsidP="00B3483A">
            <w:pPr>
              <w:keepNext/>
              <w:keepLines/>
              <w:tabs>
                <w:tab w:val="decimal" w:pos="256"/>
              </w:tabs>
              <w:spacing w:before="60" w:after="60"/>
              <w:jc w:val="center"/>
              <w:rPr>
                <w:sz w:val="14"/>
                <w:szCs w:val="14"/>
              </w:rPr>
            </w:pPr>
          </w:p>
        </w:tc>
        <w:tc>
          <w:tcPr>
            <w:tcW w:w="666" w:type="dxa"/>
            <w:vAlign w:val="center"/>
          </w:tcPr>
          <w:p w14:paraId="0D7F493E" w14:textId="77777777" w:rsidR="008F735E" w:rsidRPr="008F735E" w:rsidRDefault="008F735E" w:rsidP="00B3483A">
            <w:pPr>
              <w:keepNext/>
              <w:keepLines/>
              <w:tabs>
                <w:tab w:val="decimal" w:pos="256"/>
              </w:tabs>
              <w:spacing w:before="60" w:after="60"/>
              <w:jc w:val="center"/>
              <w:rPr>
                <w:sz w:val="14"/>
                <w:szCs w:val="14"/>
              </w:rPr>
            </w:pPr>
          </w:p>
        </w:tc>
        <w:tc>
          <w:tcPr>
            <w:tcW w:w="667" w:type="dxa"/>
            <w:vAlign w:val="center"/>
          </w:tcPr>
          <w:p w14:paraId="67299A26" w14:textId="77777777" w:rsidR="008F735E" w:rsidRPr="008F735E" w:rsidRDefault="008F735E" w:rsidP="00B3483A">
            <w:pPr>
              <w:keepNext/>
              <w:keepLines/>
              <w:tabs>
                <w:tab w:val="decimal" w:pos="256"/>
              </w:tabs>
              <w:spacing w:before="60" w:after="60"/>
              <w:jc w:val="center"/>
              <w:rPr>
                <w:sz w:val="14"/>
                <w:szCs w:val="14"/>
              </w:rPr>
            </w:pPr>
          </w:p>
        </w:tc>
        <w:tc>
          <w:tcPr>
            <w:tcW w:w="1134" w:type="dxa"/>
            <w:vAlign w:val="center"/>
          </w:tcPr>
          <w:p w14:paraId="420BA0B6" w14:textId="77777777" w:rsidR="008F735E" w:rsidRPr="008F735E" w:rsidRDefault="008F735E" w:rsidP="00B3483A">
            <w:pPr>
              <w:keepNext/>
              <w:keepLines/>
              <w:tabs>
                <w:tab w:val="decimal" w:pos="256"/>
              </w:tabs>
              <w:spacing w:before="60" w:after="60"/>
              <w:jc w:val="center"/>
              <w:rPr>
                <w:sz w:val="14"/>
                <w:szCs w:val="14"/>
              </w:rPr>
            </w:pPr>
          </w:p>
        </w:tc>
        <w:tc>
          <w:tcPr>
            <w:tcW w:w="851" w:type="dxa"/>
            <w:vAlign w:val="center"/>
          </w:tcPr>
          <w:p w14:paraId="53213817" w14:textId="77777777" w:rsidR="008F735E" w:rsidRPr="008F735E" w:rsidRDefault="008F735E" w:rsidP="00B3483A">
            <w:pPr>
              <w:keepNext/>
              <w:keepLines/>
              <w:tabs>
                <w:tab w:val="decimal" w:pos="256"/>
              </w:tabs>
              <w:spacing w:before="60" w:after="60"/>
              <w:jc w:val="center"/>
              <w:rPr>
                <w:sz w:val="14"/>
                <w:szCs w:val="14"/>
              </w:rPr>
            </w:pPr>
          </w:p>
        </w:tc>
        <w:tc>
          <w:tcPr>
            <w:tcW w:w="1134" w:type="dxa"/>
            <w:vAlign w:val="center"/>
          </w:tcPr>
          <w:p w14:paraId="3C719941" w14:textId="77777777" w:rsidR="008F735E" w:rsidRPr="008F735E" w:rsidRDefault="008F735E" w:rsidP="00B3483A">
            <w:pPr>
              <w:keepNext/>
              <w:keepLines/>
              <w:tabs>
                <w:tab w:val="decimal" w:pos="256"/>
              </w:tabs>
              <w:spacing w:before="60" w:after="60"/>
              <w:jc w:val="center"/>
              <w:rPr>
                <w:sz w:val="14"/>
                <w:szCs w:val="14"/>
              </w:rPr>
            </w:pPr>
          </w:p>
        </w:tc>
        <w:tc>
          <w:tcPr>
            <w:tcW w:w="921" w:type="dxa"/>
            <w:vAlign w:val="center"/>
          </w:tcPr>
          <w:p w14:paraId="6D1136B7" w14:textId="77777777" w:rsidR="008F735E" w:rsidRPr="008F735E" w:rsidRDefault="008F735E" w:rsidP="00B3483A">
            <w:pPr>
              <w:keepNext/>
              <w:keepLines/>
              <w:tabs>
                <w:tab w:val="decimal" w:pos="256"/>
              </w:tabs>
              <w:spacing w:before="60" w:after="60"/>
              <w:jc w:val="center"/>
              <w:rPr>
                <w:sz w:val="14"/>
                <w:szCs w:val="14"/>
              </w:rPr>
            </w:pPr>
          </w:p>
        </w:tc>
      </w:tr>
      <w:tr w:rsidR="008F735E" w:rsidRPr="008F735E" w14:paraId="31A4A583" w14:textId="77777777" w:rsidTr="00841651">
        <w:tc>
          <w:tcPr>
            <w:tcW w:w="1347" w:type="dxa"/>
            <w:shd w:val="clear" w:color="auto" w:fill="auto"/>
            <w:vAlign w:val="bottom"/>
          </w:tcPr>
          <w:p w14:paraId="185CC30D" w14:textId="77777777" w:rsidR="008F735E" w:rsidRPr="008F735E" w:rsidRDefault="008F735E" w:rsidP="00B3483A">
            <w:pPr>
              <w:keepNext/>
              <w:keepLines/>
              <w:tabs>
                <w:tab w:val="left" w:pos="106"/>
              </w:tabs>
              <w:spacing w:before="60" w:after="60"/>
              <w:jc w:val="left"/>
              <w:rPr>
                <w:sz w:val="14"/>
                <w:szCs w:val="14"/>
              </w:rPr>
            </w:pPr>
            <w:r w:rsidRPr="008F735E">
              <w:rPr>
                <w:sz w:val="14"/>
                <w:szCs w:val="14"/>
              </w:rPr>
              <w:tab/>
              <w:t>r = 5%</w:t>
            </w:r>
          </w:p>
        </w:tc>
        <w:tc>
          <w:tcPr>
            <w:tcW w:w="992" w:type="dxa"/>
          </w:tcPr>
          <w:p w14:paraId="39B38584" w14:textId="77777777" w:rsidR="008F735E" w:rsidRPr="008F735E" w:rsidRDefault="008F735E" w:rsidP="00B3483A">
            <w:pPr>
              <w:keepNext/>
              <w:keepLines/>
              <w:tabs>
                <w:tab w:val="decimal" w:pos="256"/>
              </w:tabs>
              <w:spacing w:before="60" w:after="60"/>
              <w:jc w:val="center"/>
              <w:rPr>
                <w:sz w:val="14"/>
                <w:szCs w:val="14"/>
              </w:rPr>
            </w:pPr>
            <w:r w:rsidRPr="008F735E">
              <w:rPr>
                <w:sz w:val="14"/>
                <w:szCs w:val="14"/>
              </w:rPr>
              <w:t>4.71%</w:t>
            </w:r>
          </w:p>
        </w:tc>
        <w:tc>
          <w:tcPr>
            <w:tcW w:w="737" w:type="dxa"/>
          </w:tcPr>
          <w:p w14:paraId="3715F0D8" w14:textId="77777777" w:rsidR="008F735E" w:rsidRPr="008F735E" w:rsidRDefault="008F735E" w:rsidP="00B3483A">
            <w:pPr>
              <w:keepNext/>
              <w:keepLines/>
              <w:tabs>
                <w:tab w:val="decimal" w:pos="256"/>
              </w:tabs>
              <w:spacing w:before="60" w:after="60"/>
              <w:jc w:val="center"/>
              <w:rPr>
                <w:sz w:val="14"/>
                <w:szCs w:val="14"/>
              </w:rPr>
            </w:pPr>
            <w:r w:rsidRPr="008F735E">
              <w:rPr>
                <w:sz w:val="14"/>
                <w:szCs w:val="14"/>
              </w:rPr>
              <w:t>5.14%</w:t>
            </w:r>
          </w:p>
        </w:tc>
        <w:tc>
          <w:tcPr>
            <w:tcW w:w="681" w:type="dxa"/>
          </w:tcPr>
          <w:p w14:paraId="5FC56AC7" w14:textId="77777777" w:rsidR="008F735E" w:rsidRPr="008F735E" w:rsidRDefault="008F735E" w:rsidP="00B3483A">
            <w:pPr>
              <w:keepNext/>
              <w:keepLines/>
              <w:tabs>
                <w:tab w:val="decimal" w:pos="256"/>
              </w:tabs>
              <w:spacing w:before="60" w:after="60"/>
              <w:jc w:val="center"/>
              <w:rPr>
                <w:sz w:val="14"/>
                <w:szCs w:val="14"/>
              </w:rPr>
            </w:pPr>
            <w:r w:rsidRPr="008F735E">
              <w:rPr>
                <w:sz w:val="14"/>
                <w:szCs w:val="14"/>
              </w:rPr>
              <w:t>5.10%</w:t>
            </w:r>
          </w:p>
        </w:tc>
        <w:tc>
          <w:tcPr>
            <w:tcW w:w="651" w:type="dxa"/>
          </w:tcPr>
          <w:p w14:paraId="339E4C1B" w14:textId="77777777" w:rsidR="008F735E" w:rsidRPr="008F735E" w:rsidRDefault="008F735E" w:rsidP="00B3483A">
            <w:pPr>
              <w:keepNext/>
              <w:keepLines/>
              <w:tabs>
                <w:tab w:val="decimal" w:pos="256"/>
              </w:tabs>
              <w:spacing w:before="60" w:after="60"/>
              <w:jc w:val="center"/>
              <w:rPr>
                <w:sz w:val="14"/>
                <w:szCs w:val="14"/>
              </w:rPr>
            </w:pPr>
            <w:r w:rsidRPr="008F735E">
              <w:rPr>
                <w:sz w:val="14"/>
                <w:szCs w:val="14"/>
              </w:rPr>
              <w:t>4.86%</w:t>
            </w:r>
          </w:p>
        </w:tc>
        <w:tc>
          <w:tcPr>
            <w:tcW w:w="666" w:type="dxa"/>
          </w:tcPr>
          <w:p w14:paraId="5ADA6C4B" w14:textId="77777777" w:rsidR="008F735E" w:rsidRPr="008F735E" w:rsidRDefault="008F735E" w:rsidP="00B3483A">
            <w:pPr>
              <w:keepNext/>
              <w:keepLines/>
              <w:tabs>
                <w:tab w:val="decimal" w:pos="256"/>
              </w:tabs>
              <w:spacing w:before="60" w:after="60"/>
              <w:jc w:val="center"/>
              <w:rPr>
                <w:sz w:val="14"/>
                <w:szCs w:val="14"/>
              </w:rPr>
            </w:pPr>
            <w:r w:rsidRPr="008F735E">
              <w:rPr>
                <w:sz w:val="14"/>
                <w:szCs w:val="14"/>
              </w:rPr>
              <w:t>4.63%</w:t>
            </w:r>
          </w:p>
        </w:tc>
        <w:tc>
          <w:tcPr>
            <w:tcW w:w="667" w:type="dxa"/>
          </w:tcPr>
          <w:p w14:paraId="087953D7" w14:textId="77777777" w:rsidR="008F735E" w:rsidRPr="008F735E" w:rsidRDefault="008F735E" w:rsidP="00B3483A">
            <w:pPr>
              <w:keepNext/>
              <w:keepLines/>
              <w:tabs>
                <w:tab w:val="decimal" w:pos="256"/>
              </w:tabs>
              <w:spacing w:before="60" w:after="60"/>
              <w:jc w:val="center"/>
              <w:rPr>
                <w:sz w:val="14"/>
                <w:szCs w:val="14"/>
              </w:rPr>
            </w:pPr>
            <w:r w:rsidRPr="008F735E">
              <w:rPr>
                <w:sz w:val="14"/>
                <w:szCs w:val="14"/>
              </w:rPr>
              <w:t>4.47%</w:t>
            </w:r>
          </w:p>
        </w:tc>
        <w:tc>
          <w:tcPr>
            <w:tcW w:w="1134" w:type="dxa"/>
          </w:tcPr>
          <w:p w14:paraId="3192035F" w14:textId="77777777" w:rsidR="008F735E" w:rsidRPr="008F735E" w:rsidRDefault="008F735E" w:rsidP="00B3483A">
            <w:pPr>
              <w:keepNext/>
              <w:keepLines/>
              <w:tabs>
                <w:tab w:val="decimal" w:pos="256"/>
              </w:tabs>
              <w:spacing w:before="60" w:after="60"/>
              <w:jc w:val="center"/>
              <w:rPr>
                <w:sz w:val="14"/>
                <w:szCs w:val="14"/>
              </w:rPr>
            </w:pPr>
            <w:r w:rsidRPr="008F735E">
              <w:rPr>
                <w:sz w:val="14"/>
                <w:szCs w:val="14"/>
              </w:rPr>
              <w:t>4.18%</w:t>
            </w:r>
          </w:p>
        </w:tc>
        <w:tc>
          <w:tcPr>
            <w:tcW w:w="851" w:type="dxa"/>
          </w:tcPr>
          <w:p w14:paraId="49982A0E" w14:textId="77777777" w:rsidR="008F735E" w:rsidRPr="008F735E" w:rsidRDefault="008F735E" w:rsidP="00B3483A">
            <w:pPr>
              <w:keepNext/>
              <w:keepLines/>
              <w:tabs>
                <w:tab w:val="decimal" w:pos="256"/>
              </w:tabs>
              <w:spacing w:before="60" w:after="60"/>
              <w:jc w:val="center"/>
              <w:rPr>
                <w:sz w:val="14"/>
                <w:szCs w:val="14"/>
              </w:rPr>
            </w:pPr>
            <w:r w:rsidRPr="008F735E">
              <w:rPr>
                <w:sz w:val="14"/>
                <w:szCs w:val="14"/>
              </w:rPr>
              <w:t>5.14%</w:t>
            </w:r>
          </w:p>
        </w:tc>
        <w:tc>
          <w:tcPr>
            <w:tcW w:w="1134" w:type="dxa"/>
          </w:tcPr>
          <w:p w14:paraId="6D922D0E" w14:textId="77777777" w:rsidR="008F735E" w:rsidRPr="008F735E" w:rsidRDefault="008F735E" w:rsidP="00B3483A">
            <w:pPr>
              <w:keepNext/>
              <w:keepLines/>
              <w:tabs>
                <w:tab w:val="decimal" w:pos="256"/>
              </w:tabs>
              <w:spacing w:before="60" w:after="60"/>
              <w:jc w:val="center"/>
              <w:rPr>
                <w:sz w:val="14"/>
                <w:szCs w:val="14"/>
              </w:rPr>
            </w:pPr>
            <w:r w:rsidRPr="008F735E">
              <w:rPr>
                <w:sz w:val="14"/>
                <w:szCs w:val="14"/>
              </w:rPr>
              <w:t>3.68%</w:t>
            </w:r>
          </w:p>
        </w:tc>
        <w:tc>
          <w:tcPr>
            <w:tcW w:w="921" w:type="dxa"/>
          </w:tcPr>
          <w:p w14:paraId="1BD7675A" w14:textId="77777777" w:rsidR="008F735E" w:rsidRPr="008F735E" w:rsidRDefault="008F735E" w:rsidP="00B3483A">
            <w:pPr>
              <w:keepNext/>
              <w:keepLines/>
              <w:tabs>
                <w:tab w:val="decimal" w:pos="256"/>
              </w:tabs>
              <w:spacing w:before="60" w:after="60"/>
              <w:jc w:val="center"/>
              <w:rPr>
                <w:sz w:val="14"/>
                <w:szCs w:val="14"/>
              </w:rPr>
            </w:pPr>
            <w:r w:rsidRPr="008F735E">
              <w:rPr>
                <w:sz w:val="14"/>
                <w:szCs w:val="14"/>
              </w:rPr>
              <w:t>2.80%</w:t>
            </w:r>
          </w:p>
        </w:tc>
      </w:tr>
      <w:tr w:rsidR="008F735E" w:rsidRPr="008F735E" w14:paraId="42483674" w14:textId="77777777" w:rsidTr="00841651">
        <w:tc>
          <w:tcPr>
            <w:tcW w:w="1347" w:type="dxa"/>
            <w:shd w:val="clear" w:color="auto" w:fill="auto"/>
            <w:vAlign w:val="bottom"/>
          </w:tcPr>
          <w:p w14:paraId="146E66D0" w14:textId="77777777" w:rsidR="008F735E" w:rsidRPr="008F735E" w:rsidRDefault="008F735E" w:rsidP="00B3483A">
            <w:pPr>
              <w:keepNext/>
              <w:keepLines/>
              <w:tabs>
                <w:tab w:val="left" w:pos="106"/>
              </w:tabs>
              <w:spacing w:before="60" w:after="60"/>
              <w:jc w:val="left"/>
              <w:rPr>
                <w:sz w:val="14"/>
                <w:szCs w:val="14"/>
              </w:rPr>
            </w:pPr>
            <w:r w:rsidRPr="008F735E">
              <w:rPr>
                <w:sz w:val="14"/>
                <w:szCs w:val="14"/>
              </w:rPr>
              <w:tab/>
              <w:t>r = 3%</w:t>
            </w:r>
          </w:p>
        </w:tc>
        <w:tc>
          <w:tcPr>
            <w:tcW w:w="992" w:type="dxa"/>
          </w:tcPr>
          <w:p w14:paraId="6A6AF354" w14:textId="77777777" w:rsidR="008F735E" w:rsidRPr="008F735E" w:rsidRDefault="008F735E" w:rsidP="00B3483A">
            <w:pPr>
              <w:keepNext/>
              <w:keepLines/>
              <w:tabs>
                <w:tab w:val="decimal" w:pos="256"/>
              </w:tabs>
              <w:spacing w:before="60" w:after="60"/>
              <w:jc w:val="center"/>
              <w:rPr>
                <w:sz w:val="14"/>
                <w:szCs w:val="14"/>
              </w:rPr>
            </w:pPr>
            <w:r w:rsidRPr="008F735E">
              <w:rPr>
                <w:sz w:val="14"/>
                <w:szCs w:val="14"/>
              </w:rPr>
              <w:t>2.72%</w:t>
            </w:r>
          </w:p>
        </w:tc>
        <w:tc>
          <w:tcPr>
            <w:tcW w:w="737" w:type="dxa"/>
          </w:tcPr>
          <w:p w14:paraId="2405DF71" w14:textId="77777777" w:rsidR="008F735E" w:rsidRPr="008F735E" w:rsidRDefault="008F735E" w:rsidP="00B3483A">
            <w:pPr>
              <w:keepNext/>
              <w:keepLines/>
              <w:tabs>
                <w:tab w:val="decimal" w:pos="256"/>
              </w:tabs>
              <w:spacing w:before="60" w:after="60"/>
              <w:jc w:val="center"/>
              <w:rPr>
                <w:sz w:val="14"/>
                <w:szCs w:val="14"/>
              </w:rPr>
            </w:pPr>
            <w:r w:rsidRPr="008F735E">
              <w:rPr>
                <w:sz w:val="14"/>
                <w:szCs w:val="14"/>
              </w:rPr>
              <w:t>3.10%</w:t>
            </w:r>
          </w:p>
        </w:tc>
        <w:tc>
          <w:tcPr>
            <w:tcW w:w="681" w:type="dxa"/>
          </w:tcPr>
          <w:p w14:paraId="1059CA8B" w14:textId="77777777" w:rsidR="008F735E" w:rsidRPr="008F735E" w:rsidRDefault="008F735E" w:rsidP="00B3483A">
            <w:pPr>
              <w:keepNext/>
              <w:keepLines/>
              <w:tabs>
                <w:tab w:val="decimal" w:pos="256"/>
              </w:tabs>
              <w:spacing w:before="60" w:after="60"/>
              <w:jc w:val="center"/>
              <w:rPr>
                <w:sz w:val="14"/>
                <w:szCs w:val="14"/>
              </w:rPr>
            </w:pPr>
            <w:r w:rsidRPr="008F735E">
              <w:rPr>
                <w:sz w:val="14"/>
                <w:szCs w:val="14"/>
              </w:rPr>
              <w:t>3.07%</w:t>
            </w:r>
          </w:p>
        </w:tc>
        <w:tc>
          <w:tcPr>
            <w:tcW w:w="651" w:type="dxa"/>
          </w:tcPr>
          <w:p w14:paraId="5FBBFDD4" w14:textId="77777777" w:rsidR="008F735E" w:rsidRPr="008F735E" w:rsidRDefault="008F735E" w:rsidP="00B3483A">
            <w:pPr>
              <w:keepNext/>
              <w:keepLines/>
              <w:tabs>
                <w:tab w:val="decimal" w:pos="256"/>
              </w:tabs>
              <w:spacing w:before="60" w:after="60"/>
              <w:jc w:val="center"/>
              <w:rPr>
                <w:sz w:val="14"/>
                <w:szCs w:val="14"/>
              </w:rPr>
            </w:pPr>
            <w:r w:rsidRPr="008F735E">
              <w:rPr>
                <w:sz w:val="14"/>
                <w:szCs w:val="14"/>
              </w:rPr>
              <w:t>2.88%</w:t>
            </w:r>
          </w:p>
        </w:tc>
        <w:tc>
          <w:tcPr>
            <w:tcW w:w="666" w:type="dxa"/>
          </w:tcPr>
          <w:p w14:paraId="4A0584DB" w14:textId="77777777" w:rsidR="008F735E" w:rsidRPr="008F735E" w:rsidRDefault="008F735E" w:rsidP="00B3483A">
            <w:pPr>
              <w:keepNext/>
              <w:keepLines/>
              <w:tabs>
                <w:tab w:val="decimal" w:pos="256"/>
              </w:tabs>
              <w:spacing w:before="60" w:after="60"/>
              <w:jc w:val="center"/>
              <w:rPr>
                <w:sz w:val="14"/>
                <w:szCs w:val="14"/>
              </w:rPr>
            </w:pPr>
            <w:r w:rsidRPr="008F735E">
              <w:rPr>
                <w:sz w:val="14"/>
                <w:szCs w:val="14"/>
              </w:rPr>
              <w:t>2.67%</w:t>
            </w:r>
          </w:p>
        </w:tc>
        <w:tc>
          <w:tcPr>
            <w:tcW w:w="667" w:type="dxa"/>
          </w:tcPr>
          <w:p w14:paraId="50C6B367" w14:textId="77777777" w:rsidR="008F735E" w:rsidRPr="008F735E" w:rsidRDefault="008F735E" w:rsidP="00B3483A">
            <w:pPr>
              <w:keepNext/>
              <w:keepLines/>
              <w:tabs>
                <w:tab w:val="decimal" w:pos="256"/>
              </w:tabs>
              <w:spacing w:before="60" w:after="60"/>
              <w:jc w:val="center"/>
              <w:rPr>
                <w:sz w:val="14"/>
                <w:szCs w:val="14"/>
              </w:rPr>
            </w:pPr>
            <w:r w:rsidRPr="008F735E">
              <w:rPr>
                <w:sz w:val="14"/>
                <w:szCs w:val="14"/>
              </w:rPr>
              <w:t>2.50%</w:t>
            </w:r>
          </w:p>
        </w:tc>
        <w:tc>
          <w:tcPr>
            <w:tcW w:w="1134" w:type="dxa"/>
          </w:tcPr>
          <w:p w14:paraId="71DD5B32" w14:textId="77777777" w:rsidR="008F735E" w:rsidRPr="008F735E" w:rsidRDefault="008F735E" w:rsidP="00B3483A">
            <w:pPr>
              <w:keepNext/>
              <w:keepLines/>
              <w:tabs>
                <w:tab w:val="decimal" w:pos="256"/>
              </w:tabs>
              <w:spacing w:before="60" w:after="60"/>
              <w:jc w:val="center"/>
              <w:rPr>
                <w:sz w:val="14"/>
                <w:szCs w:val="14"/>
              </w:rPr>
            </w:pPr>
            <w:r w:rsidRPr="008F735E">
              <w:rPr>
                <w:sz w:val="14"/>
                <w:szCs w:val="14"/>
              </w:rPr>
              <w:t>2.14%</w:t>
            </w:r>
          </w:p>
        </w:tc>
        <w:tc>
          <w:tcPr>
            <w:tcW w:w="851" w:type="dxa"/>
          </w:tcPr>
          <w:p w14:paraId="540072C4" w14:textId="77777777" w:rsidR="008F735E" w:rsidRPr="008F735E" w:rsidRDefault="008F735E" w:rsidP="00B3483A">
            <w:pPr>
              <w:keepNext/>
              <w:keepLines/>
              <w:tabs>
                <w:tab w:val="decimal" w:pos="256"/>
              </w:tabs>
              <w:spacing w:before="60" w:after="60"/>
              <w:jc w:val="center"/>
              <w:rPr>
                <w:sz w:val="14"/>
                <w:szCs w:val="14"/>
              </w:rPr>
            </w:pPr>
            <w:r w:rsidRPr="008F735E">
              <w:rPr>
                <w:sz w:val="14"/>
                <w:szCs w:val="14"/>
              </w:rPr>
              <w:t>3.10%</w:t>
            </w:r>
          </w:p>
        </w:tc>
        <w:tc>
          <w:tcPr>
            <w:tcW w:w="1134" w:type="dxa"/>
          </w:tcPr>
          <w:p w14:paraId="303FAEBB" w14:textId="77777777" w:rsidR="008F735E" w:rsidRPr="008F735E" w:rsidRDefault="008F735E" w:rsidP="00B3483A">
            <w:pPr>
              <w:keepNext/>
              <w:keepLines/>
              <w:tabs>
                <w:tab w:val="decimal" w:pos="256"/>
              </w:tabs>
              <w:spacing w:before="60" w:after="60"/>
              <w:jc w:val="center"/>
              <w:rPr>
                <w:sz w:val="14"/>
                <w:szCs w:val="14"/>
              </w:rPr>
            </w:pPr>
            <w:r w:rsidRPr="008F735E">
              <w:rPr>
                <w:sz w:val="14"/>
                <w:szCs w:val="14"/>
              </w:rPr>
              <w:t>1.64%</w:t>
            </w:r>
          </w:p>
        </w:tc>
        <w:tc>
          <w:tcPr>
            <w:tcW w:w="921" w:type="dxa"/>
          </w:tcPr>
          <w:p w14:paraId="161F1A7F" w14:textId="77777777" w:rsidR="008F735E" w:rsidRPr="008F735E" w:rsidRDefault="008F735E" w:rsidP="00B3483A">
            <w:pPr>
              <w:keepNext/>
              <w:keepLines/>
              <w:tabs>
                <w:tab w:val="decimal" w:pos="256"/>
              </w:tabs>
              <w:spacing w:before="60" w:after="60"/>
              <w:jc w:val="center"/>
              <w:rPr>
                <w:sz w:val="14"/>
                <w:szCs w:val="14"/>
              </w:rPr>
            </w:pPr>
            <w:r w:rsidRPr="008F735E">
              <w:rPr>
                <w:sz w:val="14"/>
                <w:szCs w:val="14"/>
              </w:rPr>
              <w:t>1.43%</w:t>
            </w:r>
          </w:p>
        </w:tc>
      </w:tr>
      <w:tr w:rsidR="008F735E" w:rsidRPr="008F735E" w14:paraId="64FC1767" w14:textId="77777777" w:rsidTr="00841651">
        <w:tc>
          <w:tcPr>
            <w:tcW w:w="1347" w:type="dxa"/>
            <w:shd w:val="clear" w:color="auto" w:fill="auto"/>
            <w:vAlign w:val="bottom"/>
          </w:tcPr>
          <w:p w14:paraId="675DE272" w14:textId="77777777" w:rsidR="008F735E" w:rsidRPr="008F735E" w:rsidRDefault="008F735E" w:rsidP="00B3483A">
            <w:pPr>
              <w:keepNext/>
              <w:keepLines/>
              <w:tabs>
                <w:tab w:val="left" w:pos="106"/>
              </w:tabs>
              <w:spacing w:before="60" w:after="60"/>
              <w:jc w:val="left"/>
              <w:rPr>
                <w:b/>
                <w:bCs/>
                <w:sz w:val="14"/>
                <w:szCs w:val="14"/>
              </w:rPr>
            </w:pPr>
            <w:r w:rsidRPr="008F735E">
              <w:rPr>
                <w:b/>
                <w:bCs/>
                <w:sz w:val="14"/>
                <w:szCs w:val="14"/>
              </w:rPr>
              <w:t>EMTRs</w:t>
            </w:r>
          </w:p>
        </w:tc>
        <w:tc>
          <w:tcPr>
            <w:tcW w:w="992" w:type="dxa"/>
          </w:tcPr>
          <w:p w14:paraId="17C5153F" w14:textId="77777777" w:rsidR="008F735E" w:rsidRPr="008F735E" w:rsidRDefault="008F735E" w:rsidP="00B3483A">
            <w:pPr>
              <w:keepNext/>
              <w:keepLines/>
              <w:tabs>
                <w:tab w:val="decimal" w:pos="256"/>
              </w:tabs>
              <w:spacing w:before="60" w:after="60"/>
              <w:jc w:val="center"/>
              <w:rPr>
                <w:sz w:val="14"/>
                <w:szCs w:val="14"/>
              </w:rPr>
            </w:pPr>
          </w:p>
        </w:tc>
        <w:tc>
          <w:tcPr>
            <w:tcW w:w="737" w:type="dxa"/>
          </w:tcPr>
          <w:p w14:paraId="7ECCBF97" w14:textId="77777777" w:rsidR="008F735E" w:rsidRPr="008F735E" w:rsidRDefault="008F735E" w:rsidP="00B3483A">
            <w:pPr>
              <w:keepNext/>
              <w:keepLines/>
              <w:tabs>
                <w:tab w:val="decimal" w:pos="256"/>
              </w:tabs>
              <w:spacing w:before="60" w:after="60"/>
              <w:jc w:val="center"/>
              <w:rPr>
                <w:sz w:val="14"/>
                <w:szCs w:val="14"/>
              </w:rPr>
            </w:pPr>
          </w:p>
        </w:tc>
        <w:tc>
          <w:tcPr>
            <w:tcW w:w="681" w:type="dxa"/>
          </w:tcPr>
          <w:p w14:paraId="0FDEFC6B" w14:textId="77777777" w:rsidR="008F735E" w:rsidRPr="008F735E" w:rsidRDefault="008F735E" w:rsidP="00B3483A">
            <w:pPr>
              <w:keepNext/>
              <w:keepLines/>
              <w:tabs>
                <w:tab w:val="decimal" w:pos="256"/>
              </w:tabs>
              <w:spacing w:before="60" w:after="60"/>
              <w:jc w:val="center"/>
              <w:rPr>
                <w:sz w:val="14"/>
                <w:szCs w:val="14"/>
              </w:rPr>
            </w:pPr>
          </w:p>
        </w:tc>
        <w:tc>
          <w:tcPr>
            <w:tcW w:w="651" w:type="dxa"/>
          </w:tcPr>
          <w:p w14:paraId="78865262" w14:textId="77777777" w:rsidR="008F735E" w:rsidRPr="008F735E" w:rsidRDefault="008F735E" w:rsidP="00B3483A">
            <w:pPr>
              <w:keepNext/>
              <w:keepLines/>
              <w:tabs>
                <w:tab w:val="decimal" w:pos="256"/>
              </w:tabs>
              <w:spacing w:before="60" w:after="60"/>
              <w:jc w:val="center"/>
              <w:rPr>
                <w:sz w:val="14"/>
                <w:szCs w:val="14"/>
              </w:rPr>
            </w:pPr>
          </w:p>
        </w:tc>
        <w:tc>
          <w:tcPr>
            <w:tcW w:w="666" w:type="dxa"/>
          </w:tcPr>
          <w:p w14:paraId="54137EAC" w14:textId="77777777" w:rsidR="008F735E" w:rsidRPr="008F735E" w:rsidRDefault="008F735E" w:rsidP="00B3483A">
            <w:pPr>
              <w:keepNext/>
              <w:keepLines/>
              <w:tabs>
                <w:tab w:val="decimal" w:pos="256"/>
              </w:tabs>
              <w:spacing w:before="60" w:after="60"/>
              <w:jc w:val="center"/>
              <w:rPr>
                <w:sz w:val="14"/>
                <w:szCs w:val="14"/>
              </w:rPr>
            </w:pPr>
          </w:p>
        </w:tc>
        <w:tc>
          <w:tcPr>
            <w:tcW w:w="667" w:type="dxa"/>
          </w:tcPr>
          <w:p w14:paraId="0AEF7D1B" w14:textId="77777777" w:rsidR="008F735E" w:rsidRPr="008F735E" w:rsidRDefault="008F735E" w:rsidP="00B3483A">
            <w:pPr>
              <w:keepNext/>
              <w:keepLines/>
              <w:tabs>
                <w:tab w:val="decimal" w:pos="256"/>
              </w:tabs>
              <w:spacing w:before="60" w:after="60"/>
              <w:jc w:val="center"/>
              <w:rPr>
                <w:sz w:val="14"/>
                <w:szCs w:val="14"/>
              </w:rPr>
            </w:pPr>
          </w:p>
        </w:tc>
        <w:tc>
          <w:tcPr>
            <w:tcW w:w="1134" w:type="dxa"/>
          </w:tcPr>
          <w:p w14:paraId="209F2883" w14:textId="77777777" w:rsidR="008F735E" w:rsidRPr="008F735E" w:rsidRDefault="008F735E" w:rsidP="00B3483A">
            <w:pPr>
              <w:keepNext/>
              <w:keepLines/>
              <w:tabs>
                <w:tab w:val="decimal" w:pos="256"/>
              </w:tabs>
              <w:spacing w:before="60" w:after="60"/>
              <w:jc w:val="center"/>
              <w:rPr>
                <w:sz w:val="14"/>
                <w:szCs w:val="14"/>
              </w:rPr>
            </w:pPr>
          </w:p>
        </w:tc>
        <w:tc>
          <w:tcPr>
            <w:tcW w:w="851" w:type="dxa"/>
          </w:tcPr>
          <w:p w14:paraId="14E1E9CE" w14:textId="77777777" w:rsidR="008F735E" w:rsidRPr="008F735E" w:rsidRDefault="008F735E" w:rsidP="00B3483A">
            <w:pPr>
              <w:keepNext/>
              <w:keepLines/>
              <w:tabs>
                <w:tab w:val="decimal" w:pos="256"/>
              </w:tabs>
              <w:spacing w:before="60" w:after="60"/>
              <w:jc w:val="center"/>
              <w:rPr>
                <w:sz w:val="14"/>
                <w:szCs w:val="14"/>
              </w:rPr>
            </w:pPr>
          </w:p>
        </w:tc>
        <w:tc>
          <w:tcPr>
            <w:tcW w:w="1134" w:type="dxa"/>
          </w:tcPr>
          <w:p w14:paraId="39D350DD" w14:textId="77777777" w:rsidR="008F735E" w:rsidRPr="008F735E" w:rsidRDefault="008F735E" w:rsidP="00B3483A">
            <w:pPr>
              <w:keepNext/>
              <w:keepLines/>
              <w:tabs>
                <w:tab w:val="decimal" w:pos="256"/>
              </w:tabs>
              <w:spacing w:before="60" w:after="60"/>
              <w:jc w:val="center"/>
              <w:rPr>
                <w:sz w:val="14"/>
                <w:szCs w:val="14"/>
              </w:rPr>
            </w:pPr>
          </w:p>
        </w:tc>
        <w:tc>
          <w:tcPr>
            <w:tcW w:w="921" w:type="dxa"/>
          </w:tcPr>
          <w:p w14:paraId="7AD1FDA2" w14:textId="77777777" w:rsidR="008F735E" w:rsidRPr="008F735E" w:rsidRDefault="008F735E" w:rsidP="00B3483A">
            <w:pPr>
              <w:keepNext/>
              <w:keepLines/>
              <w:tabs>
                <w:tab w:val="decimal" w:pos="256"/>
              </w:tabs>
              <w:spacing w:before="60" w:after="60"/>
              <w:jc w:val="center"/>
              <w:rPr>
                <w:sz w:val="14"/>
                <w:szCs w:val="14"/>
              </w:rPr>
            </w:pPr>
          </w:p>
        </w:tc>
      </w:tr>
      <w:tr w:rsidR="008F735E" w:rsidRPr="008F735E" w14:paraId="779F4355" w14:textId="77777777" w:rsidTr="00841651">
        <w:tc>
          <w:tcPr>
            <w:tcW w:w="1347" w:type="dxa"/>
            <w:shd w:val="clear" w:color="auto" w:fill="auto"/>
            <w:vAlign w:val="bottom"/>
          </w:tcPr>
          <w:p w14:paraId="361AA575" w14:textId="77777777" w:rsidR="008F735E" w:rsidRPr="008F735E" w:rsidRDefault="008F735E" w:rsidP="00B3483A">
            <w:pPr>
              <w:keepNext/>
              <w:keepLines/>
              <w:tabs>
                <w:tab w:val="left" w:pos="106"/>
              </w:tabs>
              <w:spacing w:before="60" w:after="60"/>
              <w:jc w:val="left"/>
              <w:rPr>
                <w:sz w:val="14"/>
                <w:szCs w:val="14"/>
              </w:rPr>
            </w:pPr>
            <w:r w:rsidRPr="008F735E">
              <w:rPr>
                <w:sz w:val="14"/>
                <w:szCs w:val="14"/>
              </w:rPr>
              <w:tab/>
              <w:t>r = 5%</w:t>
            </w:r>
          </w:p>
        </w:tc>
        <w:tc>
          <w:tcPr>
            <w:tcW w:w="992" w:type="dxa"/>
          </w:tcPr>
          <w:p w14:paraId="374A4794" w14:textId="77777777" w:rsidR="008F735E" w:rsidRPr="008F735E" w:rsidRDefault="008F735E" w:rsidP="00B3483A">
            <w:pPr>
              <w:keepNext/>
              <w:keepLines/>
              <w:tabs>
                <w:tab w:val="decimal" w:pos="256"/>
              </w:tabs>
              <w:spacing w:before="60" w:after="60"/>
              <w:jc w:val="center"/>
              <w:rPr>
                <w:sz w:val="14"/>
                <w:szCs w:val="14"/>
              </w:rPr>
            </w:pPr>
            <w:r w:rsidRPr="008F735E">
              <w:rPr>
                <w:sz w:val="14"/>
                <w:szCs w:val="14"/>
              </w:rPr>
              <w:t>-6.1%</w:t>
            </w:r>
          </w:p>
        </w:tc>
        <w:tc>
          <w:tcPr>
            <w:tcW w:w="737" w:type="dxa"/>
          </w:tcPr>
          <w:p w14:paraId="37A8DCF2" w14:textId="77777777" w:rsidR="008F735E" w:rsidRPr="008F735E" w:rsidRDefault="008F735E" w:rsidP="00B3483A">
            <w:pPr>
              <w:keepNext/>
              <w:keepLines/>
              <w:tabs>
                <w:tab w:val="decimal" w:pos="256"/>
              </w:tabs>
              <w:spacing w:before="60" w:after="60"/>
              <w:jc w:val="center"/>
              <w:rPr>
                <w:sz w:val="14"/>
                <w:szCs w:val="14"/>
              </w:rPr>
            </w:pPr>
            <w:r w:rsidRPr="008F735E">
              <w:rPr>
                <w:sz w:val="14"/>
                <w:szCs w:val="14"/>
              </w:rPr>
              <w:t>2.8%</w:t>
            </w:r>
          </w:p>
        </w:tc>
        <w:tc>
          <w:tcPr>
            <w:tcW w:w="681" w:type="dxa"/>
          </w:tcPr>
          <w:p w14:paraId="64310422" w14:textId="77777777" w:rsidR="008F735E" w:rsidRPr="008F735E" w:rsidRDefault="008F735E" w:rsidP="00B3483A">
            <w:pPr>
              <w:keepNext/>
              <w:keepLines/>
              <w:tabs>
                <w:tab w:val="decimal" w:pos="256"/>
              </w:tabs>
              <w:spacing w:before="60" w:after="60"/>
              <w:jc w:val="center"/>
              <w:rPr>
                <w:sz w:val="14"/>
                <w:szCs w:val="14"/>
              </w:rPr>
            </w:pPr>
            <w:r w:rsidRPr="008F735E">
              <w:rPr>
                <w:sz w:val="14"/>
                <w:szCs w:val="14"/>
              </w:rPr>
              <w:t>1.9%</w:t>
            </w:r>
          </w:p>
        </w:tc>
        <w:tc>
          <w:tcPr>
            <w:tcW w:w="651" w:type="dxa"/>
          </w:tcPr>
          <w:p w14:paraId="47786C7C" w14:textId="77777777" w:rsidR="008F735E" w:rsidRPr="008F735E" w:rsidRDefault="008F735E" w:rsidP="00B3483A">
            <w:pPr>
              <w:keepNext/>
              <w:keepLines/>
              <w:tabs>
                <w:tab w:val="decimal" w:pos="256"/>
              </w:tabs>
              <w:spacing w:before="60" w:after="60"/>
              <w:jc w:val="center"/>
              <w:rPr>
                <w:sz w:val="14"/>
                <w:szCs w:val="14"/>
              </w:rPr>
            </w:pPr>
            <w:r w:rsidRPr="008F735E">
              <w:rPr>
                <w:sz w:val="14"/>
                <w:szCs w:val="14"/>
              </w:rPr>
              <w:t>-2.9%</w:t>
            </w:r>
          </w:p>
        </w:tc>
        <w:tc>
          <w:tcPr>
            <w:tcW w:w="666" w:type="dxa"/>
          </w:tcPr>
          <w:p w14:paraId="71E6AC9B" w14:textId="77777777" w:rsidR="008F735E" w:rsidRPr="008F735E" w:rsidRDefault="008F735E" w:rsidP="00B3483A">
            <w:pPr>
              <w:keepNext/>
              <w:keepLines/>
              <w:tabs>
                <w:tab w:val="decimal" w:pos="256"/>
              </w:tabs>
              <w:spacing w:before="60" w:after="60"/>
              <w:jc w:val="center"/>
              <w:rPr>
                <w:sz w:val="14"/>
                <w:szCs w:val="14"/>
              </w:rPr>
            </w:pPr>
            <w:r w:rsidRPr="008F735E">
              <w:rPr>
                <w:sz w:val="14"/>
                <w:szCs w:val="14"/>
              </w:rPr>
              <w:t>-7.9%</w:t>
            </w:r>
          </w:p>
        </w:tc>
        <w:tc>
          <w:tcPr>
            <w:tcW w:w="667" w:type="dxa"/>
          </w:tcPr>
          <w:p w14:paraId="3978B52A" w14:textId="77777777" w:rsidR="008F735E" w:rsidRPr="008F735E" w:rsidRDefault="008F735E" w:rsidP="00B3483A">
            <w:pPr>
              <w:keepNext/>
              <w:keepLines/>
              <w:tabs>
                <w:tab w:val="decimal" w:pos="256"/>
              </w:tabs>
              <w:spacing w:before="60" w:after="60"/>
              <w:jc w:val="center"/>
              <w:rPr>
                <w:sz w:val="14"/>
                <w:szCs w:val="14"/>
              </w:rPr>
            </w:pPr>
            <w:r w:rsidRPr="008F735E">
              <w:rPr>
                <w:sz w:val="14"/>
                <w:szCs w:val="14"/>
              </w:rPr>
              <w:t>-11.8%</w:t>
            </w:r>
          </w:p>
        </w:tc>
        <w:tc>
          <w:tcPr>
            <w:tcW w:w="1134" w:type="dxa"/>
          </w:tcPr>
          <w:p w14:paraId="66CAD3AA" w14:textId="77777777" w:rsidR="008F735E" w:rsidRPr="008F735E" w:rsidRDefault="008F735E" w:rsidP="00B3483A">
            <w:pPr>
              <w:keepNext/>
              <w:keepLines/>
              <w:tabs>
                <w:tab w:val="decimal" w:pos="256"/>
              </w:tabs>
              <w:spacing w:before="60" w:after="60"/>
              <w:jc w:val="center"/>
              <w:rPr>
                <w:sz w:val="14"/>
                <w:szCs w:val="14"/>
              </w:rPr>
            </w:pPr>
            <w:r w:rsidRPr="008F735E">
              <w:rPr>
                <w:sz w:val="14"/>
                <w:szCs w:val="14"/>
              </w:rPr>
              <w:t>-19.7%</w:t>
            </w:r>
          </w:p>
        </w:tc>
        <w:tc>
          <w:tcPr>
            <w:tcW w:w="851" w:type="dxa"/>
          </w:tcPr>
          <w:p w14:paraId="0E26FE92" w14:textId="77777777" w:rsidR="008F735E" w:rsidRPr="008F735E" w:rsidRDefault="008F735E" w:rsidP="00B3483A">
            <w:pPr>
              <w:keepNext/>
              <w:keepLines/>
              <w:tabs>
                <w:tab w:val="decimal" w:pos="256"/>
              </w:tabs>
              <w:spacing w:before="60" w:after="60"/>
              <w:jc w:val="center"/>
              <w:rPr>
                <w:sz w:val="14"/>
                <w:szCs w:val="14"/>
              </w:rPr>
            </w:pPr>
            <w:r w:rsidRPr="008F735E">
              <w:rPr>
                <w:sz w:val="14"/>
                <w:szCs w:val="14"/>
              </w:rPr>
              <w:t>2.8%</w:t>
            </w:r>
          </w:p>
        </w:tc>
        <w:tc>
          <w:tcPr>
            <w:tcW w:w="1134" w:type="dxa"/>
          </w:tcPr>
          <w:p w14:paraId="0900EA67" w14:textId="77777777" w:rsidR="008F735E" w:rsidRPr="008F735E" w:rsidRDefault="008F735E" w:rsidP="00B3483A">
            <w:pPr>
              <w:keepNext/>
              <w:keepLines/>
              <w:tabs>
                <w:tab w:val="decimal" w:pos="256"/>
              </w:tabs>
              <w:spacing w:before="60" w:after="60"/>
              <w:jc w:val="center"/>
              <w:rPr>
                <w:sz w:val="14"/>
                <w:szCs w:val="14"/>
              </w:rPr>
            </w:pPr>
            <w:r w:rsidRPr="008F735E">
              <w:rPr>
                <w:sz w:val="14"/>
                <w:szCs w:val="14"/>
              </w:rPr>
              <w:t>-35.7%</w:t>
            </w:r>
          </w:p>
        </w:tc>
        <w:tc>
          <w:tcPr>
            <w:tcW w:w="921" w:type="dxa"/>
          </w:tcPr>
          <w:p w14:paraId="032D3036" w14:textId="77777777" w:rsidR="008F735E" w:rsidRPr="008F735E" w:rsidRDefault="008F735E" w:rsidP="00B3483A">
            <w:pPr>
              <w:keepNext/>
              <w:keepLines/>
              <w:tabs>
                <w:tab w:val="decimal" w:pos="256"/>
              </w:tabs>
              <w:spacing w:before="60" w:after="60"/>
              <w:jc w:val="center"/>
              <w:rPr>
                <w:sz w:val="14"/>
                <w:szCs w:val="14"/>
              </w:rPr>
            </w:pPr>
            <w:r w:rsidRPr="008F735E">
              <w:rPr>
                <w:sz w:val="14"/>
                <w:szCs w:val="14"/>
              </w:rPr>
              <w:t>-78.7%</w:t>
            </w:r>
          </w:p>
        </w:tc>
      </w:tr>
      <w:tr w:rsidR="008F735E" w:rsidRPr="008F735E" w14:paraId="0BF19EE3" w14:textId="77777777" w:rsidTr="00841651">
        <w:tc>
          <w:tcPr>
            <w:tcW w:w="1347" w:type="dxa"/>
            <w:shd w:val="clear" w:color="auto" w:fill="auto"/>
            <w:vAlign w:val="bottom"/>
          </w:tcPr>
          <w:p w14:paraId="33E70B2B" w14:textId="77777777" w:rsidR="008F735E" w:rsidRPr="008F735E" w:rsidRDefault="008F735E" w:rsidP="00B3483A">
            <w:pPr>
              <w:keepNext/>
              <w:keepLines/>
              <w:tabs>
                <w:tab w:val="left" w:pos="106"/>
              </w:tabs>
              <w:spacing w:before="60" w:after="60"/>
              <w:jc w:val="left"/>
              <w:rPr>
                <w:sz w:val="14"/>
                <w:szCs w:val="14"/>
              </w:rPr>
            </w:pPr>
            <w:r w:rsidRPr="008F735E">
              <w:rPr>
                <w:sz w:val="14"/>
                <w:szCs w:val="14"/>
              </w:rPr>
              <w:tab/>
              <w:t>r = 3%</w:t>
            </w:r>
          </w:p>
        </w:tc>
        <w:tc>
          <w:tcPr>
            <w:tcW w:w="992" w:type="dxa"/>
          </w:tcPr>
          <w:p w14:paraId="41A441C5" w14:textId="77777777" w:rsidR="008F735E" w:rsidRPr="008F735E" w:rsidRDefault="008F735E" w:rsidP="00B3483A">
            <w:pPr>
              <w:keepNext/>
              <w:keepLines/>
              <w:tabs>
                <w:tab w:val="decimal" w:pos="256"/>
              </w:tabs>
              <w:spacing w:before="60" w:after="60"/>
              <w:jc w:val="center"/>
              <w:rPr>
                <w:sz w:val="14"/>
                <w:szCs w:val="14"/>
              </w:rPr>
            </w:pPr>
            <w:r w:rsidRPr="008F735E">
              <w:rPr>
                <w:sz w:val="14"/>
                <w:szCs w:val="14"/>
              </w:rPr>
              <w:t>-10.4%</w:t>
            </w:r>
          </w:p>
        </w:tc>
        <w:tc>
          <w:tcPr>
            <w:tcW w:w="737" w:type="dxa"/>
          </w:tcPr>
          <w:p w14:paraId="557BF18A" w14:textId="77777777" w:rsidR="008F735E" w:rsidRPr="008F735E" w:rsidRDefault="008F735E" w:rsidP="00B3483A">
            <w:pPr>
              <w:keepNext/>
              <w:keepLines/>
              <w:tabs>
                <w:tab w:val="decimal" w:pos="256"/>
              </w:tabs>
              <w:spacing w:before="60" w:after="60"/>
              <w:jc w:val="center"/>
              <w:rPr>
                <w:sz w:val="14"/>
                <w:szCs w:val="14"/>
              </w:rPr>
            </w:pPr>
            <w:r w:rsidRPr="008F735E">
              <w:rPr>
                <w:sz w:val="14"/>
                <w:szCs w:val="14"/>
              </w:rPr>
              <w:t>3.3%</w:t>
            </w:r>
          </w:p>
        </w:tc>
        <w:tc>
          <w:tcPr>
            <w:tcW w:w="681" w:type="dxa"/>
          </w:tcPr>
          <w:p w14:paraId="0EEE2635" w14:textId="77777777" w:rsidR="008F735E" w:rsidRPr="008F735E" w:rsidRDefault="008F735E" w:rsidP="00B3483A">
            <w:pPr>
              <w:keepNext/>
              <w:keepLines/>
              <w:tabs>
                <w:tab w:val="decimal" w:pos="256"/>
              </w:tabs>
              <w:spacing w:before="60" w:after="60"/>
              <w:jc w:val="center"/>
              <w:rPr>
                <w:sz w:val="14"/>
                <w:szCs w:val="14"/>
              </w:rPr>
            </w:pPr>
            <w:r w:rsidRPr="008F735E">
              <w:rPr>
                <w:sz w:val="14"/>
                <w:szCs w:val="14"/>
              </w:rPr>
              <w:t>2.3%</w:t>
            </w:r>
          </w:p>
        </w:tc>
        <w:tc>
          <w:tcPr>
            <w:tcW w:w="651" w:type="dxa"/>
          </w:tcPr>
          <w:p w14:paraId="613C8862" w14:textId="77777777" w:rsidR="008F735E" w:rsidRPr="008F735E" w:rsidRDefault="008F735E" w:rsidP="00B3483A">
            <w:pPr>
              <w:keepNext/>
              <w:keepLines/>
              <w:tabs>
                <w:tab w:val="decimal" w:pos="256"/>
              </w:tabs>
              <w:spacing w:before="60" w:after="60"/>
              <w:jc w:val="center"/>
              <w:rPr>
                <w:sz w:val="14"/>
                <w:szCs w:val="14"/>
              </w:rPr>
            </w:pPr>
            <w:r w:rsidRPr="008F735E">
              <w:rPr>
                <w:sz w:val="14"/>
                <w:szCs w:val="14"/>
              </w:rPr>
              <w:t>-4.2%</w:t>
            </w:r>
          </w:p>
        </w:tc>
        <w:tc>
          <w:tcPr>
            <w:tcW w:w="666" w:type="dxa"/>
          </w:tcPr>
          <w:p w14:paraId="6A48FC3A" w14:textId="77777777" w:rsidR="008F735E" w:rsidRPr="008F735E" w:rsidRDefault="008F735E" w:rsidP="00B3483A">
            <w:pPr>
              <w:keepNext/>
              <w:keepLines/>
              <w:tabs>
                <w:tab w:val="decimal" w:pos="256"/>
              </w:tabs>
              <w:spacing w:before="60" w:after="60"/>
              <w:jc w:val="center"/>
              <w:rPr>
                <w:sz w:val="14"/>
                <w:szCs w:val="14"/>
              </w:rPr>
            </w:pPr>
            <w:r w:rsidRPr="008F735E">
              <w:rPr>
                <w:sz w:val="14"/>
                <w:szCs w:val="14"/>
              </w:rPr>
              <w:t>-12.3%</w:t>
            </w:r>
          </w:p>
        </w:tc>
        <w:tc>
          <w:tcPr>
            <w:tcW w:w="667" w:type="dxa"/>
          </w:tcPr>
          <w:p w14:paraId="0D013B1A" w14:textId="77777777" w:rsidR="008F735E" w:rsidRPr="008F735E" w:rsidRDefault="008F735E" w:rsidP="00B3483A">
            <w:pPr>
              <w:keepNext/>
              <w:keepLines/>
              <w:tabs>
                <w:tab w:val="decimal" w:pos="256"/>
              </w:tabs>
              <w:spacing w:before="60" w:after="60"/>
              <w:jc w:val="center"/>
              <w:rPr>
                <w:sz w:val="14"/>
                <w:szCs w:val="14"/>
              </w:rPr>
            </w:pPr>
            <w:r w:rsidRPr="008F735E">
              <w:rPr>
                <w:sz w:val="14"/>
                <w:szCs w:val="14"/>
              </w:rPr>
              <w:t>-19.9%</w:t>
            </w:r>
          </w:p>
        </w:tc>
        <w:tc>
          <w:tcPr>
            <w:tcW w:w="1134" w:type="dxa"/>
          </w:tcPr>
          <w:p w14:paraId="03451BDB" w14:textId="77777777" w:rsidR="008F735E" w:rsidRPr="008F735E" w:rsidRDefault="008F735E" w:rsidP="00B3483A">
            <w:pPr>
              <w:keepNext/>
              <w:keepLines/>
              <w:tabs>
                <w:tab w:val="decimal" w:pos="256"/>
              </w:tabs>
              <w:spacing w:before="60" w:after="60"/>
              <w:jc w:val="center"/>
              <w:rPr>
                <w:sz w:val="14"/>
                <w:szCs w:val="14"/>
              </w:rPr>
            </w:pPr>
            <w:r w:rsidRPr="008F735E">
              <w:rPr>
                <w:sz w:val="14"/>
                <w:szCs w:val="14"/>
              </w:rPr>
              <w:t>-40.5%</w:t>
            </w:r>
          </w:p>
        </w:tc>
        <w:tc>
          <w:tcPr>
            <w:tcW w:w="851" w:type="dxa"/>
          </w:tcPr>
          <w:p w14:paraId="0D4A5802" w14:textId="77777777" w:rsidR="008F735E" w:rsidRPr="008F735E" w:rsidRDefault="008F735E" w:rsidP="00B3483A">
            <w:pPr>
              <w:keepNext/>
              <w:keepLines/>
              <w:tabs>
                <w:tab w:val="decimal" w:pos="256"/>
              </w:tabs>
              <w:spacing w:before="60" w:after="60"/>
              <w:jc w:val="center"/>
              <w:rPr>
                <w:sz w:val="14"/>
                <w:szCs w:val="14"/>
              </w:rPr>
            </w:pPr>
            <w:r w:rsidRPr="008F735E">
              <w:rPr>
                <w:sz w:val="14"/>
                <w:szCs w:val="14"/>
              </w:rPr>
              <w:t>3.3%</w:t>
            </w:r>
          </w:p>
        </w:tc>
        <w:tc>
          <w:tcPr>
            <w:tcW w:w="1134" w:type="dxa"/>
          </w:tcPr>
          <w:p w14:paraId="781F0816" w14:textId="77777777" w:rsidR="008F735E" w:rsidRPr="008F735E" w:rsidRDefault="008F735E" w:rsidP="00B3483A">
            <w:pPr>
              <w:keepNext/>
              <w:keepLines/>
              <w:tabs>
                <w:tab w:val="decimal" w:pos="256"/>
              </w:tabs>
              <w:spacing w:before="60" w:after="60"/>
              <w:jc w:val="center"/>
              <w:rPr>
                <w:sz w:val="14"/>
                <w:szCs w:val="14"/>
              </w:rPr>
            </w:pPr>
            <w:r w:rsidRPr="008F735E">
              <w:rPr>
                <w:sz w:val="14"/>
                <w:szCs w:val="14"/>
              </w:rPr>
              <w:t>-82.6%</w:t>
            </w:r>
          </w:p>
        </w:tc>
        <w:tc>
          <w:tcPr>
            <w:tcW w:w="921" w:type="dxa"/>
          </w:tcPr>
          <w:p w14:paraId="59863023" w14:textId="77777777" w:rsidR="008F735E" w:rsidRPr="008F735E" w:rsidRDefault="008F735E" w:rsidP="00B3483A">
            <w:pPr>
              <w:keepNext/>
              <w:keepLines/>
              <w:tabs>
                <w:tab w:val="decimal" w:pos="256"/>
              </w:tabs>
              <w:spacing w:before="60" w:after="60"/>
              <w:jc w:val="center"/>
              <w:rPr>
                <w:sz w:val="14"/>
                <w:szCs w:val="14"/>
              </w:rPr>
            </w:pPr>
            <w:r w:rsidRPr="008F735E">
              <w:rPr>
                <w:sz w:val="14"/>
                <w:szCs w:val="14"/>
              </w:rPr>
              <w:t>-109.7%</w:t>
            </w:r>
          </w:p>
        </w:tc>
      </w:tr>
    </w:tbl>
    <w:bookmarkEnd w:id="28"/>
    <w:p w14:paraId="2662417D" w14:textId="77777777" w:rsidR="001B3AE0" w:rsidRPr="0067053F" w:rsidRDefault="001B3AE0" w:rsidP="00075D72">
      <w:pPr>
        <w:pStyle w:val="NumberedParagraph"/>
      </w:pPr>
      <w:r w:rsidRPr="0067053F">
        <w:t>We draw attention to the following points:</w:t>
      </w:r>
    </w:p>
    <w:p w14:paraId="4FE6E8E8" w14:textId="77777777" w:rsidR="001B3AE0" w:rsidRDefault="001B3AE0" w:rsidP="00075D72">
      <w:pPr>
        <w:pStyle w:val="NumberedParagraph-BulletL1"/>
      </w:pPr>
      <w:r w:rsidRPr="0067053F">
        <w:t>There will be small positive EMTRs for very short-lived PME and inventories, but significantly negative EMTRs for long-lived PME, zero-depreciating assets, appreciating assets and assets where capital expenditure can be expensed.</w:t>
      </w:r>
    </w:p>
    <w:p w14:paraId="6881EFB5" w14:textId="77777777" w:rsidR="001B3AE0" w:rsidRPr="0067053F" w:rsidRDefault="001B3AE0" w:rsidP="00075D72">
      <w:pPr>
        <w:pStyle w:val="NumberedParagraph-BulletL1"/>
      </w:pPr>
      <w:r>
        <w:t>Changes in EMTRs across the different asset types are qualitatively similar to those provided by the OECD model. EMTRs are highest for inventory and PME with fast economic depreciation rates and lowest for assets where capital expenditure can be expensed.</w:t>
      </w:r>
    </w:p>
    <w:p w14:paraId="1511AFF9" w14:textId="7216CCDA" w:rsidR="001B3AE0" w:rsidRPr="003272BC" w:rsidRDefault="001B3AE0" w:rsidP="00586800">
      <w:pPr>
        <w:pStyle w:val="NumberedParagraph-BulletL1"/>
      </w:pPr>
      <w:r w:rsidRPr="0067053F">
        <w:lastRenderedPageBreak/>
        <w:t>Unlike the OECD model, there are no large positive EMTRs. Not only is interest expense deductible, the opportunity cost of owners’ own funds will also reflect an after-tax interest rate. This is because interest income would be taxable if the owners of a business earned interest rather than investing their money in a business.</w:t>
      </w:r>
    </w:p>
    <w:p w14:paraId="6298A099" w14:textId="77777777" w:rsidR="001B3AE0" w:rsidRPr="004B1C56" w:rsidRDefault="001B3AE0" w:rsidP="001B3AE0">
      <w:pPr>
        <w:pStyle w:val="Heading1"/>
        <w:rPr>
          <w:rFonts w:eastAsia="Calibri"/>
          <w:lang w:eastAsia="en-US"/>
        </w:rPr>
      </w:pPr>
      <w:r w:rsidRPr="004B1C56">
        <w:rPr>
          <w:rFonts w:eastAsia="Calibri"/>
          <w:lang w:eastAsia="en-US"/>
        </w:rPr>
        <w:lastRenderedPageBreak/>
        <w:br/>
      </w:r>
      <w:r w:rsidRPr="004B1C56">
        <w:rPr>
          <w:rFonts w:eastAsia="Calibri"/>
          <w:lang w:eastAsia="en-US"/>
        </w:rPr>
        <w:br/>
      </w:r>
      <w:bookmarkStart w:id="29" w:name="_Toc96585531"/>
      <w:r w:rsidRPr="004B1C56">
        <w:rPr>
          <w:rFonts w:eastAsia="Calibri"/>
          <w:lang w:eastAsia="en-US"/>
        </w:rPr>
        <w:t>Tax changes to reduce New Zealand’s costs of capital and EMTRs and make them more neutral</w:t>
      </w:r>
      <w:bookmarkEnd w:id="29"/>
    </w:p>
    <w:tbl>
      <w:tblPr>
        <w:tblStyle w:val="SummaryBox"/>
        <w:tblW w:w="0" w:type="auto"/>
        <w:tblLayout w:type="fixed"/>
        <w:tblLook w:val="04A0" w:firstRow="1" w:lastRow="0" w:firstColumn="1" w:lastColumn="0" w:noHBand="0" w:noVBand="1"/>
      </w:tblPr>
      <w:tblGrid>
        <w:gridCol w:w="8778"/>
      </w:tblGrid>
      <w:tr w:rsidR="001B3AE0" w:rsidRPr="00F72A91" w14:paraId="180E376C" w14:textId="77777777" w:rsidTr="007D07BC">
        <w:tc>
          <w:tcPr>
            <w:tcW w:w="8778" w:type="dxa"/>
          </w:tcPr>
          <w:p w14:paraId="1455EFD1" w14:textId="77777777" w:rsidR="001B3AE0" w:rsidRPr="00F72A91" w:rsidRDefault="001B3AE0" w:rsidP="00597B6B">
            <w:pPr>
              <w:pStyle w:val="ListBullet"/>
              <w:rPr>
                <w:b/>
                <w:bCs/>
              </w:rPr>
            </w:pPr>
            <w:r w:rsidRPr="00F72A91">
              <w:t>OECD analysis suggests that NZ has relatively high taxes on inbound investment.</w:t>
            </w:r>
          </w:p>
          <w:p w14:paraId="3FDDDD6C" w14:textId="6AE96F7C" w:rsidR="001B3AE0" w:rsidRPr="00F72A91" w:rsidRDefault="001B3AE0" w:rsidP="00597B6B">
            <w:pPr>
              <w:pStyle w:val="ListBullet"/>
              <w:rPr>
                <w:b/>
                <w:bCs/>
              </w:rPr>
            </w:pPr>
            <w:r w:rsidRPr="00F72A91">
              <w:t>There are important trade-offs between competing objectives to consider when examining if</w:t>
            </w:r>
            <w:r w:rsidR="001D64AB">
              <w:t>,</w:t>
            </w:r>
            <w:r w:rsidRPr="00F72A91">
              <w:t xml:space="preserve"> or how</w:t>
            </w:r>
            <w:r w:rsidR="001D64AB">
              <w:t>,</w:t>
            </w:r>
            <w:r w:rsidRPr="00F72A91">
              <w:t xml:space="preserve"> to reduce taxes on inbound investment.</w:t>
            </w:r>
          </w:p>
          <w:p w14:paraId="3D84506D" w14:textId="3C6A8DB5" w:rsidR="001B3AE0" w:rsidRPr="00F72A91" w:rsidRDefault="001B3AE0" w:rsidP="00597B6B">
            <w:pPr>
              <w:pStyle w:val="ListBullet"/>
            </w:pPr>
            <w:r w:rsidRPr="00F72A91">
              <w:t>This chapter introduces some possible reform options that will be considered in more detail in later chapters and considers if</w:t>
            </w:r>
            <w:r w:rsidR="001D64AB">
              <w:t>,</w:t>
            </w:r>
            <w:r w:rsidRPr="00F72A91">
              <w:t xml:space="preserve"> and how</w:t>
            </w:r>
            <w:r w:rsidR="001D64AB">
              <w:t>,</w:t>
            </w:r>
            <w:r w:rsidRPr="00F72A91">
              <w:t xml:space="preserve"> they are likely to impact upon these competing objectives.</w:t>
            </w:r>
          </w:p>
        </w:tc>
      </w:tr>
    </w:tbl>
    <w:p w14:paraId="7470EB32" w14:textId="77777777" w:rsidR="001B3AE0" w:rsidRPr="00F72A91" w:rsidRDefault="001B3AE0" w:rsidP="001B3AE0">
      <w:pPr>
        <w:pStyle w:val="Heading2"/>
        <w:rPr>
          <w:rFonts w:eastAsia="Calibri"/>
          <w:lang w:eastAsia="en-US"/>
        </w:rPr>
      </w:pPr>
      <w:bookmarkStart w:id="30" w:name="_Toc96585532"/>
      <w:r w:rsidRPr="00F72A91">
        <w:rPr>
          <w:rFonts w:eastAsia="Calibri"/>
          <w:lang w:eastAsia="en-US"/>
        </w:rPr>
        <w:t>Costs and benefits of reducing costs of capital and EMTRs</w:t>
      </w:r>
      <w:bookmarkEnd w:id="30"/>
    </w:p>
    <w:p w14:paraId="2AFBC983" w14:textId="77777777" w:rsidR="001B3AE0" w:rsidRPr="00F72A91" w:rsidRDefault="001B3AE0" w:rsidP="00075D72">
      <w:pPr>
        <w:pStyle w:val="NumberedParagraph"/>
      </w:pPr>
      <w:r w:rsidRPr="00F72A91">
        <w:t>In chapter 2, we discussed a framework for evaluating taxes on inbound investment in a small open economy. There are trade-offs to consider when deciding on tax settings for inbound investment.</w:t>
      </w:r>
    </w:p>
    <w:p w14:paraId="186E733F" w14:textId="53798E17" w:rsidR="001B3AE0" w:rsidRPr="00F72A91" w:rsidRDefault="001B3AE0" w:rsidP="00075D72">
      <w:pPr>
        <w:pStyle w:val="NumberedParagraph"/>
      </w:pPr>
      <w:r w:rsidRPr="00F72A91">
        <w:t>On the one hand, tax can discourage marginal inbound investment, and this can lower a country’s capital stock and reduce economic performance. The economic incidence of the tax is likely to be borne by domestic residents in a way that is more costly to them than if the same amount of revenue were raised by taxing the incomes of domestic residents directly.</w:t>
      </w:r>
    </w:p>
    <w:p w14:paraId="6047E464" w14:textId="4F7BCCAB" w:rsidR="001B3AE0" w:rsidRPr="00F72A91" w:rsidRDefault="001B3AE0" w:rsidP="00075D72">
      <w:pPr>
        <w:pStyle w:val="NumberedParagraph"/>
      </w:pPr>
      <w:r w:rsidRPr="00F72A91">
        <w:t>On the other hand, we have discussed several reasons for levying source-based taxes. Source-based taxes tax location-specific rents (returns that are better than marginal) on investments that non-residents will want to make in New Zealand regardless of whether they are taxed.</w:t>
      </w:r>
      <w:r w:rsidR="00AE23F9">
        <w:t xml:space="preserve"> Given that New Zealand </w:t>
      </w:r>
      <w:r w:rsidR="007B7796">
        <w:t xml:space="preserve">provides the infrastructure that firms require to generate these rents in New Zealand, there is a </w:t>
      </w:r>
      <w:r w:rsidR="007E1814">
        <w:t xml:space="preserve">reasonable fairness case for New Zealand having a right to </w:t>
      </w:r>
      <w:r w:rsidR="00BE7413">
        <w:t>levy tax on these rents.</w:t>
      </w:r>
    </w:p>
    <w:p w14:paraId="4111CC7C" w14:textId="77777777" w:rsidR="001B3AE0" w:rsidRPr="00F72A91" w:rsidRDefault="001B3AE0" w:rsidP="00075D72">
      <w:pPr>
        <w:pStyle w:val="NumberedParagraph"/>
      </w:pPr>
      <w:r w:rsidRPr="00F72A91">
        <w:t>Options that reduce taxes on sunk investments (investments made in the past) would provide a windfall benefit to those that invested in the past in the expectation of the current company tax rate continuing. The lost revenue stream is likely to be costly to New Zealand, especially when the companies are owned by non-residents. Replacement taxes are likely to fall on New Zealanders.</w:t>
      </w:r>
    </w:p>
    <w:p w14:paraId="62DE8A0F" w14:textId="4DF65DCF" w:rsidR="001B3AE0" w:rsidRPr="00F72A91" w:rsidRDefault="001B3AE0" w:rsidP="00075D72">
      <w:pPr>
        <w:pStyle w:val="NumberedParagraph"/>
      </w:pPr>
      <w:r w:rsidRPr="00F72A91">
        <w:t>Other issues may also be critical. One is the importance that is placed on the company tax base as a source of raising revenue. In its Long-Term Insights Briefing and Long-Term Fiscal Position He Tirohanga Mokopuna 2021, the Treasury has identified long-term fiscal pressures from an ageing population and rising healthcare demand. Moreover, responding to COVID-19 has been fiscally costly. A cut in company tax revenue would create pressure for increases in other taxes or cuts in government spending. Increases in taxes are always controversial.</w:t>
      </w:r>
      <w:r w:rsidR="006F690E">
        <w:t xml:space="preserve"> </w:t>
      </w:r>
      <w:r w:rsidR="00437433">
        <w:t xml:space="preserve">Governments may consider that there is little </w:t>
      </w:r>
      <w:r w:rsidR="00091230">
        <w:t xml:space="preserve">scope </w:t>
      </w:r>
      <w:r w:rsidR="00B270CF">
        <w:t xml:space="preserve">to make changes which </w:t>
      </w:r>
      <w:r w:rsidR="0090262C">
        <w:t xml:space="preserve">lead to a substantial </w:t>
      </w:r>
      <w:r w:rsidR="00B270CF">
        <w:t>reduc</w:t>
      </w:r>
      <w:r w:rsidR="0090262C">
        <w:t>tion in</w:t>
      </w:r>
      <w:r w:rsidR="00B270CF">
        <w:t xml:space="preserve"> company tax collections</w:t>
      </w:r>
      <w:r w:rsidR="00A675D2">
        <w:t>.</w:t>
      </w:r>
    </w:p>
    <w:p w14:paraId="0E635990" w14:textId="457F2984" w:rsidR="001B3AE0" w:rsidRPr="00F72A91" w:rsidRDefault="001B3AE0" w:rsidP="00075D72">
      <w:pPr>
        <w:pStyle w:val="NumberedParagraph"/>
      </w:pPr>
      <w:r w:rsidRPr="00F72A91">
        <w:t xml:space="preserve">Another issue is the distributional effects of any tax changes. There are many ways of lowering costs of capital that can have different distributional effects. However, some, including lowering the company tax rate, may make it harder </w:t>
      </w:r>
      <w:r w:rsidRPr="00F72A91">
        <w:lastRenderedPageBreak/>
        <w:t xml:space="preserve">for the </w:t>
      </w:r>
      <w:r w:rsidR="005F700A">
        <w:t>g</w:t>
      </w:r>
      <w:r w:rsidRPr="00F72A91">
        <w:t>overnment to levy as progressive an income tax on individuals. High income earners may be able to shelter their income in companies and have it taxed at the company rate</w:t>
      </w:r>
      <w:r w:rsidR="00FB3AA2">
        <w:t>,</w:t>
      </w:r>
      <w:r w:rsidRPr="00F72A91">
        <w:t xml:space="preserve"> rather than at higher personal tax rates</w:t>
      </w:r>
      <w:r w:rsidR="00FB3AA2">
        <w:t>,</w:t>
      </w:r>
      <w:r w:rsidRPr="00F72A91">
        <w:t xml:space="preserve"> and a lower company tax rate would increase the benefits of doing so. These concerns might be able to be addressed in other ways, for example, by increasing taxes at the shareholder level. The overall implications of any package of measures on the progressivity of the tax system may be an overriding concern.</w:t>
      </w:r>
    </w:p>
    <w:p w14:paraId="146FA34F" w14:textId="77777777" w:rsidR="001B3AE0" w:rsidRPr="00F72A91" w:rsidRDefault="001B3AE0" w:rsidP="00075D72">
      <w:pPr>
        <w:pStyle w:val="NumberedParagraph"/>
      </w:pPr>
      <w:r w:rsidRPr="00F72A91">
        <w:t>At the same time, chapter 3 provided evidence that New Zealand does appear to be an outlier in the way it taxes inbound investment. Costs of capital and EMTRs are higher in New Zealand than in most other OECD countries. It is reasonable to question whether New Zealand’s tax settings are appropriate or whether we are unnecessarily detracting from New Zealand’s economic performance and lowering productivity more than is desirable by taxing inbound investment relatively heavily.</w:t>
      </w:r>
    </w:p>
    <w:p w14:paraId="19D8D7CE" w14:textId="77777777" w:rsidR="001B3AE0" w:rsidRPr="00F72A91" w:rsidRDefault="001B3AE0" w:rsidP="001B3AE0">
      <w:pPr>
        <w:pStyle w:val="Heading2"/>
        <w:rPr>
          <w:rFonts w:eastAsia="Calibri"/>
          <w:lang w:eastAsia="en-US"/>
        </w:rPr>
      </w:pPr>
      <w:bookmarkStart w:id="31" w:name="_Toc96585533"/>
      <w:r w:rsidRPr="00F72A91">
        <w:rPr>
          <w:rFonts w:eastAsia="Calibri"/>
          <w:lang w:eastAsia="en-US"/>
        </w:rPr>
        <w:t>Choosing between different methods of reducing taxes on inbound investment</w:t>
      </w:r>
      <w:bookmarkEnd w:id="31"/>
    </w:p>
    <w:p w14:paraId="2EDBC5F7" w14:textId="77777777" w:rsidR="001B3AE0" w:rsidRPr="00F72A91" w:rsidRDefault="001B3AE0" w:rsidP="00075D72">
      <w:pPr>
        <w:pStyle w:val="NumberedParagraph"/>
      </w:pPr>
      <w:r w:rsidRPr="00F72A91">
        <w:t>If a government wishes to reduce taxes on inbound investment, several potential aims and objectives will need to be traded off when considering the best way of doing so.</w:t>
      </w:r>
    </w:p>
    <w:p w14:paraId="40465D30" w14:textId="63BA22FB" w:rsidR="001B3AE0" w:rsidRPr="00F72A91" w:rsidRDefault="001B3AE0" w:rsidP="00075D72">
      <w:pPr>
        <w:pStyle w:val="NumberedParagraph"/>
      </w:pPr>
      <w:r w:rsidRPr="00F72A91">
        <w:t xml:space="preserve">In chapter 4, we saw that not only was the current tax system likely to be leading to substantial costs of capital and EMTRs for many assets, </w:t>
      </w:r>
      <w:r w:rsidR="00E61F2B">
        <w:t xml:space="preserve">but </w:t>
      </w:r>
      <w:r w:rsidRPr="00F72A91">
        <w:t>there were also ma</w:t>
      </w:r>
      <w:r w:rsidR="00316691">
        <w:t>jor</w:t>
      </w:r>
      <w:r w:rsidRPr="00F72A91">
        <w:t xml:space="preserve"> biases between</w:t>
      </w:r>
      <w:r w:rsidR="00462588">
        <w:t xml:space="preserve"> different types of</w:t>
      </w:r>
      <w:r w:rsidRPr="00F72A91">
        <w:t xml:space="preserve"> investments</w:t>
      </w:r>
      <w:r w:rsidR="00462588">
        <w:t xml:space="preserve"> and between investments which are financed in different ways</w:t>
      </w:r>
      <w:r w:rsidRPr="00F72A91">
        <w:t>. Our current method of trying to allow for economic depreciation would be neutral if there were no inflation and we were successful in matching our tax depreciation rates to economic depreciation rates. In practice, we will never be able to measure economic depreciation very accurately. Moreover, there are biases created by even minor levels of inflation. Another issue is the way in which costs of capital and EMTRs can vary markedly for multinational firms with different debt levels. Is addressing these current biases an important objective?</w:t>
      </w:r>
    </w:p>
    <w:p w14:paraId="6671C6B6" w14:textId="77777777" w:rsidR="001B3AE0" w:rsidRPr="00F72A91" w:rsidRDefault="001B3AE0" w:rsidP="00075D72">
      <w:pPr>
        <w:pStyle w:val="NumberedParagraph"/>
      </w:pPr>
      <w:r w:rsidRPr="00F72A91">
        <w:t>There are several other issues to consider. First is whether to maintain current levels of tax on location-specific rents. If so, how do we best reduce taxes on marginal investments without reducing taxes on these economic rents at the same time?</w:t>
      </w:r>
    </w:p>
    <w:p w14:paraId="35E130E0" w14:textId="77777777" w:rsidR="001B3AE0" w:rsidRPr="00F72A91" w:rsidRDefault="001B3AE0" w:rsidP="00075D72">
      <w:pPr>
        <w:pStyle w:val="NumberedParagraph"/>
      </w:pPr>
      <w:r w:rsidRPr="00F72A91">
        <w:t>A second issue is whether to minimise windfall gains to firms with sunk investments. About one-third of company profits in New Zealand accrue to foreign-controlled companies. Providing windfall benefits to those firms is likely to be particularly costly to New Zealand if replacement taxes are levied on New Zealanders.</w:t>
      </w:r>
    </w:p>
    <w:p w14:paraId="1B1CC56A" w14:textId="77777777" w:rsidR="001B3AE0" w:rsidRPr="00F72A91" w:rsidRDefault="001B3AE0" w:rsidP="00075D72">
      <w:pPr>
        <w:pStyle w:val="NumberedParagraph"/>
      </w:pPr>
      <w:r w:rsidRPr="00F72A91">
        <w:t>A third issue is that EMTRs are not always positive. As well as having high EMTRs on many investments, we can have negative EMTRs on some heavily debt-financed investments. Should we reduce the size of tax subsidies at the same time as reducing higher EMTRs?</w:t>
      </w:r>
    </w:p>
    <w:p w14:paraId="39CE2449" w14:textId="76DCE89F" w:rsidR="001B3AE0" w:rsidRPr="00F72A91" w:rsidRDefault="001B3AE0" w:rsidP="00075D72">
      <w:pPr>
        <w:pStyle w:val="NumberedParagraph"/>
      </w:pPr>
      <w:r w:rsidRPr="00F72A91">
        <w:t>A fourth issue is whether there is any case for target</w:t>
      </w:r>
      <w:r w:rsidR="003F393E">
        <w:t>ed</w:t>
      </w:r>
      <w:r w:rsidRPr="00F72A91">
        <w:t xml:space="preserve"> tax reductions for particular industries or activities</w:t>
      </w:r>
      <w:r w:rsidR="00582825">
        <w:t>,</w:t>
      </w:r>
      <w:r w:rsidRPr="00F72A91">
        <w:t xml:space="preserve"> rather than reducing taxes on inbound investment in a more general way.</w:t>
      </w:r>
    </w:p>
    <w:p w14:paraId="3452E7E0" w14:textId="77777777" w:rsidR="001B3AE0" w:rsidRPr="00F72A91" w:rsidRDefault="001B3AE0" w:rsidP="00075D72">
      <w:pPr>
        <w:pStyle w:val="NumberedParagraph"/>
      </w:pPr>
      <w:r w:rsidRPr="00F72A91">
        <w:t xml:space="preserve">Finally, there are the questions of how personal income should best be taxed, how any changes in company tax provisions should be integrated with personal taxation, and whether having good integration should be an objective. How governments wish to tax the income of individuals may place constraints on </w:t>
      </w:r>
      <w:r w:rsidRPr="00F72A91">
        <w:lastRenderedPageBreak/>
        <w:t>how they wish to tax companies. This can have implications for costs of capital and EMTRs. Conversely, concerns about costs of capital and EMTRs could lead to a consideration of how personal income itself should best be taxed.</w:t>
      </w:r>
    </w:p>
    <w:p w14:paraId="6B9650AB" w14:textId="77777777" w:rsidR="001B3AE0" w:rsidRPr="00F72A91" w:rsidRDefault="001B3AE0" w:rsidP="001B3AE0">
      <w:pPr>
        <w:pStyle w:val="Heading2"/>
        <w:rPr>
          <w:rFonts w:eastAsia="Calibri"/>
          <w:lang w:eastAsia="en-US"/>
        </w:rPr>
      </w:pPr>
      <w:bookmarkStart w:id="32" w:name="_Toc96585534"/>
      <w:r w:rsidRPr="00F72A91">
        <w:rPr>
          <w:rFonts w:eastAsia="Calibri"/>
          <w:lang w:eastAsia="en-US"/>
        </w:rPr>
        <w:t>Possible options</w:t>
      </w:r>
      <w:bookmarkEnd w:id="32"/>
    </w:p>
    <w:p w14:paraId="00A1973A" w14:textId="13D51C1E" w:rsidR="001B3AE0" w:rsidRPr="00F72A91" w:rsidRDefault="001B3AE0" w:rsidP="00075D72">
      <w:pPr>
        <w:pStyle w:val="NumberedParagraph"/>
      </w:pPr>
      <w:r w:rsidRPr="00F72A91">
        <w:t>There are many ways of reducing costs of capital and EMTRs</w:t>
      </w:r>
      <w:r w:rsidR="00AD5EA8">
        <w:t xml:space="preserve"> with different impacts on tax neutrality</w:t>
      </w:r>
      <w:r w:rsidRPr="00F72A91">
        <w:t xml:space="preserve">. In subsequent chapters we consider a small number of possible options and their pros and cons. The options </w:t>
      </w:r>
      <w:r w:rsidR="004D49A1">
        <w:t xml:space="preserve">chosen </w:t>
      </w:r>
      <w:r w:rsidRPr="00F72A91">
        <w:t xml:space="preserve">are key </w:t>
      </w:r>
      <w:r w:rsidR="004D49A1">
        <w:t>options to consider</w:t>
      </w:r>
      <w:r w:rsidRPr="00F72A91">
        <w:t>, but the list is not meant to be exhaustive.</w:t>
      </w:r>
    </w:p>
    <w:p w14:paraId="52333D26" w14:textId="77777777" w:rsidR="001B3AE0" w:rsidRPr="00F72A91" w:rsidRDefault="001B3AE0" w:rsidP="00075D72">
      <w:pPr>
        <w:pStyle w:val="NumberedParagraph"/>
      </w:pPr>
      <w:r w:rsidRPr="00F72A91">
        <w:t>For example, we discuss the possibility of a company tax rate reduction by itself (without any changes to the full imputation company tax system or any other measures to boost taxes at the shareholder level to maintain the progressivity of the personal income tax system). This would increase the incentive for those with a high income or wealth to shelter their income in companies and have the income taxed at a low company tax rate rather than higher rates of personal tax.</w:t>
      </w:r>
    </w:p>
    <w:p w14:paraId="12BDB3AD" w14:textId="4AA59076" w:rsidR="001B3AE0" w:rsidRPr="00F72A91" w:rsidRDefault="001B3AE0" w:rsidP="00075D72">
      <w:pPr>
        <w:pStyle w:val="NumberedParagraph"/>
      </w:pPr>
      <w:r w:rsidRPr="00F72A91">
        <w:t>In practice, many other options could be considered. For example, the McLeod Review suggested reducing the company tax rate only for foreign-owned firms to lower the tax rate on inbound investment without giving rise to greater tax sheltering problems. Another alternative might be to shift back from an imputation system to the classical company tax system where there is double taxation of dividends and no credits for company tax. This option was discussed in a 2009 paper to the Victoria University of Wellington Tax Working Group</w:t>
      </w:r>
      <w:r w:rsidR="00305FCE">
        <w:t>.</w:t>
      </w:r>
      <w:r w:rsidRPr="00F72A91">
        <w:rPr>
          <w:vertAlign w:val="superscript"/>
        </w:rPr>
        <w:footnoteReference w:id="21"/>
      </w:r>
      <w:r w:rsidRPr="00F72A91">
        <w:t xml:space="preserve"> It might be accompanied by a tax on capital gains on shares. A further option we consider is a dual income tax, but we welcome comments if people think there are other approaches that should be explored in the final briefing.</w:t>
      </w:r>
    </w:p>
    <w:p w14:paraId="12A29CC3" w14:textId="4E8072B5" w:rsidR="001B3AE0" w:rsidRPr="00F72A91" w:rsidRDefault="001B3AE0" w:rsidP="00075D72">
      <w:pPr>
        <w:pStyle w:val="NumberedParagraph"/>
      </w:pPr>
      <w:r w:rsidRPr="00F72A91">
        <w:t xml:space="preserve">At this stage we have not attempted to cost the different options. This is because much of the resulting revenue changes would require assumptions </w:t>
      </w:r>
      <w:r w:rsidR="00A87E95">
        <w:t xml:space="preserve">about </w:t>
      </w:r>
      <w:r w:rsidRPr="00F72A91">
        <w:t>how the rest of the tax system (in particular</w:t>
      </w:r>
      <w:r w:rsidR="00A87E95">
        <w:t>,</w:t>
      </w:r>
      <w:r w:rsidRPr="00F72A91">
        <w:t xml:space="preserve"> the personal tax system) was being changed at the same time. As set out in many of the policy chapters</w:t>
      </w:r>
      <w:r w:rsidR="00820554">
        <w:t xml:space="preserve"> in this draft LTIB (that is</w:t>
      </w:r>
      <w:r w:rsidR="00EB76BF">
        <w:t>,</w:t>
      </w:r>
      <w:r w:rsidR="00820554">
        <w:t xml:space="preserve"> chapters 6 to 12)</w:t>
      </w:r>
      <w:r w:rsidRPr="00F72A91">
        <w:t>, unless changes to the personal tax system were being made, then any reform might make little sense.</w:t>
      </w:r>
    </w:p>
    <w:p w14:paraId="03649F10" w14:textId="77777777" w:rsidR="001B3AE0" w:rsidRPr="00F72A91" w:rsidRDefault="001B3AE0" w:rsidP="00075D72">
      <w:pPr>
        <w:pStyle w:val="NumberedParagraph"/>
      </w:pPr>
      <w:r w:rsidRPr="00F72A91">
        <w:t>The options we have identified include:</w:t>
      </w:r>
    </w:p>
    <w:p w14:paraId="4636E175" w14:textId="77777777" w:rsidR="001B3AE0" w:rsidRPr="00F72A91" w:rsidRDefault="001B3AE0" w:rsidP="00075D72">
      <w:pPr>
        <w:pStyle w:val="NumberedParagraph-BulletL1"/>
      </w:pPr>
      <w:r w:rsidRPr="00075D72">
        <w:rPr>
          <w:b/>
          <w:bCs/>
        </w:rPr>
        <w:t>Lowering the company tax rate</w:t>
      </w:r>
      <w:r w:rsidRPr="00075D72">
        <w:rPr>
          <w:b/>
          <w:bCs/>
          <w:i/>
          <w:iCs/>
        </w:rPr>
        <w:t>:</w:t>
      </w:r>
      <w:r w:rsidRPr="0096767B">
        <w:t xml:space="preserve"> </w:t>
      </w:r>
      <w:r w:rsidRPr="00F72A91">
        <w:t>This is discussed in chapter 6. This option would reduce taxes on marginal investments, which would reduce current biases between investment in different assets and investment financed in different ways. It would reduce distortions caused by inflation as well as tax subsidies for tax-preferred investments with negative EMTRs, at the same time as reducing some of the relatively high EMTRs. It would also reduce taxes on location-specific rents and provide a windfall benefit for owners of sunk investments. As noted above, it is likely to reduce the progressivity of the tax system.</w:t>
      </w:r>
    </w:p>
    <w:p w14:paraId="42742BA2" w14:textId="7CB4C651" w:rsidR="001B3AE0" w:rsidRPr="00F72A91" w:rsidRDefault="001B3AE0" w:rsidP="00075D72">
      <w:pPr>
        <w:pStyle w:val="NumberedParagraph-BulletL1"/>
      </w:pPr>
      <w:r w:rsidRPr="00075D72">
        <w:rPr>
          <w:b/>
          <w:bCs/>
        </w:rPr>
        <w:t>Accelerated depreciation:</w:t>
      </w:r>
      <w:r w:rsidRPr="00075D72">
        <w:rPr>
          <w:i/>
          <w:iCs/>
        </w:rPr>
        <w:t xml:space="preserve"> </w:t>
      </w:r>
      <w:r w:rsidRPr="00F72A91">
        <w:t>This is discussed in chapter 7. This option could lower tax on investments with some of the highest EMTRs. If restricted to new investment only, it would be doing so without providing a windfall to owners of sunk investments. This would constrain the costs but create some other distortions</w:t>
      </w:r>
      <w:r w:rsidR="00702353">
        <w:t xml:space="preserve">. </w:t>
      </w:r>
      <w:r w:rsidRPr="00F72A91">
        <w:t>At times this could lead to investment subsidies and promote inefficient investment.</w:t>
      </w:r>
    </w:p>
    <w:p w14:paraId="7DBAAF6D" w14:textId="54523B48" w:rsidR="001B3AE0" w:rsidRPr="00F72A91" w:rsidRDefault="001B3AE0" w:rsidP="00075D72">
      <w:pPr>
        <w:pStyle w:val="NumberedParagraph-BulletL1"/>
      </w:pPr>
      <w:r w:rsidRPr="00075D72">
        <w:rPr>
          <w:b/>
          <w:bCs/>
        </w:rPr>
        <w:lastRenderedPageBreak/>
        <w:t>Indexation of the tax base:</w:t>
      </w:r>
      <w:r w:rsidRPr="0096767B">
        <w:t xml:space="preserve"> </w:t>
      </w:r>
      <w:r w:rsidRPr="00F72A91">
        <w:t>This is discussed in chapter 8. Some of the highest EMTRs are likely to be for short-lived depreciating assets and inventories, and these EMTRs will typically increase with inflation. One way of reducing these EMTRs would be to index the tax system comprehensively. This would be likely to reduce the highest EMTRs and make the tax system more neutral. No longer taxing the inflationary component of interest income is also likely to reduce savings distortions. The key argument against comprehensive indexation is the administration and compliance costs it is likely to impose. This could be a fatal objection at present, although greater adoption of digital accounting packages may make indexation more and more feasible in the future. An alternative might be to index depreciation</w:t>
      </w:r>
      <w:r w:rsidR="00E635C9">
        <w:t>,</w:t>
      </w:r>
      <w:r w:rsidRPr="00F72A91">
        <w:t xml:space="preserve"> or both depreciation and inventories</w:t>
      </w:r>
      <w:r w:rsidR="00E635C9">
        <w:t>,</w:t>
      </w:r>
      <w:r w:rsidRPr="00F72A91">
        <w:t xml:space="preserve"> but not interest. As with accelerated depreciation measures, this could at times lead to investment subsidies and promote inefficient investment. It might, however, be a more neutral way of dealing with distortions caused by inflation than allowing accelerated depreciation.</w:t>
      </w:r>
    </w:p>
    <w:p w14:paraId="7DE8F708" w14:textId="641A9533" w:rsidR="001B3AE0" w:rsidRPr="00F72A91" w:rsidRDefault="001B3AE0" w:rsidP="00075D72">
      <w:pPr>
        <w:pStyle w:val="NumberedParagraph-BulletL1"/>
      </w:pPr>
      <w:r w:rsidRPr="00075D72">
        <w:rPr>
          <w:b/>
          <w:bCs/>
        </w:rPr>
        <w:t>A higher (less stringent) thin capitalisation threshold:</w:t>
      </w:r>
      <w:r w:rsidRPr="0096767B">
        <w:t xml:space="preserve"> </w:t>
      </w:r>
      <w:r w:rsidRPr="00F72A91">
        <w:t>This is discussed in chapter 9. This option would reduce costs of capital and EMTRs, but it would only do so for foreign-controlled firms. It is also likely only to be effective for firms that are trying to maximise their interest deductions and are close to the current thin capitalisation threshold. Data suggest</w:t>
      </w:r>
      <w:r w:rsidR="000818E6">
        <w:t>s</w:t>
      </w:r>
      <w:r w:rsidRPr="00F72A91">
        <w:t xml:space="preserve"> that many foreign-controlled firms are not in that position.</w:t>
      </w:r>
    </w:p>
    <w:p w14:paraId="6D59F9A5" w14:textId="4F400738" w:rsidR="001B3AE0" w:rsidRPr="00F72A91" w:rsidRDefault="00A15AAB" w:rsidP="00075D72">
      <w:pPr>
        <w:pStyle w:val="NumberedParagraph-BulletL1"/>
      </w:pPr>
      <w:r w:rsidRPr="00075D72">
        <w:rPr>
          <w:b/>
          <w:bCs/>
        </w:rPr>
        <w:t xml:space="preserve">Allowance for </w:t>
      </w:r>
      <w:r w:rsidR="00F41A5C" w:rsidRPr="00075D72">
        <w:rPr>
          <w:b/>
          <w:bCs/>
        </w:rPr>
        <w:t>corporate equity (</w:t>
      </w:r>
      <w:r w:rsidR="001B3AE0" w:rsidRPr="00075D72">
        <w:rPr>
          <w:b/>
          <w:bCs/>
        </w:rPr>
        <w:t>ACE</w:t>
      </w:r>
      <w:r w:rsidR="00F41A5C" w:rsidRPr="00075D72">
        <w:rPr>
          <w:b/>
          <w:bCs/>
        </w:rPr>
        <w:t>)</w:t>
      </w:r>
      <w:r w:rsidR="001B3AE0" w:rsidRPr="00075D72">
        <w:rPr>
          <w:b/>
          <w:bCs/>
        </w:rPr>
        <w:t xml:space="preserve"> system:</w:t>
      </w:r>
      <w:r w:rsidR="001B3AE0" w:rsidRPr="0096767B">
        <w:t xml:space="preserve"> </w:t>
      </w:r>
      <w:r w:rsidR="001B3AE0" w:rsidRPr="00F72A91">
        <w:t>This would involve allowing firms a notional interest deduction for corporate equity and is discussed in chapter 10. In principle, it could reduce taxes on marginal inbound investment without forgoing tax on economic rents. It could also reduce or remove debt/equity biases. Some ACE systems have been designed to apply only to new investments to minimise windfalls. A key question is whether it is possible to minimise windfalls in a country like New Zealand without a capital gains tax. There is also the question of how such a tax would integrate with the personal tax system. This is difficult without a capital gains tax at least on sales of shares.</w:t>
      </w:r>
    </w:p>
    <w:p w14:paraId="2FCB2601" w14:textId="71B92307" w:rsidR="001B3AE0" w:rsidRPr="00F72A91" w:rsidRDefault="001B3AE0" w:rsidP="00075D72">
      <w:pPr>
        <w:pStyle w:val="NumberedParagraph-BulletL1"/>
      </w:pPr>
      <w:r w:rsidRPr="00075D72">
        <w:rPr>
          <w:b/>
          <w:bCs/>
        </w:rPr>
        <w:t>Specific incentives for certain types of business investment:</w:t>
      </w:r>
      <w:r w:rsidRPr="0096767B">
        <w:t xml:space="preserve"> </w:t>
      </w:r>
      <w:r w:rsidRPr="00F72A91">
        <w:t>This is discussed in chapter 11. Rather than providing measures that reduce costs of capital and EMTRs generally, this option would involve tax cuts targeted at specific investments.</w:t>
      </w:r>
    </w:p>
    <w:p w14:paraId="363A4B23" w14:textId="24F7A9AC" w:rsidR="001B3AE0" w:rsidRPr="003272BC" w:rsidRDefault="001B3AE0" w:rsidP="00586800">
      <w:pPr>
        <w:pStyle w:val="NumberedParagraph-BulletL1"/>
      </w:pPr>
      <w:r w:rsidRPr="003272BC">
        <w:rPr>
          <w:b/>
          <w:bCs/>
        </w:rPr>
        <w:t>Dual income tax system:</w:t>
      </w:r>
      <w:r w:rsidRPr="0096767B">
        <w:t xml:space="preserve"> </w:t>
      </w:r>
      <w:r w:rsidRPr="00F72A91">
        <w:t>This is discussed in chapter 12. This option would allow a lower company tax rate on inbound investment income in a way that would integrate well with personal income taxation. Dual income tax systems have been adopted in several Nordic countries, so their performance can be assessed. Despite involving a lower tax rate on capital income than on labour income, the system has been adopted by several countries with quite progressive fiscal systems. However, a move in this direction would go well beyond addressing cost of capital concerns. Decisions would need to be made that it was fair and reasonable to tax capital income at lower rates than labour incomes. At the same time</w:t>
      </w:r>
      <w:r w:rsidR="00872F93">
        <w:t>,</w:t>
      </w:r>
      <w:r w:rsidRPr="00F72A91">
        <w:t xml:space="preserve"> a dual income tax system may possibly be used to support progressive tax rates on forms of income that can be taxed without too much distortion or evasion.</w:t>
      </w:r>
    </w:p>
    <w:p w14:paraId="75614079" w14:textId="77777777" w:rsidR="001B3AE0" w:rsidRPr="004B1C56" w:rsidRDefault="001B3AE0" w:rsidP="001B3AE0">
      <w:pPr>
        <w:pStyle w:val="Heading1"/>
        <w:rPr>
          <w:rFonts w:eastAsia="Calibri"/>
          <w:lang w:eastAsia="en-US"/>
        </w:rPr>
      </w:pPr>
      <w:r w:rsidRPr="004B1C56">
        <w:rPr>
          <w:rFonts w:eastAsia="Calibri"/>
          <w:lang w:eastAsia="en-US"/>
        </w:rPr>
        <w:lastRenderedPageBreak/>
        <w:br/>
      </w:r>
      <w:r w:rsidRPr="004B1C56">
        <w:rPr>
          <w:rFonts w:eastAsia="Calibri"/>
          <w:lang w:eastAsia="en-US"/>
        </w:rPr>
        <w:br/>
      </w:r>
      <w:bookmarkStart w:id="33" w:name="_Toc96585535"/>
      <w:r w:rsidRPr="004B1C56">
        <w:rPr>
          <w:rFonts w:eastAsia="Calibri"/>
          <w:lang w:eastAsia="en-US"/>
        </w:rPr>
        <w:t>Reducing the company tax rate</w:t>
      </w:r>
      <w:bookmarkEnd w:id="33"/>
    </w:p>
    <w:tbl>
      <w:tblPr>
        <w:tblStyle w:val="SummaryBox"/>
        <w:tblW w:w="0" w:type="auto"/>
        <w:tblLayout w:type="fixed"/>
        <w:tblLook w:val="04A0" w:firstRow="1" w:lastRow="0" w:firstColumn="1" w:lastColumn="0" w:noHBand="0" w:noVBand="1"/>
      </w:tblPr>
      <w:tblGrid>
        <w:gridCol w:w="8778"/>
      </w:tblGrid>
      <w:tr w:rsidR="001B3AE0" w:rsidRPr="00F72A91" w14:paraId="2AE5B6C6" w14:textId="77777777" w:rsidTr="007D07BC">
        <w:tc>
          <w:tcPr>
            <w:tcW w:w="8778" w:type="dxa"/>
          </w:tcPr>
          <w:p w14:paraId="2EF35C17" w14:textId="77777777" w:rsidR="001B3AE0" w:rsidRPr="00F72A91" w:rsidRDefault="001B3AE0" w:rsidP="00597B6B">
            <w:pPr>
              <w:pStyle w:val="ListBullet"/>
            </w:pPr>
            <w:r w:rsidRPr="00F72A91">
              <w:t>Reducing the company tax rate would reduce the relatively high costs of capital and EMTRs for many forms of investment into New Zealand.</w:t>
            </w:r>
          </w:p>
          <w:p w14:paraId="4920BB31" w14:textId="5D168170" w:rsidR="001B3AE0" w:rsidRPr="00F72A91" w:rsidRDefault="001B3AE0" w:rsidP="00597B6B">
            <w:pPr>
              <w:pStyle w:val="ListBullet"/>
            </w:pPr>
            <w:r w:rsidRPr="00F72A91">
              <w:t>To the extent that this encourages investment that would otherwise not take place</w:t>
            </w:r>
            <w:r w:rsidR="003F6887">
              <w:t>,</w:t>
            </w:r>
            <w:r w:rsidRPr="00F72A91">
              <w:t xml:space="preserve"> this is likely to promote economic efficiency and productivity.</w:t>
            </w:r>
          </w:p>
          <w:p w14:paraId="07BA22AB" w14:textId="77777777" w:rsidR="001B3AE0" w:rsidRPr="00F72A91" w:rsidRDefault="001B3AE0" w:rsidP="00597B6B">
            <w:pPr>
              <w:pStyle w:val="ListBullet"/>
            </w:pPr>
            <w:r w:rsidRPr="00F72A91">
              <w:t>This would also reduce distortions between different types of assets and different methods of finance and reduce distortions that arise because of difficulties in measuring economic income.</w:t>
            </w:r>
          </w:p>
          <w:p w14:paraId="0AD0A1C3" w14:textId="49F64DF3" w:rsidR="001B3AE0" w:rsidRPr="00F72A91" w:rsidRDefault="001B3AE0" w:rsidP="00597B6B">
            <w:pPr>
              <w:pStyle w:val="ListBullet"/>
            </w:pPr>
            <w:r w:rsidRPr="00F72A91">
              <w:t>It would also reduce transfer</w:t>
            </w:r>
            <w:r w:rsidR="002C1945">
              <w:t xml:space="preserve"> </w:t>
            </w:r>
            <w:r w:rsidRPr="00F72A91">
              <w:t>pricing pressures.</w:t>
            </w:r>
          </w:p>
          <w:p w14:paraId="00DA6CB1" w14:textId="4902DEB5" w:rsidR="001B3AE0" w:rsidRPr="00F72A91" w:rsidRDefault="001B3AE0" w:rsidP="00597B6B">
            <w:pPr>
              <w:pStyle w:val="ListBullet"/>
            </w:pPr>
            <w:r w:rsidRPr="00F72A91">
              <w:t xml:space="preserve">At the same time, there are trade-offs </w:t>
            </w:r>
            <w:r w:rsidR="00C2173B">
              <w:t xml:space="preserve">to consider. This would provide a windfall to </w:t>
            </w:r>
            <w:r w:rsidR="007107CE">
              <w:t>firms with</w:t>
            </w:r>
            <w:r w:rsidRPr="00F72A91">
              <w:t xml:space="preserve"> existing investments</w:t>
            </w:r>
            <w:r w:rsidR="007107CE">
              <w:t xml:space="preserve"> and to firms earning</w:t>
            </w:r>
            <w:r w:rsidRPr="00F72A91">
              <w:t xml:space="preserve"> location-specific economic rents </w:t>
            </w:r>
            <w:r w:rsidR="0002641D">
              <w:t xml:space="preserve">that would invest irrespective of whether there were a cut in </w:t>
            </w:r>
            <w:r w:rsidR="00EA70DF">
              <w:t>the company tax rate</w:t>
            </w:r>
            <w:r w:rsidRPr="00F72A91">
              <w:t>.</w:t>
            </w:r>
          </w:p>
          <w:p w14:paraId="56887447" w14:textId="7F0F194A" w:rsidR="001B3AE0" w:rsidRPr="00F72A91" w:rsidRDefault="001B3AE0" w:rsidP="00597B6B">
            <w:pPr>
              <w:pStyle w:val="ListBullet"/>
            </w:pPr>
            <w:r w:rsidRPr="00F72A91">
              <w:t xml:space="preserve">Unless accompanied by higher taxes at the shareholder level, a reduction in the company tax rate is likely to make the personal income tax system less progressive </w:t>
            </w:r>
            <w:r w:rsidR="007A017B">
              <w:t>and</w:t>
            </w:r>
            <w:r w:rsidRPr="00F72A91">
              <w:t xml:space="preserve"> increas</w:t>
            </w:r>
            <w:r w:rsidR="007A017B">
              <w:t>e</w:t>
            </w:r>
            <w:r w:rsidRPr="00F72A91">
              <w:t xml:space="preserve"> the benefits of sheltering personal income in companies.</w:t>
            </w:r>
          </w:p>
          <w:p w14:paraId="4BE1A78D" w14:textId="77777777" w:rsidR="001B3AE0" w:rsidRPr="00F72A91" w:rsidRDefault="001B3AE0" w:rsidP="00597B6B">
            <w:pPr>
              <w:pStyle w:val="ListBullet"/>
            </w:pPr>
            <w:r w:rsidRPr="00F72A91">
              <w:t>This is likely to reduce the integrity of the personal income tax system.</w:t>
            </w:r>
          </w:p>
        </w:tc>
      </w:tr>
    </w:tbl>
    <w:p w14:paraId="49A188A5" w14:textId="77777777" w:rsidR="001B3AE0" w:rsidRPr="00F72A91" w:rsidRDefault="001B3AE0" w:rsidP="001B3AE0">
      <w:pPr>
        <w:pStyle w:val="Heading2"/>
        <w:rPr>
          <w:rFonts w:eastAsia="Calibri" w:cs="Segoe UI"/>
          <w:sz w:val="16"/>
          <w:szCs w:val="16"/>
          <w:lang w:eastAsia="en-US"/>
        </w:rPr>
      </w:pPr>
      <w:bookmarkStart w:id="34" w:name="_Toc96585536"/>
      <w:r w:rsidRPr="00F72A91">
        <w:rPr>
          <w:rFonts w:eastAsia="Calibri"/>
          <w:lang w:eastAsia="en-US"/>
        </w:rPr>
        <w:t>Introduction</w:t>
      </w:r>
      <w:bookmarkEnd w:id="34"/>
    </w:p>
    <w:p w14:paraId="5503FD0E" w14:textId="77777777" w:rsidR="001B3AE0" w:rsidRPr="00F72A91" w:rsidRDefault="001B3AE0" w:rsidP="00075D72">
      <w:pPr>
        <w:pStyle w:val="NumberedParagraph"/>
      </w:pPr>
      <w:r w:rsidRPr="00F72A91">
        <w:t>Company tax is the major tax on inbound investment in New Zealand and changes to the company rate can have a significant effect on costs of capital and EMTRs.</w:t>
      </w:r>
    </w:p>
    <w:p w14:paraId="150FD722" w14:textId="34D1D87A" w:rsidR="001B3AE0" w:rsidRPr="00F72A91" w:rsidRDefault="001B3AE0" w:rsidP="00075D72">
      <w:pPr>
        <w:pStyle w:val="NumberedParagraph"/>
      </w:pPr>
      <w:r w:rsidRPr="00F72A91">
        <w:t>One of the many ways the cost of capital can be lowered in New Zealand is by reducing the company tax rate from the current 28%. This would reduce marginal taxation on inbound investment and potentially attract foreign investment. It might attract some additional firms to set up operations in New Zealand. However, this policy option comes with trade-offs</w:t>
      </w:r>
      <w:r w:rsidR="009C75E4">
        <w:t>,</w:t>
      </w:r>
      <w:r w:rsidRPr="00F72A91">
        <w:t xml:space="preserve"> such as loss of taxation from location-specific economic rents and more scope for personal income to be sheltered in companies. This could reduce the progressivity and integrity of the personal income tax.</w:t>
      </w:r>
    </w:p>
    <w:p w14:paraId="1BBCED0D" w14:textId="77777777" w:rsidR="001B3AE0" w:rsidRPr="00F72A91" w:rsidRDefault="001B3AE0" w:rsidP="001B3AE0">
      <w:pPr>
        <w:pStyle w:val="Heading2"/>
        <w:rPr>
          <w:rFonts w:eastAsia="Calibri" w:cs="Segoe UI"/>
          <w:sz w:val="16"/>
          <w:szCs w:val="16"/>
          <w:lang w:eastAsia="en-US"/>
        </w:rPr>
      </w:pPr>
      <w:bookmarkStart w:id="35" w:name="_Toc96585537"/>
      <w:r w:rsidRPr="00F72A91">
        <w:rPr>
          <w:rFonts w:eastAsia="Calibri"/>
          <w:lang w:eastAsia="en-US"/>
        </w:rPr>
        <w:t>The dual role of company tax</w:t>
      </w:r>
      <w:bookmarkEnd w:id="35"/>
    </w:p>
    <w:p w14:paraId="39DEB9F4" w14:textId="716A8B9F" w:rsidR="001B3AE0" w:rsidRPr="00F72A91" w:rsidRDefault="001B3AE0" w:rsidP="00075D72">
      <w:pPr>
        <w:pStyle w:val="NumberedParagraph"/>
      </w:pPr>
      <w:r w:rsidRPr="00F72A91">
        <w:t>Company tax has two roles. One supports the coherence of personal tax settings and makes sure that higher income earners do</w:t>
      </w:r>
      <w:r w:rsidR="00DF0CBA">
        <w:t xml:space="preserve"> </w:t>
      </w:r>
      <w:r w:rsidRPr="00F72A91">
        <w:t>n</w:t>
      </w:r>
      <w:r w:rsidR="00DF0CBA">
        <w:t>o</w:t>
      </w:r>
      <w:r w:rsidRPr="00F72A91">
        <w:t>t pay very low rates of tax on the income they earn. The second role is to tax income earned by non-resident investors investing into New Zealand, both as foreign direct investment (FDI) by foreign-controlled entities and foreign portfolio investment (FPI) into domestic companies.</w:t>
      </w:r>
    </w:p>
    <w:p w14:paraId="3090A241" w14:textId="15CD566B" w:rsidR="001B3AE0" w:rsidRPr="00F72A91" w:rsidRDefault="001B3AE0" w:rsidP="00075D72">
      <w:pPr>
        <w:pStyle w:val="NumberedParagraph"/>
      </w:pPr>
      <w:r w:rsidRPr="00F72A91">
        <w:t xml:space="preserve">Supporting the coherence of personal income </w:t>
      </w:r>
      <w:r w:rsidR="00E667AE">
        <w:t xml:space="preserve">tax </w:t>
      </w:r>
      <w:r w:rsidRPr="00F72A91">
        <w:t xml:space="preserve">settings creates a motivation to make the company rate as close to the top personal rate as possible. If the </w:t>
      </w:r>
      <w:r w:rsidRPr="00F72A91">
        <w:lastRenderedPageBreak/>
        <w:t>company rate is significantly lower than the top personal rate, there is an incentive for those with high income and wealth to use companies to shelter income from higher rates of personal tax.</w:t>
      </w:r>
    </w:p>
    <w:p w14:paraId="37AD5E92" w14:textId="1F7B41A8" w:rsidR="001B3AE0" w:rsidRPr="00F72A91" w:rsidRDefault="001B3AE0" w:rsidP="00075D72">
      <w:pPr>
        <w:pStyle w:val="NumberedParagraph"/>
      </w:pPr>
      <w:r w:rsidRPr="00F72A91">
        <w:t>However, company tax is also a tax on non-resident investment into New Zealand and high taxes may reduce investment, capital stock and economic performance. Concerns about taxes on marginal inbound investment and the cost of capital may create an opposing motivation to cut the company rate.</w:t>
      </w:r>
    </w:p>
    <w:p w14:paraId="1111E168" w14:textId="481F7396" w:rsidR="001B3AE0" w:rsidRPr="00F72A91" w:rsidRDefault="001B3AE0" w:rsidP="00075D72">
      <w:pPr>
        <w:pStyle w:val="NumberedParagraph"/>
      </w:pPr>
      <w:r w:rsidRPr="00F72A91">
        <w:t>This dual role was acknowledged in the 2001 McLeod Tax Review, which led to a consideration of cutting the company rate</w:t>
      </w:r>
      <w:r w:rsidR="001266C5">
        <w:t>,</w:t>
      </w:r>
      <w:r w:rsidRPr="00F72A91">
        <w:t xml:space="preserve"> but only to the extent </w:t>
      </w:r>
      <w:r w:rsidR="00292562">
        <w:t>that</w:t>
      </w:r>
      <w:r w:rsidRPr="00F72A91">
        <w:t xml:space="preserve"> i</w:t>
      </w:r>
      <w:r w:rsidR="00292562">
        <w:t>t</w:t>
      </w:r>
      <w:r w:rsidRPr="00F72A91">
        <w:t xml:space="preserve"> applied to non-resident shareholding. This </w:t>
      </w:r>
      <w:r w:rsidR="000554B3">
        <w:t xml:space="preserve">would </w:t>
      </w:r>
      <w:r w:rsidRPr="00F72A91">
        <w:t>mean that companies owned by domestic residents would continue to be taxed closer to the top personal rate.</w:t>
      </w:r>
    </w:p>
    <w:p w14:paraId="76010880" w14:textId="50E06EC3" w:rsidR="001B3AE0" w:rsidRPr="00F72A91" w:rsidRDefault="001B3AE0" w:rsidP="00075D72">
      <w:pPr>
        <w:pStyle w:val="NumberedParagraph"/>
      </w:pPr>
      <w:r w:rsidRPr="00F72A91">
        <w:t>The Review further suggested restric</w:t>
      </w:r>
      <w:r>
        <w:t>t</w:t>
      </w:r>
      <w:r w:rsidRPr="00F72A91">
        <w:t>ing this cut to new activities</w:t>
      </w:r>
      <w:r w:rsidR="00904813">
        <w:t>,</w:t>
      </w:r>
      <w:r w:rsidRPr="00F72A91">
        <w:t xml:space="preserve"> or significant expansions of existing activities</w:t>
      </w:r>
      <w:r w:rsidR="00904813">
        <w:t>,</w:t>
      </w:r>
      <w:r w:rsidRPr="00F72A91">
        <w:t xml:space="preserve"> by non-residents. This would more narrowly target new investment by non-residents, which would avoid providing a significant windfall to those who ha</w:t>
      </w:r>
      <w:r w:rsidR="00E07B80">
        <w:t>d</w:t>
      </w:r>
      <w:r w:rsidRPr="00F72A91">
        <w:t xml:space="preserve"> invested in the past. It would mean that the tax cut </w:t>
      </w:r>
      <w:r w:rsidR="0031779D">
        <w:t>was</w:t>
      </w:r>
      <w:r w:rsidRPr="00F72A91">
        <w:t xml:space="preserve"> focused where investment responses </w:t>
      </w:r>
      <w:r w:rsidR="000340AF">
        <w:t>we</w:t>
      </w:r>
      <w:r w:rsidRPr="00F72A91">
        <w:t>re likely to be sensitive to tax.</w:t>
      </w:r>
    </w:p>
    <w:p w14:paraId="20B01FC5" w14:textId="57AC42D5" w:rsidR="001B3AE0" w:rsidRPr="00F72A91" w:rsidRDefault="001B3AE0" w:rsidP="00075D72">
      <w:pPr>
        <w:pStyle w:val="NumberedParagraph"/>
      </w:pPr>
      <w:r w:rsidRPr="00F72A91">
        <w:t xml:space="preserve">The McLeod Review suggestion was a logical and more targeted response to cost of capital concerns </w:t>
      </w:r>
      <w:r w:rsidR="000340AF">
        <w:t>that</w:t>
      </w:r>
      <w:r w:rsidRPr="00F72A91">
        <w:t xml:space="preserve"> takes into account the dual nature of company tax. In practice, we suspect that it may be difficult to limit a company tax cut to new investment only. It could seem unfair to firms replacing their capital stock if existing firms face a different tax rate from new firms.</w:t>
      </w:r>
      <w:r w:rsidRPr="00F72A91">
        <w:rPr>
          <w:rFonts w:cs="Calibri"/>
          <w:vertAlign w:val="superscript"/>
        </w:rPr>
        <w:footnoteReference w:id="22"/>
      </w:r>
      <w:r w:rsidRPr="00F72A91">
        <w:t xml:space="preserve"> Having a lower tax on foreign-owned firms is not common internationally</w:t>
      </w:r>
      <w:r w:rsidR="006648E0">
        <w:t>,</w:t>
      </w:r>
      <w:r w:rsidRPr="00F72A91">
        <w:t xml:space="preserve"> and its economic justification is likely to be difficult to explain to domestic businesses who think they also should benefit from a company </w:t>
      </w:r>
      <w:r w:rsidR="0086260C">
        <w:t xml:space="preserve">tax </w:t>
      </w:r>
      <w:r w:rsidRPr="00F72A91">
        <w:t>rate cut.</w:t>
      </w:r>
    </w:p>
    <w:p w14:paraId="1FBF996B" w14:textId="376C4DAA" w:rsidR="001B3AE0" w:rsidRPr="00F72A91" w:rsidRDefault="001B3AE0" w:rsidP="00075D72">
      <w:pPr>
        <w:pStyle w:val="NumberedParagraph"/>
      </w:pPr>
      <w:r w:rsidRPr="00F72A91">
        <w:t>In this chapter, we focus on the implications of a general cut to the company rate for both New Zealand residents and non-residents. There are other more targeted options</w:t>
      </w:r>
      <w:r w:rsidR="007A27E8">
        <w:t>,</w:t>
      </w:r>
      <w:r w:rsidRPr="00F72A91">
        <w:t xml:space="preserve"> such as the McLeod Review suggestion</w:t>
      </w:r>
      <w:r w:rsidR="007A27E8">
        <w:t>,</w:t>
      </w:r>
      <w:r w:rsidRPr="00F72A91">
        <w:t xml:space="preserve"> that could also be considered</w:t>
      </w:r>
      <w:r w:rsidR="00EC5AD4">
        <w:t xml:space="preserve">. These </w:t>
      </w:r>
      <w:r w:rsidRPr="00F72A91">
        <w:t>could reduce some of the downsides of the company tax rate cut that we consider.</w:t>
      </w:r>
    </w:p>
    <w:p w14:paraId="146D50FA" w14:textId="77777777" w:rsidR="001B3AE0" w:rsidRPr="00F72A91" w:rsidRDefault="001B3AE0" w:rsidP="001B3AE0">
      <w:pPr>
        <w:pStyle w:val="Heading2"/>
        <w:rPr>
          <w:rFonts w:eastAsia="Calibri"/>
          <w:lang w:eastAsia="en-US"/>
        </w:rPr>
      </w:pPr>
      <w:bookmarkStart w:id="36" w:name="_Toc96585538"/>
      <w:r w:rsidRPr="00F72A91">
        <w:rPr>
          <w:rFonts w:eastAsia="Calibri"/>
          <w:lang w:eastAsia="en-US"/>
        </w:rPr>
        <w:t>Impact on costs of capital and EMTRs</w:t>
      </w:r>
      <w:bookmarkEnd w:id="36"/>
    </w:p>
    <w:p w14:paraId="40C835A7" w14:textId="77777777" w:rsidR="001B3AE0" w:rsidRPr="00F72A91" w:rsidRDefault="001B3AE0" w:rsidP="00075D72">
      <w:pPr>
        <w:pStyle w:val="NumberedParagraph"/>
      </w:pPr>
      <w:r w:rsidRPr="00F72A91">
        <w:t>In chapter 4 we discussed how inflation and the mismeasurement of income could affect costs of capital and EMTRs.</w:t>
      </w:r>
    </w:p>
    <w:p w14:paraId="5BBF0F4C" w14:textId="33C11F92" w:rsidR="001B3AE0" w:rsidRPr="00F72A91" w:rsidRDefault="001B3AE0" w:rsidP="00075D72">
      <w:pPr>
        <w:pStyle w:val="NumberedParagraph"/>
      </w:pPr>
      <w:r w:rsidRPr="00F72A91">
        <w:t xml:space="preserve">Costs of capital and EMTRs are estimated in table </w:t>
      </w:r>
      <w:r>
        <w:t>6.1</w:t>
      </w:r>
      <w:r w:rsidRPr="00F72A91">
        <w:t xml:space="preserve"> for a domestic company with marginal foreign portfolio shareholders </w:t>
      </w:r>
      <w:r w:rsidR="00C048E3">
        <w:t xml:space="preserve">and </w:t>
      </w:r>
      <w:r w:rsidRPr="00F72A91">
        <w:t>assuming that there is a world real interest rate of 3% and 2% per annum inflation in New Zealand. We assume that foreign shareholders demand a real return of 3% on their funds net of any domestic taxes</w:t>
      </w:r>
      <w:r w:rsidR="002A6B5B">
        <w:t>,</w:t>
      </w:r>
      <w:r w:rsidRPr="00F72A91">
        <w:t xml:space="preserve"> as do foreign lenders. Because of the approved issuer levy (AIL)</w:t>
      </w:r>
      <w:r w:rsidR="008C0955">
        <w:t>,</w:t>
      </w:r>
      <w:r w:rsidRPr="00F72A91">
        <w:t xml:space="preserve"> the domestic real interest rate is bid up to 3.10%. We assume that firms are 43% debt financed and the depreciation deductions are set to mirror how assets would depreciate in the absence of inflation for plant, machinery and equipment (PME).</w:t>
      </w:r>
    </w:p>
    <w:p w14:paraId="4BBAC953" w14:textId="10C9C2B7" w:rsidR="001B3AE0" w:rsidRPr="00F72A91" w:rsidRDefault="001B3AE0" w:rsidP="00075D72">
      <w:pPr>
        <w:pStyle w:val="NumberedParagraph"/>
      </w:pPr>
      <w:r w:rsidRPr="00F72A91">
        <w:t>We examine three possible company tax rates: 28</w:t>
      </w:r>
      <w:r w:rsidR="00D91B47">
        <w:t>%</w:t>
      </w:r>
      <w:r w:rsidRPr="00F72A91">
        <w:t>, 24</w:t>
      </w:r>
      <w:r w:rsidR="00D91B47">
        <w:t>%</w:t>
      </w:r>
      <w:r w:rsidRPr="00F72A91">
        <w:t xml:space="preserve"> and 20</w:t>
      </w:r>
      <w:r w:rsidR="00D91B47">
        <w:t>%</w:t>
      </w:r>
      <w:r w:rsidRPr="00F72A91">
        <w:t>.</w:t>
      </w:r>
    </w:p>
    <w:p w14:paraId="57CA5283" w14:textId="273FABB7" w:rsidR="001B3AE0" w:rsidRPr="007D3388" w:rsidRDefault="001B3AE0" w:rsidP="003B6F2B">
      <w:pPr>
        <w:pStyle w:val="Caption"/>
        <w:keepLines/>
        <w:ind w:left="-426" w:right="-426"/>
        <w:rPr>
          <w:rFonts w:eastAsia="Calibri"/>
        </w:rPr>
      </w:pPr>
      <w:r w:rsidRPr="00A24665">
        <w:rPr>
          <w:rFonts w:eastAsia="Calibri"/>
        </w:rPr>
        <w:lastRenderedPageBreak/>
        <w:t>Tabl</w:t>
      </w:r>
      <w:r w:rsidRPr="0006740C">
        <w:rPr>
          <w:rFonts w:eastAsia="Calibri"/>
        </w:rPr>
        <w:t xml:space="preserve">e </w:t>
      </w:r>
      <w:r w:rsidRPr="0059107C">
        <w:rPr>
          <w:rFonts w:eastAsia="Calibri"/>
        </w:rPr>
        <w:t>6.1</w:t>
      </w:r>
      <w:r w:rsidRPr="00A24665">
        <w:rPr>
          <w:rFonts w:eastAsia="Calibri"/>
        </w:rPr>
        <w:t>: Costs</w:t>
      </w:r>
      <w:r>
        <w:rPr>
          <w:rFonts w:eastAsia="Calibri"/>
        </w:rPr>
        <w:t xml:space="preserve"> of capital and EMTRs, companies, debt</w:t>
      </w:r>
      <w:r w:rsidRPr="007D3388">
        <w:rPr>
          <w:rFonts w:eastAsia="Calibri"/>
        </w:rPr>
        <w:t xml:space="preserve"> = 43%, r = 3%, </w:t>
      </w:r>
      <w:r w:rsidR="00D86886">
        <w:rPr>
          <w:rFonts w:eastAsia="Calibri"/>
        </w:rPr>
        <w:br/>
      </w:r>
      <w:r w:rsidRPr="007D3388">
        <w:rPr>
          <w:rFonts w:eastAsia="Calibri"/>
        </w:rPr>
        <w:t>inflation = 2%, AIL</w:t>
      </w:r>
      <w:r w:rsidR="00573A4C">
        <w:rPr>
          <w:rFonts w:eastAsia="Calibri"/>
        </w:rPr>
        <w:t xml:space="preserve"> = 2%</w:t>
      </w:r>
    </w:p>
    <w:tbl>
      <w:tblPr>
        <w:tblStyle w:val="TableGrid"/>
        <w:tblW w:w="9781" w:type="dxa"/>
        <w:tblInd w:w="-501"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left w:w="28" w:type="dxa"/>
          <w:right w:w="28" w:type="dxa"/>
        </w:tblCellMar>
        <w:tblLook w:val="04A0" w:firstRow="1" w:lastRow="0" w:firstColumn="1" w:lastColumn="0" w:noHBand="0" w:noVBand="1"/>
      </w:tblPr>
      <w:tblGrid>
        <w:gridCol w:w="1347"/>
        <w:gridCol w:w="992"/>
        <w:gridCol w:w="737"/>
        <w:gridCol w:w="681"/>
        <w:gridCol w:w="651"/>
        <w:gridCol w:w="666"/>
        <w:gridCol w:w="667"/>
        <w:gridCol w:w="1134"/>
        <w:gridCol w:w="851"/>
        <w:gridCol w:w="1134"/>
        <w:gridCol w:w="921"/>
      </w:tblGrid>
      <w:tr w:rsidR="00E57026" w:rsidRPr="008F735E" w14:paraId="29048085" w14:textId="77777777" w:rsidTr="00841651">
        <w:trPr>
          <w:tblHeader/>
        </w:trPr>
        <w:tc>
          <w:tcPr>
            <w:tcW w:w="1347" w:type="dxa"/>
            <w:shd w:val="clear" w:color="auto" w:fill="232E36"/>
          </w:tcPr>
          <w:p w14:paraId="07EEFD66" w14:textId="77777777" w:rsidR="00E57026" w:rsidRPr="008F735E" w:rsidRDefault="00E57026" w:rsidP="00B3483A">
            <w:pPr>
              <w:keepNext/>
              <w:keepLines/>
              <w:spacing w:before="120" w:after="120"/>
              <w:jc w:val="left"/>
              <w:rPr>
                <w:color w:val="FFFFFF" w:themeColor="background1"/>
                <w:sz w:val="14"/>
                <w:szCs w:val="14"/>
              </w:rPr>
            </w:pPr>
          </w:p>
        </w:tc>
        <w:tc>
          <w:tcPr>
            <w:tcW w:w="992" w:type="dxa"/>
            <w:shd w:val="clear" w:color="auto" w:fill="232E36"/>
          </w:tcPr>
          <w:p w14:paraId="767BE53A" w14:textId="77777777" w:rsidR="00E57026" w:rsidRPr="008F735E" w:rsidRDefault="00E57026" w:rsidP="00B3483A">
            <w:pPr>
              <w:keepNext/>
              <w:keepLines/>
              <w:spacing w:before="120" w:after="120"/>
              <w:jc w:val="center"/>
              <w:rPr>
                <w:b/>
                <w:bCs/>
                <w:color w:val="FFFFFF" w:themeColor="background1"/>
                <w:sz w:val="14"/>
                <w:szCs w:val="14"/>
              </w:rPr>
            </w:pPr>
            <w:r w:rsidRPr="008F735E">
              <w:rPr>
                <w:b/>
                <w:bCs/>
                <w:color w:val="FFFFFF" w:themeColor="background1"/>
                <w:sz w:val="14"/>
                <w:szCs w:val="14"/>
              </w:rPr>
              <w:t>Commercial and industrial buildings</w:t>
            </w:r>
          </w:p>
        </w:tc>
        <w:tc>
          <w:tcPr>
            <w:tcW w:w="3402" w:type="dxa"/>
            <w:gridSpan w:val="5"/>
            <w:shd w:val="clear" w:color="auto" w:fill="232E36"/>
          </w:tcPr>
          <w:p w14:paraId="0A15E499" w14:textId="77777777" w:rsidR="00E57026" w:rsidRPr="008F735E" w:rsidRDefault="00E57026" w:rsidP="00B3483A">
            <w:pPr>
              <w:keepNext/>
              <w:keepLines/>
              <w:spacing w:before="120" w:after="120"/>
              <w:jc w:val="center"/>
              <w:rPr>
                <w:b/>
                <w:bCs/>
                <w:color w:val="FFFFFF" w:themeColor="background1"/>
                <w:sz w:val="14"/>
                <w:szCs w:val="14"/>
              </w:rPr>
            </w:pPr>
            <w:r w:rsidRPr="008F735E">
              <w:rPr>
                <w:b/>
                <w:bCs/>
                <w:color w:val="FFFFFF" w:themeColor="background1"/>
                <w:sz w:val="14"/>
                <w:szCs w:val="14"/>
              </w:rPr>
              <w:t>Plant, machinery and equipment</w:t>
            </w:r>
          </w:p>
        </w:tc>
        <w:tc>
          <w:tcPr>
            <w:tcW w:w="1134" w:type="dxa"/>
            <w:shd w:val="clear" w:color="auto" w:fill="232E36"/>
          </w:tcPr>
          <w:p w14:paraId="04EF853F" w14:textId="09A7AFB8" w:rsidR="00E57026" w:rsidRPr="008F735E" w:rsidRDefault="00E57026" w:rsidP="00B3483A">
            <w:pPr>
              <w:keepNext/>
              <w:keepLines/>
              <w:spacing w:before="120" w:after="120"/>
              <w:jc w:val="center"/>
              <w:rPr>
                <w:b/>
                <w:bCs/>
                <w:color w:val="FFFFFF" w:themeColor="background1"/>
                <w:sz w:val="14"/>
                <w:szCs w:val="14"/>
              </w:rPr>
            </w:pPr>
            <w:r w:rsidRPr="008F735E">
              <w:rPr>
                <w:b/>
                <w:bCs/>
                <w:color w:val="FFFFFF" w:themeColor="background1"/>
                <w:sz w:val="14"/>
                <w:szCs w:val="14"/>
              </w:rPr>
              <w:t>Zero</w:t>
            </w:r>
            <w:r w:rsidR="00AB7289">
              <w:rPr>
                <w:b/>
                <w:bCs/>
                <w:color w:val="FFFFFF" w:themeColor="background1"/>
                <w:sz w:val="14"/>
                <w:szCs w:val="14"/>
              </w:rPr>
              <w:t>-</w:t>
            </w:r>
            <w:r w:rsidRPr="008F735E">
              <w:rPr>
                <w:b/>
                <w:bCs/>
                <w:color w:val="FFFFFF" w:themeColor="background1"/>
                <w:sz w:val="14"/>
                <w:szCs w:val="14"/>
              </w:rPr>
              <w:t>depreciating assets</w:t>
            </w:r>
          </w:p>
        </w:tc>
        <w:tc>
          <w:tcPr>
            <w:tcW w:w="851" w:type="dxa"/>
            <w:shd w:val="clear" w:color="auto" w:fill="232E36"/>
          </w:tcPr>
          <w:p w14:paraId="73D7762F" w14:textId="77777777" w:rsidR="00E57026" w:rsidRPr="008F735E" w:rsidRDefault="00E57026" w:rsidP="00B3483A">
            <w:pPr>
              <w:keepNext/>
              <w:keepLines/>
              <w:spacing w:before="120" w:after="120"/>
              <w:jc w:val="center"/>
              <w:rPr>
                <w:b/>
                <w:bCs/>
                <w:color w:val="FFFFFF" w:themeColor="background1"/>
                <w:sz w:val="14"/>
                <w:szCs w:val="14"/>
              </w:rPr>
            </w:pPr>
            <w:r w:rsidRPr="008F735E">
              <w:rPr>
                <w:b/>
                <w:bCs/>
                <w:color w:val="FFFFFF" w:themeColor="background1"/>
                <w:sz w:val="14"/>
                <w:szCs w:val="14"/>
              </w:rPr>
              <w:t>Inventory</w:t>
            </w:r>
          </w:p>
        </w:tc>
        <w:tc>
          <w:tcPr>
            <w:tcW w:w="1134" w:type="dxa"/>
            <w:shd w:val="clear" w:color="auto" w:fill="232E36"/>
          </w:tcPr>
          <w:p w14:paraId="2BDDE109" w14:textId="77777777" w:rsidR="00E57026" w:rsidRPr="008F735E" w:rsidRDefault="00E57026" w:rsidP="00B3483A">
            <w:pPr>
              <w:keepNext/>
              <w:keepLines/>
              <w:spacing w:before="120" w:after="120"/>
              <w:jc w:val="center"/>
              <w:rPr>
                <w:b/>
                <w:bCs/>
                <w:color w:val="FFFFFF" w:themeColor="background1"/>
                <w:sz w:val="14"/>
                <w:szCs w:val="14"/>
              </w:rPr>
            </w:pPr>
            <w:r w:rsidRPr="008F735E">
              <w:rPr>
                <w:b/>
                <w:bCs/>
                <w:color w:val="FFFFFF" w:themeColor="background1"/>
                <w:sz w:val="14"/>
                <w:szCs w:val="14"/>
              </w:rPr>
              <w:t>Appreciating assets</w:t>
            </w:r>
          </w:p>
        </w:tc>
        <w:tc>
          <w:tcPr>
            <w:tcW w:w="921" w:type="dxa"/>
            <w:shd w:val="clear" w:color="auto" w:fill="232E36"/>
          </w:tcPr>
          <w:p w14:paraId="7A0EE8C3" w14:textId="77777777" w:rsidR="00E57026" w:rsidRPr="008F735E" w:rsidRDefault="00E57026" w:rsidP="00B3483A">
            <w:pPr>
              <w:keepNext/>
              <w:keepLines/>
              <w:spacing w:before="120" w:after="120"/>
              <w:jc w:val="center"/>
              <w:rPr>
                <w:b/>
                <w:bCs/>
                <w:color w:val="FFFFFF" w:themeColor="background1"/>
                <w:sz w:val="14"/>
                <w:szCs w:val="14"/>
              </w:rPr>
            </w:pPr>
            <w:r w:rsidRPr="008F735E">
              <w:rPr>
                <w:b/>
                <w:bCs/>
                <w:color w:val="FFFFFF" w:themeColor="background1"/>
                <w:sz w:val="14"/>
                <w:szCs w:val="14"/>
              </w:rPr>
              <w:t>Expensing</w:t>
            </w:r>
          </w:p>
        </w:tc>
      </w:tr>
      <w:tr w:rsidR="00E57026" w:rsidRPr="008F735E" w14:paraId="61CCB29A" w14:textId="77777777" w:rsidTr="00841651">
        <w:tc>
          <w:tcPr>
            <w:tcW w:w="1347" w:type="dxa"/>
            <w:shd w:val="clear" w:color="auto" w:fill="auto"/>
            <w:vAlign w:val="bottom"/>
          </w:tcPr>
          <w:p w14:paraId="2CC33593" w14:textId="11613C05" w:rsidR="00E57026" w:rsidRPr="00CF778C" w:rsidRDefault="00C84CA9" w:rsidP="00B3483A">
            <w:pPr>
              <w:keepNext/>
              <w:keepLines/>
              <w:tabs>
                <w:tab w:val="left" w:pos="106"/>
              </w:tabs>
              <w:spacing w:before="60" w:after="60"/>
              <w:jc w:val="left"/>
              <w:rPr>
                <w:rStyle w:val="Strong"/>
                <w:b w:val="0"/>
                <w:bCs w:val="0"/>
                <w:sz w:val="14"/>
                <w:szCs w:val="14"/>
              </w:rPr>
            </w:pPr>
            <w:r>
              <w:rPr>
                <w:rStyle w:val="Strong"/>
                <w:b w:val="0"/>
                <w:bCs w:val="0"/>
                <w:sz w:val="14"/>
                <w:szCs w:val="14"/>
              </w:rPr>
              <w:t>d</w:t>
            </w:r>
          </w:p>
        </w:tc>
        <w:tc>
          <w:tcPr>
            <w:tcW w:w="992" w:type="dxa"/>
            <w:vAlign w:val="center"/>
          </w:tcPr>
          <w:p w14:paraId="57EB1846" w14:textId="77777777" w:rsidR="00E57026" w:rsidRPr="008F735E" w:rsidRDefault="00E57026" w:rsidP="00B3483A">
            <w:pPr>
              <w:keepNext/>
              <w:keepLines/>
              <w:tabs>
                <w:tab w:val="decimal" w:pos="256"/>
              </w:tabs>
              <w:spacing w:before="60" w:after="60"/>
              <w:jc w:val="center"/>
              <w:rPr>
                <w:sz w:val="14"/>
                <w:szCs w:val="14"/>
              </w:rPr>
            </w:pPr>
            <w:r w:rsidRPr="008F735E">
              <w:rPr>
                <w:sz w:val="14"/>
                <w:szCs w:val="14"/>
              </w:rPr>
              <w:t>2.69%</w:t>
            </w:r>
          </w:p>
        </w:tc>
        <w:tc>
          <w:tcPr>
            <w:tcW w:w="737" w:type="dxa"/>
            <w:vAlign w:val="center"/>
          </w:tcPr>
          <w:p w14:paraId="710F2765" w14:textId="77777777" w:rsidR="00E57026" w:rsidRPr="008F735E" w:rsidRDefault="00E57026" w:rsidP="00B3483A">
            <w:pPr>
              <w:keepNext/>
              <w:keepLines/>
              <w:tabs>
                <w:tab w:val="decimal" w:pos="256"/>
              </w:tabs>
              <w:spacing w:before="60" w:after="60"/>
              <w:jc w:val="center"/>
              <w:rPr>
                <w:sz w:val="14"/>
                <w:szCs w:val="14"/>
              </w:rPr>
            </w:pPr>
            <w:r w:rsidRPr="008F735E">
              <w:rPr>
                <w:sz w:val="14"/>
                <w:szCs w:val="14"/>
              </w:rPr>
              <w:t>100.00%</w:t>
            </w:r>
          </w:p>
        </w:tc>
        <w:tc>
          <w:tcPr>
            <w:tcW w:w="681" w:type="dxa"/>
            <w:vAlign w:val="center"/>
          </w:tcPr>
          <w:p w14:paraId="6D673218" w14:textId="77777777" w:rsidR="00E57026" w:rsidRPr="008F735E" w:rsidRDefault="00E57026" w:rsidP="00B3483A">
            <w:pPr>
              <w:keepNext/>
              <w:keepLines/>
              <w:tabs>
                <w:tab w:val="decimal" w:pos="256"/>
              </w:tabs>
              <w:spacing w:before="60" w:after="60"/>
              <w:jc w:val="center"/>
              <w:rPr>
                <w:sz w:val="14"/>
                <w:szCs w:val="14"/>
              </w:rPr>
            </w:pPr>
            <w:r w:rsidRPr="008F735E">
              <w:rPr>
                <w:sz w:val="14"/>
                <w:szCs w:val="14"/>
              </w:rPr>
              <w:t>50.00%</w:t>
            </w:r>
          </w:p>
        </w:tc>
        <w:tc>
          <w:tcPr>
            <w:tcW w:w="651" w:type="dxa"/>
            <w:vAlign w:val="center"/>
          </w:tcPr>
          <w:p w14:paraId="2AF9ABD8" w14:textId="77777777" w:rsidR="00E57026" w:rsidRPr="008F735E" w:rsidRDefault="00E57026" w:rsidP="00B3483A">
            <w:pPr>
              <w:keepNext/>
              <w:keepLines/>
              <w:tabs>
                <w:tab w:val="decimal" w:pos="256"/>
              </w:tabs>
              <w:spacing w:before="60" w:after="60"/>
              <w:jc w:val="center"/>
              <w:rPr>
                <w:sz w:val="14"/>
                <w:szCs w:val="14"/>
              </w:rPr>
            </w:pPr>
            <w:r w:rsidRPr="008F735E">
              <w:rPr>
                <w:sz w:val="14"/>
                <w:szCs w:val="14"/>
              </w:rPr>
              <w:t>10.00%</w:t>
            </w:r>
          </w:p>
        </w:tc>
        <w:tc>
          <w:tcPr>
            <w:tcW w:w="666" w:type="dxa"/>
            <w:vAlign w:val="center"/>
          </w:tcPr>
          <w:p w14:paraId="47425150" w14:textId="77777777" w:rsidR="00E57026" w:rsidRPr="008F735E" w:rsidRDefault="00E57026" w:rsidP="00B3483A">
            <w:pPr>
              <w:keepNext/>
              <w:keepLines/>
              <w:tabs>
                <w:tab w:val="decimal" w:pos="256"/>
              </w:tabs>
              <w:spacing w:before="60" w:after="60"/>
              <w:jc w:val="center"/>
              <w:rPr>
                <w:sz w:val="14"/>
                <w:szCs w:val="14"/>
              </w:rPr>
            </w:pPr>
            <w:r w:rsidRPr="008F735E">
              <w:rPr>
                <w:sz w:val="14"/>
                <w:szCs w:val="14"/>
              </w:rPr>
              <w:t>4.00%</w:t>
            </w:r>
          </w:p>
        </w:tc>
        <w:tc>
          <w:tcPr>
            <w:tcW w:w="667" w:type="dxa"/>
            <w:vAlign w:val="center"/>
          </w:tcPr>
          <w:p w14:paraId="56364DB7" w14:textId="77777777" w:rsidR="00E57026" w:rsidRPr="008F735E" w:rsidRDefault="00E57026" w:rsidP="00B3483A">
            <w:pPr>
              <w:keepNext/>
              <w:keepLines/>
              <w:tabs>
                <w:tab w:val="decimal" w:pos="256"/>
              </w:tabs>
              <w:spacing w:before="60" w:after="60"/>
              <w:jc w:val="center"/>
              <w:rPr>
                <w:sz w:val="14"/>
                <w:szCs w:val="14"/>
              </w:rPr>
            </w:pPr>
            <w:r w:rsidRPr="008F735E">
              <w:rPr>
                <w:sz w:val="14"/>
                <w:szCs w:val="14"/>
              </w:rPr>
              <w:t>2.00%</w:t>
            </w:r>
          </w:p>
        </w:tc>
        <w:tc>
          <w:tcPr>
            <w:tcW w:w="1134" w:type="dxa"/>
            <w:vAlign w:val="center"/>
          </w:tcPr>
          <w:p w14:paraId="7C5055A5" w14:textId="77777777" w:rsidR="00E57026" w:rsidRPr="008F735E" w:rsidRDefault="00E57026" w:rsidP="00B3483A">
            <w:pPr>
              <w:keepNext/>
              <w:keepLines/>
              <w:tabs>
                <w:tab w:val="decimal" w:pos="256"/>
              </w:tabs>
              <w:spacing w:before="60" w:after="60"/>
              <w:jc w:val="center"/>
              <w:rPr>
                <w:sz w:val="14"/>
                <w:szCs w:val="14"/>
              </w:rPr>
            </w:pPr>
            <w:r w:rsidRPr="008F735E">
              <w:rPr>
                <w:sz w:val="14"/>
                <w:szCs w:val="14"/>
              </w:rPr>
              <w:t>0.00%</w:t>
            </w:r>
          </w:p>
        </w:tc>
        <w:tc>
          <w:tcPr>
            <w:tcW w:w="851" w:type="dxa"/>
            <w:vAlign w:val="center"/>
          </w:tcPr>
          <w:p w14:paraId="30F297EC" w14:textId="77777777" w:rsidR="00E57026" w:rsidRPr="008F735E" w:rsidRDefault="00E57026" w:rsidP="00B3483A">
            <w:pPr>
              <w:keepNext/>
              <w:keepLines/>
              <w:tabs>
                <w:tab w:val="decimal" w:pos="256"/>
              </w:tabs>
              <w:spacing w:before="60" w:after="60"/>
              <w:jc w:val="center"/>
              <w:rPr>
                <w:sz w:val="14"/>
                <w:szCs w:val="14"/>
              </w:rPr>
            </w:pPr>
          </w:p>
        </w:tc>
        <w:tc>
          <w:tcPr>
            <w:tcW w:w="1134" w:type="dxa"/>
            <w:vAlign w:val="center"/>
          </w:tcPr>
          <w:p w14:paraId="65BB11AC" w14:textId="77777777" w:rsidR="00E57026" w:rsidRPr="008F735E" w:rsidRDefault="00E57026" w:rsidP="00B3483A">
            <w:pPr>
              <w:keepNext/>
              <w:keepLines/>
              <w:tabs>
                <w:tab w:val="decimal" w:pos="256"/>
              </w:tabs>
              <w:spacing w:before="60" w:after="60"/>
              <w:jc w:val="center"/>
              <w:rPr>
                <w:sz w:val="14"/>
                <w:szCs w:val="14"/>
              </w:rPr>
            </w:pPr>
            <w:r w:rsidRPr="008F735E">
              <w:rPr>
                <w:sz w:val="14"/>
                <w:szCs w:val="14"/>
              </w:rPr>
              <w:t>-1.00%</w:t>
            </w:r>
          </w:p>
        </w:tc>
        <w:tc>
          <w:tcPr>
            <w:tcW w:w="921" w:type="dxa"/>
            <w:vAlign w:val="center"/>
          </w:tcPr>
          <w:p w14:paraId="54A1E4A0" w14:textId="77777777" w:rsidR="00E57026" w:rsidRPr="008F735E" w:rsidRDefault="00E57026" w:rsidP="00B3483A">
            <w:pPr>
              <w:keepNext/>
              <w:keepLines/>
              <w:tabs>
                <w:tab w:val="decimal" w:pos="256"/>
              </w:tabs>
              <w:spacing w:before="60" w:after="60"/>
              <w:jc w:val="center"/>
              <w:rPr>
                <w:sz w:val="14"/>
                <w:szCs w:val="14"/>
              </w:rPr>
            </w:pPr>
          </w:p>
        </w:tc>
      </w:tr>
      <w:tr w:rsidR="00E57026" w:rsidRPr="008F735E" w14:paraId="1199CC72" w14:textId="77777777" w:rsidTr="00841651">
        <w:tc>
          <w:tcPr>
            <w:tcW w:w="1347" w:type="dxa"/>
            <w:shd w:val="clear" w:color="auto" w:fill="auto"/>
            <w:vAlign w:val="bottom"/>
          </w:tcPr>
          <w:p w14:paraId="04ECAE0B" w14:textId="5A484031" w:rsidR="00E57026" w:rsidRPr="00CF778C" w:rsidRDefault="008A6DF3" w:rsidP="00B3483A">
            <w:pPr>
              <w:keepNext/>
              <w:keepLines/>
              <w:tabs>
                <w:tab w:val="left" w:pos="106"/>
              </w:tabs>
              <w:spacing w:before="60" w:after="60"/>
              <w:jc w:val="left"/>
              <w:rPr>
                <w:rStyle w:val="Strong"/>
                <w:b w:val="0"/>
                <w:bCs w:val="0"/>
                <w:sz w:val="14"/>
                <w:szCs w:val="14"/>
              </w:rPr>
            </w:pPr>
            <w:r>
              <w:rPr>
                <w:rStyle w:val="Strong"/>
                <w:b w:val="0"/>
                <w:bCs w:val="0"/>
                <w:sz w:val="14"/>
                <w:szCs w:val="14"/>
              </w:rPr>
              <w:t>d*</w:t>
            </w:r>
          </w:p>
        </w:tc>
        <w:tc>
          <w:tcPr>
            <w:tcW w:w="992" w:type="dxa"/>
            <w:vAlign w:val="center"/>
          </w:tcPr>
          <w:p w14:paraId="06DD8549" w14:textId="77777777" w:rsidR="00E57026" w:rsidRPr="008F735E" w:rsidRDefault="00E57026" w:rsidP="00B3483A">
            <w:pPr>
              <w:keepNext/>
              <w:keepLines/>
              <w:tabs>
                <w:tab w:val="decimal" w:pos="256"/>
              </w:tabs>
              <w:spacing w:before="60" w:after="60"/>
              <w:jc w:val="center"/>
              <w:rPr>
                <w:sz w:val="14"/>
                <w:szCs w:val="14"/>
              </w:rPr>
            </w:pPr>
            <w:r w:rsidRPr="008F735E">
              <w:rPr>
                <w:sz w:val="14"/>
                <w:szCs w:val="14"/>
              </w:rPr>
              <w:t>2.00%</w:t>
            </w:r>
          </w:p>
        </w:tc>
        <w:tc>
          <w:tcPr>
            <w:tcW w:w="737" w:type="dxa"/>
            <w:vAlign w:val="center"/>
          </w:tcPr>
          <w:p w14:paraId="7B4EF837" w14:textId="77777777" w:rsidR="00E57026" w:rsidRPr="008F735E" w:rsidRDefault="00E57026" w:rsidP="00B3483A">
            <w:pPr>
              <w:keepNext/>
              <w:keepLines/>
              <w:tabs>
                <w:tab w:val="decimal" w:pos="256"/>
              </w:tabs>
              <w:spacing w:before="60" w:after="60"/>
              <w:jc w:val="center"/>
              <w:rPr>
                <w:sz w:val="14"/>
                <w:szCs w:val="14"/>
              </w:rPr>
            </w:pPr>
            <w:r w:rsidRPr="008F735E">
              <w:rPr>
                <w:sz w:val="14"/>
                <w:szCs w:val="14"/>
              </w:rPr>
              <w:t>100.00%</w:t>
            </w:r>
          </w:p>
        </w:tc>
        <w:tc>
          <w:tcPr>
            <w:tcW w:w="681" w:type="dxa"/>
            <w:vAlign w:val="center"/>
          </w:tcPr>
          <w:p w14:paraId="1F9546C0" w14:textId="77777777" w:rsidR="00E57026" w:rsidRPr="008F735E" w:rsidRDefault="00E57026" w:rsidP="00B3483A">
            <w:pPr>
              <w:keepNext/>
              <w:keepLines/>
              <w:tabs>
                <w:tab w:val="decimal" w:pos="256"/>
              </w:tabs>
              <w:spacing w:before="60" w:after="60"/>
              <w:jc w:val="center"/>
              <w:rPr>
                <w:sz w:val="14"/>
                <w:szCs w:val="14"/>
              </w:rPr>
            </w:pPr>
            <w:r w:rsidRPr="008F735E">
              <w:rPr>
                <w:sz w:val="14"/>
                <w:szCs w:val="14"/>
              </w:rPr>
              <w:t>50.00%</w:t>
            </w:r>
          </w:p>
        </w:tc>
        <w:tc>
          <w:tcPr>
            <w:tcW w:w="651" w:type="dxa"/>
            <w:vAlign w:val="center"/>
          </w:tcPr>
          <w:p w14:paraId="3CC7F576" w14:textId="77777777" w:rsidR="00E57026" w:rsidRPr="008F735E" w:rsidRDefault="00E57026" w:rsidP="00B3483A">
            <w:pPr>
              <w:keepNext/>
              <w:keepLines/>
              <w:tabs>
                <w:tab w:val="decimal" w:pos="256"/>
              </w:tabs>
              <w:spacing w:before="60" w:after="60"/>
              <w:jc w:val="center"/>
              <w:rPr>
                <w:sz w:val="14"/>
                <w:szCs w:val="14"/>
              </w:rPr>
            </w:pPr>
            <w:r w:rsidRPr="008F735E">
              <w:rPr>
                <w:sz w:val="14"/>
                <w:szCs w:val="14"/>
              </w:rPr>
              <w:t>10.00%</w:t>
            </w:r>
          </w:p>
        </w:tc>
        <w:tc>
          <w:tcPr>
            <w:tcW w:w="666" w:type="dxa"/>
            <w:vAlign w:val="center"/>
          </w:tcPr>
          <w:p w14:paraId="5E20952B" w14:textId="77777777" w:rsidR="00E57026" w:rsidRPr="008F735E" w:rsidRDefault="00E57026" w:rsidP="00B3483A">
            <w:pPr>
              <w:keepNext/>
              <w:keepLines/>
              <w:tabs>
                <w:tab w:val="decimal" w:pos="256"/>
              </w:tabs>
              <w:spacing w:before="60" w:after="60"/>
              <w:jc w:val="center"/>
              <w:rPr>
                <w:sz w:val="14"/>
                <w:szCs w:val="14"/>
              </w:rPr>
            </w:pPr>
            <w:r w:rsidRPr="008F735E">
              <w:rPr>
                <w:sz w:val="14"/>
                <w:szCs w:val="14"/>
              </w:rPr>
              <w:t>4.00%</w:t>
            </w:r>
          </w:p>
        </w:tc>
        <w:tc>
          <w:tcPr>
            <w:tcW w:w="667" w:type="dxa"/>
            <w:vAlign w:val="center"/>
          </w:tcPr>
          <w:p w14:paraId="230782A4" w14:textId="77777777" w:rsidR="00E57026" w:rsidRPr="008F735E" w:rsidRDefault="00E57026" w:rsidP="00B3483A">
            <w:pPr>
              <w:keepNext/>
              <w:keepLines/>
              <w:tabs>
                <w:tab w:val="decimal" w:pos="256"/>
              </w:tabs>
              <w:spacing w:before="60" w:after="60"/>
              <w:jc w:val="center"/>
              <w:rPr>
                <w:sz w:val="14"/>
                <w:szCs w:val="14"/>
              </w:rPr>
            </w:pPr>
            <w:r w:rsidRPr="008F735E">
              <w:rPr>
                <w:sz w:val="14"/>
                <w:szCs w:val="14"/>
              </w:rPr>
              <w:t>2.00%</w:t>
            </w:r>
          </w:p>
        </w:tc>
        <w:tc>
          <w:tcPr>
            <w:tcW w:w="1134" w:type="dxa"/>
            <w:vAlign w:val="center"/>
          </w:tcPr>
          <w:p w14:paraId="722B9641" w14:textId="77777777" w:rsidR="00E57026" w:rsidRPr="008F735E" w:rsidRDefault="00E57026" w:rsidP="00B3483A">
            <w:pPr>
              <w:keepNext/>
              <w:keepLines/>
              <w:tabs>
                <w:tab w:val="decimal" w:pos="256"/>
              </w:tabs>
              <w:spacing w:before="60" w:after="60"/>
              <w:jc w:val="center"/>
              <w:rPr>
                <w:sz w:val="14"/>
                <w:szCs w:val="14"/>
              </w:rPr>
            </w:pPr>
            <w:r w:rsidRPr="008F735E">
              <w:rPr>
                <w:sz w:val="14"/>
                <w:szCs w:val="14"/>
              </w:rPr>
              <w:t>0.00%</w:t>
            </w:r>
          </w:p>
        </w:tc>
        <w:tc>
          <w:tcPr>
            <w:tcW w:w="851" w:type="dxa"/>
            <w:vAlign w:val="center"/>
          </w:tcPr>
          <w:p w14:paraId="0D304329" w14:textId="77777777" w:rsidR="00E57026" w:rsidRPr="008F735E" w:rsidRDefault="00E57026" w:rsidP="00B3483A">
            <w:pPr>
              <w:keepNext/>
              <w:keepLines/>
              <w:tabs>
                <w:tab w:val="decimal" w:pos="256"/>
              </w:tabs>
              <w:spacing w:before="60" w:after="60"/>
              <w:jc w:val="center"/>
              <w:rPr>
                <w:sz w:val="14"/>
                <w:szCs w:val="14"/>
              </w:rPr>
            </w:pPr>
          </w:p>
        </w:tc>
        <w:tc>
          <w:tcPr>
            <w:tcW w:w="1134" w:type="dxa"/>
            <w:vAlign w:val="center"/>
          </w:tcPr>
          <w:p w14:paraId="0F8D4600" w14:textId="77777777" w:rsidR="00E57026" w:rsidRPr="008F735E" w:rsidRDefault="00E57026" w:rsidP="00B3483A">
            <w:pPr>
              <w:keepNext/>
              <w:keepLines/>
              <w:tabs>
                <w:tab w:val="decimal" w:pos="256"/>
              </w:tabs>
              <w:spacing w:before="60" w:after="60"/>
              <w:jc w:val="center"/>
              <w:rPr>
                <w:sz w:val="14"/>
                <w:szCs w:val="14"/>
              </w:rPr>
            </w:pPr>
            <w:r w:rsidRPr="008F735E">
              <w:rPr>
                <w:sz w:val="14"/>
                <w:szCs w:val="14"/>
              </w:rPr>
              <w:t>0.00%</w:t>
            </w:r>
          </w:p>
        </w:tc>
        <w:tc>
          <w:tcPr>
            <w:tcW w:w="921" w:type="dxa"/>
            <w:vAlign w:val="center"/>
          </w:tcPr>
          <w:p w14:paraId="39C33A21" w14:textId="77777777" w:rsidR="00E57026" w:rsidRPr="008F735E" w:rsidRDefault="00E57026" w:rsidP="00B3483A">
            <w:pPr>
              <w:keepNext/>
              <w:keepLines/>
              <w:tabs>
                <w:tab w:val="decimal" w:pos="256"/>
              </w:tabs>
              <w:spacing w:before="60" w:after="60"/>
              <w:jc w:val="center"/>
              <w:rPr>
                <w:sz w:val="14"/>
                <w:szCs w:val="14"/>
              </w:rPr>
            </w:pPr>
          </w:p>
        </w:tc>
      </w:tr>
      <w:tr w:rsidR="00E57026" w:rsidRPr="008F735E" w14:paraId="0D217853" w14:textId="77777777" w:rsidTr="00841651">
        <w:tc>
          <w:tcPr>
            <w:tcW w:w="1347" w:type="dxa"/>
            <w:shd w:val="clear" w:color="auto" w:fill="auto"/>
            <w:vAlign w:val="bottom"/>
          </w:tcPr>
          <w:p w14:paraId="5444FDB1" w14:textId="77777777" w:rsidR="00E57026" w:rsidRPr="008F735E" w:rsidRDefault="00E57026" w:rsidP="00B3483A">
            <w:pPr>
              <w:keepNext/>
              <w:keepLines/>
              <w:tabs>
                <w:tab w:val="left" w:pos="106"/>
              </w:tabs>
              <w:spacing w:before="60" w:after="60"/>
              <w:jc w:val="left"/>
              <w:rPr>
                <w:b/>
                <w:bCs/>
                <w:sz w:val="14"/>
                <w:szCs w:val="14"/>
              </w:rPr>
            </w:pPr>
            <w:r w:rsidRPr="008F735E">
              <w:rPr>
                <w:b/>
                <w:bCs/>
                <w:sz w:val="14"/>
                <w:szCs w:val="14"/>
              </w:rPr>
              <w:t>Costs of capital</w:t>
            </w:r>
          </w:p>
        </w:tc>
        <w:tc>
          <w:tcPr>
            <w:tcW w:w="992" w:type="dxa"/>
            <w:vAlign w:val="center"/>
          </w:tcPr>
          <w:p w14:paraId="75C545B1" w14:textId="77777777" w:rsidR="00E57026" w:rsidRPr="008F735E" w:rsidRDefault="00E57026" w:rsidP="00B3483A">
            <w:pPr>
              <w:keepNext/>
              <w:keepLines/>
              <w:tabs>
                <w:tab w:val="decimal" w:pos="256"/>
              </w:tabs>
              <w:spacing w:before="60" w:after="60"/>
              <w:jc w:val="center"/>
              <w:rPr>
                <w:sz w:val="14"/>
                <w:szCs w:val="14"/>
              </w:rPr>
            </w:pPr>
          </w:p>
        </w:tc>
        <w:tc>
          <w:tcPr>
            <w:tcW w:w="737" w:type="dxa"/>
            <w:vAlign w:val="center"/>
          </w:tcPr>
          <w:p w14:paraId="2C0F81B3" w14:textId="77777777" w:rsidR="00E57026" w:rsidRPr="008F735E" w:rsidRDefault="00E57026" w:rsidP="00B3483A">
            <w:pPr>
              <w:keepNext/>
              <w:keepLines/>
              <w:tabs>
                <w:tab w:val="decimal" w:pos="256"/>
              </w:tabs>
              <w:spacing w:before="60" w:after="60"/>
              <w:jc w:val="center"/>
              <w:rPr>
                <w:sz w:val="14"/>
                <w:szCs w:val="14"/>
              </w:rPr>
            </w:pPr>
          </w:p>
        </w:tc>
        <w:tc>
          <w:tcPr>
            <w:tcW w:w="681" w:type="dxa"/>
            <w:vAlign w:val="center"/>
          </w:tcPr>
          <w:p w14:paraId="69EF872B" w14:textId="77777777" w:rsidR="00E57026" w:rsidRPr="008F735E" w:rsidRDefault="00E57026" w:rsidP="00B3483A">
            <w:pPr>
              <w:keepNext/>
              <w:keepLines/>
              <w:tabs>
                <w:tab w:val="decimal" w:pos="256"/>
              </w:tabs>
              <w:spacing w:before="60" w:after="60"/>
              <w:jc w:val="center"/>
              <w:rPr>
                <w:sz w:val="14"/>
                <w:szCs w:val="14"/>
              </w:rPr>
            </w:pPr>
          </w:p>
        </w:tc>
        <w:tc>
          <w:tcPr>
            <w:tcW w:w="651" w:type="dxa"/>
            <w:vAlign w:val="center"/>
          </w:tcPr>
          <w:p w14:paraId="25215FFA" w14:textId="77777777" w:rsidR="00E57026" w:rsidRPr="008F735E" w:rsidRDefault="00E57026" w:rsidP="00B3483A">
            <w:pPr>
              <w:keepNext/>
              <w:keepLines/>
              <w:tabs>
                <w:tab w:val="decimal" w:pos="256"/>
              </w:tabs>
              <w:spacing w:before="60" w:after="60"/>
              <w:jc w:val="center"/>
              <w:rPr>
                <w:sz w:val="14"/>
                <w:szCs w:val="14"/>
              </w:rPr>
            </w:pPr>
          </w:p>
        </w:tc>
        <w:tc>
          <w:tcPr>
            <w:tcW w:w="666" w:type="dxa"/>
            <w:vAlign w:val="center"/>
          </w:tcPr>
          <w:p w14:paraId="0C6BCE1E" w14:textId="77777777" w:rsidR="00E57026" w:rsidRPr="008F735E" w:rsidRDefault="00E57026" w:rsidP="00B3483A">
            <w:pPr>
              <w:keepNext/>
              <w:keepLines/>
              <w:tabs>
                <w:tab w:val="decimal" w:pos="256"/>
              </w:tabs>
              <w:spacing w:before="60" w:after="60"/>
              <w:jc w:val="center"/>
              <w:rPr>
                <w:sz w:val="14"/>
                <w:szCs w:val="14"/>
              </w:rPr>
            </w:pPr>
          </w:p>
        </w:tc>
        <w:tc>
          <w:tcPr>
            <w:tcW w:w="667" w:type="dxa"/>
            <w:vAlign w:val="center"/>
          </w:tcPr>
          <w:p w14:paraId="1ECF15A4" w14:textId="77777777" w:rsidR="00E57026" w:rsidRPr="008F735E" w:rsidRDefault="00E57026" w:rsidP="00B3483A">
            <w:pPr>
              <w:keepNext/>
              <w:keepLines/>
              <w:tabs>
                <w:tab w:val="decimal" w:pos="256"/>
              </w:tabs>
              <w:spacing w:before="60" w:after="60"/>
              <w:jc w:val="center"/>
              <w:rPr>
                <w:sz w:val="14"/>
                <w:szCs w:val="14"/>
              </w:rPr>
            </w:pPr>
          </w:p>
        </w:tc>
        <w:tc>
          <w:tcPr>
            <w:tcW w:w="1134" w:type="dxa"/>
            <w:vAlign w:val="center"/>
          </w:tcPr>
          <w:p w14:paraId="097DE5A9" w14:textId="77777777" w:rsidR="00E57026" w:rsidRPr="008F735E" w:rsidRDefault="00E57026" w:rsidP="00B3483A">
            <w:pPr>
              <w:keepNext/>
              <w:keepLines/>
              <w:tabs>
                <w:tab w:val="decimal" w:pos="256"/>
              </w:tabs>
              <w:spacing w:before="60" w:after="60"/>
              <w:jc w:val="center"/>
              <w:rPr>
                <w:sz w:val="14"/>
                <w:szCs w:val="14"/>
              </w:rPr>
            </w:pPr>
          </w:p>
        </w:tc>
        <w:tc>
          <w:tcPr>
            <w:tcW w:w="851" w:type="dxa"/>
            <w:vAlign w:val="center"/>
          </w:tcPr>
          <w:p w14:paraId="3DE036E6" w14:textId="77777777" w:rsidR="00E57026" w:rsidRPr="008F735E" w:rsidRDefault="00E57026" w:rsidP="00B3483A">
            <w:pPr>
              <w:keepNext/>
              <w:keepLines/>
              <w:tabs>
                <w:tab w:val="decimal" w:pos="256"/>
              </w:tabs>
              <w:spacing w:before="60" w:after="60"/>
              <w:jc w:val="center"/>
              <w:rPr>
                <w:sz w:val="14"/>
                <w:szCs w:val="14"/>
              </w:rPr>
            </w:pPr>
          </w:p>
        </w:tc>
        <w:tc>
          <w:tcPr>
            <w:tcW w:w="1134" w:type="dxa"/>
            <w:vAlign w:val="center"/>
          </w:tcPr>
          <w:p w14:paraId="5DA6D95D" w14:textId="77777777" w:rsidR="00E57026" w:rsidRPr="008F735E" w:rsidRDefault="00E57026" w:rsidP="00B3483A">
            <w:pPr>
              <w:keepNext/>
              <w:keepLines/>
              <w:tabs>
                <w:tab w:val="decimal" w:pos="256"/>
              </w:tabs>
              <w:spacing w:before="60" w:after="60"/>
              <w:jc w:val="center"/>
              <w:rPr>
                <w:sz w:val="14"/>
                <w:szCs w:val="14"/>
              </w:rPr>
            </w:pPr>
          </w:p>
        </w:tc>
        <w:tc>
          <w:tcPr>
            <w:tcW w:w="921" w:type="dxa"/>
            <w:vAlign w:val="center"/>
          </w:tcPr>
          <w:p w14:paraId="64EDAD62" w14:textId="77777777" w:rsidR="00E57026" w:rsidRPr="008F735E" w:rsidRDefault="00E57026" w:rsidP="00B3483A">
            <w:pPr>
              <w:keepNext/>
              <w:keepLines/>
              <w:tabs>
                <w:tab w:val="decimal" w:pos="256"/>
              </w:tabs>
              <w:spacing w:before="60" w:after="60"/>
              <w:jc w:val="center"/>
              <w:rPr>
                <w:sz w:val="14"/>
                <w:szCs w:val="14"/>
              </w:rPr>
            </w:pPr>
          </w:p>
        </w:tc>
      </w:tr>
      <w:tr w:rsidR="00E57026" w:rsidRPr="008F735E" w14:paraId="601D3BFC" w14:textId="77777777" w:rsidTr="00841651">
        <w:tc>
          <w:tcPr>
            <w:tcW w:w="1347" w:type="dxa"/>
            <w:shd w:val="clear" w:color="auto" w:fill="auto"/>
            <w:vAlign w:val="bottom"/>
          </w:tcPr>
          <w:p w14:paraId="29495888" w14:textId="58B024CE" w:rsidR="00E57026" w:rsidRPr="008F735E" w:rsidRDefault="00E57026" w:rsidP="00B3483A">
            <w:pPr>
              <w:keepNext/>
              <w:keepLines/>
              <w:tabs>
                <w:tab w:val="left" w:pos="106"/>
              </w:tabs>
              <w:spacing w:before="60" w:after="60"/>
              <w:jc w:val="left"/>
              <w:rPr>
                <w:sz w:val="14"/>
                <w:szCs w:val="14"/>
              </w:rPr>
            </w:pPr>
            <w:r w:rsidRPr="008F735E">
              <w:rPr>
                <w:sz w:val="14"/>
                <w:szCs w:val="14"/>
              </w:rPr>
              <w:tab/>
            </w:r>
            <w:r>
              <w:rPr>
                <w:sz w:val="14"/>
                <w:szCs w:val="14"/>
              </w:rPr>
              <w:t>t</w:t>
            </w:r>
            <w:r w:rsidRPr="008F735E">
              <w:rPr>
                <w:sz w:val="14"/>
                <w:szCs w:val="14"/>
              </w:rPr>
              <w:t xml:space="preserve"> = </w:t>
            </w:r>
            <w:r>
              <w:rPr>
                <w:sz w:val="14"/>
                <w:szCs w:val="14"/>
              </w:rPr>
              <w:t>28</w:t>
            </w:r>
            <w:r w:rsidRPr="008F735E">
              <w:rPr>
                <w:sz w:val="14"/>
                <w:szCs w:val="14"/>
              </w:rPr>
              <w:t>%</w:t>
            </w:r>
          </w:p>
        </w:tc>
        <w:tc>
          <w:tcPr>
            <w:tcW w:w="992" w:type="dxa"/>
          </w:tcPr>
          <w:p w14:paraId="7DD62C59" w14:textId="54600F9F" w:rsidR="00E57026" w:rsidRPr="008F735E" w:rsidRDefault="00E57026" w:rsidP="00B3483A">
            <w:pPr>
              <w:keepNext/>
              <w:keepLines/>
              <w:tabs>
                <w:tab w:val="decimal" w:pos="256"/>
              </w:tabs>
              <w:spacing w:before="60" w:after="60"/>
              <w:jc w:val="center"/>
              <w:rPr>
                <w:sz w:val="14"/>
                <w:szCs w:val="14"/>
              </w:rPr>
            </w:pPr>
            <w:r>
              <w:rPr>
                <w:sz w:val="14"/>
                <w:szCs w:val="14"/>
              </w:rPr>
              <w:t>3.81%</w:t>
            </w:r>
          </w:p>
        </w:tc>
        <w:tc>
          <w:tcPr>
            <w:tcW w:w="737" w:type="dxa"/>
          </w:tcPr>
          <w:p w14:paraId="1C705576" w14:textId="2F6C26B2" w:rsidR="00E57026" w:rsidRPr="008F735E" w:rsidRDefault="00E57026" w:rsidP="00B3483A">
            <w:pPr>
              <w:keepNext/>
              <w:keepLines/>
              <w:tabs>
                <w:tab w:val="decimal" w:pos="256"/>
              </w:tabs>
              <w:spacing w:before="60" w:after="60"/>
              <w:jc w:val="center"/>
              <w:rPr>
                <w:sz w:val="14"/>
                <w:szCs w:val="14"/>
              </w:rPr>
            </w:pPr>
            <w:r>
              <w:rPr>
                <w:sz w:val="14"/>
                <w:szCs w:val="14"/>
              </w:rPr>
              <w:t>4.14</w:t>
            </w:r>
            <w:r w:rsidRPr="003A7326">
              <w:rPr>
                <w:sz w:val="14"/>
                <w:szCs w:val="14"/>
              </w:rPr>
              <w:t>%</w:t>
            </w:r>
          </w:p>
        </w:tc>
        <w:tc>
          <w:tcPr>
            <w:tcW w:w="681" w:type="dxa"/>
          </w:tcPr>
          <w:p w14:paraId="1C8B3E8D" w14:textId="59592EA5" w:rsidR="00E57026" w:rsidRPr="008F735E" w:rsidRDefault="00E57026" w:rsidP="00B3483A">
            <w:pPr>
              <w:keepNext/>
              <w:keepLines/>
              <w:tabs>
                <w:tab w:val="decimal" w:pos="256"/>
              </w:tabs>
              <w:spacing w:before="60" w:after="60"/>
              <w:jc w:val="center"/>
              <w:rPr>
                <w:sz w:val="14"/>
                <w:szCs w:val="14"/>
              </w:rPr>
            </w:pPr>
            <w:r>
              <w:rPr>
                <w:sz w:val="14"/>
                <w:szCs w:val="14"/>
              </w:rPr>
              <w:t>4.11</w:t>
            </w:r>
            <w:r w:rsidRPr="003A7326">
              <w:rPr>
                <w:sz w:val="14"/>
                <w:szCs w:val="14"/>
              </w:rPr>
              <w:t>%</w:t>
            </w:r>
          </w:p>
        </w:tc>
        <w:tc>
          <w:tcPr>
            <w:tcW w:w="651" w:type="dxa"/>
          </w:tcPr>
          <w:p w14:paraId="24EB60EB" w14:textId="52151527" w:rsidR="00E57026" w:rsidRPr="008F735E" w:rsidRDefault="00E57026" w:rsidP="00B3483A">
            <w:pPr>
              <w:keepNext/>
              <w:keepLines/>
              <w:tabs>
                <w:tab w:val="decimal" w:pos="256"/>
              </w:tabs>
              <w:spacing w:before="60" w:after="60"/>
              <w:jc w:val="center"/>
              <w:rPr>
                <w:sz w:val="14"/>
                <w:szCs w:val="14"/>
              </w:rPr>
            </w:pPr>
            <w:r>
              <w:rPr>
                <w:sz w:val="14"/>
                <w:szCs w:val="14"/>
              </w:rPr>
              <w:t>3.93</w:t>
            </w:r>
            <w:r w:rsidRPr="003A7326">
              <w:rPr>
                <w:sz w:val="14"/>
                <w:szCs w:val="14"/>
              </w:rPr>
              <w:t>%</w:t>
            </w:r>
          </w:p>
        </w:tc>
        <w:tc>
          <w:tcPr>
            <w:tcW w:w="666" w:type="dxa"/>
          </w:tcPr>
          <w:p w14:paraId="74F1EBF6" w14:textId="151341CD" w:rsidR="00E57026" w:rsidRPr="008F735E" w:rsidRDefault="00E57026" w:rsidP="00B3483A">
            <w:pPr>
              <w:keepNext/>
              <w:keepLines/>
              <w:tabs>
                <w:tab w:val="decimal" w:pos="256"/>
              </w:tabs>
              <w:spacing w:before="60" w:after="60"/>
              <w:jc w:val="center"/>
              <w:rPr>
                <w:sz w:val="14"/>
                <w:szCs w:val="14"/>
              </w:rPr>
            </w:pPr>
            <w:r>
              <w:rPr>
                <w:sz w:val="14"/>
                <w:szCs w:val="14"/>
              </w:rPr>
              <w:t>3.76</w:t>
            </w:r>
            <w:r w:rsidRPr="003A7326">
              <w:rPr>
                <w:sz w:val="14"/>
                <w:szCs w:val="14"/>
              </w:rPr>
              <w:t>%</w:t>
            </w:r>
          </w:p>
        </w:tc>
        <w:tc>
          <w:tcPr>
            <w:tcW w:w="667" w:type="dxa"/>
          </w:tcPr>
          <w:p w14:paraId="7FF63F57" w14:textId="6FFCBDA2" w:rsidR="00E57026" w:rsidRPr="008F735E" w:rsidRDefault="00E57026" w:rsidP="00B3483A">
            <w:pPr>
              <w:keepNext/>
              <w:keepLines/>
              <w:tabs>
                <w:tab w:val="decimal" w:pos="256"/>
              </w:tabs>
              <w:spacing w:before="60" w:after="60"/>
              <w:jc w:val="center"/>
              <w:rPr>
                <w:sz w:val="14"/>
                <w:szCs w:val="14"/>
              </w:rPr>
            </w:pPr>
            <w:r>
              <w:rPr>
                <w:sz w:val="14"/>
                <w:szCs w:val="14"/>
              </w:rPr>
              <w:t>3.63</w:t>
            </w:r>
            <w:r w:rsidRPr="003A7326">
              <w:rPr>
                <w:sz w:val="14"/>
                <w:szCs w:val="14"/>
              </w:rPr>
              <w:t>%</w:t>
            </w:r>
          </w:p>
        </w:tc>
        <w:tc>
          <w:tcPr>
            <w:tcW w:w="1134" w:type="dxa"/>
          </w:tcPr>
          <w:p w14:paraId="24E8D9EE" w14:textId="61D78728" w:rsidR="00E57026" w:rsidRPr="008F735E" w:rsidRDefault="00E57026" w:rsidP="00B3483A">
            <w:pPr>
              <w:keepNext/>
              <w:keepLines/>
              <w:tabs>
                <w:tab w:val="decimal" w:pos="256"/>
              </w:tabs>
              <w:spacing w:before="60" w:after="60"/>
              <w:jc w:val="center"/>
              <w:rPr>
                <w:sz w:val="14"/>
                <w:szCs w:val="14"/>
              </w:rPr>
            </w:pPr>
            <w:r>
              <w:rPr>
                <w:sz w:val="14"/>
                <w:szCs w:val="14"/>
              </w:rPr>
              <w:t>3.38</w:t>
            </w:r>
            <w:r w:rsidRPr="003A7326">
              <w:rPr>
                <w:sz w:val="14"/>
                <w:szCs w:val="14"/>
              </w:rPr>
              <w:t>%</w:t>
            </w:r>
          </w:p>
        </w:tc>
        <w:tc>
          <w:tcPr>
            <w:tcW w:w="851" w:type="dxa"/>
          </w:tcPr>
          <w:p w14:paraId="13FD338A" w14:textId="7BAF9499" w:rsidR="00E57026" w:rsidRPr="008F735E" w:rsidRDefault="00E57026" w:rsidP="00B3483A">
            <w:pPr>
              <w:keepNext/>
              <w:keepLines/>
              <w:tabs>
                <w:tab w:val="decimal" w:pos="256"/>
              </w:tabs>
              <w:spacing w:before="60" w:after="60"/>
              <w:jc w:val="center"/>
              <w:rPr>
                <w:sz w:val="14"/>
                <w:szCs w:val="14"/>
              </w:rPr>
            </w:pPr>
            <w:r>
              <w:rPr>
                <w:sz w:val="14"/>
                <w:szCs w:val="14"/>
              </w:rPr>
              <w:t>4.14</w:t>
            </w:r>
            <w:r w:rsidRPr="003A7326">
              <w:rPr>
                <w:sz w:val="14"/>
                <w:szCs w:val="14"/>
              </w:rPr>
              <w:t>%</w:t>
            </w:r>
          </w:p>
        </w:tc>
        <w:tc>
          <w:tcPr>
            <w:tcW w:w="1134" w:type="dxa"/>
          </w:tcPr>
          <w:p w14:paraId="73AEF1D2" w14:textId="7EF6A97D" w:rsidR="00E57026" w:rsidRPr="008F735E" w:rsidRDefault="00E57026" w:rsidP="00B3483A">
            <w:pPr>
              <w:keepNext/>
              <w:keepLines/>
              <w:tabs>
                <w:tab w:val="decimal" w:pos="256"/>
              </w:tabs>
              <w:spacing w:before="60" w:after="60"/>
              <w:jc w:val="center"/>
              <w:rPr>
                <w:sz w:val="14"/>
                <w:szCs w:val="14"/>
              </w:rPr>
            </w:pPr>
            <w:r>
              <w:rPr>
                <w:sz w:val="14"/>
                <w:szCs w:val="14"/>
              </w:rPr>
              <w:t>2.99</w:t>
            </w:r>
            <w:r w:rsidRPr="003A7326">
              <w:rPr>
                <w:sz w:val="14"/>
                <w:szCs w:val="14"/>
              </w:rPr>
              <w:t>%</w:t>
            </w:r>
          </w:p>
        </w:tc>
        <w:tc>
          <w:tcPr>
            <w:tcW w:w="921" w:type="dxa"/>
          </w:tcPr>
          <w:p w14:paraId="19800A70" w14:textId="4F61AE5E" w:rsidR="00E57026" w:rsidRPr="008F735E" w:rsidRDefault="00E57026" w:rsidP="00B3483A">
            <w:pPr>
              <w:keepNext/>
              <w:keepLines/>
              <w:tabs>
                <w:tab w:val="decimal" w:pos="256"/>
              </w:tabs>
              <w:spacing w:before="60" w:after="60"/>
              <w:jc w:val="center"/>
              <w:rPr>
                <w:sz w:val="14"/>
                <w:szCs w:val="14"/>
              </w:rPr>
            </w:pPr>
            <w:r>
              <w:rPr>
                <w:sz w:val="14"/>
                <w:szCs w:val="14"/>
              </w:rPr>
              <w:t>2.43</w:t>
            </w:r>
            <w:r w:rsidRPr="003A7326">
              <w:rPr>
                <w:sz w:val="14"/>
                <w:szCs w:val="14"/>
              </w:rPr>
              <w:t>%</w:t>
            </w:r>
          </w:p>
        </w:tc>
      </w:tr>
      <w:tr w:rsidR="00E57026" w:rsidRPr="008F735E" w14:paraId="3851CFD8" w14:textId="77777777" w:rsidTr="00841651">
        <w:tc>
          <w:tcPr>
            <w:tcW w:w="1347" w:type="dxa"/>
            <w:shd w:val="clear" w:color="auto" w:fill="auto"/>
            <w:vAlign w:val="bottom"/>
          </w:tcPr>
          <w:p w14:paraId="5811B4F5" w14:textId="3E78DC8B" w:rsidR="00E57026" w:rsidRPr="008F735E" w:rsidRDefault="00E57026" w:rsidP="00B3483A">
            <w:pPr>
              <w:keepNext/>
              <w:keepLines/>
              <w:tabs>
                <w:tab w:val="left" w:pos="106"/>
              </w:tabs>
              <w:spacing w:before="60" w:after="60"/>
              <w:jc w:val="left"/>
              <w:rPr>
                <w:sz w:val="14"/>
                <w:szCs w:val="14"/>
              </w:rPr>
            </w:pPr>
            <w:r w:rsidRPr="008F735E">
              <w:rPr>
                <w:sz w:val="14"/>
                <w:szCs w:val="14"/>
              </w:rPr>
              <w:tab/>
            </w:r>
            <w:r>
              <w:rPr>
                <w:sz w:val="14"/>
                <w:szCs w:val="14"/>
              </w:rPr>
              <w:t>t</w:t>
            </w:r>
            <w:r w:rsidRPr="008F735E">
              <w:rPr>
                <w:sz w:val="14"/>
                <w:szCs w:val="14"/>
              </w:rPr>
              <w:t xml:space="preserve"> = </w:t>
            </w:r>
            <w:r>
              <w:rPr>
                <w:sz w:val="14"/>
                <w:szCs w:val="14"/>
              </w:rPr>
              <w:t>24</w:t>
            </w:r>
            <w:r w:rsidRPr="008F735E">
              <w:rPr>
                <w:sz w:val="14"/>
                <w:szCs w:val="14"/>
              </w:rPr>
              <w:t>%</w:t>
            </w:r>
          </w:p>
        </w:tc>
        <w:tc>
          <w:tcPr>
            <w:tcW w:w="992" w:type="dxa"/>
          </w:tcPr>
          <w:p w14:paraId="3A580CAC" w14:textId="070BB833" w:rsidR="00E57026" w:rsidRPr="008F735E" w:rsidRDefault="00E57026" w:rsidP="00B3483A">
            <w:pPr>
              <w:keepNext/>
              <w:keepLines/>
              <w:tabs>
                <w:tab w:val="decimal" w:pos="256"/>
              </w:tabs>
              <w:spacing w:before="60" w:after="60"/>
              <w:jc w:val="center"/>
              <w:rPr>
                <w:sz w:val="14"/>
                <w:szCs w:val="14"/>
              </w:rPr>
            </w:pPr>
            <w:r>
              <w:rPr>
                <w:sz w:val="14"/>
                <w:szCs w:val="14"/>
              </w:rPr>
              <w:t>3.67</w:t>
            </w:r>
            <w:r w:rsidRPr="008A3106">
              <w:rPr>
                <w:sz w:val="14"/>
                <w:szCs w:val="14"/>
              </w:rPr>
              <w:t>%</w:t>
            </w:r>
          </w:p>
        </w:tc>
        <w:tc>
          <w:tcPr>
            <w:tcW w:w="737" w:type="dxa"/>
          </w:tcPr>
          <w:p w14:paraId="5EEAEB03" w14:textId="4219A8FD" w:rsidR="00E57026" w:rsidRPr="008F735E" w:rsidRDefault="00E57026" w:rsidP="00B3483A">
            <w:pPr>
              <w:keepNext/>
              <w:keepLines/>
              <w:tabs>
                <w:tab w:val="decimal" w:pos="256"/>
              </w:tabs>
              <w:spacing w:before="60" w:after="60"/>
              <w:jc w:val="center"/>
              <w:rPr>
                <w:sz w:val="14"/>
                <w:szCs w:val="14"/>
              </w:rPr>
            </w:pPr>
            <w:r>
              <w:rPr>
                <w:sz w:val="14"/>
                <w:szCs w:val="14"/>
              </w:rPr>
              <w:t>3.94</w:t>
            </w:r>
            <w:r w:rsidRPr="008A3106">
              <w:rPr>
                <w:sz w:val="14"/>
                <w:szCs w:val="14"/>
              </w:rPr>
              <w:t>%</w:t>
            </w:r>
          </w:p>
        </w:tc>
        <w:tc>
          <w:tcPr>
            <w:tcW w:w="681" w:type="dxa"/>
          </w:tcPr>
          <w:p w14:paraId="7546CBB2" w14:textId="58042AC5" w:rsidR="00E57026" w:rsidRPr="008F735E" w:rsidRDefault="00E57026" w:rsidP="00B3483A">
            <w:pPr>
              <w:keepNext/>
              <w:keepLines/>
              <w:tabs>
                <w:tab w:val="decimal" w:pos="256"/>
              </w:tabs>
              <w:spacing w:before="60" w:after="60"/>
              <w:jc w:val="center"/>
              <w:rPr>
                <w:sz w:val="14"/>
                <w:szCs w:val="14"/>
              </w:rPr>
            </w:pPr>
            <w:r>
              <w:rPr>
                <w:sz w:val="14"/>
                <w:szCs w:val="14"/>
              </w:rPr>
              <w:t>3.91</w:t>
            </w:r>
            <w:r w:rsidRPr="008A3106">
              <w:rPr>
                <w:sz w:val="14"/>
                <w:szCs w:val="14"/>
              </w:rPr>
              <w:t>%</w:t>
            </w:r>
          </w:p>
        </w:tc>
        <w:tc>
          <w:tcPr>
            <w:tcW w:w="651" w:type="dxa"/>
          </w:tcPr>
          <w:p w14:paraId="3801644D" w14:textId="0239C96A" w:rsidR="00E57026" w:rsidRPr="008F735E" w:rsidRDefault="00E57026" w:rsidP="00B3483A">
            <w:pPr>
              <w:keepNext/>
              <w:keepLines/>
              <w:tabs>
                <w:tab w:val="decimal" w:pos="256"/>
              </w:tabs>
              <w:spacing w:before="60" w:after="60"/>
              <w:jc w:val="center"/>
              <w:rPr>
                <w:sz w:val="14"/>
                <w:szCs w:val="14"/>
              </w:rPr>
            </w:pPr>
            <w:r>
              <w:rPr>
                <w:sz w:val="14"/>
                <w:szCs w:val="14"/>
              </w:rPr>
              <w:t>3.76</w:t>
            </w:r>
            <w:r w:rsidRPr="008A3106">
              <w:rPr>
                <w:sz w:val="14"/>
                <w:szCs w:val="14"/>
              </w:rPr>
              <w:t>%</w:t>
            </w:r>
          </w:p>
        </w:tc>
        <w:tc>
          <w:tcPr>
            <w:tcW w:w="666" w:type="dxa"/>
          </w:tcPr>
          <w:p w14:paraId="2871A289" w14:textId="293C349F" w:rsidR="00E57026" w:rsidRPr="008F735E" w:rsidRDefault="00E57026" w:rsidP="00B3483A">
            <w:pPr>
              <w:keepNext/>
              <w:keepLines/>
              <w:tabs>
                <w:tab w:val="decimal" w:pos="256"/>
              </w:tabs>
              <w:spacing w:before="60" w:after="60"/>
              <w:jc w:val="center"/>
              <w:rPr>
                <w:sz w:val="14"/>
                <w:szCs w:val="14"/>
              </w:rPr>
            </w:pPr>
            <w:r>
              <w:rPr>
                <w:sz w:val="14"/>
                <w:szCs w:val="14"/>
              </w:rPr>
              <w:t>3.62</w:t>
            </w:r>
            <w:r w:rsidRPr="008A3106">
              <w:rPr>
                <w:sz w:val="14"/>
                <w:szCs w:val="14"/>
              </w:rPr>
              <w:t>%</w:t>
            </w:r>
          </w:p>
        </w:tc>
        <w:tc>
          <w:tcPr>
            <w:tcW w:w="667" w:type="dxa"/>
          </w:tcPr>
          <w:p w14:paraId="2A751CF7" w14:textId="03D6CB0D" w:rsidR="00E57026" w:rsidRPr="008F735E" w:rsidRDefault="00E57026" w:rsidP="00B3483A">
            <w:pPr>
              <w:keepNext/>
              <w:keepLines/>
              <w:tabs>
                <w:tab w:val="decimal" w:pos="256"/>
              </w:tabs>
              <w:spacing w:before="60" w:after="60"/>
              <w:jc w:val="center"/>
              <w:rPr>
                <w:sz w:val="14"/>
                <w:szCs w:val="14"/>
              </w:rPr>
            </w:pPr>
            <w:r>
              <w:rPr>
                <w:sz w:val="14"/>
                <w:szCs w:val="14"/>
              </w:rPr>
              <w:t>3.51</w:t>
            </w:r>
            <w:r w:rsidRPr="008A3106">
              <w:rPr>
                <w:sz w:val="14"/>
                <w:szCs w:val="14"/>
              </w:rPr>
              <w:t>%</w:t>
            </w:r>
          </w:p>
        </w:tc>
        <w:tc>
          <w:tcPr>
            <w:tcW w:w="1134" w:type="dxa"/>
          </w:tcPr>
          <w:p w14:paraId="69E4F63C" w14:textId="26E4CCBC" w:rsidR="00E57026" w:rsidRPr="008F735E" w:rsidRDefault="00E57026" w:rsidP="00B3483A">
            <w:pPr>
              <w:keepNext/>
              <w:keepLines/>
              <w:tabs>
                <w:tab w:val="decimal" w:pos="256"/>
              </w:tabs>
              <w:spacing w:before="60" w:after="60"/>
              <w:jc w:val="center"/>
              <w:rPr>
                <w:sz w:val="14"/>
                <w:szCs w:val="14"/>
              </w:rPr>
            </w:pPr>
            <w:r>
              <w:rPr>
                <w:sz w:val="14"/>
                <w:szCs w:val="14"/>
              </w:rPr>
              <w:t>3.32</w:t>
            </w:r>
            <w:r w:rsidRPr="008A3106">
              <w:rPr>
                <w:sz w:val="14"/>
                <w:szCs w:val="14"/>
              </w:rPr>
              <w:t>%</w:t>
            </w:r>
          </w:p>
        </w:tc>
        <w:tc>
          <w:tcPr>
            <w:tcW w:w="851" w:type="dxa"/>
          </w:tcPr>
          <w:p w14:paraId="0FC75915" w14:textId="002011CA" w:rsidR="00E57026" w:rsidRPr="008F735E" w:rsidRDefault="00E57026" w:rsidP="00B3483A">
            <w:pPr>
              <w:keepNext/>
              <w:keepLines/>
              <w:tabs>
                <w:tab w:val="decimal" w:pos="256"/>
              </w:tabs>
              <w:spacing w:before="60" w:after="60"/>
              <w:jc w:val="center"/>
              <w:rPr>
                <w:sz w:val="14"/>
                <w:szCs w:val="14"/>
              </w:rPr>
            </w:pPr>
            <w:r>
              <w:rPr>
                <w:sz w:val="14"/>
                <w:szCs w:val="14"/>
              </w:rPr>
              <w:t>3.94</w:t>
            </w:r>
            <w:r w:rsidRPr="008A3106">
              <w:rPr>
                <w:sz w:val="14"/>
                <w:szCs w:val="14"/>
              </w:rPr>
              <w:t>%</w:t>
            </w:r>
          </w:p>
        </w:tc>
        <w:tc>
          <w:tcPr>
            <w:tcW w:w="1134" w:type="dxa"/>
          </w:tcPr>
          <w:p w14:paraId="6DB122B7" w14:textId="67962173" w:rsidR="00E57026" w:rsidRPr="008F735E" w:rsidRDefault="00E57026" w:rsidP="00B3483A">
            <w:pPr>
              <w:keepNext/>
              <w:keepLines/>
              <w:tabs>
                <w:tab w:val="decimal" w:pos="256"/>
              </w:tabs>
              <w:spacing w:before="60" w:after="60"/>
              <w:jc w:val="center"/>
              <w:rPr>
                <w:sz w:val="14"/>
                <w:szCs w:val="14"/>
              </w:rPr>
            </w:pPr>
            <w:r>
              <w:rPr>
                <w:sz w:val="14"/>
                <w:szCs w:val="14"/>
              </w:rPr>
              <w:t>3.00</w:t>
            </w:r>
            <w:r w:rsidRPr="008A3106">
              <w:rPr>
                <w:sz w:val="14"/>
                <w:szCs w:val="14"/>
              </w:rPr>
              <w:t>%</w:t>
            </w:r>
          </w:p>
        </w:tc>
        <w:tc>
          <w:tcPr>
            <w:tcW w:w="921" w:type="dxa"/>
          </w:tcPr>
          <w:p w14:paraId="3F8DA723" w14:textId="48DB63FF" w:rsidR="00E57026" w:rsidRPr="008F735E" w:rsidRDefault="00E57026" w:rsidP="00B3483A">
            <w:pPr>
              <w:keepNext/>
              <w:keepLines/>
              <w:tabs>
                <w:tab w:val="decimal" w:pos="256"/>
              </w:tabs>
              <w:spacing w:before="60" w:after="60"/>
              <w:jc w:val="center"/>
              <w:rPr>
                <w:sz w:val="14"/>
                <w:szCs w:val="14"/>
              </w:rPr>
            </w:pPr>
            <w:r>
              <w:rPr>
                <w:sz w:val="14"/>
                <w:szCs w:val="14"/>
              </w:rPr>
              <w:t>2.52</w:t>
            </w:r>
            <w:r w:rsidRPr="008A3106">
              <w:rPr>
                <w:sz w:val="14"/>
                <w:szCs w:val="14"/>
              </w:rPr>
              <w:t>%</w:t>
            </w:r>
          </w:p>
        </w:tc>
      </w:tr>
      <w:tr w:rsidR="00E57026" w:rsidRPr="008F735E" w14:paraId="7CE514EB" w14:textId="77777777" w:rsidTr="00841651">
        <w:tc>
          <w:tcPr>
            <w:tcW w:w="1347" w:type="dxa"/>
            <w:shd w:val="clear" w:color="auto" w:fill="auto"/>
            <w:vAlign w:val="bottom"/>
          </w:tcPr>
          <w:p w14:paraId="359F5B0D" w14:textId="1812838A" w:rsidR="00E57026" w:rsidRPr="008F735E" w:rsidRDefault="00E57026" w:rsidP="00B3483A">
            <w:pPr>
              <w:keepNext/>
              <w:keepLines/>
              <w:tabs>
                <w:tab w:val="left" w:pos="106"/>
              </w:tabs>
              <w:spacing w:before="60" w:after="60"/>
              <w:jc w:val="left"/>
              <w:rPr>
                <w:sz w:val="14"/>
                <w:szCs w:val="14"/>
              </w:rPr>
            </w:pPr>
            <w:r w:rsidRPr="008F735E">
              <w:rPr>
                <w:sz w:val="14"/>
                <w:szCs w:val="14"/>
              </w:rPr>
              <w:tab/>
            </w:r>
            <w:r>
              <w:rPr>
                <w:sz w:val="14"/>
                <w:szCs w:val="14"/>
              </w:rPr>
              <w:t>t</w:t>
            </w:r>
            <w:r w:rsidRPr="008F735E">
              <w:rPr>
                <w:sz w:val="14"/>
                <w:szCs w:val="14"/>
              </w:rPr>
              <w:t xml:space="preserve"> = </w:t>
            </w:r>
            <w:r>
              <w:rPr>
                <w:sz w:val="14"/>
                <w:szCs w:val="14"/>
              </w:rPr>
              <w:t>20</w:t>
            </w:r>
            <w:r w:rsidRPr="008F735E">
              <w:rPr>
                <w:sz w:val="14"/>
                <w:szCs w:val="14"/>
              </w:rPr>
              <w:t>%</w:t>
            </w:r>
          </w:p>
        </w:tc>
        <w:tc>
          <w:tcPr>
            <w:tcW w:w="992" w:type="dxa"/>
          </w:tcPr>
          <w:p w14:paraId="3D74C36F" w14:textId="33DE6356" w:rsidR="00E57026" w:rsidRPr="008F735E" w:rsidRDefault="00E57026" w:rsidP="00B3483A">
            <w:pPr>
              <w:keepNext/>
              <w:keepLines/>
              <w:tabs>
                <w:tab w:val="decimal" w:pos="256"/>
              </w:tabs>
              <w:spacing w:before="60" w:after="60"/>
              <w:jc w:val="center"/>
              <w:rPr>
                <w:sz w:val="14"/>
                <w:szCs w:val="14"/>
              </w:rPr>
            </w:pPr>
            <w:r>
              <w:rPr>
                <w:sz w:val="14"/>
                <w:szCs w:val="14"/>
              </w:rPr>
              <w:t>3.54</w:t>
            </w:r>
            <w:r w:rsidRPr="008A3106">
              <w:rPr>
                <w:sz w:val="14"/>
                <w:szCs w:val="14"/>
              </w:rPr>
              <w:t>%</w:t>
            </w:r>
          </w:p>
        </w:tc>
        <w:tc>
          <w:tcPr>
            <w:tcW w:w="737" w:type="dxa"/>
          </w:tcPr>
          <w:p w14:paraId="437A5EA1" w14:textId="0857B597" w:rsidR="00E57026" w:rsidRPr="008F735E" w:rsidRDefault="00E57026" w:rsidP="00B3483A">
            <w:pPr>
              <w:keepNext/>
              <w:keepLines/>
              <w:tabs>
                <w:tab w:val="decimal" w:pos="256"/>
              </w:tabs>
              <w:spacing w:before="60" w:after="60"/>
              <w:jc w:val="center"/>
              <w:rPr>
                <w:sz w:val="14"/>
                <w:szCs w:val="14"/>
              </w:rPr>
            </w:pPr>
            <w:r>
              <w:rPr>
                <w:sz w:val="14"/>
                <w:szCs w:val="14"/>
              </w:rPr>
              <w:t>3.75</w:t>
            </w:r>
            <w:r w:rsidRPr="008A3106">
              <w:rPr>
                <w:sz w:val="14"/>
                <w:szCs w:val="14"/>
              </w:rPr>
              <w:t>%</w:t>
            </w:r>
          </w:p>
        </w:tc>
        <w:tc>
          <w:tcPr>
            <w:tcW w:w="681" w:type="dxa"/>
          </w:tcPr>
          <w:p w14:paraId="488D1025" w14:textId="4C26DB5B" w:rsidR="00E57026" w:rsidRPr="008F735E" w:rsidRDefault="00E57026" w:rsidP="00B3483A">
            <w:pPr>
              <w:keepNext/>
              <w:keepLines/>
              <w:tabs>
                <w:tab w:val="decimal" w:pos="256"/>
              </w:tabs>
              <w:spacing w:before="60" w:after="60"/>
              <w:jc w:val="center"/>
              <w:rPr>
                <w:sz w:val="14"/>
                <w:szCs w:val="14"/>
              </w:rPr>
            </w:pPr>
            <w:r>
              <w:rPr>
                <w:sz w:val="14"/>
                <w:szCs w:val="14"/>
              </w:rPr>
              <w:t>3.73</w:t>
            </w:r>
            <w:r w:rsidRPr="008A3106">
              <w:rPr>
                <w:sz w:val="14"/>
                <w:szCs w:val="14"/>
              </w:rPr>
              <w:t>%</w:t>
            </w:r>
          </w:p>
        </w:tc>
        <w:tc>
          <w:tcPr>
            <w:tcW w:w="651" w:type="dxa"/>
          </w:tcPr>
          <w:p w14:paraId="66B1241F" w14:textId="54131B43" w:rsidR="00E57026" w:rsidRPr="008F735E" w:rsidRDefault="00E57026" w:rsidP="00B3483A">
            <w:pPr>
              <w:keepNext/>
              <w:keepLines/>
              <w:tabs>
                <w:tab w:val="decimal" w:pos="256"/>
              </w:tabs>
              <w:spacing w:before="60" w:after="60"/>
              <w:jc w:val="center"/>
              <w:rPr>
                <w:sz w:val="14"/>
                <w:szCs w:val="14"/>
              </w:rPr>
            </w:pPr>
            <w:r>
              <w:rPr>
                <w:sz w:val="14"/>
                <w:szCs w:val="14"/>
              </w:rPr>
              <w:t>3.61</w:t>
            </w:r>
            <w:r w:rsidRPr="008A3106">
              <w:rPr>
                <w:sz w:val="14"/>
                <w:szCs w:val="14"/>
              </w:rPr>
              <w:t>%</w:t>
            </w:r>
          </w:p>
        </w:tc>
        <w:tc>
          <w:tcPr>
            <w:tcW w:w="666" w:type="dxa"/>
          </w:tcPr>
          <w:p w14:paraId="34C39A72" w14:textId="3C0BBDFE" w:rsidR="00E57026" w:rsidRPr="008F735E" w:rsidRDefault="00E57026" w:rsidP="00B3483A">
            <w:pPr>
              <w:keepNext/>
              <w:keepLines/>
              <w:tabs>
                <w:tab w:val="decimal" w:pos="256"/>
              </w:tabs>
              <w:spacing w:before="60" w:after="60"/>
              <w:jc w:val="center"/>
              <w:rPr>
                <w:sz w:val="14"/>
                <w:szCs w:val="14"/>
              </w:rPr>
            </w:pPr>
            <w:r>
              <w:rPr>
                <w:sz w:val="14"/>
                <w:szCs w:val="14"/>
              </w:rPr>
              <w:t>3.50</w:t>
            </w:r>
            <w:r w:rsidRPr="008A3106">
              <w:rPr>
                <w:sz w:val="14"/>
                <w:szCs w:val="14"/>
              </w:rPr>
              <w:t>%</w:t>
            </w:r>
          </w:p>
        </w:tc>
        <w:tc>
          <w:tcPr>
            <w:tcW w:w="667" w:type="dxa"/>
          </w:tcPr>
          <w:p w14:paraId="4F08D171" w14:textId="71DE8473" w:rsidR="00E57026" w:rsidRPr="008F735E" w:rsidRDefault="00E57026" w:rsidP="00B3483A">
            <w:pPr>
              <w:keepNext/>
              <w:keepLines/>
              <w:tabs>
                <w:tab w:val="decimal" w:pos="256"/>
              </w:tabs>
              <w:spacing w:before="60" w:after="60"/>
              <w:jc w:val="center"/>
              <w:rPr>
                <w:sz w:val="14"/>
                <w:szCs w:val="14"/>
              </w:rPr>
            </w:pPr>
            <w:r>
              <w:rPr>
                <w:sz w:val="14"/>
                <w:szCs w:val="14"/>
              </w:rPr>
              <w:t>3.41</w:t>
            </w:r>
            <w:r w:rsidRPr="008A3106">
              <w:rPr>
                <w:sz w:val="14"/>
                <w:szCs w:val="14"/>
              </w:rPr>
              <w:t>%</w:t>
            </w:r>
          </w:p>
        </w:tc>
        <w:tc>
          <w:tcPr>
            <w:tcW w:w="1134" w:type="dxa"/>
          </w:tcPr>
          <w:p w14:paraId="2057C793" w14:textId="015A8542" w:rsidR="00E57026" w:rsidRPr="008F735E" w:rsidRDefault="00E57026" w:rsidP="00B3483A">
            <w:pPr>
              <w:keepNext/>
              <w:keepLines/>
              <w:tabs>
                <w:tab w:val="decimal" w:pos="256"/>
              </w:tabs>
              <w:spacing w:before="60" w:after="60"/>
              <w:jc w:val="center"/>
              <w:rPr>
                <w:sz w:val="14"/>
                <w:szCs w:val="14"/>
              </w:rPr>
            </w:pPr>
            <w:r>
              <w:rPr>
                <w:sz w:val="14"/>
                <w:szCs w:val="14"/>
              </w:rPr>
              <w:t>3.26</w:t>
            </w:r>
            <w:r w:rsidRPr="008A3106">
              <w:rPr>
                <w:sz w:val="14"/>
                <w:szCs w:val="14"/>
              </w:rPr>
              <w:t>%</w:t>
            </w:r>
          </w:p>
        </w:tc>
        <w:tc>
          <w:tcPr>
            <w:tcW w:w="851" w:type="dxa"/>
          </w:tcPr>
          <w:p w14:paraId="62901EFA" w14:textId="51C5867F" w:rsidR="00E57026" w:rsidRPr="008F735E" w:rsidRDefault="00E57026" w:rsidP="00B3483A">
            <w:pPr>
              <w:keepNext/>
              <w:keepLines/>
              <w:tabs>
                <w:tab w:val="decimal" w:pos="256"/>
              </w:tabs>
              <w:spacing w:before="60" w:after="60"/>
              <w:jc w:val="center"/>
              <w:rPr>
                <w:sz w:val="14"/>
                <w:szCs w:val="14"/>
              </w:rPr>
            </w:pPr>
            <w:r>
              <w:rPr>
                <w:sz w:val="14"/>
                <w:szCs w:val="14"/>
              </w:rPr>
              <w:t>3.75</w:t>
            </w:r>
            <w:r w:rsidRPr="008A3106">
              <w:rPr>
                <w:sz w:val="14"/>
                <w:szCs w:val="14"/>
              </w:rPr>
              <w:t>%</w:t>
            </w:r>
          </w:p>
        </w:tc>
        <w:tc>
          <w:tcPr>
            <w:tcW w:w="1134" w:type="dxa"/>
          </w:tcPr>
          <w:p w14:paraId="4E014F16" w14:textId="41656B20" w:rsidR="00E57026" w:rsidRPr="008F735E" w:rsidRDefault="00E57026" w:rsidP="00B3483A">
            <w:pPr>
              <w:keepNext/>
              <w:keepLines/>
              <w:tabs>
                <w:tab w:val="decimal" w:pos="256"/>
              </w:tabs>
              <w:spacing w:before="60" w:after="60"/>
              <w:jc w:val="center"/>
              <w:rPr>
                <w:sz w:val="14"/>
                <w:szCs w:val="14"/>
              </w:rPr>
            </w:pPr>
            <w:r>
              <w:rPr>
                <w:sz w:val="14"/>
                <w:szCs w:val="14"/>
              </w:rPr>
              <w:t>3.01</w:t>
            </w:r>
            <w:r w:rsidRPr="008A3106">
              <w:rPr>
                <w:sz w:val="14"/>
                <w:szCs w:val="14"/>
              </w:rPr>
              <w:t>%</w:t>
            </w:r>
          </w:p>
        </w:tc>
        <w:tc>
          <w:tcPr>
            <w:tcW w:w="921" w:type="dxa"/>
          </w:tcPr>
          <w:p w14:paraId="2343D8E9" w14:textId="7093A1E7" w:rsidR="00E57026" w:rsidRPr="008F735E" w:rsidRDefault="00E57026" w:rsidP="00B3483A">
            <w:pPr>
              <w:keepNext/>
              <w:keepLines/>
              <w:tabs>
                <w:tab w:val="decimal" w:pos="256"/>
              </w:tabs>
              <w:spacing w:before="60" w:after="60"/>
              <w:jc w:val="center"/>
              <w:rPr>
                <w:sz w:val="14"/>
                <w:szCs w:val="14"/>
              </w:rPr>
            </w:pPr>
            <w:r>
              <w:rPr>
                <w:sz w:val="14"/>
                <w:szCs w:val="14"/>
              </w:rPr>
              <w:t>2.61</w:t>
            </w:r>
            <w:r w:rsidRPr="008A3106">
              <w:rPr>
                <w:sz w:val="14"/>
                <w:szCs w:val="14"/>
              </w:rPr>
              <w:t>%</w:t>
            </w:r>
          </w:p>
        </w:tc>
      </w:tr>
      <w:tr w:rsidR="00E57026" w:rsidRPr="008F735E" w14:paraId="40A3E6C2" w14:textId="77777777" w:rsidTr="00841651">
        <w:tc>
          <w:tcPr>
            <w:tcW w:w="1347" w:type="dxa"/>
            <w:shd w:val="clear" w:color="auto" w:fill="auto"/>
            <w:vAlign w:val="bottom"/>
          </w:tcPr>
          <w:p w14:paraId="7B607700" w14:textId="4C01130D" w:rsidR="00E57026" w:rsidRPr="008F735E" w:rsidRDefault="00E57026" w:rsidP="00B3483A">
            <w:pPr>
              <w:keepNext/>
              <w:keepLines/>
              <w:tabs>
                <w:tab w:val="left" w:pos="106"/>
              </w:tabs>
              <w:spacing w:before="60" w:after="60"/>
              <w:jc w:val="left"/>
              <w:rPr>
                <w:b/>
                <w:bCs/>
                <w:sz w:val="14"/>
                <w:szCs w:val="14"/>
              </w:rPr>
            </w:pPr>
            <w:r w:rsidRPr="008F735E">
              <w:rPr>
                <w:b/>
                <w:bCs/>
                <w:sz w:val="14"/>
                <w:szCs w:val="14"/>
              </w:rPr>
              <w:t>EMTR</w:t>
            </w:r>
            <w:r w:rsidR="008A6DF3">
              <w:rPr>
                <w:b/>
                <w:bCs/>
                <w:sz w:val="14"/>
                <w:szCs w:val="14"/>
              </w:rPr>
              <w:t>s</w:t>
            </w:r>
          </w:p>
        </w:tc>
        <w:tc>
          <w:tcPr>
            <w:tcW w:w="992" w:type="dxa"/>
          </w:tcPr>
          <w:p w14:paraId="3EC2301D" w14:textId="0BDC4193" w:rsidR="00E57026" w:rsidRPr="008F735E" w:rsidRDefault="00E57026" w:rsidP="00B3483A">
            <w:pPr>
              <w:keepNext/>
              <w:keepLines/>
              <w:tabs>
                <w:tab w:val="decimal" w:pos="256"/>
              </w:tabs>
              <w:spacing w:before="60" w:after="60"/>
              <w:jc w:val="center"/>
              <w:rPr>
                <w:sz w:val="14"/>
                <w:szCs w:val="14"/>
              </w:rPr>
            </w:pPr>
          </w:p>
        </w:tc>
        <w:tc>
          <w:tcPr>
            <w:tcW w:w="737" w:type="dxa"/>
          </w:tcPr>
          <w:p w14:paraId="3ABC9EC7" w14:textId="6190D22F" w:rsidR="00E57026" w:rsidRPr="008F735E" w:rsidRDefault="00E57026" w:rsidP="00B3483A">
            <w:pPr>
              <w:keepNext/>
              <w:keepLines/>
              <w:tabs>
                <w:tab w:val="decimal" w:pos="256"/>
              </w:tabs>
              <w:spacing w:before="60" w:after="60"/>
              <w:jc w:val="center"/>
              <w:rPr>
                <w:sz w:val="14"/>
                <w:szCs w:val="14"/>
              </w:rPr>
            </w:pPr>
          </w:p>
        </w:tc>
        <w:tc>
          <w:tcPr>
            <w:tcW w:w="681" w:type="dxa"/>
          </w:tcPr>
          <w:p w14:paraId="712414C0" w14:textId="63AF926A" w:rsidR="00E57026" w:rsidRPr="008F735E" w:rsidRDefault="00E57026" w:rsidP="00B3483A">
            <w:pPr>
              <w:keepNext/>
              <w:keepLines/>
              <w:tabs>
                <w:tab w:val="decimal" w:pos="256"/>
              </w:tabs>
              <w:spacing w:before="60" w:after="60"/>
              <w:jc w:val="center"/>
              <w:rPr>
                <w:sz w:val="14"/>
                <w:szCs w:val="14"/>
              </w:rPr>
            </w:pPr>
          </w:p>
        </w:tc>
        <w:tc>
          <w:tcPr>
            <w:tcW w:w="651" w:type="dxa"/>
          </w:tcPr>
          <w:p w14:paraId="103D0F80" w14:textId="0C02D4EF" w:rsidR="00E57026" w:rsidRPr="008F735E" w:rsidRDefault="00E57026" w:rsidP="00B3483A">
            <w:pPr>
              <w:keepNext/>
              <w:keepLines/>
              <w:tabs>
                <w:tab w:val="decimal" w:pos="256"/>
              </w:tabs>
              <w:spacing w:before="60" w:after="60"/>
              <w:jc w:val="center"/>
              <w:rPr>
                <w:sz w:val="14"/>
                <w:szCs w:val="14"/>
              </w:rPr>
            </w:pPr>
          </w:p>
        </w:tc>
        <w:tc>
          <w:tcPr>
            <w:tcW w:w="666" w:type="dxa"/>
          </w:tcPr>
          <w:p w14:paraId="11885DD2" w14:textId="1D5CCBCA" w:rsidR="00E57026" w:rsidRPr="008F735E" w:rsidRDefault="00E57026" w:rsidP="00B3483A">
            <w:pPr>
              <w:keepNext/>
              <w:keepLines/>
              <w:tabs>
                <w:tab w:val="decimal" w:pos="256"/>
              </w:tabs>
              <w:spacing w:before="60" w:after="60"/>
              <w:jc w:val="center"/>
              <w:rPr>
                <w:sz w:val="14"/>
                <w:szCs w:val="14"/>
              </w:rPr>
            </w:pPr>
          </w:p>
        </w:tc>
        <w:tc>
          <w:tcPr>
            <w:tcW w:w="667" w:type="dxa"/>
          </w:tcPr>
          <w:p w14:paraId="3783FD3C" w14:textId="7755459F" w:rsidR="00E57026" w:rsidRPr="008F735E" w:rsidRDefault="00E57026" w:rsidP="00B3483A">
            <w:pPr>
              <w:keepNext/>
              <w:keepLines/>
              <w:tabs>
                <w:tab w:val="decimal" w:pos="256"/>
              </w:tabs>
              <w:spacing w:before="60" w:after="60"/>
              <w:jc w:val="center"/>
              <w:rPr>
                <w:sz w:val="14"/>
                <w:szCs w:val="14"/>
              </w:rPr>
            </w:pPr>
          </w:p>
        </w:tc>
        <w:tc>
          <w:tcPr>
            <w:tcW w:w="1134" w:type="dxa"/>
          </w:tcPr>
          <w:p w14:paraId="5D96A642" w14:textId="0ED40876" w:rsidR="00E57026" w:rsidRPr="008F735E" w:rsidRDefault="00E57026" w:rsidP="00B3483A">
            <w:pPr>
              <w:keepNext/>
              <w:keepLines/>
              <w:tabs>
                <w:tab w:val="decimal" w:pos="256"/>
              </w:tabs>
              <w:spacing w:before="60" w:after="60"/>
              <w:jc w:val="center"/>
              <w:rPr>
                <w:sz w:val="14"/>
                <w:szCs w:val="14"/>
              </w:rPr>
            </w:pPr>
          </w:p>
        </w:tc>
        <w:tc>
          <w:tcPr>
            <w:tcW w:w="851" w:type="dxa"/>
          </w:tcPr>
          <w:p w14:paraId="77752C68" w14:textId="45454E27" w:rsidR="00E57026" w:rsidRPr="008F735E" w:rsidRDefault="00E57026" w:rsidP="00B3483A">
            <w:pPr>
              <w:keepNext/>
              <w:keepLines/>
              <w:tabs>
                <w:tab w:val="decimal" w:pos="256"/>
              </w:tabs>
              <w:spacing w:before="60" w:after="60"/>
              <w:jc w:val="center"/>
              <w:rPr>
                <w:sz w:val="14"/>
                <w:szCs w:val="14"/>
              </w:rPr>
            </w:pPr>
          </w:p>
        </w:tc>
        <w:tc>
          <w:tcPr>
            <w:tcW w:w="1134" w:type="dxa"/>
          </w:tcPr>
          <w:p w14:paraId="65358A57" w14:textId="1A979BEB" w:rsidR="00E57026" w:rsidRPr="008F735E" w:rsidRDefault="00E57026" w:rsidP="00B3483A">
            <w:pPr>
              <w:keepNext/>
              <w:keepLines/>
              <w:tabs>
                <w:tab w:val="decimal" w:pos="256"/>
              </w:tabs>
              <w:spacing w:before="60" w:after="60"/>
              <w:jc w:val="center"/>
              <w:rPr>
                <w:sz w:val="14"/>
                <w:szCs w:val="14"/>
              </w:rPr>
            </w:pPr>
          </w:p>
        </w:tc>
        <w:tc>
          <w:tcPr>
            <w:tcW w:w="921" w:type="dxa"/>
          </w:tcPr>
          <w:p w14:paraId="52090F7C" w14:textId="474AC5EB" w:rsidR="00E57026" w:rsidRPr="008F735E" w:rsidRDefault="00E57026" w:rsidP="00B3483A">
            <w:pPr>
              <w:keepNext/>
              <w:keepLines/>
              <w:tabs>
                <w:tab w:val="decimal" w:pos="256"/>
              </w:tabs>
              <w:spacing w:before="60" w:after="60"/>
              <w:jc w:val="center"/>
              <w:rPr>
                <w:sz w:val="14"/>
                <w:szCs w:val="14"/>
              </w:rPr>
            </w:pPr>
          </w:p>
        </w:tc>
      </w:tr>
      <w:tr w:rsidR="00E57026" w:rsidRPr="008F735E" w14:paraId="63B1FE13" w14:textId="77777777" w:rsidTr="00841651">
        <w:tc>
          <w:tcPr>
            <w:tcW w:w="1347" w:type="dxa"/>
            <w:shd w:val="clear" w:color="auto" w:fill="auto"/>
            <w:vAlign w:val="bottom"/>
          </w:tcPr>
          <w:p w14:paraId="6AD86ABA" w14:textId="7E7015B2" w:rsidR="00E57026" w:rsidRPr="008F735E" w:rsidRDefault="00E57026" w:rsidP="00B3483A">
            <w:pPr>
              <w:keepNext/>
              <w:keepLines/>
              <w:tabs>
                <w:tab w:val="left" w:pos="106"/>
              </w:tabs>
              <w:spacing w:before="60" w:after="60"/>
              <w:jc w:val="left"/>
              <w:rPr>
                <w:sz w:val="14"/>
                <w:szCs w:val="14"/>
              </w:rPr>
            </w:pPr>
            <w:r w:rsidRPr="008F735E">
              <w:rPr>
                <w:sz w:val="14"/>
                <w:szCs w:val="14"/>
              </w:rPr>
              <w:tab/>
            </w:r>
            <w:r>
              <w:rPr>
                <w:sz w:val="14"/>
                <w:szCs w:val="14"/>
              </w:rPr>
              <w:t>t</w:t>
            </w:r>
            <w:r w:rsidRPr="008F735E">
              <w:rPr>
                <w:sz w:val="14"/>
                <w:szCs w:val="14"/>
              </w:rPr>
              <w:t xml:space="preserve"> = </w:t>
            </w:r>
            <w:r>
              <w:rPr>
                <w:sz w:val="14"/>
                <w:szCs w:val="14"/>
              </w:rPr>
              <w:t>28</w:t>
            </w:r>
            <w:r w:rsidRPr="008F735E">
              <w:rPr>
                <w:sz w:val="14"/>
                <w:szCs w:val="14"/>
              </w:rPr>
              <w:t>%</w:t>
            </w:r>
          </w:p>
        </w:tc>
        <w:tc>
          <w:tcPr>
            <w:tcW w:w="992" w:type="dxa"/>
          </w:tcPr>
          <w:p w14:paraId="0B836200" w14:textId="04D3ACA6" w:rsidR="00E57026" w:rsidRPr="008F735E" w:rsidRDefault="00E57026" w:rsidP="00B3483A">
            <w:pPr>
              <w:keepNext/>
              <w:keepLines/>
              <w:tabs>
                <w:tab w:val="decimal" w:pos="256"/>
              </w:tabs>
              <w:spacing w:before="60" w:after="60"/>
              <w:jc w:val="center"/>
              <w:rPr>
                <w:sz w:val="14"/>
                <w:szCs w:val="14"/>
              </w:rPr>
            </w:pPr>
            <w:r>
              <w:rPr>
                <w:sz w:val="14"/>
                <w:szCs w:val="14"/>
              </w:rPr>
              <w:t>21.3</w:t>
            </w:r>
            <w:r w:rsidRPr="008A3106">
              <w:rPr>
                <w:sz w:val="14"/>
                <w:szCs w:val="14"/>
              </w:rPr>
              <w:t>%</w:t>
            </w:r>
          </w:p>
        </w:tc>
        <w:tc>
          <w:tcPr>
            <w:tcW w:w="737" w:type="dxa"/>
          </w:tcPr>
          <w:p w14:paraId="4A535A5D" w14:textId="0F0E8473" w:rsidR="00E57026" w:rsidRPr="008F735E" w:rsidRDefault="00E57026" w:rsidP="00B3483A">
            <w:pPr>
              <w:keepNext/>
              <w:keepLines/>
              <w:tabs>
                <w:tab w:val="decimal" w:pos="256"/>
              </w:tabs>
              <w:spacing w:before="60" w:after="60"/>
              <w:jc w:val="center"/>
              <w:rPr>
                <w:sz w:val="14"/>
                <w:szCs w:val="14"/>
              </w:rPr>
            </w:pPr>
            <w:r>
              <w:rPr>
                <w:sz w:val="14"/>
                <w:szCs w:val="14"/>
              </w:rPr>
              <w:t>27.6</w:t>
            </w:r>
            <w:r w:rsidRPr="008A3106">
              <w:rPr>
                <w:sz w:val="14"/>
                <w:szCs w:val="14"/>
              </w:rPr>
              <w:t>%</w:t>
            </w:r>
          </w:p>
        </w:tc>
        <w:tc>
          <w:tcPr>
            <w:tcW w:w="681" w:type="dxa"/>
          </w:tcPr>
          <w:p w14:paraId="7ABE7CBF" w14:textId="54E83E7E" w:rsidR="00E57026" w:rsidRPr="008F735E" w:rsidRDefault="00E57026" w:rsidP="00B3483A">
            <w:pPr>
              <w:keepNext/>
              <w:keepLines/>
              <w:tabs>
                <w:tab w:val="decimal" w:pos="256"/>
              </w:tabs>
              <w:spacing w:before="60" w:after="60"/>
              <w:jc w:val="center"/>
              <w:rPr>
                <w:sz w:val="14"/>
                <w:szCs w:val="14"/>
              </w:rPr>
            </w:pPr>
            <w:r>
              <w:rPr>
                <w:sz w:val="14"/>
                <w:szCs w:val="14"/>
              </w:rPr>
              <w:t>27.0</w:t>
            </w:r>
            <w:r w:rsidRPr="008A3106">
              <w:rPr>
                <w:sz w:val="14"/>
                <w:szCs w:val="14"/>
              </w:rPr>
              <w:t>%</w:t>
            </w:r>
          </w:p>
        </w:tc>
        <w:tc>
          <w:tcPr>
            <w:tcW w:w="651" w:type="dxa"/>
          </w:tcPr>
          <w:p w14:paraId="78C498DB" w14:textId="7CF325D1" w:rsidR="00E57026" w:rsidRPr="008F735E" w:rsidRDefault="00E57026" w:rsidP="00B3483A">
            <w:pPr>
              <w:keepNext/>
              <w:keepLines/>
              <w:tabs>
                <w:tab w:val="decimal" w:pos="256"/>
              </w:tabs>
              <w:spacing w:before="60" w:after="60"/>
              <w:jc w:val="center"/>
              <w:rPr>
                <w:sz w:val="14"/>
                <w:szCs w:val="14"/>
              </w:rPr>
            </w:pPr>
            <w:r>
              <w:rPr>
                <w:sz w:val="14"/>
                <w:szCs w:val="14"/>
              </w:rPr>
              <w:t>23.7</w:t>
            </w:r>
            <w:r w:rsidRPr="008A3106">
              <w:rPr>
                <w:sz w:val="14"/>
                <w:szCs w:val="14"/>
              </w:rPr>
              <w:t>%</w:t>
            </w:r>
          </w:p>
        </w:tc>
        <w:tc>
          <w:tcPr>
            <w:tcW w:w="666" w:type="dxa"/>
          </w:tcPr>
          <w:p w14:paraId="2928F1EF" w14:textId="1E403FE5" w:rsidR="00E57026" w:rsidRPr="008F735E" w:rsidRDefault="00E57026" w:rsidP="00B3483A">
            <w:pPr>
              <w:keepNext/>
              <w:keepLines/>
              <w:tabs>
                <w:tab w:val="decimal" w:pos="256"/>
              </w:tabs>
              <w:spacing w:before="60" w:after="60"/>
              <w:jc w:val="center"/>
              <w:rPr>
                <w:sz w:val="14"/>
                <w:szCs w:val="14"/>
              </w:rPr>
            </w:pPr>
            <w:r>
              <w:rPr>
                <w:sz w:val="14"/>
                <w:szCs w:val="14"/>
              </w:rPr>
              <w:t>20.1</w:t>
            </w:r>
            <w:r w:rsidRPr="008A3106">
              <w:rPr>
                <w:sz w:val="14"/>
                <w:szCs w:val="14"/>
              </w:rPr>
              <w:t>%</w:t>
            </w:r>
          </w:p>
        </w:tc>
        <w:tc>
          <w:tcPr>
            <w:tcW w:w="667" w:type="dxa"/>
          </w:tcPr>
          <w:p w14:paraId="22D638B7" w14:textId="562F32AB" w:rsidR="00E57026" w:rsidRPr="008F735E" w:rsidRDefault="00E57026" w:rsidP="00B3483A">
            <w:pPr>
              <w:keepNext/>
              <w:keepLines/>
              <w:tabs>
                <w:tab w:val="decimal" w:pos="256"/>
              </w:tabs>
              <w:spacing w:before="60" w:after="60"/>
              <w:jc w:val="center"/>
              <w:rPr>
                <w:sz w:val="14"/>
                <w:szCs w:val="14"/>
              </w:rPr>
            </w:pPr>
            <w:r>
              <w:rPr>
                <w:sz w:val="14"/>
                <w:szCs w:val="14"/>
              </w:rPr>
              <w:t>17.3</w:t>
            </w:r>
            <w:r w:rsidRPr="008A3106">
              <w:rPr>
                <w:sz w:val="14"/>
                <w:szCs w:val="14"/>
              </w:rPr>
              <w:t>%</w:t>
            </w:r>
          </w:p>
        </w:tc>
        <w:tc>
          <w:tcPr>
            <w:tcW w:w="1134" w:type="dxa"/>
          </w:tcPr>
          <w:p w14:paraId="0F4A849F" w14:textId="468A6F78" w:rsidR="00E57026" w:rsidRPr="008F735E" w:rsidRDefault="00E57026" w:rsidP="00B3483A">
            <w:pPr>
              <w:keepNext/>
              <w:keepLines/>
              <w:tabs>
                <w:tab w:val="decimal" w:pos="256"/>
              </w:tabs>
              <w:spacing w:before="60" w:after="60"/>
              <w:jc w:val="center"/>
              <w:rPr>
                <w:sz w:val="14"/>
                <w:szCs w:val="14"/>
              </w:rPr>
            </w:pPr>
            <w:r>
              <w:rPr>
                <w:sz w:val="14"/>
                <w:szCs w:val="14"/>
              </w:rPr>
              <w:t>11.3</w:t>
            </w:r>
            <w:r w:rsidRPr="008A3106">
              <w:rPr>
                <w:sz w:val="14"/>
                <w:szCs w:val="14"/>
              </w:rPr>
              <w:t>%</w:t>
            </w:r>
          </w:p>
        </w:tc>
        <w:tc>
          <w:tcPr>
            <w:tcW w:w="851" w:type="dxa"/>
          </w:tcPr>
          <w:p w14:paraId="38CE8DD2" w14:textId="423CF68E" w:rsidR="00E57026" w:rsidRPr="008F735E" w:rsidRDefault="00E57026" w:rsidP="00B3483A">
            <w:pPr>
              <w:keepNext/>
              <w:keepLines/>
              <w:tabs>
                <w:tab w:val="decimal" w:pos="256"/>
              </w:tabs>
              <w:spacing w:before="60" w:after="60"/>
              <w:jc w:val="center"/>
              <w:rPr>
                <w:sz w:val="14"/>
                <w:szCs w:val="14"/>
              </w:rPr>
            </w:pPr>
            <w:r>
              <w:rPr>
                <w:sz w:val="14"/>
                <w:szCs w:val="14"/>
              </w:rPr>
              <w:t>27.6</w:t>
            </w:r>
            <w:r w:rsidRPr="008A3106">
              <w:rPr>
                <w:sz w:val="14"/>
                <w:szCs w:val="14"/>
              </w:rPr>
              <w:t>%</w:t>
            </w:r>
          </w:p>
        </w:tc>
        <w:tc>
          <w:tcPr>
            <w:tcW w:w="1134" w:type="dxa"/>
          </w:tcPr>
          <w:p w14:paraId="672384C2" w14:textId="0BADEBA9" w:rsidR="00E57026" w:rsidRPr="008F735E" w:rsidRDefault="00E57026" w:rsidP="00B3483A">
            <w:pPr>
              <w:keepNext/>
              <w:keepLines/>
              <w:tabs>
                <w:tab w:val="decimal" w:pos="256"/>
              </w:tabs>
              <w:spacing w:before="60" w:after="60"/>
              <w:jc w:val="center"/>
              <w:rPr>
                <w:sz w:val="14"/>
                <w:szCs w:val="14"/>
              </w:rPr>
            </w:pPr>
            <w:r>
              <w:rPr>
                <w:sz w:val="14"/>
                <w:szCs w:val="14"/>
              </w:rPr>
              <w:t>-0.3</w:t>
            </w:r>
            <w:r w:rsidRPr="008A3106">
              <w:rPr>
                <w:sz w:val="14"/>
                <w:szCs w:val="14"/>
              </w:rPr>
              <w:t>%</w:t>
            </w:r>
          </w:p>
        </w:tc>
        <w:tc>
          <w:tcPr>
            <w:tcW w:w="921" w:type="dxa"/>
          </w:tcPr>
          <w:p w14:paraId="58A8EDA7" w14:textId="09DAB43C" w:rsidR="00E57026" w:rsidRPr="008F735E" w:rsidRDefault="00E57026" w:rsidP="00B3483A">
            <w:pPr>
              <w:keepNext/>
              <w:keepLines/>
              <w:tabs>
                <w:tab w:val="decimal" w:pos="256"/>
              </w:tabs>
              <w:spacing w:before="60" w:after="60"/>
              <w:jc w:val="center"/>
              <w:rPr>
                <w:sz w:val="14"/>
                <w:szCs w:val="14"/>
              </w:rPr>
            </w:pPr>
            <w:r>
              <w:rPr>
                <w:sz w:val="14"/>
                <w:szCs w:val="14"/>
              </w:rPr>
              <w:t>-23.3</w:t>
            </w:r>
            <w:r w:rsidRPr="008A3106">
              <w:rPr>
                <w:sz w:val="14"/>
                <w:szCs w:val="14"/>
              </w:rPr>
              <w:t>%</w:t>
            </w:r>
          </w:p>
        </w:tc>
      </w:tr>
      <w:tr w:rsidR="00E57026" w:rsidRPr="008F735E" w14:paraId="5444148C" w14:textId="77777777" w:rsidTr="00841651">
        <w:tc>
          <w:tcPr>
            <w:tcW w:w="1347" w:type="dxa"/>
            <w:shd w:val="clear" w:color="auto" w:fill="auto"/>
            <w:vAlign w:val="bottom"/>
          </w:tcPr>
          <w:p w14:paraId="79752C08" w14:textId="7D3E21B3" w:rsidR="00E57026" w:rsidRPr="008F735E" w:rsidRDefault="00E57026" w:rsidP="00B3483A">
            <w:pPr>
              <w:keepNext/>
              <w:keepLines/>
              <w:tabs>
                <w:tab w:val="left" w:pos="106"/>
              </w:tabs>
              <w:spacing w:before="60" w:after="60"/>
              <w:jc w:val="left"/>
              <w:rPr>
                <w:sz w:val="14"/>
                <w:szCs w:val="14"/>
              </w:rPr>
            </w:pPr>
            <w:r w:rsidRPr="008F735E">
              <w:rPr>
                <w:sz w:val="14"/>
                <w:szCs w:val="14"/>
              </w:rPr>
              <w:tab/>
            </w:r>
            <w:r>
              <w:rPr>
                <w:sz w:val="14"/>
                <w:szCs w:val="14"/>
              </w:rPr>
              <w:t>t</w:t>
            </w:r>
            <w:r w:rsidRPr="008F735E">
              <w:rPr>
                <w:sz w:val="14"/>
                <w:szCs w:val="14"/>
              </w:rPr>
              <w:t xml:space="preserve"> = </w:t>
            </w:r>
            <w:r>
              <w:rPr>
                <w:sz w:val="14"/>
                <w:szCs w:val="14"/>
              </w:rPr>
              <w:t>24</w:t>
            </w:r>
            <w:r w:rsidRPr="008F735E">
              <w:rPr>
                <w:sz w:val="14"/>
                <w:szCs w:val="14"/>
              </w:rPr>
              <w:t>%</w:t>
            </w:r>
          </w:p>
        </w:tc>
        <w:tc>
          <w:tcPr>
            <w:tcW w:w="992" w:type="dxa"/>
          </w:tcPr>
          <w:p w14:paraId="1F27399A" w14:textId="4914FDCC" w:rsidR="00E57026" w:rsidRPr="008F735E" w:rsidRDefault="00E57026" w:rsidP="00B3483A">
            <w:pPr>
              <w:keepNext/>
              <w:keepLines/>
              <w:tabs>
                <w:tab w:val="decimal" w:pos="256"/>
              </w:tabs>
              <w:spacing w:before="60" w:after="60"/>
              <w:jc w:val="center"/>
              <w:rPr>
                <w:sz w:val="14"/>
                <w:szCs w:val="14"/>
              </w:rPr>
            </w:pPr>
            <w:r>
              <w:rPr>
                <w:sz w:val="14"/>
                <w:szCs w:val="14"/>
              </w:rPr>
              <w:t>18.2</w:t>
            </w:r>
            <w:r w:rsidRPr="008A3106">
              <w:rPr>
                <w:sz w:val="14"/>
                <w:szCs w:val="14"/>
              </w:rPr>
              <w:t>%</w:t>
            </w:r>
          </w:p>
        </w:tc>
        <w:tc>
          <w:tcPr>
            <w:tcW w:w="737" w:type="dxa"/>
          </w:tcPr>
          <w:p w14:paraId="3ED984D0" w14:textId="7F517E4F" w:rsidR="00E57026" w:rsidRPr="008F735E" w:rsidRDefault="00E57026" w:rsidP="00B3483A">
            <w:pPr>
              <w:keepNext/>
              <w:keepLines/>
              <w:tabs>
                <w:tab w:val="decimal" w:pos="256"/>
              </w:tabs>
              <w:spacing w:before="60" w:after="60"/>
              <w:jc w:val="center"/>
              <w:rPr>
                <w:sz w:val="14"/>
                <w:szCs w:val="14"/>
              </w:rPr>
            </w:pPr>
            <w:r>
              <w:rPr>
                <w:sz w:val="14"/>
                <w:szCs w:val="14"/>
              </w:rPr>
              <w:t>23.8</w:t>
            </w:r>
            <w:r w:rsidRPr="008A3106">
              <w:rPr>
                <w:sz w:val="14"/>
                <w:szCs w:val="14"/>
              </w:rPr>
              <w:t>%</w:t>
            </w:r>
          </w:p>
        </w:tc>
        <w:tc>
          <w:tcPr>
            <w:tcW w:w="681" w:type="dxa"/>
          </w:tcPr>
          <w:p w14:paraId="39C8FE6C" w14:textId="47F78085" w:rsidR="00E57026" w:rsidRPr="008F735E" w:rsidRDefault="00E57026" w:rsidP="00B3483A">
            <w:pPr>
              <w:keepNext/>
              <w:keepLines/>
              <w:tabs>
                <w:tab w:val="decimal" w:pos="256"/>
              </w:tabs>
              <w:spacing w:before="60" w:after="60"/>
              <w:jc w:val="center"/>
              <w:rPr>
                <w:sz w:val="14"/>
                <w:szCs w:val="14"/>
              </w:rPr>
            </w:pPr>
            <w:r>
              <w:rPr>
                <w:sz w:val="14"/>
                <w:szCs w:val="14"/>
              </w:rPr>
              <w:t>23.3</w:t>
            </w:r>
            <w:r w:rsidRPr="008A3106">
              <w:rPr>
                <w:sz w:val="14"/>
                <w:szCs w:val="14"/>
              </w:rPr>
              <w:t>%</w:t>
            </w:r>
          </w:p>
        </w:tc>
        <w:tc>
          <w:tcPr>
            <w:tcW w:w="651" w:type="dxa"/>
          </w:tcPr>
          <w:p w14:paraId="6ED54D6C" w14:textId="326351E8" w:rsidR="00E57026" w:rsidRPr="008F735E" w:rsidRDefault="00E57026" w:rsidP="00B3483A">
            <w:pPr>
              <w:keepNext/>
              <w:keepLines/>
              <w:tabs>
                <w:tab w:val="decimal" w:pos="256"/>
              </w:tabs>
              <w:spacing w:before="60" w:after="60"/>
              <w:jc w:val="center"/>
              <w:rPr>
                <w:sz w:val="14"/>
                <w:szCs w:val="14"/>
              </w:rPr>
            </w:pPr>
            <w:r>
              <w:rPr>
                <w:sz w:val="14"/>
                <w:szCs w:val="14"/>
              </w:rPr>
              <w:t>20.2</w:t>
            </w:r>
            <w:r w:rsidRPr="008A3106">
              <w:rPr>
                <w:sz w:val="14"/>
                <w:szCs w:val="14"/>
              </w:rPr>
              <w:t>%</w:t>
            </w:r>
          </w:p>
        </w:tc>
        <w:tc>
          <w:tcPr>
            <w:tcW w:w="666" w:type="dxa"/>
          </w:tcPr>
          <w:p w14:paraId="0808206C" w14:textId="4F124485" w:rsidR="00E57026" w:rsidRPr="008F735E" w:rsidRDefault="00E57026" w:rsidP="00B3483A">
            <w:pPr>
              <w:keepNext/>
              <w:keepLines/>
              <w:tabs>
                <w:tab w:val="decimal" w:pos="256"/>
              </w:tabs>
              <w:spacing w:before="60" w:after="60"/>
              <w:jc w:val="center"/>
              <w:rPr>
                <w:sz w:val="14"/>
                <w:szCs w:val="14"/>
              </w:rPr>
            </w:pPr>
            <w:r>
              <w:rPr>
                <w:sz w:val="14"/>
                <w:szCs w:val="14"/>
              </w:rPr>
              <w:t>17.1</w:t>
            </w:r>
            <w:r w:rsidRPr="008A3106">
              <w:rPr>
                <w:sz w:val="14"/>
                <w:szCs w:val="14"/>
              </w:rPr>
              <w:t>%</w:t>
            </w:r>
          </w:p>
        </w:tc>
        <w:tc>
          <w:tcPr>
            <w:tcW w:w="667" w:type="dxa"/>
          </w:tcPr>
          <w:p w14:paraId="3AD09033" w14:textId="7CDFA69C" w:rsidR="00E57026" w:rsidRPr="008F735E" w:rsidRDefault="00E57026" w:rsidP="00B3483A">
            <w:pPr>
              <w:keepNext/>
              <w:keepLines/>
              <w:tabs>
                <w:tab w:val="decimal" w:pos="256"/>
              </w:tabs>
              <w:spacing w:before="60" w:after="60"/>
              <w:jc w:val="center"/>
              <w:rPr>
                <w:sz w:val="14"/>
                <w:szCs w:val="14"/>
              </w:rPr>
            </w:pPr>
            <w:r>
              <w:rPr>
                <w:sz w:val="14"/>
                <w:szCs w:val="14"/>
              </w:rPr>
              <w:t>14.6</w:t>
            </w:r>
            <w:r w:rsidRPr="008A3106">
              <w:rPr>
                <w:sz w:val="14"/>
                <w:szCs w:val="14"/>
              </w:rPr>
              <w:t>%</w:t>
            </w:r>
          </w:p>
        </w:tc>
        <w:tc>
          <w:tcPr>
            <w:tcW w:w="1134" w:type="dxa"/>
          </w:tcPr>
          <w:p w14:paraId="6E38BA82" w14:textId="206CF66B" w:rsidR="00E57026" w:rsidRPr="008F735E" w:rsidRDefault="00E57026" w:rsidP="00B3483A">
            <w:pPr>
              <w:keepNext/>
              <w:keepLines/>
              <w:tabs>
                <w:tab w:val="decimal" w:pos="256"/>
              </w:tabs>
              <w:spacing w:before="60" w:after="60"/>
              <w:jc w:val="center"/>
              <w:rPr>
                <w:sz w:val="14"/>
                <w:szCs w:val="14"/>
              </w:rPr>
            </w:pPr>
            <w:r>
              <w:rPr>
                <w:sz w:val="14"/>
                <w:szCs w:val="14"/>
              </w:rPr>
              <w:t>9.6</w:t>
            </w:r>
            <w:r w:rsidRPr="008A3106">
              <w:rPr>
                <w:sz w:val="14"/>
                <w:szCs w:val="14"/>
              </w:rPr>
              <w:t>%</w:t>
            </w:r>
          </w:p>
        </w:tc>
        <w:tc>
          <w:tcPr>
            <w:tcW w:w="851" w:type="dxa"/>
          </w:tcPr>
          <w:p w14:paraId="11580018" w14:textId="2B9761A0" w:rsidR="00E57026" w:rsidRPr="008F735E" w:rsidRDefault="00E57026" w:rsidP="00B3483A">
            <w:pPr>
              <w:keepNext/>
              <w:keepLines/>
              <w:tabs>
                <w:tab w:val="decimal" w:pos="256"/>
              </w:tabs>
              <w:spacing w:before="60" w:after="60"/>
              <w:jc w:val="center"/>
              <w:rPr>
                <w:sz w:val="14"/>
                <w:szCs w:val="14"/>
              </w:rPr>
            </w:pPr>
            <w:r>
              <w:rPr>
                <w:sz w:val="14"/>
                <w:szCs w:val="14"/>
              </w:rPr>
              <w:t>23.8</w:t>
            </w:r>
            <w:r w:rsidRPr="008A3106">
              <w:rPr>
                <w:sz w:val="14"/>
                <w:szCs w:val="14"/>
              </w:rPr>
              <w:t>%</w:t>
            </w:r>
          </w:p>
        </w:tc>
        <w:tc>
          <w:tcPr>
            <w:tcW w:w="1134" w:type="dxa"/>
          </w:tcPr>
          <w:p w14:paraId="78085DBA" w14:textId="0907BED2" w:rsidR="00E57026" w:rsidRPr="008F735E" w:rsidRDefault="00E57026" w:rsidP="00B3483A">
            <w:pPr>
              <w:keepNext/>
              <w:keepLines/>
              <w:tabs>
                <w:tab w:val="decimal" w:pos="256"/>
              </w:tabs>
              <w:spacing w:before="60" w:after="60"/>
              <w:jc w:val="center"/>
              <w:rPr>
                <w:sz w:val="14"/>
                <w:szCs w:val="14"/>
              </w:rPr>
            </w:pPr>
            <w:r>
              <w:rPr>
                <w:sz w:val="14"/>
                <w:szCs w:val="14"/>
              </w:rPr>
              <w:t>0.0</w:t>
            </w:r>
            <w:r w:rsidRPr="008A3106">
              <w:rPr>
                <w:sz w:val="14"/>
                <w:szCs w:val="14"/>
              </w:rPr>
              <w:t>%</w:t>
            </w:r>
          </w:p>
        </w:tc>
        <w:tc>
          <w:tcPr>
            <w:tcW w:w="921" w:type="dxa"/>
          </w:tcPr>
          <w:p w14:paraId="74008D92" w14:textId="410EF1F5" w:rsidR="00E57026" w:rsidRPr="008F735E" w:rsidRDefault="00E57026" w:rsidP="00B3483A">
            <w:pPr>
              <w:keepNext/>
              <w:keepLines/>
              <w:tabs>
                <w:tab w:val="decimal" w:pos="256"/>
              </w:tabs>
              <w:spacing w:before="60" w:after="60"/>
              <w:jc w:val="center"/>
              <w:rPr>
                <w:sz w:val="14"/>
                <w:szCs w:val="14"/>
              </w:rPr>
            </w:pPr>
            <w:r>
              <w:rPr>
                <w:sz w:val="14"/>
                <w:szCs w:val="14"/>
              </w:rPr>
              <w:t>-19.0</w:t>
            </w:r>
            <w:r w:rsidRPr="008A3106">
              <w:rPr>
                <w:sz w:val="14"/>
                <w:szCs w:val="14"/>
              </w:rPr>
              <w:t>%</w:t>
            </w:r>
          </w:p>
        </w:tc>
      </w:tr>
      <w:tr w:rsidR="00E57026" w:rsidRPr="008F735E" w14:paraId="2D73EE7E" w14:textId="77777777" w:rsidTr="00841651">
        <w:tc>
          <w:tcPr>
            <w:tcW w:w="1347" w:type="dxa"/>
            <w:shd w:val="clear" w:color="auto" w:fill="auto"/>
            <w:vAlign w:val="bottom"/>
          </w:tcPr>
          <w:p w14:paraId="3E6D1A03" w14:textId="0D883650" w:rsidR="00E57026" w:rsidRPr="008F735E" w:rsidRDefault="00E57026" w:rsidP="00B3483A">
            <w:pPr>
              <w:keepNext/>
              <w:keepLines/>
              <w:tabs>
                <w:tab w:val="left" w:pos="106"/>
              </w:tabs>
              <w:spacing w:before="60" w:after="60"/>
              <w:jc w:val="left"/>
              <w:rPr>
                <w:sz w:val="14"/>
                <w:szCs w:val="14"/>
              </w:rPr>
            </w:pPr>
            <w:r w:rsidRPr="008F735E">
              <w:rPr>
                <w:sz w:val="14"/>
                <w:szCs w:val="14"/>
              </w:rPr>
              <w:tab/>
            </w:r>
            <w:r>
              <w:rPr>
                <w:sz w:val="14"/>
                <w:szCs w:val="14"/>
              </w:rPr>
              <w:t>t</w:t>
            </w:r>
            <w:r w:rsidRPr="008F735E">
              <w:rPr>
                <w:sz w:val="14"/>
                <w:szCs w:val="14"/>
              </w:rPr>
              <w:t xml:space="preserve"> = </w:t>
            </w:r>
            <w:r>
              <w:rPr>
                <w:sz w:val="14"/>
                <w:szCs w:val="14"/>
              </w:rPr>
              <w:t>20</w:t>
            </w:r>
            <w:r w:rsidRPr="008F735E">
              <w:rPr>
                <w:sz w:val="14"/>
                <w:szCs w:val="14"/>
              </w:rPr>
              <w:t>%</w:t>
            </w:r>
          </w:p>
        </w:tc>
        <w:tc>
          <w:tcPr>
            <w:tcW w:w="992" w:type="dxa"/>
          </w:tcPr>
          <w:p w14:paraId="7A8BA945" w14:textId="74757B70" w:rsidR="00E57026" w:rsidRPr="008F735E" w:rsidRDefault="00E57026" w:rsidP="00B3483A">
            <w:pPr>
              <w:keepNext/>
              <w:keepLines/>
              <w:tabs>
                <w:tab w:val="decimal" w:pos="256"/>
              </w:tabs>
              <w:spacing w:before="60" w:after="60"/>
              <w:jc w:val="center"/>
              <w:rPr>
                <w:sz w:val="14"/>
                <w:szCs w:val="14"/>
              </w:rPr>
            </w:pPr>
            <w:r>
              <w:rPr>
                <w:sz w:val="14"/>
                <w:szCs w:val="14"/>
              </w:rPr>
              <w:t>15.1</w:t>
            </w:r>
            <w:r w:rsidRPr="008A3106">
              <w:rPr>
                <w:sz w:val="14"/>
                <w:szCs w:val="14"/>
              </w:rPr>
              <w:t>%</w:t>
            </w:r>
          </w:p>
        </w:tc>
        <w:tc>
          <w:tcPr>
            <w:tcW w:w="737" w:type="dxa"/>
          </w:tcPr>
          <w:p w14:paraId="5AE9C782" w14:textId="454A42D3" w:rsidR="00E57026" w:rsidRPr="008F735E" w:rsidRDefault="00E57026" w:rsidP="00B3483A">
            <w:pPr>
              <w:keepNext/>
              <w:keepLines/>
              <w:tabs>
                <w:tab w:val="decimal" w:pos="256"/>
              </w:tabs>
              <w:spacing w:before="60" w:after="60"/>
              <w:jc w:val="center"/>
              <w:rPr>
                <w:sz w:val="14"/>
                <w:szCs w:val="14"/>
              </w:rPr>
            </w:pPr>
            <w:r>
              <w:rPr>
                <w:sz w:val="14"/>
                <w:szCs w:val="14"/>
              </w:rPr>
              <w:t>20.0</w:t>
            </w:r>
            <w:r w:rsidRPr="008A3106">
              <w:rPr>
                <w:sz w:val="14"/>
                <w:szCs w:val="14"/>
              </w:rPr>
              <w:t>%</w:t>
            </w:r>
          </w:p>
        </w:tc>
        <w:tc>
          <w:tcPr>
            <w:tcW w:w="681" w:type="dxa"/>
          </w:tcPr>
          <w:p w14:paraId="5597A16A" w14:textId="3D9D19F1" w:rsidR="00E57026" w:rsidRPr="008F735E" w:rsidRDefault="00E57026" w:rsidP="00B3483A">
            <w:pPr>
              <w:keepNext/>
              <w:keepLines/>
              <w:tabs>
                <w:tab w:val="decimal" w:pos="256"/>
              </w:tabs>
              <w:spacing w:before="60" w:after="60"/>
              <w:jc w:val="center"/>
              <w:rPr>
                <w:sz w:val="14"/>
                <w:szCs w:val="14"/>
              </w:rPr>
            </w:pPr>
            <w:r>
              <w:rPr>
                <w:sz w:val="14"/>
                <w:szCs w:val="14"/>
              </w:rPr>
              <w:t>19.6</w:t>
            </w:r>
            <w:r w:rsidRPr="008A3106">
              <w:rPr>
                <w:sz w:val="14"/>
                <w:szCs w:val="14"/>
              </w:rPr>
              <w:t>%</w:t>
            </w:r>
          </w:p>
        </w:tc>
        <w:tc>
          <w:tcPr>
            <w:tcW w:w="651" w:type="dxa"/>
          </w:tcPr>
          <w:p w14:paraId="35183B85" w14:textId="57B09C33" w:rsidR="00E57026" w:rsidRPr="008F735E" w:rsidRDefault="00E57026" w:rsidP="00B3483A">
            <w:pPr>
              <w:keepNext/>
              <w:keepLines/>
              <w:tabs>
                <w:tab w:val="decimal" w:pos="256"/>
              </w:tabs>
              <w:spacing w:before="60" w:after="60"/>
              <w:jc w:val="center"/>
              <w:rPr>
                <w:sz w:val="14"/>
                <w:szCs w:val="14"/>
              </w:rPr>
            </w:pPr>
            <w:r>
              <w:rPr>
                <w:sz w:val="14"/>
                <w:szCs w:val="14"/>
              </w:rPr>
              <w:t>16.9</w:t>
            </w:r>
            <w:r w:rsidRPr="008A3106">
              <w:rPr>
                <w:sz w:val="14"/>
                <w:szCs w:val="14"/>
              </w:rPr>
              <w:t>%</w:t>
            </w:r>
          </w:p>
        </w:tc>
        <w:tc>
          <w:tcPr>
            <w:tcW w:w="666" w:type="dxa"/>
          </w:tcPr>
          <w:p w14:paraId="7DB03940" w14:textId="0FCFE647" w:rsidR="00E57026" w:rsidRPr="008F735E" w:rsidRDefault="00E57026" w:rsidP="00B3483A">
            <w:pPr>
              <w:keepNext/>
              <w:keepLines/>
              <w:tabs>
                <w:tab w:val="decimal" w:pos="256"/>
              </w:tabs>
              <w:spacing w:before="60" w:after="60"/>
              <w:jc w:val="center"/>
              <w:rPr>
                <w:sz w:val="14"/>
                <w:szCs w:val="14"/>
              </w:rPr>
            </w:pPr>
            <w:r>
              <w:rPr>
                <w:sz w:val="14"/>
                <w:szCs w:val="14"/>
              </w:rPr>
              <w:t>14.2</w:t>
            </w:r>
            <w:r w:rsidRPr="008A3106">
              <w:rPr>
                <w:sz w:val="14"/>
                <w:szCs w:val="14"/>
              </w:rPr>
              <w:t>%</w:t>
            </w:r>
          </w:p>
        </w:tc>
        <w:tc>
          <w:tcPr>
            <w:tcW w:w="667" w:type="dxa"/>
          </w:tcPr>
          <w:p w14:paraId="6C914794" w14:textId="25794819" w:rsidR="00E57026" w:rsidRPr="008F735E" w:rsidRDefault="00E57026" w:rsidP="00B3483A">
            <w:pPr>
              <w:keepNext/>
              <w:keepLines/>
              <w:tabs>
                <w:tab w:val="decimal" w:pos="256"/>
              </w:tabs>
              <w:spacing w:before="60" w:after="60"/>
              <w:jc w:val="center"/>
              <w:rPr>
                <w:sz w:val="14"/>
                <w:szCs w:val="14"/>
              </w:rPr>
            </w:pPr>
            <w:r>
              <w:rPr>
                <w:sz w:val="14"/>
                <w:szCs w:val="14"/>
              </w:rPr>
              <w:t>12.1</w:t>
            </w:r>
            <w:r w:rsidRPr="008A3106">
              <w:rPr>
                <w:sz w:val="14"/>
                <w:szCs w:val="14"/>
              </w:rPr>
              <w:t>%</w:t>
            </w:r>
          </w:p>
        </w:tc>
        <w:tc>
          <w:tcPr>
            <w:tcW w:w="1134" w:type="dxa"/>
          </w:tcPr>
          <w:p w14:paraId="1C73F85F" w14:textId="0AFCA4D1" w:rsidR="00E57026" w:rsidRPr="008F735E" w:rsidRDefault="00E57026" w:rsidP="00B3483A">
            <w:pPr>
              <w:keepNext/>
              <w:keepLines/>
              <w:tabs>
                <w:tab w:val="decimal" w:pos="256"/>
              </w:tabs>
              <w:spacing w:before="60" w:after="60"/>
              <w:jc w:val="center"/>
              <w:rPr>
                <w:sz w:val="14"/>
                <w:szCs w:val="14"/>
              </w:rPr>
            </w:pPr>
            <w:r>
              <w:rPr>
                <w:sz w:val="14"/>
                <w:szCs w:val="14"/>
              </w:rPr>
              <w:t>8.0</w:t>
            </w:r>
            <w:r w:rsidRPr="008A3106">
              <w:rPr>
                <w:sz w:val="14"/>
                <w:szCs w:val="14"/>
              </w:rPr>
              <w:t>%</w:t>
            </w:r>
          </w:p>
        </w:tc>
        <w:tc>
          <w:tcPr>
            <w:tcW w:w="851" w:type="dxa"/>
          </w:tcPr>
          <w:p w14:paraId="280C14E0" w14:textId="36A6D42B" w:rsidR="00E57026" w:rsidRPr="008F735E" w:rsidRDefault="00E57026" w:rsidP="00B3483A">
            <w:pPr>
              <w:keepNext/>
              <w:keepLines/>
              <w:tabs>
                <w:tab w:val="decimal" w:pos="256"/>
              </w:tabs>
              <w:spacing w:before="60" w:after="60"/>
              <w:jc w:val="center"/>
              <w:rPr>
                <w:sz w:val="14"/>
                <w:szCs w:val="14"/>
              </w:rPr>
            </w:pPr>
            <w:r>
              <w:rPr>
                <w:sz w:val="14"/>
                <w:szCs w:val="14"/>
              </w:rPr>
              <w:t>20.0</w:t>
            </w:r>
            <w:r w:rsidRPr="008A3106">
              <w:rPr>
                <w:sz w:val="14"/>
                <w:szCs w:val="14"/>
              </w:rPr>
              <w:t>%</w:t>
            </w:r>
          </w:p>
        </w:tc>
        <w:tc>
          <w:tcPr>
            <w:tcW w:w="1134" w:type="dxa"/>
          </w:tcPr>
          <w:p w14:paraId="7289B056" w14:textId="36F5CA52" w:rsidR="00E57026" w:rsidRPr="008F735E" w:rsidRDefault="00E57026" w:rsidP="00B3483A">
            <w:pPr>
              <w:keepNext/>
              <w:keepLines/>
              <w:tabs>
                <w:tab w:val="decimal" w:pos="256"/>
              </w:tabs>
              <w:spacing w:before="60" w:after="60"/>
              <w:jc w:val="center"/>
              <w:rPr>
                <w:sz w:val="14"/>
                <w:szCs w:val="14"/>
              </w:rPr>
            </w:pPr>
            <w:r>
              <w:rPr>
                <w:sz w:val="14"/>
                <w:szCs w:val="14"/>
              </w:rPr>
              <w:t>0.3</w:t>
            </w:r>
            <w:r w:rsidRPr="008A3106">
              <w:rPr>
                <w:sz w:val="14"/>
                <w:szCs w:val="14"/>
              </w:rPr>
              <w:t>%</w:t>
            </w:r>
          </w:p>
        </w:tc>
        <w:tc>
          <w:tcPr>
            <w:tcW w:w="921" w:type="dxa"/>
          </w:tcPr>
          <w:p w14:paraId="273EC0B7" w14:textId="2A9BE05F" w:rsidR="00E57026" w:rsidRPr="008F735E" w:rsidRDefault="00E57026" w:rsidP="00B3483A">
            <w:pPr>
              <w:keepNext/>
              <w:keepLines/>
              <w:tabs>
                <w:tab w:val="decimal" w:pos="256"/>
              </w:tabs>
              <w:spacing w:before="60" w:after="60"/>
              <w:jc w:val="center"/>
              <w:rPr>
                <w:sz w:val="14"/>
                <w:szCs w:val="14"/>
              </w:rPr>
            </w:pPr>
            <w:r>
              <w:rPr>
                <w:sz w:val="14"/>
                <w:szCs w:val="14"/>
              </w:rPr>
              <w:t>-15.0</w:t>
            </w:r>
            <w:r w:rsidRPr="008A3106">
              <w:rPr>
                <w:sz w:val="14"/>
                <w:szCs w:val="14"/>
              </w:rPr>
              <w:t>%</w:t>
            </w:r>
          </w:p>
        </w:tc>
      </w:tr>
    </w:tbl>
    <w:p w14:paraId="3933F018" w14:textId="77777777" w:rsidR="001B3AE0" w:rsidRPr="00754852" w:rsidRDefault="001B3AE0" w:rsidP="00075D72">
      <w:pPr>
        <w:pStyle w:val="NumberedParagraph"/>
      </w:pPr>
      <w:r w:rsidRPr="00754852">
        <w:t>We draw attention to several points:</w:t>
      </w:r>
    </w:p>
    <w:p w14:paraId="188E8869" w14:textId="08ACE69D" w:rsidR="001B3AE0" w:rsidRPr="00754852" w:rsidRDefault="001B3AE0" w:rsidP="00075D72">
      <w:pPr>
        <w:pStyle w:val="NumberedParagraph-BulletL1"/>
      </w:pPr>
      <w:r w:rsidRPr="00754852">
        <w:t>Focusing on the current tax rules (rows where t = 28%)</w:t>
      </w:r>
      <w:r w:rsidR="001E1B34">
        <w:t>,</w:t>
      </w:r>
      <w:r w:rsidRPr="00754852">
        <w:t xml:space="preserve"> we see that costs of capital can vary significantly from 4.14% for very short-lived PME and inventories to 2.43% for assets that can be expensed.</w:t>
      </w:r>
      <w:r w:rsidR="00D94677">
        <w:rPr>
          <w:rStyle w:val="FootnoteReference"/>
        </w:rPr>
        <w:footnoteReference w:id="23"/>
      </w:r>
      <w:r w:rsidRPr="00754852">
        <w:t xml:space="preserve"> The real cost of funds to New Zealand is assumed to be 3.00%</w:t>
      </w:r>
      <w:r w:rsidR="001C0F18">
        <w:t>,</w:t>
      </w:r>
      <w:r w:rsidRPr="00754852">
        <w:t xml:space="preserve"> so this varies from a substantial tax (an EMTR of 27.6%) to a significant subsidy (with an EMTR of -23.3%).</w:t>
      </w:r>
    </w:p>
    <w:p w14:paraId="2F13E6C2" w14:textId="77777777" w:rsidR="001B3AE0" w:rsidRPr="00754852" w:rsidRDefault="001B3AE0" w:rsidP="00075D72">
      <w:pPr>
        <w:pStyle w:val="NumberedParagraph-BulletL1"/>
      </w:pPr>
      <w:r w:rsidRPr="00754852">
        <w:t>Reducing the company tax rate to 20% would narrow this range of EMTRs to between 20.0% and -15.0%.</w:t>
      </w:r>
    </w:p>
    <w:p w14:paraId="29886650" w14:textId="48D120DD" w:rsidR="001B3AE0" w:rsidRPr="00754852" w:rsidRDefault="001B3AE0" w:rsidP="00075D72">
      <w:pPr>
        <w:pStyle w:val="NumberedParagraph-BulletL1"/>
      </w:pPr>
      <w:r w:rsidRPr="00754852">
        <w:t>Thus</w:t>
      </w:r>
      <w:r w:rsidR="00471615">
        <w:t>,</w:t>
      </w:r>
      <w:r w:rsidRPr="00754852">
        <w:t xml:space="preserve"> unsurprisingly</w:t>
      </w:r>
      <w:r w:rsidR="00061F0C">
        <w:t>,</w:t>
      </w:r>
      <w:r w:rsidRPr="00754852">
        <w:t xml:space="preserve"> a cut in the company tax rate lowers costs of capital for investments that are heavily taxed and reduces tax subsidies for investments that are subsidised</w:t>
      </w:r>
      <w:r w:rsidR="00530EED">
        <w:t>. This</w:t>
      </w:r>
      <w:r w:rsidRPr="00754852">
        <w:t xml:space="preserve"> reduces tax distortions between investment in different assets.</w:t>
      </w:r>
    </w:p>
    <w:p w14:paraId="70C9C9A0" w14:textId="26B93F42" w:rsidR="001B3AE0" w:rsidRPr="00754852" w:rsidRDefault="001B3AE0" w:rsidP="001B3AE0">
      <w:pPr>
        <w:pStyle w:val="Heading2"/>
        <w:rPr>
          <w:rFonts w:eastAsia="Calibri"/>
          <w:lang w:eastAsia="en-US"/>
        </w:rPr>
      </w:pPr>
      <w:bookmarkStart w:id="37" w:name="_Toc96585539"/>
      <w:r w:rsidRPr="00754852">
        <w:rPr>
          <w:rFonts w:eastAsia="Calibri"/>
          <w:lang w:eastAsia="en-US"/>
        </w:rPr>
        <w:t>P</w:t>
      </w:r>
      <w:r w:rsidR="006160B5">
        <w:rPr>
          <w:rFonts w:eastAsia="Calibri"/>
          <w:lang w:eastAsia="en-US"/>
        </w:rPr>
        <w:t>ros</w:t>
      </w:r>
      <w:bookmarkEnd w:id="37"/>
    </w:p>
    <w:p w14:paraId="0848F2AB" w14:textId="77777777" w:rsidR="001B3AE0" w:rsidRPr="00754852" w:rsidRDefault="001B3AE0" w:rsidP="001B3AE0">
      <w:pPr>
        <w:pStyle w:val="Heading3"/>
        <w:rPr>
          <w:rFonts w:eastAsia="Calibri"/>
          <w:lang w:eastAsia="en-US"/>
        </w:rPr>
      </w:pPr>
      <w:r w:rsidRPr="00754852">
        <w:rPr>
          <w:rFonts w:eastAsia="Calibri"/>
          <w:lang w:eastAsia="en-US"/>
        </w:rPr>
        <w:t>Lowering costs of capital when EMTRs are high</w:t>
      </w:r>
    </w:p>
    <w:p w14:paraId="71924131" w14:textId="2BBC91AE" w:rsidR="001B3AE0" w:rsidRPr="00754852" w:rsidRDefault="001B3AE0" w:rsidP="00075D72">
      <w:pPr>
        <w:pStyle w:val="NumberedParagraph"/>
      </w:pPr>
      <w:r w:rsidRPr="00754852">
        <w:t xml:space="preserve">A benefit of a company tax </w:t>
      </w:r>
      <w:r w:rsidR="004A53E7">
        <w:t xml:space="preserve">rate </w:t>
      </w:r>
      <w:r w:rsidRPr="00754852">
        <w:t xml:space="preserve">cut is that this would address New Zealand’s relatively high costs of capital and promote additional investment in activities </w:t>
      </w:r>
      <w:r w:rsidR="00325353">
        <w:t>that</w:t>
      </w:r>
      <w:r w:rsidRPr="00754852">
        <w:t xml:space="preserve"> have high EMTRs. This is likely to increase economic efficiency and productivity.</w:t>
      </w:r>
    </w:p>
    <w:p w14:paraId="12DBE20D" w14:textId="77777777" w:rsidR="001B3AE0" w:rsidRPr="00754852" w:rsidRDefault="001B3AE0" w:rsidP="001B3AE0">
      <w:pPr>
        <w:pStyle w:val="Heading3"/>
        <w:rPr>
          <w:rFonts w:eastAsia="Calibri"/>
          <w:lang w:eastAsia="en-US"/>
        </w:rPr>
      </w:pPr>
      <w:r w:rsidRPr="00754852">
        <w:rPr>
          <w:rFonts w:eastAsia="Calibri"/>
          <w:lang w:eastAsia="en-US"/>
        </w:rPr>
        <w:t>Reducing distortions between different investments</w:t>
      </w:r>
    </w:p>
    <w:p w14:paraId="187BB9E8" w14:textId="35248BBD" w:rsidR="001B3AE0" w:rsidRPr="00754852" w:rsidRDefault="001B3AE0" w:rsidP="00075D72">
      <w:pPr>
        <w:pStyle w:val="NumberedParagraph"/>
      </w:pPr>
      <w:r w:rsidRPr="00754852">
        <w:t>As discussed in chapter 4, an attraction of allowing economic depreciation</w:t>
      </w:r>
      <w:r w:rsidRPr="00754852" w:rsidDel="00E948F2">
        <w:t xml:space="preserve"> </w:t>
      </w:r>
      <w:r w:rsidR="00F4061C">
        <w:t>(</w:t>
      </w:r>
      <w:r w:rsidRPr="00754852" w:rsidDel="00E948F2">
        <w:t>at least if there is no inflation</w:t>
      </w:r>
      <w:r w:rsidR="00F4061C">
        <w:t>)</w:t>
      </w:r>
      <w:r w:rsidRPr="00754852">
        <w:t xml:space="preserve"> is that it would promote neutrality across different types of investment for any company. There would be incentives to invest in the most productive assets rather than assets </w:t>
      </w:r>
      <w:r w:rsidR="00F4061C">
        <w:t>that</w:t>
      </w:r>
      <w:r w:rsidRPr="00754852">
        <w:t xml:space="preserve"> provide the biggest tax advantages. Hurdle rates of return across different possible investments would be the same.</w:t>
      </w:r>
    </w:p>
    <w:p w14:paraId="5D97C110" w14:textId="2347DD28" w:rsidR="001B3AE0" w:rsidRPr="00754852" w:rsidRDefault="001B3AE0" w:rsidP="00075D72">
      <w:pPr>
        <w:pStyle w:val="NumberedParagraph"/>
      </w:pPr>
      <w:r w:rsidRPr="00754852">
        <w:lastRenderedPageBreak/>
        <w:t>There is, however, a major difficulty in setting depreciation rates to mirror economic depreciation because we are far from certain about how different assets are likely to depreciate. As a result, biases to investment decisions are inevitable. These are likely to be compounded by inflation if the tax system is not indexed to take account of inflation. Biases will also be created if, for practical reasons, some forms of income are untaxed (</w:t>
      </w:r>
      <w:r w:rsidR="00771F15">
        <w:t>for example</w:t>
      </w:r>
      <w:r w:rsidRPr="00754852">
        <w:t xml:space="preserve">, </w:t>
      </w:r>
      <w:r w:rsidR="002A04FB">
        <w:t>because</w:t>
      </w:r>
      <w:r w:rsidRPr="00754852">
        <w:t xml:space="preserve"> there </w:t>
      </w:r>
      <w:r w:rsidR="002A04FB">
        <w:t>is</w:t>
      </w:r>
      <w:r w:rsidRPr="00754852">
        <w:t xml:space="preserve"> no tax on capital gains) or because certain forms of capital expenditure can be expensed. An obvious way of reducing these distortions is to lower the company tax rate. As table</w:t>
      </w:r>
      <w:r>
        <w:t xml:space="preserve"> 6.1</w:t>
      </w:r>
      <w:r w:rsidRPr="00754852">
        <w:t xml:space="preserve"> above shows, reducing the company tax rate will tend to reduce investment biases. There is a narrower range of costs of capital when the company tax rate is 20% (from 3.75% to 2.61%) than when the company tax rate is 28% (from 4.14% to 2.43%).</w:t>
      </w:r>
    </w:p>
    <w:p w14:paraId="21D65D1A" w14:textId="77777777" w:rsidR="001B3AE0" w:rsidRPr="00754852" w:rsidRDefault="001B3AE0" w:rsidP="001B3AE0">
      <w:pPr>
        <w:pStyle w:val="Heading3"/>
        <w:rPr>
          <w:rFonts w:eastAsia="Calibri"/>
          <w:lang w:eastAsia="en-US"/>
        </w:rPr>
      </w:pPr>
      <w:r w:rsidRPr="00754852">
        <w:rPr>
          <w:rFonts w:eastAsia="Calibri"/>
          <w:lang w:eastAsia="en-US"/>
        </w:rPr>
        <w:t>Reducing base erosion and profit shifting</w:t>
      </w:r>
    </w:p>
    <w:p w14:paraId="15B0F0DF" w14:textId="13ECE02F" w:rsidR="00834E6A" w:rsidRDefault="001B3AE0" w:rsidP="00075D72">
      <w:pPr>
        <w:pStyle w:val="NumberedParagraph"/>
      </w:pPr>
      <w:r w:rsidRPr="00754852">
        <w:t>New Zealand has reasonably robust anti-avoidance rules to mitigate the risk of tax base erosion and profit shifting. Nevertheless, no rules will be watertight</w:t>
      </w:r>
      <w:r w:rsidR="00B5004F">
        <w:t>,</w:t>
      </w:r>
      <w:r w:rsidRPr="00754852">
        <w:t xml:space="preserve"> and if profits are shifted away from New Zealand, this will tend to reduce New Zealand’s national income and reduce tax collections. This puts upward pressure on the levels of taxes New Zealanders must pay.</w:t>
      </w:r>
    </w:p>
    <w:p w14:paraId="37BE8391" w14:textId="16FC1682" w:rsidR="001B3AE0" w:rsidRPr="00754852" w:rsidRDefault="00666078" w:rsidP="00075D72">
      <w:pPr>
        <w:pStyle w:val="NumberedParagraph"/>
      </w:pPr>
      <w:r>
        <w:t>New Zealand becomes more vulnerable to international profit shifting if its company tax rate is high relative to tax rates</w:t>
      </w:r>
      <w:r w:rsidR="00B47250">
        <w:t xml:space="preserve"> in other countries. </w:t>
      </w:r>
      <w:r w:rsidR="001B3AE0" w:rsidRPr="00754852">
        <w:t>Other measures</w:t>
      </w:r>
      <w:r w:rsidR="00475778">
        <w:t>,</w:t>
      </w:r>
      <w:r w:rsidR="001B3AE0" w:rsidRPr="00754852">
        <w:t xml:space="preserve"> such as the future global minimum tax rules</w:t>
      </w:r>
      <w:r w:rsidR="00475778">
        <w:t>,</w:t>
      </w:r>
      <w:r w:rsidR="001B3AE0" w:rsidRPr="00754852">
        <w:t xml:space="preserve"> will put a floor of 15% on income from intangibles. This is likely to be reducing incentives to shift profits out of New Zealand. </w:t>
      </w:r>
      <w:r w:rsidR="00B60087">
        <w:t>However,</w:t>
      </w:r>
      <w:r w:rsidR="001B3AE0" w:rsidRPr="00754852">
        <w:t xml:space="preserve"> a potential benefit of reducing the company tax rate is that this would further reduce the incentive for firms to shift profits out of New Zealand to countries with lower company tax rates.</w:t>
      </w:r>
    </w:p>
    <w:p w14:paraId="22CA1257" w14:textId="2150E5B3" w:rsidR="001B3AE0" w:rsidRPr="00754852" w:rsidRDefault="005E3845" w:rsidP="001B3AE0">
      <w:pPr>
        <w:pStyle w:val="Heading2"/>
        <w:rPr>
          <w:rFonts w:eastAsia="Calibri"/>
          <w:lang w:eastAsia="en-US"/>
        </w:rPr>
      </w:pPr>
      <w:bookmarkStart w:id="38" w:name="_Toc96585540"/>
      <w:r>
        <w:rPr>
          <w:rFonts w:eastAsia="Calibri"/>
          <w:lang w:eastAsia="en-US"/>
        </w:rPr>
        <w:t>Con</w:t>
      </w:r>
      <w:r w:rsidR="001B3AE0" w:rsidRPr="00754852">
        <w:rPr>
          <w:rFonts w:eastAsia="Calibri"/>
          <w:lang w:eastAsia="en-US"/>
        </w:rPr>
        <w:t>s</w:t>
      </w:r>
      <w:bookmarkEnd w:id="38"/>
    </w:p>
    <w:p w14:paraId="3D2E6414" w14:textId="77777777" w:rsidR="001B3AE0" w:rsidRPr="00754852" w:rsidRDefault="001B3AE0" w:rsidP="001B3AE0">
      <w:pPr>
        <w:pStyle w:val="Heading3"/>
        <w:rPr>
          <w:rFonts w:eastAsia="Calibri"/>
          <w:lang w:eastAsia="en-US"/>
        </w:rPr>
      </w:pPr>
      <w:r w:rsidRPr="00754852">
        <w:rPr>
          <w:rFonts w:eastAsia="Calibri"/>
          <w:lang w:eastAsia="en-US"/>
        </w:rPr>
        <w:t>Reducing tax revenue on existing investments</w:t>
      </w:r>
    </w:p>
    <w:p w14:paraId="37C23041" w14:textId="3788BD3C" w:rsidR="001B3AE0" w:rsidRPr="00754852" w:rsidRDefault="001B3AE0" w:rsidP="00075D72">
      <w:pPr>
        <w:pStyle w:val="NumberedParagraph"/>
      </w:pPr>
      <w:r w:rsidRPr="00754852">
        <w:t xml:space="preserve">One </w:t>
      </w:r>
      <w:r w:rsidR="00916834">
        <w:t>disadvantage</w:t>
      </w:r>
      <w:r w:rsidRPr="00754852">
        <w:t xml:space="preserve"> associated with reducing the company tax rate is that it would reduce the tax revenue from existing investments in New Zealand. This provides windfall gains to existing owners of firms where the investment was undertaken with the expectation that future returns would be taxed at a higher rate. Where the firms are owned by non-residents, this will involve a loss of tax revenue and of national income to New Zealand. It is likely that the burden of replacement taxes will largely fall on New Zealand residents. Ideally it would be preferable to limit any company tax reductions to new investments only</w:t>
      </w:r>
      <w:r w:rsidR="00700C6A">
        <w:t>,</w:t>
      </w:r>
      <w:r w:rsidRPr="00754852">
        <w:t xml:space="preserve"> as it </w:t>
      </w:r>
      <w:r w:rsidR="00700C6A">
        <w:t xml:space="preserve">is </w:t>
      </w:r>
      <w:r w:rsidRPr="00754852">
        <w:t>only in this case that new investment will be promoted. However, this is likely to be impractical with a company tax rate cut.</w:t>
      </w:r>
    </w:p>
    <w:p w14:paraId="2FC1F10D" w14:textId="01611796" w:rsidR="001B3AE0" w:rsidRPr="00754852" w:rsidRDefault="001B3AE0" w:rsidP="001B3AE0">
      <w:pPr>
        <w:pStyle w:val="Heading3"/>
        <w:rPr>
          <w:rFonts w:eastAsia="Calibri"/>
          <w:lang w:eastAsia="en-US"/>
        </w:rPr>
      </w:pPr>
      <w:r w:rsidRPr="00754852">
        <w:rPr>
          <w:rFonts w:eastAsia="Calibri"/>
          <w:lang w:eastAsia="en-US"/>
        </w:rPr>
        <w:t>Loss of taxation on location-specific economic rents</w:t>
      </w:r>
    </w:p>
    <w:p w14:paraId="3E49457B" w14:textId="74C5636E" w:rsidR="001B3AE0" w:rsidRPr="00754852" w:rsidRDefault="001B3AE0" w:rsidP="00075D72">
      <w:pPr>
        <w:pStyle w:val="NumberedParagraph"/>
      </w:pPr>
      <w:r w:rsidRPr="00754852">
        <w:t xml:space="preserve">Furthermore, a company tax </w:t>
      </w:r>
      <w:r w:rsidR="00F91CE5">
        <w:t xml:space="preserve">rate </w:t>
      </w:r>
      <w:r w:rsidRPr="00754852">
        <w:t>cut would mean reducing taxes on location-specific economic rents. Economic rents are returns over and above those required for investment to take place, and location-specific means the rents arise from factors that are linked to a location. Economic rents are an efficient source of taxation, and especially valuable when they are earned by non-residents</w:t>
      </w:r>
      <w:r w:rsidR="008261FB">
        <w:t>,</w:t>
      </w:r>
      <w:r w:rsidRPr="00754852">
        <w:t xml:space="preserve"> because New Zealand gains from the additional tax revenue but does not bear any of the costs. If we forgo tax on these rents and have to levy replacement taxes, these replacement taxes are likely to be less efficient than the taxes we have forgone. Rents of this kind are likely to be larger in a geographically isolated market like New Zealand where supply of certain goods and services is likely to be helped by having a physical presence. New Zealand’s geographical remoteness is likely to create a bigger than normal barrier to many goods and services being supplied from nearby other countries.</w:t>
      </w:r>
    </w:p>
    <w:p w14:paraId="1BFB5DA5" w14:textId="77777777" w:rsidR="001B3AE0" w:rsidRPr="00754852" w:rsidRDefault="001B3AE0" w:rsidP="001B3AE0">
      <w:pPr>
        <w:pStyle w:val="Heading3"/>
        <w:rPr>
          <w:rFonts w:eastAsia="Calibri"/>
          <w:lang w:eastAsia="en-US"/>
        </w:rPr>
      </w:pPr>
      <w:r w:rsidRPr="00754852">
        <w:rPr>
          <w:rFonts w:eastAsia="Calibri"/>
          <w:lang w:eastAsia="en-US"/>
        </w:rPr>
        <w:lastRenderedPageBreak/>
        <w:t>Consistency, fairness and efficiency of personal income tax</w:t>
      </w:r>
    </w:p>
    <w:p w14:paraId="1544543E" w14:textId="516CE951" w:rsidR="001B3AE0" w:rsidRPr="00754852" w:rsidRDefault="001B3AE0" w:rsidP="00075D72">
      <w:pPr>
        <w:pStyle w:val="NumberedParagraph"/>
      </w:pPr>
      <w:r w:rsidRPr="00754852">
        <w:t xml:space="preserve">A reduction in the company </w:t>
      </w:r>
      <w:r w:rsidR="00211835">
        <w:t xml:space="preserve">tax </w:t>
      </w:r>
      <w:r w:rsidRPr="00754852">
        <w:t xml:space="preserve">rate would mean that income being earned through companies is taxed at rates </w:t>
      </w:r>
      <w:r w:rsidR="00211835">
        <w:t>that</w:t>
      </w:r>
      <w:r w:rsidRPr="00754852">
        <w:t xml:space="preserve"> are further below higher rates of personal tax rates than they are at present. Personal tax rates are set to reflect a </w:t>
      </w:r>
      <w:r w:rsidR="00741558">
        <w:t>g</w:t>
      </w:r>
      <w:r w:rsidRPr="00754852">
        <w:t>overnment’s views on the level of progressivity that is desirable so that higher income earners pay rates of tax that are deemed to be fair. This goal is undermined if income taxed in different entities is taxed at significantly lower rates.</w:t>
      </w:r>
    </w:p>
    <w:p w14:paraId="79608511" w14:textId="57DEC9C0" w:rsidR="001B3AE0" w:rsidRPr="00754852" w:rsidRDefault="001B3AE0" w:rsidP="00075D72">
      <w:pPr>
        <w:pStyle w:val="NumberedParagraph"/>
      </w:pPr>
      <w:r w:rsidRPr="00754852">
        <w:t>The tax system becomes less fair if people with high levels of wealth and income can shelter income in companies to avoid the top personal tax rates. Only small amounts of the taxable income of high</w:t>
      </w:r>
      <w:r w:rsidR="00305B1C">
        <w:t>-</w:t>
      </w:r>
      <w:r w:rsidRPr="00754852">
        <w:t xml:space="preserve">wealth individuals </w:t>
      </w:r>
      <w:r w:rsidR="009F0977">
        <w:t>are</w:t>
      </w:r>
      <w:r w:rsidRPr="00754852">
        <w:t xml:space="preserve"> taxed at personal rates. As noted </w:t>
      </w:r>
      <w:r w:rsidRPr="00DA1903">
        <w:t xml:space="preserve">in </w:t>
      </w:r>
      <w:r w:rsidRPr="0059107C">
        <w:t>chapter 2</w:t>
      </w:r>
      <w:r w:rsidRPr="00DA1903">
        <w:t>,</w:t>
      </w:r>
      <w:r w:rsidRPr="00754852">
        <w:t xml:space="preserve"> 5% is taxed at personal income tax rates, 12% is taxed at the trust tax rate and 83% at the company tax rate. There is now a 5% rate differential between the company rate and trust rate (33%), and a greater 11% rate differential between the company rate and the top personal tax rate (39%). This can provide incentives for higher income earners to shelter income in companies and have it taxed at the company tax rate rather than at personal tax rates.</w:t>
      </w:r>
    </w:p>
    <w:p w14:paraId="475EE50E" w14:textId="289ECFF9" w:rsidR="00A63483" w:rsidRPr="00754852" w:rsidRDefault="001B3AE0" w:rsidP="00075D72">
      <w:pPr>
        <w:pStyle w:val="NumberedParagraph"/>
      </w:pPr>
      <w:r w:rsidRPr="00754852">
        <w:t>Reducing the company tax rate would exacerbate these gaps</w:t>
      </w:r>
      <w:r w:rsidR="007B6BC2">
        <w:t xml:space="preserve"> unless personal tax rates were cut at the same time</w:t>
      </w:r>
      <w:r w:rsidRPr="00754852">
        <w:t xml:space="preserve">. </w:t>
      </w:r>
      <w:r w:rsidR="00B91271">
        <w:t xml:space="preserve">Cutting </w:t>
      </w:r>
      <w:r w:rsidR="00352442">
        <w:t xml:space="preserve">personal tax rates may be supported by some future </w:t>
      </w:r>
      <w:r w:rsidR="00473E35">
        <w:t xml:space="preserve">governments but not </w:t>
      </w:r>
      <w:r w:rsidR="00D41C5D">
        <w:t xml:space="preserve">by </w:t>
      </w:r>
      <w:r w:rsidR="00473E35">
        <w:t xml:space="preserve">others. </w:t>
      </w:r>
    </w:p>
    <w:p w14:paraId="4D506FA2" w14:textId="6C167AE8" w:rsidR="003C23BE" w:rsidRDefault="001B3AE0" w:rsidP="00075D72">
      <w:pPr>
        <w:pStyle w:val="NumberedParagraph"/>
      </w:pPr>
      <w:r w:rsidRPr="00754852">
        <w:t>If governments want to lower the company tax rate and maintain the progressivity of the New Zealand tax system, higher levels of tax might be needed at the shareholder level. One option might be a tax on gains from share sales. As discussed by Chen and Mintz (2009), New Zealand is particularly vulnerable to a gap between the company tax rate and the top personal tax rate because of the absence of any tax on capital gains. As a result</w:t>
      </w:r>
      <w:r w:rsidR="00AE5BA9">
        <w:t>,</w:t>
      </w:r>
      <w:r w:rsidRPr="00754852">
        <w:t xml:space="preserve"> those on the top marginal tax rate of 39% are able to have income taxed at a low rate if this is earned in a company and then gains are realised by selling shares in the company. Chen and Mintz expressed surprise that New Zealand had not adopted the solution of taxing share gains to help with integrity concerns.</w:t>
      </w:r>
    </w:p>
    <w:p w14:paraId="09DB9478" w14:textId="6F9D3D60" w:rsidR="001B3AE0" w:rsidRDefault="0052728D" w:rsidP="00075D72">
      <w:pPr>
        <w:pStyle w:val="NumberedParagraph"/>
      </w:pPr>
      <w:r>
        <w:t>Company tax rates and top personal marg</w:t>
      </w:r>
      <w:r w:rsidR="00C92768">
        <w:t xml:space="preserve">inal tax rates in OECD countries are provided in </w:t>
      </w:r>
      <w:r w:rsidR="0081763A">
        <w:t>t</w:t>
      </w:r>
      <w:r w:rsidR="00C92768">
        <w:t xml:space="preserve">able 6.2. </w:t>
      </w:r>
      <w:r w:rsidR="00D01AA9">
        <w:t xml:space="preserve">Having a small gap between the company tax rate and the top personal rate is attractive because it limits the scope for personal income to be sheltered in companies. At the same time </w:t>
      </w:r>
      <w:r w:rsidR="001B3AE0" w:rsidRPr="00754852">
        <w:t xml:space="preserve">New Zealand’s gap between the company tax rate and the top personal marginal </w:t>
      </w:r>
      <w:r w:rsidR="002002F5">
        <w:t xml:space="preserve">tax </w:t>
      </w:r>
      <w:r w:rsidR="001B3AE0" w:rsidRPr="00754852">
        <w:t>rate is not high compared to other OECD countries. In 2020, the latest year for which OECD data is provided</w:t>
      </w:r>
      <w:r w:rsidR="00AC5764">
        <w:t>,</w:t>
      </w:r>
      <w:r w:rsidR="001B3AE0" w:rsidRPr="00754852">
        <w:t xml:space="preserve"> New Zealand had a company tax rate of 28% and a top personal marginal tax rate of 33%. The gap between the two was 5 percentage points</w:t>
      </w:r>
      <w:r w:rsidR="002002F5">
        <w:t>,</w:t>
      </w:r>
      <w:r w:rsidR="001B3AE0" w:rsidRPr="00754852">
        <w:t xml:space="preserve"> which was the fifth equal lowest gap for the 37 OECD countries for which data is recorded. Even now, with a top marginal tax rate of 39% and an 11</w:t>
      </w:r>
      <w:r w:rsidR="00702353">
        <w:t> </w:t>
      </w:r>
      <w:r w:rsidR="001B3AE0" w:rsidRPr="00754852">
        <w:t xml:space="preserve">percentage point gap, the gap is not large compared with other OECD countries. Only </w:t>
      </w:r>
      <w:r w:rsidR="00E47EC9">
        <w:t>six</w:t>
      </w:r>
      <w:r w:rsidR="001B3AE0" w:rsidRPr="00754852">
        <w:t xml:space="preserve"> </w:t>
      </w:r>
      <w:r w:rsidR="00FB1390">
        <w:t>other</w:t>
      </w:r>
      <w:r w:rsidR="001B3AE0" w:rsidRPr="00754852">
        <w:t xml:space="preserve"> OECD countries had a smaller gap than this in 2020.</w:t>
      </w:r>
    </w:p>
    <w:p w14:paraId="7708D2A8" w14:textId="4E3F99BC" w:rsidR="00774612" w:rsidRPr="00774612" w:rsidRDefault="00774612" w:rsidP="00E1409A">
      <w:pPr>
        <w:pStyle w:val="Caption"/>
        <w:keepLines/>
        <w:rPr>
          <w:rFonts w:eastAsia="Calibri"/>
        </w:rPr>
      </w:pPr>
      <w:r w:rsidRPr="00774612">
        <w:rPr>
          <w:rFonts w:eastAsia="Calibri"/>
        </w:rPr>
        <w:lastRenderedPageBreak/>
        <w:t>Table 6.</w:t>
      </w:r>
      <w:r w:rsidR="003D66CD">
        <w:rPr>
          <w:rFonts w:eastAsia="Calibri"/>
        </w:rPr>
        <w:t>2</w:t>
      </w:r>
      <w:r w:rsidRPr="00774612">
        <w:rPr>
          <w:rFonts w:eastAsia="Calibri"/>
        </w:rPr>
        <w:t>: Co</w:t>
      </w:r>
      <w:r w:rsidR="003D66CD">
        <w:rPr>
          <w:rFonts w:eastAsia="Calibri"/>
        </w:rPr>
        <w:t>mpany and top personal</w:t>
      </w:r>
      <w:r w:rsidR="00E77822">
        <w:rPr>
          <w:rFonts w:eastAsia="Calibri"/>
        </w:rPr>
        <w:t xml:space="preserve"> tax rates</w:t>
      </w:r>
      <w:r w:rsidR="003D66CD">
        <w:rPr>
          <w:rFonts w:eastAsia="Calibri"/>
        </w:rPr>
        <w:t xml:space="preserve"> </w:t>
      </w:r>
      <w:r w:rsidR="00E1409A">
        <w:rPr>
          <w:rFonts w:ascii="Times New Roman" w:eastAsia="Calibri" w:hAnsi="Times New Roman"/>
        </w:rPr>
        <w:t>–</w:t>
      </w:r>
      <w:r w:rsidR="00CA5D8B">
        <w:rPr>
          <w:rFonts w:eastAsia="Calibri"/>
        </w:rPr>
        <w:t xml:space="preserve"> 2020</w:t>
      </w:r>
    </w:p>
    <w:tbl>
      <w:tblPr>
        <w:tblStyle w:val="TableGrid"/>
        <w:tblW w:w="7938" w:type="dxa"/>
        <w:tblInd w:w="84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2977"/>
        <w:gridCol w:w="1653"/>
        <w:gridCol w:w="1654"/>
        <w:gridCol w:w="1654"/>
      </w:tblGrid>
      <w:tr w:rsidR="00C966AF" w:rsidRPr="00363CF9" w14:paraId="7664660A" w14:textId="494789E8" w:rsidTr="00455437">
        <w:trPr>
          <w:tblHeader/>
        </w:trPr>
        <w:tc>
          <w:tcPr>
            <w:tcW w:w="2977" w:type="dxa"/>
            <w:tcBorders>
              <w:bottom w:val="single" w:sz="4" w:space="0" w:color="BFBFBF" w:themeColor="background1" w:themeShade="BF"/>
            </w:tcBorders>
            <w:shd w:val="clear" w:color="auto" w:fill="232E36"/>
          </w:tcPr>
          <w:p w14:paraId="438C0214" w14:textId="77777777" w:rsidR="00C966AF" w:rsidRPr="00363CF9" w:rsidRDefault="00C966AF" w:rsidP="003B6F2B">
            <w:pPr>
              <w:keepNext/>
              <w:keepLines/>
              <w:spacing w:before="80" w:after="80"/>
              <w:jc w:val="left"/>
              <w:rPr>
                <w:b/>
                <w:bCs/>
                <w:color w:val="FFFFFF" w:themeColor="background1"/>
                <w:sz w:val="16"/>
                <w:szCs w:val="16"/>
              </w:rPr>
            </w:pPr>
            <w:r>
              <w:rPr>
                <w:b/>
                <w:bCs/>
                <w:color w:val="FFFFFF" w:themeColor="background1"/>
                <w:sz w:val="16"/>
                <w:szCs w:val="16"/>
              </w:rPr>
              <w:t>Country</w:t>
            </w:r>
          </w:p>
        </w:tc>
        <w:tc>
          <w:tcPr>
            <w:tcW w:w="1653" w:type="dxa"/>
            <w:tcBorders>
              <w:right w:val="single" w:sz="4" w:space="0" w:color="BFBFBF" w:themeColor="background1" w:themeShade="BF"/>
            </w:tcBorders>
            <w:shd w:val="clear" w:color="auto" w:fill="232E36"/>
          </w:tcPr>
          <w:p w14:paraId="36550317" w14:textId="4C0597E1" w:rsidR="00C966AF" w:rsidRPr="00363CF9" w:rsidRDefault="00C966AF" w:rsidP="003B6F2B">
            <w:pPr>
              <w:keepNext/>
              <w:keepLines/>
              <w:spacing w:before="80" w:after="80"/>
              <w:jc w:val="center"/>
              <w:rPr>
                <w:b/>
                <w:bCs/>
                <w:color w:val="FFFFFF" w:themeColor="background1"/>
                <w:sz w:val="16"/>
                <w:szCs w:val="16"/>
              </w:rPr>
            </w:pPr>
            <w:r>
              <w:rPr>
                <w:b/>
                <w:bCs/>
                <w:color w:val="FFFFFF" w:themeColor="background1"/>
                <w:sz w:val="16"/>
                <w:szCs w:val="16"/>
              </w:rPr>
              <w:t>Company tax rate</w:t>
            </w:r>
          </w:p>
        </w:tc>
        <w:tc>
          <w:tcPr>
            <w:tcW w:w="1654" w:type="dxa"/>
            <w:tcBorders>
              <w:left w:val="single" w:sz="4" w:space="0" w:color="BFBFBF" w:themeColor="background1" w:themeShade="BF"/>
            </w:tcBorders>
            <w:shd w:val="clear" w:color="auto" w:fill="232E36"/>
          </w:tcPr>
          <w:p w14:paraId="516EC4FD" w14:textId="5FECE09E" w:rsidR="00C966AF" w:rsidRPr="00363CF9" w:rsidRDefault="00C966AF" w:rsidP="003B6F2B">
            <w:pPr>
              <w:keepNext/>
              <w:keepLines/>
              <w:spacing w:before="80" w:after="80"/>
              <w:jc w:val="center"/>
              <w:rPr>
                <w:b/>
                <w:bCs/>
                <w:color w:val="FFFFFF" w:themeColor="background1"/>
                <w:sz w:val="16"/>
                <w:szCs w:val="16"/>
              </w:rPr>
            </w:pPr>
            <w:r>
              <w:rPr>
                <w:b/>
                <w:bCs/>
                <w:color w:val="FFFFFF" w:themeColor="background1"/>
                <w:sz w:val="16"/>
                <w:szCs w:val="16"/>
              </w:rPr>
              <w:t>Top marginal tax rate</w:t>
            </w:r>
          </w:p>
        </w:tc>
        <w:tc>
          <w:tcPr>
            <w:tcW w:w="1654" w:type="dxa"/>
            <w:tcBorders>
              <w:left w:val="single" w:sz="4" w:space="0" w:color="BFBFBF" w:themeColor="background1" w:themeShade="BF"/>
            </w:tcBorders>
            <w:shd w:val="clear" w:color="auto" w:fill="232E36"/>
          </w:tcPr>
          <w:p w14:paraId="588270E8" w14:textId="5466CED7" w:rsidR="00C966AF" w:rsidRPr="00363CF9" w:rsidRDefault="00C966AF" w:rsidP="003B6F2B">
            <w:pPr>
              <w:keepNext/>
              <w:keepLines/>
              <w:spacing w:before="80" w:after="80"/>
              <w:jc w:val="center"/>
              <w:rPr>
                <w:b/>
                <w:bCs/>
                <w:color w:val="FFFFFF" w:themeColor="background1"/>
                <w:sz w:val="16"/>
                <w:szCs w:val="16"/>
              </w:rPr>
            </w:pPr>
            <w:r>
              <w:rPr>
                <w:b/>
                <w:bCs/>
                <w:color w:val="FFFFFF" w:themeColor="background1"/>
                <w:sz w:val="16"/>
                <w:szCs w:val="16"/>
              </w:rPr>
              <w:t>Difference</w:t>
            </w:r>
          </w:p>
        </w:tc>
      </w:tr>
      <w:tr w:rsidR="00C966AF" w:rsidRPr="00363CF9" w14:paraId="3F9FA1C4" w14:textId="73900883" w:rsidTr="00455437">
        <w:tc>
          <w:tcPr>
            <w:tcW w:w="2977" w:type="dxa"/>
          </w:tcPr>
          <w:p w14:paraId="7D66F209" w14:textId="77777777" w:rsidR="00C966AF" w:rsidRPr="00072DC1" w:rsidRDefault="00C966AF" w:rsidP="00455437">
            <w:pPr>
              <w:pStyle w:val="Table-Text"/>
              <w:keepNext/>
              <w:keepLines/>
              <w:spacing w:before="60" w:after="60"/>
              <w:rPr>
                <w:rStyle w:val="Strong"/>
              </w:rPr>
            </w:pPr>
            <w:r w:rsidRPr="00072DC1">
              <w:rPr>
                <w:rStyle w:val="Strong"/>
              </w:rPr>
              <w:t>Australia</w:t>
            </w:r>
          </w:p>
        </w:tc>
        <w:tc>
          <w:tcPr>
            <w:tcW w:w="1653" w:type="dxa"/>
          </w:tcPr>
          <w:p w14:paraId="5583DB44" w14:textId="58CF7787" w:rsidR="00C966AF" w:rsidRPr="00363CF9" w:rsidRDefault="00C966AF" w:rsidP="00455437">
            <w:pPr>
              <w:pStyle w:val="Table-Text"/>
              <w:keepNext/>
              <w:keepLines/>
              <w:tabs>
                <w:tab w:val="decimal" w:pos="802"/>
              </w:tabs>
              <w:spacing w:before="60" w:after="60"/>
            </w:pPr>
            <w:r>
              <w:t>30.0</w:t>
            </w:r>
          </w:p>
        </w:tc>
        <w:tc>
          <w:tcPr>
            <w:tcW w:w="1654" w:type="dxa"/>
          </w:tcPr>
          <w:p w14:paraId="3E7F95B9" w14:textId="2C6A279F" w:rsidR="00C966AF" w:rsidRPr="00363CF9" w:rsidRDefault="00C966AF" w:rsidP="00455437">
            <w:pPr>
              <w:pStyle w:val="Table-Text"/>
              <w:keepNext/>
              <w:keepLines/>
              <w:tabs>
                <w:tab w:val="decimal" w:pos="802"/>
              </w:tabs>
              <w:spacing w:before="60" w:after="60"/>
            </w:pPr>
            <w:r>
              <w:t>47.0</w:t>
            </w:r>
          </w:p>
        </w:tc>
        <w:tc>
          <w:tcPr>
            <w:tcW w:w="1654" w:type="dxa"/>
          </w:tcPr>
          <w:p w14:paraId="77A37FE6" w14:textId="6A06B0CE" w:rsidR="00C966AF" w:rsidRDefault="00DF00C5" w:rsidP="00455437">
            <w:pPr>
              <w:pStyle w:val="Table-Text"/>
              <w:keepNext/>
              <w:keepLines/>
              <w:tabs>
                <w:tab w:val="decimal" w:pos="802"/>
              </w:tabs>
              <w:spacing w:before="60" w:after="60"/>
            </w:pPr>
            <w:r>
              <w:t>17.0</w:t>
            </w:r>
          </w:p>
        </w:tc>
      </w:tr>
      <w:tr w:rsidR="00C966AF" w:rsidRPr="00363CF9" w14:paraId="1CCD6C5B" w14:textId="566E9390" w:rsidTr="00455437">
        <w:tc>
          <w:tcPr>
            <w:tcW w:w="2977" w:type="dxa"/>
          </w:tcPr>
          <w:p w14:paraId="6A0DA196" w14:textId="77777777" w:rsidR="00C966AF" w:rsidRPr="00072DC1" w:rsidRDefault="00C966AF" w:rsidP="00455437">
            <w:pPr>
              <w:pStyle w:val="Table-Text"/>
              <w:keepNext/>
              <w:keepLines/>
              <w:spacing w:before="60" w:after="60"/>
              <w:rPr>
                <w:rStyle w:val="Strong"/>
              </w:rPr>
            </w:pPr>
            <w:r w:rsidRPr="00072DC1">
              <w:rPr>
                <w:rStyle w:val="Strong"/>
              </w:rPr>
              <w:t>Austria</w:t>
            </w:r>
          </w:p>
        </w:tc>
        <w:tc>
          <w:tcPr>
            <w:tcW w:w="1653" w:type="dxa"/>
            <w:vAlign w:val="center"/>
          </w:tcPr>
          <w:p w14:paraId="0508F940" w14:textId="5D1ED37B" w:rsidR="00C966AF" w:rsidRPr="00363CF9" w:rsidRDefault="00C966AF" w:rsidP="00455437">
            <w:pPr>
              <w:pStyle w:val="Table-Text"/>
              <w:keepNext/>
              <w:keepLines/>
              <w:tabs>
                <w:tab w:val="decimal" w:pos="802"/>
              </w:tabs>
              <w:spacing w:before="60" w:after="60"/>
            </w:pPr>
            <w:r>
              <w:t>25.0</w:t>
            </w:r>
          </w:p>
        </w:tc>
        <w:tc>
          <w:tcPr>
            <w:tcW w:w="1654" w:type="dxa"/>
          </w:tcPr>
          <w:p w14:paraId="444EC44C" w14:textId="26492BFD" w:rsidR="00C966AF" w:rsidRPr="00363CF9" w:rsidRDefault="00C966AF" w:rsidP="00455437">
            <w:pPr>
              <w:pStyle w:val="Table-Text"/>
              <w:keepNext/>
              <w:keepLines/>
              <w:tabs>
                <w:tab w:val="decimal" w:pos="802"/>
              </w:tabs>
              <w:spacing w:before="60" w:after="60"/>
            </w:pPr>
            <w:r>
              <w:t>55.0</w:t>
            </w:r>
          </w:p>
        </w:tc>
        <w:tc>
          <w:tcPr>
            <w:tcW w:w="1654" w:type="dxa"/>
          </w:tcPr>
          <w:p w14:paraId="6B1FE2A3" w14:textId="71610038" w:rsidR="00C966AF" w:rsidRDefault="00DF00C5" w:rsidP="00455437">
            <w:pPr>
              <w:pStyle w:val="Table-Text"/>
              <w:keepNext/>
              <w:keepLines/>
              <w:tabs>
                <w:tab w:val="decimal" w:pos="802"/>
              </w:tabs>
              <w:spacing w:before="60" w:after="60"/>
            </w:pPr>
            <w:r>
              <w:t>30.0</w:t>
            </w:r>
          </w:p>
        </w:tc>
      </w:tr>
      <w:tr w:rsidR="00C966AF" w:rsidRPr="00363CF9" w14:paraId="263A3AE7" w14:textId="41467390" w:rsidTr="00455437">
        <w:tc>
          <w:tcPr>
            <w:tcW w:w="2977" w:type="dxa"/>
          </w:tcPr>
          <w:p w14:paraId="0FC2A33F" w14:textId="77777777" w:rsidR="00C966AF" w:rsidRPr="00072DC1" w:rsidRDefault="00C966AF" w:rsidP="00455437">
            <w:pPr>
              <w:pStyle w:val="Table-Text"/>
              <w:keepNext/>
              <w:keepLines/>
              <w:spacing w:before="60" w:after="60"/>
              <w:rPr>
                <w:rStyle w:val="Strong"/>
              </w:rPr>
            </w:pPr>
            <w:r w:rsidRPr="00072DC1">
              <w:rPr>
                <w:rStyle w:val="Strong"/>
              </w:rPr>
              <w:t>Belgium</w:t>
            </w:r>
          </w:p>
        </w:tc>
        <w:tc>
          <w:tcPr>
            <w:tcW w:w="1653" w:type="dxa"/>
            <w:tcBorders>
              <w:right w:val="single" w:sz="4" w:space="0" w:color="BFBFBF" w:themeColor="background1" w:themeShade="BF"/>
            </w:tcBorders>
          </w:tcPr>
          <w:p w14:paraId="4B982B71" w14:textId="1F4C73C1" w:rsidR="00C966AF" w:rsidRPr="00363CF9" w:rsidRDefault="00C966AF" w:rsidP="00455437">
            <w:pPr>
              <w:pStyle w:val="Table-Text"/>
              <w:keepNext/>
              <w:keepLines/>
              <w:tabs>
                <w:tab w:val="decimal" w:pos="802"/>
              </w:tabs>
              <w:spacing w:before="60" w:after="60"/>
            </w:pPr>
            <w:r>
              <w:t>25.0</w:t>
            </w:r>
          </w:p>
        </w:tc>
        <w:tc>
          <w:tcPr>
            <w:tcW w:w="1654" w:type="dxa"/>
            <w:tcBorders>
              <w:left w:val="single" w:sz="4" w:space="0" w:color="BFBFBF" w:themeColor="background1" w:themeShade="BF"/>
            </w:tcBorders>
          </w:tcPr>
          <w:p w14:paraId="27C75CA7" w14:textId="546D9EBF" w:rsidR="00C966AF" w:rsidRPr="00363CF9" w:rsidRDefault="00C966AF" w:rsidP="00455437">
            <w:pPr>
              <w:pStyle w:val="Table-Text"/>
              <w:keepNext/>
              <w:keepLines/>
              <w:tabs>
                <w:tab w:val="decimal" w:pos="802"/>
              </w:tabs>
              <w:spacing w:before="60" w:after="60"/>
            </w:pPr>
            <w:r>
              <w:t>52.9</w:t>
            </w:r>
          </w:p>
        </w:tc>
        <w:tc>
          <w:tcPr>
            <w:tcW w:w="1654" w:type="dxa"/>
            <w:tcBorders>
              <w:left w:val="single" w:sz="4" w:space="0" w:color="BFBFBF" w:themeColor="background1" w:themeShade="BF"/>
            </w:tcBorders>
          </w:tcPr>
          <w:p w14:paraId="46CC27F7" w14:textId="5F178930" w:rsidR="00C966AF" w:rsidRDefault="00DF00C5" w:rsidP="00455437">
            <w:pPr>
              <w:pStyle w:val="Table-Text"/>
              <w:keepNext/>
              <w:keepLines/>
              <w:tabs>
                <w:tab w:val="decimal" w:pos="802"/>
              </w:tabs>
              <w:spacing w:before="60" w:after="60"/>
            </w:pPr>
            <w:r>
              <w:t>27.9</w:t>
            </w:r>
          </w:p>
        </w:tc>
      </w:tr>
      <w:tr w:rsidR="00C966AF" w:rsidRPr="00363CF9" w14:paraId="40395DB7" w14:textId="2126019A" w:rsidTr="00455437">
        <w:tc>
          <w:tcPr>
            <w:tcW w:w="2977" w:type="dxa"/>
          </w:tcPr>
          <w:p w14:paraId="22F2674B" w14:textId="77777777" w:rsidR="00C966AF" w:rsidRPr="00072DC1" w:rsidRDefault="00C966AF" w:rsidP="00455437">
            <w:pPr>
              <w:pStyle w:val="Table-Text"/>
              <w:keepNext/>
              <w:keepLines/>
              <w:spacing w:before="60" w:after="60"/>
              <w:rPr>
                <w:rStyle w:val="Strong"/>
              </w:rPr>
            </w:pPr>
            <w:r w:rsidRPr="00072DC1">
              <w:rPr>
                <w:rStyle w:val="Strong"/>
              </w:rPr>
              <w:t>Canada</w:t>
            </w:r>
          </w:p>
        </w:tc>
        <w:tc>
          <w:tcPr>
            <w:tcW w:w="1653" w:type="dxa"/>
          </w:tcPr>
          <w:p w14:paraId="232D9FB2" w14:textId="1FAE50B0" w:rsidR="00C966AF" w:rsidRPr="00363CF9" w:rsidRDefault="00C966AF" w:rsidP="00455437">
            <w:pPr>
              <w:pStyle w:val="Table-Text"/>
              <w:keepNext/>
              <w:keepLines/>
              <w:tabs>
                <w:tab w:val="decimal" w:pos="802"/>
              </w:tabs>
              <w:spacing w:before="60" w:after="60"/>
            </w:pPr>
            <w:r>
              <w:t>26.2</w:t>
            </w:r>
          </w:p>
        </w:tc>
        <w:tc>
          <w:tcPr>
            <w:tcW w:w="1654" w:type="dxa"/>
          </w:tcPr>
          <w:p w14:paraId="28542C6F" w14:textId="0B9C1C63" w:rsidR="00C966AF" w:rsidRPr="00363CF9" w:rsidRDefault="00C966AF" w:rsidP="00455437">
            <w:pPr>
              <w:pStyle w:val="Table-Text"/>
              <w:keepNext/>
              <w:keepLines/>
              <w:tabs>
                <w:tab w:val="decimal" w:pos="802"/>
              </w:tabs>
              <w:spacing w:before="60" w:after="60"/>
            </w:pPr>
            <w:r>
              <w:t>53.5</w:t>
            </w:r>
          </w:p>
        </w:tc>
        <w:tc>
          <w:tcPr>
            <w:tcW w:w="1654" w:type="dxa"/>
          </w:tcPr>
          <w:p w14:paraId="4A1846BD" w14:textId="59A6BDD4" w:rsidR="00C966AF" w:rsidRDefault="00DF00C5" w:rsidP="00455437">
            <w:pPr>
              <w:pStyle w:val="Table-Text"/>
              <w:keepNext/>
              <w:keepLines/>
              <w:tabs>
                <w:tab w:val="decimal" w:pos="802"/>
              </w:tabs>
              <w:spacing w:before="60" w:after="60"/>
            </w:pPr>
            <w:r>
              <w:t>27.3</w:t>
            </w:r>
          </w:p>
        </w:tc>
      </w:tr>
      <w:tr w:rsidR="00C966AF" w:rsidRPr="00363CF9" w14:paraId="23343CB6" w14:textId="205E99AD" w:rsidTr="00455437">
        <w:tc>
          <w:tcPr>
            <w:tcW w:w="2977" w:type="dxa"/>
          </w:tcPr>
          <w:p w14:paraId="73CD0294" w14:textId="77777777" w:rsidR="00C966AF" w:rsidRPr="00072DC1" w:rsidRDefault="00C966AF" w:rsidP="00455437">
            <w:pPr>
              <w:pStyle w:val="Table-Text"/>
              <w:keepNext/>
              <w:keepLines/>
              <w:spacing w:before="60" w:after="60"/>
              <w:rPr>
                <w:rStyle w:val="Strong"/>
              </w:rPr>
            </w:pPr>
            <w:r w:rsidRPr="00072DC1">
              <w:rPr>
                <w:rStyle w:val="Strong"/>
              </w:rPr>
              <w:t>Chile</w:t>
            </w:r>
          </w:p>
        </w:tc>
        <w:tc>
          <w:tcPr>
            <w:tcW w:w="1653" w:type="dxa"/>
          </w:tcPr>
          <w:p w14:paraId="1AAC889D" w14:textId="6833AC68" w:rsidR="00C966AF" w:rsidRPr="00363CF9" w:rsidRDefault="00C966AF" w:rsidP="00455437">
            <w:pPr>
              <w:pStyle w:val="Table-Text"/>
              <w:keepNext/>
              <w:keepLines/>
              <w:tabs>
                <w:tab w:val="decimal" w:pos="802"/>
              </w:tabs>
              <w:spacing w:before="60" w:after="60"/>
            </w:pPr>
            <w:r>
              <w:t>10.0</w:t>
            </w:r>
          </w:p>
        </w:tc>
        <w:tc>
          <w:tcPr>
            <w:tcW w:w="1654" w:type="dxa"/>
          </w:tcPr>
          <w:p w14:paraId="6801AC19" w14:textId="409C3A53" w:rsidR="00C966AF" w:rsidRPr="00363CF9" w:rsidRDefault="00C966AF" w:rsidP="00455437">
            <w:pPr>
              <w:pStyle w:val="Table-Text"/>
              <w:keepNext/>
              <w:keepLines/>
              <w:tabs>
                <w:tab w:val="decimal" w:pos="802"/>
              </w:tabs>
              <w:spacing w:before="60" w:after="60"/>
            </w:pPr>
            <w:r>
              <w:t>35.0</w:t>
            </w:r>
          </w:p>
        </w:tc>
        <w:tc>
          <w:tcPr>
            <w:tcW w:w="1654" w:type="dxa"/>
          </w:tcPr>
          <w:p w14:paraId="683A5398" w14:textId="3BF0B6F1" w:rsidR="00C966AF" w:rsidRDefault="00DF00C5" w:rsidP="00455437">
            <w:pPr>
              <w:pStyle w:val="Table-Text"/>
              <w:keepNext/>
              <w:keepLines/>
              <w:tabs>
                <w:tab w:val="decimal" w:pos="802"/>
              </w:tabs>
              <w:spacing w:before="60" w:after="60"/>
            </w:pPr>
            <w:r>
              <w:t>25.0</w:t>
            </w:r>
          </w:p>
        </w:tc>
      </w:tr>
      <w:tr w:rsidR="00C966AF" w:rsidRPr="00363CF9" w14:paraId="2C7D81E5" w14:textId="20A5CE94" w:rsidTr="00455437">
        <w:tc>
          <w:tcPr>
            <w:tcW w:w="2977" w:type="dxa"/>
          </w:tcPr>
          <w:p w14:paraId="2609CEBC" w14:textId="77777777" w:rsidR="00C966AF" w:rsidRPr="00072DC1" w:rsidRDefault="00C966AF" w:rsidP="00455437">
            <w:pPr>
              <w:pStyle w:val="Table-Text"/>
              <w:keepNext/>
              <w:keepLines/>
              <w:spacing w:before="60" w:after="60"/>
              <w:rPr>
                <w:rStyle w:val="Strong"/>
              </w:rPr>
            </w:pPr>
            <w:r w:rsidRPr="00072DC1">
              <w:rPr>
                <w:rStyle w:val="Strong"/>
              </w:rPr>
              <w:t>Colombia</w:t>
            </w:r>
          </w:p>
        </w:tc>
        <w:tc>
          <w:tcPr>
            <w:tcW w:w="1653" w:type="dxa"/>
          </w:tcPr>
          <w:p w14:paraId="662FB37E" w14:textId="5A40D4E6" w:rsidR="00C966AF" w:rsidRPr="00363CF9" w:rsidRDefault="00C966AF" w:rsidP="00455437">
            <w:pPr>
              <w:pStyle w:val="Table-Text"/>
              <w:keepNext/>
              <w:keepLines/>
              <w:tabs>
                <w:tab w:val="decimal" w:pos="802"/>
              </w:tabs>
              <w:spacing w:before="60" w:after="60"/>
            </w:pPr>
            <w:r>
              <w:t>32.0</w:t>
            </w:r>
          </w:p>
        </w:tc>
        <w:tc>
          <w:tcPr>
            <w:tcW w:w="1654" w:type="dxa"/>
          </w:tcPr>
          <w:p w14:paraId="4F05CC5A" w14:textId="34D962AD" w:rsidR="00C966AF" w:rsidRPr="00363CF9" w:rsidRDefault="00C966AF" w:rsidP="00455437">
            <w:pPr>
              <w:pStyle w:val="Table-Text"/>
              <w:keepNext/>
              <w:keepLines/>
              <w:tabs>
                <w:tab w:val="decimal" w:pos="802"/>
              </w:tabs>
              <w:spacing w:before="60" w:after="60"/>
            </w:pPr>
            <w:r>
              <w:t>33.0</w:t>
            </w:r>
          </w:p>
        </w:tc>
        <w:tc>
          <w:tcPr>
            <w:tcW w:w="1654" w:type="dxa"/>
          </w:tcPr>
          <w:p w14:paraId="13F2CDDF" w14:textId="66A90B13" w:rsidR="00C966AF" w:rsidRDefault="00DF00C5" w:rsidP="00455437">
            <w:pPr>
              <w:pStyle w:val="Table-Text"/>
              <w:keepNext/>
              <w:keepLines/>
              <w:tabs>
                <w:tab w:val="decimal" w:pos="802"/>
              </w:tabs>
              <w:spacing w:before="60" w:after="60"/>
            </w:pPr>
            <w:r>
              <w:t>1.0</w:t>
            </w:r>
          </w:p>
        </w:tc>
      </w:tr>
      <w:tr w:rsidR="00C966AF" w:rsidRPr="00363CF9" w14:paraId="2D2963D3" w14:textId="2D33DD0C" w:rsidTr="00455437">
        <w:tc>
          <w:tcPr>
            <w:tcW w:w="2977" w:type="dxa"/>
          </w:tcPr>
          <w:p w14:paraId="7CA35A57" w14:textId="77777777" w:rsidR="00C966AF" w:rsidRPr="00072DC1" w:rsidRDefault="00C966AF" w:rsidP="00455437">
            <w:pPr>
              <w:pStyle w:val="Table-Text"/>
              <w:keepNext/>
              <w:keepLines/>
              <w:spacing w:before="60" w:after="60"/>
              <w:rPr>
                <w:rStyle w:val="Strong"/>
              </w:rPr>
            </w:pPr>
            <w:r w:rsidRPr="00072DC1">
              <w:rPr>
                <w:rStyle w:val="Strong"/>
              </w:rPr>
              <w:t>Czech Republic</w:t>
            </w:r>
          </w:p>
        </w:tc>
        <w:tc>
          <w:tcPr>
            <w:tcW w:w="1653" w:type="dxa"/>
          </w:tcPr>
          <w:p w14:paraId="50282FD0" w14:textId="382502C5" w:rsidR="00C966AF" w:rsidRPr="00363CF9" w:rsidRDefault="00C966AF" w:rsidP="00455437">
            <w:pPr>
              <w:pStyle w:val="Table-Text"/>
              <w:keepNext/>
              <w:keepLines/>
              <w:tabs>
                <w:tab w:val="decimal" w:pos="802"/>
              </w:tabs>
              <w:spacing w:before="60" w:after="60"/>
            </w:pPr>
            <w:r>
              <w:t>19.0</w:t>
            </w:r>
          </w:p>
        </w:tc>
        <w:tc>
          <w:tcPr>
            <w:tcW w:w="1654" w:type="dxa"/>
          </w:tcPr>
          <w:p w14:paraId="30BF122F" w14:textId="5CC00F87" w:rsidR="00C966AF" w:rsidRPr="00363CF9" w:rsidRDefault="00C966AF" w:rsidP="00455437">
            <w:pPr>
              <w:pStyle w:val="Table-Text"/>
              <w:keepNext/>
              <w:keepLines/>
              <w:tabs>
                <w:tab w:val="decimal" w:pos="802"/>
              </w:tabs>
              <w:spacing w:before="60" w:after="60"/>
            </w:pPr>
            <w:r>
              <w:t>15.0</w:t>
            </w:r>
          </w:p>
        </w:tc>
        <w:tc>
          <w:tcPr>
            <w:tcW w:w="1654" w:type="dxa"/>
          </w:tcPr>
          <w:p w14:paraId="39B3EBC1" w14:textId="62F5CF94" w:rsidR="00C966AF" w:rsidRDefault="00DF00C5" w:rsidP="00455437">
            <w:pPr>
              <w:pStyle w:val="Table-Text"/>
              <w:keepNext/>
              <w:keepLines/>
              <w:tabs>
                <w:tab w:val="decimal" w:pos="802"/>
              </w:tabs>
              <w:spacing w:before="60" w:after="60"/>
            </w:pPr>
            <w:r>
              <w:t>-4.0</w:t>
            </w:r>
          </w:p>
        </w:tc>
      </w:tr>
      <w:tr w:rsidR="00C966AF" w:rsidRPr="00363CF9" w14:paraId="2E2A71E8" w14:textId="46680F26" w:rsidTr="00455437">
        <w:tc>
          <w:tcPr>
            <w:tcW w:w="2977" w:type="dxa"/>
          </w:tcPr>
          <w:p w14:paraId="27E76BD2" w14:textId="77777777" w:rsidR="00C966AF" w:rsidRPr="00072DC1" w:rsidRDefault="00C966AF" w:rsidP="00455437">
            <w:pPr>
              <w:pStyle w:val="Table-Text"/>
              <w:keepNext/>
              <w:keepLines/>
              <w:spacing w:before="60" w:after="60"/>
              <w:rPr>
                <w:rStyle w:val="Strong"/>
              </w:rPr>
            </w:pPr>
            <w:r w:rsidRPr="00072DC1">
              <w:rPr>
                <w:rStyle w:val="Strong"/>
              </w:rPr>
              <w:t>Denmark</w:t>
            </w:r>
          </w:p>
        </w:tc>
        <w:tc>
          <w:tcPr>
            <w:tcW w:w="1653" w:type="dxa"/>
          </w:tcPr>
          <w:p w14:paraId="1A541B83" w14:textId="0C661A73" w:rsidR="00C966AF" w:rsidRPr="00363CF9" w:rsidRDefault="00C966AF" w:rsidP="00455437">
            <w:pPr>
              <w:pStyle w:val="Table-Text"/>
              <w:keepNext/>
              <w:keepLines/>
              <w:tabs>
                <w:tab w:val="decimal" w:pos="802"/>
              </w:tabs>
              <w:spacing w:before="60" w:after="60"/>
            </w:pPr>
            <w:r>
              <w:t>22.0</w:t>
            </w:r>
          </w:p>
        </w:tc>
        <w:tc>
          <w:tcPr>
            <w:tcW w:w="1654" w:type="dxa"/>
          </w:tcPr>
          <w:p w14:paraId="27B03693" w14:textId="3D432CDB" w:rsidR="00C966AF" w:rsidRPr="00363CF9" w:rsidRDefault="00C966AF" w:rsidP="00455437">
            <w:pPr>
              <w:pStyle w:val="Table-Text"/>
              <w:keepNext/>
              <w:keepLines/>
              <w:tabs>
                <w:tab w:val="decimal" w:pos="802"/>
              </w:tabs>
              <w:spacing w:before="60" w:after="60"/>
            </w:pPr>
            <w:r>
              <w:t>55.9</w:t>
            </w:r>
          </w:p>
        </w:tc>
        <w:tc>
          <w:tcPr>
            <w:tcW w:w="1654" w:type="dxa"/>
          </w:tcPr>
          <w:p w14:paraId="2119FBF3" w14:textId="0F76D0B6" w:rsidR="00C966AF" w:rsidRDefault="00DF00C5" w:rsidP="00455437">
            <w:pPr>
              <w:pStyle w:val="Table-Text"/>
              <w:keepNext/>
              <w:keepLines/>
              <w:tabs>
                <w:tab w:val="decimal" w:pos="802"/>
              </w:tabs>
              <w:spacing w:before="60" w:after="60"/>
            </w:pPr>
            <w:r>
              <w:t>33.9</w:t>
            </w:r>
          </w:p>
        </w:tc>
      </w:tr>
      <w:tr w:rsidR="00C966AF" w:rsidRPr="00363CF9" w14:paraId="003E718B" w14:textId="7CE35644" w:rsidTr="00455437">
        <w:tc>
          <w:tcPr>
            <w:tcW w:w="2977" w:type="dxa"/>
          </w:tcPr>
          <w:p w14:paraId="2D609637" w14:textId="77777777" w:rsidR="00C966AF" w:rsidRPr="00072DC1" w:rsidRDefault="00C966AF" w:rsidP="00455437">
            <w:pPr>
              <w:pStyle w:val="Table-Text"/>
              <w:keepNext/>
              <w:keepLines/>
              <w:spacing w:before="60" w:after="60"/>
              <w:rPr>
                <w:rStyle w:val="Strong"/>
              </w:rPr>
            </w:pPr>
            <w:r w:rsidRPr="00072DC1">
              <w:rPr>
                <w:rStyle w:val="Strong"/>
              </w:rPr>
              <w:t>Estonia</w:t>
            </w:r>
          </w:p>
        </w:tc>
        <w:tc>
          <w:tcPr>
            <w:tcW w:w="1653" w:type="dxa"/>
          </w:tcPr>
          <w:p w14:paraId="30A55159" w14:textId="556BDFEE" w:rsidR="00C966AF" w:rsidRPr="00363CF9" w:rsidRDefault="00C966AF" w:rsidP="00455437">
            <w:pPr>
              <w:pStyle w:val="Table-Text"/>
              <w:keepNext/>
              <w:keepLines/>
              <w:tabs>
                <w:tab w:val="decimal" w:pos="802"/>
              </w:tabs>
              <w:spacing w:before="60" w:after="60"/>
            </w:pPr>
            <w:r>
              <w:t>20.0</w:t>
            </w:r>
          </w:p>
        </w:tc>
        <w:tc>
          <w:tcPr>
            <w:tcW w:w="1654" w:type="dxa"/>
          </w:tcPr>
          <w:p w14:paraId="512E8202" w14:textId="383ABAE8" w:rsidR="00C966AF" w:rsidRPr="00363CF9" w:rsidRDefault="00C966AF" w:rsidP="00455437">
            <w:pPr>
              <w:pStyle w:val="Table-Text"/>
              <w:keepNext/>
              <w:keepLines/>
              <w:tabs>
                <w:tab w:val="decimal" w:pos="802"/>
              </w:tabs>
              <w:spacing w:before="60" w:after="60"/>
            </w:pPr>
            <w:r>
              <w:t>20.0</w:t>
            </w:r>
          </w:p>
        </w:tc>
        <w:tc>
          <w:tcPr>
            <w:tcW w:w="1654" w:type="dxa"/>
          </w:tcPr>
          <w:p w14:paraId="3871695D" w14:textId="23326BAB" w:rsidR="00C966AF" w:rsidRDefault="00DF00C5" w:rsidP="00455437">
            <w:pPr>
              <w:pStyle w:val="Table-Text"/>
              <w:keepNext/>
              <w:keepLines/>
              <w:tabs>
                <w:tab w:val="decimal" w:pos="802"/>
              </w:tabs>
              <w:spacing w:before="60" w:after="60"/>
            </w:pPr>
            <w:r>
              <w:t>0.0</w:t>
            </w:r>
          </w:p>
        </w:tc>
      </w:tr>
      <w:tr w:rsidR="00C966AF" w:rsidRPr="00363CF9" w14:paraId="236D187E" w14:textId="71E3D598" w:rsidTr="00455437">
        <w:tc>
          <w:tcPr>
            <w:tcW w:w="2977" w:type="dxa"/>
          </w:tcPr>
          <w:p w14:paraId="76967F04" w14:textId="77777777" w:rsidR="00C966AF" w:rsidRPr="00072DC1" w:rsidRDefault="00C966AF" w:rsidP="00455437">
            <w:pPr>
              <w:pStyle w:val="Table-Text"/>
              <w:keepNext/>
              <w:keepLines/>
              <w:spacing w:before="60" w:after="60"/>
              <w:rPr>
                <w:rStyle w:val="Strong"/>
              </w:rPr>
            </w:pPr>
            <w:r w:rsidRPr="00072DC1">
              <w:rPr>
                <w:rStyle w:val="Strong"/>
              </w:rPr>
              <w:t>Finland</w:t>
            </w:r>
          </w:p>
        </w:tc>
        <w:tc>
          <w:tcPr>
            <w:tcW w:w="1653" w:type="dxa"/>
          </w:tcPr>
          <w:p w14:paraId="04312D33" w14:textId="7D9D274A" w:rsidR="00C966AF" w:rsidRPr="00363CF9" w:rsidRDefault="00C966AF" w:rsidP="00455437">
            <w:pPr>
              <w:pStyle w:val="Table-Text"/>
              <w:keepNext/>
              <w:keepLines/>
              <w:tabs>
                <w:tab w:val="decimal" w:pos="802"/>
              </w:tabs>
              <w:spacing w:before="60" w:after="60"/>
            </w:pPr>
            <w:r>
              <w:t>20.0</w:t>
            </w:r>
          </w:p>
        </w:tc>
        <w:tc>
          <w:tcPr>
            <w:tcW w:w="1654" w:type="dxa"/>
          </w:tcPr>
          <w:p w14:paraId="6D9FB845" w14:textId="68D9271B" w:rsidR="00C966AF" w:rsidRPr="00363CF9" w:rsidRDefault="00C966AF" w:rsidP="00455437">
            <w:pPr>
              <w:pStyle w:val="Table-Text"/>
              <w:keepNext/>
              <w:keepLines/>
              <w:tabs>
                <w:tab w:val="decimal" w:pos="802"/>
              </w:tabs>
              <w:spacing w:before="60" w:after="60"/>
            </w:pPr>
            <w:r>
              <w:t>51.2</w:t>
            </w:r>
          </w:p>
        </w:tc>
        <w:tc>
          <w:tcPr>
            <w:tcW w:w="1654" w:type="dxa"/>
          </w:tcPr>
          <w:p w14:paraId="4C862CFE" w14:textId="478DC097" w:rsidR="00C966AF" w:rsidRDefault="00DF00C5" w:rsidP="00455437">
            <w:pPr>
              <w:pStyle w:val="Table-Text"/>
              <w:keepNext/>
              <w:keepLines/>
              <w:tabs>
                <w:tab w:val="decimal" w:pos="802"/>
              </w:tabs>
              <w:spacing w:before="60" w:after="60"/>
            </w:pPr>
            <w:r>
              <w:t>31.2</w:t>
            </w:r>
          </w:p>
        </w:tc>
      </w:tr>
      <w:tr w:rsidR="00C966AF" w:rsidRPr="00363CF9" w14:paraId="5AC8BB8E" w14:textId="5278E104" w:rsidTr="00455437">
        <w:tc>
          <w:tcPr>
            <w:tcW w:w="2977" w:type="dxa"/>
          </w:tcPr>
          <w:p w14:paraId="2B516321" w14:textId="77777777" w:rsidR="00C966AF" w:rsidRPr="00072DC1" w:rsidRDefault="00C966AF" w:rsidP="00455437">
            <w:pPr>
              <w:pStyle w:val="Table-Text"/>
              <w:keepNext/>
              <w:keepLines/>
              <w:spacing w:before="60" w:after="60"/>
              <w:rPr>
                <w:rStyle w:val="Strong"/>
              </w:rPr>
            </w:pPr>
            <w:r w:rsidRPr="00072DC1">
              <w:rPr>
                <w:rStyle w:val="Strong"/>
              </w:rPr>
              <w:t>France</w:t>
            </w:r>
          </w:p>
        </w:tc>
        <w:tc>
          <w:tcPr>
            <w:tcW w:w="1653" w:type="dxa"/>
          </w:tcPr>
          <w:p w14:paraId="02F458BA" w14:textId="76173EE5" w:rsidR="00C966AF" w:rsidRPr="00363CF9" w:rsidRDefault="00C966AF" w:rsidP="00455437">
            <w:pPr>
              <w:pStyle w:val="Table-Text"/>
              <w:keepNext/>
              <w:keepLines/>
              <w:tabs>
                <w:tab w:val="decimal" w:pos="802"/>
              </w:tabs>
              <w:spacing w:before="60" w:after="60"/>
            </w:pPr>
            <w:r>
              <w:t>32.0</w:t>
            </w:r>
          </w:p>
        </w:tc>
        <w:tc>
          <w:tcPr>
            <w:tcW w:w="1654" w:type="dxa"/>
          </w:tcPr>
          <w:p w14:paraId="72FC795C" w14:textId="48C27312" w:rsidR="00C966AF" w:rsidRPr="00363CF9" w:rsidRDefault="00C966AF" w:rsidP="00455437">
            <w:pPr>
              <w:pStyle w:val="Table-Text"/>
              <w:keepNext/>
              <w:keepLines/>
              <w:tabs>
                <w:tab w:val="decimal" w:pos="802"/>
              </w:tabs>
              <w:spacing w:before="60" w:after="60"/>
            </w:pPr>
            <w:r>
              <w:t>55.4</w:t>
            </w:r>
          </w:p>
        </w:tc>
        <w:tc>
          <w:tcPr>
            <w:tcW w:w="1654" w:type="dxa"/>
          </w:tcPr>
          <w:p w14:paraId="025D4101" w14:textId="1C58EE77" w:rsidR="00C966AF" w:rsidRDefault="00DF00C5" w:rsidP="00455437">
            <w:pPr>
              <w:pStyle w:val="Table-Text"/>
              <w:keepNext/>
              <w:keepLines/>
              <w:tabs>
                <w:tab w:val="decimal" w:pos="802"/>
              </w:tabs>
              <w:spacing w:before="60" w:after="60"/>
            </w:pPr>
            <w:r>
              <w:t>23.4</w:t>
            </w:r>
          </w:p>
        </w:tc>
      </w:tr>
      <w:tr w:rsidR="00C966AF" w:rsidRPr="00363CF9" w14:paraId="12241BB7" w14:textId="4E938214" w:rsidTr="00455437">
        <w:tc>
          <w:tcPr>
            <w:tcW w:w="2977" w:type="dxa"/>
          </w:tcPr>
          <w:p w14:paraId="61D00E2D" w14:textId="77777777" w:rsidR="00C966AF" w:rsidRPr="00072DC1" w:rsidRDefault="00C966AF" w:rsidP="00455437">
            <w:pPr>
              <w:pStyle w:val="Table-Text"/>
              <w:keepNext/>
              <w:keepLines/>
              <w:spacing w:before="60" w:after="60"/>
              <w:rPr>
                <w:rStyle w:val="Strong"/>
              </w:rPr>
            </w:pPr>
            <w:r w:rsidRPr="00072DC1">
              <w:rPr>
                <w:rStyle w:val="Strong"/>
              </w:rPr>
              <w:t>Germany</w:t>
            </w:r>
          </w:p>
        </w:tc>
        <w:tc>
          <w:tcPr>
            <w:tcW w:w="1653" w:type="dxa"/>
          </w:tcPr>
          <w:p w14:paraId="74BCE5A7" w14:textId="3543CF6A" w:rsidR="00C966AF" w:rsidRPr="00363CF9" w:rsidRDefault="00C966AF" w:rsidP="00455437">
            <w:pPr>
              <w:pStyle w:val="Table-Text"/>
              <w:keepNext/>
              <w:keepLines/>
              <w:tabs>
                <w:tab w:val="decimal" w:pos="802"/>
              </w:tabs>
              <w:spacing w:before="60" w:after="60"/>
            </w:pPr>
            <w:r>
              <w:t>29.9</w:t>
            </w:r>
          </w:p>
        </w:tc>
        <w:tc>
          <w:tcPr>
            <w:tcW w:w="1654" w:type="dxa"/>
          </w:tcPr>
          <w:p w14:paraId="0DC3230B" w14:textId="141801E2" w:rsidR="00C966AF" w:rsidRPr="00363CF9" w:rsidRDefault="00C966AF" w:rsidP="00455437">
            <w:pPr>
              <w:pStyle w:val="Table-Text"/>
              <w:keepNext/>
              <w:keepLines/>
              <w:tabs>
                <w:tab w:val="decimal" w:pos="802"/>
              </w:tabs>
              <w:spacing w:before="60" w:after="60"/>
            </w:pPr>
            <w:r>
              <w:t>47.5</w:t>
            </w:r>
          </w:p>
        </w:tc>
        <w:tc>
          <w:tcPr>
            <w:tcW w:w="1654" w:type="dxa"/>
          </w:tcPr>
          <w:p w14:paraId="0BF21462" w14:textId="282AAD82" w:rsidR="00C966AF" w:rsidRDefault="00DF00C5" w:rsidP="00455437">
            <w:pPr>
              <w:pStyle w:val="Table-Text"/>
              <w:keepNext/>
              <w:keepLines/>
              <w:tabs>
                <w:tab w:val="decimal" w:pos="802"/>
              </w:tabs>
              <w:spacing w:before="60" w:after="60"/>
            </w:pPr>
            <w:r>
              <w:t>17.6</w:t>
            </w:r>
          </w:p>
        </w:tc>
      </w:tr>
      <w:tr w:rsidR="00C966AF" w:rsidRPr="00363CF9" w14:paraId="4EB68DA3" w14:textId="6104B948" w:rsidTr="00455437">
        <w:tc>
          <w:tcPr>
            <w:tcW w:w="2977" w:type="dxa"/>
          </w:tcPr>
          <w:p w14:paraId="0E47F03C" w14:textId="77777777" w:rsidR="00C966AF" w:rsidRPr="00072DC1" w:rsidRDefault="00C966AF" w:rsidP="00455437">
            <w:pPr>
              <w:pStyle w:val="Table-Text"/>
              <w:keepNext/>
              <w:keepLines/>
              <w:spacing w:before="60" w:after="60"/>
              <w:rPr>
                <w:rStyle w:val="Strong"/>
              </w:rPr>
            </w:pPr>
            <w:r w:rsidRPr="00072DC1">
              <w:rPr>
                <w:rStyle w:val="Strong"/>
              </w:rPr>
              <w:t>Greece</w:t>
            </w:r>
          </w:p>
        </w:tc>
        <w:tc>
          <w:tcPr>
            <w:tcW w:w="1653" w:type="dxa"/>
          </w:tcPr>
          <w:p w14:paraId="55F04096" w14:textId="44AE1A03" w:rsidR="00C966AF" w:rsidRPr="00363CF9" w:rsidRDefault="00C966AF" w:rsidP="00455437">
            <w:pPr>
              <w:pStyle w:val="Table-Text"/>
              <w:keepNext/>
              <w:keepLines/>
              <w:tabs>
                <w:tab w:val="decimal" w:pos="802"/>
              </w:tabs>
              <w:spacing w:before="60" w:after="60"/>
            </w:pPr>
            <w:r>
              <w:t>24.0</w:t>
            </w:r>
          </w:p>
        </w:tc>
        <w:tc>
          <w:tcPr>
            <w:tcW w:w="1654" w:type="dxa"/>
          </w:tcPr>
          <w:p w14:paraId="7CEA972D" w14:textId="34CDDDEC" w:rsidR="00C966AF" w:rsidRPr="00363CF9" w:rsidRDefault="00C966AF" w:rsidP="00455437">
            <w:pPr>
              <w:pStyle w:val="Table-Text"/>
              <w:keepNext/>
              <w:keepLines/>
              <w:tabs>
                <w:tab w:val="decimal" w:pos="802"/>
              </w:tabs>
              <w:spacing w:before="60" w:after="60"/>
            </w:pPr>
            <w:r>
              <w:t>54.0</w:t>
            </w:r>
          </w:p>
        </w:tc>
        <w:tc>
          <w:tcPr>
            <w:tcW w:w="1654" w:type="dxa"/>
          </w:tcPr>
          <w:p w14:paraId="0D44FC84" w14:textId="52276C30" w:rsidR="00C966AF" w:rsidRDefault="00DF00C5" w:rsidP="00455437">
            <w:pPr>
              <w:pStyle w:val="Table-Text"/>
              <w:keepNext/>
              <w:keepLines/>
              <w:tabs>
                <w:tab w:val="decimal" w:pos="802"/>
              </w:tabs>
              <w:spacing w:before="60" w:after="60"/>
            </w:pPr>
            <w:r>
              <w:t>30.0</w:t>
            </w:r>
          </w:p>
        </w:tc>
      </w:tr>
      <w:tr w:rsidR="00C966AF" w:rsidRPr="00363CF9" w14:paraId="1DBDAC10" w14:textId="2A980302" w:rsidTr="00455437">
        <w:tc>
          <w:tcPr>
            <w:tcW w:w="2977" w:type="dxa"/>
          </w:tcPr>
          <w:p w14:paraId="4C647C75" w14:textId="77777777" w:rsidR="00C966AF" w:rsidRPr="00072DC1" w:rsidRDefault="00C966AF" w:rsidP="00455437">
            <w:pPr>
              <w:pStyle w:val="Table-Text"/>
              <w:keepNext/>
              <w:keepLines/>
              <w:spacing w:before="60" w:after="60"/>
              <w:rPr>
                <w:rStyle w:val="Strong"/>
              </w:rPr>
            </w:pPr>
            <w:r w:rsidRPr="00072DC1">
              <w:rPr>
                <w:rStyle w:val="Strong"/>
              </w:rPr>
              <w:t>Hungary</w:t>
            </w:r>
          </w:p>
        </w:tc>
        <w:tc>
          <w:tcPr>
            <w:tcW w:w="1653" w:type="dxa"/>
          </w:tcPr>
          <w:p w14:paraId="4208FE23" w14:textId="13C2ABBF" w:rsidR="00C966AF" w:rsidRPr="00363CF9" w:rsidRDefault="00C966AF" w:rsidP="00455437">
            <w:pPr>
              <w:pStyle w:val="Table-Text"/>
              <w:keepNext/>
              <w:keepLines/>
              <w:tabs>
                <w:tab w:val="decimal" w:pos="802"/>
              </w:tabs>
              <w:spacing w:before="60" w:after="60"/>
            </w:pPr>
            <w:r>
              <w:t>9.0</w:t>
            </w:r>
          </w:p>
        </w:tc>
        <w:tc>
          <w:tcPr>
            <w:tcW w:w="1654" w:type="dxa"/>
          </w:tcPr>
          <w:p w14:paraId="6E0A5722" w14:textId="57CD1950" w:rsidR="00C966AF" w:rsidRPr="00363CF9" w:rsidRDefault="00C966AF" w:rsidP="00455437">
            <w:pPr>
              <w:pStyle w:val="Table-Text"/>
              <w:keepNext/>
              <w:keepLines/>
              <w:tabs>
                <w:tab w:val="decimal" w:pos="802"/>
              </w:tabs>
              <w:spacing w:before="60" w:after="60"/>
            </w:pPr>
            <w:r>
              <w:t>15.0</w:t>
            </w:r>
          </w:p>
        </w:tc>
        <w:tc>
          <w:tcPr>
            <w:tcW w:w="1654" w:type="dxa"/>
          </w:tcPr>
          <w:p w14:paraId="24B84044" w14:textId="7ED60B19" w:rsidR="00C966AF" w:rsidRDefault="00DF00C5" w:rsidP="00455437">
            <w:pPr>
              <w:pStyle w:val="Table-Text"/>
              <w:keepNext/>
              <w:keepLines/>
              <w:tabs>
                <w:tab w:val="decimal" w:pos="802"/>
              </w:tabs>
              <w:spacing w:before="60" w:after="60"/>
            </w:pPr>
            <w:r>
              <w:t>6.0</w:t>
            </w:r>
          </w:p>
        </w:tc>
      </w:tr>
      <w:tr w:rsidR="00C966AF" w:rsidRPr="00363CF9" w14:paraId="12FED8F2" w14:textId="4B8630B1" w:rsidTr="00455437">
        <w:tc>
          <w:tcPr>
            <w:tcW w:w="2977" w:type="dxa"/>
          </w:tcPr>
          <w:p w14:paraId="107EAD45" w14:textId="77777777" w:rsidR="00C966AF" w:rsidRPr="00072DC1" w:rsidRDefault="00C966AF" w:rsidP="00455437">
            <w:pPr>
              <w:pStyle w:val="Table-Text"/>
              <w:keepNext/>
              <w:keepLines/>
              <w:spacing w:before="60" w:after="60"/>
              <w:rPr>
                <w:rStyle w:val="Strong"/>
              </w:rPr>
            </w:pPr>
            <w:r w:rsidRPr="00072DC1">
              <w:rPr>
                <w:rStyle w:val="Strong"/>
              </w:rPr>
              <w:t>Iceland</w:t>
            </w:r>
          </w:p>
        </w:tc>
        <w:tc>
          <w:tcPr>
            <w:tcW w:w="1653" w:type="dxa"/>
          </w:tcPr>
          <w:p w14:paraId="16FC69DF" w14:textId="41E22FDC" w:rsidR="00C966AF" w:rsidRPr="00363CF9" w:rsidRDefault="00C966AF" w:rsidP="00455437">
            <w:pPr>
              <w:pStyle w:val="Table-Text"/>
              <w:keepNext/>
              <w:keepLines/>
              <w:tabs>
                <w:tab w:val="decimal" w:pos="802"/>
              </w:tabs>
              <w:spacing w:before="60" w:after="60"/>
            </w:pPr>
            <w:r>
              <w:t>20.0</w:t>
            </w:r>
          </w:p>
        </w:tc>
        <w:tc>
          <w:tcPr>
            <w:tcW w:w="1654" w:type="dxa"/>
          </w:tcPr>
          <w:p w14:paraId="6C765745" w14:textId="40060E4C" w:rsidR="00C966AF" w:rsidRPr="00363CF9" w:rsidRDefault="00C966AF" w:rsidP="00455437">
            <w:pPr>
              <w:pStyle w:val="Table-Text"/>
              <w:keepNext/>
              <w:keepLines/>
              <w:tabs>
                <w:tab w:val="decimal" w:pos="802"/>
              </w:tabs>
              <w:spacing w:before="60" w:after="60"/>
            </w:pPr>
            <w:r>
              <w:t>46.2</w:t>
            </w:r>
          </w:p>
        </w:tc>
        <w:tc>
          <w:tcPr>
            <w:tcW w:w="1654" w:type="dxa"/>
          </w:tcPr>
          <w:p w14:paraId="7606D4C8" w14:textId="03FF29B1" w:rsidR="00C966AF" w:rsidRDefault="00DF00C5" w:rsidP="00455437">
            <w:pPr>
              <w:pStyle w:val="Table-Text"/>
              <w:keepNext/>
              <w:keepLines/>
              <w:tabs>
                <w:tab w:val="decimal" w:pos="802"/>
              </w:tabs>
              <w:spacing w:before="60" w:after="60"/>
            </w:pPr>
            <w:r>
              <w:t>26.2</w:t>
            </w:r>
          </w:p>
        </w:tc>
      </w:tr>
      <w:tr w:rsidR="00C966AF" w:rsidRPr="00363CF9" w14:paraId="304930B1" w14:textId="7F1DFEBA" w:rsidTr="00455437">
        <w:tc>
          <w:tcPr>
            <w:tcW w:w="2977" w:type="dxa"/>
          </w:tcPr>
          <w:p w14:paraId="55D57E86" w14:textId="77777777" w:rsidR="00C966AF" w:rsidRPr="00072DC1" w:rsidRDefault="00C966AF" w:rsidP="00455437">
            <w:pPr>
              <w:pStyle w:val="Table-Text"/>
              <w:keepNext/>
              <w:keepLines/>
              <w:spacing w:before="60" w:after="60"/>
              <w:rPr>
                <w:rStyle w:val="Strong"/>
              </w:rPr>
            </w:pPr>
            <w:r w:rsidRPr="00072DC1">
              <w:rPr>
                <w:rStyle w:val="Strong"/>
              </w:rPr>
              <w:t>Ireland</w:t>
            </w:r>
          </w:p>
        </w:tc>
        <w:tc>
          <w:tcPr>
            <w:tcW w:w="1653" w:type="dxa"/>
          </w:tcPr>
          <w:p w14:paraId="38D17672" w14:textId="607F72EF" w:rsidR="00C966AF" w:rsidRPr="00363CF9" w:rsidRDefault="00C966AF" w:rsidP="00455437">
            <w:pPr>
              <w:pStyle w:val="Table-Text"/>
              <w:keepNext/>
              <w:keepLines/>
              <w:tabs>
                <w:tab w:val="decimal" w:pos="802"/>
              </w:tabs>
              <w:spacing w:before="60" w:after="60"/>
            </w:pPr>
            <w:r>
              <w:t>12.5</w:t>
            </w:r>
          </w:p>
        </w:tc>
        <w:tc>
          <w:tcPr>
            <w:tcW w:w="1654" w:type="dxa"/>
          </w:tcPr>
          <w:p w14:paraId="56B9C862" w14:textId="4F4EB4F0" w:rsidR="00C966AF" w:rsidRPr="00363CF9" w:rsidRDefault="00C966AF" w:rsidP="00455437">
            <w:pPr>
              <w:pStyle w:val="Table-Text"/>
              <w:keepNext/>
              <w:keepLines/>
              <w:tabs>
                <w:tab w:val="decimal" w:pos="802"/>
              </w:tabs>
              <w:spacing w:before="60" w:after="60"/>
            </w:pPr>
            <w:r>
              <w:t>48.0</w:t>
            </w:r>
          </w:p>
        </w:tc>
        <w:tc>
          <w:tcPr>
            <w:tcW w:w="1654" w:type="dxa"/>
          </w:tcPr>
          <w:p w14:paraId="3CC2325C" w14:textId="579237B9" w:rsidR="00C966AF" w:rsidRDefault="00DF00C5" w:rsidP="00455437">
            <w:pPr>
              <w:pStyle w:val="Table-Text"/>
              <w:keepNext/>
              <w:keepLines/>
              <w:tabs>
                <w:tab w:val="decimal" w:pos="802"/>
              </w:tabs>
              <w:spacing w:before="60" w:after="60"/>
            </w:pPr>
            <w:r>
              <w:t>35.5</w:t>
            </w:r>
          </w:p>
        </w:tc>
      </w:tr>
      <w:tr w:rsidR="00C966AF" w:rsidRPr="00363CF9" w14:paraId="588FCA9D" w14:textId="0112D8F4" w:rsidTr="00455437">
        <w:tc>
          <w:tcPr>
            <w:tcW w:w="2977" w:type="dxa"/>
          </w:tcPr>
          <w:p w14:paraId="02DDCF05" w14:textId="77777777" w:rsidR="00C966AF" w:rsidRPr="00072DC1" w:rsidRDefault="00C966AF" w:rsidP="00455437">
            <w:pPr>
              <w:pStyle w:val="Table-Text"/>
              <w:keepNext/>
              <w:keepLines/>
              <w:spacing w:before="60" w:after="60"/>
              <w:rPr>
                <w:rStyle w:val="Strong"/>
              </w:rPr>
            </w:pPr>
            <w:r w:rsidRPr="00072DC1">
              <w:rPr>
                <w:rStyle w:val="Strong"/>
              </w:rPr>
              <w:t>Israel</w:t>
            </w:r>
          </w:p>
        </w:tc>
        <w:tc>
          <w:tcPr>
            <w:tcW w:w="1653" w:type="dxa"/>
          </w:tcPr>
          <w:p w14:paraId="6C5480CB" w14:textId="0F5B769B" w:rsidR="00C966AF" w:rsidRPr="00363CF9" w:rsidRDefault="00C966AF" w:rsidP="00455437">
            <w:pPr>
              <w:pStyle w:val="Table-Text"/>
              <w:keepNext/>
              <w:keepLines/>
              <w:tabs>
                <w:tab w:val="decimal" w:pos="802"/>
              </w:tabs>
              <w:spacing w:before="60" w:after="60"/>
            </w:pPr>
            <w:r>
              <w:t>23.0</w:t>
            </w:r>
          </w:p>
        </w:tc>
        <w:tc>
          <w:tcPr>
            <w:tcW w:w="1654" w:type="dxa"/>
          </w:tcPr>
          <w:p w14:paraId="00DDD061" w14:textId="3D82AC71" w:rsidR="00C966AF" w:rsidRPr="00363CF9" w:rsidRDefault="00C966AF" w:rsidP="00455437">
            <w:pPr>
              <w:pStyle w:val="Table-Text"/>
              <w:keepNext/>
              <w:keepLines/>
              <w:tabs>
                <w:tab w:val="decimal" w:pos="802"/>
              </w:tabs>
              <w:spacing w:before="60" w:after="60"/>
            </w:pPr>
            <w:r>
              <w:t>50.0</w:t>
            </w:r>
          </w:p>
        </w:tc>
        <w:tc>
          <w:tcPr>
            <w:tcW w:w="1654" w:type="dxa"/>
          </w:tcPr>
          <w:p w14:paraId="4B19C0D6" w14:textId="4D88B178" w:rsidR="00C966AF" w:rsidRDefault="00DF00C5" w:rsidP="00455437">
            <w:pPr>
              <w:pStyle w:val="Table-Text"/>
              <w:keepNext/>
              <w:keepLines/>
              <w:tabs>
                <w:tab w:val="decimal" w:pos="802"/>
              </w:tabs>
              <w:spacing w:before="60" w:after="60"/>
            </w:pPr>
            <w:r>
              <w:t>27.0</w:t>
            </w:r>
          </w:p>
        </w:tc>
      </w:tr>
      <w:tr w:rsidR="00C966AF" w:rsidRPr="00363CF9" w14:paraId="527F91CA" w14:textId="3607B46D" w:rsidTr="00455437">
        <w:tc>
          <w:tcPr>
            <w:tcW w:w="2977" w:type="dxa"/>
          </w:tcPr>
          <w:p w14:paraId="1F5CDDC7" w14:textId="77777777" w:rsidR="00C966AF" w:rsidRPr="00072DC1" w:rsidRDefault="00C966AF" w:rsidP="00455437">
            <w:pPr>
              <w:pStyle w:val="Table-Text"/>
              <w:keepNext/>
              <w:keepLines/>
              <w:spacing w:before="60" w:after="60"/>
              <w:rPr>
                <w:rStyle w:val="Strong"/>
              </w:rPr>
            </w:pPr>
            <w:r w:rsidRPr="00072DC1">
              <w:rPr>
                <w:rStyle w:val="Strong"/>
              </w:rPr>
              <w:t>Italy</w:t>
            </w:r>
          </w:p>
        </w:tc>
        <w:tc>
          <w:tcPr>
            <w:tcW w:w="1653" w:type="dxa"/>
          </w:tcPr>
          <w:p w14:paraId="2F11A0CF" w14:textId="0D75EA32" w:rsidR="00C966AF" w:rsidRPr="00363CF9" w:rsidRDefault="00C966AF" w:rsidP="00455437">
            <w:pPr>
              <w:pStyle w:val="Table-Text"/>
              <w:keepNext/>
              <w:keepLines/>
              <w:tabs>
                <w:tab w:val="decimal" w:pos="802"/>
              </w:tabs>
              <w:spacing w:before="60" w:after="60"/>
            </w:pPr>
            <w:r>
              <w:t>27.8</w:t>
            </w:r>
          </w:p>
        </w:tc>
        <w:tc>
          <w:tcPr>
            <w:tcW w:w="1654" w:type="dxa"/>
          </w:tcPr>
          <w:p w14:paraId="5252EDF4" w14:textId="6552C9A4" w:rsidR="00C966AF" w:rsidRPr="00363CF9" w:rsidRDefault="00C966AF" w:rsidP="00455437">
            <w:pPr>
              <w:pStyle w:val="Table-Text"/>
              <w:keepNext/>
              <w:keepLines/>
              <w:tabs>
                <w:tab w:val="decimal" w:pos="802"/>
              </w:tabs>
              <w:spacing w:before="60" w:after="60"/>
            </w:pPr>
            <w:r>
              <w:t>47.2</w:t>
            </w:r>
          </w:p>
        </w:tc>
        <w:tc>
          <w:tcPr>
            <w:tcW w:w="1654" w:type="dxa"/>
          </w:tcPr>
          <w:p w14:paraId="60A18101" w14:textId="43863336" w:rsidR="00C966AF" w:rsidRDefault="00DF00C5" w:rsidP="00455437">
            <w:pPr>
              <w:pStyle w:val="Table-Text"/>
              <w:keepNext/>
              <w:keepLines/>
              <w:tabs>
                <w:tab w:val="decimal" w:pos="802"/>
              </w:tabs>
              <w:spacing w:before="60" w:after="60"/>
            </w:pPr>
            <w:r>
              <w:t>19.4</w:t>
            </w:r>
          </w:p>
        </w:tc>
      </w:tr>
      <w:tr w:rsidR="00C966AF" w:rsidRPr="00363CF9" w14:paraId="360440B6" w14:textId="2EDEE12D" w:rsidTr="00455437">
        <w:tc>
          <w:tcPr>
            <w:tcW w:w="2977" w:type="dxa"/>
          </w:tcPr>
          <w:p w14:paraId="0308DEA9" w14:textId="77777777" w:rsidR="00C966AF" w:rsidRPr="00072DC1" w:rsidRDefault="00C966AF" w:rsidP="00455437">
            <w:pPr>
              <w:pStyle w:val="Table-Text"/>
              <w:keepNext/>
              <w:keepLines/>
              <w:spacing w:before="60" w:after="60"/>
              <w:rPr>
                <w:rStyle w:val="Strong"/>
              </w:rPr>
            </w:pPr>
            <w:r w:rsidRPr="00072DC1">
              <w:rPr>
                <w:rStyle w:val="Strong"/>
              </w:rPr>
              <w:t>Japan</w:t>
            </w:r>
          </w:p>
        </w:tc>
        <w:tc>
          <w:tcPr>
            <w:tcW w:w="1653" w:type="dxa"/>
          </w:tcPr>
          <w:p w14:paraId="37201B64" w14:textId="6773C8A8" w:rsidR="00C966AF" w:rsidRPr="00363CF9" w:rsidRDefault="00C966AF" w:rsidP="00455437">
            <w:pPr>
              <w:pStyle w:val="Table-Text"/>
              <w:keepNext/>
              <w:keepLines/>
              <w:tabs>
                <w:tab w:val="decimal" w:pos="802"/>
              </w:tabs>
              <w:spacing w:before="60" w:after="60"/>
            </w:pPr>
            <w:r>
              <w:t>29.7</w:t>
            </w:r>
          </w:p>
        </w:tc>
        <w:tc>
          <w:tcPr>
            <w:tcW w:w="1654" w:type="dxa"/>
          </w:tcPr>
          <w:p w14:paraId="65C79DF9" w14:textId="1DB2D636" w:rsidR="00C966AF" w:rsidRPr="00363CF9" w:rsidRDefault="00C966AF" w:rsidP="00455437">
            <w:pPr>
              <w:pStyle w:val="Table-Text"/>
              <w:keepNext/>
              <w:keepLines/>
              <w:tabs>
                <w:tab w:val="decimal" w:pos="802"/>
              </w:tabs>
              <w:spacing w:before="60" w:after="60"/>
            </w:pPr>
            <w:r>
              <w:t>55.9</w:t>
            </w:r>
          </w:p>
        </w:tc>
        <w:tc>
          <w:tcPr>
            <w:tcW w:w="1654" w:type="dxa"/>
          </w:tcPr>
          <w:p w14:paraId="37713EB6" w14:textId="14B3E5F8" w:rsidR="00C966AF" w:rsidRDefault="00DF00C5" w:rsidP="00455437">
            <w:pPr>
              <w:pStyle w:val="Table-Text"/>
              <w:keepNext/>
              <w:keepLines/>
              <w:tabs>
                <w:tab w:val="decimal" w:pos="802"/>
              </w:tabs>
              <w:spacing w:before="60" w:after="60"/>
            </w:pPr>
            <w:r>
              <w:t>26.2</w:t>
            </w:r>
          </w:p>
        </w:tc>
      </w:tr>
      <w:tr w:rsidR="00C966AF" w:rsidRPr="00363CF9" w14:paraId="3314B51C" w14:textId="0E7F8AE9" w:rsidTr="00455437">
        <w:tc>
          <w:tcPr>
            <w:tcW w:w="2977" w:type="dxa"/>
          </w:tcPr>
          <w:p w14:paraId="5C334521" w14:textId="77777777" w:rsidR="00C966AF" w:rsidRPr="00072DC1" w:rsidRDefault="00C966AF" w:rsidP="00455437">
            <w:pPr>
              <w:pStyle w:val="Table-Text"/>
              <w:keepNext/>
              <w:keepLines/>
              <w:spacing w:before="60" w:after="60"/>
              <w:rPr>
                <w:rStyle w:val="Strong"/>
              </w:rPr>
            </w:pPr>
            <w:r w:rsidRPr="00072DC1">
              <w:rPr>
                <w:rStyle w:val="Strong"/>
              </w:rPr>
              <w:t>Korea</w:t>
            </w:r>
          </w:p>
        </w:tc>
        <w:tc>
          <w:tcPr>
            <w:tcW w:w="1653" w:type="dxa"/>
          </w:tcPr>
          <w:p w14:paraId="0457D509" w14:textId="03C8075B" w:rsidR="00C966AF" w:rsidRPr="00363CF9" w:rsidRDefault="00C966AF" w:rsidP="00455437">
            <w:pPr>
              <w:pStyle w:val="Table-Text"/>
              <w:keepNext/>
              <w:keepLines/>
              <w:tabs>
                <w:tab w:val="decimal" w:pos="802"/>
              </w:tabs>
              <w:spacing w:before="60" w:after="60"/>
            </w:pPr>
            <w:r>
              <w:t>27.5</w:t>
            </w:r>
          </w:p>
        </w:tc>
        <w:tc>
          <w:tcPr>
            <w:tcW w:w="1654" w:type="dxa"/>
          </w:tcPr>
          <w:p w14:paraId="389479E2" w14:textId="39019532" w:rsidR="00C966AF" w:rsidRPr="00363CF9" w:rsidRDefault="00C966AF" w:rsidP="00455437">
            <w:pPr>
              <w:pStyle w:val="Table-Text"/>
              <w:keepNext/>
              <w:keepLines/>
              <w:tabs>
                <w:tab w:val="decimal" w:pos="802"/>
              </w:tabs>
              <w:spacing w:before="60" w:after="60"/>
            </w:pPr>
            <w:r>
              <w:t>46.2</w:t>
            </w:r>
          </w:p>
        </w:tc>
        <w:tc>
          <w:tcPr>
            <w:tcW w:w="1654" w:type="dxa"/>
          </w:tcPr>
          <w:p w14:paraId="4E00C85D" w14:textId="7FE65649" w:rsidR="00C966AF" w:rsidRDefault="00DF00C5" w:rsidP="00455437">
            <w:pPr>
              <w:pStyle w:val="Table-Text"/>
              <w:keepNext/>
              <w:keepLines/>
              <w:tabs>
                <w:tab w:val="decimal" w:pos="802"/>
              </w:tabs>
              <w:spacing w:before="60" w:after="60"/>
            </w:pPr>
            <w:r>
              <w:t>18.7</w:t>
            </w:r>
          </w:p>
        </w:tc>
      </w:tr>
      <w:tr w:rsidR="00C966AF" w:rsidRPr="00363CF9" w14:paraId="27D43B33" w14:textId="2AA0AA83" w:rsidTr="00455437">
        <w:tc>
          <w:tcPr>
            <w:tcW w:w="2977" w:type="dxa"/>
          </w:tcPr>
          <w:p w14:paraId="6F6784EA" w14:textId="311BAC79" w:rsidR="00C966AF" w:rsidRPr="00072DC1" w:rsidRDefault="00C966AF" w:rsidP="00455437">
            <w:pPr>
              <w:pStyle w:val="Table-Text"/>
              <w:keepNext/>
              <w:keepLines/>
              <w:spacing w:before="60" w:after="60"/>
              <w:rPr>
                <w:rStyle w:val="Strong"/>
              </w:rPr>
            </w:pPr>
            <w:r w:rsidRPr="00072DC1">
              <w:rPr>
                <w:rStyle w:val="Strong"/>
              </w:rPr>
              <w:t>Latvia</w:t>
            </w:r>
          </w:p>
        </w:tc>
        <w:tc>
          <w:tcPr>
            <w:tcW w:w="1653" w:type="dxa"/>
          </w:tcPr>
          <w:p w14:paraId="7BBFE453" w14:textId="68B913BE" w:rsidR="00C966AF" w:rsidRPr="00363CF9" w:rsidRDefault="00C966AF" w:rsidP="00455437">
            <w:pPr>
              <w:pStyle w:val="Table-Text"/>
              <w:keepNext/>
              <w:keepLines/>
              <w:tabs>
                <w:tab w:val="decimal" w:pos="802"/>
              </w:tabs>
              <w:spacing w:before="60" w:after="60"/>
            </w:pPr>
            <w:r>
              <w:t>20.0</w:t>
            </w:r>
          </w:p>
        </w:tc>
        <w:tc>
          <w:tcPr>
            <w:tcW w:w="1654" w:type="dxa"/>
          </w:tcPr>
          <w:p w14:paraId="0BA72F74" w14:textId="22E64A70" w:rsidR="00C966AF" w:rsidRPr="00363CF9" w:rsidRDefault="00C966AF" w:rsidP="00455437">
            <w:pPr>
              <w:pStyle w:val="Table-Text"/>
              <w:keepNext/>
              <w:keepLines/>
              <w:tabs>
                <w:tab w:val="decimal" w:pos="802"/>
              </w:tabs>
              <w:spacing w:before="60" w:after="60"/>
            </w:pPr>
            <w:r>
              <w:t>31.4</w:t>
            </w:r>
          </w:p>
        </w:tc>
        <w:tc>
          <w:tcPr>
            <w:tcW w:w="1654" w:type="dxa"/>
          </w:tcPr>
          <w:p w14:paraId="70BA2BBE" w14:textId="4F8ACBFE" w:rsidR="00C966AF" w:rsidRDefault="00DF00C5" w:rsidP="00455437">
            <w:pPr>
              <w:pStyle w:val="Table-Text"/>
              <w:keepNext/>
              <w:keepLines/>
              <w:tabs>
                <w:tab w:val="decimal" w:pos="802"/>
              </w:tabs>
              <w:spacing w:before="60" w:after="60"/>
            </w:pPr>
            <w:r>
              <w:t>11.4</w:t>
            </w:r>
          </w:p>
        </w:tc>
      </w:tr>
      <w:tr w:rsidR="00E1409A" w:rsidRPr="00363CF9" w14:paraId="14CC5A8E" w14:textId="77777777" w:rsidTr="00455437">
        <w:tc>
          <w:tcPr>
            <w:tcW w:w="2977" w:type="dxa"/>
          </w:tcPr>
          <w:p w14:paraId="32E84AD6" w14:textId="77777777" w:rsidR="00E1409A" w:rsidRPr="00072DC1" w:rsidRDefault="00E1409A" w:rsidP="00455437">
            <w:pPr>
              <w:pStyle w:val="Table-Text"/>
              <w:keepNext/>
              <w:keepLines/>
              <w:spacing w:before="60" w:after="60"/>
              <w:rPr>
                <w:rStyle w:val="Strong"/>
              </w:rPr>
            </w:pPr>
            <w:r w:rsidRPr="00072DC1">
              <w:rPr>
                <w:rStyle w:val="Strong"/>
              </w:rPr>
              <w:t>Lithuania</w:t>
            </w:r>
          </w:p>
        </w:tc>
        <w:tc>
          <w:tcPr>
            <w:tcW w:w="1653" w:type="dxa"/>
          </w:tcPr>
          <w:p w14:paraId="148BCEB5" w14:textId="77777777" w:rsidR="00E1409A" w:rsidRPr="00363CF9" w:rsidRDefault="00E1409A" w:rsidP="00455437">
            <w:pPr>
              <w:pStyle w:val="Table-Text"/>
              <w:keepNext/>
              <w:keepLines/>
              <w:tabs>
                <w:tab w:val="decimal" w:pos="802"/>
              </w:tabs>
              <w:spacing w:before="60" w:after="60"/>
            </w:pPr>
            <w:r>
              <w:t>15.0</w:t>
            </w:r>
          </w:p>
        </w:tc>
        <w:tc>
          <w:tcPr>
            <w:tcW w:w="1654" w:type="dxa"/>
          </w:tcPr>
          <w:p w14:paraId="5285BCDC" w14:textId="77777777" w:rsidR="00E1409A" w:rsidRPr="00363CF9" w:rsidRDefault="00E1409A" w:rsidP="00455437">
            <w:pPr>
              <w:pStyle w:val="Table-Text"/>
              <w:keepNext/>
              <w:keepLines/>
              <w:tabs>
                <w:tab w:val="decimal" w:pos="802"/>
              </w:tabs>
              <w:spacing w:before="60" w:after="60"/>
            </w:pPr>
            <w:r>
              <w:t>32.0</w:t>
            </w:r>
          </w:p>
        </w:tc>
        <w:tc>
          <w:tcPr>
            <w:tcW w:w="1654" w:type="dxa"/>
          </w:tcPr>
          <w:p w14:paraId="6FAB2C38" w14:textId="77777777" w:rsidR="00E1409A" w:rsidRDefault="00E1409A" w:rsidP="00455437">
            <w:pPr>
              <w:pStyle w:val="Table-Text"/>
              <w:keepNext/>
              <w:keepLines/>
              <w:tabs>
                <w:tab w:val="decimal" w:pos="802"/>
              </w:tabs>
              <w:spacing w:before="60" w:after="60"/>
            </w:pPr>
            <w:r>
              <w:t>17.0</w:t>
            </w:r>
          </w:p>
        </w:tc>
      </w:tr>
      <w:tr w:rsidR="00C966AF" w:rsidRPr="00363CF9" w14:paraId="672A6A12" w14:textId="312D1528" w:rsidTr="00455437">
        <w:tc>
          <w:tcPr>
            <w:tcW w:w="2977" w:type="dxa"/>
          </w:tcPr>
          <w:p w14:paraId="13EFE700" w14:textId="77777777" w:rsidR="00C966AF" w:rsidRPr="00072DC1" w:rsidRDefault="00C966AF" w:rsidP="00455437">
            <w:pPr>
              <w:pStyle w:val="Table-Text"/>
              <w:keepNext/>
              <w:keepLines/>
              <w:spacing w:before="60" w:after="60"/>
              <w:rPr>
                <w:rStyle w:val="Strong"/>
              </w:rPr>
            </w:pPr>
            <w:r w:rsidRPr="00072DC1">
              <w:rPr>
                <w:rStyle w:val="Strong"/>
              </w:rPr>
              <w:t>Luxembourg</w:t>
            </w:r>
          </w:p>
        </w:tc>
        <w:tc>
          <w:tcPr>
            <w:tcW w:w="1653" w:type="dxa"/>
          </w:tcPr>
          <w:p w14:paraId="5AF68DDB" w14:textId="32AA32BC" w:rsidR="00C966AF" w:rsidRPr="00363CF9" w:rsidRDefault="00C966AF" w:rsidP="00455437">
            <w:pPr>
              <w:pStyle w:val="Table-Text"/>
              <w:keepNext/>
              <w:keepLines/>
              <w:tabs>
                <w:tab w:val="decimal" w:pos="802"/>
              </w:tabs>
              <w:spacing w:before="60" w:after="60"/>
            </w:pPr>
            <w:r>
              <w:t>24.9</w:t>
            </w:r>
          </w:p>
        </w:tc>
        <w:tc>
          <w:tcPr>
            <w:tcW w:w="1654" w:type="dxa"/>
          </w:tcPr>
          <w:p w14:paraId="3FACE718" w14:textId="46E7ACD7" w:rsidR="00C966AF" w:rsidRPr="00363CF9" w:rsidRDefault="00C966AF" w:rsidP="00455437">
            <w:pPr>
              <w:pStyle w:val="Table-Text"/>
              <w:keepNext/>
              <w:keepLines/>
              <w:tabs>
                <w:tab w:val="decimal" w:pos="802"/>
              </w:tabs>
              <w:spacing w:before="60" w:after="60"/>
            </w:pPr>
            <w:r>
              <w:t>45.8</w:t>
            </w:r>
          </w:p>
        </w:tc>
        <w:tc>
          <w:tcPr>
            <w:tcW w:w="1654" w:type="dxa"/>
          </w:tcPr>
          <w:p w14:paraId="29916032" w14:textId="657E0EFB" w:rsidR="00C966AF" w:rsidRDefault="00DF00C5" w:rsidP="00455437">
            <w:pPr>
              <w:pStyle w:val="Table-Text"/>
              <w:keepNext/>
              <w:keepLines/>
              <w:tabs>
                <w:tab w:val="decimal" w:pos="802"/>
              </w:tabs>
              <w:spacing w:before="60" w:after="60"/>
            </w:pPr>
            <w:r>
              <w:t>20.9</w:t>
            </w:r>
          </w:p>
        </w:tc>
      </w:tr>
      <w:tr w:rsidR="00C966AF" w:rsidRPr="00363CF9" w14:paraId="3C397784" w14:textId="49242EA3" w:rsidTr="00455437">
        <w:tc>
          <w:tcPr>
            <w:tcW w:w="2977" w:type="dxa"/>
          </w:tcPr>
          <w:p w14:paraId="61341306" w14:textId="77777777" w:rsidR="00C966AF" w:rsidRPr="00072DC1" w:rsidRDefault="00C966AF" w:rsidP="00455437">
            <w:pPr>
              <w:pStyle w:val="Table-Text"/>
              <w:keepNext/>
              <w:keepLines/>
              <w:spacing w:before="60" w:after="60"/>
              <w:rPr>
                <w:rStyle w:val="Strong"/>
              </w:rPr>
            </w:pPr>
            <w:r w:rsidRPr="00072DC1">
              <w:rPr>
                <w:rStyle w:val="Strong"/>
              </w:rPr>
              <w:t>Mexico</w:t>
            </w:r>
          </w:p>
        </w:tc>
        <w:tc>
          <w:tcPr>
            <w:tcW w:w="1653" w:type="dxa"/>
          </w:tcPr>
          <w:p w14:paraId="4AF12B98" w14:textId="6FDCD120" w:rsidR="00C966AF" w:rsidRPr="00363CF9" w:rsidRDefault="00C966AF" w:rsidP="00455437">
            <w:pPr>
              <w:pStyle w:val="Table-Text"/>
              <w:keepNext/>
              <w:keepLines/>
              <w:tabs>
                <w:tab w:val="decimal" w:pos="802"/>
              </w:tabs>
              <w:spacing w:before="60" w:after="60"/>
            </w:pPr>
            <w:r>
              <w:t>30.0</w:t>
            </w:r>
          </w:p>
        </w:tc>
        <w:tc>
          <w:tcPr>
            <w:tcW w:w="1654" w:type="dxa"/>
          </w:tcPr>
          <w:p w14:paraId="21224EE5" w14:textId="001355BF" w:rsidR="00C966AF" w:rsidRPr="00363CF9" w:rsidRDefault="00C966AF" w:rsidP="00455437">
            <w:pPr>
              <w:pStyle w:val="Table-Text"/>
              <w:keepNext/>
              <w:keepLines/>
              <w:tabs>
                <w:tab w:val="decimal" w:pos="802"/>
              </w:tabs>
              <w:spacing w:before="60" w:after="60"/>
            </w:pPr>
            <w:r>
              <w:t>35.0</w:t>
            </w:r>
          </w:p>
        </w:tc>
        <w:tc>
          <w:tcPr>
            <w:tcW w:w="1654" w:type="dxa"/>
          </w:tcPr>
          <w:p w14:paraId="0C1E0034" w14:textId="3DD8CD1B" w:rsidR="00C966AF" w:rsidRDefault="00DF00C5" w:rsidP="00455437">
            <w:pPr>
              <w:pStyle w:val="Table-Text"/>
              <w:keepNext/>
              <w:keepLines/>
              <w:tabs>
                <w:tab w:val="decimal" w:pos="802"/>
              </w:tabs>
              <w:spacing w:before="60" w:after="60"/>
            </w:pPr>
            <w:r>
              <w:t>5.0</w:t>
            </w:r>
          </w:p>
        </w:tc>
      </w:tr>
      <w:tr w:rsidR="00C966AF" w:rsidRPr="00363CF9" w14:paraId="07FAA757" w14:textId="75FA8E53" w:rsidTr="00455437">
        <w:tc>
          <w:tcPr>
            <w:tcW w:w="2977" w:type="dxa"/>
          </w:tcPr>
          <w:p w14:paraId="03AAD202" w14:textId="77777777" w:rsidR="00C966AF" w:rsidRPr="00072DC1" w:rsidRDefault="00C966AF" w:rsidP="00455437">
            <w:pPr>
              <w:pStyle w:val="Table-Text"/>
              <w:keepNext/>
              <w:keepLines/>
              <w:spacing w:before="60" w:after="60"/>
              <w:rPr>
                <w:rStyle w:val="Strong"/>
              </w:rPr>
            </w:pPr>
            <w:r w:rsidRPr="00072DC1">
              <w:rPr>
                <w:rStyle w:val="Strong"/>
              </w:rPr>
              <w:t>Netherlands</w:t>
            </w:r>
          </w:p>
        </w:tc>
        <w:tc>
          <w:tcPr>
            <w:tcW w:w="1653" w:type="dxa"/>
          </w:tcPr>
          <w:p w14:paraId="10C5AA22" w14:textId="7EAAE3DC" w:rsidR="00C966AF" w:rsidRPr="00363CF9" w:rsidRDefault="00C966AF" w:rsidP="00455437">
            <w:pPr>
              <w:pStyle w:val="Table-Text"/>
              <w:keepNext/>
              <w:keepLines/>
              <w:tabs>
                <w:tab w:val="decimal" w:pos="802"/>
              </w:tabs>
              <w:spacing w:before="60" w:after="60"/>
            </w:pPr>
            <w:r>
              <w:t>25.0</w:t>
            </w:r>
          </w:p>
        </w:tc>
        <w:tc>
          <w:tcPr>
            <w:tcW w:w="1654" w:type="dxa"/>
          </w:tcPr>
          <w:p w14:paraId="0A1CA535" w14:textId="50402826" w:rsidR="00C966AF" w:rsidRPr="00363CF9" w:rsidRDefault="00C966AF" w:rsidP="00455437">
            <w:pPr>
              <w:pStyle w:val="Table-Text"/>
              <w:keepNext/>
              <w:keepLines/>
              <w:tabs>
                <w:tab w:val="decimal" w:pos="802"/>
              </w:tabs>
              <w:spacing w:before="60" w:after="60"/>
            </w:pPr>
            <w:r>
              <w:t>49.5</w:t>
            </w:r>
          </w:p>
        </w:tc>
        <w:tc>
          <w:tcPr>
            <w:tcW w:w="1654" w:type="dxa"/>
          </w:tcPr>
          <w:p w14:paraId="2832F247" w14:textId="6EA9058F" w:rsidR="00C966AF" w:rsidRDefault="00DF00C5" w:rsidP="00455437">
            <w:pPr>
              <w:pStyle w:val="Table-Text"/>
              <w:keepNext/>
              <w:keepLines/>
              <w:tabs>
                <w:tab w:val="decimal" w:pos="802"/>
              </w:tabs>
              <w:spacing w:before="60" w:after="60"/>
            </w:pPr>
            <w:r>
              <w:t>24.5</w:t>
            </w:r>
          </w:p>
        </w:tc>
      </w:tr>
      <w:tr w:rsidR="00C966AF" w:rsidRPr="00363CF9" w14:paraId="261B1046" w14:textId="45854577" w:rsidTr="00455437">
        <w:tc>
          <w:tcPr>
            <w:tcW w:w="2977" w:type="dxa"/>
            <w:shd w:val="clear" w:color="auto" w:fill="auto"/>
          </w:tcPr>
          <w:p w14:paraId="35F27A37" w14:textId="77777777" w:rsidR="00C966AF" w:rsidRPr="00072DC1" w:rsidRDefault="00C966AF" w:rsidP="00455437">
            <w:pPr>
              <w:pStyle w:val="Table-Text"/>
              <w:keepNext/>
              <w:keepLines/>
              <w:spacing w:before="60" w:after="60"/>
              <w:rPr>
                <w:rStyle w:val="Strong"/>
              </w:rPr>
            </w:pPr>
            <w:r w:rsidRPr="00072DC1">
              <w:rPr>
                <w:rStyle w:val="Strong"/>
              </w:rPr>
              <w:t>New Zealand</w:t>
            </w:r>
          </w:p>
        </w:tc>
        <w:tc>
          <w:tcPr>
            <w:tcW w:w="1653" w:type="dxa"/>
            <w:shd w:val="clear" w:color="auto" w:fill="auto"/>
          </w:tcPr>
          <w:p w14:paraId="77E109AA" w14:textId="263EB6F8" w:rsidR="00C966AF" w:rsidRPr="00363CF9" w:rsidRDefault="00C966AF" w:rsidP="00455437">
            <w:pPr>
              <w:pStyle w:val="Table-Text"/>
              <w:keepNext/>
              <w:keepLines/>
              <w:tabs>
                <w:tab w:val="decimal" w:pos="802"/>
              </w:tabs>
              <w:spacing w:before="60" w:after="60"/>
            </w:pPr>
            <w:r>
              <w:t>28.0</w:t>
            </w:r>
          </w:p>
        </w:tc>
        <w:tc>
          <w:tcPr>
            <w:tcW w:w="1654" w:type="dxa"/>
            <w:shd w:val="clear" w:color="auto" w:fill="auto"/>
          </w:tcPr>
          <w:p w14:paraId="0F3CAF3A" w14:textId="3FEB4013" w:rsidR="00C966AF" w:rsidRPr="00363CF9" w:rsidRDefault="00DF00C5" w:rsidP="00455437">
            <w:pPr>
              <w:pStyle w:val="Table-Text"/>
              <w:keepNext/>
              <w:keepLines/>
              <w:tabs>
                <w:tab w:val="decimal" w:pos="802"/>
              </w:tabs>
              <w:spacing w:before="60" w:after="60"/>
            </w:pPr>
            <w:r>
              <w:t>33.0</w:t>
            </w:r>
          </w:p>
        </w:tc>
        <w:tc>
          <w:tcPr>
            <w:tcW w:w="1654" w:type="dxa"/>
          </w:tcPr>
          <w:p w14:paraId="24C6BE7F" w14:textId="6BD3755D" w:rsidR="00C966AF" w:rsidRDefault="00DF00C5" w:rsidP="00455437">
            <w:pPr>
              <w:pStyle w:val="Table-Text"/>
              <w:keepNext/>
              <w:keepLines/>
              <w:tabs>
                <w:tab w:val="decimal" w:pos="802"/>
              </w:tabs>
              <w:spacing w:before="60" w:after="60"/>
            </w:pPr>
            <w:r>
              <w:t>5.0</w:t>
            </w:r>
          </w:p>
        </w:tc>
      </w:tr>
      <w:tr w:rsidR="00C966AF" w:rsidRPr="00363CF9" w14:paraId="2FB2FB92" w14:textId="7786E6EC" w:rsidTr="00455437">
        <w:tc>
          <w:tcPr>
            <w:tcW w:w="2977" w:type="dxa"/>
          </w:tcPr>
          <w:p w14:paraId="774C1CDA" w14:textId="77777777" w:rsidR="00C966AF" w:rsidRPr="00072DC1" w:rsidRDefault="00C966AF" w:rsidP="00455437">
            <w:pPr>
              <w:pStyle w:val="Table-Text"/>
              <w:keepNext/>
              <w:keepLines/>
              <w:spacing w:before="60" w:after="60"/>
              <w:rPr>
                <w:rStyle w:val="Strong"/>
              </w:rPr>
            </w:pPr>
            <w:r w:rsidRPr="00072DC1">
              <w:rPr>
                <w:rStyle w:val="Strong"/>
              </w:rPr>
              <w:t>Norway</w:t>
            </w:r>
          </w:p>
        </w:tc>
        <w:tc>
          <w:tcPr>
            <w:tcW w:w="1653" w:type="dxa"/>
          </w:tcPr>
          <w:p w14:paraId="4E902575" w14:textId="6B7E50BA" w:rsidR="00C966AF" w:rsidRPr="00363CF9" w:rsidRDefault="00C966AF" w:rsidP="00455437">
            <w:pPr>
              <w:pStyle w:val="Table-Text"/>
              <w:keepNext/>
              <w:keepLines/>
              <w:tabs>
                <w:tab w:val="decimal" w:pos="802"/>
              </w:tabs>
              <w:spacing w:before="60" w:after="60"/>
            </w:pPr>
            <w:r>
              <w:t>22.0</w:t>
            </w:r>
          </w:p>
        </w:tc>
        <w:tc>
          <w:tcPr>
            <w:tcW w:w="1654" w:type="dxa"/>
          </w:tcPr>
          <w:p w14:paraId="0AF9E42B" w14:textId="6652A4BF" w:rsidR="00C966AF" w:rsidRPr="00363CF9" w:rsidRDefault="00DF00C5" w:rsidP="00455437">
            <w:pPr>
              <w:pStyle w:val="Table-Text"/>
              <w:keepNext/>
              <w:keepLines/>
              <w:tabs>
                <w:tab w:val="decimal" w:pos="802"/>
              </w:tabs>
              <w:spacing w:before="60" w:after="60"/>
            </w:pPr>
            <w:r>
              <w:t>38.2</w:t>
            </w:r>
          </w:p>
        </w:tc>
        <w:tc>
          <w:tcPr>
            <w:tcW w:w="1654" w:type="dxa"/>
          </w:tcPr>
          <w:p w14:paraId="0D55F54E" w14:textId="7D3B7385" w:rsidR="00C966AF" w:rsidRDefault="00DF00C5" w:rsidP="00455437">
            <w:pPr>
              <w:pStyle w:val="Table-Text"/>
              <w:keepNext/>
              <w:keepLines/>
              <w:tabs>
                <w:tab w:val="decimal" w:pos="802"/>
              </w:tabs>
              <w:spacing w:before="60" w:after="60"/>
            </w:pPr>
            <w:r>
              <w:t>16.2</w:t>
            </w:r>
          </w:p>
        </w:tc>
      </w:tr>
      <w:tr w:rsidR="00C966AF" w:rsidRPr="00363CF9" w14:paraId="3FECF295" w14:textId="35B077B2" w:rsidTr="00455437">
        <w:tc>
          <w:tcPr>
            <w:tcW w:w="2977" w:type="dxa"/>
          </w:tcPr>
          <w:p w14:paraId="0069E17E" w14:textId="77777777" w:rsidR="00C966AF" w:rsidRPr="00072DC1" w:rsidRDefault="00C966AF" w:rsidP="00455437">
            <w:pPr>
              <w:pStyle w:val="Table-Text"/>
              <w:keepNext/>
              <w:keepLines/>
              <w:spacing w:before="60" w:after="60"/>
              <w:rPr>
                <w:rStyle w:val="Strong"/>
              </w:rPr>
            </w:pPr>
            <w:r w:rsidRPr="00072DC1">
              <w:rPr>
                <w:rStyle w:val="Strong"/>
              </w:rPr>
              <w:t>Poland</w:t>
            </w:r>
          </w:p>
        </w:tc>
        <w:tc>
          <w:tcPr>
            <w:tcW w:w="1653" w:type="dxa"/>
          </w:tcPr>
          <w:p w14:paraId="25491CA8" w14:textId="32B098DF" w:rsidR="00C966AF" w:rsidRPr="00363CF9" w:rsidRDefault="00C966AF" w:rsidP="00455437">
            <w:pPr>
              <w:pStyle w:val="Table-Text"/>
              <w:keepNext/>
              <w:keepLines/>
              <w:tabs>
                <w:tab w:val="decimal" w:pos="802"/>
              </w:tabs>
              <w:spacing w:before="60" w:after="60"/>
            </w:pPr>
            <w:r>
              <w:t>19.0</w:t>
            </w:r>
          </w:p>
        </w:tc>
        <w:tc>
          <w:tcPr>
            <w:tcW w:w="1654" w:type="dxa"/>
          </w:tcPr>
          <w:p w14:paraId="00DD2BFB" w14:textId="33E21669" w:rsidR="00DF00C5" w:rsidRPr="00363CF9" w:rsidRDefault="00DF00C5" w:rsidP="00455437">
            <w:pPr>
              <w:pStyle w:val="Table-Text"/>
              <w:keepNext/>
              <w:keepLines/>
              <w:tabs>
                <w:tab w:val="decimal" w:pos="802"/>
              </w:tabs>
              <w:spacing w:before="60" w:after="60"/>
            </w:pPr>
            <w:r>
              <w:t>32.0</w:t>
            </w:r>
          </w:p>
        </w:tc>
        <w:tc>
          <w:tcPr>
            <w:tcW w:w="1654" w:type="dxa"/>
          </w:tcPr>
          <w:p w14:paraId="4DECB0A5" w14:textId="3C6F2CF7" w:rsidR="00C966AF" w:rsidRDefault="00DF00C5" w:rsidP="00455437">
            <w:pPr>
              <w:pStyle w:val="Table-Text"/>
              <w:keepNext/>
              <w:keepLines/>
              <w:tabs>
                <w:tab w:val="decimal" w:pos="802"/>
              </w:tabs>
              <w:spacing w:before="60" w:after="60"/>
            </w:pPr>
            <w:r>
              <w:t>13.0</w:t>
            </w:r>
          </w:p>
        </w:tc>
      </w:tr>
      <w:tr w:rsidR="00C966AF" w:rsidRPr="00363CF9" w14:paraId="6F8F061D" w14:textId="0C4180A3" w:rsidTr="00455437">
        <w:tc>
          <w:tcPr>
            <w:tcW w:w="2977" w:type="dxa"/>
          </w:tcPr>
          <w:p w14:paraId="00231307" w14:textId="77777777" w:rsidR="00C966AF" w:rsidRPr="00072DC1" w:rsidRDefault="00C966AF" w:rsidP="00455437">
            <w:pPr>
              <w:pStyle w:val="Table-Text"/>
              <w:keepNext/>
              <w:keepLines/>
              <w:spacing w:before="60" w:after="60"/>
              <w:rPr>
                <w:rStyle w:val="Strong"/>
              </w:rPr>
            </w:pPr>
            <w:r w:rsidRPr="00072DC1">
              <w:rPr>
                <w:rStyle w:val="Strong"/>
              </w:rPr>
              <w:t>Portugal</w:t>
            </w:r>
          </w:p>
        </w:tc>
        <w:tc>
          <w:tcPr>
            <w:tcW w:w="1653" w:type="dxa"/>
          </w:tcPr>
          <w:p w14:paraId="1334764F" w14:textId="71F4BDB3" w:rsidR="00C966AF" w:rsidRPr="00363CF9" w:rsidRDefault="00C966AF" w:rsidP="00455437">
            <w:pPr>
              <w:pStyle w:val="Table-Text"/>
              <w:keepNext/>
              <w:keepLines/>
              <w:tabs>
                <w:tab w:val="decimal" w:pos="802"/>
              </w:tabs>
              <w:spacing w:before="60" w:after="60"/>
            </w:pPr>
            <w:r>
              <w:t>31.5</w:t>
            </w:r>
          </w:p>
        </w:tc>
        <w:tc>
          <w:tcPr>
            <w:tcW w:w="1654" w:type="dxa"/>
          </w:tcPr>
          <w:p w14:paraId="5EAB6002" w14:textId="3329CEBA" w:rsidR="00C966AF" w:rsidRPr="00363CF9" w:rsidRDefault="00DF00C5" w:rsidP="00455437">
            <w:pPr>
              <w:pStyle w:val="Table-Text"/>
              <w:keepNext/>
              <w:keepLines/>
              <w:tabs>
                <w:tab w:val="decimal" w:pos="802"/>
              </w:tabs>
              <w:spacing w:before="60" w:after="60"/>
            </w:pPr>
            <w:r>
              <w:t>53.0</w:t>
            </w:r>
          </w:p>
        </w:tc>
        <w:tc>
          <w:tcPr>
            <w:tcW w:w="1654" w:type="dxa"/>
          </w:tcPr>
          <w:p w14:paraId="47F0A6C2" w14:textId="65DB142F" w:rsidR="00C966AF" w:rsidRDefault="00DF00C5" w:rsidP="00455437">
            <w:pPr>
              <w:pStyle w:val="Table-Text"/>
              <w:keepNext/>
              <w:keepLines/>
              <w:tabs>
                <w:tab w:val="decimal" w:pos="802"/>
              </w:tabs>
              <w:spacing w:before="60" w:after="60"/>
            </w:pPr>
            <w:r>
              <w:t>21.5</w:t>
            </w:r>
          </w:p>
        </w:tc>
      </w:tr>
      <w:tr w:rsidR="00C966AF" w:rsidRPr="00363CF9" w14:paraId="036C8947" w14:textId="763A4D7F" w:rsidTr="00455437">
        <w:tc>
          <w:tcPr>
            <w:tcW w:w="2977" w:type="dxa"/>
          </w:tcPr>
          <w:p w14:paraId="5CEA7B1F" w14:textId="77777777" w:rsidR="00C966AF" w:rsidRPr="00072DC1" w:rsidRDefault="00C966AF" w:rsidP="00455437">
            <w:pPr>
              <w:pStyle w:val="Table-Text"/>
              <w:keepNext/>
              <w:keepLines/>
              <w:spacing w:before="60" w:after="60"/>
              <w:rPr>
                <w:rStyle w:val="Strong"/>
              </w:rPr>
            </w:pPr>
            <w:r w:rsidRPr="00072DC1">
              <w:rPr>
                <w:rStyle w:val="Strong"/>
              </w:rPr>
              <w:t>Slovak Republic</w:t>
            </w:r>
          </w:p>
        </w:tc>
        <w:tc>
          <w:tcPr>
            <w:tcW w:w="1653" w:type="dxa"/>
          </w:tcPr>
          <w:p w14:paraId="09C3DAD5" w14:textId="1BA6A9BE" w:rsidR="00C966AF" w:rsidRPr="00363CF9" w:rsidRDefault="00C966AF" w:rsidP="00455437">
            <w:pPr>
              <w:pStyle w:val="Table-Text"/>
              <w:keepNext/>
              <w:keepLines/>
              <w:tabs>
                <w:tab w:val="decimal" w:pos="802"/>
              </w:tabs>
              <w:spacing w:before="60" w:after="60"/>
            </w:pPr>
            <w:r>
              <w:t>21.0</w:t>
            </w:r>
          </w:p>
        </w:tc>
        <w:tc>
          <w:tcPr>
            <w:tcW w:w="1654" w:type="dxa"/>
          </w:tcPr>
          <w:p w14:paraId="39AED6A0" w14:textId="3867FBFC" w:rsidR="00C966AF" w:rsidRPr="00363CF9" w:rsidRDefault="00DF00C5" w:rsidP="00455437">
            <w:pPr>
              <w:pStyle w:val="Table-Text"/>
              <w:keepNext/>
              <w:keepLines/>
              <w:tabs>
                <w:tab w:val="decimal" w:pos="802"/>
              </w:tabs>
              <w:spacing w:before="60" w:after="60"/>
            </w:pPr>
            <w:r>
              <w:t>25.0</w:t>
            </w:r>
          </w:p>
        </w:tc>
        <w:tc>
          <w:tcPr>
            <w:tcW w:w="1654" w:type="dxa"/>
          </w:tcPr>
          <w:p w14:paraId="35BBE5FE" w14:textId="6AE0026C" w:rsidR="00C966AF" w:rsidRDefault="00DF00C5" w:rsidP="00455437">
            <w:pPr>
              <w:pStyle w:val="Table-Text"/>
              <w:keepNext/>
              <w:keepLines/>
              <w:tabs>
                <w:tab w:val="decimal" w:pos="802"/>
              </w:tabs>
              <w:spacing w:before="60" w:after="60"/>
            </w:pPr>
            <w:r>
              <w:t>4.0</w:t>
            </w:r>
          </w:p>
        </w:tc>
      </w:tr>
      <w:tr w:rsidR="00C966AF" w:rsidRPr="00363CF9" w14:paraId="1140B683" w14:textId="047307A3" w:rsidTr="00455437">
        <w:tc>
          <w:tcPr>
            <w:tcW w:w="2977" w:type="dxa"/>
          </w:tcPr>
          <w:p w14:paraId="75DB1167" w14:textId="77777777" w:rsidR="00C966AF" w:rsidRPr="00072DC1" w:rsidRDefault="00C966AF" w:rsidP="00455437">
            <w:pPr>
              <w:pStyle w:val="Table-Text"/>
              <w:keepNext/>
              <w:keepLines/>
              <w:spacing w:before="60" w:after="60"/>
              <w:rPr>
                <w:rStyle w:val="Strong"/>
              </w:rPr>
            </w:pPr>
            <w:r w:rsidRPr="00072DC1">
              <w:rPr>
                <w:rStyle w:val="Strong"/>
              </w:rPr>
              <w:t>Slovenia</w:t>
            </w:r>
          </w:p>
        </w:tc>
        <w:tc>
          <w:tcPr>
            <w:tcW w:w="1653" w:type="dxa"/>
          </w:tcPr>
          <w:p w14:paraId="1D48F27E" w14:textId="0173F7A0" w:rsidR="00C966AF" w:rsidRPr="00363CF9" w:rsidRDefault="00C966AF" w:rsidP="00455437">
            <w:pPr>
              <w:pStyle w:val="Table-Text"/>
              <w:keepNext/>
              <w:keepLines/>
              <w:tabs>
                <w:tab w:val="decimal" w:pos="802"/>
              </w:tabs>
              <w:spacing w:before="60" w:after="60"/>
            </w:pPr>
            <w:r>
              <w:t>19.0</w:t>
            </w:r>
          </w:p>
        </w:tc>
        <w:tc>
          <w:tcPr>
            <w:tcW w:w="1654" w:type="dxa"/>
          </w:tcPr>
          <w:p w14:paraId="128B9E33" w14:textId="7FBF7DE0" w:rsidR="00C966AF" w:rsidRPr="00363CF9" w:rsidRDefault="00DF00C5" w:rsidP="00455437">
            <w:pPr>
              <w:pStyle w:val="Table-Text"/>
              <w:keepNext/>
              <w:keepLines/>
              <w:tabs>
                <w:tab w:val="decimal" w:pos="802"/>
              </w:tabs>
              <w:spacing w:before="60" w:after="60"/>
            </w:pPr>
            <w:r>
              <w:t>50.0</w:t>
            </w:r>
          </w:p>
        </w:tc>
        <w:tc>
          <w:tcPr>
            <w:tcW w:w="1654" w:type="dxa"/>
          </w:tcPr>
          <w:p w14:paraId="4BF89AD5" w14:textId="68D2ACD5" w:rsidR="00C966AF" w:rsidRDefault="00DF00C5" w:rsidP="00455437">
            <w:pPr>
              <w:pStyle w:val="Table-Text"/>
              <w:keepNext/>
              <w:keepLines/>
              <w:tabs>
                <w:tab w:val="decimal" w:pos="802"/>
              </w:tabs>
              <w:spacing w:before="60" w:after="60"/>
            </w:pPr>
            <w:r>
              <w:t>31.0</w:t>
            </w:r>
          </w:p>
        </w:tc>
      </w:tr>
      <w:tr w:rsidR="00C966AF" w:rsidRPr="00363CF9" w14:paraId="6DBDB4F5" w14:textId="1B58B413" w:rsidTr="00455437">
        <w:tc>
          <w:tcPr>
            <w:tcW w:w="2977" w:type="dxa"/>
          </w:tcPr>
          <w:p w14:paraId="7AA68AF7" w14:textId="77777777" w:rsidR="00C966AF" w:rsidRPr="00072DC1" w:rsidRDefault="00C966AF" w:rsidP="00455437">
            <w:pPr>
              <w:pStyle w:val="Table-Text"/>
              <w:keepNext/>
              <w:keepLines/>
              <w:spacing w:before="60" w:after="60"/>
              <w:rPr>
                <w:rStyle w:val="Strong"/>
              </w:rPr>
            </w:pPr>
            <w:r w:rsidRPr="00072DC1">
              <w:rPr>
                <w:rStyle w:val="Strong"/>
              </w:rPr>
              <w:t>Spain</w:t>
            </w:r>
          </w:p>
        </w:tc>
        <w:tc>
          <w:tcPr>
            <w:tcW w:w="1653" w:type="dxa"/>
          </w:tcPr>
          <w:p w14:paraId="598E59EB" w14:textId="536B0F63" w:rsidR="00C966AF" w:rsidRPr="00363CF9" w:rsidRDefault="00C966AF" w:rsidP="00455437">
            <w:pPr>
              <w:pStyle w:val="Table-Text"/>
              <w:keepNext/>
              <w:keepLines/>
              <w:tabs>
                <w:tab w:val="decimal" w:pos="802"/>
              </w:tabs>
              <w:spacing w:before="60" w:after="60"/>
            </w:pPr>
            <w:r>
              <w:t>25.0</w:t>
            </w:r>
          </w:p>
        </w:tc>
        <w:tc>
          <w:tcPr>
            <w:tcW w:w="1654" w:type="dxa"/>
          </w:tcPr>
          <w:p w14:paraId="451C678F" w14:textId="1F23A4FD" w:rsidR="00C966AF" w:rsidRPr="00363CF9" w:rsidRDefault="00DF00C5" w:rsidP="00455437">
            <w:pPr>
              <w:pStyle w:val="Table-Text"/>
              <w:keepNext/>
              <w:keepLines/>
              <w:tabs>
                <w:tab w:val="decimal" w:pos="802"/>
              </w:tabs>
              <w:spacing w:before="60" w:after="60"/>
            </w:pPr>
            <w:r>
              <w:t>43.5</w:t>
            </w:r>
          </w:p>
        </w:tc>
        <w:tc>
          <w:tcPr>
            <w:tcW w:w="1654" w:type="dxa"/>
          </w:tcPr>
          <w:p w14:paraId="3500F673" w14:textId="049AD52A" w:rsidR="00C966AF" w:rsidRDefault="00DF00C5" w:rsidP="00455437">
            <w:pPr>
              <w:pStyle w:val="Table-Text"/>
              <w:keepNext/>
              <w:keepLines/>
              <w:tabs>
                <w:tab w:val="decimal" w:pos="802"/>
              </w:tabs>
              <w:spacing w:before="60" w:after="60"/>
            </w:pPr>
            <w:r>
              <w:t>18.5</w:t>
            </w:r>
          </w:p>
        </w:tc>
      </w:tr>
      <w:tr w:rsidR="00C966AF" w:rsidRPr="00363CF9" w14:paraId="0748388A" w14:textId="00FB6070" w:rsidTr="00455437">
        <w:tc>
          <w:tcPr>
            <w:tcW w:w="2977" w:type="dxa"/>
          </w:tcPr>
          <w:p w14:paraId="21D41D4E" w14:textId="77777777" w:rsidR="00C966AF" w:rsidRPr="00072DC1" w:rsidRDefault="00C966AF" w:rsidP="00455437">
            <w:pPr>
              <w:pStyle w:val="Table-Text"/>
              <w:keepNext/>
              <w:keepLines/>
              <w:spacing w:before="60" w:after="60"/>
              <w:rPr>
                <w:rStyle w:val="Strong"/>
              </w:rPr>
            </w:pPr>
            <w:r w:rsidRPr="00072DC1">
              <w:rPr>
                <w:rStyle w:val="Strong"/>
              </w:rPr>
              <w:t>Sweden</w:t>
            </w:r>
          </w:p>
        </w:tc>
        <w:tc>
          <w:tcPr>
            <w:tcW w:w="1653" w:type="dxa"/>
          </w:tcPr>
          <w:p w14:paraId="5D076DC1" w14:textId="710F2D44" w:rsidR="00C966AF" w:rsidRPr="00363CF9" w:rsidRDefault="00C966AF" w:rsidP="00455437">
            <w:pPr>
              <w:pStyle w:val="Table-Text"/>
              <w:keepNext/>
              <w:keepLines/>
              <w:tabs>
                <w:tab w:val="decimal" w:pos="802"/>
              </w:tabs>
              <w:spacing w:before="60" w:after="60"/>
            </w:pPr>
            <w:r>
              <w:t>21.4</w:t>
            </w:r>
          </w:p>
        </w:tc>
        <w:tc>
          <w:tcPr>
            <w:tcW w:w="1654" w:type="dxa"/>
          </w:tcPr>
          <w:p w14:paraId="010A6819" w14:textId="05586168" w:rsidR="00C966AF" w:rsidRPr="00363CF9" w:rsidRDefault="00DF00C5" w:rsidP="00455437">
            <w:pPr>
              <w:pStyle w:val="Table-Text"/>
              <w:keepNext/>
              <w:keepLines/>
              <w:tabs>
                <w:tab w:val="decimal" w:pos="802"/>
              </w:tabs>
              <w:spacing w:before="60" w:after="60"/>
            </w:pPr>
            <w:r>
              <w:t>52.3</w:t>
            </w:r>
          </w:p>
        </w:tc>
        <w:tc>
          <w:tcPr>
            <w:tcW w:w="1654" w:type="dxa"/>
          </w:tcPr>
          <w:p w14:paraId="46AF672D" w14:textId="026724E1" w:rsidR="00C966AF" w:rsidRDefault="00DF00C5" w:rsidP="00455437">
            <w:pPr>
              <w:pStyle w:val="Table-Text"/>
              <w:keepNext/>
              <w:keepLines/>
              <w:tabs>
                <w:tab w:val="decimal" w:pos="802"/>
              </w:tabs>
              <w:spacing w:before="60" w:after="60"/>
            </w:pPr>
            <w:r>
              <w:t>30.9</w:t>
            </w:r>
          </w:p>
        </w:tc>
      </w:tr>
      <w:tr w:rsidR="00C966AF" w:rsidRPr="00363CF9" w14:paraId="459249D4" w14:textId="521615EB" w:rsidTr="00455437">
        <w:tc>
          <w:tcPr>
            <w:tcW w:w="2977" w:type="dxa"/>
          </w:tcPr>
          <w:p w14:paraId="78ADB51C" w14:textId="77777777" w:rsidR="00C966AF" w:rsidRPr="00072DC1" w:rsidRDefault="00C966AF" w:rsidP="00455437">
            <w:pPr>
              <w:pStyle w:val="Table-Text"/>
              <w:keepNext/>
              <w:keepLines/>
              <w:spacing w:before="60" w:after="60"/>
              <w:rPr>
                <w:rStyle w:val="Strong"/>
              </w:rPr>
            </w:pPr>
            <w:r w:rsidRPr="00072DC1">
              <w:rPr>
                <w:rStyle w:val="Strong"/>
              </w:rPr>
              <w:t>Switzerland</w:t>
            </w:r>
          </w:p>
        </w:tc>
        <w:tc>
          <w:tcPr>
            <w:tcW w:w="1653" w:type="dxa"/>
          </w:tcPr>
          <w:p w14:paraId="7FEF5CFA" w14:textId="13C70D67" w:rsidR="00C966AF" w:rsidRPr="00363CF9" w:rsidRDefault="00C966AF" w:rsidP="00455437">
            <w:pPr>
              <w:pStyle w:val="Table-Text"/>
              <w:keepNext/>
              <w:keepLines/>
              <w:tabs>
                <w:tab w:val="decimal" w:pos="802"/>
              </w:tabs>
              <w:spacing w:before="60" w:after="60"/>
            </w:pPr>
            <w:r>
              <w:t>21.1</w:t>
            </w:r>
          </w:p>
        </w:tc>
        <w:tc>
          <w:tcPr>
            <w:tcW w:w="1654" w:type="dxa"/>
          </w:tcPr>
          <w:p w14:paraId="1CCED371" w14:textId="1677D0F4" w:rsidR="00C966AF" w:rsidRPr="00363CF9" w:rsidRDefault="00DF00C5" w:rsidP="00455437">
            <w:pPr>
              <w:pStyle w:val="Table-Text"/>
              <w:keepNext/>
              <w:keepLines/>
              <w:tabs>
                <w:tab w:val="decimal" w:pos="802"/>
              </w:tabs>
              <w:spacing w:before="60" w:after="60"/>
            </w:pPr>
            <w:r>
              <w:t>41.7</w:t>
            </w:r>
          </w:p>
        </w:tc>
        <w:tc>
          <w:tcPr>
            <w:tcW w:w="1654" w:type="dxa"/>
          </w:tcPr>
          <w:p w14:paraId="3453C53E" w14:textId="08F4192C" w:rsidR="00C966AF" w:rsidRDefault="00DF00C5" w:rsidP="00455437">
            <w:pPr>
              <w:pStyle w:val="Table-Text"/>
              <w:keepNext/>
              <w:keepLines/>
              <w:tabs>
                <w:tab w:val="decimal" w:pos="802"/>
              </w:tabs>
              <w:spacing w:before="60" w:after="60"/>
            </w:pPr>
            <w:r>
              <w:t>20.6</w:t>
            </w:r>
          </w:p>
        </w:tc>
      </w:tr>
      <w:tr w:rsidR="00C966AF" w:rsidRPr="00363CF9" w14:paraId="566B1682" w14:textId="0CC2B272" w:rsidTr="00455437">
        <w:tc>
          <w:tcPr>
            <w:tcW w:w="2977" w:type="dxa"/>
          </w:tcPr>
          <w:p w14:paraId="18271133" w14:textId="77777777" w:rsidR="00C966AF" w:rsidRPr="00072DC1" w:rsidRDefault="00C966AF" w:rsidP="00455437">
            <w:pPr>
              <w:pStyle w:val="Table-Text"/>
              <w:keepNext/>
              <w:keepLines/>
              <w:spacing w:before="60" w:after="60"/>
              <w:rPr>
                <w:rStyle w:val="Strong"/>
              </w:rPr>
            </w:pPr>
            <w:r w:rsidRPr="00072DC1">
              <w:rPr>
                <w:rStyle w:val="Strong"/>
              </w:rPr>
              <w:t>Turkey</w:t>
            </w:r>
          </w:p>
        </w:tc>
        <w:tc>
          <w:tcPr>
            <w:tcW w:w="1653" w:type="dxa"/>
          </w:tcPr>
          <w:p w14:paraId="590A3B9C" w14:textId="40D50C8D" w:rsidR="00C966AF" w:rsidRPr="00363CF9" w:rsidRDefault="00C966AF" w:rsidP="00455437">
            <w:pPr>
              <w:pStyle w:val="Table-Text"/>
              <w:keepNext/>
              <w:keepLines/>
              <w:tabs>
                <w:tab w:val="decimal" w:pos="802"/>
              </w:tabs>
              <w:spacing w:before="60" w:after="60"/>
            </w:pPr>
            <w:r>
              <w:t>22.0</w:t>
            </w:r>
          </w:p>
        </w:tc>
        <w:tc>
          <w:tcPr>
            <w:tcW w:w="1654" w:type="dxa"/>
          </w:tcPr>
          <w:p w14:paraId="789DBD10" w14:textId="508394D0" w:rsidR="00C966AF" w:rsidRPr="00363CF9" w:rsidRDefault="00DF00C5" w:rsidP="00455437">
            <w:pPr>
              <w:pStyle w:val="Table-Text"/>
              <w:keepNext/>
              <w:keepLines/>
              <w:tabs>
                <w:tab w:val="decimal" w:pos="802"/>
              </w:tabs>
              <w:spacing w:before="60" w:after="60"/>
            </w:pPr>
            <w:r>
              <w:t>40.8</w:t>
            </w:r>
          </w:p>
        </w:tc>
        <w:tc>
          <w:tcPr>
            <w:tcW w:w="1654" w:type="dxa"/>
          </w:tcPr>
          <w:p w14:paraId="24446781" w14:textId="45E21452" w:rsidR="00C966AF" w:rsidRDefault="00DF00C5" w:rsidP="00455437">
            <w:pPr>
              <w:pStyle w:val="Table-Text"/>
              <w:keepNext/>
              <w:keepLines/>
              <w:tabs>
                <w:tab w:val="decimal" w:pos="802"/>
              </w:tabs>
              <w:spacing w:before="60" w:after="60"/>
            </w:pPr>
            <w:r>
              <w:t>18.8</w:t>
            </w:r>
          </w:p>
        </w:tc>
      </w:tr>
      <w:tr w:rsidR="00C966AF" w:rsidRPr="00363CF9" w14:paraId="16611A55" w14:textId="6F437A28" w:rsidTr="00455437">
        <w:tc>
          <w:tcPr>
            <w:tcW w:w="2977" w:type="dxa"/>
          </w:tcPr>
          <w:p w14:paraId="654B5144" w14:textId="5EB8FFDA" w:rsidR="00C966AF" w:rsidRPr="00072DC1" w:rsidRDefault="00C966AF" w:rsidP="00455437">
            <w:pPr>
              <w:pStyle w:val="Table-Text"/>
              <w:keepNext/>
              <w:keepLines/>
              <w:spacing w:before="60" w:after="60"/>
              <w:rPr>
                <w:rStyle w:val="Strong"/>
              </w:rPr>
            </w:pPr>
            <w:r>
              <w:rPr>
                <w:rStyle w:val="Strong"/>
              </w:rPr>
              <w:t>U</w:t>
            </w:r>
            <w:r w:rsidR="00390D07">
              <w:rPr>
                <w:rStyle w:val="Strong"/>
              </w:rPr>
              <w:t xml:space="preserve">nited </w:t>
            </w:r>
            <w:r>
              <w:rPr>
                <w:rStyle w:val="Strong"/>
              </w:rPr>
              <w:t>K</w:t>
            </w:r>
            <w:r w:rsidR="00390D07">
              <w:rPr>
                <w:rStyle w:val="Strong"/>
              </w:rPr>
              <w:t>ingdom</w:t>
            </w:r>
          </w:p>
        </w:tc>
        <w:tc>
          <w:tcPr>
            <w:tcW w:w="1653" w:type="dxa"/>
          </w:tcPr>
          <w:p w14:paraId="1FC806B9" w14:textId="1DA0824D" w:rsidR="00C966AF" w:rsidRPr="00363CF9" w:rsidRDefault="00C966AF" w:rsidP="00455437">
            <w:pPr>
              <w:pStyle w:val="Table-Text"/>
              <w:keepNext/>
              <w:keepLines/>
              <w:tabs>
                <w:tab w:val="decimal" w:pos="802"/>
              </w:tabs>
              <w:spacing w:before="60" w:after="60"/>
            </w:pPr>
            <w:r>
              <w:t>19.0</w:t>
            </w:r>
          </w:p>
        </w:tc>
        <w:tc>
          <w:tcPr>
            <w:tcW w:w="1654" w:type="dxa"/>
          </w:tcPr>
          <w:p w14:paraId="57B6AEEA" w14:textId="77AB9667" w:rsidR="00C966AF" w:rsidRPr="00363CF9" w:rsidRDefault="00DF00C5" w:rsidP="00455437">
            <w:pPr>
              <w:pStyle w:val="Table-Text"/>
              <w:keepNext/>
              <w:keepLines/>
              <w:tabs>
                <w:tab w:val="decimal" w:pos="802"/>
              </w:tabs>
              <w:spacing w:before="60" w:after="60"/>
            </w:pPr>
            <w:r>
              <w:t>45.0</w:t>
            </w:r>
          </w:p>
        </w:tc>
        <w:tc>
          <w:tcPr>
            <w:tcW w:w="1654" w:type="dxa"/>
          </w:tcPr>
          <w:p w14:paraId="0AB23683" w14:textId="69EE99EA" w:rsidR="00C966AF" w:rsidRDefault="00DF00C5" w:rsidP="00455437">
            <w:pPr>
              <w:pStyle w:val="Table-Text"/>
              <w:keepNext/>
              <w:keepLines/>
              <w:tabs>
                <w:tab w:val="decimal" w:pos="802"/>
              </w:tabs>
              <w:spacing w:before="60" w:after="60"/>
            </w:pPr>
            <w:r>
              <w:t>26.0</w:t>
            </w:r>
          </w:p>
        </w:tc>
      </w:tr>
      <w:tr w:rsidR="00C966AF" w:rsidRPr="00363CF9" w14:paraId="7852E932" w14:textId="71E1FB4E" w:rsidTr="00455437">
        <w:tc>
          <w:tcPr>
            <w:tcW w:w="2977" w:type="dxa"/>
            <w:tcBorders>
              <w:bottom w:val="single" w:sz="4" w:space="0" w:color="BFBFBF" w:themeColor="background1" w:themeShade="BF"/>
            </w:tcBorders>
          </w:tcPr>
          <w:p w14:paraId="263BE1C2" w14:textId="7828DDAB" w:rsidR="00C966AF" w:rsidRPr="00072DC1" w:rsidRDefault="00C966AF" w:rsidP="00455437">
            <w:pPr>
              <w:pStyle w:val="Table-Text"/>
              <w:keepNext/>
              <w:keepLines/>
              <w:spacing w:before="60" w:after="60"/>
              <w:rPr>
                <w:rStyle w:val="Strong"/>
              </w:rPr>
            </w:pPr>
            <w:r>
              <w:rPr>
                <w:rStyle w:val="Strong"/>
              </w:rPr>
              <w:t>U</w:t>
            </w:r>
            <w:r w:rsidR="00390D07">
              <w:rPr>
                <w:rStyle w:val="Strong"/>
              </w:rPr>
              <w:t xml:space="preserve">nited </w:t>
            </w:r>
            <w:r>
              <w:rPr>
                <w:rStyle w:val="Strong"/>
              </w:rPr>
              <w:t>S</w:t>
            </w:r>
            <w:r w:rsidR="00390D07">
              <w:rPr>
                <w:rStyle w:val="Strong"/>
              </w:rPr>
              <w:t>tates</w:t>
            </w:r>
          </w:p>
        </w:tc>
        <w:tc>
          <w:tcPr>
            <w:tcW w:w="1653" w:type="dxa"/>
            <w:tcBorders>
              <w:bottom w:val="single" w:sz="4" w:space="0" w:color="BFBFBF" w:themeColor="background1" w:themeShade="BF"/>
            </w:tcBorders>
          </w:tcPr>
          <w:p w14:paraId="5FB66C8F" w14:textId="0B279E03" w:rsidR="00C966AF" w:rsidRPr="00363CF9" w:rsidRDefault="00C966AF" w:rsidP="00455437">
            <w:pPr>
              <w:pStyle w:val="Table-Text"/>
              <w:keepNext/>
              <w:keepLines/>
              <w:tabs>
                <w:tab w:val="decimal" w:pos="802"/>
              </w:tabs>
              <w:spacing w:before="60" w:after="60"/>
            </w:pPr>
            <w:r>
              <w:t>25.8</w:t>
            </w:r>
          </w:p>
        </w:tc>
        <w:tc>
          <w:tcPr>
            <w:tcW w:w="1654" w:type="dxa"/>
            <w:tcBorders>
              <w:bottom w:val="single" w:sz="4" w:space="0" w:color="BFBFBF" w:themeColor="background1" w:themeShade="BF"/>
            </w:tcBorders>
          </w:tcPr>
          <w:p w14:paraId="746F9924" w14:textId="7B211C55" w:rsidR="00C966AF" w:rsidRPr="00363CF9" w:rsidRDefault="00DF00C5" w:rsidP="00455437">
            <w:pPr>
              <w:pStyle w:val="Table-Text"/>
              <w:keepNext/>
              <w:keepLines/>
              <w:tabs>
                <w:tab w:val="decimal" w:pos="802"/>
              </w:tabs>
              <w:spacing w:before="60" w:after="60"/>
            </w:pPr>
            <w:r>
              <w:t>43.7</w:t>
            </w:r>
          </w:p>
        </w:tc>
        <w:tc>
          <w:tcPr>
            <w:tcW w:w="1654" w:type="dxa"/>
            <w:tcBorders>
              <w:bottom w:val="single" w:sz="4" w:space="0" w:color="BFBFBF" w:themeColor="background1" w:themeShade="BF"/>
            </w:tcBorders>
          </w:tcPr>
          <w:p w14:paraId="0572D6A0" w14:textId="7927A9D6" w:rsidR="00C966AF" w:rsidRDefault="00DF00C5" w:rsidP="00455437">
            <w:pPr>
              <w:pStyle w:val="Table-Text"/>
              <w:keepNext/>
              <w:keepLines/>
              <w:tabs>
                <w:tab w:val="decimal" w:pos="802"/>
              </w:tabs>
              <w:spacing w:before="60" w:after="60"/>
            </w:pPr>
            <w:r>
              <w:t>17.9</w:t>
            </w:r>
          </w:p>
        </w:tc>
      </w:tr>
      <w:tr w:rsidR="00C966AF" w:rsidRPr="00072DC1" w14:paraId="62E9C628" w14:textId="21A07232" w:rsidTr="00455437">
        <w:tc>
          <w:tcPr>
            <w:tcW w:w="297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6A6A6" w:themeFill="background1" w:themeFillShade="A6"/>
          </w:tcPr>
          <w:p w14:paraId="1FC90B64" w14:textId="77777777" w:rsidR="00C966AF" w:rsidRPr="00E402A4" w:rsidRDefault="00C966AF" w:rsidP="00455437">
            <w:pPr>
              <w:pStyle w:val="Table-Text"/>
              <w:keepNext/>
              <w:keepLines/>
              <w:spacing w:before="60" w:after="60"/>
              <w:rPr>
                <w:rStyle w:val="Strong"/>
              </w:rPr>
            </w:pPr>
            <w:r w:rsidRPr="00E402A4">
              <w:rPr>
                <w:rStyle w:val="Strong"/>
              </w:rPr>
              <w:t>Average</w:t>
            </w:r>
          </w:p>
        </w:tc>
        <w:tc>
          <w:tcPr>
            <w:tcW w:w="16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6A6A6" w:themeFill="background1" w:themeFillShade="A6"/>
          </w:tcPr>
          <w:p w14:paraId="55A53166" w14:textId="57C24D1A" w:rsidR="00C966AF" w:rsidRPr="00072DC1" w:rsidRDefault="00C966AF" w:rsidP="00455437">
            <w:pPr>
              <w:pStyle w:val="Table-Text"/>
              <w:keepNext/>
              <w:keepLines/>
              <w:tabs>
                <w:tab w:val="decimal" w:pos="802"/>
              </w:tabs>
              <w:spacing w:before="60" w:after="60"/>
              <w:rPr>
                <w:b/>
                <w:bCs/>
              </w:rPr>
            </w:pPr>
            <w:r>
              <w:rPr>
                <w:b/>
                <w:bCs/>
              </w:rPr>
              <w:t>23.1</w:t>
            </w:r>
          </w:p>
        </w:tc>
        <w:tc>
          <w:tcPr>
            <w:tcW w:w="16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6A6A6" w:themeFill="background1" w:themeFillShade="A6"/>
          </w:tcPr>
          <w:p w14:paraId="3D64E674" w14:textId="5424B183" w:rsidR="00C966AF" w:rsidRPr="00072DC1" w:rsidRDefault="00DF00C5" w:rsidP="00455437">
            <w:pPr>
              <w:pStyle w:val="Table-Text"/>
              <w:keepNext/>
              <w:keepLines/>
              <w:tabs>
                <w:tab w:val="decimal" w:pos="802"/>
              </w:tabs>
              <w:spacing w:before="60" w:after="60"/>
              <w:rPr>
                <w:b/>
                <w:bCs/>
              </w:rPr>
            </w:pPr>
            <w:r>
              <w:rPr>
                <w:b/>
                <w:bCs/>
              </w:rPr>
              <w:t>42.6</w:t>
            </w:r>
          </w:p>
        </w:tc>
        <w:tc>
          <w:tcPr>
            <w:tcW w:w="16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6A6A6" w:themeFill="background1" w:themeFillShade="A6"/>
          </w:tcPr>
          <w:p w14:paraId="2349B93D" w14:textId="0CB1DBF1" w:rsidR="00C966AF" w:rsidRPr="00072DC1" w:rsidRDefault="00DF00C5" w:rsidP="00455437">
            <w:pPr>
              <w:pStyle w:val="Table-Text"/>
              <w:keepNext/>
              <w:keepLines/>
              <w:tabs>
                <w:tab w:val="decimal" w:pos="802"/>
              </w:tabs>
              <w:spacing w:before="60" w:after="60"/>
              <w:rPr>
                <w:b/>
                <w:bCs/>
              </w:rPr>
            </w:pPr>
            <w:r>
              <w:rPr>
                <w:b/>
                <w:bCs/>
              </w:rPr>
              <w:t>19.5</w:t>
            </w:r>
          </w:p>
        </w:tc>
      </w:tr>
    </w:tbl>
    <w:p w14:paraId="47DB7DC9" w14:textId="5D6DF05D" w:rsidR="001B3AE0" w:rsidRDefault="001B3AE0" w:rsidP="00075D72">
      <w:pPr>
        <w:pStyle w:val="NumberedParagraph"/>
      </w:pPr>
      <w:r w:rsidRPr="00754852">
        <w:lastRenderedPageBreak/>
        <w:t>If about 39% of gains were taxable</w:t>
      </w:r>
      <w:r w:rsidR="00324A64">
        <w:t>,</w:t>
      </w:r>
      <w:r w:rsidRPr="00754852">
        <w:t xml:space="preserve"> so gains on shares were taxed at a rate of approximately 15.2%, there would be a similar tax impost when shares are sold to when imputed dividends are paid for shareholders taxed at the top personal marginal tax rate.</w:t>
      </w:r>
      <w:r w:rsidRPr="00754852">
        <w:rPr>
          <w:vertAlign w:val="superscript"/>
        </w:rPr>
        <w:footnoteReference w:id="24"/>
      </w:r>
      <w:r w:rsidRPr="00754852">
        <w:t xml:space="preserve"> Of course, </w:t>
      </w:r>
      <w:r w:rsidR="002542A8">
        <w:t xml:space="preserve">there are other issues to consider. </w:t>
      </w:r>
      <w:r w:rsidR="003F752E">
        <w:t>Taxing gains on sha</w:t>
      </w:r>
      <w:r w:rsidR="00694B5F">
        <w:t>res</w:t>
      </w:r>
      <w:r w:rsidRPr="00754852">
        <w:t xml:space="preserve"> </w:t>
      </w:r>
      <w:r w:rsidR="003F752E">
        <w:t xml:space="preserve">would </w:t>
      </w:r>
      <w:r w:rsidR="00694B5F">
        <w:t>add</w:t>
      </w:r>
      <w:r w:rsidRPr="00754852">
        <w:t xml:space="preserve"> to compliance costs</w:t>
      </w:r>
      <w:r w:rsidR="00653E79">
        <w:t xml:space="preserve"> but</w:t>
      </w:r>
      <w:r w:rsidR="00B267B5">
        <w:t>,</w:t>
      </w:r>
      <w:r w:rsidR="00653E79">
        <w:t xml:space="preserve"> e</w:t>
      </w:r>
      <w:r w:rsidR="00357911">
        <w:t>specially i</w:t>
      </w:r>
      <w:r w:rsidR="00550051">
        <w:t xml:space="preserve">f </w:t>
      </w:r>
      <w:r w:rsidR="00116E74">
        <w:t xml:space="preserve">this were accompanied by taxing other forms of capital gain as well, </w:t>
      </w:r>
      <w:r w:rsidR="00653E79">
        <w:t>it</w:t>
      </w:r>
      <w:r w:rsidR="00116E74">
        <w:t xml:space="preserve"> might provide a revenue bas</w:t>
      </w:r>
      <w:r w:rsidR="000D7429">
        <w:t xml:space="preserve">e </w:t>
      </w:r>
      <w:r w:rsidR="00B267B5">
        <w:t>that</w:t>
      </w:r>
      <w:r w:rsidR="000D7429">
        <w:t xml:space="preserve"> could help </w:t>
      </w:r>
      <w:r w:rsidR="00B267B5">
        <w:t xml:space="preserve">reduce </w:t>
      </w:r>
      <w:r w:rsidR="000D7429">
        <w:t>costs of capital and EMTRs</w:t>
      </w:r>
      <w:r w:rsidR="00357911">
        <w:t xml:space="preserve">. </w:t>
      </w:r>
      <w:r w:rsidRPr="00754852">
        <w:t xml:space="preserve">Taxing gains on shares or other forms of capital gains may be unlikely as a short-term or medium-term measure. However, many other countries tax these gains and this may be feasible in the longer </w:t>
      </w:r>
      <w:r w:rsidR="00B67FB0">
        <w:t>term</w:t>
      </w:r>
      <w:r w:rsidRPr="00754852">
        <w:t>.</w:t>
      </w:r>
    </w:p>
    <w:p w14:paraId="4A7558B8" w14:textId="211919D4" w:rsidR="001B3AE0" w:rsidRPr="00754852" w:rsidRDefault="001B3AE0" w:rsidP="00075D72">
      <w:pPr>
        <w:pStyle w:val="NumberedParagraph"/>
      </w:pPr>
      <w:r>
        <w:t xml:space="preserve">There may be options </w:t>
      </w:r>
      <w:r w:rsidR="009C0FD8">
        <w:t>(</w:t>
      </w:r>
      <w:r>
        <w:t>other than taxing gains on shares</w:t>
      </w:r>
      <w:r w:rsidR="009C0FD8">
        <w:t>)</w:t>
      </w:r>
      <w:r>
        <w:t xml:space="preserve"> that could make a significant difference between the company tax rate and the top personal marginal </w:t>
      </w:r>
      <w:r w:rsidR="00D16DF9">
        <w:t xml:space="preserve">tax </w:t>
      </w:r>
      <w:r>
        <w:t xml:space="preserve">rate less of a concern. There appear to be some other countries with a larger gap than New Zealand (for example, Switzerland and Belgium) </w:t>
      </w:r>
      <w:r w:rsidR="000A268C">
        <w:t>that</w:t>
      </w:r>
      <w:r>
        <w:t xml:space="preserve"> also do not tax gains on shares. It is possible that these countries have ways of making a large gap between the company tax rate and the top personal marginal tax rate less of a concern without taxing gains on shares. </w:t>
      </w:r>
      <w:r w:rsidR="000A268C">
        <w:t>However,</w:t>
      </w:r>
      <w:r>
        <w:t xml:space="preserve"> it is also possible that these gaps are creating important inconsistencies in these countries as well.</w:t>
      </w:r>
    </w:p>
    <w:p w14:paraId="12D95660" w14:textId="707F6029" w:rsidR="001B3AE0" w:rsidRPr="00754852" w:rsidRDefault="001B3AE0" w:rsidP="00075D72">
      <w:pPr>
        <w:pStyle w:val="NumberedParagraph"/>
      </w:pPr>
      <w:r w:rsidRPr="00754852">
        <w:t xml:space="preserve">Other options might involve shifting away from New Zealand’s full imputation company tax system to one </w:t>
      </w:r>
      <w:r w:rsidR="00CF1EE5">
        <w:t>that</w:t>
      </w:r>
      <w:r w:rsidRPr="00754852">
        <w:t xml:space="preserve"> leads to heavier taxation of dividends. This would, however, create additional pressures for a tax on gains from share sales and make it less attractive for those on lower marginal tax rates to invest in companies. There would be a broad set of other pros and cons to consider.</w:t>
      </w:r>
    </w:p>
    <w:p w14:paraId="36D357F3" w14:textId="607B8FC0" w:rsidR="001B3AE0" w:rsidRPr="00754852" w:rsidRDefault="001B3AE0" w:rsidP="00075D72">
      <w:pPr>
        <w:pStyle w:val="NumberedParagraph"/>
      </w:pPr>
      <w:r w:rsidRPr="00754852">
        <w:t>New Zealand is not alone in needing to work through these sorts of issues. In a recent paper, McKenzie (2021) suggests higher taxes o</w:t>
      </w:r>
      <w:r w:rsidR="00732271">
        <w:t>n</w:t>
      </w:r>
      <w:r w:rsidRPr="00754852">
        <w:t xml:space="preserve"> dividends and capital gains plus taxation of rents at the company level as a possible option for Canada. In an accompanying paper</w:t>
      </w:r>
      <w:r w:rsidR="00A24167">
        <w:t>,</w:t>
      </w:r>
      <w:r w:rsidRPr="00754852">
        <w:t xml:space="preserve"> Smart (2021) discusses pressures that arise in Canada through sheltering of personal income in closely-held companies.</w:t>
      </w:r>
    </w:p>
    <w:p w14:paraId="64E1CC28" w14:textId="77777777" w:rsidR="001B3AE0" w:rsidRPr="00754852" w:rsidRDefault="001B3AE0" w:rsidP="001B3AE0">
      <w:pPr>
        <w:pStyle w:val="Heading2"/>
        <w:rPr>
          <w:rFonts w:eastAsia="Calibri"/>
          <w:lang w:eastAsia="en-US"/>
        </w:rPr>
      </w:pPr>
      <w:bookmarkStart w:id="39" w:name="_Toc96585541"/>
      <w:r w:rsidRPr="00754852">
        <w:rPr>
          <w:rFonts w:eastAsia="Calibri"/>
          <w:lang w:eastAsia="en-US"/>
        </w:rPr>
        <w:t>International experience</w:t>
      </w:r>
      <w:bookmarkEnd w:id="39"/>
    </w:p>
    <w:p w14:paraId="4562144A" w14:textId="39433DE9" w:rsidR="001B3AE0" w:rsidRPr="00754852" w:rsidRDefault="001B3AE0" w:rsidP="00075D72">
      <w:pPr>
        <w:pStyle w:val="NumberedParagraph"/>
      </w:pPr>
      <w:r w:rsidRPr="00754852">
        <w:t>In the late 1980s and early 1990s, New Zealand had a relatively low company tax rate compared to most OECD countries</w:t>
      </w:r>
      <w:r w:rsidR="00A24167">
        <w:t>,</w:t>
      </w:r>
      <w:r w:rsidRPr="00754852">
        <w:t xml:space="preserve"> which made New Zealand a relatively attractive place to invest. However, as </w:t>
      </w:r>
      <w:r w:rsidR="00AF710F">
        <w:t>at</w:t>
      </w:r>
      <w:r w:rsidRPr="00754852">
        <w:t xml:space="preserve"> 2021, New Zealand’s company rate of 28% is the 8th highest in the OECD. This is due to the ongoing trend for OECD countries to cut their company tax rates, prompted by concerns about promoting investment and reducing international tax avoidance. Substantial cuts in company tax rates have occurred in non-OECD countries as well.</w:t>
      </w:r>
    </w:p>
    <w:p w14:paraId="5EB13B17" w14:textId="77777777" w:rsidR="001B3AE0" w:rsidRPr="00754852" w:rsidRDefault="001B3AE0" w:rsidP="00075D72">
      <w:pPr>
        <w:pStyle w:val="NumberedParagraph"/>
      </w:pPr>
      <w:r w:rsidRPr="00754852">
        <w:t xml:space="preserve">An important aspect of this trend is that the competition for tax base and location of companies is likely to be greater in countries that are close substitutes. In Europe, a business may, at times, be able to supply a large </w:t>
      </w:r>
      <w:r w:rsidRPr="00754852">
        <w:lastRenderedPageBreak/>
        <w:t>number of countries out of one country. In that case, a tax rate decrease may attract businesses that were otherwise largely indifferent to location.</w:t>
      </w:r>
    </w:p>
    <w:p w14:paraId="5034C3E3" w14:textId="494CB1E2" w:rsidR="001B3AE0" w:rsidRPr="00754852" w:rsidRDefault="001B3AE0" w:rsidP="00075D72">
      <w:pPr>
        <w:pStyle w:val="NumberedParagraph"/>
      </w:pPr>
      <w:r w:rsidRPr="00754852">
        <w:t>Australia is the closest country to New Zealand</w:t>
      </w:r>
      <w:r w:rsidR="00C4666C">
        <w:t>,</w:t>
      </w:r>
      <w:r w:rsidRPr="00754852">
        <w:t xml:space="preserve"> and if Australia were to reduce its company tax rate, this might put downward pressure on New Zealand’s company tax rate. Currently</w:t>
      </w:r>
      <w:r w:rsidR="002D4A9E">
        <w:t>,</w:t>
      </w:r>
      <w:r w:rsidRPr="00754852">
        <w:t xml:space="preserve"> just over half of foreign direct investment into New Zealand is from Australia</w:t>
      </w:r>
      <w:r w:rsidR="00075AC4">
        <w:t>,</w:t>
      </w:r>
      <w:r w:rsidRPr="00754852">
        <w:rPr>
          <w:vertAlign w:val="superscript"/>
        </w:rPr>
        <w:footnoteReference w:id="25"/>
      </w:r>
      <w:r w:rsidRPr="00754852">
        <w:t xml:space="preserve"> and </w:t>
      </w:r>
      <w:r w:rsidR="0076263C">
        <w:t>a reduction in Australia’s company tax rate</w:t>
      </w:r>
      <w:r w:rsidRPr="00754852">
        <w:t xml:space="preserve"> would increase incentives for profits to be streamed to Australia. Australia’s company </w:t>
      </w:r>
      <w:r w:rsidR="0076263C">
        <w:t xml:space="preserve">tax </w:t>
      </w:r>
      <w:r w:rsidRPr="00754852">
        <w:t>rate for larger companies is 30%</w:t>
      </w:r>
      <w:r w:rsidR="0076263C">
        <w:t>,</w:t>
      </w:r>
      <w:r w:rsidRPr="00754852">
        <w:t xml:space="preserve"> which is higher than New Zealand’s </w:t>
      </w:r>
      <w:r w:rsidR="008823C5">
        <w:t xml:space="preserve">company tax rate </w:t>
      </w:r>
      <w:r w:rsidRPr="00754852">
        <w:t xml:space="preserve">(although </w:t>
      </w:r>
      <w:r w:rsidR="008823C5">
        <w:t>Australia</w:t>
      </w:r>
      <w:r w:rsidRPr="00754852">
        <w:t xml:space="preserve"> has a lower 26% rate for small to medium companies). Our relative company tax rate is only one of several factors to consider. A bigger issue may be the Australian full imputation system. This currently provides incentives for companies with Australian parents to pay tax in Australia rather than New Zealand. This is because Australian imputation credits (referred to as franking credits in Australia) are available for taxes paid in Australia but not </w:t>
      </w:r>
      <w:r w:rsidR="005B0714">
        <w:t xml:space="preserve">those paid in </w:t>
      </w:r>
      <w:r w:rsidRPr="00754852">
        <w:t>New Zealand.</w:t>
      </w:r>
    </w:p>
    <w:p w14:paraId="134BAFD6" w14:textId="6403BC65" w:rsidR="001B3AE0" w:rsidRPr="00754852" w:rsidRDefault="001B3AE0" w:rsidP="00075D72">
      <w:pPr>
        <w:pStyle w:val="NumberedParagraph"/>
      </w:pPr>
      <w:r w:rsidRPr="00754852">
        <w:t xml:space="preserve">There are recent indications that there may be some movement back towards higher company tax rates internationally. Many countries are examining how best to repair their fiscal position after their COVID-19 response, and this may reduce downward pressure on company tax rates. The UK has announced an intention to increases its company </w:t>
      </w:r>
      <w:r w:rsidR="002562A1">
        <w:t xml:space="preserve">tax </w:t>
      </w:r>
      <w:r w:rsidRPr="00754852">
        <w:t xml:space="preserve">rate from 19% </w:t>
      </w:r>
      <w:r w:rsidR="002562A1">
        <w:t>to</w:t>
      </w:r>
      <w:r w:rsidRPr="00754852">
        <w:t xml:space="preserve"> 25%. Most recently, 130 out of 139 jurisdictions have signed up to a new international tax framework </w:t>
      </w:r>
      <w:r w:rsidR="001A545D">
        <w:t>that</w:t>
      </w:r>
      <w:r w:rsidRPr="00754852">
        <w:t xml:space="preserve"> would result in a global minimum company </w:t>
      </w:r>
      <w:r w:rsidR="001B41A7">
        <w:t xml:space="preserve">tax </w:t>
      </w:r>
      <w:r w:rsidRPr="00754852">
        <w:t>rate of 15% targeted at income from intangibles.</w:t>
      </w:r>
      <w:r w:rsidR="00B136BF">
        <w:t xml:space="preserve"> </w:t>
      </w:r>
      <w:r w:rsidR="009A0536">
        <w:t>All of this may be</w:t>
      </w:r>
      <w:r w:rsidR="00C13103">
        <w:t xml:space="preserve"> reducing or even reversing the </w:t>
      </w:r>
      <w:r w:rsidR="001F2CAC">
        <w:t xml:space="preserve">long </w:t>
      </w:r>
      <w:r w:rsidR="00C13103">
        <w:t>downward trend in company tax rates th</w:t>
      </w:r>
      <w:r w:rsidR="001F2CAC">
        <w:t>at</w:t>
      </w:r>
      <w:r w:rsidR="00060BAC">
        <w:t xml:space="preserve"> has been evident in the last 40 years (see </w:t>
      </w:r>
      <w:r w:rsidR="00ED7EBF">
        <w:t>f</w:t>
      </w:r>
      <w:r w:rsidR="00060BAC">
        <w:t>igure 1.1)</w:t>
      </w:r>
      <w:r w:rsidR="00E14485">
        <w:t>.</w:t>
      </w:r>
    </w:p>
    <w:p w14:paraId="59A56C73" w14:textId="77777777" w:rsidR="001B3AE0" w:rsidRPr="00754852" w:rsidRDefault="001B3AE0" w:rsidP="001B3AE0">
      <w:pPr>
        <w:pStyle w:val="Heading2"/>
        <w:rPr>
          <w:rFonts w:eastAsia="Calibri"/>
          <w:lang w:eastAsia="en-US"/>
        </w:rPr>
      </w:pPr>
      <w:bookmarkStart w:id="40" w:name="_Toc96585542"/>
      <w:r w:rsidRPr="00754852">
        <w:rPr>
          <w:rFonts w:eastAsia="Calibri"/>
          <w:lang w:eastAsia="en-US"/>
        </w:rPr>
        <w:t>Should future company tax rate cuts be signalled in advance?</w:t>
      </w:r>
      <w:bookmarkEnd w:id="40"/>
    </w:p>
    <w:p w14:paraId="3A3E4B19" w14:textId="28E33942" w:rsidR="001B3AE0" w:rsidRPr="00754852" w:rsidRDefault="001B3AE0" w:rsidP="00075D72">
      <w:pPr>
        <w:pStyle w:val="NumberedParagraph"/>
      </w:pPr>
      <w:r w:rsidRPr="00754852">
        <w:t>If governments wish</w:t>
      </w:r>
      <w:r w:rsidR="005D13FD">
        <w:t>ed</w:t>
      </w:r>
      <w:r w:rsidRPr="00754852">
        <w:t xml:space="preserve"> to cut the company tax rate, there is </w:t>
      </w:r>
      <w:r w:rsidR="009A46E5">
        <w:t>the</w:t>
      </w:r>
      <w:r w:rsidRPr="00754852">
        <w:t xml:space="preserve"> question of whether to do this in a way </w:t>
      </w:r>
      <w:r w:rsidR="009A46E5">
        <w:t>that</w:t>
      </w:r>
      <w:r w:rsidRPr="00754852">
        <w:t xml:space="preserve"> minimises windfalls for sunk investments. One way of doing so might be to announce a commitment to cut the rate at some stage in the future. A credible announcement of a future company tax rate cut</w:t>
      </w:r>
      <w:r w:rsidR="009A46E5">
        <w:t>,</w:t>
      </w:r>
      <w:r w:rsidRPr="00754852">
        <w:t xml:space="preserve"> or a programme of such cuts</w:t>
      </w:r>
      <w:r w:rsidR="009A46E5">
        <w:t>,</w:t>
      </w:r>
      <w:r w:rsidRPr="00754852">
        <w:t xml:space="preserve"> could promote investment </w:t>
      </w:r>
      <w:r w:rsidR="009A46E5">
        <w:t>before</w:t>
      </w:r>
      <w:r w:rsidRPr="00754852">
        <w:t xml:space="preserve"> the cuts taking place. This could reduce the windfall element in the future company </w:t>
      </w:r>
      <w:r w:rsidR="00BB24B0">
        <w:t xml:space="preserve">tax </w:t>
      </w:r>
      <w:r w:rsidRPr="00754852">
        <w:t>rate cuts.</w:t>
      </w:r>
    </w:p>
    <w:p w14:paraId="02D3D753" w14:textId="77777777" w:rsidR="001B3AE0" w:rsidRPr="00754852" w:rsidRDefault="001B3AE0" w:rsidP="001B3AE0">
      <w:pPr>
        <w:pStyle w:val="Heading2"/>
        <w:rPr>
          <w:rFonts w:eastAsia="Calibri"/>
          <w:lang w:eastAsia="en-US"/>
        </w:rPr>
      </w:pPr>
      <w:bookmarkStart w:id="41" w:name="_Toc96585543"/>
      <w:r w:rsidRPr="00754852">
        <w:rPr>
          <w:rFonts w:eastAsia="Calibri"/>
          <w:lang w:eastAsia="en-US"/>
        </w:rPr>
        <w:t xml:space="preserve">Implications for unincorporated enterprises and </w:t>
      </w:r>
      <w:r>
        <w:rPr>
          <w:rFonts w:eastAsia="Calibri"/>
          <w:lang w:eastAsia="en-US"/>
        </w:rPr>
        <w:t xml:space="preserve">domestic </w:t>
      </w:r>
      <w:r w:rsidRPr="00754852">
        <w:rPr>
          <w:rFonts w:eastAsia="Calibri"/>
          <w:lang w:eastAsia="en-US"/>
        </w:rPr>
        <w:t>SMEs operating as companies</w:t>
      </w:r>
      <w:bookmarkEnd w:id="41"/>
    </w:p>
    <w:p w14:paraId="13F84B72" w14:textId="2E8768C1" w:rsidR="001B3AE0" w:rsidRPr="00754852" w:rsidRDefault="001B3AE0" w:rsidP="00075D72">
      <w:pPr>
        <w:pStyle w:val="NumberedParagraph"/>
      </w:pPr>
      <w:r w:rsidRPr="00754852">
        <w:t>Some businesses are organised as sole proprietorships or partnerships and</w:t>
      </w:r>
      <w:r w:rsidR="00BB24B0">
        <w:t>,</w:t>
      </w:r>
      <w:r w:rsidRPr="00754852">
        <w:t xml:space="preserve"> in these enterprises</w:t>
      </w:r>
      <w:r w:rsidR="00BB24B0">
        <w:t>,</w:t>
      </w:r>
      <w:r w:rsidRPr="00754852">
        <w:t xml:space="preserve"> income is taxed at the personal tax rates of the owners. For domestic </w:t>
      </w:r>
      <w:r w:rsidR="001B2433">
        <w:t>small and medium enterprises (</w:t>
      </w:r>
      <w:r w:rsidRPr="00754852">
        <w:t>SMEs</w:t>
      </w:r>
      <w:r w:rsidR="001B2433">
        <w:t>)</w:t>
      </w:r>
      <w:r w:rsidRPr="00754852">
        <w:t xml:space="preserve"> that operate as companies and </w:t>
      </w:r>
      <w:r w:rsidR="00AB2A20">
        <w:t>that</w:t>
      </w:r>
      <w:r w:rsidRPr="00754852">
        <w:t xml:space="preserve"> are fully distributing profits to their domestic owners, this income will also be taxed at personal rates.</w:t>
      </w:r>
    </w:p>
    <w:p w14:paraId="3773020C" w14:textId="6F355D25" w:rsidR="001B3AE0" w:rsidRPr="00754852" w:rsidRDefault="00AB2A20" w:rsidP="00075D72">
      <w:pPr>
        <w:pStyle w:val="NumberedParagraph"/>
      </w:pPr>
      <w:r>
        <w:t>The</w:t>
      </w:r>
      <w:r w:rsidR="001B3AE0" w:rsidRPr="00754852">
        <w:t xml:space="preserve"> question might be asked whether personal tax rates should be cut at the same time as the company tax rate. If personal tax rates are designed to reflect a government’s goals on the progressivity of the tax system, it would seem that a reduction in the company tax rate because of cost of capital concerns should not provide a case for lower personal tax rates. Rather the issue should be how to ensure that company income is adequately taxed at the personal level to ensure that company income ends up being taxed at appropriate personal rates.</w:t>
      </w:r>
    </w:p>
    <w:tbl>
      <w:tblPr>
        <w:tblStyle w:val="QuestionsBox"/>
        <w:tblW w:w="0" w:type="auto"/>
        <w:tblLayout w:type="fixed"/>
        <w:tblLook w:val="04A0" w:firstRow="1" w:lastRow="0" w:firstColumn="1" w:lastColumn="0" w:noHBand="0" w:noVBand="1"/>
      </w:tblPr>
      <w:tblGrid>
        <w:gridCol w:w="9016"/>
      </w:tblGrid>
      <w:tr w:rsidR="001B3AE0" w:rsidRPr="00754852" w14:paraId="16EDCE66" w14:textId="77777777" w:rsidTr="00325672">
        <w:tc>
          <w:tcPr>
            <w:tcW w:w="9016" w:type="dxa"/>
          </w:tcPr>
          <w:p w14:paraId="59324BF7" w14:textId="77777777" w:rsidR="00325672" w:rsidRPr="00754852" w:rsidRDefault="00325672" w:rsidP="00325672">
            <w:pPr>
              <w:pStyle w:val="Heading2-Questions"/>
              <w:rPr>
                <w:rFonts w:eastAsia="Calibri"/>
                <w:lang w:eastAsia="en-US"/>
              </w:rPr>
            </w:pPr>
            <w:r w:rsidRPr="00754852">
              <w:rPr>
                <w:rFonts w:eastAsia="Calibri"/>
                <w:lang w:eastAsia="en-US"/>
              </w:rPr>
              <w:lastRenderedPageBreak/>
              <w:t>Key questions to consider</w:t>
            </w:r>
          </w:p>
          <w:p w14:paraId="37B30FAC" w14:textId="2EF3241B" w:rsidR="001B3AE0" w:rsidRPr="00754852" w:rsidRDefault="001B3AE0" w:rsidP="006B3D7B">
            <w:pPr>
              <w:ind w:left="843" w:hanging="843"/>
            </w:pPr>
            <w:r w:rsidRPr="0096767B">
              <w:rPr>
                <w:b/>
                <w:bCs/>
              </w:rPr>
              <w:t>Q6.1:</w:t>
            </w:r>
            <w:r>
              <w:tab/>
            </w:r>
            <w:r w:rsidRPr="00754852">
              <w:t>If New Zealand wish</w:t>
            </w:r>
            <w:r w:rsidR="00557C4F">
              <w:t>ed</w:t>
            </w:r>
            <w:r w:rsidRPr="00754852">
              <w:t xml:space="preserve"> to reduce EMTRs, should reducing the company tax rate be an option to be considered?</w:t>
            </w:r>
          </w:p>
          <w:p w14:paraId="6B6D0B4E" w14:textId="477E18DE" w:rsidR="001B3AE0" w:rsidRPr="00754852" w:rsidRDefault="001B3AE0" w:rsidP="006B3D7B">
            <w:pPr>
              <w:ind w:left="843" w:hanging="843"/>
            </w:pPr>
            <w:r w:rsidRPr="0096767B">
              <w:rPr>
                <w:b/>
                <w:bCs/>
              </w:rPr>
              <w:t>Q6.2:</w:t>
            </w:r>
            <w:r>
              <w:tab/>
            </w:r>
            <w:r w:rsidRPr="00754852">
              <w:t>If governments want</w:t>
            </w:r>
            <w:r w:rsidR="00194258">
              <w:t>ed</w:t>
            </w:r>
            <w:r w:rsidRPr="00754852">
              <w:t xml:space="preserve"> to reduce costs of capital and EMTRs without reducing the progressivity of the tax system, what accompanying tax changes would you suggest?</w:t>
            </w:r>
          </w:p>
          <w:p w14:paraId="515796A9" w14:textId="77777777" w:rsidR="001B3AE0" w:rsidRPr="00754852" w:rsidRDefault="001B3AE0" w:rsidP="006B3D7B">
            <w:pPr>
              <w:ind w:left="843" w:hanging="843"/>
            </w:pPr>
            <w:r w:rsidRPr="0096767B">
              <w:rPr>
                <w:b/>
                <w:bCs/>
              </w:rPr>
              <w:t>Q6.3:</w:t>
            </w:r>
            <w:r>
              <w:tab/>
            </w:r>
            <w:r w:rsidRPr="00754852">
              <w:t>Would the case for or against company tax rate cuts depend materially on what happens to company tax rates in other countries?</w:t>
            </w:r>
          </w:p>
          <w:p w14:paraId="283BBDD1" w14:textId="77777777" w:rsidR="001B3AE0" w:rsidRPr="00754852" w:rsidRDefault="001B3AE0" w:rsidP="006B3D7B">
            <w:pPr>
              <w:ind w:left="843" w:hanging="843"/>
            </w:pPr>
            <w:r w:rsidRPr="0096767B">
              <w:rPr>
                <w:b/>
                <w:bCs/>
              </w:rPr>
              <w:t>Q6.4:</w:t>
            </w:r>
            <w:r>
              <w:tab/>
            </w:r>
            <w:r w:rsidRPr="00754852">
              <w:t>If there were a cut in the company tax rate, should there be changes to other tax rates at the same time?</w:t>
            </w:r>
          </w:p>
        </w:tc>
      </w:tr>
    </w:tbl>
    <w:p w14:paraId="3C13DFDE" w14:textId="6DFE75CB" w:rsidR="001B3AE0" w:rsidRPr="00586800" w:rsidRDefault="001B3AE0" w:rsidP="00E1409A">
      <w:pPr>
        <w:rPr>
          <w:rFonts w:eastAsia="Calibri"/>
        </w:rPr>
      </w:pPr>
    </w:p>
    <w:p w14:paraId="6180260E" w14:textId="77777777" w:rsidR="001B3AE0" w:rsidRPr="004B1C56" w:rsidRDefault="001B3AE0" w:rsidP="001B3AE0">
      <w:pPr>
        <w:pStyle w:val="Heading1"/>
        <w:rPr>
          <w:rFonts w:eastAsia="Calibri"/>
          <w:lang w:eastAsia="en-US"/>
        </w:rPr>
      </w:pPr>
      <w:r w:rsidRPr="004B1C56">
        <w:rPr>
          <w:rFonts w:eastAsia="Calibri"/>
          <w:lang w:eastAsia="en-US"/>
        </w:rPr>
        <w:lastRenderedPageBreak/>
        <w:br/>
      </w:r>
      <w:r w:rsidRPr="004B1C56">
        <w:rPr>
          <w:rFonts w:eastAsia="Calibri"/>
          <w:lang w:eastAsia="en-US"/>
        </w:rPr>
        <w:br/>
      </w:r>
      <w:bookmarkStart w:id="42" w:name="_Toc96585544"/>
      <w:r w:rsidRPr="004B1C56">
        <w:rPr>
          <w:rFonts w:eastAsia="Calibri"/>
          <w:lang w:eastAsia="en-US"/>
        </w:rPr>
        <w:t>Accelerated Depreciation</w:t>
      </w:r>
      <w:bookmarkEnd w:id="42"/>
    </w:p>
    <w:tbl>
      <w:tblPr>
        <w:tblStyle w:val="SummaryBox"/>
        <w:tblW w:w="0" w:type="auto"/>
        <w:tblLayout w:type="fixed"/>
        <w:tblLook w:val="04A0" w:firstRow="1" w:lastRow="0" w:firstColumn="1" w:lastColumn="0" w:noHBand="0" w:noVBand="1"/>
      </w:tblPr>
      <w:tblGrid>
        <w:gridCol w:w="8778"/>
      </w:tblGrid>
      <w:tr w:rsidR="001B3AE0" w:rsidRPr="00FC3791" w14:paraId="063F6203" w14:textId="77777777" w:rsidTr="007D07BC">
        <w:tc>
          <w:tcPr>
            <w:tcW w:w="8778" w:type="dxa"/>
          </w:tcPr>
          <w:p w14:paraId="0C40E232" w14:textId="77777777" w:rsidR="001B3AE0" w:rsidRPr="00FC3791" w:rsidRDefault="001B3AE0" w:rsidP="00597B6B">
            <w:pPr>
              <w:pStyle w:val="ListBullet"/>
            </w:pPr>
            <w:r w:rsidRPr="00FC3791">
              <w:t>Accelerated depreciation schemes are measures that many countries have used to incentivise investment.</w:t>
            </w:r>
          </w:p>
          <w:p w14:paraId="30325C5A" w14:textId="4CACB400" w:rsidR="001B3AE0" w:rsidRPr="00FC3791" w:rsidRDefault="001B3AE0" w:rsidP="00597B6B">
            <w:pPr>
              <w:pStyle w:val="ListBullet"/>
            </w:pPr>
            <w:r w:rsidRPr="00FC3791">
              <w:t xml:space="preserve">They could reduce higher costs of capital and EMTRs </w:t>
            </w:r>
            <w:r w:rsidR="000E463F">
              <w:t xml:space="preserve">by </w:t>
            </w:r>
            <w:r w:rsidRPr="00FC3791">
              <w:t>reducing taxes on marginal investments</w:t>
            </w:r>
            <w:r w:rsidR="006F1DC7">
              <w:t>,</w:t>
            </w:r>
            <w:r w:rsidRPr="00FC3791">
              <w:t xml:space="preserve"> and by offsetting some biases caused by inflation </w:t>
            </w:r>
            <w:r w:rsidR="006F1DC7">
              <w:t xml:space="preserve">they </w:t>
            </w:r>
            <w:r w:rsidRPr="00FC3791">
              <w:t>could potentially increase the neutrality of many forms of investment.</w:t>
            </w:r>
          </w:p>
          <w:p w14:paraId="170DA76A" w14:textId="4B8CE061" w:rsidR="001B3AE0" w:rsidRPr="00FC3791" w:rsidRDefault="001B3AE0" w:rsidP="00597B6B">
            <w:pPr>
              <w:pStyle w:val="ListBullet"/>
            </w:pPr>
            <w:r w:rsidRPr="00FC3791">
              <w:t xml:space="preserve">They would, however, lead to biases between assets </w:t>
            </w:r>
            <w:r w:rsidR="006F1DC7">
              <w:t>that</w:t>
            </w:r>
            <w:r w:rsidRPr="00FC3791">
              <w:t xml:space="preserve"> benefit from these accelerated depreciation schemes and inventories.</w:t>
            </w:r>
          </w:p>
          <w:p w14:paraId="01DC4243" w14:textId="7688BA02" w:rsidR="001B3AE0" w:rsidRPr="00FC3791" w:rsidRDefault="001B3AE0" w:rsidP="00597B6B">
            <w:pPr>
              <w:pStyle w:val="ListBullet"/>
            </w:pPr>
            <w:r w:rsidRPr="00FC3791">
              <w:t xml:space="preserve">An attraction of accelerated depreciation schemes relative to a company tax rate cut is that </w:t>
            </w:r>
            <w:r w:rsidR="000F32DA">
              <w:t>accelerated depreciation</w:t>
            </w:r>
            <w:r w:rsidRPr="00FC3791">
              <w:t xml:space="preserve"> could be restricted to new investments and minimise windfalls.</w:t>
            </w:r>
          </w:p>
          <w:p w14:paraId="79E6B304" w14:textId="4C449D1E" w:rsidR="001B3AE0" w:rsidRPr="00FC3791" w:rsidRDefault="001B3AE0" w:rsidP="00597B6B">
            <w:pPr>
              <w:pStyle w:val="ListBullet"/>
            </w:pPr>
            <w:r w:rsidRPr="00FC3791">
              <w:t>At the same time</w:t>
            </w:r>
            <w:r w:rsidR="005702E5">
              <w:t>,</w:t>
            </w:r>
            <w:r w:rsidRPr="00FC3791">
              <w:t xml:space="preserve"> restricting accelerated depreciation to new investment only would create some distortions by discouraging sales of assets.</w:t>
            </w:r>
          </w:p>
          <w:p w14:paraId="226EA6E1" w14:textId="287D390A" w:rsidR="001B3AE0" w:rsidRPr="00FC3791" w:rsidRDefault="001B3AE0" w:rsidP="00597B6B">
            <w:pPr>
              <w:pStyle w:val="ListBullet"/>
            </w:pPr>
            <w:r w:rsidRPr="00FC3791">
              <w:t>Accelerated depreciation would also not be as likely to create tax sheltering opportunities as a cut in the company tax rate</w:t>
            </w:r>
            <w:r w:rsidR="00AF0510">
              <w:t xml:space="preserve"> would</w:t>
            </w:r>
            <w:r w:rsidRPr="00FC3791">
              <w:t>.</w:t>
            </w:r>
          </w:p>
          <w:p w14:paraId="0A04CB0D" w14:textId="77777777" w:rsidR="001B3AE0" w:rsidRPr="00FC3791" w:rsidRDefault="001B3AE0" w:rsidP="00597B6B">
            <w:pPr>
              <w:pStyle w:val="ListBullet"/>
            </w:pPr>
            <w:r w:rsidRPr="00FC3791">
              <w:t xml:space="preserve">Unlike a cut in the company tax rate, </w:t>
            </w:r>
            <w:r>
              <w:t>accelerated depreciation</w:t>
            </w:r>
            <w:r w:rsidRPr="00FC3791">
              <w:t xml:space="preserve"> would not reduce biases between debt and equity financing by non-resident investors.</w:t>
            </w:r>
          </w:p>
          <w:p w14:paraId="74EE65DF" w14:textId="77777777" w:rsidR="001B3AE0" w:rsidRPr="00FC3791" w:rsidRDefault="001B3AE0" w:rsidP="00597B6B">
            <w:pPr>
              <w:pStyle w:val="ListBullet"/>
            </w:pPr>
            <w:r>
              <w:t>Accelerated depreciation</w:t>
            </w:r>
            <w:r w:rsidRPr="00FC3791">
              <w:t xml:space="preserve"> would also not reduce international tax avoidance pressures caused by New Zealand’s company tax rate being higher than the company tax rates in many other countries.</w:t>
            </w:r>
          </w:p>
          <w:p w14:paraId="78C70608" w14:textId="1285C027" w:rsidR="001B3AE0" w:rsidRPr="00FC3791" w:rsidRDefault="001B3AE0" w:rsidP="00597B6B">
            <w:pPr>
              <w:pStyle w:val="ListBullet"/>
            </w:pPr>
            <w:r w:rsidRPr="00FC3791">
              <w:t>At times</w:t>
            </w:r>
            <w:r w:rsidR="006629CB">
              <w:t>,</w:t>
            </w:r>
            <w:r w:rsidRPr="00FC3791">
              <w:t xml:space="preserve"> </w:t>
            </w:r>
            <w:r>
              <w:t>accelerated depreciation</w:t>
            </w:r>
            <w:r w:rsidRPr="00FC3791">
              <w:t xml:space="preserve"> may lead to investment subsidies and promote inefficient investment.</w:t>
            </w:r>
          </w:p>
        </w:tc>
      </w:tr>
    </w:tbl>
    <w:p w14:paraId="489FBF5E" w14:textId="77777777" w:rsidR="001B3AE0" w:rsidRPr="00FC3791" w:rsidRDefault="001B3AE0" w:rsidP="001B3AE0">
      <w:pPr>
        <w:pStyle w:val="Heading2"/>
        <w:rPr>
          <w:rFonts w:eastAsia="Calibri"/>
          <w:lang w:eastAsia="en-US"/>
        </w:rPr>
      </w:pPr>
      <w:bookmarkStart w:id="43" w:name="_Toc96585545"/>
      <w:r w:rsidRPr="00FC3791">
        <w:rPr>
          <w:rFonts w:eastAsia="Calibri"/>
          <w:lang w:eastAsia="en-US"/>
        </w:rPr>
        <w:t>Introduction</w:t>
      </w:r>
      <w:bookmarkEnd w:id="43"/>
    </w:p>
    <w:p w14:paraId="337D4E6B" w14:textId="77777777" w:rsidR="001B3AE0" w:rsidRPr="00FC3791" w:rsidRDefault="001B3AE0" w:rsidP="00075D72">
      <w:pPr>
        <w:pStyle w:val="NumberedParagraph"/>
      </w:pPr>
      <w:r w:rsidRPr="00FC3791">
        <w:t>Accelerated depreciation or additional deductions for capital costs (such as investment allowances) or tax credits are commonly used by countries to lower the cost of capital and incentivise investment.</w:t>
      </w:r>
    </w:p>
    <w:p w14:paraId="69362D78" w14:textId="462E68EB" w:rsidR="001B3AE0" w:rsidRPr="00FC3791" w:rsidRDefault="006629CB" w:rsidP="00075D72">
      <w:pPr>
        <w:pStyle w:val="NumberedParagraph"/>
      </w:pPr>
      <w:r>
        <w:t>Before</w:t>
      </w:r>
      <w:r w:rsidR="001B3AE0" w:rsidRPr="00FC3791">
        <w:t xml:space="preserve"> 2010, New Zealand allowed accelerated depreciation of machinery and equipment but not buildings. Accelerated depreciation as a deliberate policy was removed in 2010.</w:t>
      </w:r>
    </w:p>
    <w:p w14:paraId="5E7B4330" w14:textId="77777777" w:rsidR="001B3AE0" w:rsidRPr="00FC3791" w:rsidRDefault="001B3AE0" w:rsidP="001B3AE0">
      <w:pPr>
        <w:pStyle w:val="Heading2"/>
        <w:rPr>
          <w:rFonts w:eastAsia="Calibri"/>
          <w:lang w:eastAsia="en-US"/>
        </w:rPr>
      </w:pPr>
      <w:bookmarkStart w:id="44" w:name="_Toc96585546"/>
      <w:r w:rsidRPr="00FC3791">
        <w:rPr>
          <w:rFonts w:eastAsia="Calibri"/>
          <w:lang w:eastAsia="en-US"/>
        </w:rPr>
        <w:t>Possible accelerated depreciation measures</w:t>
      </w:r>
      <w:bookmarkEnd w:id="44"/>
    </w:p>
    <w:p w14:paraId="39CD662C" w14:textId="77777777" w:rsidR="001B3AE0" w:rsidRPr="00FC3791" w:rsidRDefault="001B3AE0" w:rsidP="00075D72">
      <w:pPr>
        <w:pStyle w:val="NumberedParagraph"/>
      </w:pPr>
      <w:r w:rsidRPr="00FC3791">
        <w:t>In this chapter we focus on two types of accelerated depreciation measures: depreciation loading and partial expensing.</w:t>
      </w:r>
    </w:p>
    <w:p w14:paraId="17D588BE" w14:textId="7D7BCF51" w:rsidR="001B3AE0" w:rsidRPr="00FC3791" w:rsidRDefault="001B3AE0" w:rsidP="00075D72">
      <w:pPr>
        <w:pStyle w:val="NumberedParagraph-BulletL1"/>
      </w:pPr>
      <w:r w:rsidRPr="00FC3791">
        <w:t xml:space="preserve">Depreciation loading means allowing a deduction from taxable income </w:t>
      </w:r>
      <w:r w:rsidR="00B7131C">
        <w:t>that</w:t>
      </w:r>
      <w:r w:rsidRPr="00FC3791">
        <w:t xml:space="preserve"> is greater than the standard depreciation rate. Suppose an asset would normally receive a diminishing value (DV) rate of depreciation of 10% each year. This means that if an asset costs $10,000, $1,000 would be allowed as a depreciation deduction in the first year, </w:t>
      </w:r>
      <w:r w:rsidRPr="00FC3791" w:rsidDel="003D7D62">
        <w:t>$</w:t>
      </w:r>
      <w:r w:rsidRPr="00FC3791">
        <w:t xml:space="preserve">900 (namely, 10% of the residual balance of $9,000) in the next year and so forth. Now </w:t>
      </w:r>
      <w:r w:rsidRPr="00FC3791">
        <w:lastRenderedPageBreak/>
        <w:t>suppose that an additional 20% depreciation loading is permitted. The yearly DV depreciation deduction would be increased to 12%.</w:t>
      </w:r>
    </w:p>
    <w:p w14:paraId="75EBA3EE" w14:textId="0C6A5CDC" w:rsidR="001B3AE0" w:rsidRPr="00FC3791" w:rsidRDefault="001B3AE0" w:rsidP="00075D72">
      <w:pPr>
        <w:pStyle w:val="NumberedParagraph-BulletL1"/>
      </w:pPr>
      <w:r w:rsidRPr="00FC3791">
        <w:t xml:space="preserve">Partial expensing means that a portion of the cost of a new asset can be deducted immediately (in the year that an asset is acquired) from taxable income. The remaining cost of the asset is deducted at the normal depreciation rate. For example, suppose once more that an asset costs $10,000 and would normally qualify for a 10% </w:t>
      </w:r>
      <w:r w:rsidR="00487032">
        <w:t>DV</w:t>
      </w:r>
      <w:r w:rsidRPr="00FC3791">
        <w:t xml:space="preserve"> rate of depreciation. Now suppose that partial expensing of 50% is permitted. Taxable income is reduced by $5,000 immediately. The remaining $5,000 is depreciated at a 10% </w:t>
      </w:r>
      <w:r w:rsidR="004663BF">
        <w:t>DV</w:t>
      </w:r>
      <w:r w:rsidRPr="00FC3791">
        <w:t xml:space="preserve"> rate of depreciation.</w:t>
      </w:r>
    </w:p>
    <w:p w14:paraId="6BFCE987" w14:textId="77777777" w:rsidR="001B3AE0" w:rsidRPr="00FC3791" w:rsidRDefault="001B3AE0" w:rsidP="001B3AE0">
      <w:pPr>
        <w:pStyle w:val="Heading2"/>
        <w:rPr>
          <w:rFonts w:eastAsia="Calibri"/>
          <w:lang w:eastAsia="en-US"/>
        </w:rPr>
      </w:pPr>
      <w:bookmarkStart w:id="45" w:name="_Toc96585547"/>
      <w:r w:rsidRPr="00FC3791">
        <w:rPr>
          <w:rFonts w:eastAsia="Calibri"/>
          <w:lang w:eastAsia="en-US"/>
        </w:rPr>
        <w:t>Impacts on costs of capital and EMTRs</w:t>
      </w:r>
      <w:bookmarkEnd w:id="45"/>
    </w:p>
    <w:p w14:paraId="6097DAD9" w14:textId="54175223" w:rsidR="001B3AE0" w:rsidRPr="00FC3791" w:rsidRDefault="001B3AE0" w:rsidP="00075D72">
      <w:pPr>
        <w:pStyle w:val="NumberedParagraph"/>
      </w:pPr>
      <w:r w:rsidRPr="00FC3791">
        <w:t xml:space="preserve">Table </w:t>
      </w:r>
      <w:r>
        <w:t xml:space="preserve">7.1 </w:t>
      </w:r>
      <w:r w:rsidRPr="00FC3791">
        <w:t>reports the estimated EMTRs for various assets. As in chapter 6, we assume that the assets are held by a domestic company with marginal foreign shareholders. The world real interest rate is 3%</w:t>
      </w:r>
      <w:r w:rsidR="004663BF">
        <w:t>,</w:t>
      </w:r>
      <w:r w:rsidRPr="00FC3791">
        <w:t xml:space="preserve"> and non-resident shareholders demand a real rate of return of 3% net of any New Zealand taxes. Due to </w:t>
      </w:r>
      <w:r w:rsidR="00946E27">
        <w:t>approved issuer levy (</w:t>
      </w:r>
      <w:r w:rsidRPr="00FC3791">
        <w:t>AIL</w:t>
      </w:r>
      <w:r w:rsidR="00946E27">
        <w:t>)</w:t>
      </w:r>
      <w:r w:rsidRPr="00FC3791">
        <w:t xml:space="preserve">, the domestic real interest rate is bid up to 3.10%. Furthermore, we assume that firms are 43% debt </w:t>
      </w:r>
      <w:r w:rsidR="00B54A69">
        <w:t>financed</w:t>
      </w:r>
      <w:r w:rsidRPr="00FC3791">
        <w:t xml:space="preserve">. The depreciation allowance rates for </w:t>
      </w:r>
      <w:r w:rsidR="00B54A69">
        <w:t>‘</w:t>
      </w:r>
      <w:r w:rsidRPr="00FC3791">
        <w:t>plant, machinery, and equipment</w:t>
      </w:r>
      <w:r w:rsidR="00B54A69">
        <w:t>’</w:t>
      </w:r>
      <w:r w:rsidRPr="00FC3791">
        <w:t xml:space="preserve"> (PME) are assumed to be set to mirror how the asset would depreciate in the absence of inflation. Rows 3</w:t>
      </w:r>
      <w:r w:rsidR="00E402A4" w:rsidRPr="00586800">
        <w:t>–</w:t>
      </w:r>
      <w:r w:rsidRPr="00FC3791">
        <w:t>5 report estimated costs of capital and rows 6</w:t>
      </w:r>
      <w:r w:rsidR="00E402A4" w:rsidRPr="00841651">
        <w:t>–</w:t>
      </w:r>
      <w:r w:rsidRPr="00FC3791">
        <w:t>8 report estimated EMTRs. We consider three possible tax treatments:</w:t>
      </w:r>
    </w:p>
    <w:p w14:paraId="3CB3ABF2" w14:textId="4C3CF261" w:rsidR="001B3AE0" w:rsidRPr="00FC3791" w:rsidRDefault="001B3AE0" w:rsidP="00075D72">
      <w:pPr>
        <w:pStyle w:val="NumberedParagraph-BulletL1"/>
      </w:pPr>
      <w:r w:rsidRPr="00FC3791">
        <w:t>the status quo</w:t>
      </w:r>
    </w:p>
    <w:p w14:paraId="53D83915" w14:textId="5353BF98" w:rsidR="001B3AE0" w:rsidRPr="00FC3791" w:rsidRDefault="001B3AE0" w:rsidP="00075D72">
      <w:pPr>
        <w:pStyle w:val="NumberedParagraph-BulletL1"/>
      </w:pPr>
      <w:r w:rsidRPr="00FC3791">
        <w:t>20% depreciation loading for both buildings and PMEs,</w:t>
      </w:r>
      <w:r w:rsidR="00336043">
        <w:t xml:space="preserve"> and</w:t>
      </w:r>
    </w:p>
    <w:p w14:paraId="2912B020" w14:textId="77777777" w:rsidR="001B3AE0" w:rsidRPr="00FC3791" w:rsidRDefault="001B3AE0" w:rsidP="00075D72">
      <w:pPr>
        <w:pStyle w:val="NumberedParagraph-BulletL1"/>
      </w:pPr>
      <w:r w:rsidRPr="00FC3791">
        <w:t>20% partial expensing for buildings and for PMEs with depreciation rates greater than zero.</w:t>
      </w:r>
    </w:p>
    <w:p w14:paraId="4CFB78C4" w14:textId="293FBF45" w:rsidR="001B3AE0" w:rsidRPr="00FC3791" w:rsidRDefault="001B3AE0" w:rsidP="00075D72">
      <w:pPr>
        <w:pStyle w:val="NumberedParagraph"/>
      </w:pPr>
      <w:r w:rsidRPr="00FC3791">
        <w:t xml:space="preserve">There is a question how depreciation loading would be applied to an asset </w:t>
      </w:r>
      <w:r w:rsidR="00E3771E">
        <w:t>that</w:t>
      </w:r>
      <w:r w:rsidRPr="00FC3791">
        <w:t xml:space="preserve"> qualifies for full depreciation of </w:t>
      </w:r>
      <w:r w:rsidRPr="00FC3791">
        <w:rPr>
          <w:position w:val="-6"/>
        </w:rPr>
        <w:object w:dxaOrig="1520" w:dyaOrig="260" w14:anchorId="5C1C6BE2">
          <v:shape id="_x0000_i1026" type="#_x0000_t75" style="width:76.55pt;height:12.75pt" o:ole="">
            <v:imagedata r:id="rId29" o:title=""/>
          </v:shape>
          <o:OLEObject Type="Embed" ProgID="Equation.DSMT4" ShapeID="_x0000_i1026" DrawAspect="Content" ObjectID="_1707199212" r:id="rId30"/>
        </w:object>
      </w:r>
      <w:r w:rsidRPr="00FC3791">
        <w:t xml:space="preserve"> over its first year</w:t>
      </w:r>
      <w:r w:rsidR="00741953">
        <w:t>. This is because</w:t>
      </w:r>
      <w:r w:rsidRPr="00FC3791">
        <w:t xml:space="preserve"> it would be impossible to give a depreciation loading without allowing more than the full cost of the asset to be depreciated. We assume that current depreciation rules are maintained for these assets</w:t>
      </w:r>
      <w:r w:rsidR="00E95391">
        <w:t>,</w:t>
      </w:r>
      <w:r w:rsidRPr="00FC3791">
        <w:t xml:space="preserve"> so costs of capital and EMTRs are uncha</w:t>
      </w:r>
      <w:r>
        <w:t>n</w:t>
      </w:r>
      <w:r w:rsidRPr="00FC3791">
        <w:t>ged from the status quo. An alternative might be to allow some level of partial expensing in lieu of depreciation loading for th</w:t>
      </w:r>
      <w:r w:rsidR="00E95391">
        <w:t>ose</w:t>
      </w:r>
      <w:r w:rsidRPr="00FC3791">
        <w:t xml:space="preserve"> for which </w:t>
      </w:r>
      <w:r w:rsidRPr="00FC3791">
        <w:rPr>
          <w:position w:val="-6"/>
        </w:rPr>
        <w:object w:dxaOrig="1520" w:dyaOrig="260" w14:anchorId="49639FEF">
          <v:shape id="_x0000_i1027" type="#_x0000_t75" style="width:76.55pt;height:12.75pt" o:ole="">
            <v:imagedata r:id="rId31" o:title=""/>
          </v:shape>
          <o:OLEObject Type="Embed" ProgID="Equation.DSMT4" ShapeID="_x0000_i1027" DrawAspect="Content" ObjectID="_1707199213" r:id="rId32"/>
        </w:object>
      </w:r>
      <w:r w:rsidRPr="00FC3791">
        <w:t>.</w:t>
      </w:r>
    </w:p>
    <w:p w14:paraId="6654D96F" w14:textId="1DB6F2F7" w:rsidR="001B3AE0" w:rsidRPr="00FC3791" w:rsidRDefault="001B3AE0" w:rsidP="0017473C">
      <w:pPr>
        <w:pStyle w:val="Caption"/>
        <w:ind w:left="-426" w:right="-426"/>
        <w:rPr>
          <w:rFonts w:eastAsia="Calibri"/>
          <w:lang w:eastAsia="en-US"/>
        </w:rPr>
      </w:pPr>
      <w:r w:rsidRPr="00FC3791">
        <w:rPr>
          <w:rFonts w:eastAsia="Calibri"/>
          <w:lang w:eastAsia="en-US"/>
        </w:rPr>
        <w:lastRenderedPageBreak/>
        <w:t xml:space="preserve">Table </w:t>
      </w:r>
      <w:r>
        <w:rPr>
          <w:rFonts w:eastAsia="Calibri"/>
          <w:lang w:eastAsia="en-US"/>
        </w:rPr>
        <w:t xml:space="preserve">7.1: </w:t>
      </w:r>
      <w:r w:rsidRPr="00FC3791">
        <w:rPr>
          <w:rFonts w:eastAsia="Calibri"/>
          <w:lang w:eastAsia="en-US"/>
        </w:rPr>
        <w:t>Costs of capital and EMTRs</w:t>
      </w:r>
      <w:r w:rsidR="00E95391">
        <w:rPr>
          <w:rFonts w:eastAsia="Calibri"/>
          <w:lang w:eastAsia="en-US"/>
        </w:rPr>
        <w:t>,</w:t>
      </w:r>
      <w:r w:rsidRPr="00FC3791">
        <w:rPr>
          <w:rFonts w:eastAsia="Calibri"/>
          <w:lang w:eastAsia="en-US"/>
        </w:rPr>
        <w:t xml:space="preserve"> debt = 43%, r = 3%, inflation = 2%,</w:t>
      </w:r>
      <w:r>
        <w:rPr>
          <w:rFonts w:eastAsia="Calibri"/>
          <w:lang w:eastAsia="en-US"/>
        </w:rPr>
        <w:t xml:space="preserve"> </w:t>
      </w:r>
      <w:r w:rsidR="0017473C">
        <w:rPr>
          <w:rFonts w:eastAsia="Calibri"/>
          <w:lang w:eastAsia="en-US"/>
        </w:rPr>
        <w:br/>
      </w:r>
      <w:r w:rsidR="00ED650F">
        <w:rPr>
          <w:rFonts w:eastAsia="Calibri"/>
          <w:lang w:eastAsia="en-US"/>
        </w:rPr>
        <w:t>AIL</w:t>
      </w:r>
      <w:r w:rsidR="00AF1878">
        <w:rPr>
          <w:rFonts w:eastAsia="Calibri"/>
          <w:lang w:eastAsia="en-US"/>
        </w:rPr>
        <w:t xml:space="preserve"> = 2%</w:t>
      </w:r>
      <w:r w:rsidR="00801223">
        <w:rPr>
          <w:rFonts w:eastAsia="Calibri"/>
          <w:lang w:eastAsia="en-US"/>
        </w:rPr>
        <w:t xml:space="preserve">, </w:t>
      </w:r>
      <w:r w:rsidRPr="00FC3791">
        <w:rPr>
          <w:rFonts w:eastAsia="Calibri"/>
          <w:lang w:eastAsia="en-US"/>
        </w:rPr>
        <w:t xml:space="preserve">Status quo compared with </w:t>
      </w:r>
      <w:r w:rsidR="00BA155E">
        <w:rPr>
          <w:rFonts w:eastAsia="Calibri"/>
          <w:lang w:eastAsia="en-US"/>
        </w:rPr>
        <w:t>accelerated depreciation options</w:t>
      </w:r>
    </w:p>
    <w:tbl>
      <w:tblPr>
        <w:tblStyle w:val="TableGrid"/>
        <w:tblW w:w="9781" w:type="dxa"/>
        <w:tblInd w:w="-501"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left w:w="28" w:type="dxa"/>
          <w:right w:w="28" w:type="dxa"/>
        </w:tblCellMar>
        <w:tblLook w:val="04A0" w:firstRow="1" w:lastRow="0" w:firstColumn="1" w:lastColumn="0" w:noHBand="0" w:noVBand="1"/>
      </w:tblPr>
      <w:tblGrid>
        <w:gridCol w:w="1347"/>
        <w:gridCol w:w="992"/>
        <w:gridCol w:w="737"/>
        <w:gridCol w:w="681"/>
        <w:gridCol w:w="651"/>
        <w:gridCol w:w="666"/>
        <w:gridCol w:w="667"/>
        <w:gridCol w:w="1134"/>
        <w:gridCol w:w="851"/>
        <w:gridCol w:w="1134"/>
        <w:gridCol w:w="921"/>
      </w:tblGrid>
      <w:tr w:rsidR="00E1409A" w:rsidRPr="008F735E" w14:paraId="3F00D57C" w14:textId="77777777" w:rsidTr="00841651">
        <w:trPr>
          <w:tblHeader/>
        </w:trPr>
        <w:tc>
          <w:tcPr>
            <w:tcW w:w="1347" w:type="dxa"/>
            <w:shd w:val="clear" w:color="auto" w:fill="232E36"/>
          </w:tcPr>
          <w:p w14:paraId="7A06A602" w14:textId="77777777" w:rsidR="00E1409A" w:rsidRPr="008F735E" w:rsidRDefault="00E1409A" w:rsidP="00841651">
            <w:pPr>
              <w:keepNext/>
              <w:keepLines/>
              <w:spacing w:before="120" w:after="120"/>
              <w:jc w:val="left"/>
              <w:rPr>
                <w:color w:val="FFFFFF" w:themeColor="background1"/>
                <w:sz w:val="14"/>
                <w:szCs w:val="14"/>
              </w:rPr>
            </w:pPr>
          </w:p>
        </w:tc>
        <w:tc>
          <w:tcPr>
            <w:tcW w:w="992" w:type="dxa"/>
            <w:shd w:val="clear" w:color="auto" w:fill="232E36"/>
          </w:tcPr>
          <w:p w14:paraId="6C1BA50B" w14:textId="77777777" w:rsidR="00E1409A" w:rsidRPr="008F735E" w:rsidRDefault="00E1409A" w:rsidP="00841651">
            <w:pPr>
              <w:keepNext/>
              <w:keepLines/>
              <w:spacing w:before="120" w:after="120"/>
              <w:jc w:val="center"/>
              <w:rPr>
                <w:b/>
                <w:bCs/>
                <w:color w:val="FFFFFF" w:themeColor="background1"/>
                <w:sz w:val="14"/>
                <w:szCs w:val="14"/>
              </w:rPr>
            </w:pPr>
            <w:r w:rsidRPr="008F735E">
              <w:rPr>
                <w:b/>
                <w:bCs/>
                <w:color w:val="FFFFFF" w:themeColor="background1"/>
                <w:sz w:val="14"/>
                <w:szCs w:val="14"/>
              </w:rPr>
              <w:t>Commercial and industrial buildings</w:t>
            </w:r>
          </w:p>
        </w:tc>
        <w:tc>
          <w:tcPr>
            <w:tcW w:w="3402" w:type="dxa"/>
            <w:gridSpan w:val="5"/>
            <w:shd w:val="clear" w:color="auto" w:fill="232E36"/>
          </w:tcPr>
          <w:p w14:paraId="7B977CD2" w14:textId="77777777" w:rsidR="00E1409A" w:rsidRPr="008F735E" w:rsidRDefault="00E1409A" w:rsidP="00841651">
            <w:pPr>
              <w:keepNext/>
              <w:keepLines/>
              <w:spacing w:before="120" w:after="120"/>
              <w:jc w:val="center"/>
              <w:rPr>
                <w:b/>
                <w:bCs/>
                <w:color w:val="FFFFFF" w:themeColor="background1"/>
                <w:sz w:val="14"/>
                <w:szCs w:val="14"/>
              </w:rPr>
            </w:pPr>
            <w:r w:rsidRPr="008F735E">
              <w:rPr>
                <w:b/>
                <w:bCs/>
                <w:color w:val="FFFFFF" w:themeColor="background1"/>
                <w:sz w:val="14"/>
                <w:szCs w:val="14"/>
              </w:rPr>
              <w:t>Plant, machinery and equipment</w:t>
            </w:r>
          </w:p>
        </w:tc>
        <w:tc>
          <w:tcPr>
            <w:tcW w:w="1134" w:type="dxa"/>
            <w:shd w:val="clear" w:color="auto" w:fill="232E36"/>
          </w:tcPr>
          <w:p w14:paraId="7D9C7ECB" w14:textId="1F137A14" w:rsidR="00E1409A" w:rsidRPr="008F735E" w:rsidRDefault="00E1409A" w:rsidP="00841651">
            <w:pPr>
              <w:keepNext/>
              <w:keepLines/>
              <w:spacing w:before="120" w:after="120"/>
              <w:jc w:val="center"/>
              <w:rPr>
                <w:b/>
                <w:bCs/>
                <w:color w:val="FFFFFF" w:themeColor="background1"/>
                <w:sz w:val="14"/>
                <w:szCs w:val="14"/>
              </w:rPr>
            </w:pPr>
            <w:r w:rsidRPr="008F735E">
              <w:rPr>
                <w:b/>
                <w:bCs/>
                <w:color w:val="FFFFFF" w:themeColor="background1"/>
                <w:sz w:val="14"/>
                <w:szCs w:val="14"/>
              </w:rPr>
              <w:t>Zero</w:t>
            </w:r>
            <w:r w:rsidR="008523C9">
              <w:rPr>
                <w:b/>
                <w:bCs/>
                <w:color w:val="FFFFFF" w:themeColor="background1"/>
                <w:sz w:val="14"/>
                <w:szCs w:val="14"/>
              </w:rPr>
              <w:t>-</w:t>
            </w:r>
            <w:r w:rsidRPr="008F735E">
              <w:rPr>
                <w:b/>
                <w:bCs/>
                <w:color w:val="FFFFFF" w:themeColor="background1"/>
                <w:sz w:val="14"/>
                <w:szCs w:val="14"/>
              </w:rPr>
              <w:t>depreciating assets</w:t>
            </w:r>
          </w:p>
        </w:tc>
        <w:tc>
          <w:tcPr>
            <w:tcW w:w="851" w:type="dxa"/>
            <w:shd w:val="clear" w:color="auto" w:fill="232E36"/>
          </w:tcPr>
          <w:p w14:paraId="77B93159" w14:textId="77777777" w:rsidR="00E1409A" w:rsidRPr="008F735E" w:rsidRDefault="00E1409A" w:rsidP="00841651">
            <w:pPr>
              <w:keepNext/>
              <w:keepLines/>
              <w:spacing w:before="120" w:after="120"/>
              <w:jc w:val="center"/>
              <w:rPr>
                <w:b/>
                <w:bCs/>
                <w:color w:val="FFFFFF" w:themeColor="background1"/>
                <w:sz w:val="14"/>
                <w:szCs w:val="14"/>
              </w:rPr>
            </w:pPr>
            <w:r w:rsidRPr="008F735E">
              <w:rPr>
                <w:b/>
                <w:bCs/>
                <w:color w:val="FFFFFF" w:themeColor="background1"/>
                <w:sz w:val="14"/>
                <w:szCs w:val="14"/>
              </w:rPr>
              <w:t>Inventory</w:t>
            </w:r>
          </w:p>
        </w:tc>
        <w:tc>
          <w:tcPr>
            <w:tcW w:w="1134" w:type="dxa"/>
            <w:shd w:val="clear" w:color="auto" w:fill="232E36"/>
          </w:tcPr>
          <w:p w14:paraId="16A70A10" w14:textId="77777777" w:rsidR="00E1409A" w:rsidRPr="008F735E" w:rsidRDefault="00E1409A" w:rsidP="00841651">
            <w:pPr>
              <w:keepNext/>
              <w:keepLines/>
              <w:spacing w:before="120" w:after="120"/>
              <w:jc w:val="center"/>
              <w:rPr>
                <w:b/>
                <w:bCs/>
                <w:color w:val="FFFFFF" w:themeColor="background1"/>
                <w:sz w:val="14"/>
                <w:szCs w:val="14"/>
              </w:rPr>
            </w:pPr>
            <w:r w:rsidRPr="008F735E">
              <w:rPr>
                <w:b/>
                <w:bCs/>
                <w:color w:val="FFFFFF" w:themeColor="background1"/>
                <w:sz w:val="14"/>
                <w:szCs w:val="14"/>
              </w:rPr>
              <w:t>Appreciating assets</w:t>
            </w:r>
          </w:p>
        </w:tc>
        <w:tc>
          <w:tcPr>
            <w:tcW w:w="921" w:type="dxa"/>
            <w:shd w:val="clear" w:color="auto" w:fill="232E36"/>
          </w:tcPr>
          <w:p w14:paraId="2139BC7D" w14:textId="77777777" w:rsidR="00E1409A" w:rsidRPr="008F735E" w:rsidRDefault="00E1409A" w:rsidP="00841651">
            <w:pPr>
              <w:keepNext/>
              <w:keepLines/>
              <w:spacing w:before="120" w:after="120"/>
              <w:jc w:val="center"/>
              <w:rPr>
                <w:b/>
                <w:bCs/>
                <w:color w:val="FFFFFF" w:themeColor="background1"/>
                <w:sz w:val="14"/>
                <w:szCs w:val="14"/>
              </w:rPr>
            </w:pPr>
            <w:r w:rsidRPr="008F735E">
              <w:rPr>
                <w:b/>
                <w:bCs/>
                <w:color w:val="FFFFFF" w:themeColor="background1"/>
                <w:sz w:val="14"/>
                <w:szCs w:val="14"/>
              </w:rPr>
              <w:t>Expensing</w:t>
            </w:r>
          </w:p>
        </w:tc>
      </w:tr>
      <w:tr w:rsidR="00E1409A" w:rsidRPr="008F735E" w14:paraId="04C0DE05" w14:textId="77777777" w:rsidTr="00841651">
        <w:tc>
          <w:tcPr>
            <w:tcW w:w="1347" w:type="dxa"/>
            <w:shd w:val="clear" w:color="auto" w:fill="auto"/>
            <w:vAlign w:val="bottom"/>
          </w:tcPr>
          <w:p w14:paraId="1E0ADA3A" w14:textId="3A5D0088" w:rsidR="00E1409A" w:rsidRPr="00B97C02" w:rsidRDefault="00445E20" w:rsidP="00841651">
            <w:pPr>
              <w:keepNext/>
              <w:keepLines/>
              <w:tabs>
                <w:tab w:val="left" w:pos="106"/>
              </w:tabs>
              <w:spacing w:before="60" w:after="60"/>
              <w:jc w:val="left"/>
              <w:rPr>
                <w:rStyle w:val="Strong"/>
                <w:b w:val="0"/>
                <w:bCs w:val="0"/>
                <w:sz w:val="14"/>
                <w:szCs w:val="14"/>
              </w:rPr>
            </w:pPr>
            <w:r>
              <w:rPr>
                <w:rStyle w:val="Strong"/>
                <w:b w:val="0"/>
                <w:bCs w:val="0"/>
                <w:sz w:val="14"/>
                <w:szCs w:val="14"/>
              </w:rPr>
              <w:t>d</w:t>
            </w:r>
          </w:p>
        </w:tc>
        <w:tc>
          <w:tcPr>
            <w:tcW w:w="992" w:type="dxa"/>
            <w:vAlign w:val="center"/>
          </w:tcPr>
          <w:p w14:paraId="2162B74B" w14:textId="77777777" w:rsidR="00E1409A" w:rsidRPr="008F735E" w:rsidRDefault="00E1409A" w:rsidP="00841651">
            <w:pPr>
              <w:keepNext/>
              <w:keepLines/>
              <w:tabs>
                <w:tab w:val="decimal" w:pos="256"/>
              </w:tabs>
              <w:spacing w:before="60" w:after="60"/>
              <w:jc w:val="center"/>
              <w:rPr>
                <w:sz w:val="14"/>
                <w:szCs w:val="14"/>
              </w:rPr>
            </w:pPr>
            <w:r w:rsidRPr="008F735E">
              <w:rPr>
                <w:sz w:val="14"/>
                <w:szCs w:val="14"/>
              </w:rPr>
              <w:t>2.69%</w:t>
            </w:r>
          </w:p>
        </w:tc>
        <w:tc>
          <w:tcPr>
            <w:tcW w:w="737" w:type="dxa"/>
            <w:vAlign w:val="center"/>
          </w:tcPr>
          <w:p w14:paraId="631E7204" w14:textId="77777777" w:rsidR="00E1409A" w:rsidRPr="008F735E" w:rsidRDefault="00E1409A" w:rsidP="00841651">
            <w:pPr>
              <w:keepNext/>
              <w:keepLines/>
              <w:tabs>
                <w:tab w:val="decimal" w:pos="256"/>
              </w:tabs>
              <w:spacing w:before="60" w:after="60"/>
              <w:jc w:val="center"/>
              <w:rPr>
                <w:sz w:val="14"/>
                <w:szCs w:val="14"/>
              </w:rPr>
            </w:pPr>
            <w:r w:rsidRPr="008F735E">
              <w:rPr>
                <w:sz w:val="14"/>
                <w:szCs w:val="14"/>
              </w:rPr>
              <w:t>100.00%</w:t>
            </w:r>
          </w:p>
        </w:tc>
        <w:tc>
          <w:tcPr>
            <w:tcW w:w="681" w:type="dxa"/>
            <w:vAlign w:val="center"/>
          </w:tcPr>
          <w:p w14:paraId="2208DF05" w14:textId="77777777" w:rsidR="00E1409A" w:rsidRPr="008F735E" w:rsidRDefault="00E1409A" w:rsidP="00841651">
            <w:pPr>
              <w:keepNext/>
              <w:keepLines/>
              <w:tabs>
                <w:tab w:val="decimal" w:pos="256"/>
              </w:tabs>
              <w:spacing w:before="60" w:after="60"/>
              <w:jc w:val="center"/>
              <w:rPr>
                <w:sz w:val="14"/>
                <w:szCs w:val="14"/>
              </w:rPr>
            </w:pPr>
            <w:r w:rsidRPr="008F735E">
              <w:rPr>
                <w:sz w:val="14"/>
                <w:szCs w:val="14"/>
              </w:rPr>
              <w:t>50.00%</w:t>
            </w:r>
          </w:p>
        </w:tc>
        <w:tc>
          <w:tcPr>
            <w:tcW w:w="651" w:type="dxa"/>
            <w:vAlign w:val="center"/>
          </w:tcPr>
          <w:p w14:paraId="496074F1" w14:textId="77777777" w:rsidR="00E1409A" w:rsidRPr="008F735E" w:rsidRDefault="00E1409A" w:rsidP="00841651">
            <w:pPr>
              <w:keepNext/>
              <w:keepLines/>
              <w:tabs>
                <w:tab w:val="decimal" w:pos="256"/>
              </w:tabs>
              <w:spacing w:before="60" w:after="60"/>
              <w:jc w:val="center"/>
              <w:rPr>
                <w:sz w:val="14"/>
                <w:szCs w:val="14"/>
              </w:rPr>
            </w:pPr>
            <w:r w:rsidRPr="008F735E">
              <w:rPr>
                <w:sz w:val="14"/>
                <w:szCs w:val="14"/>
              </w:rPr>
              <w:t>10.00%</w:t>
            </w:r>
          </w:p>
        </w:tc>
        <w:tc>
          <w:tcPr>
            <w:tcW w:w="666" w:type="dxa"/>
            <w:vAlign w:val="center"/>
          </w:tcPr>
          <w:p w14:paraId="14732F40" w14:textId="77777777" w:rsidR="00E1409A" w:rsidRPr="008F735E" w:rsidRDefault="00E1409A" w:rsidP="00841651">
            <w:pPr>
              <w:keepNext/>
              <w:keepLines/>
              <w:tabs>
                <w:tab w:val="decimal" w:pos="256"/>
              </w:tabs>
              <w:spacing w:before="60" w:after="60"/>
              <w:jc w:val="center"/>
              <w:rPr>
                <w:sz w:val="14"/>
                <w:szCs w:val="14"/>
              </w:rPr>
            </w:pPr>
            <w:r w:rsidRPr="008F735E">
              <w:rPr>
                <w:sz w:val="14"/>
                <w:szCs w:val="14"/>
              </w:rPr>
              <w:t>4.00%</w:t>
            </w:r>
          </w:p>
        </w:tc>
        <w:tc>
          <w:tcPr>
            <w:tcW w:w="667" w:type="dxa"/>
            <w:vAlign w:val="center"/>
          </w:tcPr>
          <w:p w14:paraId="21E85ABB" w14:textId="77777777" w:rsidR="00E1409A" w:rsidRPr="008F735E" w:rsidRDefault="00E1409A" w:rsidP="00841651">
            <w:pPr>
              <w:keepNext/>
              <w:keepLines/>
              <w:tabs>
                <w:tab w:val="decimal" w:pos="256"/>
              </w:tabs>
              <w:spacing w:before="60" w:after="60"/>
              <w:jc w:val="center"/>
              <w:rPr>
                <w:sz w:val="14"/>
                <w:szCs w:val="14"/>
              </w:rPr>
            </w:pPr>
            <w:r w:rsidRPr="008F735E">
              <w:rPr>
                <w:sz w:val="14"/>
                <w:szCs w:val="14"/>
              </w:rPr>
              <w:t>2.00%</w:t>
            </w:r>
          </w:p>
        </w:tc>
        <w:tc>
          <w:tcPr>
            <w:tcW w:w="1134" w:type="dxa"/>
            <w:vAlign w:val="center"/>
          </w:tcPr>
          <w:p w14:paraId="69ED7F6A" w14:textId="77777777" w:rsidR="00E1409A" w:rsidRPr="008F735E" w:rsidRDefault="00E1409A" w:rsidP="00841651">
            <w:pPr>
              <w:keepNext/>
              <w:keepLines/>
              <w:tabs>
                <w:tab w:val="decimal" w:pos="256"/>
              </w:tabs>
              <w:spacing w:before="60" w:after="60"/>
              <w:jc w:val="center"/>
              <w:rPr>
                <w:sz w:val="14"/>
                <w:szCs w:val="14"/>
              </w:rPr>
            </w:pPr>
            <w:r w:rsidRPr="008F735E">
              <w:rPr>
                <w:sz w:val="14"/>
                <w:szCs w:val="14"/>
              </w:rPr>
              <w:t>0.00%</w:t>
            </w:r>
          </w:p>
        </w:tc>
        <w:tc>
          <w:tcPr>
            <w:tcW w:w="851" w:type="dxa"/>
            <w:vAlign w:val="center"/>
          </w:tcPr>
          <w:p w14:paraId="573DEA49" w14:textId="77777777" w:rsidR="00E1409A" w:rsidRPr="008F735E" w:rsidRDefault="00E1409A" w:rsidP="00841651">
            <w:pPr>
              <w:keepNext/>
              <w:keepLines/>
              <w:tabs>
                <w:tab w:val="decimal" w:pos="256"/>
              </w:tabs>
              <w:spacing w:before="60" w:after="60"/>
              <w:jc w:val="center"/>
              <w:rPr>
                <w:sz w:val="14"/>
                <w:szCs w:val="14"/>
              </w:rPr>
            </w:pPr>
          </w:p>
        </w:tc>
        <w:tc>
          <w:tcPr>
            <w:tcW w:w="1134" w:type="dxa"/>
            <w:vAlign w:val="center"/>
          </w:tcPr>
          <w:p w14:paraId="7D51D81E" w14:textId="77777777" w:rsidR="00E1409A" w:rsidRPr="008F735E" w:rsidRDefault="00E1409A" w:rsidP="00841651">
            <w:pPr>
              <w:keepNext/>
              <w:keepLines/>
              <w:tabs>
                <w:tab w:val="decimal" w:pos="256"/>
              </w:tabs>
              <w:spacing w:before="60" w:after="60"/>
              <w:jc w:val="center"/>
              <w:rPr>
                <w:sz w:val="14"/>
                <w:szCs w:val="14"/>
              </w:rPr>
            </w:pPr>
            <w:r w:rsidRPr="008F735E">
              <w:rPr>
                <w:sz w:val="14"/>
                <w:szCs w:val="14"/>
              </w:rPr>
              <w:t>-1.00%</w:t>
            </w:r>
          </w:p>
        </w:tc>
        <w:tc>
          <w:tcPr>
            <w:tcW w:w="921" w:type="dxa"/>
            <w:vAlign w:val="center"/>
          </w:tcPr>
          <w:p w14:paraId="47DD02CA" w14:textId="77777777" w:rsidR="00E1409A" w:rsidRPr="008F735E" w:rsidRDefault="00E1409A" w:rsidP="00841651">
            <w:pPr>
              <w:keepNext/>
              <w:keepLines/>
              <w:tabs>
                <w:tab w:val="decimal" w:pos="256"/>
              </w:tabs>
              <w:spacing w:before="60" w:after="60"/>
              <w:jc w:val="center"/>
              <w:rPr>
                <w:sz w:val="14"/>
                <w:szCs w:val="14"/>
              </w:rPr>
            </w:pPr>
          </w:p>
        </w:tc>
      </w:tr>
      <w:tr w:rsidR="00E1409A" w:rsidRPr="008F735E" w14:paraId="5B4B5880" w14:textId="77777777" w:rsidTr="00841651">
        <w:tc>
          <w:tcPr>
            <w:tcW w:w="1347" w:type="dxa"/>
            <w:shd w:val="clear" w:color="auto" w:fill="auto"/>
            <w:vAlign w:val="bottom"/>
          </w:tcPr>
          <w:p w14:paraId="76122919" w14:textId="5A4256F2" w:rsidR="00E1409A" w:rsidRPr="00B97C02" w:rsidRDefault="00B97C02" w:rsidP="00841651">
            <w:pPr>
              <w:keepNext/>
              <w:keepLines/>
              <w:tabs>
                <w:tab w:val="left" w:pos="106"/>
              </w:tabs>
              <w:spacing w:before="60" w:after="60"/>
              <w:jc w:val="left"/>
              <w:rPr>
                <w:rStyle w:val="Strong"/>
                <w:b w:val="0"/>
                <w:bCs w:val="0"/>
                <w:sz w:val="14"/>
                <w:szCs w:val="14"/>
              </w:rPr>
            </w:pPr>
            <w:r>
              <w:rPr>
                <w:rStyle w:val="Strong"/>
                <w:b w:val="0"/>
                <w:bCs w:val="0"/>
                <w:sz w:val="14"/>
                <w:szCs w:val="14"/>
              </w:rPr>
              <w:t>d*</w:t>
            </w:r>
          </w:p>
        </w:tc>
        <w:tc>
          <w:tcPr>
            <w:tcW w:w="992" w:type="dxa"/>
            <w:vAlign w:val="center"/>
          </w:tcPr>
          <w:p w14:paraId="31BFA8A2" w14:textId="3D7D8829" w:rsidR="00E1409A" w:rsidRPr="008F735E" w:rsidRDefault="00E1409A" w:rsidP="00841651">
            <w:pPr>
              <w:keepNext/>
              <w:keepLines/>
              <w:tabs>
                <w:tab w:val="decimal" w:pos="256"/>
              </w:tabs>
              <w:spacing w:before="60" w:after="60"/>
              <w:jc w:val="center"/>
              <w:rPr>
                <w:sz w:val="14"/>
                <w:szCs w:val="14"/>
              </w:rPr>
            </w:pPr>
            <w:r w:rsidRPr="008F735E">
              <w:rPr>
                <w:sz w:val="14"/>
                <w:szCs w:val="14"/>
              </w:rPr>
              <w:t>2</w:t>
            </w:r>
            <w:r w:rsidR="00455437">
              <w:rPr>
                <w:sz w:val="14"/>
                <w:szCs w:val="14"/>
              </w:rPr>
              <w:t>.00</w:t>
            </w:r>
            <w:r w:rsidRPr="008F735E">
              <w:rPr>
                <w:sz w:val="14"/>
                <w:szCs w:val="14"/>
              </w:rPr>
              <w:t>%</w:t>
            </w:r>
          </w:p>
        </w:tc>
        <w:tc>
          <w:tcPr>
            <w:tcW w:w="737" w:type="dxa"/>
            <w:vAlign w:val="center"/>
          </w:tcPr>
          <w:p w14:paraId="20B50EC5" w14:textId="77777777" w:rsidR="00E1409A" w:rsidRPr="008F735E" w:rsidRDefault="00E1409A" w:rsidP="00841651">
            <w:pPr>
              <w:keepNext/>
              <w:keepLines/>
              <w:tabs>
                <w:tab w:val="decimal" w:pos="256"/>
              </w:tabs>
              <w:spacing w:before="60" w:after="60"/>
              <w:jc w:val="center"/>
              <w:rPr>
                <w:sz w:val="14"/>
                <w:szCs w:val="14"/>
              </w:rPr>
            </w:pPr>
            <w:r w:rsidRPr="008F735E">
              <w:rPr>
                <w:sz w:val="14"/>
                <w:szCs w:val="14"/>
              </w:rPr>
              <w:t>100.00%</w:t>
            </w:r>
          </w:p>
        </w:tc>
        <w:tc>
          <w:tcPr>
            <w:tcW w:w="681" w:type="dxa"/>
            <w:vAlign w:val="center"/>
          </w:tcPr>
          <w:p w14:paraId="5D044CB8" w14:textId="77777777" w:rsidR="00E1409A" w:rsidRPr="008F735E" w:rsidRDefault="00E1409A" w:rsidP="00841651">
            <w:pPr>
              <w:keepNext/>
              <w:keepLines/>
              <w:tabs>
                <w:tab w:val="decimal" w:pos="256"/>
              </w:tabs>
              <w:spacing w:before="60" w:after="60"/>
              <w:jc w:val="center"/>
              <w:rPr>
                <w:sz w:val="14"/>
                <w:szCs w:val="14"/>
              </w:rPr>
            </w:pPr>
            <w:r w:rsidRPr="008F735E">
              <w:rPr>
                <w:sz w:val="14"/>
                <w:szCs w:val="14"/>
              </w:rPr>
              <w:t>50.00%</w:t>
            </w:r>
          </w:p>
        </w:tc>
        <w:tc>
          <w:tcPr>
            <w:tcW w:w="651" w:type="dxa"/>
            <w:vAlign w:val="center"/>
          </w:tcPr>
          <w:p w14:paraId="09000EAE" w14:textId="77777777" w:rsidR="00E1409A" w:rsidRPr="008F735E" w:rsidRDefault="00E1409A" w:rsidP="00841651">
            <w:pPr>
              <w:keepNext/>
              <w:keepLines/>
              <w:tabs>
                <w:tab w:val="decimal" w:pos="256"/>
              </w:tabs>
              <w:spacing w:before="60" w:after="60"/>
              <w:jc w:val="center"/>
              <w:rPr>
                <w:sz w:val="14"/>
                <w:szCs w:val="14"/>
              </w:rPr>
            </w:pPr>
            <w:r w:rsidRPr="008F735E">
              <w:rPr>
                <w:sz w:val="14"/>
                <w:szCs w:val="14"/>
              </w:rPr>
              <w:t>10.00%</w:t>
            </w:r>
          </w:p>
        </w:tc>
        <w:tc>
          <w:tcPr>
            <w:tcW w:w="666" w:type="dxa"/>
            <w:vAlign w:val="center"/>
          </w:tcPr>
          <w:p w14:paraId="623FE8E6" w14:textId="77777777" w:rsidR="00E1409A" w:rsidRPr="008F735E" w:rsidRDefault="00E1409A" w:rsidP="00841651">
            <w:pPr>
              <w:keepNext/>
              <w:keepLines/>
              <w:tabs>
                <w:tab w:val="decimal" w:pos="256"/>
              </w:tabs>
              <w:spacing w:before="60" w:after="60"/>
              <w:jc w:val="center"/>
              <w:rPr>
                <w:sz w:val="14"/>
                <w:szCs w:val="14"/>
              </w:rPr>
            </w:pPr>
            <w:r w:rsidRPr="008F735E">
              <w:rPr>
                <w:sz w:val="14"/>
                <w:szCs w:val="14"/>
              </w:rPr>
              <w:t>4.00%</w:t>
            </w:r>
          </w:p>
        </w:tc>
        <w:tc>
          <w:tcPr>
            <w:tcW w:w="667" w:type="dxa"/>
            <w:vAlign w:val="center"/>
          </w:tcPr>
          <w:p w14:paraId="48D6A887" w14:textId="77777777" w:rsidR="00E1409A" w:rsidRPr="008F735E" w:rsidRDefault="00E1409A" w:rsidP="00841651">
            <w:pPr>
              <w:keepNext/>
              <w:keepLines/>
              <w:tabs>
                <w:tab w:val="decimal" w:pos="256"/>
              </w:tabs>
              <w:spacing w:before="60" w:after="60"/>
              <w:jc w:val="center"/>
              <w:rPr>
                <w:sz w:val="14"/>
                <w:szCs w:val="14"/>
              </w:rPr>
            </w:pPr>
            <w:r w:rsidRPr="008F735E">
              <w:rPr>
                <w:sz w:val="14"/>
                <w:szCs w:val="14"/>
              </w:rPr>
              <w:t>2.00%</w:t>
            </w:r>
          </w:p>
        </w:tc>
        <w:tc>
          <w:tcPr>
            <w:tcW w:w="1134" w:type="dxa"/>
            <w:vAlign w:val="center"/>
          </w:tcPr>
          <w:p w14:paraId="6E0C2F3D" w14:textId="77777777" w:rsidR="00E1409A" w:rsidRPr="008F735E" w:rsidRDefault="00E1409A" w:rsidP="00841651">
            <w:pPr>
              <w:keepNext/>
              <w:keepLines/>
              <w:tabs>
                <w:tab w:val="decimal" w:pos="256"/>
              </w:tabs>
              <w:spacing w:before="60" w:after="60"/>
              <w:jc w:val="center"/>
              <w:rPr>
                <w:sz w:val="14"/>
                <w:szCs w:val="14"/>
              </w:rPr>
            </w:pPr>
            <w:r w:rsidRPr="008F735E">
              <w:rPr>
                <w:sz w:val="14"/>
                <w:szCs w:val="14"/>
              </w:rPr>
              <w:t>0.00%</w:t>
            </w:r>
          </w:p>
        </w:tc>
        <w:tc>
          <w:tcPr>
            <w:tcW w:w="851" w:type="dxa"/>
            <w:vAlign w:val="center"/>
          </w:tcPr>
          <w:p w14:paraId="647D1C16" w14:textId="77777777" w:rsidR="00E1409A" w:rsidRPr="008F735E" w:rsidRDefault="00E1409A" w:rsidP="00841651">
            <w:pPr>
              <w:keepNext/>
              <w:keepLines/>
              <w:tabs>
                <w:tab w:val="decimal" w:pos="256"/>
              </w:tabs>
              <w:spacing w:before="60" w:after="60"/>
              <w:jc w:val="center"/>
              <w:rPr>
                <w:sz w:val="14"/>
                <w:szCs w:val="14"/>
              </w:rPr>
            </w:pPr>
          </w:p>
        </w:tc>
        <w:tc>
          <w:tcPr>
            <w:tcW w:w="1134" w:type="dxa"/>
            <w:vAlign w:val="center"/>
          </w:tcPr>
          <w:p w14:paraId="2EAB6B9C" w14:textId="77777777" w:rsidR="00E1409A" w:rsidRPr="008F735E" w:rsidRDefault="00E1409A" w:rsidP="00841651">
            <w:pPr>
              <w:keepNext/>
              <w:keepLines/>
              <w:tabs>
                <w:tab w:val="decimal" w:pos="256"/>
              </w:tabs>
              <w:spacing w:before="60" w:after="60"/>
              <w:jc w:val="center"/>
              <w:rPr>
                <w:sz w:val="14"/>
                <w:szCs w:val="14"/>
              </w:rPr>
            </w:pPr>
            <w:r w:rsidRPr="008F735E">
              <w:rPr>
                <w:sz w:val="14"/>
                <w:szCs w:val="14"/>
              </w:rPr>
              <w:t>0.00%</w:t>
            </w:r>
          </w:p>
        </w:tc>
        <w:tc>
          <w:tcPr>
            <w:tcW w:w="921" w:type="dxa"/>
            <w:vAlign w:val="center"/>
          </w:tcPr>
          <w:p w14:paraId="014BFD91" w14:textId="77777777" w:rsidR="00E1409A" w:rsidRPr="008F735E" w:rsidRDefault="00E1409A" w:rsidP="00841651">
            <w:pPr>
              <w:keepNext/>
              <w:keepLines/>
              <w:tabs>
                <w:tab w:val="decimal" w:pos="256"/>
              </w:tabs>
              <w:spacing w:before="60" w:after="60"/>
              <w:jc w:val="center"/>
              <w:rPr>
                <w:sz w:val="14"/>
                <w:szCs w:val="14"/>
              </w:rPr>
            </w:pPr>
          </w:p>
        </w:tc>
      </w:tr>
      <w:tr w:rsidR="00E1409A" w:rsidRPr="008F735E" w14:paraId="5CCF9D6C" w14:textId="77777777" w:rsidTr="00841651">
        <w:tc>
          <w:tcPr>
            <w:tcW w:w="1347" w:type="dxa"/>
            <w:shd w:val="clear" w:color="auto" w:fill="auto"/>
            <w:vAlign w:val="bottom"/>
          </w:tcPr>
          <w:p w14:paraId="748F0283" w14:textId="41F93104" w:rsidR="00E1409A" w:rsidRPr="008F735E" w:rsidRDefault="00E1409A" w:rsidP="00841651">
            <w:pPr>
              <w:keepNext/>
              <w:keepLines/>
              <w:tabs>
                <w:tab w:val="left" w:pos="106"/>
              </w:tabs>
              <w:spacing w:before="60" w:after="60"/>
              <w:jc w:val="left"/>
              <w:rPr>
                <w:b/>
                <w:bCs/>
                <w:sz w:val="14"/>
                <w:szCs w:val="14"/>
              </w:rPr>
            </w:pPr>
            <w:r w:rsidRPr="008F735E">
              <w:rPr>
                <w:b/>
                <w:bCs/>
                <w:sz w:val="14"/>
                <w:szCs w:val="14"/>
              </w:rPr>
              <w:t>Cost</w:t>
            </w:r>
            <w:r w:rsidR="00A02FCB">
              <w:rPr>
                <w:b/>
                <w:bCs/>
                <w:sz w:val="14"/>
                <w:szCs w:val="14"/>
              </w:rPr>
              <w:t>s</w:t>
            </w:r>
            <w:r w:rsidRPr="008F735E">
              <w:rPr>
                <w:b/>
                <w:bCs/>
                <w:sz w:val="14"/>
                <w:szCs w:val="14"/>
              </w:rPr>
              <w:t xml:space="preserve"> of capital</w:t>
            </w:r>
          </w:p>
        </w:tc>
        <w:tc>
          <w:tcPr>
            <w:tcW w:w="992" w:type="dxa"/>
            <w:vAlign w:val="center"/>
          </w:tcPr>
          <w:p w14:paraId="2D6042FE" w14:textId="77777777" w:rsidR="00E1409A" w:rsidRPr="008F735E" w:rsidRDefault="00E1409A" w:rsidP="00841651">
            <w:pPr>
              <w:keepNext/>
              <w:keepLines/>
              <w:tabs>
                <w:tab w:val="decimal" w:pos="256"/>
              </w:tabs>
              <w:spacing w:before="60" w:after="60"/>
              <w:jc w:val="center"/>
              <w:rPr>
                <w:sz w:val="14"/>
                <w:szCs w:val="14"/>
              </w:rPr>
            </w:pPr>
          </w:p>
        </w:tc>
        <w:tc>
          <w:tcPr>
            <w:tcW w:w="737" w:type="dxa"/>
            <w:vAlign w:val="center"/>
          </w:tcPr>
          <w:p w14:paraId="60F6D739" w14:textId="77777777" w:rsidR="00E1409A" w:rsidRPr="008F735E" w:rsidRDefault="00E1409A" w:rsidP="00841651">
            <w:pPr>
              <w:keepNext/>
              <w:keepLines/>
              <w:tabs>
                <w:tab w:val="decimal" w:pos="256"/>
              </w:tabs>
              <w:spacing w:before="60" w:after="60"/>
              <w:jc w:val="center"/>
              <w:rPr>
                <w:sz w:val="14"/>
                <w:szCs w:val="14"/>
              </w:rPr>
            </w:pPr>
          </w:p>
        </w:tc>
        <w:tc>
          <w:tcPr>
            <w:tcW w:w="681" w:type="dxa"/>
            <w:vAlign w:val="center"/>
          </w:tcPr>
          <w:p w14:paraId="78AB9473" w14:textId="77777777" w:rsidR="00E1409A" w:rsidRPr="008F735E" w:rsidRDefault="00E1409A" w:rsidP="00841651">
            <w:pPr>
              <w:keepNext/>
              <w:keepLines/>
              <w:tabs>
                <w:tab w:val="decimal" w:pos="256"/>
              </w:tabs>
              <w:spacing w:before="60" w:after="60"/>
              <w:jc w:val="center"/>
              <w:rPr>
                <w:sz w:val="14"/>
                <w:szCs w:val="14"/>
              </w:rPr>
            </w:pPr>
          </w:p>
        </w:tc>
        <w:tc>
          <w:tcPr>
            <w:tcW w:w="651" w:type="dxa"/>
            <w:vAlign w:val="center"/>
          </w:tcPr>
          <w:p w14:paraId="696AEB72" w14:textId="77777777" w:rsidR="00E1409A" w:rsidRPr="008F735E" w:rsidRDefault="00E1409A" w:rsidP="00841651">
            <w:pPr>
              <w:keepNext/>
              <w:keepLines/>
              <w:tabs>
                <w:tab w:val="decimal" w:pos="256"/>
              </w:tabs>
              <w:spacing w:before="60" w:after="60"/>
              <w:jc w:val="center"/>
              <w:rPr>
                <w:sz w:val="14"/>
                <w:szCs w:val="14"/>
              </w:rPr>
            </w:pPr>
          </w:p>
        </w:tc>
        <w:tc>
          <w:tcPr>
            <w:tcW w:w="666" w:type="dxa"/>
            <w:vAlign w:val="center"/>
          </w:tcPr>
          <w:p w14:paraId="45D7755E" w14:textId="77777777" w:rsidR="00E1409A" w:rsidRPr="008F735E" w:rsidRDefault="00E1409A" w:rsidP="00841651">
            <w:pPr>
              <w:keepNext/>
              <w:keepLines/>
              <w:tabs>
                <w:tab w:val="decimal" w:pos="256"/>
              </w:tabs>
              <w:spacing w:before="60" w:after="60"/>
              <w:jc w:val="center"/>
              <w:rPr>
                <w:sz w:val="14"/>
                <w:szCs w:val="14"/>
              </w:rPr>
            </w:pPr>
          </w:p>
        </w:tc>
        <w:tc>
          <w:tcPr>
            <w:tcW w:w="667" w:type="dxa"/>
            <w:vAlign w:val="center"/>
          </w:tcPr>
          <w:p w14:paraId="75BE61C6" w14:textId="77777777" w:rsidR="00E1409A" w:rsidRPr="008F735E" w:rsidRDefault="00E1409A" w:rsidP="00841651">
            <w:pPr>
              <w:keepNext/>
              <w:keepLines/>
              <w:tabs>
                <w:tab w:val="decimal" w:pos="256"/>
              </w:tabs>
              <w:spacing w:before="60" w:after="60"/>
              <w:jc w:val="center"/>
              <w:rPr>
                <w:sz w:val="14"/>
                <w:szCs w:val="14"/>
              </w:rPr>
            </w:pPr>
          </w:p>
        </w:tc>
        <w:tc>
          <w:tcPr>
            <w:tcW w:w="1134" w:type="dxa"/>
            <w:vAlign w:val="center"/>
          </w:tcPr>
          <w:p w14:paraId="23B9E5D6" w14:textId="77777777" w:rsidR="00E1409A" w:rsidRPr="008F735E" w:rsidRDefault="00E1409A" w:rsidP="00841651">
            <w:pPr>
              <w:keepNext/>
              <w:keepLines/>
              <w:tabs>
                <w:tab w:val="decimal" w:pos="256"/>
              </w:tabs>
              <w:spacing w:before="60" w:after="60"/>
              <w:jc w:val="center"/>
              <w:rPr>
                <w:sz w:val="14"/>
                <w:szCs w:val="14"/>
              </w:rPr>
            </w:pPr>
          </w:p>
        </w:tc>
        <w:tc>
          <w:tcPr>
            <w:tcW w:w="851" w:type="dxa"/>
            <w:vAlign w:val="center"/>
          </w:tcPr>
          <w:p w14:paraId="2DB314CA" w14:textId="77777777" w:rsidR="00E1409A" w:rsidRPr="008F735E" w:rsidRDefault="00E1409A" w:rsidP="00841651">
            <w:pPr>
              <w:keepNext/>
              <w:keepLines/>
              <w:tabs>
                <w:tab w:val="decimal" w:pos="256"/>
              </w:tabs>
              <w:spacing w:before="60" w:after="60"/>
              <w:jc w:val="center"/>
              <w:rPr>
                <w:sz w:val="14"/>
                <w:szCs w:val="14"/>
              </w:rPr>
            </w:pPr>
          </w:p>
        </w:tc>
        <w:tc>
          <w:tcPr>
            <w:tcW w:w="1134" w:type="dxa"/>
            <w:vAlign w:val="center"/>
          </w:tcPr>
          <w:p w14:paraId="4A315F40" w14:textId="77777777" w:rsidR="00E1409A" w:rsidRPr="008F735E" w:rsidRDefault="00E1409A" w:rsidP="00841651">
            <w:pPr>
              <w:keepNext/>
              <w:keepLines/>
              <w:tabs>
                <w:tab w:val="decimal" w:pos="256"/>
              </w:tabs>
              <w:spacing w:before="60" w:after="60"/>
              <w:jc w:val="center"/>
              <w:rPr>
                <w:sz w:val="14"/>
                <w:szCs w:val="14"/>
              </w:rPr>
            </w:pPr>
          </w:p>
        </w:tc>
        <w:tc>
          <w:tcPr>
            <w:tcW w:w="921" w:type="dxa"/>
            <w:vAlign w:val="center"/>
          </w:tcPr>
          <w:p w14:paraId="631FFA3B" w14:textId="77777777" w:rsidR="00E1409A" w:rsidRPr="008F735E" w:rsidRDefault="00E1409A" w:rsidP="00841651">
            <w:pPr>
              <w:keepNext/>
              <w:keepLines/>
              <w:tabs>
                <w:tab w:val="decimal" w:pos="256"/>
              </w:tabs>
              <w:spacing w:before="60" w:after="60"/>
              <w:jc w:val="center"/>
              <w:rPr>
                <w:sz w:val="14"/>
                <w:szCs w:val="14"/>
              </w:rPr>
            </w:pPr>
          </w:p>
        </w:tc>
      </w:tr>
      <w:tr w:rsidR="004F7AC1" w:rsidRPr="008F735E" w14:paraId="359CE249" w14:textId="77777777" w:rsidTr="00841651">
        <w:tc>
          <w:tcPr>
            <w:tcW w:w="1347" w:type="dxa"/>
            <w:shd w:val="clear" w:color="auto" w:fill="auto"/>
            <w:vAlign w:val="bottom"/>
          </w:tcPr>
          <w:p w14:paraId="23D718F8" w14:textId="28917AC7" w:rsidR="004F7AC1" w:rsidRPr="008F735E" w:rsidRDefault="004F7AC1" w:rsidP="004F7AC1">
            <w:pPr>
              <w:keepNext/>
              <w:keepLines/>
              <w:tabs>
                <w:tab w:val="left" w:pos="106"/>
              </w:tabs>
              <w:spacing w:before="60" w:after="60"/>
              <w:ind w:left="108" w:hanging="108"/>
              <w:jc w:val="left"/>
              <w:rPr>
                <w:sz w:val="14"/>
                <w:szCs w:val="14"/>
              </w:rPr>
            </w:pPr>
            <w:r>
              <w:rPr>
                <w:sz w:val="14"/>
                <w:szCs w:val="14"/>
              </w:rPr>
              <w:tab/>
              <w:t>Status quo</w:t>
            </w:r>
          </w:p>
        </w:tc>
        <w:tc>
          <w:tcPr>
            <w:tcW w:w="992" w:type="dxa"/>
          </w:tcPr>
          <w:p w14:paraId="0DE5A8AE" w14:textId="1F8F50C6" w:rsidR="004F7AC1" w:rsidRPr="008F735E" w:rsidRDefault="004F7AC1" w:rsidP="004F7AC1">
            <w:pPr>
              <w:keepNext/>
              <w:keepLines/>
              <w:tabs>
                <w:tab w:val="decimal" w:pos="256"/>
              </w:tabs>
              <w:spacing w:before="60" w:after="60"/>
              <w:jc w:val="center"/>
              <w:rPr>
                <w:sz w:val="14"/>
                <w:szCs w:val="14"/>
              </w:rPr>
            </w:pPr>
            <w:r>
              <w:rPr>
                <w:sz w:val="14"/>
                <w:szCs w:val="14"/>
              </w:rPr>
              <w:t>3.81%</w:t>
            </w:r>
          </w:p>
        </w:tc>
        <w:tc>
          <w:tcPr>
            <w:tcW w:w="737" w:type="dxa"/>
          </w:tcPr>
          <w:p w14:paraId="3E84D2BC" w14:textId="70523E87" w:rsidR="004F7AC1" w:rsidRPr="008F735E" w:rsidRDefault="004F7AC1" w:rsidP="004F7AC1">
            <w:pPr>
              <w:keepNext/>
              <w:keepLines/>
              <w:tabs>
                <w:tab w:val="decimal" w:pos="256"/>
              </w:tabs>
              <w:spacing w:before="60" w:after="60"/>
              <w:jc w:val="center"/>
              <w:rPr>
                <w:sz w:val="14"/>
                <w:szCs w:val="14"/>
              </w:rPr>
            </w:pPr>
            <w:r>
              <w:rPr>
                <w:sz w:val="14"/>
                <w:szCs w:val="14"/>
              </w:rPr>
              <w:t>4.14</w:t>
            </w:r>
            <w:r w:rsidRPr="008F6B3E">
              <w:rPr>
                <w:sz w:val="14"/>
                <w:szCs w:val="14"/>
              </w:rPr>
              <w:t>%</w:t>
            </w:r>
          </w:p>
        </w:tc>
        <w:tc>
          <w:tcPr>
            <w:tcW w:w="681" w:type="dxa"/>
          </w:tcPr>
          <w:p w14:paraId="089540A1" w14:textId="68586F81" w:rsidR="004F7AC1" w:rsidRPr="008F735E" w:rsidRDefault="004F7AC1" w:rsidP="004F7AC1">
            <w:pPr>
              <w:keepNext/>
              <w:keepLines/>
              <w:tabs>
                <w:tab w:val="decimal" w:pos="256"/>
              </w:tabs>
              <w:spacing w:before="60" w:after="60"/>
              <w:jc w:val="center"/>
              <w:rPr>
                <w:sz w:val="14"/>
                <w:szCs w:val="14"/>
              </w:rPr>
            </w:pPr>
            <w:r>
              <w:rPr>
                <w:sz w:val="14"/>
                <w:szCs w:val="14"/>
              </w:rPr>
              <w:t>4.11</w:t>
            </w:r>
            <w:r w:rsidRPr="008F6B3E">
              <w:rPr>
                <w:sz w:val="14"/>
                <w:szCs w:val="14"/>
              </w:rPr>
              <w:t>%</w:t>
            </w:r>
          </w:p>
        </w:tc>
        <w:tc>
          <w:tcPr>
            <w:tcW w:w="651" w:type="dxa"/>
          </w:tcPr>
          <w:p w14:paraId="60DD1B28" w14:textId="71D1EAA8" w:rsidR="004F7AC1" w:rsidRPr="008F735E" w:rsidRDefault="004F7AC1" w:rsidP="004F7AC1">
            <w:pPr>
              <w:keepNext/>
              <w:keepLines/>
              <w:tabs>
                <w:tab w:val="decimal" w:pos="256"/>
              </w:tabs>
              <w:spacing w:before="60" w:after="60"/>
              <w:jc w:val="center"/>
              <w:rPr>
                <w:sz w:val="14"/>
                <w:szCs w:val="14"/>
              </w:rPr>
            </w:pPr>
            <w:r>
              <w:rPr>
                <w:sz w:val="14"/>
                <w:szCs w:val="14"/>
              </w:rPr>
              <w:t>3.93</w:t>
            </w:r>
            <w:r w:rsidRPr="008F6B3E">
              <w:rPr>
                <w:sz w:val="14"/>
                <w:szCs w:val="14"/>
              </w:rPr>
              <w:t>%</w:t>
            </w:r>
          </w:p>
        </w:tc>
        <w:tc>
          <w:tcPr>
            <w:tcW w:w="666" w:type="dxa"/>
          </w:tcPr>
          <w:p w14:paraId="1D67AFFD" w14:textId="54566130" w:rsidR="004F7AC1" w:rsidRPr="008F735E" w:rsidRDefault="004F7AC1" w:rsidP="004F7AC1">
            <w:pPr>
              <w:keepNext/>
              <w:keepLines/>
              <w:tabs>
                <w:tab w:val="decimal" w:pos="256"/>
              </w:tabs>
              <w:spacing w:before="60" w:after="60"/>
              <w:jc w:val="center"/>
              <w:rPr>
                <w:sz w:val="14"/>
                <w:szCs w:val="14"/>
              </w:rPr>
            </w:pPr>
            <w:r>
              <w:rPr>
                <w:sz w:val="14"/>
                <w:szCs w:val="14"/>
              </w:rPr>
              <w:t>3.76</w:t>
            </w:r>
            <w:r w:rsidRPr="008F6B3E">
              <w:rPr>
                <w:sz w:val="14"/>
                <w:szCs w:val="14"/>
              </w:rPr>
              <w:t>%</w:t>
            </w:r>
          </w:p>
        </w:tc>
        <w:tc>
          <w:tcPr>
            <w:tcW w:w="667" w:type="dxa"/>
          </w:tcPr>
          <w:p w14:paraId="2DD74A50" w14:textId="1351912D" w:rsidR="004F7AC1" w:rsidRPr="008F735E" w:rsidRDefault="004F7AC1" w:rsidP="004F7AC1">
            <w:pPr>
              <w:keepNext/>
              <w:keepLines/>
              <w:tabs>
                <w:tab w:val="decimal" w:pos="256"/>
              </w:tabs>
              <w:spacing w:before="60" w:after="60"/>
              <w:jc w:val="center"/>
              <w:rPr>
                <w:sz w:val="14"/>
                <w:szCs w:val="14"/>
              </w:rPr>
            </w:pPr>
            <w:r>
              <w:rPr>
                <w:sz w:val="14"/>
                <w:szCs w:val="14"/>
              </w:rPr>
              <w:t>3.63</w:t>
            </w:r>
            <w:r w:rsidRPr="008F6B3E">
              <w:rPr>
                <w:sz w:val="14"/>
                <w:szCs w:val="14"/>
              </w:rPr>
              <w:t>%</w:t>
            </w:r>
          </w:p>
        </w:tc>
        <w:tc>
          <w:tcPr>
            <w:tcW w:w="1134" w:type="dxa"/>
          </w:tcPr>
          <w:p w14:paraId="374AAAE4" w14:textId="50D1C1DF" w:rsidR="004F7AC1" w:rsidRPr="008F735E" w:rsidRDefault="004F7AC1" w:rsidP="004F7AC1">
            <w:pPr>
              <w:keepNext/>
              <w:keepLines/>
              <w:tabs>
                <w:tab w:val="decimal" w:pos="256"/>
              </w:tabs>
              <w:spacing w:before="60" w:after="60"/>
              <w:jc w:val="center"/>
              <w:rPr>
                <w:sz w:val="14"/>
                <w:szCs w:val="14"/>
              </w:rPr>
            </w:pPr>
            <w:r>
              <w:rPr>
                <w:sz w:val="14"/>
                <w:szCs w:val="14"/>
              </w:rPr>
              <w:t>3.38</w:t>
            </w:r>
            <w:r w:rsidRPr="008F6B3E">
              <w:rPr>
                <w:sz w:val="14"/>
                <w:szCs w:val="14"/>
              </w:rPr>
              <w:t>%</w:t>
            </w:r>
          </w:p>
        </w:tc>
        <w:tc>
          <w:tcPr>
            <w:tcW w:w="851" w:type="dxa"/>
          </w:tcPr>
          <w:p w14:paraId="468ABFC6" w14:textId="3A8C0A7E" w:rsidR="004F7AC1" w:rsidRPr="008F735E" w:rsidRDefault="004F7AC1" w:rsidP="004F7AC1">
            <w:pPr>
              <w:keepNext/>
              <w:keepLines/>
              <w:tabs>
                <w:tab w:val="decimal" w:pos="256"/>
              </w:tabs>
              <w:spacing w:before="60" w:after="60"/>
              <w:jc w:val="center"/>
              <w:rPr>
                <w:sz w:val="14"/>
                <w:szCs w:val="14"/>
              </w:rPr>
            </w:pPr>
            <w:r>
              <w:rPr>
                <w:sz w:val="14"/>
                <w:szCs w:val="14"/>
              </w:rPr>
              <w:t>4.14</w:t>
            </w:r>
            <w:r w:rsidRPr="008F6B3E">
              <w:rPr>
                <w:sz w:val="14"/>
                <w:szCs w:val="14"/>
              </w:rPr>
              <w:t>%</w:t>
            </w:r>
          </w:p>
        </w:tc>
        <w:tc>
          <w:tcPr>
            <w:tcW w:w="1134" w:type="dxa"/>
          </w:tcPr>
          <w:p w14:paraId="53EBEBB1" w14:textId="3BA9D89B" w:rsidR="004F7AC1" w:rsidRPr="008F735E" w:rsidRDefault="004F7AC1" w:rsidP="004F7AC1">
            <w:pPr>
              <w:keepNext/>
              <w:keepLines/>
              <w:tabs>
                <w:tab w:val="decimal" w:pos="256"/>
              </w:tabs>
              <w:spacing w:before="60" w:after="60"/>
              <w:jc w:val="center"/>
              <w:rPr>
                <w:sz w:val="14"/>
                <w:szCs w:val="14"/>
              </w:rPr>
            </w:pPr>
            <w:r>
              <w:rPr>
                <w:sz w:val="14"/>
                <w:szCs w:val="14"/>
              </w:rPr>
              <w:t>2.99</w:t>
            </w:r>
            <w:r w:rsidRPr="008F6B3E">
              <w:rPr>
                <w:sz w:val="14"/>
                <w:szCs w:val="14"/>
              </w:rPr>
              <w:t>%</w:t>
            </w:r>
          </w:p>
        </w:tc>
        <w:tc>
          <w:tcPr>
            <w:tcW w:w="921" w:type="dxa"/>
          </w:tcPr>
          <w:p w14:paraId="1CBDBA32" w14:textId="0992A8A4" w:rsidR="004F7AC1" w:rsidRPr="008F735E" w:rsidRDefault="004F7AC1" w:rsidP="004F7AC1">
            <w:pPr>
              <w:keepNext/>
              <w:keepLines/>
              <w:tabs>
                <w:tab w:val="decimal" w:pos="256"/>
              </w:tabs>
              <w:spacing w:before="60" w:after="60"/>
              <w:jc w:val="center"/>
              <w:rPr>
                <w:sz w:val="14"/>
                <w:szCs w:val="14"/>
              </w:rPr>
            </w:pPr>
            <w:r>
              <w:rPr>
                <w:sz w:val="14"/>
                <w:szCs w:val="14"/>
              </w:rPr>
              <w:t>2.43</w:t>
            </w:r>
            <w:r w:rsidRPr="008F6B3E">
              <w:rPr>
                <w:sz w:val="14"/>
                <w:szCs w:val="14"/>
              </w:rPr>
              <w:t>%</w:t>
            </w:r>
          </w:p>
        </w:tc>
      </w:tr>
      <w:tr w:rsidR="004F7AC1" w:rsidRPr="008F735E" w14:paraId="05249D58" w14:textId="77777777" w:rsidTr="00841651">
        <w:tc>
          <w:tcPr>
            <w:tcW w:w="1347" w:type="dxa"/>
            <w:shd w:val="clear" w:color="auto" w:fill="auto"/>
            <w:vAlign w:val="bottom"/>
          </w:tcPr>
          <w:p w14:paraId="5EA1E75B" w14:textId="5EC099BC" w:rsidR="004F7AC1" w:rsidRPr="008F735E" w:rsidRDefault="004F7AC1" w:rsidP="004F7AC1">
            <w:pPr>
              <w:keepNext/>
              <w:keepLines/>
              <w:tabs>
                <w:tab w:val="left" w:pos="106"/>
              </w:tabs>
              <w:spacing w:before="60" w:after="60"/>
              <w:ind w:left="108" w:hanging="108"/>
              <w:jc w:val="left"/>
              <w:rPr>
                <w:sz w:val="14"/>
                <w:szCs w:val="14"/>
              </w:rPr>
            </w:pPr>
            <w:r>
              <w:rPr>
                <w:sz w:val="14"/>
                <w:szCs w:val="14"/>
              </w:rPr>
              <w:tab/>
              <w:t>Deprec</w:t>
            </w:r>
            <w:r w:rsidR="008A4A92">
              <w:rPr>
                <w:sz w:val="14"/>
                <w:szCs w:val="14"/>
              </w:rPr>
              <w:t>iation</w:t>
            </w:r>
            <w:r>
              <w:rPr>
                <w:sz w:val="14"/>
                <w:szCs w:val="14"/>
              </w:rPr>
              <w:t xml:space="preserve"> loading</w:t>
            </w:r>
          </w:p>
        </w:tc>
        <w:tc>
          <w:tcPr>
            <w:tcW w:w="992" w:type="dxa"/>
          </w:tcPr>
          <w:p w14:paraId="043569ED" w14:textId="0962F9AE" w:rsidR="004F7AC1" w:rsidRPr="008F735E" w:rsidRDefault="004F7AC1" w:rsidP="004F7AC1">
            <w:pPr>
              <w:keepNext/>
              <w:keepLines/>
              <w:tabs>
                <w:tab w:val="decimal" w:pos="256"/>
              </w:tabs>
              <w:spacing w:before="60" w:after="60"/>
              <w:jc w:val="center"/>
              <w:rPr>
                <w:sz w:val="14"/>
                <w:szCs w:val="14"/>
              </w:rPr>
            </w:pPr>
            <w:r>
              <w:rPr>
                <w:sz w:val="14"/>
                <w:szCs w:val="14"/>
              </w:rPr>
              <w:t>3.73</w:t>
            </w:r>
            <w:r w:rsidRPr="004F5415">
              <w:rPr>
                <w:sz w:val="14"/>
                <w:szCs w:val="14"/>
              </w:rPr>
              <w:t>%</w:t>
            </w:r>
          </w:p>
        </w:tc>
        <w:tc>
          <w:tcPr>
            <w:tcW w:w="737" w:type="dxa"/>
          </w:tcPr>
          <w:p w14:paraId="102D50BD" w14:textId="7C176CF4" w:rsidR="004F7AC1" w:rsidRPr="008F735E" w:rsidRDefault="004F7AC1" w:rsidP="004F7AC1">
            <w:pPr>
              <w:keepNext/>
              <w:keepLines/>
              <w:tabs>
                <w:tab w:val="decimal" w:pos="256"/>
              </w:tabs>
              <w:spacing w:before="60" w:after="60"/>
              <w:jc w:val="center"/>
              <w:rPr>
                <w:sz w:val="14"/>
                <w:szCs w:val="14"/>
              </w:rPr>
            </w:pPr>
            <w:r>
              <w:rPr>
                <w:sz w:val="14"/>
                <w:szCs w:val="14"/>
              </w:rPr>
              <w:t>4.14</w:t>
            </w:r>
            <w:r w:rsidRPr="008F6B3E">
              <w:rPr>
                <w:sz w:val="14"/>
                <w:szCs w:val="14"/>
              </w:rPr>
              <w:t>%</w:t>
            </w:r>
          </w:p>
        </w:tc>
        <w:tc>
          <w:tcPr>
            <w:tcW w:w="681" w:type="dxa"/>
          </w:tcPr>
          <w:p w14:paraId="357F1982" w14:textId="47FE6BBC" w:rsidR="004F7AC1" w:rsidRPr="008F735E" w:rsidRDefault="004F7AC1" w:rsidP="004F7AC1">
            <w:pPr>
              <w:keepNext/>
              <w:keepLines/>
              <w:tabs>
                <w:tab w:val="decimal" w:pos="256"/>
              </w:tabs>
              <w:spacing w:before="60" w:after="60"/>
              <w:jc w:val="center"/>
              <w:rPr>
                <w:sz w:val="14"/>
                <w:szCs w:val="14"/>
              </w:rPr>
            </w:pPr>
            <w:r>
              <w:rPr>
                <w:sz w:val="14"/>
                <w:szCs w:val="14"/>
              </w:rPr>
              <w:t>3.85</w:t>
            </w:r>
            <w:r w:rsidRPr="008F6B3E">
              <w:rPr>
                <w:sz w:val="14"/>
                <w:szCs w:val="14"/>
              </w:rPr>
              <w:t>%</w:t>
            </w:r>
          </w:p>
        </w:tc>
        <w:tc>
          <w:tcPr>
            <w:tcW w:w="651" w:type="dxa"/>
          </w:tcPr>
          <w:p w14:paraId="68026891" w14:textId="20290FC8" w:rsidR="004F7AC1" w:rsidRPr="008F735E" w:rsidRDefault="004F7AC1" w:rsidP="004F7AC1">
            <w:pPr>
              <w:keepNext/>
              <w:keepLines/>
              <w:tabs>
                <w:tab w:val="decimal" w:pos="256"/>
              </w:tabs>
              <w:spacing w:before="60" w:after="60"/>
              <w:jc w:val="center"/>
              <w:rPr>
                <w:sz w:val="14"/>
                <w:szCs w:val="14"/>
              </w:rPr>
            </w:pPr>
            <w:r>
              <w:rPr>
                <w:sz w:val="14"/>
                <w:szCs w:val="14"/>
              </w:rPr>
              <w:t>3.75</w:t>
            </w:r>
            <w:r w:rsidRPr="008F6B3E">
              <w:rPr>
                <w:sz w:val="14"/>
                <w:szCs w:val="14"/>
              </w:rPr>
              <w:t>%</w:t>
            </w:r>
          </w:p>
        </w:tc>
        <w:tc>
          <w:tcPr>
            <w:tcW w:w="666" w:type="dxa"/>
          </w:tcPr>
          <w:p w14:paraId="3F72626F" w14:textId="057DFB8A" w:rsidR="004F7AC1" w:rsidRPr="008F735E" w:rsidRDefault="004F7AC1" w:rsidP="004F7AC1">
            <w:pPr>
              <w:keepNext/>
              <w:keepLines/>
              <w:tabs>
                <w:tab w:val="decimal" w:pos="256"/>
              </w:tabs>
              <w:spacing w:before="60" w:after="60"/>
              <w:jc w:val="center"/>
              <w:rPr>
                <w:sz w:val="14"/>
                <w:szCs w:val="14"/>
              </w:rPr>
            </w:pPr>
            <w:r>
              <w:rPr>
                <w:sz w:val="14"/>
                <w:szCs w:val="14"/>
              </w:rPr>
              <w:t>3.64</w:t>
            </w:r>
            <w:r w:rsidRPr="008F6B3E">
              <w:rPr>
                <w:sz w:val="14"/>
                <w:szCs w:val="14"/>
              </w:rPr>
              <w:t>%</w:t>
            </w:r>
          </w:p>
        </w:tc>
        <w:tc>
          <w:tcPr>
            <w:tcW w:w="667" w:type="dxa"/>
          </w:tcPr>
          <w:p w14:paraId="22371B69" w14:textId="395B8356" w:rsidR="004F7AC1" w:rsidRPr="008F735E" w:rsidRDefault="004F7AC1" w:rsidP="004F7AC1">
            <w:pPr>
              <w:keepNext/>
              <w:keepLines/>
              <w:tabs>
                <w:tab w:val="decimal" w:pos="256"/>
              </w:tabs>
              <w:spacing w:before="60" w:after="60"/>
              <w:jc w:val="center"/>
              <w:rPr>
                <w:sz w:val="14"/>
                <w:szCs w:val="14"/>
              </w:rPr>
            </w:pPr>
            <w:r>
              <w:rPr>
                <w:sz w:val="14"/>
                <w:szCs w:val="14"/>
              </w:rPr>
              <w:t>3.56</w:t>
            </w:r>
            <w:r w:rsidRPr="008F6B3E">
              <w:rPr>
                <w:sz w:val="14"/>
                <w:szCs w:val="14"/>
              </w:rPr>
              <w:t>%</w:t>
            </w:r>
          </w:p>
        </w:tc>
        <w:tc>
          <w:tcPr>
            <w:tcW w:w="1134" w:type="dxa"/>
          </w:tcPr>
          <w:p w14:paraId="372351E1" w14:textId="0484E7B1" w:rsidR="004F7AC1" w:rsidRPr="008F735E" w:rsidRDefault="004F7AC1" w:rsidP="004F7AC1">
            <w:pPr>
              <w:keepNext/>
              <w:keepLines/>
              <w:tabs>
                <w:tab w:val="decimal" w:pos="256"/>
              </w:tabs>
              <w:spacing w:before="60" w:after="60"/>
              <w:jc w:val="center"/>
              <w:rPr>
                <w:sz w:val="14"/>
                <w:szCs w:val="14"/>
              </w:rPr>
            </w:pPr>
            <w:r>
              <w:rPr>
                <w:sz w:val="14"/>
                <w:szCs w:val="14"/>
              </w:rPr>
              <w:t>3.38</w:t>
            </w:r>
            <w:r w:rsidRPr="008F6B3E">
              <w:rPr>
                <w:sz w:val="14"/>
                <w:szCs w:val="14"/>
              </w:rPr>
              <w:t>%</w:t>
            </w:r>
          </w:p>
        </w:tc>
        <w:tc>
          <w:tcPr>
            <w:tcW w:w="851" w:type="dxa"/>
          </w:tcPr>
          <w:p w14:paraId="6108EA32" w14:textId="4A07DD3F" w:rsidR="004F7AC1" w:rsidRPr="008F735E" w:rsidRDefault="004F7AC1" w:rsidP="004F7AC1">
            <w:pPr>
              <w:keepNext/>
              <w:keepLines/>
              <w:tabs>
                <w:tab w:val="decimal" w:pos="256"/>
              </w:tabs>
              <w:spacing w:before="60" w:after="60"/>
              <w:jc w:val="center"/>
              <w:rPr>
                <w:sz w:val="14"/>
                <w:szCs w:val="14"/>
              </w:rPr>
            </w:pPr>
            <w:r>
              <w:rPr>
                <w:sz w:val="14"/>
                <w:szCs w:val="14"/>
              </w:rPr>
              <w:t>4.14</w:t>
            </w:r>
            <w:r w:rsidRPr="008F6B3E">
              <w:rPr>
                <w:sz w:val="14"/>
                <w:szCs w:val="14"/>
              </w:rPr>
              <w:t>%</w:t>
            </w:r>
          </w:p>
        </w:tc>
        <w:tc>
          <w:tcPr>
            <w:tcW w:w="1134" w:type="dxa"/>
          </w:tcPr>
          <w:p w14:paraId="2E0D689E" w14:textId="11A762DA" w:rsidR="004F7AC1" w:rsidRPr="008F735E" w:rsidRDefault="004F7AC1" w:rsidP="004F7AC1">
            <w:pPr>
              <w:keepNext/>
              <w:keepLines/>
              <w:tabs>
                <w:tab w:val="decimal" w:pos="256"/>
              </w:tabs>
              <w:spacing w:before="60" w:after="60"/>
              <w:jc w:val="center"/>
              <w:rPr>
                <w:sz w:val="14"/>
                <w:szCs w:val="14"/>
              </w:rPr>
            </w:pPr>
            <w:r>
              <w:rPr>
                <w:sz w:val="14"/>
                <w:szCs w:val="14"/>
              </w:rPr>
              <w:t>2.99</w:t>
            </w:r>
            <w:r w:rsidRPr="008F6B3E">
              <w:rPr>
                <w:sz w:val="14"/>
                <w:szCs w:val="14"/>
              </w:rPr>
              <w:t>%</w:t>
            </w:r>
          </w:p>
        </w:tc>
        <w:tc>
          <w:tcPr>
            <w:tcW w:w="921" w:type="dxa"/>
          </w:tcPr>
          <w:p w14:paraId="537330D1" w14:textId="4330BD9B" w:rsidR="004F7AC1" w:rsidRPr="008F735E" w:rsidRDefault="004F7AC1" w:rsidP="004F7AC1">
            <w:pPr>
              <w:keepNext/>
              <w:keepLines/>
              <w:tabs>
                <w:tab w:val="decimal" w:pos="256"/>
              </w:tabs>
              <w:spacing w:before="60" w:after="60"/>
              <w:jc w:val="center"/>
              <w:rPr>
                <w:sz w:val="14"/>
                <w:szCs w:val="14"/>
              </w:rPr>
            </w:pPr>
            <w:r>
              <w:rPr>
                <w:sz w:val="14"/>
                <w:szCs w:val="14"/>
              </w:rPr>
              <w:t>2.43</w:t>
            </w:r>
            <w:r w:rsidRPr="008F6B3E">
              <w:rPr>
                <w:sz w:val="14"/>
                <w:szCs w:val="14"/>
              </w:rPr>
              <w:t>%</w:t>
            </w:r>
          </w:p>
        </w:tc>
      </w:tr>
      <w:tr w:rsidR="004F7AC1" w:rsidRPr="008F735E" w14:paraId="2B776EE8" w14:textId="77777777" w:rsidTr="00841651">
        <w:tc>
          <w:tcPr>
            <w:tcW w:w="1347" w:type="dxa"/>
            <w:shd w:val="clear" w:color="auto" w:fill="auto"/>
            <w:vAlign w:val="bottom"/>
          </w:tcPr>
          <w:p w14:paraId="68B4DD28" w14:textId="15CF464C" w:rsidR="004F7AC1" w:rsidRPr="008F735E" w:rsidRDefault="004F7AC1" w:rsidP="004F7AC1">
            <w:pPr>
              <w:keepNext/>
              <w:keepLines/>
              <w:tabs>
                <w:tab w:val="left" w:pos="106"/>
              </w:tabs>
              <w:spacing w:before="60" w:after="60"/>
              <w:ind w:left="108" w:hanging="108"/>
              <w:jc w:val="left"/>
              <w:rPr>
                <w:sz w:val="14"/>
                <w:szCs w:val="14"/>
              </w:rPr>
            </w:pPr>
            <w:r>
              <w:rPr>
                <w:sz w:val="14"/>
                <w:szCs w:val="14"/>
              </w:rPr>
              <w:tab/>
              <w:t>Partial expensing</w:t>
            </w:r>
          </w:p>
        </w:tc>
        <w:tc>
          <w:tcPr>
            <w:tcW w:w="992" w:type="dxa"/>
          </w:tcPr>
          <w:p w14:paraId="7D953D77" w14:textId="5A7F0687" w:rsidR="004F7AC1" w:rsidRPr="008F735E" w:rsidRDefault="004F7AC1" w:rsidP="004F7AC1">
            <w:pPr>
              <w:keepNext/>
              <w:keepLines/>
              <w:tabs>
                <w:tab w:val="decimal" w:pos="256"/>
              </w:tabs>
              <w:spacing w:before="60" w:after="60"/>
              <w:jc w:val="center"/>
              <w:rPr>
                <w:sz w:val="14"/>
                <w:szCs w:val="14"/>
              </w:rPr>
            </w:pPr>
            <w:r>
              <w:rPr>
                <w:sz w:val="14"/>
                <w:szCs w:val="14"/>
              </w:rPr>
              <w:t>3.54</w:t>
            </w:r>
            <w:r w:rsidRPr="004F5415">
              <w:rPr>
                <w:sz w:val="14"/>
                <w:szCs w:val="14"/>
              </w:rPr>
              <w:t>%</w:t>
            </w:r>
          </w:p>
        </w:tc>
        <w:tc>
          <w:tcPr>
            <w:tcW w:w="737" w:type="dxa"/>
          </w:tcPr>
          <w:p w14:paraId="6163FAAF" w14:textId="73D86E66" w:rsidR="004F7AC1" w:rsidRPr="008F735E" w:rsidRDefault="004F7AC1" w:rsidP="004F7AC1">
            <w:pPr>
              <w:keepNext/>
              <w:keepLines/>
              <w:tabs>
                <w:tab w:val="decimal" w:pos="256"/>
              </w:tabs>
              <w:spacing w:before="60" w:after="60"/>
              <w:jc w:val="center"/>
              <w:rPr>
                <w:sz w:val="14"/>
                <w:szCs w:val="14"/>
              </w:rPr>
            </w:pPr>
            <w:r>
              <w:rPr>
                <w:sz w:val="14"/>
                <w:szCs w:val="14"/>
              </w:rPr>
              <w:t>3.80</w:t>
            </w:r>
            <w:r w:rsidRPr="008F6B3E">
              <w:rPr>
                <w:sz w:val="14"/>
                <w:szCs w:val="14"/>
              </w:rPr>
              <w:t>%</w:t>
            </w:r>
          </w:p>
        </w:tc>
        <w:tc>
          <w:tcPr>
            <w:tcW w:w="681" w:type="dxa"/>
          </w:tcPr>
          <w:p w14:paraId="53950089" w14:textId="31389FE0" w:rsidR="004F7AC1" w:rsidRPr="008F735E" w:rsidRDefault="004F7AC1" w:rsidP="004F7AC1">
            <w:pPr>
              <w:keepNext/>
              <w:keepLines/>
              <w:tabs>
                <w:tab w:val="decimal" w:pos="256"/>
              </w:tabs>
              <w:spacing w:before="60" w:after="60"/>
              <w:jc w:val="center"/>
              <w:rPr>
                <w:sz w:val="14"/>
                <w:szCs w:val="14"/>
              </w:rPr>
            </w:pPr>
            <w:r>
              <w:rPr>
                <w:sz w:val="14"/>
                <w:szCs w:val="14"/>
              </w:rPr>
              <w:t>3.78</w:t>
            </w:r>
            <w:r w:rsidRPr="008F6B3E">
              <w:rPr>
                <w:sz w:val="14"/>
                <w:szCs w:val="14"/>
              </w:rPr>
              <w:t>%</w:t>
            </w:r>
          </w:p>
        </w:tc>
        <w:tc>
          <w:tcPr>
            <w:tcW w:w="651" w:type="dxa"/>
          </w:tcPr>
          <w:p w14:paraId="1642765E" w14:textId="5D972002" w:rsidR="004F7AC1" w:rsidRPr="008F735E" w:rsidRDefault="004F7AC1" w:rsidP="004F7AC1">
            <w:pPr>
              <w:keepNext/>
              <w:keepLines/>
              <w:tabs>
                <w:tab w:val="decimal" w:pos="256"/>
              </w:tabs>
              <w:spacing w:before="60" w:after="60"/>
              <w:jc w:val="center"/>
              <w:rPr>
                <w:sz w:val="14"/>
                <w:szCs w:val="14"/>
              </w:rPr>
            </w:pPr>
            <w:r>
              <w:rPr>
                <w:sz w:val="14"/>
                <w:szCs w:val="14"/>
              </w:rPr>
              <w:t>3.63</w:t>
            </w:r>
            <w:r w:rsidRPr="008F6B3E">
              <w:rPr>
                <w:sz w:val="14"/>
                <w:szCs w:val="14"/>
              </w:rPr>
              <w:t>%</w:t>
            </w:r>
          </w:p>
        </w:tc>
        <w:tc>
          <w:tcPr>
            <w:tcW w:w="666" w:type="dxa"/>
          </w:tcPr>
          <w:p w14:paraId="0EC3AB86" w14:textId="6AACE3D5" w:rsidR="004F7AC1" w:rsidRPr="008F735E" w:rsidRDefault="004F7AC1" w:rsidP="004F7AC1">
            <w:pPr>
              <w:keepNext/>
              <w:keepLines/>
              <w:tabs>
                <w:tab w:val="decimal" w:pos="256"/>
              </w:tabs>
              <w:spacing w:before="60" w:after="60"/>
              <w:jc w:val="center"/>
              <w:rPr>
                <w:sz w:val="14"/>
                <w:szCs w:val="14"/>
              </w:rPr>
            </w:pPr>
            <w:r>
              <w:rPr>
                <w:sz w:val="14"/>
                <w:szCs w:val="14"/>
              </w:rPr>
              <w:t>3.49</w:t>
            </w:r>
            <w:r w:rsidRPr="008F6B3E">
              <w:rPr>
                <w:sz w:val="14"/>
                <w:szCs w:val="14"/>
              </w:rPr>
              <w:t>%</w:t>
            </w:r>
          </w:p>
        </w:tc>
        <w:tc>
          <w:tcPr>
            <w:tcW w:w="667" w:type="dxa"/>
          </w:tcPr>
          <w:p w14:paraId="0397F013" w14:textId="74880E29" w:rsidR="004F7AC1" w:rsidRPr="008F735E" w:rsidRDefault="004F7AC1" w:rsidP="004F7AC1">
            <w:pPr>
              <w:keepNext/>
              <w:keepLines/>
              <w:tabs>
                <w:tab w:val="decimal" w:pos="256"/>
              </w:tabs>
              <w:spacing w:before="60" w:after="60"/>
              <w:jc w:val="center"/>
              <w:rPr>
                <w:sz w:val="14"/>
                <w:szCs w:val="14"/>
              </w:rPr>
            </w:pPr>
            <w:r>
              <w:rPr>
                <w:sz w:val="14"/>
                <w:szCs w:val="14"/>
              </w:rPr>
              <w:t>3.39</w:t>
            </w:r>
            <w:r w:rsidRPr="008F6B3E">
              <w:rPr>
                <w:sz w:val="14"/>
                <w:szCs w:val="14"/>
              </w:rPr>
              <w:t>%</w:t>
            </w:r>
          </w:p>
        </w:tc>
        <w:tc>
          <w:tcPr>
            <w:tcW w:w="1134" w:type="dxa"/>
          </w:tcPr>
          <w:p w14:paraId="76E1CBCF" w14:textId="31EC72CF" w:rsidR="004F7AC1" w:rsidRPr="008F735E" w:rsidRDefault="004F7AC1" w:rsidP="004F7AC1">
            <w:pPr>
              <w:keepNext/>
              <w:keepLines/>
              <w:tabs>
                <w:tab w:val="decimal" w:pos="256"/>
              </w:tabs>
              <w:spacing w:before="60" w:after="60"/>
              <w:jc w:val="center"/>
              <w:rPr>
                <w:sz w:val="14"/>
                <w:szCs w:val="14"/>
              </w:rPr>
            </w:pPr>
            <w:r>
              <w:rPr>
                <w:sz w:val="14"/>
                <w:szCs w:val="14"/>
              </w:rPr>
              <w:t>3.38</w:t>
            </w:r>
            <w:r w:rsidRPr="008F6B3E">
              <w:rPr>
                <w:sz w:val="14"/>
                <w:szCs w:val="14"/>
              </w:rPr>
              <w:t>%</w:t>
            </w:r>
          </w:p>
        </w:tc>
        <w:tc>
          <w:tcPr>
            <w:tcW w:w="851" w:type="dxa"/>
          </w:tcPr>
          <w:p w14:paraId="4F54CC45" w14:textId="12DEE1E0" w:rsidR="004F7AC1" w:rsidRPr="008F735E" w:rsidRDefault="004F7AC1" w:rsidP="004F7AC1">
            <w:pPr>
              <w:keepNext/>
              <w:keepLines/>
              <w:tabs>
                <w:tab w:val="decimal" w:pos="256"/>
              </w:tabs>
              <w:spacing w:before="60" w:after="60"/>
              <w:jc w:val="center"/>
              <w:rPr>
                <w:sz w:val="14"/>
                <w:szCs w:val="14"/>
              </w:rPr>
            </w:pPr>
            <w:r>
              <w:rPr>
                <w:sz w:val="14"/>
                <w:szCs w:val="14"/>
              </w:rPr>
              <w:t>4.14</w:t>
            </w:r>
            <w:r w:rsidRPr="008F6B3E">
              <w:rPr>
                <w:sz w:val="14"/>
                <w:szCs w:val="14"/>
              </w:rPr>
              <w:t>%</w:t>
            </w:r>
          </w:p>
        </w:tc>
        <w:tc>
          <w:tcPr>
            <w:tcW w:w="1134" w:type="dxa"/>
          </w:tcPr>
          <w:p w14:paraId="032D4784" w14:textId="16384DF9" w:rsidR="004F7AC1" w:rsidRPr="008F735E" w:rsidRDefault="004F7AC1" w:rsidP="004F7AC1">
            <w:pPr>
              <w:keepNext/>
              <w:keepLines/>
              <w:tabs>
                <w:tab w:val="decimal" w:pos="256"/>
              </w:tabs>
              <w:spacing w:before="60" w:after="60"/>
              <w:jc w:val="center"/>
              <w:rPr>
                <w:sz w:val="14"/>
                <w:szCs w:val="14"/>
              </w:rPr>
            </w:pPr>
            <w:r>
              <w:rPr>
                <w:sz w:val="14"/>
                <w:szCs w:val="14"/>
              </w:rPr>
              <w:t>2.99</w:t>
            </w:r>
            <w:r w:rsidRPr="008F6B3E">
              <w:rPr>
                <w:sz w:val="14"/>
                <w:szCs w:val="14"/>
              </w:rPr>
              <w:t>%</w:t>
            </w:r>
          </w:p>
        </w:tc>
        <w:tc>
          <w:tcPr>
            <w:tcW w:w="921" w:type="dxa"/>
          </w:tcPr>
          <w:p w14:paraId="7B1D3B43" w14:textId="5F766783" w:rsidR="004F7AC1" w:rsidRPr="008F735E" w:rsidRDefault="004F7AC1" w:rsidP="004F7AC1">
            <w:pPr>
              <w:keepNext/>
              <w:keepLines/>
              <w:tabs>
                <w:tab w:val="decimal" w:pos="256"/>
              </w:tabs>
              <w:spacing w:before="60" w:after="60"/>
              <w:jc w:val="center"/>
              <w:rPr>
                <w:sz w:val="14"/>
                <w:szCs w:val="14"/>
              </w:rPr>
            </w:pPr>
            <w:r>
              <w:rPr>
                <w:sz w:val="14"/>
                <w:szCs w:val="14"/>
              </w:rPr>
              <w:t>2.43</w:t>
            </w:r>
            <w:r w:rsidRPr="008F6B3E">
              <w:rPr>
                <w:sz w:val="14"/>
                <w:szCs w:val="14"/>
              </w:rPr>
              <w:t>%</w:t>
            </w:r>
          </w:p>
        </w:tc>
      </w:tr>
      <w:tr w:rsidR="004F7AC1" w:rsidRPr="008F735E" w14:paraId="3B690CBC" w14:textId="77777777" w:rsidTr="00841651">
        <w:tc>
          <w:tcPr>
            <w:tcW w:w="1347" w:type="dxa"/>
            <w:shd w:val="clear" w:color="auto" w:fill="auto"/>
            <w:vAlign w:val="bottom"/>
          </w:tcPr>
          <w:p w14:paraId="1FE6848A" w14:textId="0FDA2BB1" w:rsidR="004F7AC1" w:rsidRPr="008F735E" w:rsidRDefault="004F7AC1" w:rsidP="004F7AC1">
            <w:pPr>
              <w:keepNext/>
              <w:keepLines/>
              <w:tabs>
                <w:tab w:val="left" w:pos="106"/>
              </w:tabs>
              <w:spacing w:before="60" w:after="60"/>
              <w:jc w:val="left"/>
              <w:rPr>
                <w:b/>
                <w:bCs/>
                <w:sz w:val="14"/>
                <w:szCs w:val="14"/>
              </w:rPr>
            </w:pPr>
            <w:r w:rsidRPr="008F735E">
              <w:rPr>
                <w:b/>
                <w:bCs/>
                <w:sz w:val="14"/>
                <w:szCs w:val="14"/>
              </w:rPr>
              <w:t>EMTR</w:t>
            </w:r>
            <w:r w:rsidR="00A02FCB">
              <w:rPr>
                <w:b/>
                <w:bCs/>
                <w:sz w:val="14"/>
                <w:szCs w:val="14"/>
              </w:rPr>
              <w:t>s</w:t>
            </w:r>
          </w:p>
        </w:tc>
        <w:tc>
          <w:tcPr>
            <w:tcW w:w="992" w:type="dxa"/>
          </w:tcPr>
          <w:p w14:paraId="697755D5" w14:textId="3F82BBA9" w:rsidR="004F7AC1" w:rsidRPr="008F735E" w:rsidRDefault="004F7AC1" w:rsidP="004F7AC1">
            <w:pPr>
              <w:keepNext/>
              <w:keepLines/>
              <w:tabs>
                <w:tab w:val="decimal" w:pos="256"/>
              </w:tabs>
              <w:spacing w:before="60" w:after="60"/>
              <w:jc w:val="center"/>
              <w:rPr>
                <w:sz w:val="14"/>
                <w:szCs w:val="14"/>
              </w:rPr>
            </w:pPr>
          </w:p>
        </w:tc>
        <w:tc>
          <w:tcPr>
            <w:tcW w:w="737" w:type="dxa"/>
          </w:tcPr>
          <w:p w14:paraId="2224B2F5" w14:textId="63D00CAA" w:rsidR="004F7AC1" w:rsidRPr="008F735E" w:rsidRDefault="004F7AC1" w:rsidP="004F7AC1">
            <w:pPr>
              <w:keepNext/>
              <w:keepLines/>
              <w:tabs>
                <w:tab w:val="decimal" w:pos="256"/>
              </w:tabs>
              <w:spacing w:before="60" w:after="60"/>
              <w:jc w:val="center"/>
              <w:rPr>
                <w:sz w:val="14"/>
                <w:szCs w:val="14"/>
              </w:rPr>
            </w:pPr>
          </w:p>
        </w:tc>
        <w:tc>
          <w:tcPr>
            <w:tcW w:w="681" w:type="dxa"/>
          </w:tcPr>
          <w:p w14:paraId="74F22E07" w14:textId="505EE6FB" w:rsidR="004F7AC1" w:rsidRPr="008F735E" w:rsidRDefault="004F7AC1" w:rsidP="004F7AC1">
            <w:pPr>
              <w:keepNext/>
              <w:keepLines/>
              <w:tabs>
                <w:tab w:val="decimal" w:pos="256"/>
              </w:tabs>
              <w:spacing w:before="60" w:after="60"/>
              <w:jc w:val="center"/>
              <w:rPr>
                <w:sz w:val="14"/>
                <w:szCs w:val="14"/>
              </w:rPr>
            </w:pPr>
          </w:p>
        </w:tc>
        <w:tc>
          <w:tcPr>
            <w:tcW w:w="651" w:type="dxa"/>
          </w:tcPr>
          <w:p w14:paraId="09DCB842" w14:textId="11143C6D" w:rsidR="004F7AC1" w:rsidRPr="008F735E" w:rsidRDefault="004F7AC1" w:rsidP="004F7AC1">
            <w:pPr>
              <w:keepNext/>
              <w:keepLines/>
              <w:tabs>
                <w:tab w:val="decimal" w:pos="256"/>
              </w:tabs>
              <w:spacing w:before="60" w:after="60"/>
              <w:jc w:val="center"/>
              <w:rPr>
                <w:sz w:val="14"/>
                <w:szCs w:val="14"/>
              </w:rPr>
            </w:pPr>
          </w:p>
        </w:tc>
        <w:tc>
          <w:tcPr>
            <w:tcW w:w="666" w:type="dxa"/>
          </w:tcPr>
          <w:p w14:paraId="73957D3C" w14:textId="16247E76" w:rsidR="004F7AC1" w:rsidRPr="008F735E" w:rsidRDefault="004F7AC1" w:rsidP="004F7AC1">
            <w:pPr>
              <w:keepNext/>
              <w:keepLines/>
              <w:tabs>
                <w:tab w:val="decimal" w:pos="256"/>
              </w:tabs>
              <w:spacing w:before="60" w:after="60"/>
              <w:jc w:val="center"/>
              <w:rPr>
                <w:sz w:val="14"/>
                <w:szCs w:val="14"/>
              </w:rPr>
            </w:pPr>
          </w:p>
        </w:tc>
        <w:tc>
          <w:tcPr>
            <w:tcW w:w="667" w:type="dxa"/>
          </w:tcPr>
          <w:p w14:paraId="48F26F04" w14:textId="685EC124" w:rsidR="004F7AC1" w:rsidRPr="008F735E" w:rsidRDefault="004F7AC1" w:rsidP="004F7AC1">
            <w:pPr>
              <w:keepNext/>
              <w:keepLines/>
              <w:tabs>
                <w:tab w:val="decimal" w:pos="256"/>
              </w:tabs>
              <w:spacing w:before="60" w:after="60"/>
              <w:jc w:val="center"/>
              <w:rPr>
                <w:sz w:val="14"/>
                <w:szCs w:val="14"/>
              </w:rPr>
            </w:pPr>
          </w:p>
        </w:tc>
        <w:tc>
          <w:tcPr>
            <w:tcW w:w="1134" w:type="dxa"/>
          </w:tcPr>
          <w:p w14:paraId="1799CEFD" w14:textId="411F49CB" w:rsidR="004F7AC1" w:rsidRPr="008F735E" w:rsidRDefault="004F7AC1" w:rsidP="004F7AC1">
            <w:pPr>
              <w:keepNext/>
              <w:keepLines/>
              <w:tabs>
                <w:tab w:val="decimal" w:pos="256"/>
              </w:tabs>
              <w:spacing w:before="60" w:after="60"/>
              <w:jc w:val="center"/>
              <w:rPr>
                <w:sz w:val="14"/>
                <w:szCs w:val="14"/>
              </w:rPr>
            </w:pPr>
          </w:p>
        </w:tc>
        <w:tc>
          <w:tcPr>
            <w:tcW w:w="851" w:type="dxa"/>
          </w:tcPr>
          <w:p w14:paraId="02A66DEC" w14:textId="05F5C8A6" w:rsidR="004F7AC1" w:rsidRPr="008F735E" w:rsidRDefault="004F7AC1" w:rsidP="004F7AC1">
            <w:pPr>
              <w:keepNext/>
              <w:keepLines/>
              <w:tabs>
                <w:tab w:val="decimal" w:pos="256"/>
              </w:tabs>
              <w:spacing w:before="60" w:after="60"/>
              <w:jc w:val="center"/>
              <w:rPr>
                <w:sz w:val="14"/>
                <w:szCs w:val="14"/>
              </w:rPr>
            </w:pPr>
          </w:p>
        </w:tc>
        <w:tc>
          <w:tcPr>
            <w:tcW w:w="1134" w:type="dxa"/>
          </w:tcPr>
          <w:p w14:paraId="45D39814" w14:textId="3CA0F578" w:rsidR="004F7AC1" w:rsidRPr="008F735E" w:rsidRDefault="004F7AC1" w:rsidP="004F7AC1">
            <w:pPr>
              <w:keepNext/>
              <w:keepLines/>
              <w:tabs>
                <w:tab w:val="decimal" w:pos="256"/>
              </w:tabs>
              <w:spacing w:before="60" w:after="60"/>
              <w:jc w:val="center"/>
              <w:rPr>
                <w:sz w:val="14"/>
                <w:szCs w:val="14"/>
              </w:rPr>
            </w:pPr>
          </w:p>
        </w:tc>
        <w:tc>
          <w:tcPr>
            <w:tcW w:w="921" w:type="dxa"/>
          </w:tcPr>
          <w:p w14:paraId="617E0A96" w14:textId="2CCFD812" w:rsidR="004F7AC1" w:rsidRPr="008F735E" w:rsidRDefault="004F7AC1" w:rsidP="004F7AC1">
            <w:pPr>
              <w:keepNext/>
              <w:keepLines/>
              <w:tabs>
                <w:tab w:val="decimal" w:pos="256"/>
              </w:tabs>
              <w:spacing w:before="60" w:after="60"/>
              <w:jc w:val="center"/>
              <w:rPr>
                <w:sz w:val="14"/>
                <w:szCs w:val="14"/>
              </w:rPr>
            </w:pPr>
          </w:p>
        </w:tc>
      </w:tr>
      <w:tr w:rsidR="004F7AC1" w:rsidRPr="008F735E" w14:paraId="0C0DCD47" w14:textId="77777777" w:rsidTr="00841651">
        <w:tc>
          <w:tcPr>
            <w:tcW w:w="1347" w:type="dxa"/>
            <w:shd w:val="clear" w:color="auto" w:fill="auto"/>
            <w:vAlign w:val="bottom"/>
          </w:tcPr>
          <w:p w14:paraId="481A65E2" w14:textId="1D8AAE69" w:rsidR="004F7AC1" w:rsidRPr="008F735E" w:rsidRDefault="004F7AC1" w:rsidP="004F7AC1">
            <w:pPr>
              <w:keepNext/>
              <w:keepLines/>
              <w:tabs>
                <w:tab w:val="left" w:pos="106"/>
              </w:tabs>
              <w:spacing w:before="60" w:after="60"/>
              <w:jc w:val="left"/>
              <w:rPr>
                <w:sz w:val="14"/>
                <w:szCs w:val="14"/>
              </w:rPr>
            </w:pPr>
            <w:r>
              <w:rPr>
                <w:sz w:val="14"/>
                <w:szCs w:val="14"/>
              </w:rPr>
              <w:tab/>
              <w:t>Status quo</w:t>
            </w:r>
          </w:p>
        </w:tc>
        <w:tc>
          <w:tcPr>
            <w:tcW w:w="992" w:type="dxa"/>
          </w:tcPr>
          <w:p w14:paraId="37C363EC" w14:textId="4B0FD2B2" w:rsidR="004F7AC1" w:rsidRPr="008F735E" w:rsidRDefault="004F7AC1" w:rsidP="004F7AC1">
            <w:pPr>
              <w:keepNext/>
              <w:keepLines/>
              <w:tabs>
                <w:tab w:val="decimal" w:pos="256"/>
              </w:tabs>
              <w:spacing w:before="60" w:after="60"/>
              <w:jc w:val="center"/>
              <w:rPr>
                <w:sz w:val="14"/>
                <w:szCs w:val="14"/>
              </w:rPr>
            </w:pPr>
            <w:r>
              <w:rPr>
                <w:sz w:val="14"/>
                <w:szCs w:val="14"/>
              </w:rPr>
              <w:t>21.3</w:t>
            </w:r>
            <w:r w:rsidRPr="004F5415">
              <w:rPr>
                <w:sz w:val="14"/>
                <w:szCs w:val="14"/>
              </w:rPr>
              <w:t>%</w:t>
            </w:r>
          </w:p>
        </w:tc>
        <w:tc>
          <w:tcPr>
            <w:tcW w:w="737" w:type="dxa"/>
          </w:tcPr>
          <w:p w14:paraId="5DDD1FE3" w14:textId="5CFBA0C7" w:rsidR="004F7AC1" w:rsidRPr="008F735E" w:rsidRDefault="004F7AC1" w:rsidP="004F7AC1">
            <w:pPr>
              <w:keepNext/>
              <w:keepLines/>
              <w:tabs>
                <w:tab w:val="decimal" w:pos="256"/>
              </w:tabs>
              <w:spacing w:before="60" w:after="60"/>
              <w:jc w:val="center"/>
              <w:rPr>
                <w:sz w:val="14"/>
                <w:szCs w:val="14"/>
              </w:rPr>
            </w:pPr>
            <w:r>
              <w:rPr>
                <w:sz w:val="14"/>
                <w:szCs w:val="14"/>
              </w:rPr>
              <w:t>27.6</w:t>
            </w:r>
            <w:r w:rsidRPr="008F6B3E">
              <w:rPr>
                <w:sz w:val="14"/>
                <w:szCs w:val="14"/>
              </w:rPr>
              <w:t>%</w:t>
            </w:r>
          </w:p>
        </w:tc>
        <w:tc>
          <w:tcPr>
            <w:tcW w:w="681" w:type="dxa"/>
          </w:tcPr>
          <w:p w14:paraId="071D286D" w14:textId="17019DC2" w:rsidR="004F7AC1" w:rsidRPr="008F735E" w:rsidRDefault="004F7AC1" w:rsidP="004F7AC1">
            <w:pPr>
              <w:keepNext/>
              <w:keepLines/>
              <w:tabs>
                <w:tab w:val="decimal" w:pos="256"/>
              </w:tabs>
              <w:spacing w:before="60" w:after="60"/>
              <w:jc w:val="center"/>
              <w:rPr>
                <w:sz w:val="14"/>
                <w:szCs w:val="14"/>
              </w:rPr>
            </w:pPr>
            <w:r>
              <w:rPr>
                <w:sz w:val="14"/>
                <w:szCs w:val="14"/>
              </w:rPr>
              <w:t>27.0</w:t>
            </w:r>
            <w:r w:rsidRPr="008F6B3E">
              <w:rPr>
                <w:sz w:val="14"/>
                <w:szCs w:val="14"/>
              </w:rPr>
              <w:t>%</w:t>
            </w:r>
          </w:p>
        </w:tc>
        <w:tc>
          <w:tcPr>
            <w:tcW w:w="651" w:type="dxa"/>
          </w:tcPr>
          <w:p w14:paraId="04A492BA" w14:textId="6F6D5AB2" w:rsidR="004F7AC1" w:rsidRPr="008F735E" w:rsidRDefault="004F7AC1" w:rsidP="004F7AC1">
            <w:pPr>
              <w:keepNext/>
              <w:keepLines/>
              <w:tabs>
                <w:tab w:val="decimal" w:pos="256"/>
              </w:tabs>
              <w:spacing w:before="60" w:after="60"/>
              <w:jc w:val="center"/>
              <w:rPr>
                <w:sz w:val="14"/>
                <w:szCs w:val="14"/>
              </w:rPr>
            </w:pPr>
            <w:r>
              <w:rPr>
                <w:sz w:val="14"/>
                <w:szCs w:val="14"/>
              </w:rPr>
              <w:t>23.7</w:t>
            </w:r>
            <w:r w:rsidRPr="008F6B3E">
              <w:rPr>
                <w:sz w:val="14"/>
                <w:szCs w:val="14"/>
              </w:rPr>
              <w:t>%</w:t>
            </w:r>
          </w:p>
        </w:tc>
        <w:tc>
          <w:tcPr>
            <w:tcW w:w="666" w:type="dxa"/>
          </w:tcPr>
          <w:p w14:paraId="389D94BB" w14:textId="784DF90A" w:rsidR="004F7AC1" w:rsidRPr="008F735E" w:rsidRDefault="004F7AC1" w:rsidP="004F7AC1">
            <w:pPr>
              <w:keepNext/>
              <w:keepLines/>
              <w:tabs>
                <w:tab w:val="decimal" w:pos="256"/>
              </w:tabs>
              <w:spacing w:before="60" w:after="60"/>
              <w:jc w:val="center"/>
              <w:rPr>
                <w:sz w:val="14"/>
                <w:szCs w:val="14"/>
              </w:rPr>
            </w:pPr>
            <w:r>
              <w:rPr>
                <w:sz w:val="14"/>
                <w:szCs w:val="14"/>
              </w:rPr>
              <w:t>20.1</w:t>
            </w:r>
            <w:r w:rsidRPr="008F6B3E">
              <w:rPr>
                <w:sz w:val="14"/>
                <w:szCs w:val="14"/>
              </w:rPr>
              <w:t>%</w:t>
            </w:r>
          </w:p>
        </w:tc>
        <w:tc>
          <w:tcPr>
            <w:tcW w:w="667" w:type="dxa"/>
          </w:tcPr>
          <w:p w14:paraId="105F9564" w14:textId="5C5191A0" w:rsidR="004F7AC1" w:rsidRPr="008F735E" w:rsidRDefault="004F7AC1" w:rsidP="004F7AC1">
            <w:pPr>
              <w:keepNext/>
              <w:keepLines/>
              <w:tabs>
                <w:tab w:val="decimal" w:pos="256"/>
              </w:tabs>
              <w:spacing w:before="60" w:after="60"/>
              <w:jc w:val="center"/>
              <w:rPr>
                <w:sz w:val="14"/>
                <w:szCs w:val="14"/>
              </w:rPr>
            </w:pPr>
            <w:r>
              <w:rPr>
                <w:sz w:val="14"/>
                <w:szCs w:val="14"/>
              </w:rPr>
              <w:t>17.3</w:t>
            </w:r>
            <w:r w:rsidRPr="008F6B3E">
              <w:rPr>
                <w:sz w:val="14"/>
                <w:szCs w:val="14"/>
              </w:rPr>
              <w:t>%</w:t>
            </w:r>
          </w:p>
        </w:tc>
        <w:tc>
          <w:tcPr>
            <w:tcW w:w="1134" w:type="dxa"/>
          </w:tcPr>
          <w:p w14:paraId="3DF2CD6F" w14:textId="35941220" w:rsidR="004F7AC1" w:rsidRPr="008F735E" w:rsidRDefault="004F7AC1" w:rsidP="004F7AC1">
            <w:pPr>
              <w:keepNext/>
              <w:keepLines/>
              <w:tabs>
                <w:tab w:val="decimal" w:pos="256"/>
              </w:tabs>
              <w:spacing w:before="60" w:after="60"/>
              <w:jc w:val="center"/>
              <w:rPr>
                <w:sz w:val="14"/>
                <w:szCs w:val="14"/>
              </w:rPr>
            </w:pPr>
            <w:r>
              <w:rPr>
                <w:sz w:val="14"/>
                <w:szCs w:val="14"/>
              </w:rPr>
              <w:t>11.3</w:t>
            </w:r>
            <w:r w:rsidRPr="008F6B3E">
              <w:rPr>
                <w:sz w:val="14"/>
                <w:szCs w:val="14"/>
              </w:rPr>
              <w:t>%</w:t>
            </w:r>
          </w:p>
        </w:tc>
        <w:tc>
          <w:tcPr>
            <w:tcW w:w="851" w:type="dxa"/>
          </w:tcPr>
          <w:p w14:paraId="26BFE654" w14:textId="47DCED63" w:rsidR="004F7AC1" w:rsidRPr="008F735E" w:rsidRDefault="004F7AC1" w:rsidP="004F7AC1">
            <w:pPr>
              <w:keepNext/>
              <w:keepLines/>
              <w:tabs>
                <w:tab w:val="decimal" w:pos="256"/>
              </w:tabs>
              <w:spacing w:before="60" w:after="60"/>
              <w:jc w:val="center"/>
              <w:rPr>
                <w:sz w:val="14"/>
                <w:szCs w:val="14"/>
              </w:rPr>
            </w:pPr>
            <w:r>
              <w:rPr>
                <w:sz w:val="14"/>
                <w:szCs w:val="14"/>
              </w:rPr>
              <w:t>27.6</w:t>
            </w:r>
            <w:r w:rsidRPr="008F6B3E">
              <w:rPr>
                <w:sz w:val="14"/>
                <w:szCs w:val="14"/>
              </w:rPr>
              <w:t>%</w:t>
            </w:r>
          </w:p>
        </w:tc>
        <w:tc>
          <w:tcPr>
            <w:tcW w:w="1134" w:type="dxa"/>
          </w:tcPr>
          <w:p w14:paraId="2AF3F78A" w14:textId="4976D905" w:rsidR="004F7AC1" w:rsidRPr="008F735E" w:rsidRDefault="004F7AC1" w:rsidP="004F7AC1">
            <w:pPr>
              <w:keepNext/>
              <w:keepLines/>
              <w:tabs>
                <w:tab w:val="decimal" w:pos="256"/>
              </w:tabs>
              <w:spacing w:before="60" w:after="60"/>
              <w:jc w:val="center"/>
              <w:rPr>
                <w:sz w:val="14"/>
                <w:szCs w:val="14"/>
              </w:rPr>
            </w:pPr>
            <w:r>
              <w:rPr>
                <w:sz w:val="14"/>
                <w:szCs w:val="14"/>
              </w:rPr>
              <w:t>-0.3</w:t>
            </w:r>
            <w:r w:rsidRPr="008F6B3E">
              <w:rPr>
                <w:sz w:val="14"/>
                <w:szCs w:val="14"/>
              </w:rPr>
              <w:t>%</w:t>
            </w:r>
          </w:p>
        </w:tc>
        <w:tc>
          <w:tcPr>
            <w:tcW w:w="921" w:type="dxa"/>
          </w:tcPr>
          <w:p w14:paraId="6C6C267F" w14:textId="3316EA4A" w:rsidR="004F7AC1" w:rsidRPr="008F735E" w:rsidRDefault="004F7AC1" w:rsidP="004F7AC1">
            <w:pPr>
              <w:keepNext/>
              <w:keepLines/>
              <w:tabs>
                <w:tab w:val="decimal" w:pos="256"/>
              </w:tabs>
              <w:spacing w:before="60" w:after="60"/>
              <w:jc w:val="center"/>
              <w:rPr>
                <w:sz w:val="14"/>
                <w:szCs w:val="14"/>
              </w:rPr>
            </w:pPr>
            <w:r>
              <w:rPr>
                <w:sz w:val="14"/>
                <w:szCs w:val="14"/>
              </w:rPr>
              <w:t>-23.3</w:t>
            </w:r>
            <w:r w:rsidRPr="008F6B3E">
              <w:rPr>
                <w:sz w:val="14"/>
                <w:szCs w:val="14"/>
              </w:rPr>
              <w:t>%</w:t>
            </w:r>
          </w:p>
        </w:tc>
      </w:tr>
      <w:tr w:rsidR="004F7AC1" w:rsidRPr="008F735E" w14:paraId="1F714A2F" w14:textId="77777777" w:rsidTr="00841651">
        <w:tc>
          <w:tcPr>
            <w:tcW w:w="1347" w:type="dxa"/>
            <w:shd w:val="clear" w:color="auto" w:fill="auto"/>
            <w:vAlign w:val="bottom"/>
          </w:tcPr>
          <w:p w14:paraId="0888C914" w14:textId="0C24D2AC" w:rsidR="004F7AC1" w:rsidRPr="008F735E" w:rsidRDefault="004F7AC1" w:rsidP="004F7AC1">
            <w:pPr>
              <w:keepNext/>
              <w:keepLines/>
              <w:tabs>
                <w:tab w:val="left" w:pos="106"/>
              </w:tabs>
              <w:spacing w:before="60" w:after="60"/>
              <w:ind w:left="108" w:hanging="108"/>
              <w:jc w:val="left"/>
              <w:rPr>
                <w:sz w:val="14"/>
                <w:szCs w:val="14"/>
              </w:rPr>
            </w:pPr>
            <w:r>
              <w:rPr>
                <w:sz w:val="14"/>
                <w:szCs w:val="14"/>
              </w:rPr>
              <w:tab/>
              <w:t>Deprec</w:t>
            </w:r>
            <w:r w:rsidR="008A4A92">
              <w:rPr>
                <w:sz w:val="14"/>
                <w:szCs w:val="14"/>
              </w:rPr>
              <w:t>iation</w:t>
            </w:r>
            <w:r>
              <w:rPr>
                <w:sz w:val="14"/>
                <w:szCs w:val="14"/>
              </w:rPr>
              <w:t xml:space="preserve"> loading</w:t>
            </w:r>
          </w:p>
        </w:tc>
        <w:tc>
          <w:tcPr>
            <w:tcW w:w="992" w:type="dxa"/>
          </w:tcPr>
          <w:p w14:paraId="0296C528" w14:textId="55BD1C4A" w:rsidR="004F7AC1" w:rsidRPr="008F735E" w:rsidRDefault="004F7AC1" w:rsidP="004F7AC1">
            <w:pPr>
              <w:keepNext/>
              <w:keepLines/>
              <w:tabs>
                <w:tab w:val="decimal" w:pos="256"/>
              </w:tabs>
              <w:spacing w:before="60" w:after="60"/>
              <w:jc w:val="center"/>
              <w:rPr>
                <w:sz w:val="14"/>
                <w:szCs w:val="14"/>
              </w:rPr>
            </w:pPr>
            <w:r>
              <w:rPr>
                <w:sz w:val="14"/>
                <w:szCs w:val="14"/>
              </w:rPr>
              <w:t>19.6</w:t>
            </w:r>
            <w:r w:rsidRPr="004F5415">
              <w:rPr>
                <w:sz w:val="14"/>
                <w:szCs w:val="14"/>
              </w:rPr>
              <w:t>%</w:t>
            </w:r>
          </w:p>
        </w:tc>
        <w:tc>
          <w:tcPr>
            <w:tcW w:w="737" w:type="dxa"/>
          </w:tcPr>
          <w:p w14:paraId="6D164E8B" w14:textId="3253D0AC" w:rsidR="004F7AC1" w:rsidRPr="008F735E" w:rsidRDefault="004F7AC1" w:rsidP="004F7AC1">
            <w:pPr>
              <w:keepNext/>
              <w:keepLines/>
              <w:tabs>
                <w:tab w:val="decimal" w:pos="256"/>
              </w:tabs>
              <w:spacing w:before="60" w:after="60"/>
              <w:jc w:val="center"/>
              <w:rPr>
                <w:sz w:val="14"/>
                <w:szCs w:val="14"/>
              </w:rPr>
            </w:pPr>
            <w:r>
              <w:rPr>
                <w:sz w:val="14"/>
                <w:szCs w:val="14"/>
              </w:rPr>
              <w:t>27.6</w:t>
            </w:r>
            <w:r w:rsidRPr="008F6B3E">
              <w:rPr>
                <w:sz w:val="14"/>
                <w:szCs w:val="14"/>
              </w:rPr>
              <w:t>%</w:t>
            </w:r>
          </w:p>
        </w:tc>
        <w:tc>
          <w:tcPr>
            <w:tcW w:w="681" w:type="dxa"/>
          </w:tcPr>
          <w:p w14:paraId="0BD0217D" w14:textId="6E4F7ADB" w:rsidR="004F7AC1" w:rsidRPr="008F735E" w:rsidRDefault="004F7AC1" w:rsidP="004F7AC1">
            <w:pPr>
              <w:keepNext/>
              <w:keepLines/>
              <w:tabs>
                <w:tab w:val="decimal" w:pos="256"/>
              </w:tabs>
              <w:spacing w:before="60" w:after="60"/>
              <w:jc w:val="center"/>
              <w:rPr>
                <w:sz w:val="14"/>
                <w:szCs w:val="14"/>
              </w:rPr>
            </w:pPr>
            <w:r>
              <w:rPr>
                <w:sz w:val="14"/>
                <w:szCs w:val="14"/>
              </w:rPr>
              <w:t>22.1</w:t>
            </w:r>
            <w:r w:rsidRPr="008F6B3E">
              <w:rPr>
                <w:sz w:val="14"/>
                <w:szCs w:val="14"/>
              </w:rPr>
              <w:t>%</w:t>
            </w:r>
          </w:p>
        </w:tc>
        <w:tc>
          <w:tcPr>
            <w:tcW w:w="651" w:type="dxa"/>
          </w:tcPr>
          <w:p w14:paraId="4AA16DAF" w14:textId="58739901" w:rsidR="004F7AC1" w:rsidRPr="008F735E" w:rsidRDefault="004F7AC1" w:rsidP="004F7AC1">
            <w:pPr>
              <w:keepNext/>
              <w:keepLines/>
              <w:tabs>
                <w:tab w:val="decimal" w:pos="256"/>
              </w:tabs>
              <w:spacing w:before="60" w:after="60"/>
              <w:jc w:val="center"/>
              <w:rPr>
                <w:sz w:val="14"/>
                <w:szCs w:val="14"/>
              </w:rPr>
            </w:pPr>
            <w:r>
              <w:rPr>
                <w:sz w:val="14"/>
                <w:szCs w:val="14"/>
              </w:rPr>
              <w:t>20.0</w:t>
            </w:r>
            <w:r w:rsidRPr="008F6B3E">
              <w:rPr>
                <w:sz w:val="14"/>
                <w:szCs w:val="14"/>
              </w:rPr>
              <w:t>%</w:t>
            </w:r>
          </w:p>
        </w:tc>
        <w:tc>
          <w:tcPr>
            <w:tcW w:w="666" w:type="dxa"/>
          </w:tcPr>
          <w:p w14:paraId="2DF9B209" w14:textId="0E69BF2A" w:rsidR="004F7AC1" w:rsidRPr="008F735E" w:rsidRDefault="004F7AC1" w:rsidP="004F7AC1">
            <w:pPr>
              <w:keepNext/>
              <w:keepLines/>
              <w:tabs>
                <w:tab w:val="decimal" w:pos="256"/>
              </w:tabs>
              <w:spacing w:before="60" w:after="60"/>
              <w:jc w:val="center"/>
              <w:rPr>
                <w:sz w:val="14"/>
                <w:szCs w:val="14"/>
              </w:rPr>
            </w:pPr>
            <w:r>
              <w:rPr>
                <w:sz w:val="14"/>
                <w:szCs w:val="14"/>
              </w:rPr>
              <w:t>17.6</w:t>
            </w:r>
            <w:r w:rsidRPr="008F6B3E">
              <w:rPr>
                <w:sz w:val="14"/>
                <w:szCs w:val="14"/>
              </w:rPr>
              <w:t>%</w:t>
            </w:r>
          </w:p>
        </w:tc>
        <w:tc>
          <w:tcPr>
            <w:tcW w:w="667" w:type="dxa"/>
          </w:tcPr>
          <w:p w14:paraId="5F2FC67B" w14:textId="2BF1147D" w:rsidR="004F7AC1" w:rsidRPr="008F735E" w:rsidRDefault="004F7AC1" w:rsidP="004F7AC1">
            <w:pPr>
              <w:keepNext/>
              <w:keepLines/>
              <w:tabs>
                <w:tab w:val="decimal" w:pos="256"/>
              </w:tabs>
              <w:spacing w:before="60" w:after="60"/>
              <w:jc w:val="center"/>
              <w:rPr>
                <w:sz w:val="14"/>
                <w:szCs w:val="14"/>
              </w:rPr>
            </w:pPr>
            <w:r>
              <w:rPr>
                <w:sz w:val="14"/>
                <w:szCs w:val="14"/>
              </w:rPr>
              <w:t>15.7</w:t>
            </w:r>
            <w:r w:rsidRPr="008F6B3E">
              <w:rPr>
                <w:sz w:val="14"/>
                <w:szCs w:val="14"/>
              </w:rPr>
              <w:t>%</w:t>
            </w:r>
          </w:p>
        </w:tc>
        <w:tc>
          <w:tcPr>
            <w:tcW w:w="1134" w:type="dxa"/>
          </w:tcPr>
          <w:p w14:paraId="46DE33E6" w14:textId="3B372FDE" w:rsidR="004F7AC1" w:rsidRPr="008F735E" w:rsidRDefault="004F7AC1" w:rsidP="004F7AC1">
            <w:pPr>
              <w:keepNext/>
              <w:keepLines/>
              <w:tabs>
                <w:tab w:val="decimal" w:pos="256"/>
              </w:tabs>
              <w:spacing w:before="60" w:after="60"/>
              <w:jc w:val="center"/>
              <w:rPr>
                <w:sz w:val="14"/>
                <w:szCs w:val="14"/>
              </w:rPr>
            </w:pPr>
            <w:r>
              <w:rPr>
                <w:sz w:val="14"/>
                <w:szCs w:val="14"/>
              </w:rPr>
              <w:t>11.3</w:t>
            </w:r>
            <w:r w:rsidRPr="008F6B3E">
              <w:rPr>
                <w:sz w:val="14"/>
                <w:szCs w:val="14"/>
              </w:rPr>
              <w:t>%</w:t>
            </w:r>
          </w:p>
        </w:tc>
        <w:tc>
          <w:tcPr>
            <w:tcW w:w="851" w:type="dxa"/>
          </w:tcPr>
          <w:p w14:paraId="5579E8E0" w14:textId="46B720C6" w:rsidR="004F7AC1" w:rsidRPr="008F735E" w:rsidRDefault="004F7AC1" w:rsidP="004F7AC1">
            <w:pPr>
              <w:keepNext/>
              <w:keepLines/>
              <w:tabs>
                <w:tab w:val="decimal" w:pos="256"/>
              </w:tabs>
              <w:spacing w:before="60" w:after="60"/>
              <w:jc w:val="center"/>
              <w:rPr>
                <w:sz w:val="14"/>
                <w:szCs w:val="14"/>
              </w:rPr>
            </w:pPr>
            <w:r>
              <w:rPr>
                <w:sz w:val="14"/>
                <w:szCs w:val="14"/>
              </w:rPr>
              <w:t>27.6</w:t>
            </w:r>
            <w:r w:rsidRPr="008F6B3E">
              <w:rPr>
                <w:sz w:val="14"/>
                <w:szCs w:val="14"/>
              </w:rPr>
              <w:t>%</w:t>
            </w:r>
          </w:p>
        </w:tc>
        <w:tc>
          <w:tcPr>
            <w:tcW w:w="1134" w:type="dxa"/>
          </w:tcPr>
          <w:p w14:paraId="40E7CFE9" w14:textId="5F9AE111" w:rsidR="004F7AC1" w:rsidRPr="008F735E" w:rsidRDefault="004F7AC1" w:rsidP="004F7AC1">
            <w:pPr>
              <w:keepNext/>
              <w:keepLines/>
              <w:tabs>
                <w:tab w:val="decimal" w:pos="256"/>
              </w:tabs>
              <w:spacing w:before="60" w:after="60"/>
              <w:jc w:val="center"/>
              <w:rPr>
                <w:sz w:val="14"/>
                <w:szCs w:val="14"/>
              </w:rPr>
            </w:pPr>
            <w:r>
              <w:rPr>
                <w:sz w:val="14"/>
                <w:szCs w:val="14"/>
              </w:rPr>
              <w:t>-0.3</w:t>
            </w:r>
            <w:r w:rsidRPr="008F6B3E">
              <w:rPr>
                <w:sz w:val="14"/>
                <w:szCs w:val="14"/>
              </w:rPr>
              <w:t>%</w:t>
            </w:r>
          </w:p>
        </w:tc>
        <w:tc>
          <w:tcPr>
            <w:tcW w:w="921" w:type="dxa"/>
          </w:tcPr>
          <w:p w14:paraId="18200520" w14:textId="040D7943" w:rsidR="004F7AC1" w:rsidRPr="008F735E" w:rsidRDefault="004F7AC1" w:rsidP="004F7AC1">
            <w:pPr>
              <w:keepNext/>
              <w:keepLines/>
              <w:tabs>
                <w:tab w:val="decimal" w:pos="256"/>
              </w:tabs>
              <w:spacing w:before="60" w:after="60"/>
              <w:jc w:val="center"/>
              <w:rPr>
                <w:sz w:val="14"/>
                <w:szCs w:val="14"/>
              </w:rPr>
            </w:pPr>
            <w:r>
              <w:rPr>
                <w:sz w:val="14"/>
                <w:szCs w:val="14"/>
              </w:rPr>
              <w:t>-23.3</w:t>
            </w:r>
            <w:r w:rsidRPr="008F6B3E">
              <w:rPr>
                <w:sz w:val="14"/>
                <w:szCs w:val="14"/>
              </w:rPr>
              <w:t>%</w:t>
            </w:r>
          </w:p>
        </w:tc>
      </w:tr>
      <w:tr w:rsidR="004F7AC1" w:rsidRPr="008F735E" w14:paraId="13F90BCD" w14:textId="77777777" w:rsidTr="00841651">
        <w:tc>
          <w:tcPr>
            <w:tcW w:w="1347" w:type="dxa"/>
            <w:shd w:val="clear" w:color="auto" w:fill="auto"/>
            <w:vAlign w:val="bottom"/>
          </w:tcPr>
          <w:p w14:paraId="5837B155" w14:textId="63BAAFE7" w:rsidR="004F7AC1" w:rsidRPr="008F735E" w:rsidRDefault="004F7AC1" w:rsidP="004F7AC1">
            <w:pPr>
              <w:keepNext/>
              <w:keepLines/>
              <w:tabs>
                <w:tab w:val="left" w:pos="106"/>
              </w:tabs>
              <w:spacing w:before="60" w:after="60"/>
              <w:ind w:left="108" w:hanging="108"/>
              <w:jc w:val="left"/>
              <w:rPr>
                <w:sz w:val="14"/>
                <w:szCs w:val="14"/>
              </w:rPr>
            </w:pPr>
            <w:r>
              <w:rPr>
                <w:sz w:val="14"/>
                <w:szCs w:val="14"/>
              </w:rPr>
              <w:tab/>
              <w:t>Partial expensing</w:t>
            </w:r>
          </w:p>
        </w:tc>
        <w:tc>
          <w:tcPr>
            <w:tcW w:w="992" w:type="dxa"/>
          </w:tcPr>
          <w:p w14:paraId="6B9AF5EC" w14:textId="0F2845ED" w:rsidR="004F7AC1" w:rsidRPr="008F735E" w:rsidRDefault="004F7AC1" w:rsidP="004F7AC1">
            <w:pPr>
              <w:keepNext/>
              <w:keepLines/>
              <w:tabs>
                <w:tab w:val="decimal" w:pos="256"/>
              </w:tabs>
              <w:spacing w:before="60" w:after="60"/>
              <w:jc w:val="center"/>
              <w:rPr>
                <w:sz w:val="14"/>
                <w:szCs w:val="14"/>
              </w:rPr>
            </w:pPr>
            <w:r>
              <w:rPr>
                <w:sz w:val="14"/>
                <w:szCs w:val="14"/>
              </w:rPr>
              <w:t>15.2</w:t>
            </w:r>
            <w:r w:rsidRPr="004F5415">
              <w:rPr>
                <w:sz w:val="14"/>
                <w:szCs w:val="14"/>
              </w:rPr>
              <w:t>%</w:t>
            </w:r>
          </w:p>
        </w:tc>
        <w:tc>
          <w:tcPr>
            <w:tcW w:w="737" w:type="dxa"/>
          </w:tcPr>
          <w:p w14:paraId="32D95C17" w14:textId="5C846B4A" w:rsidR="004F7AC1" w:rsidRPr="008F735E" w:rsidRDefault="004F7AC1" w:rsidP="004F7AC1">
            <w:pPr>
              <w:keepNext/>
              <w:keepLines/>
              <w:tabs>
                <w:tab w:val="decimal" w:pos="256"/>
              </w:tabs>
              <w:spacing w:before="60" w:after="60"/>
              <w:jc w:val="center"/>
              <w:rPr>
                <w:sz w:val="14"/>
                <w:szCs w:val="14"/>
              </w:rPr>
            </w:pPr>
            <w:r>
              <w:rPr>
                <w:sz w:val="14"/>
                <w:szCs w:val="14"/>
              </w:rPr>
              <w:t>21.1</w:t>
            </w:r>
            <w:r w:rsidRPr="008F6B3E">
              <w:rPr>
                <w:sz w:val="14"/>
                <w:szCs w:val="14"/>
              </w:rPr>
              <w:t>%</w:t>
            </w:r>
          </w:p>
        </w:tc>
        <w:tc>
          <w:tcPr>
            <w:tcW w:w="681" w:type="dxa"/>
          </w:tcPr>
          <w:p w14:paraId="57AEB3D9" w14:textId="05500A36" w:rsidR="004F7AC1" w:rsidRPr="008F735E" w:rsidRDefault="004F7AC1" w:rsidP="004F7AC1">
            <w:pPr>
              <w:keepNext/>
              <w:keepLines/>
              <w:tabs>
                <w:tab w:val="decimal" w:pos="256"/>
              </w:tabs>
              <w:spacing w:before="60" w:after="60"/>
              <w:jc w:val="center"/>
              <w:rPr>
                <w:sz w:val="14"/>
                <w:szCs w:val="14"/>
              </w:rPr>
            </w:pPr>
            <w:r>
              <w:rPr>
                <w:sz w:val="14"/>
                <w:szCs w:val="14"/>
              </w:rPr>
              <w:t>20.6</w:t>
            </w:r>
            <w:r w:rsidRPr="008F6B3E">
              <w:rPr>
                <w:sz w:val="14"/>
                <w:szCs w:val="14"/>
              </w:rPr>
              <w:t>%</w:t>
            </w:r>
          </w:p>
        </w:tc>
        <w:tc>
          <w:tcPr>
            <w:tcW w:w="651" w:type="dxa"/>
          </w:tcPr>
          <w:p w14:paraId="64366F56" w14:textId="53D56ABB" w:rsidR="004F7AC1" w:rsidRPr="008F735E" w:rsidRDefault="004F7AC1" w:rsidP="004F7AC1">
            <w:pPr>
              <w:keepNext/>
              <w:keepLines/>
              <w:tabs>
                <w:tab w:val="decimal" w:pos="256"/>
              </w:tabs>
              <w:spacing w:before="60" w:after="60"/>
              <w:jc w:val="center"/>
              <w:rPr>
                <w:sz w:val="14"/>
                <w:szCs w:val="14"/>
              </w:rPr>
            </w:pPr>
            <w:r>
              <w:rPr>
                <w:sz w:val="14"/>
                <w:szCs w:val="14"/>
              </w:rPr>
              <w:t>17.4</w:t>
            </w:r>
            <w:r w:rsidRPr="008F6B3E">
              <w:rPr>
                <w:sz w:val="14"/>
                <w:szCs w:val="14"/>
              </w:rPr>
              <w:t>%</w:t>
            </w:r>
          </w:p>
        </w:tc>
        <w:tc>
          <w:tcPr>
            <w:tcW w:w="666" w:type="dxa"/>
          </w:tcPr>
          <w:p w14:paraId="175A187A" w14:textId="71B451B5" w:rsidR="004F7AC1" w:rsidRPr="008F735E" w:rsidRDefault="004F7AC1" w:rsidP="004F7AC1">
            <w:pPr>
              <w:keepNext/>
              <w:keepLines/>
              <w:tabs>
                <w:tab w:val="decimal" w:pos="256"/>
              </w:tabs>
              <w:spacing w:before="60" w:after="60"/>
              <w:jc w:val="center"/>
              <w:rPr>
                <w:sz w:val="14"/>
                <w:szCs w:val="14"/>
              </w:rPr>
            </w:pPr>
            <w:r>
              <w:rPr>
                <w:sz w:val="14"/>
                <w:szCs w:val="14"/>
              </w:rPr>
              <w:t>14.1</w:t>
            </w:r>
            <w:r w:rsidRPr="008F6B3E">
              <w:rPr>
                <w:sz w:val="14"/>
                <w:szCs w:val="14"/>
              </w:rPr>
              <w:t>%</w:t>
            </w:r>
          </w:p>
        </w:tc>
        <w:tc>
          <w:tcPr>
            <w:tcW w:w="667" w:type="dxa"/>
          </w:tcPr>
          <w:p w14:paraId="7669B8D0" w14:textId="22D64427" w:rsidR="004F7AC1" w:rsidRPr="008F735E" w:rsidRDefault="004F7AC1" w:rsidP="004F7AC1">
            <w:pPr>
              <w:keepNext/>
              <w:keepLines/>
              <w:tabs>
                <w:tab w:val="decimal" w:pos="256"/>
              </w:tabs>
              <w:spacing w:before="60" w:after="60"/>
              <w:jc w:val="center"/>
              <w:rPr>
                <w:sz w:val="14"/>
                <w:szCs w:val="14"/>
              </w:rPr>
            </w:pPr>
            <w:r>
              <w:rPr>
                <w:sz w:val="14"/>
                <w:szCs w:val="14"/>
              </w:rPr>
              <w:t>11.5</w:t>
            </w:r>
            <w:r w:rsidRPr="008F6B3E">
              <w:rPr>
                <w:sz w:val="14"/>
                <w:szCs w:val="14"/>
              </w:rPr>
              <w:t>%</w:t>
            </w:r>
          </w:p>
        </w:tc>
        <w:tc>
          <w:tcPr>
            <w:tcW w:w="1134" w:type="dxa"/>
          </w:tcPr>
          <w:p w14:paraId="50E4021E" w14:textId="1CCC2315" w:rsidR="004F7AC1" w:rsidRPr="008F735E" w:rsidRDefault="004F7AC1" w:rsidP="004F7AC1">
            <w:pPr>
              <w:keepNext/>
              <w:keepLines/>
              <w:tabs>
                <w:tab w:val="decimal" w:pos="256"/>
              </w:tabs>
              <w:spacing w:before="60" w:after="60"/>
              <w:jc w:val="center"/>
              <w:rPr>
                <w:sz w:val="14"/>
                <w:szCs w:val="14"/>
              </w:rPr>
            </w:pPr>
            <w:r>
              <w:rPr>
                <w:sz w:val="14"/>
                <w:szCs w:val="14"/>
              </w:rPr>
              <w:t>11.3</w:t>
            </w:r>
            <w:r w:rsidRPr="008F6B3E">
              <w:rPr>
                <w:sz w:val="14"/>
                <w:szCs w:val="14"/>
              </w:rPr>
              <w:t>%</w:t>
            </w:r>
          </w:p>
        </w:tc>
        <w:tc>
          <w:tcPr>
            <w:tcW w:w="851" w:type="dxa"/>
          </w:tcPr>
          <w:p w14:paraId="56320ACB" w14:textId="3AA50AC1" w:rsidR="004F7AC1" w:rsidRPr="008F735E" w:rsidRDefault="004F7AC1" w:rsidP="004F7AC1">
            <w:pPr>
              <w:keepNext/>
              <w:keepLines/>
              <w:tabs>
                <w:tab w:val="decimal" w:pos="256"/>
              </w:tabs>
              <w:spacing w:before="60" w:after="60"/>
              <w:jc w:val="center"/>
              <w:rPr>
                <w:sz w:val="14"/>
                <w:szCs w:val="14"/>
              </w:rPr>
            </w:pPr>
            <w:r>
              <w:rPr>
                <w:sz w:val="14"/>
                <w:szCs w:val="14"/>
              </w:rPr>
              <w:t>27.6</w:t>
            </w:r>
            <w:r w:rsidRPr="008F6B3E">
              <w:rPr>
                <w:sz w:val="14"/>
                <w:szCs w:val="14"/>
              </w:rPr>
              <w:t>%</w:t>
            </w:r>
          </w:p>
        </w:tc>
        <w:tc>
          <w:tcPr>
            <w:tcW w:w="1134" w:type="dxa"/>
          </w:tcPr>
          <w:p w14:paraId="58D4FC0A" w14:textId="046AE626" w:rsidR="004F7AC1" w:rsidRPr="008F735E" w:rsidRDefault="004F7AC1" w:rsidP="004F7AC1">
            <w:pPr>
              <w:keepNext/>
              <w:keepLines/>
              <w:tabs>
                <w:tab w:val="decimal" w:pos="256"/>
              </w:tabs>
              <w:spacing w:before="60" w:after="60"/>
              <w:jc w:val="center"/>
              <w:rPr>
                <w:sz w:val="14"/>
                <w:szCs w:val="14"/>
              </w:rPr>
            </w:pPr>
            <w:r>
              <w:rPr>
                <w:sz w:val="14"/>
                <w:szCs w:val="14"/>
              </w:rPr>
              <w:t>-0.3</w:t>
            </w:r>
            <w:r w:rsidRPr="008F6B3E">
              <w:rPr>
                <w:sz w:val="14"/>
                <w:szCs w:val="14"/>
              </w:rPr>
              <w:t>%</w:t>
            </w:r>
          </w:p>
        </w:tc>
        <w:tc>
          <w:tcPr>
            <w:tcW w:w="921" w:type="dxa"/>
          </w:tcPr>
          <w:p w14:paraId="7DD5F3DB" w14:textId="2747BC70" w:rsidR="004F7AC1" w:rsidRPr="008F735E" w:rsidRDefault="004F7AC1" w:rsidP="004F7AC1">
            <w:pPr>
              <w:keepNext/>
              <w:keepLines/>
              <w:tabs>
                <w:tab w:val="decimal" w:pos="256"/>
              </w:tabs>
              <w:spacing w:before="60" w:after="60"/>
              <w:jc w:val="center"/>
              <w:rPr>
                <w:sz w:val="14"/>
                <w:szCs w:val="14"/>
              </w:rPr>
            </w:pPr>
            <w:r>
              <w:rPr>
                <w:sz w:val="14"/>
                <w:szCs w:val="14"/>
              </w:rPr>
              <w:t>-23.3</w:t>
            </w:r>
            <w:r w:rsidRPr="008F6B3E">
              <w:rPr>
                <w:sz w:val="14"/>
                <w:szCs w:val="14"/>
              </w:rPr>
              <w:t>%</w:t>
            </w:r>
          </w:p>
        </w:tc>
      </w:tr>
    </w:tbl>
    <w:p w14:paraId="5A99FF86" w14:textId="77777777" w:rsidR="001B3AE0" w:rsidRPr="005D720D" w:rsidRDefault="001B3AE0" w:rsidP="00075D72">
      <w:pPr>
        <w:pStyle w:val="NumberedParagraph"/>
      </w:pPr>
      <w:r w:rsidRPr="005D720D">
        <w:t>We draw attention to the following points:</w:t>
      </w:r>
    </w:p>
    <w:p w14:paraId="60EC9F01" w14:textId="591058FD" w:rsidR="001B3AE0" w:rsidRPr="005D720D" w:rsidRDefault="001B3AE0" w:rsidP="00075D72">
      <w:pPr>
        <w:pStyle w:val="NumberedParagraph-BulletL1"/>
      </w:pPr>
      <w:r w:rsidRPr="005D720D">
        <w:t>As has been discussed elsewhere, the current rules lead to considerable variety in costs of capital</w:t>
      </w:r>
      <w:r w:rsidR="00501E84">
        <w:t>,</w:t>
      </w:r>
      <w:r w:rsidRPr="005D720D">
        <w:t xml:space="preserve"> varying from 4.14% for heavily taxed PME and inventories to 2.43% for assets that can be expensed. EMTRs vary from 27.6% to -23.3%.</w:t>
      </w:r>
    </w:p>
    <w:p w14:paraId="709CD5B5" w14:textId="22BA74D4" w:rsidR="001B3AE0" w:rsidRPr="005D720D" w:rsidRDefault="001B3AE0" w:rsidP="00075D72">
      <w:pPr>
        <w:pStyle w:val="NumberedParagraph-BulletL1"/>
      </w:pPr>
      <w:r w:rsidRPr="005D720D">
        <w:t xml:space="preserve">Either form of accelerated depreciation would be a way of lowering some of the higher costs of capital and EMTRs. For example, consider assets </w:t>
      </w:r>
      <w:r w:rsidR="00F705C8">
        <w:t>that</w:t>
      </w:r>
      <w:r w:rsidRPr="005D720D">
        <w:t xml:space="preserve"> are provided with a 50% rate of depreciation (such as computers). Depreciation loading would drop the EMTR from 27.0% to 22.1%. Partial expensing would drop the EMTR a bit further to 20.6%. In the absence of inflation, all depreciable and non-depreciable assets would have an EMTR of 18.7%. Thus, either change could be thought of as offsetting some of the upward bias to EMTRs that </w:t>
      </w:r>
      <w:r w:rsidR="00A569DB">
        <w:t>is</w:t>
      </w:r>
      <w:r w:rsidRPr="005D720D">
        <w:t xml:space="preserve"> caused by inflation for these assets.</w:t>
      </w:r>
    </w:p>
    <w:p w14:paraId="4BBF739E" w14:textId="6620AC4D" w:rsidR="001B3AE0" w:rsidRPr="005D720D" w:rsidRDefault="001B3AE0" w:rsidP="00075D72">
      <w:pPr>
        <w:pStyle w:val="NumberedParagraph-BulletL1"/>
      </w:pPr>
      <w:r w:rsidRPr="005D720D">
        <w:t xml:space="preserve">Depreciation loading would have a smaller effect than partial expensing on assets with lower depreciation rates. For example, an asset with a 2% rate of depreciation has an EMTR of 17.3% under current tax rules. It is significantly less heavily taxed than assets with much faster economic depreciation rates. </w:t>
      </w:r>
      <w:r w:rsidR="00A569DB">
        <w:t>Such an asset’s</w:t>
      </w:r>
      <w:r w:rsidRPr="005D720D">
        <w:t xml:space="preserve"> EMTR falls to 15.7% under loading or 11.5% under partial expensing.</w:t>
      </w:r>
    </w:p>
    <w:p w14:paraId="0AC35FC6" w14:textId="77777777" w:rsidR="001B3AE0" w:rsidRPr="005D720D" w:rsidRDefault="001B3AE0" w:rsidP="00075D72">
      <w:pPr>
        <w:pStyle w:val="NumberedParagraph-BulletL1"/>
      </w:pPr>
      <w:r w:rsidRPr="005D720D">
        <w:t>Neither of the measures would increase tax subsidies to appreciating assets or assets that can be expensed. Nor would they reduce the high EMTR of 27.6% faced by inventories.</w:t>
      </w:r>
    </w:p>
    <w:p w14:paraId="043DED93" w14:textId="77777777" w:rsidR="001B3AE0" w:rsidRPr="005D720D" w:rsidRDefault="001B3AE0" w:rsidP="001B3AE0">
      <w:pPr>
        <w:pStyle w:val="Heading2"/>
        <w:rPr>
          <w:rFonts w:eastAsia="Calibri"/>
          <w:lang w:eastAsia="en-US"/>
        </w:rPr>
      </w:pPr>
      <w:bookmarkStart w:id="46" w:name="_Toc96585548"/>
      <w:r w:rsidRPr="005D720D">
        <w:rPr>
          <w:rFonts w:eastAsia="Calibri"/>
          <w:lang w:eastAsia="en-US"/>
        </w:rPr>
        <w:t>Effects of the two accelerated depreciation schemes on neutrality</w:t>
      </w:r>
      <w:bookmarkEnd w:id="46"/>
    </w:p>
    <w:p w14:paraId="56CFCE2F" w14:textId="3503B8BC" w:rsidR="001B3AE0" w:rsidRPr="005D720D" w:rsidRDefault="001B3AE0" w:rsidP="00075D72">
      <w:pPr>
        <w:pStyle w:val="NumberedParagraph"/>
      </w:pPr>
      <w:r w:rsidRPr="005D720D">
        <w:t xml:space="preserve">Either of the two schemes would reduce EMTRs on depreciating assets that are currently facing high EMTRs. This would reduce disparities in EMTRs between these assets and assets </w:t>
      </w:r>
      <w:r w:rsidR="00D90BAA">
        <w:t>that</w:t>
      </w:r>
      <w:r w:rsidRPr="005D720D">
        <w:t xml:space="preserve"> are taxed less heavily. At the same time, they would introduce a tax bias between these depreciating assets and inventories unless there were also measures to reduce EMTRs on inventories.</w:t>
      </w:r>
    </w:p>
    <w:p w14:paraId="7D25BA3C" w14:textId="6DE55FF3" w:rsidR="001B3AE0" w:rsidRPr="005D720D" w:rsidRDefault="001B3AE0" w:rsidP="00075D72">
      <w:pPr>
        <w:pStyle w:val="NumberedParagraph"/>
      </w:pPr>
      <w:r w:rsidRPr="005D720D">
        <w:lastRenderedPageBreak/>
        <w:t>Of the two schemes, depreciation loading seems more targeted at depreciating assets with high EMTRs. Depreciation loading gives a relatively small benefit to assets that depreciate slowly</w:t>
      </w:r>
      <w:r w:rsidR="009F5DEC">
        <w:t>,</w:t>
      </w:r>
      <w:r w:rsidRPr="005D720D">
        <w:t xml:space="preserve"> while partial expensing provides a significant benefit to all depreciating assets.</w:t>
      </w:r>
    </w:p>
    <w:p w14:paraId="2B6695D8" w14:textId="6AD2D4D8" w:rsidR="001B3AE0" w:rsidRPr="005D720D" w:rsidRDefault="001B3AE0" w:rsidP="00075D72">
      <w:pPr>
        <w:pStyle w:val="NumberedParagraph"/>
      </w:pPr>
      <w:r w:rsidRPr="005D720D">
        <w:t xml:space="preserve">The results for depreciation loading for assets </w:t>
      </w:r>
      <w:r w:rsidR="000E3222">
        <w:t>that</w:t>
      </w:r>
      <w:r w:rsidRPr="005D720D">
        <w:t xml:space="preserve"> fully depreciate over a year look anomalous (the EMTR remains 27.6% when EMTRs for other depreciating assets are falling</w:t>
      </w:r>
      <w:r w:rsidR="000E3222">
        <w:t>)</w:t>
      </w:r>
      <w:r w:rsidRPr="005D720D">
        <w:t>. An alternative might be to allow partial expensing for these particular assets.</w:t>
      </w:r>
    </w:p>
    <w:p w14:paraId="198F57A9" w14:textId="353C466D" w:rsidR="001B3AE0" w:rsidRPr="005D720D" w:rsidRDefault="001B3AE0" w:rsidP="00075D72">
      <w:pPr>
        <w:pStyle w:val="NumberedParagraph"/>
      </w:pPr>
      <w:r w:rsidRPr="005D720D">
        <w:t xml:space="preserve">These are just two types of accelerated depreciation. It may be possible to devise a scheme </w:t>
      </w:r>
      <w:r w:rsidR="000E3222">
        <w:t>that</w:t>
      </w:r>
      <w:r w:rsidRPr="005D720D">
        <w:t xml:space="preserve"> is better targeted at supporting assets with relatively high EMTRs.</w:t>
      </w:r>
    </w:p>
    <w:p w14:paraId="2B22C038" w14:textId="493F1108" w:rsidR="001B3AE0" w:rsidRPr="005D720D" w:rsidRDefault="001B3AE0" w:rsidP="001B3AE0">
      <w:pPr>
        <w:pStyle w:val="Heading2"/>
        <w:rPr>
          <w:rFonts w:eastAsia="Calibri"/>
          <w:lang w:eastAsia="en-US"/>
        </w:rPr>
      </w:pPr>
      <w:bookmarkStart w:id="47" w:name="_Toc96585549"/>
      <w:r w:rsidRPr="005D720D">
        <w:rPr>
          <w:rFonts w:eastAsia="Calibri"/>
          <w:lang w:eastAsia="en-US"/>
        </w:rPr>
        <w:t xml:space="preserve">Design </w:t>
      </w:r>
      <w:r w:rsidR="00455437">
        <w:rPr>
          <w:rFonts w:eastAsia="Calibri"/>
          <w:lang w:eastAsia="en-US"/>
        </w:rPr>
        <w:t>i</w:t>
      </w:r>
      <w:r w:rsidR="00455437" w:rsidRPr="005D720D">
        <w:rPr>
          <w:rFonts w:eastAsia="Calibri"/>
          <w:lang w:eastAsia="en-US"/>
        </w:rPr>
        <w:t>ssues</w:t>
      </w:r>
      <w:bookmarkEnd w:id="47"/>
    </w:p>
    <w:p w14:paraId="6F34E54E" w14:textId="6466830F" w:rsidR="001B3AE0" w:rsidRPr="005D720D" w:rsidRDefault="001B3AE0" w:rsidP="001B3AE0">
      <w:pPr>
        <w:pStyle w:val="Heading3"/>
        <w:rPr>
          <w:rFonts w:eastAsia="Calibri"/>
          <w:lang w:eastAsia="en-US"/>
        </w:rPr>
      </w:pPr>
      <w:r w:rsidRPr="005D720D">
        <w:rPr>
          <w:rFonts w:eastAsia="Calibri"/>
          <w:lang w:eastAsia="en-US"/>
        </w:rPr>
        <w:t>New or all investment</w:t>
      </w:r>
    </w:p>
    <w:p w14:paraId="5B4DCDAE" w14:textId="117DF6B4" w:rsidR="001B3AE0" w:rsidRPr="005D720D" w:rsidRDefault="001B3AE0" w:rsidP="00075D72">
      <w:pPr>
        <w:pStyle w:val="NumberedParagraph"/>
      </w:pPr>
      <w:r w:rsidRPr="005D720D">
        <w:t xml:space="preserve">Accelerated depreciation can be restricted to new assets. This would mean a firm </w:t>
      </w:r>
      <w:r w:rsidR="00870A5F">
        <w:t>that</w:t>
      </w:r>
      <w:r w:rsidRPr="005D720D">
        <w:t xml:space="preserve"> owns depreciable assets on the day the new scheme c</w:t>
      </w:r>
      <w:r w:rsidR="00B4101D">
        <w:t>ame</w:t>
      </w:r>
      <w:r w:rsidRPr="005D720D">
        <w:t xml:space="preserve"> into force would not benefit from a higher depreciation rate on these assets. Also, if it s</w:t>
      </w:r>
      <w:r w:rsidR="00B4101D">
        <w:t>old</w:t>
      </w:r>
      <w:r w:rsidRPr="005D720D">
        <w:t xml:space="preserve"> these assets to a new purchaser, the new purchaser could only claim depreciation at the old depreciation rates.</w:t>
      </w:r>
    </w:p>
    <w:p w14:paraId="52D87F3A" w14:textId="45E8C3DD" w:rsidR="001B3AE0" w:rsidRPr="005D720D" w:rsidRDefault="001B3AE0" w:rsidP="00075D72">
      <w:pPr>
        <w:pStyle w:val="NumberedParagraph"/>
      </w:pPr>
      <w:r w:rsidRPr="005D720D">
        <w:t>New Zealand used to allow a 20% loading for purchases of new machinery and equipment. This provision</w:t>
      </w:r>
      <w:r w:rsidR="00800246">
        <w:t>,</w:t>
      </w:r>
      <w:r w:rsidRPr="005D720D">
        <w:t xml:space="preserve"> which was repealed in 2010</w:t>
      </w:r>
      <w:r w:rsidR="00800246">
        <w:t>,</w:t>
      </w:r>
      <w:r w:rsidRPr="005D720D">
        <w:t xml:space="preserve"> was restricted to purchases of new machinery and equipment.</w:t>
      </w:r>
    </w:p>
    <w:p w14:paraId="5695A6F1" w14:textId="21A94C8E" w:rsidR="001B3AE0" w:rsidRPr="005D720D" w:rsidRDefault="001B3AE0" w:rsidP="00075D72">
      <w:pPr>
        <w:pStyle w:val="NumberedParagraph"/>
      </w:pPr>
      <w:r w:rsidRPr="005D720D">
        <w:t xml:space="preserve">Restricting accelerated depreciation to new assets minimises windfall benefits to firms </w:t>
      </w:r>
      <w:r w:rsidR="00CB3E24">
        <w:t>that</w:t>
      </w:r>
      <w:r w:rsidRPr="005D720D">
        <w:t xml:space="preserve"> have invested in the past. It reduces the fiscal cost of accelerated depreciation. If accelerated depreciation were given to incentivise investment, there would seem to be little reason to allow it on investments </w:t>
      </w:r>
      <w:r w:rsidR="00005D63">
        <w:t>that</w:t>
      </w:r>
      <w:r w:rsidRPr="005D720D">
        <w:t xml:space="preserve"> have already taken place.</w:t>
      </w:r>
    </w:p>
    <w:p w14:paraId="46324158" w14:textId="5E770E98" w:rsidR="001B3AE0" w:rsidRPr="005D720D" w:rsidRDefault="001B3AE0" w:rsidP="00075D72">
      <w:pPr>
        <w:pStyle w:val="NumberedParagraph"/>
      </w:pPr>
      <w:r w:rsidRPr="005D720D">
        <w:t xml:space="preserve">At the same time, restricting accelerated depreciation to new assets would have implications for assets </w:t>
      </w:r>
      <w:r w:rsidR="00802FDF">
        <w:t>that</w:t>
      </w:r>
      <w:r w:rsidRPr="005D720D">
        <w:t xml:space="preserve"> were acquired new after the accelerated depreciation scheme c</w:t>
      </w:r>
      <w:r w:rsidR="008C214A">
        <w:t>ame</w:t>
      </w:r>
      <w:r w:rsidRPr="005D720D">
        <w:t xml:space="preserve"> into force. It would mean that the assets </w:t>
      </w:r>
      <w:r w:rsidR="009725B3">
        <w:t xml:space="preserve">would </w:t>
      </w:r>
      <w:r w:rsidRPr="005D720D">
        <w:t xml:space="preserve">only continue to qualify for accelerated depreciation if they </w:t>
      </w:r>
      <w:r w:rsidR="009725B3">
        <w:t>we</w:t>
      </w:r>
      <w:r w:rsidRPr="005D720D">
        <w:t>re retained by their initial owner. Restricting accelerated depreciation to new investment might create biases. For example, some firms might want to use relatively new trucks or buses only, while other firms may be quite willing to use older trucks or buses. Efficiency may decrease if tax is an obstacle to assets being acquired by those who will use them most productiv</w:t>
      </w:r>
      <w:r>
        <w:t>e</w:t>
      </w:r>
      <w:r w:rsidRPr="005D720D">
        <w:t>ly.</w:t>
      </w:r>
    </w:p>
    <w:p w14:paraId="1101A5FD" w14:textId="1877B4E3" w:rsidR="001B3AE0" w:rsidRPr="005D720D" w:rsidRDefault="001B3AE0" w:rsidP="001B3AE0">
      <w:pPr>
        <w:pStyle w:val="Heading3"/>
        <w:rPr>
          <w:rFonts w:eastAsia="Calibri"/>
          <w:lang w:eastAsia="en-US"/>
        </w:rPr>
      </w:pPr>
      <w:r w:rsidRPr="005D720D">
        <w:rPr>
          <w:rFonts w:eastAsia="Calibri"/>
          <w:lang w:eastAsia="en-US"/>
        </w:rPr>
        <w:t>Treatment of firms in loss</w:t>
      </w:r>
    </w:p>
    <w:p w14:paraId="0749864C" w14:textId="77777777" w:rsidR="001B3AE0" w:rsidRPr="005D720D" w:rsidRDefault="001B3AE0" w:rsidP="00075D72">
      <w:pPr>
        <w:pStyle w:val="NumberedParagraph"/>
      </w:pPr>
      <w:r w:rsidRPr="005D720D">
        <w:t>Accelerated depreciation confers a benefit to businesses that have tax liabilities, but it will not benefit businesses that are in tax loss. A common criticism of accelerated depreciation measures is that they are only of benefit to firms in a taxpaying position and this can be distortionary. This is because accelerated depreciation measures can result in larger numbers of firms being in a tax-loss position. However, it is only for firms that are in a taxpaying position that high costs of capital and high EMTRs are a concern. In this context, the fact that firms in loss may obtain no benefit from accelerated depreciation may be of little concern.</w:t>
      </w:r>
    </w:p>
    <w:p w14:paraId="2AB1CB9B" w14:textId="71C2D47E" w:rsidR="001B3AE0" w:rsidRPr="005D720D" w:rsidRDefault="001B3AE0" w:rsidP="001B3AE0">
      <w:pPr>
        <w:pStyle w:val="Heading3"/>
        <w:rPr>
          <w:rFonts w:eastAsia="Calibri"/>
          <w:lang w:eastAsia="en-US"/>
        </w:rPr>
      </w:pPr>
      <w:r w:rsidRPr="005D720D">
        <w:rPr>
          <w:rFonts w:eastAsia="Calibri"/>
          <w:lang w:eastAsia="en-US"/>
        </w:rPr>
        <w:lastRenderedPageBreak/>
        <w:t xml:space="preserve">Asset </w:t>
      </w:r>
      <w:r w:rsidR="00455437">
        <w:rPr>
          <w:rFonts w:eastAsia="Calibri"/>
          <w:lang w:eastAsia="en-US"/>
        </w:rPr>
        <w:t>l</w:t>
      </w:r>
      <w:r w:rsidRPr="005D720D">
        <w:rPr>
          <w:rFonts w:eastAsia="Calibri"/>
          <w:lang w:eastAsia="en-US"/>
        </w:rPr>
        <w:t>imitations</w:t>
      </w:r>
    </w:p>
    <w:p w14:paraId="01DCC36B" w14:textId="5A5EDB1C" w:rsidR="001B3AE0" w:rsidRPr="005D720D" w:rsidRDefault="001B3AE0" w:rsidP="00075D72">
      <w:pPr>
        <w:pStyle w:val="NumberedParagraph"/>
      </w:pPr>
      <w:r w:rsidRPr="005D720D">
        <w:t>If a system of accelerated depreciation were put in place, the question of which assets should be included in the scheme</w:t>
      </w:r>
      <w:r w:rsidR="006F6496">
        <w:t xml:space="preserve"> </w:t>
      </w:r>
      <w:r w:rsidR="002762A3">
        <w:t xml:space="preserve">would </w:t>
      </w:r>
      <w:r w:rsidR="006F6496">
        <w:t>arise</w:t>
      </w:r>
      <w:r w:rsidRPr="005D720D">
        <w:t xml:space="preserve">. Depreciation loading is only relevant for assets </w:t>
      </w:r>
      <w:r w:rsidR="002762A3">
        <w:t>that</w:t>
      </w:r>
      <w:r w:rsidRPr="005D720D">
        <w:t xml:space="preserve"> are depreciable for tax purposes. Potentially</w:t>
      </w:r>
      <w:r w:rsidR="00156C22">
        <w:t>,</w:t>
      </w:r>
      <w:r w:rsidRPr="005D720D">
        <w:t xml:space="preserve"> a system of partial expensing could apply</w:t>
      </w:r>
      <w:r w:rsidR="00156C22">
        <w:t>,</w:t>
      </w:r>
      <w:r w:rsidRPr="005D720D">
        <w:t xml:space="preserve"> not only to depreciable assets</w:t>
      </w:r>
      <w:r w:rsidR="00156C22">
        <w:t>,</w:t>
      </w:r>
      <w:r w:rsidRPr="005D720D">
        <w:t xml:space="preserve"> but also to non-depreciating assets or even appreciating assets. However, table </w:t>
      </w:r>
      <w:r>
        <w:t xml:space="preserve">7.1 </w:t>
      </w:r>
      <w:r w:rsidRPr="005D720D">
        <w:t>suggests that non-depreciating and appreciating assets are unlikely to face high EMTRs. As a result, it would seem appropriate for any partial expensing scheme to also be limited to depreciating assets.</w:t>
      </w:r>
    </w:p>
    <w:p w14:paraId="0D4185A3" w14:textId="71B1543A" w:rsidR="001B3AE0" w:rsidRPr="005D720D" w:rsidRDefault="00E14C1E" w:rsidP="00075D72">
      <w:pPr>
        <w:pStyle w:val="NumberedParagraph"/>
      </w:pPr>
      <w:r>
        <w:t>Before</w:t>
      </w:r>
      <w:r w:rsidR="001B3AE0" w:rsidRPr="005D720D">
        <w:t xml:space="preserve"> 2010, New Zealand applied depreciation loading to machinery and equipment but not buildings. Buildings depreciate relatively slowly and assets that depreciate more slowly tend to face lower costs of capital and EMTRs. </w:t>
      </w:r>
      <w:r w:rsidR="00AB673B">
        <w:t>However,</w:t>
      </w:r>
      <w:r w:rsidR="001B3AE0" w:rsidRPr="005D720D">
        <w:t xml:space="preserve"> there would appear to be little reason for distinguishing buildings from other assets </w:t>
      </w:r>
      <w:r w:rsidR="00AB673B">
        <w:t>that</w:t>
      </w:r>
      <w:r w:rsidR="001B3AE0" w:rsidRPr="005D720D">
        <w:t xml:space="preserve"> also depreciate at slow rates.</w:t>
      </w:r>
    </w:p>
    <w:p w14:paraId="25B086AD" w14:textId="77777777" w:rsidR="001B3AE0" w:rsidRPr="005D720D" w:rsidRDefault="001B3AE0" w:rsidP="001B3AE0">
      <w:pPr>
        <w:pStyle w:val="Heading2"/>
        <w:rPr>
          <w:rFonts w:eastAsia="Calibri"/>
          <w:lang w:eastAsia="en-US"/>
        </w:rPr>
      </w:pPr>
      <w:bookmarkStart w:id="48" w:name="_Toc96585550"/>
      <w:r w:rsidRPr="005D720D">
        <w:rPr>
          <w:rFonts w:eastAsia="Calibri"/>
          <w:lang w:eastAsia="en-US"/>
        </w:rPr>
        <w:t>International experience</w:t>
      </w:r>
      <w:bookmarkEnd w:id="48"/>
    </w:p>
    <w:p w14:paraId="002B57C2" w14:textId="3AF93BDE" w:rsidR="001B3AE0" w:rsidRPr="005D720D" w:rsidRDefault="001B3AE0" w:rsidP="001B3AE0">
      <w:pPr>
        <w:pStyle w:val="Heading3"/>
        <w:rPr>
          <w:rFonts w:eastAsia="Calibri"/>
          <w:lang w:eastAsia="en-US"/>
        </w:rPr>
      </w:pPr>
      <w:r w:rsidRPr="005D720D">
        <w:rPr>
          <w:rFonts w:eastAsia="Calibri"/>
          <w:lang w:eastAsia="en-US"/>
        </w:rPr>
        <w:t>United States</w:t>
      </w:r>
    </w:p>
    <w:p w14:paraId="19D26B8F" w14:textId="25455516" w:rsidR="001B3AE0" w:rsidRPr="005D720D" w:rsidRDefault="001B3AE0" w:rsidP="00075D72">
      <w:pPr>
        <w:pStyle w:val="NumberedParagraph"/>
      </w:pPr>
      <w:r w:rsidRPr="005D720D">
        <w:t>The United States introduced a partial expensing scheme</w:t>
      </w:r>
      <w:r w:rsidR="002F788D">
        <w:t>,</w:t>
      </w:r>
      <w:r w:rsidR="002F788D" w:rsidRPr="005D720D">
        <w:t xml:space="preserve"> which it referred to as “bonus depreciation”</w:t>
      </w:r>
      <w:r w:rsidR="002F788D">
        <w:t>,</w:t>
      </w:r>
      <w:r w:rsidRPr="005D720D">
        <w:t xml:space="preserve"> for certain forms of qualifying expenditure in two tax changes in 2002 and 2003. Under the 2002 change, 30% of qualifying capital expenditure could be expensed</w:t>
      </w:r>
      <w:r w:rsidR="00F04413">
        <w:t>,</w:t>
      </w:r>
      <w:r w:rsidRPr="005D720D">
        <w:t xml:space="preserve"> and this was increased to 50% in the 2003 change. Qualifying assets were investments in new machinery and equipment but not buildings. </w:t>
      </w:r>
      <w:r w:rsidRPr="005D720D" w:rsidDel="003345B7">
        <w:t>This bonus depreciation scheme terminated at the end of 2004</w:t>
      </w:r>
      <w:r w:rsidR="005F08D8">
        <w:t>,</w:t>
      </w:r>
      <w:r w:rsidRPr="005D720D">
        <w:t xml:space="preserve"> but</w:t>
      </w:r>
      <w:r w:rsidRPr="005D720D" w:rsidDel="003345B7">
        <w:t xml:space="preserve"> in 2008</w:t>
      </w:r>
      <w:r w:rsidR="00BB7693">
        <w:t>,</w:t>
      </w:r>
      <w:r w:rsidRPr="005D720D" w:rsidDel="003345B7">
        <w:t xml:space="preserve"> bonus depreciation measures were reintroduced and the fraction of investment that can be expensed has varied</w:t>
      </w:r>
      <w:r w:rsidRPr="005D720D">
        <w:t xml:space="preserve"> since then. Currently</w:t>
      </w:r>
      <w:r w:rsidR="00BB7693">
        <w:t>,</w:t>
      </w:r>
      <w:r w:rsidRPr="005D720D">
        <w:t xml:space="preserve"> 100% of qualifying expenditure can be expensed. As has been discussed, full expensing will involve negative EMTRs and a tax subsidy for investment </w:t>
      </w:r>
      <w:r w:rsidR="00F26BF5">
        <w:t>that</w:t>
      </w:r>
      <w:r w:rsidRPr="005D720D">
        <w:t xml:space="preserve"> is partially debt financed.</w:t>
      </w:r>
    </w:p>
    <w:p w14:paraId="38750004" w14:textId="6FDDF1B3" w:rsidR="001B3AE0" w:rsidRPr="005D720D" w:rsidRDefault="001B3AE0" w:rsidP="001B3AE0">
      <w:pPr>
        <w:pStyle w:val="Heading3"/>
        <w:rPr>
          <w:rFonts w:eastAsia="Calibri"/>
          <w:lang w:eastAsia="en-US"/>
        </w:rPr>
      </w:pPr>
      <w:r w:rsidRPr="005D720D">
        <w:rPr>
          <w:rFonts w:eastAsia="Calibri"/>
          <w:lang w:eastAsia="en-US"/>
        </w:rPr>
        <w:t>Australia</w:t>
      </w:r>
    </w:p>
    <w:p w14:paraId="7B8E6658" w14:textId="1AF82E33" w:rsidR="001B3AE0" w:rsidRPr="005D720D" w:rsidRDefault="001B3AE0" w:rsidP="00075D72">
      <w:pPr>
        <w:pStyle w:val="NumberedParagraph"/>
      </w:pPr>
      <w:r w:rsidRPr="005D720D">
        <w:t>Australia introduced a partial expensing scheme as part of its response to C</w:t>
      </w:r>
      <w:r w:rsidR="00F26BF5">
        <w:t>OVID</w:t>
      </w:r>
      <w:r w:rsidRPr="005D720D">
        <w:t>-19. Under the Australian legislation, 50% of the cost of qualifying assets c</w:t>
      </w:r>
      <w:r w:rsidR="00DF37D7">
        <w:t>an</w:t>
      </w:r>
      <w:r w:rsidRPr="005D720D">
        <w:t xml:space="preserve"> be expensed. Qualifying assets include new machinery and equipment but not buildings. </w:t>
      </w:r>
      <w:r w:rsidR="00C35A0F">
        <w:t>T</w:t>
      </w:r>
      <w:r w:rsidRPr="005D720D">
        <w:t xml:space="preserve">o qualify, assets need to </w:t>
      </w:r>
      <w:r w:rsidR="00C12944">
        <w:t xml:space="preserve">have </w:t>
      </w:r>
      <w:r w:rsidRPr="005D720D">
        <w:t>be</w:t>
      </w:r>
      <w:r w:rsidR="00C12944">
        <w:t>en</w:t>
      </w:r>
      <w:r w:rsidRPr="005D720D">
        <w:t xml:space="preserve"> first held on or after 12</w:t>
      </w:r>
      <w:r w:rsidR="00602CBD">
        <w:t> </w:t>
      </w:r>
      <w:r w:rsidRPr="005D720D">
        <w:t xml:space="preserve">March 2020 and first used or installed and available for use by 30 June 2021. </w:t>
      </w:r>
      <w:r w:rsidR="00401CCC">
        <w:t>T</w:t>
      </w:r>
      <w:r w:rsidRPr="005D720D">
        <w:t>o qualify for this incentive, firms need to have a turnover of less than $</w:t>
      </w:r>
      <w:r w:rsidR="00455437" w:rsidRPr="005D720D">
        <w:t>50</w:t>
      </w:r>
      <w:r w:rsidR="00455437">
        <w:t> </w:t>
      </w:r>
      <w:r w:rsidRPr="005D720D">
        <w:t>million. (In addition, Australia offered immediate capital write off to these firms for assets costing less than $150</w:t>
      </w:r>
      <w:r w:rsidR="00F5347F">
        <w:t>,</w:t>
      </w:r>
      <w:r w:rsidRPr="005D720D">
        <w:t>000 acquired between 12 March 2020 and 30</w:t>
      </w:r>
      <w:r w:rsidR="00602CBD">
        <w:t> </w:t>
      </w:r>
      <w:r w:rsidRPr="005D720D">
        <w:t>June 2020).</w:t>
      </w:r>
    </w:p>
    <w:p w14:paraId="20F9443E" w14:textId="77777777" w:rsidR="001B3AE0" w:rsidRPr="005D720D" w:rsidRDefault="001B3AE0" w:rsidP="001B3AE0">
      <w:pPr>
        <w:pStyle w:val="Heading2"/>
        <w:rPr>
          <w:rFonts w:eastAsia="Calibri"/>
          <w:lang w:eastAsia="en-US"/>
        </w:rPr>
      </w:pPr>
      <w:bookmarkStart w:id="49" w:name="_Toc96585551"/>
      <w:r w:rsidRPr="005D720D">
        <w:rPr>
          <w:rFonts w:eastAsia="Calibri"/>
          <w:lang w:eastAsia="en-US"/>
        </w:rPr>
        <w:t>Pros and cons of accelerated depreciation</w:t>
      </w:r>
      <w:bookmarkEnd w:id="49"/>
    </w:p>
    <w:p w14:paraId="15BBC52F" w14:textId="6A7E7E72" w:rsidR="001B3AE0" w:rsidRPr="005D720D" w:rsidRDefault="001B3AE0" w:rsidP="00075D72">
      <w:pPr>
        <w:pStyle w:val="NumberedParagraph"/>
      </w:pPr>
      <w:r w:rsidRPr="005D720D">
        <w:t>Both forms of accelerated depreciation reduce some of the higher costs of capital and EMTRs. They both could be targeted at new investment</w:t>
      </w:r>
      <w:r w:rsidR="009F6F65">
        <w:t>,</w:t>
      </w:r>
      <w:r w:rsidRPr="005D720D">
        <w:t xml:space="preserve"> which would limit windfall gains to those with sunk investments and limit the fiscal costs of the measures. Of the two schemes, depreciation loading would probably be better targeted at reducing costs of capital and EMTRs on the most</w:t>
      </w:r>
      <w:r w:rsidR="00303627">
        <w:t xml:space="preserve"> </w:t>
      </w:r>
      <w:r w:rsidRPr="005D720D">
        <w:t>heavily taxed depreciable assets.</w:t>
      </w:r>
    </w:p>
    <w:p w14:paraId="5F885A90" w14:textId="2AC075B6" w:rsidR="001B3AE0" w:rsidRPr="005D720D" w:rsidRDefault="001B3AE0" w:rsidP="00075D72">
      <w:pPr>
        <w:pStyle w:val="NumberedParagraph"/>
      </w:pPr>
      <w:r w:rsidRPr="005D720D">
        <w:t>An important question is whether accelerated depreciation measures merely reduce high positive EMTRs or go further and produce negative EMTRs. With 20% loading or 20% partial expensing</w:t>
      </w:r>
      <w:r w:rsidR="00AB7B8F">
        <w:t>,</w:t>
      </w:r>
      <w:r w:rsidRPr="005D720D">
        <w:t xml:space="preserve"> accelerated depreciation would appear to be reducing higher EMTRs without making EMTRs negative (at least at </w:t>
      </w:r>
      <w:r w:rsidRPr="005D720D">
        <w:lastRenderedPageBreak/>
        <w:t>average debt levels). However, with high enough levels of depreciation loading or partial expensing, EMTRs can become negative.</w:t>
      </w:r>
    </w:p>
    <w:p w14:paraId="0D0732E3" w14:textId="65A950B6" w:rsidR="001B3AE0" w:rsidRPr="005D720D" w:rsidRDefault="001B3AE0" w:rsidP="00075D72">
      <w:pPr>
        <w:pStyle w:val="NumberedParagraph"/>
      </w:pPr>
      <w:r w:rsidRPr="005D720D">
        <w:t>For example</w:t>
      </w:r>
      <w:r w:rsidR="00DB050E">
        <w:t>,</w:t>
      </w:r>
      <w:r w:rsidRPr="005D720D">
        <w:t xml:space="preserve"> with full expensing, EMTRs in table </w:t>
      </w:r>
      <w:r>
        <w:t xml:space="preserve">7.1 </w:t>
      </w:r>
      <w:r w:rsidRPr="005D720D">
        <w:t>would fall to -23.3% and investment would be subsidised. It would be attractive at the margin for firms to be acquiring funds at a cost of 3% net of New Zealand taxes and investing these in investments earning only 2.43%. Even though this investment would be adding to capital stock</w:t>
      </w:r>
      <w:r w:rsidR="00B90CE2">
        <w:t>,</w:t>
      </w:r>
      <w:r w:rsidRPr="005D720D">
        <w:t xml:space="preserve"> which would support greater labour productivity, borrowing at 3% to earn 2.43% is likely to be inefficient.</w:t>
      </w:r>
    </w:p>
    <w:p w14:paraId="6837E982" w14:textId="081449B4" w:rsidR="001B3AE0" w:rsidRPr="005D720D" w:rsidRDefault="001B3AE0" w:rsidP="00075D72">
      <w:pPr>
        <w:pStyle w:val="NumberedParagraph"/>
      </w:pPr>
      <w:r w:rsidRPr="005D720D">
        <w:t xml:space="preserve">There is also a question about the effects of accelerated depreciation for </w:t>
      </w:r>
      <w:r>
        <w:t>firms where non-residents are unlikely to be marginal shareholders. In chapter 4</w:t>
      </w:r>
      <w:r w:rsidR="00E86014">
        <w:t>,</w:t>
      </w:r>
      <w:r>
        <w:t xml:space="preserve"> we discussed </w:t>
      </w:r>
      <w:r w:rsidRPr="005D720D">
        <w:t>SMEs owned by domestic residents</w:t>
      </w:r>
      <w:r>
        <w:t xml:space="preserve"> where the individuals would otherwise invest in interest-bearing securities</w:t>
      </w:r>
      <w:r w:rsidRPr="005D720D">
        <w:t>. As discussed in chapter 4 in table</w:t>
      </w:r>
      <w:r w:rsidR="00AF694D">
        <w:t> </w:t>
      </w:r>
      <w:r>
        <w:t>4.</w:t>
      </w:r>
      <w:r w:rsidR="004E2976">
        <w:t>4</w:t>
      </w:r>
      <w:r w:rsidRPr="005D720D">
        <w:t xml:space="preserve">, these </w:t>
      </w:r>
      <w:r w:rsidR="00611210">
        <w:t xml:space="preserve">firms </w:t>
      </w:r>
      <w:r w:rsidRPr="005D720D">
        <w:t>may have incentives to invest at risk-adjusted rates of return that are lower than the interest rate. Negative EMTRs can arise for these firms even if investment is fully equity financed. An unattractive feature of accelerated depreciation measures is that they can increase investment subsidies for such firms.</w:t>
      </w:r>
    </w:p>
    <w:p w14:paraId="4405FF29" w14:textId="23E7B6A2" w:rsidR="001B3AE0" w:rsidRPr="005D720D" w:rsidRDefault="001B3AE0" w:rsidP="00075D72">
      <w:pPr>
        <w:pStyle w:val="NumberedParagraph"/>
      </w:pPr>
      <w:r w:rsidRPr="005D720D">
        <w:t xml:space="preserve">Table </w:t>
      </w:r>
      <w:r>
        <w:t xml:space="preserve">7.2 </w:t>
      </w:r>
      <w:r w:rsidRPr="005D720D">
        <w:t xml:space="preserve">examines costs of capital and EMTRs for </w:t>
      </w:r>
      <w:r>
        <w:t xml:space="preserve">such </w:t>
      </w:r>
      <w:r w:rsidRPr="005D720D">
        <w:t>SMEs owned by domestic residents on a marginal tax rate of 33%</w:t>
      </w:r>
      <w:r>
        <w:t>. It considers the</w:t>
      </w:r>
      <w:r w:rsidRPr="005D720D">
        <w:t xml:space="preserve"> case where these SMEs are fully distributing taxable earnings. As in </w:t>
      </w:r>
      <w:r w:rsidR="00B638F1">
        <w:t>t</w:t>
      </w:r>
      <w:r w:rsidRPr="005D720D">
        <w:t>able 4.</w:t>
      </w:r>
      <w:r w:rsidR="006B11EA">
        <w:t>4</w:t>
      </w:r>
      <w:r w:rsidRPr="005D720D">
        <w:t>, it is assumed that the world real interest rate is 3.0% but there is 2% inflation</w:t>
      </w:r>
      <w:r w:rsidR="00766D64">
        <w:t>,</w:t>
      </w:r>
      <w:r w:rsidRPr="005D720D">
        <w:t xml:space="preserve"> and this has increased the domestic real interest rate to 3.10%. Owners of the SME</w:t>
      </w:r>
      <w:r>
        <w:t>s</w:t>
      </w:r>
      <w:r w:rsidRPr="005D720D">
        <w:t xml:space="preserve"> can borrow or lend at this real interest rate. We compare the status quo with </w:t>
      </w:r>
      <w:r w:rsidR="00022727" w:rsidRPr="005D720D">
        <w:t>either</w:t>
      </w:r>
      <w:r w:rsidR="00AF694D">
        <w:t xml:space="preserve"> </w:t>
      </w:r>
      <w:r w:rsidRPr="005D720D">
        <w:t>20% depreciation loading or 20% partial expensing.</w:t>
      </w:r>
    </w:p>
    <w:p w14:paraId="351AA70E" w14:textId="0B56261E" w:rsidR="001B3AE0" w:rsidRPr="000E30EE" w:rsidRDefault="001B3AE0" w:rsidP="0017473C">
      <w:pPr>
        <w:pStyle w:val="Caption"/>
        <w:keepLines/>
        <w:ind w:left="-426" w:right="-426"/>
        <w:rPr>
          <w:rFonts w:eastAsia="Calibri"/>
          <w:lang w:eastAsia="en-US"/>
        </w:rPr>
      </w:pPr>
      <w:r w:rsidRPr="005D720D">
        <w:rPr>
          <w:rFonts w:eastAsia="Calibri"/>
          <w:lang w:eastAsia="en-US"/>
        </w:rPr>
        <w:t xml:space="preserve">Table </w:t>
      </w:r>
      <w:r>
        <w:rPr>
          <w:rFonts w:eastAsia="Calibri"/>
          <w:lang w:eastAsia="en-US"/>
        </w:rPr>
        <w:t>7.2:</w:t>
      </w:r>
      <w:r w:rsidRPr="005D720D">
        <w:rPr>
          <w:rFonts w:eastAsia="Calibri"/>
          <w:lang w:eastAsia="en-US"/>
        </w:rPr>
        <w:t xml:space="preserve"> Costs of capital and EMTRs for domestic SMEs – full distribution, </w:t>
      </w:r>
      <w:r w:rsidR="0017473C">
        <w:rPr>
          <w:rFonts w:eastAsia="Calibri"/>
          <w:lang w:eastAsia="en-US"/>
        </w:rPr>
        <w:br/>
      </w:r>
      <w:r w:rsidRPr="005D720D">
        <w:rPr>
          <w:rFonts w:eastAsia="Calibri"/>
          <w:lang w:eastAsia="en-US"/>
        </w:rPr>
        <w:t>m = 33%, inflation = 2%</w:t>
      </w:r>
      <w:r w:rsidR="006B11EA">
        <w:rPr>
          <w:rFonts w:eastAsia="Calibri"/>
          <w:lang w:eastAsia="en-US"/>
        </w:rPr>
        <w:t>, AIL</w:t>
      </w:r>
      <w:r w:rsidR="00095D78">
        <w:rPr>
          <w:rFonts w:eastAsia="Calibri"/>
          <w:lang w:eastAsia="en-US"/>
        </w:rPr>
        <w:t xml:space="preserve"> = 2</w:t>
      </w:r>
      <w:r w:rsidR="00AF1878">
        <w:rPr>
          <w:rFonts w:eastAsia="Calibri"/>
          <w:lang w:eastAsia="en-US"/>
        </w:rPr>
        <w:t>%</w:t>
      </w:r>
    </w:p>
    <w:tbl>
      <w:tblPr>
        <w:tblStyle w:val="TableGrid"/>
        <w:tblW w:w="9781" w:type="dxa"/>
        <w:tblInd w:w="-501"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left w:w="28" w:type="dxa"/>
          <w:right w:w="28" w:type="dxa"/>
        </w:tblCellMar>
        <w:tblLook w:val="04A0" w:firstRow="1" w:lastRow="0" w:firstColumn="1" w:lastColumn="0" w:noHBand="0" w:noVBand="1"/>
      </w:tblPr>
      <w:tblGrid>
        <w:gridCol w:w="1347"/>
        <w:gridCol w:w="992"/>
        <w:gridCol w:w="737"/>
        <w:gridCol w:w="681"/>
        <w:gridCol w:w="651"/>
        <w:gridCol w:w="666"/>
        <w:gridCol w:w="667"/>
        <w:gridCol w:w="1134"/>
        <w:gridCol w:w="851"/>
        <w:gridCol w:w="1134"/>
        <w:gridCol w:w="921"/>
      </w:tblGrid>
      <w:tr w:rsidR="00022727" w:rsidRPr="008F735E" w14:paraId="0799F7D1" w14:textId="77777777" w:rsidTr="00841651">
        <w:trPr>
          <w:tblHeader/>
        </w:trPr>
        <w:tc>
          <w:tcPr>
            <w:tcW w:w="1347" w:type="dxa"/>
            <w:shd w:val="clear" w:color="auto" w:fill="232E36"/>
          </w:tcPr>
          <w:p w14:paraId="2285A605" w14:textId="77777777" w:rsidR="00022727" w:rsidRPr="008F735E" w:rsidRDefault="00022727" w:rsidP="0017473C">
            <w:pPr>
              <w:keepNext/>
              <w:keepLines/>
              <w:spacing w:before="120" w:after="120"/>
              <w:jc w:val="left"/>
              <w:rPr>
                <w:color w:val="FFFFFF" w:themeColor="background1"/>
                <w:sz w:val="14"/>
                <w:szCs w:val="14"/>
              </w:rPr>
            </w:pPr>
          </w:p>
        </w:tc>
        <w:tc>
          <w:tcPr>
            <w:tcW w:w="992" w:type="dxa"/>
            <w:shd w:val="clear" w:color="auto" w:fill="232E36"/>
          </w:tcPr>
          <w:p w14:paraId="7C3ED4B2" w14:textId="77777777" w:rsidR="00022727" w:rsidRPr="008F735E" w:rsidRDefault="00022727" w:rsidP="0017473C">
            <w:pPr>
              <w:keepNext/>
              <w:keepLines/>
              <w:spacing w:before="120" w:after="120"/>
              <w:jc w:val="center"/>
              <w:rPr>
                <w:b/>
                <w:bCs/>
                <w:color w:val="FFFFFF" w:themeColor="background1"/>
                <w:sz w:val="14"/>
                <w:szCs w:val="14"/>
              </w:rPr>
            </w:pPr>
            <w:r w:rsidRPr="008F735E">
              <w:rPr>
                <w:b/>
                <w:bCs/>
                <w:color w:val="FFFFFF" w:themeColor="background1"/>
                <w:sz w:val="14"/>
                <w:szCs w:val="14"/>
              </w:rPr>
              <w:t>Commercial and industrial buildings</w:t>
            </w:r>
          </w:p>
        </w:tc>
        <w:tc>
          <w:tcPr>
            <w:tcW w:w="3402" w:type="dxa"/>
            <w:gridSpan w:val="5"/>
            <w:shd w:val="clear" w:color="auto" w:fill="232E36"/>
          </w:tcPr>
          <w:p w14:paraId="1172AA6D" w14:textId="77777777" w:rsidR="00022727" w:rsidRPr="008F735E" w:rsidRDefault="00022727" w:rsidP="0017473C">
            <w:pPr>
              <w:keepNext/>
              <w:keepLines/>
              <w:spacing w:before="120" w:after="120"/>
              <w:jc w:val="center"/>
              <w:rPr>
                <w:b/>
                <w:bCs/>
                <w:color w:val="FFFFFF" w:themeColor="background1"/>
                <w:sz w:val="14"/>
                <w:szCs w:val="14"/>
              </w:rPr>
            </w:pPr>
            <w:r w:rsidRPr="008F735E">
              <w:rPr>
                <w:b/>
                <w:bCs/>
                <w:color w:val="FFFFFF" w:themeColor="background1"/>
                <w:sz w:val="14"/>
                <w:szCs w:val="14"/>
              </w:rPr>
              <w:t>Plant, machinery and equipment</w:t>
            </w:r>
          </w:p>
        </w:tc>
        <w:tc>
          <w:tcPr>
            <w:tcW w:w="1134" w:type="dxa"/>
            <w:shd w:val="clear" w:color="auto" w:fill="232E36"/>
          </w:tcPr>
          <w:p w14:paraId="7700D184" w14:textId="2DF2FA8E" w:rsidR="00022727" w:rsidRPr="008F735E" w:rsidRDefault="00022727" w:rsidP="0017473C">
            <w:pPr>
              <w:keepNext/>
              <w:keepLines/>
              <w:spacing w:before="120" w:after="120"/>
              <w:jc w:val="center"/>
              <w:rPr>
                <w:b/>
                <w:bCs/>
                <w:color w:val="FFFFFF" w:themeColor="background1"/>
                <w:sz w:val="14"/>
                <w:szCs w:val="14"/>
              </w:rPr>
            </w:pPr>
            <w:r w:rsidRPr="008F735E">
              <w:rPr>
                <w:b/>
                <w:bCs/>
                <w:color w:val="FFFFFF" w:themeColor="background1"/>
                <w:sz w:val="14"/>
                <w:szCs w:val="14"/>
              </w:rPr>
              <w:t>Zero</w:t>
            </w:r>
            <w:r w:rsidR="005421FA">
              <w:rPr>
                <w:b/>
                <w:bCs/>
                <w:color w:val="FFFFFF" w:themeColor="background1"/>
                <w:sz w:val="14"/>
                <w:szCs w:val="14"/>
              </w:rPr>
              <w:t>-</w:t>
            </w:r>
            <w:r w:rsidRPr="008F735E">
              <w:rPr>
                <w:b/>
                <w:bCs/>
                <w:color w:val="FFFFFF" w:themeColor="background1"/>
                <w:sz w:val="14"/>
                <w:szCs w:val="14"/>
              </w:rPr>
              <w:t>depreciating assets</w:t>
            </w:r>
          </w:p>
        </w:tc>
        <w:tc>
          <w:tcPr>
            <w:tcW w:w="851" w:type="dxa"/>
            <w:shd w:val="clear" w:color="auto" w:fill="232E36"/>
          </w:tcPr>
          <w:p w14:paraId="75729E73" w14:textId="77777777" w:rsidR="00022727" w:rsidRPr="008F735E" w:rsidRDefault="00022727" w:rsidP="0017473C">
            <w:pPr>
              <w:keepNext/>
              <w:keepLines/>
              <w:spacing w:before="120" w:after="120"/>
              <w:jc w:val="center"/>
              <w:rPr>
                <w:b/>
                <w:bCs/>
                <w:color w:val="FFFFFF" w:themeColor="background1"/>
                <w:sz w:val="14"/>
                <w:szCs w:val="14"/>
              </w:rPr>
            </w:pPr>
            <w:r w:rsidRPr="008F735E">
              <w:rPr>
                <w:b/>
                <w:bCs/>
                <w:color w:val="FFFFFF" w:themeColor="background1"/>
                <w:sz w:val="14"/>
                <w:szCs w:val="14"/>
              </w:rPr>
              <w:t>Inventory</w:t>
            </w:r>
          </w:p>
        </w:tc>
        <w:tc>
          <w:tcPr>
            <w:tcW w:w="1134" w:type="dxa"/>
            <w:shd w:val="clear" w:color="auto" w:fill="232E36"/>
          </w:tcPr>
          <w:p w14:paraId="49359863" w14:textId="77777777" w:rsidR="00022727" w:rsidRPr="008F735E" w:rsidRDefault="00022727" w:rsidP="0017473C">
            <w:pPr>
              <w:keepNext/>
              <w:keepLines/>
              <w:spacing w:before="120" w:after="120"/>
              <w:jc w:val="center"/>
              <w:rPr>
                <w:b/>
                <w:bCs/>
                <w:color w:val="FFFFFF" w:themeColor="background1"/>
                <w:sz w:val="14"/>
                <w:szCs w:val="14"/>
              </w:rPr>
            </w:pPr>
            <w:r w:rsidRPr="008F735E">
              <w:rPr>
                <w:b/>
                <w:bCs/>
                <w:color w:val="FFFFFF" w:themeColor="background1"/>
                <w:sz w:val="14"/>
                <w:szCs w:val="14"/>
              </w:rPr>
              <w:t>Appreciating assets</w:t>
            </w:r>
          </w:p>
        </w:tc>
        <w:tc>
          <w:tcPr>
            <w:tcW w:w="921" w:type="dxa"/>
            <w:shd w:val="clear" w:color="auto" w:fill="232E36"/>
          </w:tcPr>
          <w:p w14:paraId="2823FC7C" w14:textId="77777777" w:rsidR="00022727" w:rsidRPr="008F735E" w:rsidRDefault="00022727" w:rsidP="0017473C">
            <w:pPr>
              <w:keepNext/>
              <w:keepLines/>
              <w:spacing w:before="120" w:after="120"/>
              <w:jc w:val="center"/>
              <w:rPr>
                <w:b/>
                <w:bCs/>
                <w:color w:val="FFFFFF" w:themeColor="background1"/>
                <w:sz w:val="14"/>
                <w:szCs w:val="14"/>
              </w:rPr>
            </w:pPr>
            <w:r w:rsidRPr="008F735E">
              <w:rPr>
                <w:b/>
                <w:bCs/>
                <w:color w:val="FFFFFF" w:themeColor="background1"/>
                <w:sz w:val="14"/>
                <w:szCs w:val="14"/>
              </w:rPr>
              <w:t>Expensing</w:t>
            </w:r>
          </w:p>
        </w:tc>
      </w:tr>
      <w:tr w:rsidR="00022727" w:rsidRPr="008F735E" w14:paraId="674C5605" w14:textId="77777777" w:rsidTr="00841651">
        <w:tc>
          <w:tcPr>
            <w:tcW w:w="1347" w:type="dxa"/>
            <w:shd w:val="clear" w:color="auto" w:fill="auto"/>
            <w:vAlign w:val="bottom"/>
          </w:tcPr>
          <w:p w14:paraId="38C4CD71" w14:textId="087DDFFE" w:rsidR="00022727" w:rsidRPr="00A5296E" w:rsidRDefault="002411AB" w:rsidP="0017473C">
            <w:pPr>
              <w:keepNext/>
              <w:keepLines/>
              <w:tabs>
                <w:tab w:val="left" w:pos="106"/>
              </w:tabs>
              <w:spacing w:before="60" w:after="60"/>
              <w:jc w:val="left"/>
              <w:rPr>
                <w:rStyle w:val="Strong"/>
                <w:b w:val="0"/>
                <w:bCs w:val="0"/>
                <w:sz w:val="14"/>
                <w:szCs w:val="14"/>
              </w:rPr>
            </w:pPr>
            <w:r>
              <w:rPr>
                <w:rStyle w:val="Strong"/>
                <w:b w:val="0"/>
                <w:bCs w:val="0"/>
                <w:sz w:val="14"/>
                <w:szCs w:val="14"/>
              </w:rPr>
              <w:t>d</w:t>
            </w:r>
          </w:p>
        </w:tc>
        <w:tc>
          <w:tcPr>
            <w:tcW w:w="992" w:type="dxa"/>
            <w:vAlign w:val="center"/>
          </w:tcPr>
          <w:p w14:paraId="710A2A96" w14:textId="77777777" w:rsidR="00022727" w:rsidRPr="008F735E" w:rsidRDefault="00022727" w:rsidP="0017473C">
            <w:pPr>
              <w:keepNext/>
              <w:keepLines/>
              <w:tabs>
                <w:tab w:val="decimal" w:pos="256"/>
              </w:tabs>
              <w:spacing w:before="60" w:after="60"/>
              <w:jc w:val="center"/>
              <w:rPr>
                <w:sz w:val="14"/>
                <w:szCs w:val="14"/>
              </w:rPr>
            </w:pPr>
            <w:r w:rsidRPr="008F735E">
              <w:rPr>
                <w:sz w:val="14"/>
                <w:szCs w:val="14"/>
              </w:rPr>
              <w:t>2.69%</w:t>
            </w:r>
          </w:p>
        </w:tc>
        <w:tc>
          <w:tcPr>
            <w:tcW w:w="737" w:type="dxa"/>
            <w:vAlign w:val="center"/>
          </w:tcPr>
          <w:p w14:paraId="2E10A1B9" w14:textId="77777777" w:rsidR="00022727" w:rsidRPr="008F735E" w:rsidRDefault="00022727" w:rsidP="0017473C">
            <w:pPr>
              <w:keepNext/>
              <w:keepLines/>
              <w:tabs>
                <w:tab w:val="decimal" w:pos="256"/>
              </w:tabs>
              <w:spacing w:before="60" w:after="60"/>
              <w:jc w:val="center"/>
              <w:rPr>
                <w:sz w:val="14"/>
                <w:szCs w:val="14"/>
              </w:rPr>
            </w:pPr>
            <w:r w:rsidRPr="008F735E">
              <w:rPr>
                <w:sz w:val="14"/>
                <w:szCs w:val="14"/>
              </w:rPr>
              <w:t>100.00%</w:t>
            </w:r>
          </w:p>
        </w:tc>
        <w:tc>
          <w:tcPr>
            <w:tcW w:w="681" w:type="dxa"/>
            <w:vAlign w:val="center"/>
          </w:tcPr>
          <w:p w14:paraId="4F18F8F8" w14:textId="77777777" w:rsidR="00022727" w:rsidRPr="008F735E" w:rsidRDefault="00022727" w:rsidP="0017473C">
            <w:pPr>
              <w:keepNext/>
              <w:keepLines/>
              <w:tabs>
                <w:tab w:val="decimal" w:pos="256"/>
              </w:tabs>
              <w:spacing w:before="60" w:after="60"/>
              <w:jc w:val="center"/>
              <w:rPr>
                <w:sz w:val="14"/>
                <w:szCs w:val="14"/>
              </w:rPr>
            </w:pPr>
            <w:r w:rsidRPr="008F735E">
              <w:rPr>
                <w:sz w:val="14"/>
                <w:szCs w:val="14"/>
              </w:rPr>
              <w:t>50.00%</w:t>
            </w:r>
          </w:p>
        </w:tc>
        <w:tc>
          <w:tcPr>
            <w:tcW w:w="651" w:type="dxa"/>
            <w:vAlign w:val="center"/>
          </w:tcPr>
          <w:p w14:paraId="0C1415DE" w14:textId="77777777" w:rsidR="00022727" w:rsidRPr="008F735E" w:rsidRDefault="00022727" w:rsidP="0017473C">
            <w:pPr>
              <w:keepNext/>
              <w:keepLines/>
              <w:tabs>
                <w:tab w:val="decimal" w:pos="256"/>
              </w:tabs>
              <w:spacing w:before="60" w:after="60"/>
              <w:jc w:val="center"/>
              <w:rPr>
                <w:sz w:val="14"/>
                <w:szCs w:val="14"/>
              </w:rPr>
            </w:pPr>
            <w:r w:rsidRPr="008F735E">
              <w:rPr>
                <w:sz w:val="14"/>
                <w:szCs w:val="14"/>
              </w:rPr>
              <w:t>10.00%</w:t>
            </w:r>
          </w:p>
        </w:tc>
        <w:tc>
          <w:tcPr>
            <w:tcW w:w="666" w:type="dxa"/>
            <w:vAlign w:val="center"/>
          </w:tcPr>
          <w:p w14:paraId="79979BF8" w14:textId="77777777" w:rsidR="00022727" w:rsidRPr="008F735E" w:rsidRDefault="00022727" w:rsidP="0017473C">
            <w:pPr>
              <w:keepNext/>
              <w:keepLines/>
              <w:tabs>
                <w:tab w:val="decimal" w:pos="256"/>
              </w:tabs>
              <w:spacing w:before="60" w:after="60"/>
              <w:jc w:val="center"/>
              <w:rPr>
                <w:sz w:val="14"/>
                <w:szCs w:val="14"/>
              </w:rPr>
            </w:pPr>
            <w:r w:rsidRPr="008F735E">
              <w:rPr>
                <w:sz w:val="14"/>
                <w:szCs w:val="14"/>
              </w:rPr>
              <w:t>4.00%</w:t>
            </w:r>
          </w:p>
        </w:tc>
        <w:tc>
          <w:tcPr>
            <w:tcW w:w="667" w:type="dxa"/>
            <w:vAlign w:val="center"/>
          </w:tcPr>
          <w:p w14:paraId="48476D62" w14:textId="77777777" w:rsidR="00022727" w:rsidRPr="008F735E" w:rsidRDefault="00022727" w:rsidP="0017473C">
            <w:pPr>
              <w:keepNext/>
              <w:keepLines/>
              <w:tabs>
                <w:tab w:val="decimal" w:pos="256"/>
              </w:tabs>
              <w:spacing w:before="60" w:after="60"/>
              <w:jc w:val="center"/>
              <w:rPr>
                <w:sz w:val="14"/>
                <w:szCs w:val="14"/>
              </w:rPr>
            </w:pPr>
            <w:r w:rsidRPr="008F735E">
              <w:rPr>
                <w:sz w:val="14"/>
                <w:szCs w:val="14"/>
              </w:rPr>
              <w:t>2.00%</w:t>
            </w:r>
          </w:p>
        </w:tc>
        <w:tc>
          <w:tcPr>
            <w:tcW w:w="1134" w:type="dxa"/>
            <w:vAlign w:val="center"/>
          </w:tcPr>
          <w:p w14:paraId="773C1ED7" w14:textId="77777777" w:rsidR="00022727" w:rsidRPr="008F735E" w:rsidRDefault="00022727" w:rsidP="0017473C">
            <w:pPr>
              <w:keepNext/>
              <w:keepLines/>
              <w:tabs>
                <w:tab w:val="decimal" w:pos="256"/>
              </w:tabs>
              <w:spacing w:before="60" w:after="60"/>
              <w:jc w:val="center"/>
              <w:rPr>
                <w:sz w:val="14"/>
                <w:szCs w:val="14"/>
              </w:rPr>
            </w:pPr>
            <w:r w:rsidRPr="008F735E">
              <w:rPr>
                <w:sz w:val="14"/>
                <w:szCs w:val="14"/>
              </w:rPr>
              <w:t>0.00%</w:t>
            </w:r>
          </w:p>
        </w:tc>
        <w:tc>
          <w:tcPr>
            <w:tcW w:w="851" w:type="dxa"/>
            <w:vAlign w:val="center"/>
          </w:tcPr>
          <w:p w14:paraId="587820EE" w14:textId="77777777" w:rsidR="00022727" w:rsidRPr="008F735E" w:rsidRDefault="00022727" w:rsidP="0017473C">
            <w:pPr>
              <w:keepNext/>
              <w:keepLines/>
              <w:tabs>
                <w:tab w:val="decimal" w:pos="256"/>
              </w:tabs>
              <w:spacing w:before="60" w:after="60"/>
              <w:jc w:val="center"/>
              <w:rPr>
                <w:sz w:val="14"/>
                <w:szCs w:val="14"/>
              </w:rPr>
            </w:pPr>
          </w:p>
        </w:tc>
        <w:tc>
          <w:tcPr>
            <w:tcW w:w="1134" w:type="dxa"/>
            <w:vAlign w:val="center"/>
          </w:tcPr>
          <w:p w14:paraId="139429FF" w14:textId="77777777" w:rsidR="00022727" w:rsidRPr="008F735E" w:rsidRDefault="00022727" w:rsidP="0017473C">
            <w:pPr>
              <w:keepNext/>
              <w:keepLines/>
              <w:tabs>
                <w:tab w:val="decimal" w:pos="256"/>
              </w:tabs>
              <w:spacing w:before="60" w:after="60"/>
              <w:jc w:val="center"/>
              <w:rPr>
                <w:sz w:val="14"/>
                <w:szCs w:val="14"/>
              </w:rPr>
            </w:pPr>
            <w:r w:rsidRPr="008F735E">
              <w:rPr>
                <w:sz w:val="14"/>
                <w:szCs w:val="14"/>
              </w:rPr>
              <w:t>-1.00%</w:t>
            </w:r>
          </w:p>
        </w:tc>
        <w:tc>
          <w:tcPr>
            <w:tcW w:w="921" w:type="dxa"/>
            <w:vAlign w:val="center"/>
          </w:tcPr>
          <w:p w14:paraId="361BE5D1" w14:textId="77777777" w:rsidR="00022727" w:rsidRPr="008F735E" w:rsidRDefault="00022727" w:rsidP="0017473C">
            <w:pPr>
              <w:keepNext/>
              <w:keepLines/>
              <w:tabs>
                <w:tab w:val="decimal" w:pos="256"/>
              </w:tabs>
              <w:spacing w:before="60" w:after="60"/>
              <w:jc w:val="center"/>
              <w:rPr>
                <w:sz w:val="14"/>
                <w:szCs w:val="14"/>
              </w:rPr>
            </w:pPr>
          </w:p>
        </w:tc>
      </w:tr>
      <w:tr w:rsidR="00022727" w:rsidRPr="008F735E" w14:paraId="0A85ACB6" w14:textId="77777777" w:rsidTr="00841651">
        <w:tc>
          <w:tcPr>
            <w:tcW w:w="1347" w:type="dxa"/>
            <w:shd w:val="clear" w:color="auto" w:fill="auto"/>
            <w:vAlign w:val="bottom"/>
          </w:tcPr>
          <w:p w14:paraId="768CE883" w14:textId="4E5D947C" w:rsidR="00022727" w:rsidRPr="00A5296E" w:rsidRDefault="002411AB" w:rsidP="0017473C">
            <w:pPr>
              <w:keepNext/>
              <w:keepLines/>
              <w:tabs>
                <w:tab w:val="left" w:pos="106"/>
              </w:tabs>
              <w:spacing w:before="60" w:after="60"/>
              <w:jc w:val="left"/>
              <w:rPr>
                <w:rStyle w:val="Strong"/>
                <w:b w:val="0"/>
                <w:bCs w:val="0"/>
                <w:sz w:val="14"/>
                <w:szCs w:val="14"/>
              </w:rPr>
            </w:pPr>
            <w:r>
              <w:rPr>
                <w:rStyle w:val="Strong"/>
                <w:b w:val="0"/>
                <w:bCs w:val="0"/>
                <w:sz w:val="14"/>
                <w:szCs w:val="14"/>
              </w:rPr>
              <w:t>d*</w:t>
            </w:r>
          </w:p>
        </w:tc>
        <w:tc>
          <w:tcPr>
            <w:tcW w:w="992" w:type="dxa"/>
            <w:vAlign w:val="center"/>
          </w:tcPr>
          <w:p w14:paraId="16C0DC9C" w14:textId="77777777" w:rsidR="00022727" w:rsidRPr="008F735E" w:rsidRDefault="00022727" w:rsidP="0017473C">
            <w:pPr>
              <w:keepNext/>
              <w:keepLines/>
              <w:tabs>
                <w:tab w:val="decimal" w:pos="256"/>
              </w:tabs>
              <w:spacing w:before="60" w:after="60"/>
              <w:jc w:val="center"/>
              <w:rPr>
                <w:sz w:val="14"/>
                <w:szCs w:val="14"/>
              </w:rPr>
            </w:pPr>
            <w:r w:rsidRPr="008F735E">
              <w:rPr>
                <w:sz w:val="14"/>
                <w:szCs w:val="14"/>
              </w:rPr>
              <w:t>2</w:t>
            </w:r>
            <w:r>
              <w:rPr>
                <w:sz w:val="14"/>
                <w:szCs w:val="14"/>
              </w:rPr>
              <w:t>.00</w:t>
            </w:r>
            <w:r w:rsidRPr="008F735E">
              <w:rPr>
                <w:sz w:val="14"/>
                <w:szCs w:val="14"/>
              </w:rPr>
              <w:t>%</w:t>
            </w:r>
          </w:p>
        </w:tc>
        <w:tc>
          <w:tcPr>
            <w:tcW w:w="737" w:type="dxa"/>
            <w:vAlign w:val="center"/>
          </w:tcPr>
          <w:p w14:paraId="7FDBF940" w14:textId="77777777" w:rsidR="00022727" w:rsidRPr="008F735E" w:rsidRDefault="00022727" w:rsidP="0017473C">
            <w:pPr>
              <w:keepNext/>
              <w:keepLines/>
              <w:tabs>
                <w:tab w:val="decimal" w:pos="256"/>
              </w:tabs>
              <w:spacing w:before="60" w:after="60"/>
              <w:jc w:val="center"/>
              <w:rPr>
                <w:sz w:val="14"/>
                <w:szCs w:val="14"/>
              </w:rPr>
            </w:pPr>
            <w:r w:rsidRPr="008F735E">
              <w:rPr>
                <w:sz w:val="14"/>
                <w:szCs w:val="14"/>
              </w:rPr>
              <w:t>100.00%</w:t>
            </w:r>
          </w:p>
        </w:tc>
        <w:tc>
          <w:tcPr>
            <w:tcW w:w="681" w:type="dxa"/>
            <w:vAlign w:val="center"/>
          </w:tcPr>
          <w:p w14:paraId="34F60F60" w14:textId="77777777" w:rsidR="00022727" w:rsidRPr="008F735E" w:rsidRDefault="00022727" w:rsidP="0017473C">
            <w:pPr>
              <w:keepNext/>
              <w:keepLines/>
              <w:tabs>
                <w:tab w:val="decimal" w:pos="256"/>
              </w:tabs>
              <w:spacing w:before="60" w:after="60"/>
              <w:jc w:val="center"/>
              <w:rPr>
                <w:sz w:val="14"/>
                <w:szCs w:val="14"/>
              </w:rPr>
            </w:pPr>
            <w:r w:rsidRPr="008F735E">
              <w:rPr>
                <w:sz w:val="14"/>
                <w:szCs w:val="14"/>
              </w:rPr>
              <w:t>50.00%</w:t>
            </w:r>
          </w:p>
        </w:tc>
        <w:tc>
          <w:tcPr>
            <w:tcW w:w="651" w:type="dxa"/>
            <w:vAlign w:val="center"/>
          </w:tcPr>
          <w:p w14:paraId="5EB8AAEB" w14:textId="77777777" w:rsidR="00022727" w:rsidRPr="008F735E" w:rsidRDefault="00022727" w:rsidP="0017473C">
            <w:pPr>
              <w:keepNext/>
              <w:keepLines/>
              <w:tabs>
                <w:tab w:val="decimal" w:pos="256"/>
              </w:tabs>
              <w:spacing w:before="60" w:after="60"/>
              <w:jc w:val="center"/>
              <w:rPr>
                <w:sz w:val="14"/>
                <w:szCs w:val="14"/>
              </w:rPr>
            </w:pPr>
            <w:r w:rsidRPr="008F735E">
              <w:rPr>
                <w:sz w:val="14"/>
                <w:szCs w:val="14"/>
              </w:rPr>
              <w:t>10.00%</w:t>
            </w:r>
          </w:p>
        </w:tc>
        <w:tc>
          <w:tcPr>
            <w:tcW w:w="666" w:type="dxa"/>
            <w:vAlign w:val="center"/>
          </w:tcPr>
          <w:p w14:paraId="6D81D96D" w14:textId="77777777" w:rsidR="00022727" w:rsidRPr="008F735E" w:rsidRDefault="00022727" w:rsidP="0017473C">
            <w:pPr>
              <w:keepNext/>
              <w:keepLines/>
              <w:tabs>
                <w:tab w:val="decimal" w:pos="256"/>
              </w:tabs>
              <w:spacing w:before="60" w:after="60"/>
              <w:jc w:val="center"/>
              <w:rPr>
                <w:sz w:val="14"/>
                <w:szCs w:val="14"/>
              </w:rPr>
            </w:pPr>
            <w:r w:rsidRPr="008F735E">
              <w:rPr>
                <w:sz w:val="14"/>
                <w:szCs w:val="14"/>
              </w:rPr>
              <w:t>4.00%</w:t>
            </w:r>
          </w:p>
        </w:tc>
        <w:tc>
          <w:tcPr>
            <w:tcW w:w="667" w:type="dxa"/>
            <w:vAlign w:val="center"/>
          </w:tcPr>
          <w:p w14:paraId="297F258F" w14:textId="77777777" w:rsidR="00022727" w:rsidRPr="008F735E" w:rsidRDefault="00022727" w:rsidP="0017473C">
            <w:pPr>
              <w:keepNext/>
              <w:keepLines/>
              <w:tabs>
                <w:tab w:val="decimal" w:pos="256"/>
              </w:tabs>
              <w:spacing w:before="60" w:after="60"/>
              <w:jc w:val="center"/>
              <w:rPr>
                <w:sz w:val="14"/>
                <w:szCs w:val="14"/>
              </w:rPr>
            </w:pPr>
            <w:r w:rsidRPr="008F735E">
              <w:rPr>
                <w:sz w:val="14"/>
                <w:szCs w:val="14"/>
              </w:rPr>
              <w:t>2.00%</w:t>
            </w:r>
          </w:p>
        </w:tc>
        <w:tc>
          <w:tcPr>
            <w:tcW w:w="1134" w:type="dxa"/>
            <w:vAlign w:val="center"/>
          </w:tcPr>
          <w:p w14:paraId="0DD09547" w14:textId="77777777" w:rsidR="00022727" w:rsidRPr="008F735E" w:rsidRDefault="00022727" w:rsidP="0017473C">
            <w:pPr>
              <w:keepNext/>
              <w:keepLines/>
              <w:tabs>
                <w:tab w:val="decimal" w:pos="256"/>
              </w:tabs>
              <w:spacing w:before="60" w:after="60"/>
              <w:jc w:val="center"/>
              <w:rPr>
                <w:sz w:val="14"/>
                <w:szCs w:val="14"/>
              </w:rPr>
            </w:pPr>
            <w:r w:rsidRPr="008F735E">
              <w:rPr>
                <w:sz w:val="14"/>
                <w:szCs w:val="14"/>
              </w:rPr>
              <w:t>0.00%</w:t>
            </w:r>
          </w:p>
        </w:tc>
        <w:tc>
          <w:tcPr>
            <w:tcW w:w="851" w:type="dxa"/>
            <w:vAlign w:val="center"/>
          </w:tcPr>
          <w:p w14:paraId="15FB6C5C" w14:textId="77777777" w:rsidR="00022727" w:rsidRPr="008F735E" w:rsidRDefault="00022727" w:rsidP="0017473C">
            <w:pPr>
              <w:keepNext/>
              <w:keepLines/>
              <w:tabs>
                <w:tab w:val="decimal" w:pos="256"/>
              </w:tabs>
              <w:spacing w:before="60" w:after="60"/>
              <w:jc w:val="center"/>
              <w:rPr>
                <w:sz w:val="14"/>
                <w:szCs w:val="14"/>
              </w:rPr>
            </w:pPr>
          </w:p>
        </w:tc>
        <w:tc>
          <w:tcPr>
            <w:tcW w:w="1134" w:type="dxa"/>
            <w:vAlign w:val="center"/>
          </w:tcPr>
          <w:p w14:paraId="6978B54D" w14:textId="77777777" w:rsidR="00022727" w:rsidRPr="008F735E" w:rsidRDefault="00022727" w:rsidP="0017473C">
            <w:pPr>
              <w:keepNext/>
              <w:keepLines/>
              <w:tabs>
                <w:tab w:val="decimal" w:pos="256"/>
              </w:tabs>
              <w:spacing w:before="60" w:after="60"/>
              <w:jc w:val="center"/>
              <w:rPr>
                <w:sz w:val="14"/>
                <w:szCs w:val="14"/>
              </w:rPr>
            </w:pPr>
            <w:r w:rsidRPr="008F735E">
              <w:rPr>
                <w:sz w:val="14"/>
                <w:szCs w:val="14"/>
              </w:rPr>
              <w:t>0.00%</w:t>
            </w:r>
          </w:p>
        </w:tc>
        <w:tc>
          <w:tcPr>
            <w:tcW w:w="921" w:type="dxa"/>
            <w:vAlign w:val="center"/>
          </w:tcPr>
          <w:p w14:paraId="56D0276F" w14:textId="77777777" w:rsidR="00022727" w:rsidRPr="008F735E" w:rsidRDefault="00022727" w:rsidP="0017473C">
            <w:pPr>
              <w:keepNext/>
              <w:keepLines/>
              <w:tabs>
                <w:tab w:val="decimal" w:pos="256"/>
              </w:tabs>
              <w:spacing w:before="60" w:after="60"/>
              <w:jc w:val="center"/>
              <w:rPr>
                <w:sz w:val="14"/>
                <w:szCs w:val="14"/>
              </w:rPr>
            </w:pPr>
          </w:p>
        </w:tc>
      </w:tr>
      <w:tr w:rsidR="00022727" w:rsidRPr="008F735E" w14:paraId="53F9E7C0" w14:textId="77777777" w:rsidTr="00841651">
        <w:tc>
          <w:tcPr>
            <w:tcW w:w="1347" w:type="dxa"/>
            <w:shd w:val="clear" w:color="auto" w:fill="auto"/>
            <w:vAlign w:val="bottom"/>
          </w:tcPr>
          <w:p w14:paraId="453F7E5C" w14:textId="281964E9" w:rsidR="00022727" w:rsidRPr="008F735E" w:rsidRDefault="00022727" w:rsidP="0017473C">
            <w:pPr>
              <w:keepNext/>
              <w:keepLines/>
              <w:tabs>
                <w:tab w:val="left" w:pos="106"/>
              </w:tabs>
              <w:spacing w:before="60" w:after="60"/>
              <w:jc w:val="left"/>
              <w:rPr>
                <w:b/>
                <w:bCs/>
                <w:sz w:val="14"/>
                <w:szCs w:val="14"/>
              </w:rPr>
            </w:pPr>
            <w:r w:rsidRPr="008F735E">
              <w:rPr>
                <w:b/>
                <w:bCs/>
                <w:sz w:val="14"/>
                <w:szCs w:val="14"/>
              </w:rPr>
              <w:t>Cost</w:t>
            </w:r>
            <w:r w:rsidR="00633255">
              <w:rPr>
                <w:b/>
                <w:bCs/>
                <w:sz w:val="14"/>
                <w:szCs w:val="14"/>
              </w:rPr>
              <w:t>s</w:t>
            </w:r>
            <w:r w:rsidRPr="008F735E">
              <w:rPr>
                <w:b/>
                <w:bCs/>
                <w:sz w:val="14"/>
                <w:szCs w:val="14"/>
              </w:rPr>
              <w:t xml:space="preserve"> of capital</w:t>
            </w:r>
          </w:p>
        </w:tc>
        <w:tc>
          <w:tcPr>
            <w:tcW w:w="992" w:type="dxa"/>
            <w:vAlign w:val="center"/>
          </w:tcPr>
          <w:p w14:paraId="2FDF6AC3" w14:textId="77777777" w:rsidR="00022727" w:rsidRPr="008F735E" w:rsidRDefault="00022727" w:rsidP="0017473C">
            <w:pPr>
              <w:keepNext/>
              <w:keepLines/>
              <w:tabs>
                <w:tab w:val="decimal" w:pos="256"/>
              </w:tabs>
              <w:spacing w:before="60" w:after="60"/>
              <w:jc w:val="center"/>
              <w:rPr>
                <w:sz w:val="14"/>
                <w:szCs w:val="14"/>
              </w:rPr>
            </w:pPr>
          </w:p>
        </w:tc>
        <w:tc>
          <w:tcPr>
            <w:tcW w:w="737" w:type="dxa"/>
            <w:vAlign w:val="center"/>
          </w:tcPr>
          <w:p w14:paraId="290F7E6D" w14:textId="77777777" w:rsidR="00022727" w:rsidRPr="008F735E" w:rsidRDefault="00022727" w:rsidP="0017473C">
            <w:pPr>
              <w:keepNext/>
              <w:keepLines/>
              <w:tabs>
                <w:tab w:val="decimal" w:pos="256"/>
              </w:tabs>
              <w:spacing w:before="60" w:after="60"/>
              <w:jc w:val="center"/>
              <w:rPr>
                <w:sz w:val="14"/>
                <w:szCs w:val="14"/>
              </w:rPr>
            </w:pPr>
          </w:p>
        </w:tc>
        <w:tc>
          <w:tcPr>
            <w:tcW w:w="681" w:type="dxa"/>
            <w:vAlign w:val="center"/>
          </w:tcPr>
          <w:p w14:paraId="5271EF4B" w14:textId="77777777" w:rsidR="00022727" w:rsidRPr="008F735E" w:rsidRDefault="00022727" w:rsidP="0017473C">
            <w:pPr>
              <w:keepNext/>
              <w:keepLines/>
              <w:tabs>
                <w:tab w:val="decimal" w:pos="256"/>
              </w:tabs>
              <w:spacing w:before="60" w:after="60"/>
              <w:jc w:val="center"/>
              <w:rPr>
                <w:sz w:val="14"/>
                <w:szCs w:val="14"/>
              </w:rPr>
            </w:pPr>
          </w:p>
        </w:tc>
        <w:tc>
          <w:tcPr>
            <w:tcW w:w="651" w:type="dxa"/>
            <w:vAlign w:val="center"/>
          </w:tcPr>
          <w:p w14:paraId="77F5E5F6" w14:textId="77777777" w:rsidR="00022727" w:rsidRPr="008F735E" w:rsidRDefault="00022727" w:rsidP="0017473C">
            <w:pPr>
              <w:keepNext/>
              <w:keepLines/>
              <w:tabs>
                <w:tab w:val="decimal" w:pos="256"/>
              </w:tabs>
              <w:spacing w:before="60" w:after="60"/>
              <w:jc w:val="center"/>
              <w:rPr>
                <w:sz w:val="14"/>
                <w:szCs w:val="14"/>
              </w:rPr>
            </w:pPr>
          </w:p>
        </w:tc>
        <w:tc>
          <w:tcPr>
            <w:tcW w:w="666" w:type="dxa"/>
            <w:vAlign w:val="center"/>
          </w:tcPr>
          <w:p w14:paraId="2F8406C7" w14:textId="77777777" w:rsidR="00022727" w:rsidRPr="008F735E" w:rsidRDefault="00022727" w:rsidP="0017473C">
            <w:pPr>
              <w:keepNext/>
              <w:keepLines/>
              <w:tabs>
                <w:tab w:val="decimal" w:pos="256"/>
              </w:tabs>
              <w:spacing w:before="60" w:after="60"/>
              <w:jc w:val="center"/>
              <w:rPr>
                <w:sz w:val="14"/>
                <w:szCs w:val="14"/>
              </w:rPr>
            </w:pPr>
          </w:p>
        </w:tc>
        <w:tc>
          <w:tcPr>
            <w:tcW w:w="667" w:type="dxa"/>
            <w:vAlign w:val="center"/>
          </w:tcPr>
          <w:p w14:paraId="7704D63C" w14:textId="77777777" w:rsidR="00022727" w:rsidRPr="008F735E" w:rsidRDefault="00022727" w:rsidP="0017473C">
            <w:pPr>
              <w:keepNext/>
              <w:keepLines/>
              <w:tabs>
                <w:tab w:val="decimal" w:pos="256"/>
              </w:tabs>
              <w:spacing w:before="60" w:after="60"/>
              <w:jc w:val="center"/>
              <w:rPr>
                <w:sz w:val="14"/>
                <w:szCs w:val="14"/>
              </w:rPr>
            </w:pPr>
          </w:p>
        </w:tc>
        <w:tc>
          <w:tcPr>
            <w:tcW w:w="1134" w:type="dxa"/>
            <w:vAlign w:val="center"/>
          </w:tcPr>
          <w:p w14:paraId="0F9BA2C0" w14:textId="77777777" w:rsidR="00022727" w:rsidRPr="008F735E" w:rsidRDefault="00022727" w:rsidP="0017473C">
            <w:pPr>
              <w:keepNext/>
              <w:keepLines/>
              <w:tabs>
                <w:tab w:val="decimal" w:pos="256"/>
              </w:tabs>
              <w:spacing w:before="60" w:after="60"/>
              <w:jc w:val="center"/>
              <w:rPr>
                <w:sz w:val="14"/>
                <w:szCs w:val="14"/>
              </w:rPr>
            </w:pPr>
          </w:p>
        </w:tc>
        <w:tc>
          <w:tcPr>
            <w:tcW w:w="851" w:type="dxa"/>
            <w:vAlign w:val="center"/>
          </w:tcPr>
          <w:p w14:paraId="60BF6967" w14:textId="77777777" w:rsidR="00022727" w:rsidRPr="008F735E" w:rsidRDefault="00022727" w:rsidP="0017473C">
            <w:pPr>
              <w:keepNext/>
              <w:keepLines/>
              <w:tabs>
                <w:tab w:val="decimal" w:pos="256"/>
              </w:tabs>
              <w:spacing w:before="60" w:after="60"/>
              <w:jc w:val="center"/>
              <w:rPr>
                <w:sz w:val="14"/>
                <w:szCs w:val="14"/>
              </w:rPr>
            </w:pPr>
          </w:p>
        </w:tc>
        <w:tc>
          <w:tcPr>
            <w:tcW w:w="1134" w:type="dxa"/>
            <w:vAlign w:val="center"/>
          </w:tcPr>
          <w:p w14:paraId="2A3B8377" w14:textId="77777777" w:rsidR="00022727" w:rsidRPr="008F735E" w:rsidRDefault="00022727" w:rsidP="0017473C">
            <w:pPr>
              <w:keepNext/>
              <w:keepLines/>
              <w:tabs>
                <w:tab w:val="decimal" w:pos="256"/>
              </w:tabs>
              <w:spacing w:before="60" w:after="60"/>
              <w:jc w:val="center"/>
              <w:rPr>
                <w:sz w:val="14"/>
                <w:szCs w:val="14"/>
              </w:rPr>
            </w:pPr>
          </w:p>
        </w:tc>
        <w:tc>
          <w:tcPr>
            <w:tcW w:w="921" w:type="dxa"/>
            <w:vAlign w:val="center"/>
          </w:tcPr>
          <w:p w14:paraId="482F270D" w14:textId="77777777" w:rsidR="00022727" w:rsidRPr="008F735E" w:rsidRDefault="00022727" w:rsidP="0017473C">
            <w:pPr>
              <w:keepNext/>
              <w:keepLines/>
              <w:tabs>
                <w:tab w:val="decimal" w:pos="256"/>
              </w:tabs>
              <w:spacing w:before="60" w:after="60"/>
              <w:jc w:val="center"/>
              <w:rPr>
                <w:sz w:val="14"/>
                <w:szCs w:val="14"/>
              </w:rPr>
            </w:pPr>
          </w:p>
        </w:tc>
      </w:tr>
      <w:tr w:rsidR="00022727" w:rsidRPr="008F735E" w14:paraId="22777CDA" w14:textId="77777777" w:rsidTr="00841651">
        <w:tc>
          <w:tcPr>
            <w:tcW w:w="1347" w:type="dxa"/>
            <w:shd w:val="clear" w:color="auto" w:fill="auto"/>
            <w:vAlign w:val="bottom"/>
          </w:tcPr>
          <w:p w14:paraId="353C9C46" w14:textId="77777777" w:rsidR="00022727" w:rsidRPr="008F735E" w:rsidRDefault="00022727" w:rsidP="0017473C">
            <w:pPr>
              <w:keepNext/>
              <w:keepLines/>
              <w:tabs>
                <w:tab w:val="left" w:pos="106"/>
              </w:tabs>
              <w:spacing w:before="60" w:after="60"/>
              <w:ind w:left="108" w:hanging="108"/>
              <w:jc w:val="left"/>
              <w:rPr>
                <w:sz w:val="14"/>
                <w:szCs w:val="14"/>
              </w:rPr>
            </w:pPr>
            <w:r>
              <w:rPr>
                <w:sz w:val="14"/>
                <w:szCs w:val="14"/>
              </w:rPr>
              <w:tab/>
              <w:t>Status quo</w:t>
            </w:r>
          </w:p>
        </w:tc>
        <w:tc>
          <w:tcPr>
            <w:tcW w:w="992" w:type="dxa"/>
          </w:tcPr>
          <w:p w14:paraId="7143F601" w14:textId="67062BD1" w:rsidR="00022727" w:rsidRPr="008F735E" w:rsidRDefault="00022727" w:rsidP="0017473C">
            <w:pPr>
              <w:keepNext/>
              <w:keepLines/>
              <w:tabs>
                <w:tab w:val="decimal" w:pos="256"/>
              </w:tabs>
              <w:spacing w:before="60" w:after="60"/>
              <w:jc w:val="center"/>
              <w:rPr>
                <w:sz w:val="14"/>
                <w:szCs w:val="14"/>
              </w:rPr>
            </w:pPr>
            <w:r>
              <w:rPr>
                <w:sz w:val="14"/>
                <w:szCs w:val="14"/>
              </w:rPr>
              <w:t>2.72</w:t>
            </w:r>
            <w:r w:rsidRPr="0022782F">
              <w:rPr>
                <w:sz w:val="14"/>
                <w:szCs w:val="14"/>
              </w:rPr>
              <w:t>%</w:t>
            </w:r>
          </w:p>
        </w:tc>
        <w:tc>
          <w:tcPr>
            <w:tcW w:w="737" w:type="dxa"/>
          </w:tcPr>
          <w:p w14:paraId="574176A1" w14:textId="0EDA95E8" w:rsidR="00022727" w:rsidRPr="008F735E" w:rsidRDefault="00022727" w:rsidP="0017473C">
            <w:pPr>
              <w:keepNext/>
              <w:keepLines/>
              <w:tabs>
                <w:tab w:val="decimal" w:pos="256"/>
              </w:tabs>
              <w:spacing w:before="60" w:after="60"/>
              <w:jc w:val="center"/>
              <w:rPr>
                <w:sz w:val="14"/>
                <w:szCs w:val="14"/>
              </w:rPr>
            </w:pPr>
            <w:r>
              <w:rPr>
                <w:sz w:val="14"/>
                <w:szCs w:val="14"/>
              </w:rPr>
              <w:t>3.10</w:t>
            </w:r>
            <w:r w:rsidRPr="0022782F">
              <w:rPr>
                <w:sz w:val="14"/>
                <w:szCs w:val="14"/>
              </w:rPr>
              <w:t>%</w:t>
            </w:r>
          </w:p>
        </w:tc>
        <w:tc>
          <w:tcPr>
            <w:tcW w:w="681" w:type="dxa"/>
          </w:tcPr>
          <w:p w14:paraId="0570D87B" w14:textId="14E11145" w:rsidR="00022727" w:rsidRPr="008F735E" w:rsidRDefault="00022727" w:rsidP="0017473C">
            <w:pPr>
              <w:keepNext/>
              <w:keepLines/>
              <w:tabs>
                <w:tab w:val="decimal" w:pos="256"/>
              </w:tabs>
              <w:spacing w:before="60" w:after="60"/>
              <w:jc w:val="center"/>
              <w:rPr>
                <w:sz w:val="14"/>
                <w:szCs w:val="14"/>
              </w:rPr>
            </w:pPr>
            <w:r>
              <w:rPr>
                <w:sz w:val="14"/>
                <w:szCs w:val="14"/>
              </w:rPr>
              <w:t>3.07</w:t>
            </w:r>
            <w:r w:rsidRPr="0022782F">
              <w:rPr>
                <w:sz w:val="14"/>
                <w:szCs w:val="14"/>
              </w:rPr>
              <w:t>%</w:t>
            </w:r>
          </w:p>
        </w:tc>
        <w:tc>
          <w:tcPr>
            <w:tcW w:w="651" w:type="dxa"/>
          </w:tcPr>
          <w:p w14:paraId="552D9FEE" w14:textId="006CA198" w:rsidR="00022727" w:rsidRPr="008F735E" w:rsidRDefault="00022727" w:rsidP="0017473C">
            <w:pPr>
              <w:keepNext/>
              <w:keepLines/>
              <w:tabs>
                <w:tab w:val="decimal" w:pos="256"/>
              </w:tabs>
              <w:spacing w:before="60" w:after="60"/>
              <w:jc w:val="center"/>
              <w:rPr>
                <w:sz w:val="14"/>
                <w:szCs w:val="14"/>
              </w:rPr>
            </w:pPr>
            <w:r>
              <w:rPr>
                <w:sz w:val="14"/>
                <w:szCs w:val="14"/>
              </w:rPr>
              <w:t>2.88</w:t>
            </w:r>
            <w:r w:rsidRPr="0022782F">
              <w:rPr>
                <w:sz w:val="14"/>
                <w:szCs w:val="14"/>
              </w:rPr>
              <w:t>%</w:t>
            </w:r>
          </w:p>
        </w:tc>
        <w:tc>
          <w:tcPr>
            <w:tcW w:w="666" w:type="dxa"/>
          </w:tcPr>
          <w:p w14:paraId="525D3E9C" w14:textId="48A3EC47" w:rsidR="00022727" w:rsidRPr="008F735E" w:rsidRDefault="00022727" w:rsidP="0017473C">
            <w:pPr>
              <w:keepNext/>
              <w:keepLines/>
              <w:tabs>
                <w:tab w:val="decimal" w:pos="256"/>
              </w:tabs>
              <w:spacing w:before="60" w:after="60"/>
              <w:jc w:val="center"/>
              <w:rPr>
                <w:sz w:val="14"/>
                <w:szCs w:val="14"/>
              </w:rPr>
            </w:pPr>
            <w:r>
              <w:rPr>
                <w:sz w:val="14"/>
                <w:szCs w:val="14"/>
              </w:rPr>
              <w:t>2.67</w:t>
            </w:r>
            <w:r w:rsidRPr="0022782F">
              <w:rPr>
                <w:sz w:val="14"/>
                <w:szCs w:val="14"/>
              </w:rPr>
              <w:t>%</w:t>
            </w:r>
          </w:p>
        </w:tc>
        <w:tc>
          <w:tcPr>
            <w:tcW w:w="667" w:type="dxa"/>
          </w:tcPr>
          <w:p w14:paraId="5E37B5A5" w14:textId="407501CD" w:rsidR="00022727" w:rsidRPr="008F735E" w:rsidRDefault="00022727" w:rsidP="0017473C">
            <w:pPr>
              <w:keepNext/>
              <w:keepLines/>
              <w:tabs>
                <w:tab w:val="decimal" w:pos="256"/>
              </w:tabs>
              <w:spacing w:before="60" w:after="60"/>
              <w:jc w:val="center"/>
              <w:rPr>
                <w:sz w:val="14"/>
                <w:szCs w:val="14"/>
              </w:rPr>
            </w:pPr>
            <w:r>
              <w:rPr>
                <w:sz w:val="14"/>
                <w:szCs w:val="14"/>
              </w:rPr>
              <w:t>2.50</w:t>
            </w:r>
            <w:r w:rsidRPr="0022782F">
              <w:rPr>
                <w:sz w:val="14"/>
                <w:szCs w:val="14"/>
              </w:rPr>
              <w:t>%</w:t>
            </w:r>
          </w:p>
        </w:tc>
        <w:tc>
          <w:tcPr>
            <w:tcW w:w="1134" w:type="dxa"/>
          </w:tcPr>
          <w:p w14:paraId="1A406604" w14:textId="4376A544" w:rsidR="00022727" w:rsidRPr="008F735E" w:rsidRDefault="00022727" w:rsidP="0017473C">
            <w:pPr>
              <w:keepNext/>
              <w:keepLines/>
              <w:tabs>
                <w:tab w:val="decimal" w:pos="256"/>
              </w:tabs>
              <w:spacing w:before="60" w:after="60"/>
              <w:jc w:val="center"/>
              <w:rPr>
                <w:sz w:val="14"/>
                <w:szCs w:val="14"/>
              </w:rPr>
            </w:pPr>
            <w:r>
              <w:rPr>
                <w:sz w:val="14"/>
                <w:szCs w:val="14"/>
              </w:rPr>
              <w:t>2.14</w:t>
            </w:r>
            <w:r w:rsidRPr="0022782F">
              <w:rPr>
                <w:sz w:val="14"/>
                <w:szCs w:val="14"/>
              </w:rPr>
              <w:t>%</w:t>
            </w:r>
          </w:p>
        </w:tc>
        <w:tc>
          <w:tcPr>
            <w:tcW w:w="851" w:type="dxa"/>
          </w:tcPr>
          <w:p w14:paraId="33967096" w14:textId="6ADE7BCA" w:rsidR="00022727" w:rsidRPr="008F735E" w:rsidRDefault="00022727" w:rsidP="0017473C">
            <w:pPr>
              <w:keepNext/>
              <w:keepLines/>
              <w:tabs>
                <w:tab w:val="decimal" w:pos="256"/>
              </w:tabs>
              <w:spacing w:before="60" w:after="60"/>
              <w:jc w:val="center"/>
              <w:rPr>
                <w:sz w:val="14"/>
                <w:szCs w:val="14"/>
              </w:rPr>
            </w:pPr>
            <w:r>
              <w:rPr>
                <w:sz w:val="14"/>
                <w:szCs w:val="14"/>
              </w:rPr>
              <w:t>3.10</w:t>
            </w:r>
            <w:r w:rsidRPr="0022782F">
              <w:rPr>
                <w:sz w:val="14"/>
                <w:szCs w:val="14"/>
              </w:rPr>
              <w:t>%</w:t>
            </w:r>
          </w:p>
        </w:tc>
        <w:tc>
          <w:tcPr>
            <w:tcW w:w="1134" w:type="dxa"/>
          </w:tcPr>
          <w:p w14:paraId="2D69E8C2" w14:textId="6D2E8052" w:rsidR="00022727" w:rsidRPr="008F735E" w:rsidRDefault="00022727" w:rsidP="0017473C">
            <w:pPr>
              <w:keepNext/>
              <w:keepLines/>
              <w:tabs>
                <w:tab w:val="decimal" w:pos="256"/>
              </w:tabs>
              <w:spacing w:before="60" w:after="60"/>
              <w:jc w:val="center"/>
              <w:rPr>
                <w:sz w:val="14"/>
                <w:szCs w:val="14"/>
              </w:rPr>
            </w:pPr>
            <w:r>
              <w:rPr>
                <w:sz w:val="14"/>
                <w:szCs w:val="14"/>
              </w:rPr>
              <w:t>1.64</w:t>
            </w:r>
            <w:r w:rsidRPr="0022782F">
              <w:rPr>
                <w:sz w:val="14"/>
                <w:szCs w:val="14"/>
              </w:rPr>
              <w:t>%</w:t>
            </w:r>
          </w:p>
        </w:tc>
        <w:tc>
          <w:tcPr>
            <w:tcW w:w="921" w:type="dxa"/>
          </w:tcPr>
          <w:p w14:paraId="53133224" w14:textId="3BBF3E62" w:rsidR="00022727" w:rsidRPr="008F735E" w:rsidRDefault="00022727" w:rsidP="0017473C">
            <w:pPr>
              <w:keepNext/>
              <w:keepLines/>
              <w:tabs>
                <w:tab w:val="decimal" w:pos="256"/>
              </w:tabs>
              <w:spacing w:before="60" w:after="60"/>
              <w:jc w:val="center"/>
              <w:rPr>
                <w:sz w:val="14"/>
                <w:szCs w:val="14"/>
              </w:rPr>
            </w:pPr>
            <w:r>
              <w:rPr>
                <w:sz w:val="14"/>
                <w:szCs w:val="14"/>
              </w:rPr>
              <w:t>1.43</w:t>
            </w:r>
            <w:r w:rsidRPr="0022782F">
              <w:rPr>
                <w:sz w:val="14"/>
                <w:szCs w:val="14"/>
              </w:rPr>
              <w:t>%</w:t>
            </w:r>
          </w:p>
        </w:tc>
      </w:tr>
      <w:tr w:rsidR="00022727" w:rsidRPr="008F735E" w14:paraId="3230B143" w14:textId="77777777" w:rsidTr="00841651">
        <w:tc>
          <w:tcPr>
            <w:tcW w:w="1347" w:type="dxa"/>
            <w:shd w:val="clear" w:color="auto" w:fill="auto"/>
            <w:vAlign w:val="bottom"/>
          </w:tcPr>
          <w:p w14:paraId="5CFD6EA4" w14:textId="77777777" w:rsidR="00022727" w:rsidRPr="008F735E" w:rsidRDefault="00022727" w:rsidP="0017473C">
            <w:pPr>
              <w:keepNext/>
              <w:keepLines/>
              <w:tabs>
                <w:tab w:val="left" w:pos="106"/>
              </w:tabs>
              <w:spacing w:before="60" w:after="60"/>
              <w:ind w:left="108" w:hanging="108"/>
              <w:jc w:val="left"/>
              <w:rPr>
                <w:sz w:val="14"/>
                <w:szCs w:val="14"/>
              </w:rPr>
            </w:pPr>
            <w:r>
              <w:rPr>
                <w:sz w:val="14"/>
                <w:szCs w:val="14"/>
              </w:rPr>
              <w:tab/>
              <w:t>Depreciation loading</w:t>
            </w:r>
          </w:p>
        </w:tc>
        <w:tc>
          <w:tcPr>
            <w:tcW w:w="992" w:type="dxa"/>
          </w:tcPr>
          <w:p w14:paraId="018A734E" w14:textId="24A909C7" w:rsidR="00022727" w:rsidRPr="008F735E" w:rsidRDefault="00022727" w:rsidP="0017473C">
            <w:pPr>
              <w:keepNext/>
              <w:keepLines/>
              <w:tabs>
                <w:tab w:val="decimal" w:pos="256"/>
              </w:tabs>
              <w:spacing w:before="60" w:after="60"/>
              <w:jc w:val="center"/>
              <w:rPr>
                <w:sz w:val="14"/>
                <w:szCs w:val="14"/>
              </w:rPr>
            </w:pPr>
            <w:r>
              <w:rPr>
                <w:sz w:val="14"/>
                <w:szCs w:val="14"/>
              </w:rPr>
              <w:t>2.63</w:t>
            </w:r>
            <w:r w:rsidRPr="0022782F">
              <w:rPr>
                <w:sz w:val="14"/>
                <w:szCs w:val="14"/>
              </w:rPr>
              <w:t>%</w:t>
            </w:r>
          </w:p>
        </w:tc>
        <w:tc>
          <w:tcPr>
            <w:tcW w:w="737" w:type="dxa"/>
          </w:tcPr>
          <w:p w14:paraId="37763620" w14:textId="499575E6" w:rsidR="00022727" w:rsidRPr="008F735E" w:rsidRDefault="00022727" w:rsidP="0017473C">
            <w:pPr>
              <w:keepNext/>
              <w:keepLines/>
              <w:tabs>
                <w:tab w:val="decimal" w:pos="256"/>
              </w:tabs>
              <w:spacing w:before="60" w:after="60"/>
              <w:jc w:val="center"/>
              <w:rPr>
                <w:sz w:val="14"/>
                <w:szCs w:val="14"/>
              </w:rPr>
            </w:pPr>
            <w:r>
              <w:rPr>
                <w:sz w:val="14"/>
                <w:szCs w:val="14"/>
              </w:rPr>
              <w:t>3.10</w:t>
            </w:r>
            <w:r w:rsidRPr="0022782F">
              <w:rPr>
                <w:sz w:val="14"/>
                <w:szCs w:val="14"/>
              </w:rPr>
              <w:t>%</w:t>
            </w:r>
          </w:p>
        </w:tc>
        <w:tc>
          <w:tcPr>
            <w:tcW w:w="681" w:type="dxa"/>
          </w:tcPr>
          <w:p w14:paraId="4D074BB5" w14:textId="59BD3EC4" w:rsidR="00022727" w:rsidRPr="008F735E" w:rsidRDefault="00022727" w:rsidP="0017473C">
            <w:pPr>
              <w:keepNext/>
              <w:keepLines/>
              <w:tabs>
                <w:tab w:val="decimal" w:pos="256"/>
              </w:tabs>
              <w:spacing w:before="60" w:after="60"/>
              <w:jc w:val="center"/>
              <w:rPr>
                <w:sz w:val="14"/>
                <w:szCs w:val="14"/>
              </w:rPr>
            </w:pPr>
            <w:r>
              <w:rPr>
                <w:sz w:val="14"/>
                <w:szCs w:val="14"/>
              </w:rPr>
              <w:t>2.81</w:t>
            </w:r>
            <w:r w:rsidRPr="0022782F">
              <w:rPr>
                <w:sz w:val="14"/>
                <w:szCs w:val="14"/>
              </w:rPr>
              <w:t>%</w:t>
            </w:r>
          </w:p>
        </w:tc>
        <w:tc>
          <w:tcPr>
            <w:tcW w:w="651" w:type="dxa"/>
          </w:tcPr>
          <w:p w14:paraId="2BF03B24" w14:textId="296ED211" w:rsidR="00022727" w:rsidRPr="008F735E" w:rsidRDefault="00022727" w:rsidP="0017473C">
            <w:pPr>
              <w:keepNext/>
              <w:keepLines/>
              <w:tabs>
                <w:tab w:val="decimal" w:pos="256"/>
              </w:tabs>
              <w:spacing w:before="60" w:after="60"/>
              <w:jc w:val="center"/>
              <w:rPr>
                <w:sz w:val="14"/>
                <w:szCs w:val="14"/>
              </w:rPr>
            </w:pPr>
            <w:r>
              <w:rPr>
                <w:sz w:val="14"/>
                <w:szCs w:val="14"/>
              </w:rPr>
              <w:t>2.69</w:t>
            </w:r>
            <w:r w:rsidRPr="0022782F">
              <w:rPr>
                <w:sz w:val="14"/>
                <w:szCs w:val="14"/>
              </w:rPr>
              <w:t>%</w:t>
            </w:r>
          </w:p>
        </w:tc>
        <w:tc>
          <w:tcPr>
            <w:tcW w:w="666" w:type="dxa"/>
          </w:tcPr>
          <w:p w14:paraId="3A19AC7F" w14:textId="4F9B6610" w:rsidR="00022727" w:rsidRPr="008F735E" w:rsidRDefault="00022727" w:rsidP="0017473C">
            <w:pPr>
              <w:keepNext/>
              <w:keepLines/>
              <w:tabs>
                <w:tab w:val="decimal" w:pos="256"/>
              </w:tabs>
              <w:spacing w:before="60" w:after="60"/>
              <w:jc w:val="center"/>
              <w:rPr>
                <w:sz w:val="14"/>
                <w:szCs w:val="14"/>
              </w:rPr>
            </w:pPr>
            <w:r>
              <w:rPr>
                <w:sz w:val="14"/>
                <w:szCs w:val="14"/>
              </w:rPr>
              <w:t>2.55</w:t>
            </w:r>
            <w:r w:rsidRPr="0022782F">
              <w:rPr>
                <w:sz w:val="14"/>
                <w:szCs w:val="14"/>
              </w:rPr>
              <w:t>%</w:t>
            </w:r>
          </w:p>
        </w:tc>
        <w:tc>
          <w:tcPr>
            <w:tcW w:w="667" w:type="dxa"/>
          </w:tcPr>
          <w:p w14:paraId="05FB4481" w14:textId="3C6150A6" w:rsidR="00022727" w:rsidRPr="008F735E" w:rsidRDefault="00022727" w:rsidP="0017473C">
            <w:pPr>
              <w:keepNext/>
              <w:keepLines/>
              <w:tabs>
                <w:tab w:val="decimal" w:pos="256"/>
              </w:tabs>
              <w:spacing w:before="60" w:after="60"/>
              <w:jc w:val="center"/>
              <w:rPr>
                <w:sz w:val="14"/>
                <w:szCs w:val="14"/>
              </w:rPr>
            </w:pPr>
            <w:r>
              <w:rPr>
                <w:sz w:val="14"/>
                <w:szCs w:val="14"/>
              </w:rPr>
              <w:t>2.43</w:t>
            </w:r>
            <w:r w:rsidRPr="0022782F">
              <w:rPr>
                <w:sz w:val="14"/>
                <w:szCs w:val="14"/>
              </w:rPr>
              <w:t>%</w:t>
            </w:r>
          </w:p>
        </w:tc>
        <w:tc>
          <w:tcPr>
            <w:tcW w:w="1134" w:type="dxa"/>
          </w:tcPr>
          <w:p w14:paraId="137FBD77" w14:textId="58186CD0" w:rsidR="00022727" w:rsidRPr="008F735E" w:rsidRDefault="00022727" w:rsidP="0017473C">
            <w:pPr>
              <w:keepNext/>
              <w:keepLines/>
              <w:tabs>
                <w:tab w:val="decimal" w:pos="256"/>
              </w:tabs>
              <w:spacing w:before="60" w:after="60"/>
              <w:jc w:val="center"/>
              <w:rPr>
                <w:sz w:val="14"/>
                <w:szCs w:val="14"/>
              </w:rPr>
            </w:pPr>
            <w:r>
              <w:rPr>
                <w:sz w:val="14"/>
                <w:szCs w:val="14"/>
              </w:rPr>
              <w:t>2.14</w:t>
            </w:r>
            <w:r w:rsidRPr="0022782F">
              <w:rPr>
                <w:sz w:val="14"/>
                <w:szCs w:val="14"/>
              </w:rPr>
              <w:t>%</w:t>
            </w:r>
          </w:p>
        </w:tc>
        <w:tc>
          <w:tcPr>
            <w:tcW w:w="851" w:type="dxa"/>
          </w:tcPr>
          <w:p w14:paraId="26944557" w14:textId="4A56575D" w:rsidR="00022727" w:rsidRPr="008F735E" w:rsidRDefault="00022727" w:rsidP="0017473C">
            <w:pPr>
              <w:keepNext/>
              <w:keepLines/>
              <w:tabs>
                <w:tab w:val="decimal" w:pos="256"/>
              </w:tabs>
              <w:spacing w:before="60" w:after="60"/>
              <w:jc w:val="center"/>
              <w:rPr>
                <w:sz w:val="14"/>
                <w:szCs w:val="14"/>
              </w:rPr>
            </w:pPr>
            <w:r>
              <w:rPr>
                <w:sz w:val="14"/>
                <w:szCs w:val="14"/>
              </w:rPr>
              <w:t>3.10</w:t>
            </w:r>
            <w:r w:rsidRPr="0022782F">
              <w:rPr>
                <w:sz w:val="14"/>
                <w:szCs w:val="14"/>
              </w:rPr>
              <w:t>%</w:t>
            </w:r>
          </w:p>
        </w:tc>
        <w:tc>
          <w:tcPr>
            <w:tcW w:w="1134" w:type="dxa"/>
          </w:tcPr>
          <w:p w14:paraId="2134DC8B" w14:textId="750B4527" w:rsidR="00022727" w:rsidRPr="008F735E" w:rsidRDefault="00022727" w:rsidP="0017473C">
            <w:pPr>
              <w:keepNext/>
              <w:keepLines/>
              <w:tabs>
                <w:tab w:val="decimal" w:pos="256"/>
              </w:tabs>
              <w:spacing w:before="60" w:after="60"/>
              <w:jc w:val="center"/>
              <w:rPr>
                <w:sz w:val="14"/>
                <w:szCs w:val="14"/>
              </w:rPr>
            </w:pPr>
            <w:r>
              <w:rPr>
                <w:sz w:val="14"/>
                <w:szCs w:val="14"/>
              </w:rPr>
              <w:t>1.64</w:t>
            </w:r>
            <w:r w:rsidRPr="0022782F">
              <w:rPr>
                <w:sz w:val="14"/>
                <w:szCs w:val="14"/>
              </w:rPr>
              <w:t>%</w:t>
            </w:r>
          </w:p>
        </w:tc>
        <w:tc>
          <w:tcPr>
            <w:tcW w:w="921" w:type="dxa"/>
          </w:tcPr>
          <w:p w14:paraId="03FD9458" w14:textId="6EFEBC91" w:rsidR="00022727" w:rsidRPr="008F735E" w:rsidRDefault="00022727" w:rsidP="0017473C">
            <w:pPr>
              <w:keepNext/>
              <w:keepLines/>
              <w:tabs>
                <w:tab w:val="decimal" w:pos="256"/>
              </w:tabs>
              <w:spacing w:before="60" w:after="60"/>
              <w:jc w:val="center"/>
              <w:rPr>
                <w:sz w:val="14"/>
                <w:szCs w:val="14"/>
              </w:rPr>
            </w:pPr>
            <w:r>
              <w:rPr>
                <w:sz w:val="14"/>
                <w:szCs w:val="14"/>
              </w:rPr>
              <w:t>1.43</w:t>
            </w:r>
            <w:r w:rsidRPr="0022782F">
              <w:rPr>
                <w:sz w:val="14"/>
                <w:szCs w:val="14"/>
              </w:rPr>
              <w:t>%</w:t>
            </w:r>
          </w:p>
        </w:tc>
      </w:tr>
      <w:tr w:rsidR="00022727" w:rsidRPr="008F735E" w14:paraId="095BD67A" w14:textId="77777777" w:rsidTr="00841651">
        <w:tc>
          <w:tcPr>
            <w:tcW w:w="1347" w:type="dxa"/>
            <w:shd w:val="clear" w:color="auto" w:fill="auto"/>
            <w:vAlign w:val="bottom"/>
          </w:tcPr>
          <w:p w14:paraId="110D2126" w14:textId="77777777" w:rsidR="00022727" w:rsidRPr="008F735E" w:rsidRDefault="00022727" w:rsidP="0017473C">
            <w:pPr>
              <w:keepNext/>
              <w:keepLines/>
              <w:tabs>
                <w:tab w:val="left" w:pos="106"/>
              </w:tabs>
              <w:spacing w:before="60" w:after="60"/>
              <w:ind w:left="108" w:hanging="108"/>
              <w:jc w:val="left"/>
              <w:rPr>
                <w:sz w:val="14"/>
                <w:szCs w:val="14"/>
              </w:rPr>
            </w:pPr>
            <w:r>
              <w:rPr>
                <w:sz w:val="14"/>
                <w:szCs w:val="14"/>
              </w:rPr>
              <w:tab/>
              <w:t>Partial expensing</w:t>
            </w:r>
          </w:p>
        </w:tc>
        <w:tc>
          <w:tcPr>
            <w:tcW w:w="992" w:type="dxa"/>
          </w:tcPr>
          <w:p w14:paraId="3FBD5F0F" w14:textId="216561A7" w:rsidR="00022727" w:rsidRPr="008F735E" w:rsidRDefault="00022727" w:rsidP="0017473C">
            <w:pPr>
              <w:keepNext/>
              <w:keepLines/>
              <w:tabs>
                <w:tab w:val="decimal" w:pos="256"/>
              </w:tabs>
              <w:spacing w:before="60" w:after="60"/>
              <w:jc w:val="center"/>
              <w:rPr>
                <w:sz w:val="14"/>
                <w:szCs w:val="14"/>
              </w:rPr>
            </w:pPr>
            <w:r>
              <w:rPr>
                <w:sz w:val="14"/>
                <w:szCs w:val="14"/>
              </w:rPr>
              <w:t>2.46</w:t>
            </w:r>
            <w:r w:rsidRPr="0022782F">
              <w:rPr>
                <w:sz w:val="14"/>
                <w:szCs w:val="14"/>
              </w:rPr>
              <w:t>%</w:t>
            </w:r>
          </w:p>
        </w:tc>
        <w:tc>
          <w:tcPr>
            <w:tcW w:w="737" w:type="dxa"/>
          </w:tcPr>
          <w:p w14:paraId="5EF49B63" w14:textId="229A406A" w:rsidR="00022727" w:rsidRPr="008F735E" w:rsidRDefault="00022727" w:rsidP="0017473C">
            <w:pPr>
              <w:keepNext/>
              <w:keepLines/>
              <w:tabs>
                <w:tab w:val="decimal" w:pos="256"/>
              </w:tabs>
              <w:spacing w:before="60" w:after="60"/>
              <w:jc w:val="center"/>
              <w:rPr>
                <w:sz w:val="14"/>
                <w:szCs w:val="14"/>
              </w:rPr>
            </w:pPr>
            <w:r>
              <w:rPr>
                <w:sz w:val="14"/>
                <w:szCs w:val="14"/>
              </w:rPr>
              <w:t>2.77</w:t>
            </w:r>
            <w:r w:rsidRPr="0022782F">
              <w:rPr>
                <w:sz w:val="14"/>
                <w:szCs w:val="14"/>
              </w:rPr>
              <w:t>%</w:t>
            </w:r>
          </w:p>
        </w:tc>
        <w:tc>
          <w:tcPr>
            <w:tcW w:w="681" w:type="dxa"/>
          </w:tcPr>
          <w:p w14:paraId="68FA161B" w14:textId="283C15A9" w:rsidR="00022727" w:rsidRPr="008F735E" w:rsidRDefault="00022727" w:rsidP="0017473C">
            <w:pPr>
              <w:keepNext/>
              <w:keepLines/>
              <w:tabs>
                <w:tab w:val="decimal" w:pos="256"/>
              </w:tabs>
              <w:spacing w:before="60" w:after="60"/>
              <w:jc w:val="center"/>
              <w:rPr>
                <w:sz w:val="14"/>
                <w:szCs w:val="14"/>
              </w:rPr>
            </w:pPr>
            <w:r>
              <w:rPr>
                <w:sz w:val="14"/>
                <w:szCs w:val="14"/>
              </w:rPr>
              <w:t>2.74</w:t>
            </w:r>
            <w:r w:rsidRPr="0022782F">
              <w:rPr>
                <w:sz w:val="14"/>
                <w:szCs w:val="14"/>
              </w:rPr>
              <w:t>%</w:t>
            </w:r>
          </w:p>
        </w:tc>
        <w:tc>
          <w:tcPr>
            <w:tcW w:w="651" w:type="dxa"/>
          </w:tcPr>
          <w:p w14:paraId="5D2EEE49" w14:textId="295F34F8" w:rsidR="00022727" w:rsidRPr="008F735E" w:rsidRDefault="00022727" w:rsidP="0017473C">
            <w:pPr>
              <w:keepNext/>
              <w:keepLines/>
              <w:tabs>
                <w:tab w:val="decimal" w:pos="256"/>
              </w:tabs>
              <w:spacing w:before="60" w:after="60"/>
              <w:jc w:val="center"/>
              <w:rPr>
                <w:sz w:val="14"/>
                <w:szCs w:val="14"/>
              </w:rPr>
            </w:pPr>
            <w:r>
              <w:rPr>
                <w:sz w:val="14"/>
                <w:szCs w:val="14"/>
              </w:rPr>
              <w:t>2.59</w:t>
            </w:r>
            <w:r w:rsidRPr="0022782F">
              <w:rPr>
                <w:sz w:val="14"/>
                <w:szCs w:val="14"/>
              </w:rPr>
              <w:t>%</w:t>
            </w:r>
          </w:p>
        </w:tc>
        <w:tc>
          <w:tcPr>
            <w:tcW w:w="666" w:type="dxa"/>
          </w:tcPr>
          <w:p w14:paraId="6C78569C" w14:textId="491EA575" w:rsidR="00022727" w:rsidRPr="008F735E" w:rsidRDefault="00022727" w:rsidP="0017473C">
            <w:pPr>
              <w:keepNext/>
              <w:keepLines/>
              <w:tabs>
                <w:tab w:val="decimal" w:pos="256"/>
              </w:tabs>
              <w:spacing w:before="60" w:after="60"/>
              <w:jc w:val="center"/>
              <w:rPr>
                <w:sz w:val="14"/>
                <w:szCs w:val="14"/>
              </w:rPr>
            </w:pPr>
            <w:r>
              <w:rPr>
                <w:sz w:val="14"/>
                <w:szCs w:val="14"/>
              </w:rPr>
              <w:t>2.42</w:t>
            </w:r>
            <w:r w:rsidRPr="0022782F">
              <w:rPr>
                <w:sz w:val="14"/>
                <w:szCs w:val="14"/>
              </w:rPr>
              <w:t>%</w:t>
            </w:r>
          </w:p>
        </w:tc>
        <w:tc>
          <w:tcPr>
            <w:tcW w:w="667" w:type="dxa"/>
          </w:tcPr>
          <w:p w14:paraId="5F9F94AF" w14:textId="457A48A4" w:rsidR="00022727" w:rsidRPr="008F735E" w:rsidRDefault="00022727" w:rsidP="0017473C">
            <w:pPr>
              <w:keepNext/>
              <w:keepLines/>
              <w:tabs>
                <w:tab w:val="decimal" w:pos="256"/>
              </w:tabs>
              <w:spacing w:before="60" w:after="60"/>
              <w:jc w:val="center"/>
              <w:rPr>
                <w:sz w:val="14"/>
                <w:szCs w:val="14"/>
              </w:rPr>
            </w:pPr>
            <w:r>
              <w:rPr>
                <w:sz w:val="14"/>
                <w:szCs w:val="14"/>
              </w:rPr>
              <w:t>2.29</w:t>
            </w:r>
            <w:r w:rsidRPr="0022782F">
              <w:rPr>
                <w:sz w:val="14"/>
                <w:szCs w:val="14"/>
              </w:rPr>
              <w:t>%</w:t>
            </w:r>
          </w:p>
        </w:tc>
        <w:tc>
          <w:tcPr>
            <w:tcW w:w="1134" w:type="dxa"/>
          </w:tcPr>
          <w:p w14:paraId="0817DAB7" w14:textId="18A8DDE6" w:rsidR="00022727" w:rsidRPr="008F735E" w:rsidRDefault="00022727" w:rsidP="0017473C">
            <w:pPr>
              <w:keepNext/>
              <w:keepLines/>
              <w:tabs>
                <w:tab w:val="decimal" w:pos="256"/>
              </w:tabs>
              <w:spacing w:before="60" w:after="60"/>
              <w:jc w:val="center"/>
              <w:rPr>
                <w:sz w:val="14"/>
                <w:szCs w:val="14"/>
              </w:rPr>
            </w:pPr>
            <w:r>
              <w:rPr>
                <w:sz w:val="14"/>
                <w:szCs w:val="14"/>
              </w:rPr>
              <w:t>2.14</w:t>
            </w:r>
            <w:r w:rsidRPr="0022782F">
              <w:rPr>
                <w:sz w:val="14"/>
                <w:szCs w:val="14"/>
              </w:rPr>
              <w:t>%</w:t>
            </w:r>
          </w:p>
        </w:tc>
        <w:tc>
          <w:tcPr>
            <w:tcW w:w="851" w:type="dxa"/>
          </w:tcPr>
          <w:p w14:paraId="162E497E" w14:textId="69DA9FD7" w:rsidR="00022727" w:rsidRPr="008F735E" w:rsidRDefault="00022727" w:rsidP="0017473C">
            <w:pPr>
              <w:keepNext/>
              <w:keepLines/>
              <w:tabs>
                <w:tab w:val="decimal" w:pos="256"/>
              </w:tabs>
              <w:spacing w:before="60" w:after="60"/>
              <w:jc w:val="center"/>
              <w:rPr>
                <w:sz w:val="14"/>
                <w:szCs w:val="14"/>
              </w:rPr>
            </w:pPr>
            <w:r>
              <w:rPr>
                <w:sz w:val="14"/>
                <w:szCs w:val="14"/>
              </w:rPr>
              <w:t>3.10</w:t>
            </w:r>
            <w:r w:rsidRPr="0022782F">
              <w:rPr>
                <w:sz w:val="14"/>
                <w:szCs w:val="14"/>
              </w:rPr>
              <w:t>%</w:t>
            </w:r>
          </w:p>
        </w:tc>
        <w:tc>
          <w:tcPr>
            <w:tcW w:w="1134" w:type="dxa"/>
          </w:tcPr>
          <w:p w14:paraId="08C6244B" w14:textId="50FD6FA1" w:rsidR="00022727" w:rsidRPr="008F735E" w:rsidRDefault="00022727" w:rsidP="0017473C">
            <w:pPr>
              <w:keepNext/>
              <w:keepLines/>
              <w:tabs>
                <w:tab w:val="decimal" w:pos="256"/>
              </w:tabs>
              <w:spacing w:before="60" w:after="60"/>
              <w:jc w:val="center"/>
              <w:rPr>
                <w:sz w:val="14"/>
                <w:szCs w:val="14"/>
              </w:rPr>
            </w:pPr>
            <w:r>
              <w:rPr>
                <w:sz w:val="14"/>
                <w:szCs w:val="14"/>
              </w:rPr>
              <w:t>1.64</w:t>
            </w:r>
            <w:r w:rsidRPr="0022782F">
              <w:rPr>
                <w:sz w:val="14"/>
                <w:szCs w:val="14"/>
              </w:rPr>
              <w:t>%</w:t>
            </w:r>
          </w:p>
        </w:tc>
        <w:tc>
          <w:tcPr>
            <w:tcW w:w="921" w:type="dxa"/>
          </w:tcPr>
          <w:p w14:paraId="346B0998" w14:textId="75F2AAF1" w:rsidR="00022727" w:rsidRPr="008F735E" w:rsidRDefault="00022727" w:rsidP="0017473C">
            <w:pPr>
              <w:keepNext/>
              <w:keepLines/>
              <w:tabs>
                <w:tab w:val="decimal" w:pos="256"/>
              </w:tabs>
              <w:spacing w:before="60" w:after="60"/>
              <w:jc w:val="center"/>
              <w:rPr>
                <w:sz w:val="14"/>
                <w:szCs w:val="14"/>
              </w:rPr>
            </w:pPr>
            <w:r>
              <w:rPr>
                <w:sz w:val="14"/>
                <w:szCs w:val="14"/>
              </w:rPr>
              <w:t>1.43</w:t>
            </w:r>
            <w:r w:rsidRPr="0022782F">
              <w:rPr>
                <w:sz w:val="14"/>
                <w:szCs w:val="14"/>
              </w:rPr>
              <w:t>%</w:t>
            </w:r>
          </w:p>
        </w:tc>
      </w:tr>
      <w:tr w:rsidR="00022727" w:rsidRPr="008F735E" w14:paraId="30643274" w14:textId="77777777" w:rsidTr="00841651">
        <w:tc>
          <w:tcPr>
            <w:tcW w:w="1347" w:type="dxa"/>
            <w:shd w:val="clear" w:color="auto" w:fill="auto"/>
            <w:vAlign w:val="bottom"/>
          </w:tcPr>
          <w:p w14:paraId="233FBA06" w14:textId="7140FB7C" w:rsidR="00022727" w:rsidRPr="008F735E" w:rsidRDefault="00022727" w:rsidP="0017473C">
            <w:pPr>
              <w:keepNext/>
              <w:keepLines/>
              <w:tabs>
                <w:tab w:val="left" w:pos="106"/>
              </w:tabs>
              <w:spacing w:before="60" w:after="60"/>
              <w:jc w:val="left"/>
              <w:rPr>
                <w:b/>
                <w:bCs/>
                <w:sz w:val="14"/>
                <w:szCs w:val="14"/>
              </w:rPr>
            </w:pPr>
            <w:r w:rsidRPr="008F735E">
              <w:rPr>
                <w:b/>
                <w:bCs/>
                <w:sz w:val="14"/>
                <w:szCs w:val="14"/>
              </w:rPr>
              <w:t>EMTR</w:t>
            </w:r>
            <w:r w:rsidR="00633255">
              <w:rPr>
                <w:b/>
                <w:bCs/>
                <w:sz w:val="14"/>
                <w:szCs w:val="14"/>
              </w:rPr>
              <w:t>s</w:t>
            </w:r>
          </w:p>
        </w:tc>
        <w:tc>
          <w:tcPr>
            <w:tcW w:w="992" w:type="dxa"/>
          </w:tcPr>
          <w:p w14:paraId="5ED03864" w14:textId="77777777" w:rsidR="00022727" w:rsidRPr="008F735E" w:rsidRDefault="00022727" w:rsidP="0017473C">
            <w:pPr>
              <w:keepNext/>
              <w:keepLines/>
              <w:tabs>
                <w:tab w:val="decimal" w:pos="256"/>
              </w:tabs>
              <w:spacing w:before="60" w:after="60"/>
              <w:jc w:val="center"/>
              <w:rPr>
                <w:sz w:val="14"/>
                <w:szCs w:val="14"/>
              </w:rPr>
            </w:pPr>
          </w:p>
        </w:tc>
        <w:tc>
          <w:tcPr>
            <w:tcW w:w="737" w:type="dxa"/>
          </w:tcPr>
          <w:p w14:paraId="751047B7" w14:textId="77777777" w:rsidR="00022727" w:rsidRPr="008F735E" w:rsidRDefault="00022727" w:rsidP="0017473C">
            <w:pPr>
              <w:keepNext/>
              <w:keepLines/>
              <w:tabs>
                <w:tab w:val="decimal" w:pos="256"/>
              </w:tabs>
              <w:spacing w:before="60" w:after="60"/>
              <w:jc w:val="center"/>
              <w:rPr>
                <w:sz w:val="14"/>
                <w:szCs w:val="14"/>
              </w:rPr>
            </w:pPr>
          </w:p>
        </w:tc>
        <w:tc>
          <w:tcPr>
            <w:tcW w:w="681" w:type="dxa"/>
          </w:tcPr>
          <w:p w14:paraId="0C9C2D32" w14:textId="77777777" w:rsidR="00022727" w:rsidRPr="008F735E" w:rsidRDefault="00022727" w:rsidP="0017473C">
            <w:pPr>
              <w:keepNext/>
              <w:keepLines/>
              <w:tabs>
                <w:tab w:val="decimal" w:pos="256"/>
              </w:tabs>
              <w:spacing w:before="60" w:after="60"/>
              <w:jc w:val="center"/>
              <w:rPr>
                <w:sz w:val="14"/>
                <w:szCs w:val="14"/>
              </w:rPr>
            </w:pPr>
          </w:p>
        </w:tc>
        <w:tc>
          <w:tcPr>
            <w:tcW w:w="651" w:type="dxa"/>
          </w:tcPr>
          <w:p w14:paraId="5E7E986D" w14:textId="77777777" w:rsidR="00022727" w:rsidRPr="008F735E" w:rsidRDefault="00022727" w:rsidP="0017473C">
            <w:pPr>
              <w:keepNext/>
              <w:keepLines/>
              <w:tabs>
                <w:tab w:val="decimal" w:pos="256"/>
              </w:tabs>
              <w:spacing w:before="60" w:after="60"/>
              <w:jc w:val="center"/>
              <w:rPr>
                <w:sz w:val="14"/>
                <w:szCs w:val="14"/>
              </w:rPr>
            </w:pPr>
          </w:p>
        </w:tc>
        <w:tc>
          <w:tcPr>
            <w:tcW w:w="666" w:type="dxa"/>
          </w:tcPr>
          <w:p w14:paraId="39AA6F74" w14:textId="77777777" w:rsidR="00022727" w:rsidRPr="008F735E" w:rsidRDefault="00022727" w:rsidP="0017473C">
            <w:pPr>
              <w:keepNext/>
              <w:keepLines/>
              <w:tabs>
                <w:tab w:val="decimal" w:pos="256"/>
              </w:tabs>
              <w:spacing w:before="60" w:after="60"/>
              <w:jc w:val="center"/>
              <w:rPr>
                <w:sz w:val="14"/>
                <w:szCs w:val="14"/>
              </w:rPr>
            </w:pPr>
          </w:p>
        </w:tc>
        <w:tc>
          <w:tcPr>
            <w:tcW w:w="667" w:type="dxa"/>
          </w:tcPr>
          <w:p w14:paraId="5A829785" w14:textId="77777777" w:rsidR="00022727" w:rsidRPr="008F735E" w:rsidRDefault="00022727" w:rsidP="0017473C">
            <w:pPr>
              <w:keepNext/>
              <w:keepLines/>
              <w:tabs>
                <w:tab w:val="decimal" w:pos="256"/>
              </w:tabs>
              <w:spacing w:before="60" w:after="60"/>
              <w:jc w:val="center"/>
              <w:rPr>
                <w:sz w:val="14"/>
                <w:szCs w:val="14"/>
              </w:rPr>
            </w:pPr>
          </w:p>
        </w:tc>
        <w:tc>
          <w:tcPr>
            <w:tcW w:w="1134" w:type="dxa"/>
          </w:tcPr>
          <w:p w14:paraId="5EFBB61C" w14:textId="77777777" w:rsidR="00022727" w:rsidRPr="008F735E" w:rsidRDefault="00022727" w:rsidP="0017473C">
            <w:pPr>
              <w:keepNext/>
              <w:keepLines/>
              <w:tabs>
                <w:tab w:val="decimal" w:pos="256"/>
              </w:tabs>
              <w:spacing w:before="60" w:after="60"/>
              <w:jc w:val="center"/>
              <w:rPr>
                <w:sz w:val="14"/>
                <w:szCs w:val="14"/>
              </w:rPr>
            </w:pPr>
          </w:p>
        </w:tc>
        <w:tc>
          <w:tcPr>
            <w:tcW w:w="851" w:type="dxa"/>
          </w:tcPr>
          <w:p w14:paraId="7986467B" w14:textId="77777777" w:rsidR="00022727" w:rsidRPr="008F735E" w:rsidRDefault="00022727" w:rsidP="0017473C">
            <w:pPr>
              <w:keepNext/>
              <w:keepLines/>
              <w:tabs>
                <w:tab w:val="decimal" w:pos="256"/>
              </w:tabs>
              <w:spacing w:before="60" w:after="60"/>
              <w:jc w:val="center"/>
              <w:rPr>
                <w:sz w:val="14"/>
                <w:szCs w:val="14"/>
              </w:rPr>
            </w:pPr>
          </w:p>
        </w:tc>
        <w:tc>
          <w:tcPr>
            <w:tcW w:w="1134" w:type="dxa"/>
          </w:tcPr>
          <w:p w14:paraId="2F4AD59F" w14:textId="77777777" w:rsidR="00022727" w:rsidRPr="008F735E" w:rsidRDefault="00022727" w:rsidP="0017473C">
            <w:pPr>
              <w:keepNext/>
              <w:keepLines/>
              <w:tabs>
                <w:tab w:val="decimal" w:pos="256"/>
              </w:tabs>
              <w:spacing w:before="60" w:after="60"/>
              <w:jc w:val="center"/>
              <w:rPr>
                <w:sz w:val="14"/>
                <w:szCs w:val="14"/>
              </w:rPr>
            </w:pPr>
          </w:p>
        </w:tc>
        <w:tc>
          <w:tcPr>
            <w:tcW w:w="921" w:type="dxa"/>
          </w:tcPr>
          <w:p w14:paraId="64F1EED4" w14:textId="77777777" w:rsidR="00022727" w:rsidRPr="008F735E" w:rsidRDefault="00022727" w:rsidP="0017473C">
            <w:pPr>
              <w:keepNext/>
              <w:keepLines/>
              <w:tabs>
                <w:tab w:val="decimal" w:pos="256"/>
              </w:tabs>
              <w:spacing w:before="60" w:after="60"/>
              <w:jc w:val="center"/>
              <w:rPr>
                <w:sz w:val="14"/>
                <w:szCs w:val="14"/>
              </w:rPr>
            </w:pPr>
          </w:p>
        </w:tc>
      </w:tr>
      <w:tr w:rsidR="00022727" w:rsidRPr="008F735E" w14:paraId="14953F7D" w14:textId="77777777" w:rsidTr="00841651">
        <w:tc>
          <w:tcPr>
            <w:tcW w:w="1347" w:type="dxa"/>
            <w:shd w:val="clear" w:color="auto" w:fill="auto"/>
            <w:vAlign w:val="bottom"/>
          </w:tcPr>
          <w:p w14:paraId="0EF05426" w14:textId="77777777" w:rsidR="00022727" w:rsidRPr="008F735E" w:rsidRDefault="00022727" w:rsidP="0017473C">
            <w:pPr>
              <w:keepNext/>
              <w:keepLines/>
              <w:tabs>
                <w:tab w:val="left" w:pos="106"/>
              </w:tabs>
              <w:spacing w:before="60" w:after="60"/>
              <w:jc w:val="left"/>
              <w:rPr>
                <w:sz w:val="14"/>
                <w:szCs w:val="14"/>
              </w:rPr>
            </w:pPr>
            <w:r>
              <w:rPr>
                <w:sz w:val="14"/>
                <w:szCs w:val="14"/>
              </w:rPr>
              <w:tab/>
              <w:t>Status quo</w:t>
            </w:r>
          </w:p>
        </w:tc>
        <w:tc>
          <w:tcPr>
            <w:tcW w:w="992" w:type="dxa"/>
          </w:tcPr>
          <w:p w14:paraId="34D8FEA3" w14:textId="1F09BFCA" w:rsidR="00022727" w:rsidRPr="008F735E" w:rsidRDefault="00022727" w:rsidP="0017473C">
            <w:pPr>
              <w:keepNext/>
              <w:keepLines/>
              <w:tabs>
                <w:tab w:val="decimal" w:pos="256"/>
              </w:tabs>
              <w:spacing w:before="60" w:after="60"/>
              <w:jc w:val="center"/>
              <w:rPr>
                <w:sz w:val="14"/>
                <w:szCs w:val="14"/>
              </w:rPr>
            </w:pPr>
            <w:r>
              <w:rPr>
                <w:sz w:val="14"/>
                <w:szCs w:val="14"/>
              </w:rPr>
              <w:t>-10.4</w:t>
            </w:r>
            <w:r w:rsidRPr="00EC6A3E">
              <w:rPr>
                <w:sz w:val="14"/>
                <w:szCs w:val="14"/>
              </w:rPr>
              <w:t>%</w:t>
            </w:r>
          </w:p>
        </w:tc>
        <w:tc>
          <w:tcPr>
            <w:tcW w:w="737" w:type="dxa"/>
          </w:tcPr>
          <w:p w14:paraId="03AD7BF9" w14:textId="798FA98F" w:rsidR="00022727" w:rsidRPr="008F735E" w:rsidRDefault="00022727" w:rsidP="0017473C">
            <w:pPr>
              <w:keepNext/>
              <w:keepLines/>
              <w:tabs>
                <w:tab w:val="decimal" w:pos="256"/>
              </w:tabs>
              <w:spacing w:before="60" w:after="60"/>
              <w:jc w:val="center"/>
              <w:rPr>
                <w:sz w:val="14"/>
                <w:szCs w:val="14"/>
              </w:rPr>
            </w:pPr>
            <w:r>
              <w:rPr>
                <w:sz w:val="14"/>
                <w:szCs w:val="14"/>
              </w:rPr>
              <w:t>3.3</w:t>
            </w:r>
            <w:r w:rsidRPr="00EC6A3E">
              <w:rPr>
                <w:sz w:val="14"/>
                <w:szCs w:val="14"/>
              </w:rPr>
              <w:t>%</w:t>
            </w:r>
          </w:p>
        </w:tc>
        <w:tc>
          <w:tcPr>
            <w:tcW w:w="681" w:type="dxa"/>
          </w:tcPr>
          <w:p w14:paraId="3179C13F" w14:textId="0CF14583" w:rsidR="00022727" w:rsidRPr="008F735E" w:rsidRDefault="00022727" w:rsidP="0017473C">
            <w:pPr>
              <w:keepNext/>
              <w:keepLines/>
              <w:tabs>
                <w:tab w:val="decimal" w:pos="256"/>
              </w:tabs>
              <w:spacing w:before="60" w:after="60"/>
              <w:jc w:val="center"/>
              <w:rPr>
                <w:sz w:val="14"/>
                <w:szCs w:val="14"/>
              </w:rPr>
            </w:pPr>
            <w:r>
              <w:rPr>
                <w:sz w:val="14"/>
                <w:szCs w:val="14"/>
              </w:rPr>
              <w:t>2.3</w:t>
            </w:r>
            <w:r w:rsidRPr="00EC6A3E">
              <w:rPr>
                <w:sz w:val="14"/>
                <w:szCs w:val="14"/>
              </w:rPr>
              <w:t>%</w:t>
            </w:r>
          </w:p>
        </w:tc>
        <w:tc>
          <w:tcPr>
            <w:tcW w:w="651" w:type="dxa"/>
          </w:tcPr>
          <w:p w14:paraId="26F753CC" w14:textId="424E4B82" w:rsidR="00022727" w:rsidRPr="008F735E" w:rsidRDefault="00022727" w:rsidP="0017473C">
            <w:pPr>
              <w:keepNext/>
              <w:keepLines/>
              <w:tabs>
                <w:tab w:val="decimal" w:pos="256"/>
              </w:tabs>
              <w:spacing w:before="60" w:after="60"/>
              <w:jc w:val="center"/>
              <w:rPr>
                <w:sz w:val="14"/>
                <w:szCs w:val="14"/>
              </w:rPr>
            </w:pPr>
            <w:r>
              <w:rPr>
                <w:sz w:val="14"/>
                <w:szCs w:val="14"/>
              </w:rPr>
              <w:t>-4.2</w:t>
            </w:r>
            <w:r w:rsidRPr="00EC6A3E">
              <w:rPr>
                <w:sz w:val="14"/>
                <w:szCs w:val="14"/>
              </w:rPr>
              <w:t>%</w:t>
            </w:r>
          </w:p>
        </w:tc>
        <w:tc>
          <w:tcPr>
            <w:tcW w:w="666" w:type="dxa"/>
          </w:tcPr>
          <w:p w14:paraId="79567EA4" w14:textId="0AB9EEA0" w:rsidR="00022727" w:rsidRPr="008F735E" w:rsidRDefault="00022727" w:rsidP="0017473C">
            <w:pPr>
              <w:keepNext/>
              <w:keepLines/>
              <w:tabs>
                <w:tab w:val="decimal" w:pos="256"/>
              </w:tabs>
              <w:spacing w:before="60" w:after="60"/>
              <w:jc w:val="center"/>
              <w:rPr>
                <w:sz w:val="14"/>
                <w:szCs w:val="14"/>
              </w:rPr>
            </w:pPr>
            <w:r>
              <w:rPr>
                <w:sz w:val="14"/>
                <w:szCs w:val="14"/>
              </w:rPr>
              <w:t>-12.3</w:t>
            </w:r>
            <w:r w:rsidRPr="00EC6A3E">
              <w:rPr>
                <w:sz w:val="14"/>
                <w:szCs w:val="14"/>
              </w:rPr>
              <w:t>%</w:t>
            </w:r>
          </w:p>
        </w:tc>
        <w:tc>
          <w:tcPr>
            <w:tcW w:w="667" w:type="dxa"/>
          </w:tcPr>
          <w:p w14:paraId="06454900" w14:textId="11B9FD0C" w:rsidR="00022727" w:rsidRPr="008F735E" w:rsidRDefault="00022727" w:rsidP="0017473C">
            <w:pPr>
              <w:keepNext/>
              <w:keepLines/>
              <w:tabs>
                <w:tab w:val="decimal" w:pos="256"/>
              </w:tabs>
              <w:spacing w:before="60" w:after="60"/>
              <w:jc w:val="center"/>
              <w:rPr>
                <w:sz w:val="14"/>
                <w:szCs w:val="14"/>
              </w:rPr>
            </w:pPr>
            <w:r>
              <w:rPr>
                <w:sz w:val="14"/>
                <w:szCs w:val="14"/>
              </w:rPr>
              <w:t>-19.9</w:t>
            </w:r>
            <w:r w:rsidRPr="00EC6A3E">
              <w:rPr>
                <w:sz w:val="14"/>
                <w:szCs w:val="14"/>
              </w:rPr>
              <w:t>%</w:t>
            </w:r>
          </w:p>
        </w:tc>
        <w:tc>
          <w:tcPr>
            <w:tcW w:w="1134" w:type="dxa"/>
          </w:tcPr>
          <w:p w14:paraId="2B0E3C60" w14:textId="0505B780" w:rsidR="00022727" w:rsidRPr="008F735E" w:rsidRDefault="00022727" w:rsidP="0017473C">
            <w:pPr>
              <w:keepNext/>
              <w:keepLines/>
              <w:tabs>
                <w:tab w:val="decimal" w:pos="256"/>
              </w:tabs>
              <w:spacing w:before="60" w:after="60"/>
              <w:jc w:val="center"/>
              <w:rPr>
                <w:sz w:val="14"/>
                <w:szCs w:val="14"/>
              </w:rPr>
            </w:pPr>
            <w:r>
              <w:rPr>
                <w:sz w:val="14"/>
                <w:szCs w:val="14"/>
              </w:rPr>
              <w:t>-40.5</w:t>
            </w:r>
            <w:r w:rsidRPr="00EC6A3E">
              <w:rPr>
                <w:sz w:val="14"/>
                <w:szCs w:val="14"/>
              </w:rPr>
              <w:t>%</w:t>
            </w:r>
          </w:p>
        </w:tc>
        <w:tc>
          <w:tcPr>
            <w:tcW w:w="851" w:type="dxa"/>
          </w:tcPr>
          <w:p w14:paraId="5C2EEB44" w14:textId="2D99E504" w:rsidR="00022727" w:rsidRPr="008F735E" w:rsidRDefault="00022727" w:rsidP="0017473C">
            <w:pPr>
              <w:keepNext/>
              <w:keepLines/>
              <w:tabs>
                <w:tab w:val="decimal" w:pos="256"/>
              </w:tabs>
              <w:spacing w:before="60" w:after="60"/>
              <w:jc w:val="center"/>
              <w:rPr>
                <w:sz w:val="14"/>
                <w:szCs w:val="14"/>
              </w:rPr>
            </w:pPr>
            <w:r>
              <w:rPr>
                <w:sz w:val="14"/>
                <w:szCs w:val="14"/>
              </w:rPr>
              <w:t>3.3</w:t>
            </w:r>
            <w:r w:rsidRPr="00EC6A3E">
              <w:rPr>
                <w:sz w:val="14"/>
                <w:szCs w:val="14"/>
              </w:rPr>
              <w:t>%</w:t>
            </w:r>
          </w:p>
        </w:tc>
        <w:tc>
          <w:tcPr>
            <w:tcW w:w="1134" w:type="dxa"/>
          </w:tcPr>
          <w:p w14:paraId="0F0478FB" w14:textId="64F11EED" w:rsidR="00022727" w:rsidRPr="008F735E" w:rsidRDefault="00022727" w:rsidP="0017473C">
            <w:pPr>
              <w:keepNext/>
              <w:keepLines/>
              <w:tabs>
                <w:tab w:val="decimal" w:pos="256"/>
              </w:tabs>
              <w:spacing w:before="60" w:after="60"/>
              <w:jc w:val="center"/>
              <w:rPr>
                <w:sz w:val="14"/>
                <w:szCs w:val="14"/>
              </w:rPr>
            </w:pPr>
            <w:r>
              <w:rPr>
                <w:sz w:val="14"/>
                <w:szCs w:val="14"/>
              </w:rPr>
              <w:t>-82.6</w:t>
            </w:r>
            <w:r w:rsidRPr="00EC6A3E">
              <w:rPr>
                <w:sz w:val="14"/>
                <w:szCs w:val="14"/>
              </w:rPr>
              <w:t>%</w:t>
            </w:r>
          </w:p>
        </w:tc>
        <w:tc>
          <w:tcPr>
            <w:tcW w:w="921" w:type="dxa"/>
          </w:tcPr>
          <w:p w14:paraId="39A1F087" w14:textId="463C038C" w:rsidR="00022727" w:rsidRPr="008F735E" w:rsidRDefault="00022727" w:rsidP="0017473C">
            <w:pPr>
              <w:keepNext/>
              <w:keepLines/>
              <w:tabs>
                <w:tab w:val="decimal" w:pos="256"/>
              </w:tabs>
              <w:spacing w:before="60" w:after="60"/>
              <w:jc w:val="center"/>
              <w:rPr>
                <w:sz w:val="14"/>
                <w:szCs w:val="14"/>
              </w:rPr>
            </w:pPr>
            <w:r>
              <w:rPr>
                <w:sz w:val="14"/>
                <w:szCs w:val="14"/>
              </w:rPr>
              <w:t>-109.7</w:t>
            </w:r>
            <w:r w:rsidRPr="00EC6A3E">
              <w:rPr>
                <w:sz w:val="14"/>
                <w:szCs w:val="14"/>
              </w:rPr>
              <w:t>%</w:t>
            </w:r>
          </w:p>
        </w:tc>
      </w:tr>
      <w:tr w:rsidR="00022727" w:rsidRPr="008F735E" w14:paraId="69146053" w14:textId="77777777" w:rsidTr="00841651">
        <w:tc>
          <w:tcPr>
            <w:tcW w:w="1347" w:type="dxa"/>
            <w:shd w:val="clear" w:color="auto" w:fill="auto"/>
            <w:vAlign w:val="bottom"/>
          </w:tcPr>
          <w:p w14:paraId="3CB16D16" w14:textId="77777777" w:rsidR="00022727" w:rsidRPr="008F735E" w:rsidRDefault="00022727" w:rsidP="0017473C">
            <w:pPr>
              <w:keepNext/>
              <w:keepLines/>
              <w:tabs>
                <w:tab w:val="left" w:pos="106"/>
              </w:tabs>
              <w:spacing w:before="60" w:after="60"/>
              <w:ind w:left="108" w:hanging="108"/>
              <w:jc w:val="left"/>
              <w:rPr>
                <w:sz w:val="14"/>
                <w:szCs w:val="14"/>
              </w:rPr>
            </w:pPr>
            <w:r>
              <w:rPr>
                <w:sz w:val="14"/>
                <w:szCs w:val="14"/>
              </w:rPr>
              <w:tab/>
              <w:t>Depreciation loading</w:t>
            </w:r>
          </w:p>
        </w:tc>
        <w:tc>
          <w:tcPr>
            <w:tcW w:w="992" w:type="dxa"/>
          </w:tcPr>
          <w:p w14:paraId="7DB2B430" w14:textId="7441AC5A" w:rsidR="00022727" w:rsidRPr="008F735E" w:rsidRDefault="00022727" w:rsidP="0017473C">
            <w:pPr>
              <w:keepNext/>
              <w:keepLines/>
              <w:tabs>
                <w:tab w:val="decimal" w:pos="256"/>
              </w:tabs>
              <w:spacing w:before="60" w:after="60"/>
              <w:jc w:val="center"/>
              <w:rPr>
                <w:sz w:val="14"/>
                <w:szCs w:val="14"/>
              </w:rPr>
            </w:pPr>
            <w:r>
              <w:rPr>
                <w:sz w:val="14"/>
                <w:szCs w:val="14"/>
              </w:rPr>
              <w:t>-14.1</w:t>
            </w:r>
            <w:r w:rsidRPr="00EC6A3E">
              <w:rPr>
                <w:sz w:val="14"/>
                <w:szCs w:val="14"/>
              </w:rPr>
              <w:t>%</w:t>
            </w:r>
          </w:p>
        </w:tc>
        <w:tc>
          <w:tcPr>
            <w:tcW w:w="737" w:type="dxa"/>
          </w:tcPr>
          <w:p w14:paraId="4BB7956A" w14:textId="75555CFE" w:rsidR="00022727" w:rsidRPr="008F735E" w:rsidRDefault="00022727" w:rsidP="0017473C">
            <w:pPr>
              <w:keepNext/>
              <w:keepLines/>
              <w:tabs>
                <w:tab w:val="decimal" w:pos="256"/>
              </w:tabs>
              <w:spacing w:before="60" w:after="60"/>
              <w:jc w:val="center"/>
              <w:rPr>
                <w:sz w:val="14"/>
                <w:szCs w:val="14"/>
              </w:rPr>
            </w:pPr>
            <w:r>
              <w:rPr>
                <w:sz w:val="14"/>
                <w:szCs w:val="14"/>
              </w:rPr>
              <w:t>3.3</w:t>
            </w:r>
            <w:r w:rsidRPr="00EC6A3E">
              <w:rPr>
                <w:sz w:val="14"/>
                <w:szCs w:val="14"/>
              </w:rPr>
              <w:t>%</w:t>
            </w:r>
          </w:p>
        </w:tc>
        <w:tc>
          <w:tcPr>
            <w:tcW w:w="681" w:type="dxa"/>
          </w:tcPr>
          <w:p w14:paraId="5CEBE6A3" w14:textId="10DB69B1" w:rsidR="00022727" w:rsidRPr="008F735E" w:rsidRDefault="0017473C" w:rsidP="0017473C">
            <w:pPr>
              <w:keepNext/>
              <w:keepLines/>
              <w:tabs>
                <w:tab w:val="decimal" w:pos="256"/>
              </w:tabs>
              <w:spacing w:before="60" w:after="60"/>
              <w:jc w:val="center"/>
              <w:rPr>
                <w:sz w:val="14"/>
                <w:szCs w:val="14"/>
              </w:rPr>
            </w:pPr>
            <w:r>
              <w:rPr>
                <w:sz w:val="14"/>
                <w:szCs w:val="14"/>
              </w:rPr>
              <w:t>-</w:t>
            </w:r>
            <w:r w:rsidR="00022727">
              <w:rPr>
                <w:sz w:val="14"/>
                <w:szCs w:val="14"/>
              </w:rPr>
              <w:t>6.7</w:t>
            </w:r>
            <w:r w:rsidR="00022727" w:rsidRPr="00EC6A3E">
              <w:rPr>
                <w:sz w:val="14"/>
                <w:szCs w:val="14"/>
              </w:rPr>
              <w:t>%</w:t>
            </w:r>
          </w:p>
        </w:tc>
        <w:tc>
          <w:tcPr>
            <w:tcW w:w="651" w:type="dxa"/>
          </w:tcPr>
          <w:p w14:paraId="60FBE0F7" w14:textId="027ACCD6" w:rsidR="00022727" w:rsidRPr="008F735E" w:rsidRDefault="00022727" w:rsidP="0017473C">
            <w:pPr>
              <w:keepNext/>
              <w:keepLines/>
              <w:tabs>
                <w:tab w:val="decimal" w:pos="256"/>
              </w:tabs>
              <w:spacing w:before="60" w:after="60"/>
              <w:jc w:val="center"/>
              <w:rPr>
                <w:sz w:val="14"/>
                <w:szCs w:val="14"/>
              </w:rPr>
            </w:pPr>
            <w:r>
              <w:rPr>
                <w:sz w:val="14"/>
                <w:szCs w:val="14"/>
              </w:rPr>
              <w:t>-11.5</w:t>
            </w:r>
            <w:r w:rsidRPr="00EC6A3E">
              <w:rPr>
                <w:sz w:val="14"/>
                <w:szCs w:val="14"/>
              </w:rPr>
              <w:t>%</w:t>
            </w:r>
          </w:p>
        </w:tc>
        <w:tc>
          <w:tcPr>
            <w:tcW w:w="666" w:type="dxa"/>
          </w:tcPr>
          <w:p w14:paraId="39F25732" w14:textId="41CDCD67" w:rsidR="00022727" w:rsidRPr="008F735E" w:rsidRDefault="00022727" w:rsidP="0017473C">
            <w:pPr>
              <w:keepNext/>
              <w:keepLines/>
              <w:tabs>
                <w:tab w:val="decimal" w:pos="256"/>
              </w:tabs>
              <w:spacing w:before="60" w:after="60"/>
              <w:jc w:val="center"/>
              <w:rPr>
                <w:sz w:val="14"/>
                <w:szCs w:val="14"/>
              </w:rPr>
            </w:pPr>
            <w:r>
              <w:rPr>
                <w:sz w:val="14"/>
                <w:szCs w:val="14"/>
              </w:rPr>
              <w:t>-17.6</w:t>
            </w:r>
            <w:r w:rsidRPr="00EC6A3E">
              <w:rPr>
                <w:sz w:val="14"/>
                <w:szCs w:val="14"/>
              </w:rPr>
              <w:t>%</w:t>
            </w:r>
          </w:p>
        </w:tc>
        <w:tc>
          <w:tcPr>
            <w:tcW w:w="667" w:type="dxa"/>
          </w:tcPr>
          <w:p w14:paraId="2107EF7C" w14:textId="03037D7E" w:rsidR="00022727" w:rsidRPr="008F735E" w:rsidRDefault="00022727" w:rsidP="0017473C">
            <w:pPr>
              <w:keepNext/>
              <w:keepLines/>
              <w:tabs>
                <w:tab w:val="decimal" w:pos="256"/>
              </w:tabs>
              <w:spacing w:before="60" w:after="60"/>
              <w:jc w:val="center"/>
              <w:rPr>
                <w:sz w:val="14"/>
                <w:szCs w:val="14"/>
              </w:rPr>
            </w:pPr>
            <w:r>
              <w:rPr>
                <w:sz w:val="14"/>
                <w:szCs w:val="14"/>
              </w:rPr>
              <w:t>-23.5</w:t>
            </w:r>
            <w:r w:rsidRPr="00EC6A3E">
              <w:rPr>
                <w:sz w:val="14"/>
                <w:szCs w:val="14"/>
              </w:rPr>
              <w:t>%</w:t>
            </w:r>
          </w:p>
        </w:tc>
        <w:tc>
          <w:tcPr>
            <w:tcW w:w="1134" w:type="dxa"/>
          </w:tcPr>
          <w:p w14:paraId="487B251D" w14:textId="1072E9B9" w:rsidR="00022727" w:rsidRPr="008F735E" w:rsidRDefault="00022727" w:rsidP="0017473C">
            <w:pPr>
              <w:keepNext/>
              <w:keepLines/>
              <w:tabs>
                <w:tab w:val="decimal" w:pos="256"/>
              </w:tabs>
              <w:spacing w:before="60" w:after="60"/>
              <w:jc w:val="center"/>
              <w:rPr>
                <w:sz w:val="14"/>
                <w:szCs w:val="14"/>
              </w:rPr>
            </w:pPr>
            <w:r>
              <w:rPr>
                <w:sz w:val="14"/>
                <w:szCs w:val="14"/>
              </w:rPr>
              <w:t>-40.5</w:t>
            </w:r>
            <w:r w:rsidRPr="00EC6A3E">
              <w:rPr>
                <w:sz w:val="14"/>
                <w:szCs w:val="14"/>
              </w:rPr>
              <w:t>%</w:t>
            </w:r>
          </w:p>
        </w:tc>
        <w:tc>
          <w:tcPr>
            <w:tcW w:w="851" w:type="dxa"/>
          </w:tcPr>
          <w:p w14:paraId="374BA4CC" w14:textId="10F98E4B" w:rsidR="00022727" w:rsidRPr="008F735E" w:rsidRDefault="00022727" w:rsidP="0017473C">
            <w:pPr>
              <w:keepNext/>
              <w:keepLines/>
              <w:tabs>
                <w:tab w:val="decimal" w:pos="256"/>
              </w:tabs>
              <w:spacing w:before="60" w:after="60"/>
              <w:jc w:val="center"/>
              <w:rPr>
                <w:sz w:val="14"/>
                <w:szCs w:val="14"/>
              </w:rPr>
            </w:pPr>
            <w:r>
              <w:rPr>
                <w:sz w:val="14"/>
                <w:szCs w:val="14"/>
              </w:rPr>
              <w:t>3.3</w:t>
            </w:r>
            <w:r w:rsidRPr="00EC6A3E">
              <w:rPr>
                <w:sz w:val="14"/>
                <w:szCs w:val="14"/>
              </w:rPr>
              <w:t>%</w:t>
            </w:r>
          </w:p>
        </w:tc>
        <w:tc>
          <w:tcPr>
            <w:tcW w:w="1134" w:type="dxa"/>
          </w:tcPr>
          <w:p w14:paraId="6BFE0916" w14:textId="02A06BA3" w:rsidR="00022727" w:rsidRPr="008F735E" w:rsidRDefault="00022727" w:rsidP="0017473C">
            <w:pPr>
              <w:keepNext/>
              <w:keepLines/>
              <w:tabs>
                <w:tab w:val="decimal" w:pos="256"/>
              </w:tabs>
              <w:spacing w:before="60" w:after="60"/>
              <w:jc w:val="center"/>
              <w:rPr>
                <w:sz w:val="14"/>
                <w:szCs w:val="14"/>
              </w:rPr>
            </w:pPr>
            <w:r>
              <w:rPr>
                <w:sz w:val="14"/>
                <w:szCs w:val="14"/>
              </w:rPr>
              <w:t>-82.6</w:t>
            </w:r>
            <w:r w:rsidRPr="00EC6A3E">
              <w:rPr>
                <w:sz w:val="14"/>
                <w:szCs w:val="14"/>
              </w:rPr>
              <w:t>%</w:t>
            </w:r>
          </w:p>
        </w:tc>
        <w:tc>
          <w:tcPr>
            <w:tcW w:w="921" w:type="dxa"/>
          </w:tcPr>
          <w:p w14:paraId="0BAF8F2D" w14:textId="4BD5F7D0" w:rsidR="00022727" w:rsidRPr="008F735E" w:rsidRDefault="00022727" w:rsidP="0017473C">
            <w:pPr>
              <w:keepNext/>
              <w:keepLines/>
              <w:tabs>
                <w:tab w:val="decimal" w:pos="256"/>
              </w:tabs>
              <w:spacing w:before="60" w:after="60"/>
              <w:jc w:val="center"/>
              <w:rPr>
                <w:sz w:val="14"/>
                <w:szCs w:val="14"/>
              </w:rPr>
            </w:pPr>
            <w:r>
              <w:rPr>
                <w:sz w:val="14"/>
                <w:szCs w:val="14"/>
              </w:rPr>
              <w:t>-109.7</w:t>
            </w:r>
            <w:r w:rsidRPr="00EC6A3E">
              <w:rPr>
                <w:sz w:val="14"/>
                <w:szCs w:val="14"/>
              </w:rPr>
              <w:t>%</w:t>
            </w:r>
          </w:p>
        </w:tc>
      </w:tr>
      <w:tr w:rsidR="00022727" w:rsidRPr="008F735E" w14:paraId="7128266B" w14:textId="77777777" w:rsidTr="00841651">
        <w:tc>
          <w:tcPr>
            <w:tcW w:w="1347" w:type="dxa"/>
            <w:shd w:val="clear" w:color="auto" w:fill="auto"/>
            <w:vAlign w:val="bottom"/>
          </w:tcPr>
          <w:p w14:paraId="4DC04C15" w14:textId="77777777" w:rsidR="00022727" w:rsidRPr="008F735E" w:rsidRDefault="00022727" w:rsidP="0017473C">
            <w:pPr>
              <w:keepNext/>
              <w:keepLines/>
              <w:tabs>
                <w:tab w:val="left" w:pos="106"/>
              </w:tabs>
              <w:spacing w:before="60" w:after="60"/>
              <w:ind w:left="108" w:hanging="108"/>
              <w:jc w:val="left"/>
              <w:rPr>
                <w:sz w:val="14"/>
                <w:szCs w:val="14"/>
              </w:rPr>
            </w:pPr>
            <w:r>
              <w:rPr>
                <w:sz w:val="14"/>
                <w:szCs w:val="14"/>
              </w:rPr>
              <w:tab/>
              <w:t>Partial expensing</w:t>
            </w:r>
          </w:p>
        </w:tc>
        <w:tc>
          <w:tcPr>
            <w:tcW w:w="992" w:type="dxa"/>
          </w:tcPr>
          <w:p w14:paraId="6533AC1A" w14:textId="5D37F659" w:rsidR="00022727" w:rsidRPr="008F735E" w:rsidRDefault="00022727" w:rsidP="0017473C">
            <w:pPr>
              <w:keepNext/>
              <w:keepLines/>
              <w:tabs>
                <w:tab w:val="decimal" w:pos="256"/>
              </w:tabs>
              <w:spacing w:before="60" w:after="60"/>
              <w:jc w:val="center"/>
              <w:rPr>
                <w:sz w:val="14"/>
                <w:szCs w:val="14"/>
              </w:rPr>
            </w:pPr>
            <w:r>
              <w:rPr>
                <w:sz w:val="14"/>
                <w:szCs w:val="14"/>
              </w:rPr>
              <w:t>-22.0</w:t>
            </w:r>
            <w:r w:rsidRPr="00EC6A3E">
              <w:rPr>
                <w:sz w:val="14"/>
                <w:szCs w:val="14"/>
              </w:rPr>
              <w:t>%</w:t>
            </w:r>
          </w:p>
        </w:tc>
        <w:tc>
          <w:tcPr>
            <w:tcW w:w="737" w:type="dxa"/>
          </w:tcPr>
          <w:p w14:paraId="0A5E3F8F" w14:textId="2695A8D6" w:rsidR="00022727" w:rsidRPr="008F735E" w:rsidRDefault="00022727" w:rsidP="0017473C">
            <w:pPr>
              <w:keepNext/>
              <w:keepLines/>
              <w:tabs>
                <w:tab w:val="decimal" w:pos="256"/>
              </w:tabs>
              <w:spacing w:before="60" w:after="60"/>
              <w:jc w:val="center"/>
              <w:rPr>
                <w:sz w:val="14"/>
                <w:szCs w:val="14"/>
              </w:rPr>
            </w:pPr>
            <w:r>
              <w:rPr>
                <w:sz w:val="14"/>
                <w:szCs w:val="14"/>
              </w:rPr>
              <w:t>-8.4</w:t>
            </w:r>
            <w:r w:rsidRPr="00EC6A3E">
              <w:rPr>
                <w:sz w:val="14"/>
                <w:szCs w:val="14"/>
              </w:rPr>
              <w:t>%</w:t>
            </w:r>
          </w:p>
        </w:tc>
        <w:tc>
          <w:tcPr>
            <w:tcW w:w="681" w:type="dxa"/>
          </w:tcPr>
          <w:p w14:paraId="5CB909D2" w14:textId="36717A97" w:rsidR="00022727" w:rsidRPr="008F735E" w:rsidRDefault="00022727" w:rsidP="0017473C">
            <w:pPr>
              <w:keepNext/>
              <w:keepLines/>
              <w:tabs>
                <w:tab w:val="decimal" w:pos="256"/>
              </w:tabs>
              <w:spacing w:before="60" w:after="60"/>
              <w:jc w:val="center"/>
              <w:rPr>
                <w:sz w:val="14"/>
                <w:szCs w:val="14"/>
              </w:rPr>
            </w:pPr>
            <w:r>
              <w:rPr>
                <w:sz w:val="14"/>
                <w:szCs w:val="14"/>
              </w:rPr>
              <w:t>-9.4</w:t>
            </w:r>
            <w:r w:rsidRPr="00EC6A3E">
              <w:rPr>
                <w:sz w:val="14"/>
                <w:szCs w:val="14"/>
              </w:rPr>
              <w:t>%</w:t>
            </w:r>
          </w:p>
        </w:tc>
        <w:tc>
          <w:tcPr>
            <w:tcW w:w="651" w:type="dxa"/>
          </w:tcPr>
          <w:p w14:paraId="41BA91F5" w14:textId="1789D0E4" w:rsidR="00022727" w:rsidRPr="008F735E" w:rsidRDefault="00022727" w:rsidP="0017473C">
            <w:pPr>
              <w:keepNext/>
              <w:keepLines/>
              <w:tabs>
                <w:tab w:val="decimal" w:pos="256"/>
              </w:tabs>
              <w:spacing w:before="60" w:after="60"/>
              <w:jc w:val="center"/>
              <w:rPr>
                <w:sz w:val="14"/>
                <w:szCs w:val="14"/>
              </w:rPr>
            </w:pPr>
            <w:r>
              <w:rPr>
                <w:sz w:val="14"/>
                <w:szCs w:val="14"/>
              </w:rPr>
              <w:t>-15.9</w:t>
            </w:r>
            <w:r w:rsidRPr="00EC6A3E">
              <w:rPr>
                <w:sz w:val="14"/>
                <w:szCs w:val="14"/>
              </w:rPr>
              <w:t>%</w:t>
            </w:r>
          </w:p>
        </w:tc>
        <w:tc>
          <w:tcPr>
            <w:tcW w:w="666" w:type="dxa"/>
          </w:tcPr>
          <w:p w14:paraId="2D7E4796" w14:textId="763BD5A6" w:rsidR="00022727" w:rsidRPr="008F735E" w:rsidRDefault="00022727" w:rsidP="0017473C">
            <w:pPr>
              <w:keepNext/>
              <w:keepLines/>
              <w:tabs>
                <w:tab w:val="decimal" w:pos="256"/>
              </w:tabs>
              <w:spacing w:before="60" w:after="60"/>
              <w:jc w:val="center"/>
              <w:rPr>
                <w:sz w:val="14"/>
                <w:szCs w:val="14"/>
              </w:rPr>
            </w:pPr>
            <w:r>
              <w:rPr>
                <w:sz w:val="14"/>
                <w:szCs w:val="14"/>
              </w:rPr>
              <w:t>-23.8</w:t>
            </w:r>
            <w:r w:rsidRPr="00EC6A3E">
              <w:rPr>
                <w:sz w:val="14"/>
                <w:szCs w:val="14"/>
              </w:rPr>
              <w:t>%</w:t>
            </w:r>
          </w:p>
        </w:tc>
        <w:tc>
          <w:tcPr>
            <w:tcW w:w="667" w:type="dxa"/>
          </w:tcPr>
          <w:p w14:paraId="608D0854" w14:textId="1FE5AF21" w:rsidR="00022727" w:rsidRPr="008F735E" w:rsidRDefault="00022727" w:rsidP="0017473C">
            <w:pPr>
              <w:keepNext/>
              <w:keepLines/>
              <w:tabs>
                <w:tab w:val="decimal" w:pos="256"/>
              </w:tabs>
              <w:spacing w:before="60" w:after="60"/>
              <w:jc w:val="center"/>
              <w:rPr>
                <w:sz w:val="14"/>
                <w:szCs w:val="14"/>
              </w:rPr>
            </w:pPr>
            <w:r>
              <w:rPr>
                <w:sz w:val="14"/>
                <w:szCs w:val="14"/>
              </w:rPr>
              <w:t>-31.2</w:t>
            </w:r>
            <w:r w:rsidRPr="00EC6A3E">
              <w:rPr>
                <w:sz w:val="14"/>
                <w:szCs w:val="14"/>
              </w:rPr>
              <w:t>%</w:t>
            </w:r>
          </w:p>
        </w:tc>
        <w:tc>
          <w:tcPr>
            <w:tcW w:w="1134" w:type="dxa"/>
          </w:tcPr>
          <w:p w14:paraId="1D855942" w14:textId="51511D23" w:rsidR="00022727" w:rsidRPr="008F735E" w:rsidRDefault="00022727" w:rsidP="0017473C">
            <w:pPr>
              <w:keepNext/>
              <w:keepLines/>
              <w:tabs>
                <w:tab w:val="decimal" w:pos="256"/>
              </w:tabs>
              <w:spacing w:before="60" w:after="60"/>
              <w:jc w:val="center"/>
              <w:rPr>
                <w:sz w:val="14"/>
                <w:szCs w:val="14"/>
              </w:rPr>
            </w:pPr>
            <w:r>
              <w:rPr>
                <w:sz w:val="14"/>
                <w:szCs w:val="14"/>
              </w:rPr>
              <w:t>-40.5</w:t>
            </w:r>
            <w:r w:rsidRPr="00EC6A3E">
              <w:rPr>
                <w:sz w:val="14"/>
                <w:szCs w:val="14"/>
              </w:rPr>
              <w:t>%</w:t>
            </w:r>
          </w:p>
        </w:tc>
        <w:tc>
          <w:tcPr>
            <w:tcW w:w="851" w:type="dxa"/>
          </w:tcPr>
          <w:p w14:paraId="1FBDEB2E" w14:textId="7F158DFA" w:rsidR="00022727" w:rsidRPr="008F735E" w:rsidRDefault="00022727" w:rsidP="0017473C">
            <w:pPr>
              <w:keepNext/>
              <w:keepLines/>
              <w:tabs>
                <w:tab w:val="decimal" w:pos="256"/>
              </w:tabs>
              <w:spacing w:before="60" w:after="60"/>
              <w:jc w:val="center"/>
              <w:rPr>
                <w:sz w:val="14"/>
                <w:szCs w:val="14"/>
              </w:rPr>
            </w:pPr>
            <w:r>
              <w:rPr>
                <w:sz w:val="14"/>
                <w:szCs w:val="14"/>
              </w:rPr>
              <w:t>3.3</w:t>
            </w:r>
            <w:r w:rsidRPr="00EC6A3E">
              <w:rPr>
                <w:sz w:val="14"/>
                <w:szCs w:val="14"/>
              </w:rPr>
              <w:t>%</w:t>
            </w:r>
          </w:p>
        </w:tc>
        <w:tc>
          <w:tcPr>
            <w:tcW w:w="1134" w:type="dxa"/>
          </w:tcPr>
          <w:p w14:paraId="53F41203" w14:textId="5EB8606D" w:rsidR="00022727" w:rsidRPr="008F735E" w:rsidRDefault="00022727" w:rsidP="0017473C">
            <w:pPr>
              <w:keepNext/>
              <w:keepLines/>
              <w:tabs>
                <w:tab w:val="decimal" w:pos="256"/>
              </w:tabs>
              <w:spacing w:before="60" w:after="60"/>
              <w:jc w:val="center"/>
              <w:rPr>
                <w:sz w:val="14"/>
                <w:szCs w:val="14"/>
              </w:rPr>
            </w:pPr>
            <w:r>
              <w:rPr>
                <w:sz w:val="14"/>
                <w:szCs w:val="14"/>
              </w:rPr>
              <w:t>-82.6</w:t>
            </w:r>
            <w:r w:rsidRPr="00EC6A3E">
              <w:rPr>
                <w:sz w:val="14"/>
                <w:szCs w:val="14"/>
              </w:rPr>
              <w:t>%</w:t>
            </w:r>
          </w:p>
        </w:tc>
        <w:tc>
          <w:tcPr>
            <w:tcW w:w="921" w:type="dxa"/>
          </w:tcPr>
          <w:p w14:paraId="5563CFCF" w14:textId="66FED13D" w:rsidR="00022727" w:rsidRPr="008F735E" w:rsidRDefault="00022727" w:rsidP="0017473C">
            <w:pPr>
              <w:keepNext/>
              <w:keepLines/>
              <w:tabs>
                <w:tab w:val="decimal" w:pos="256"/>
              </w:tabs>
              <w:spacing w:before="60" w:after="60"/>
              <w:jc w:val="center"/>
              <w:rPr>
                <w:sz w:val="14"/>
                <w:szCs w:val="14"/>
              </w:rPr>
            </w:pPr>
            <w:r>
              <w:rPr>
                <w:sz w:val="14"/>
                <w:szCs w:val="14"/>
              </w:rPr>
              <w:t>-109.7</w:t>
            </w:r>
            <w:r w:rsidRPr="00EC6A3E">
              <w:rPr>
                <w:sz w:val="14"/>
                <w:szCs w:val="14"/>
              </w:rPr>
              <w:t>%</w:t>
            </w:r>
          </w:p>
        </w:tc>
      </w:tr>
    </w:tbl>
    <w:p w14:paraId="362B82AB" w14:textId="77777777" w:rsidR="001B3AE0" w:rsidRPr="009E2BA8" w:rsidRDefault="001B3AE0" w:rsidP="00075D72">
      <w:pPr>
        <w:pStyle w:val="NumberedParagraph"/>
      </w:pPr>
      <w:r w:rsidRPr="009E2BA8">
        <w:t>We draw attention to the following points:</w:t>
      </w:r>
    </w:p>
    <w:p w14:paraId="3E40B862" w14:textId="6A3F78F4" w:rsidR="001B3AE0" w:rsidRPr="009E2BA8" w:rsidRDefault="001B3AE0" w:rsidP="00075D72">
      <w:pPr>
        <w:pStyle w:val="NumberedParagraph-BulletL1"/>
      </w:pPr>
      <w:r>
        <w:t>Under current rules (the status quo)</w:t>
      </w:r>
      <w:r w:rsidR="003E5A27">
        <w:t>,</w:t>
      </w:r>
      <w:r w:rsidRPr="009E2BA8">
        <w:t xml:space="preserve"> EMTRs are slightly positive for inventory and PME with fast economic depreciation rates</w:t>
      </w:r>
      <w:r w:rsidR="0015559B">
        <w:t>,</w:t>
      </w:r>
      <w:r w:rsidRPr="009E2BA8">
        <w:t xml:space="preserve"> but for many forms of investment EMTRs are negative.</w:t>
      </w:r>
    </w:p>
    <w:p w14:paraId="53EE4E68" w14:textId="77777777" w:rsidR="001B3AE0" w:rsidRPr="009E2BA8" w:rsidRDefault="001B3AE0" w:rsidP="00075D72">
      <w:pPr>
        <w:pStyle w:val="NumberedParagraph-BulletL1"/>
      </w:pPr>
      <w:r w:rsidRPr="009E2BA8">
        <w:t>Allowing depreciation loading or partial expensing can lead to negative EMTRs if the opportunity cost of capital is a heavily taxed income stream.</w:t>
      </w:r>
    </w:p>
    <w:p w14:paraId="7842DE91" w14:textId="06C035CD" w:rsidR="001B3AE0" w:rsidRPr="009E2BA8" w:rsidRDefault="001B3AE0" w:rsidP="00075D72">
      <w:pPr>
        <w:pStyle w:val="NumberedParagraph-BulletL1"/>
      </w:pPr>
      <w:r w:rsidRPr="009E2BA8">
        <w:lastRenderedPageBreak/>
        <w:t>There will be times when accelerated depreciation schemes are likely to lead to inefficient investment subsidies rather than merely reducing high EMTRs on inbound investment.</w:t>
      </w:r>
    </w:p>
    <w:tbl>
      <w:tblPr>
        <w:tblStyle w:val="QuestionsBox"/>
        <w:tblW w:w="0" w:type="auto"/>
        <w:tblLayout w:type="fixed"/>
        <w:tblLook w:val="04A0" w:firstRow="1" w:lastRow="0" w:firstColumn="1" w:lastColumn="0" w:noHBand="0" w:noVBand="1"/>
      </w:tblPr>
      <w:tblGrid>
        <w:gridCol w:w="9016"/>
      </w:tblGrid>
      <w:tr w:rsidR="001B3AE0" w:rsidRPr="009E2BA8" w14:paraId="2B262F73" w14:textId="77777777" w:rsidTr="00325672">
        <w:tc>
          <w:tcPr>
            <w:tcW w:w="9016" w:type="dxa"/>
          </w:tcPr>
          <w:p w14:paraId="2E0713C5" w14:textId="77777777" w:rsidR="00325672" w:rsidRPr="009E2BA8" w:rsidRDefault="00325672" w:rsidP="00325672">
            <w:pPr>
              <w:pStyle w:val="Heading2-Questions"/>
              <w:rPr>
                <w:rFonts w:eastAsia="Calibri"/>
                <w:lang w:eastAsia="en-US"/>
              </w:rPr>
            </w:pPr>
            <w:r w:rsidRPr="009E2BA8">
              <w:rPr>
                <w:rFonts w:eastAsia="Calibri"/>
                <w:lang w:eastAsia="en-US"/>
              </w:rPr>
              <w:t>Key questions to consider</w:t>
            </w:r>
          </w:p>
          <w:p w14:paraId="7A338318" w14:textId="16DCA1DD" w:rsidR="001B3AE0" w:rsidRPr="009E2BA8" w:rsidRDefault="001B3AE0" w:rsidP="006B3D7B">
            <w:pPr>
              <w:tabs>
                <w:tab w:val="left" w:pos="843"/>
              </w:tabs>
              <w:ind w:left="843" w:hanging="843"/>
            </w:pPr>
            <w:r w:rsidRPr="0096767B">
              <w:rPr>
                <w:b/>
                <w:bCs/>
              </w:rPr>
              <w:t>Q7.1:</w:t>
            </w:r>
            <w:r>
              <w:tab/>
            </w:r>
            <w:r w:rsidRPr="009E2BA8">
              <w:t>If New Zealand wish</w:t>
            </w:r>
            <w:r w:rsidR="00431996">
              <w:t>ed</w:t>
            </w:r>
            <w:r w:rsidRPr="009E2BA8">
              <w:t xml:space="preserve"> to reduce EMTRs, should accelerated depreciation be considered as an option?</w:t>
            </w:r>
          </w:p>
          <w:p w14:paraId="25392E46" w14:textId="293A4B17" w:rsidR="001B3AE0" w:rsidRPr="009E2BA8" w:rsidRDefault="001B3AE0" w:rsidP="006B3D7B">
            <w:pPr>
              <w:tabs>
                <w:tab w:val="left" w:pos="843"/>
              </w:tabs>
              <w:ind w:left="843" w:hanging="843"/>
            </w:pPr>
            <w:r w:rsidRPr="0096767B">
              <w:rPr>
                <w:b/>
                <w:bCs/>
              </w:rPr>
              <w:t>Q7.2:</w:t>
            </w:r>
            <w:r>
              <w:tab/>
            </w:r>
            <w:r w:rsidRPr="009E2BA8">
              <w:t>If accelerated depreciation measures are considered, should these be restricted to new investments or available for both new and existing investments</w:t>
            </w:r>
            <w:r w:rsidR="008F7179">
              <w:t>?</w:t>
            </w:r>
          </w:p>
          <w:p w14:paraId="1DB10554" w14:textId="37C51656" w:rsidR="001B3AE0" w:rsidRPr="009E2BA8" w:rsidRDefault="001B3AE0" w:rsidP="006B3D7B">
            <w:pPr>
              <w:tabs>
                <w:tab w:val="left" w:pos="843"/>
              </w:tabs>
              <w:ind w:left="845" w:hanging="845"/>
            </w:pPr>
            <w:r w:rsidRPr="0096767B">
              <w:rPr>
                <w:b/>
                <w:bCs/>
              </w:rPr>
              <w:t>Q7.3:</w:t>
            </w:r>
            <w:r>
              <w:tab/>
            </w:r>
            <w:r w:rsidRPr="009E2BA8">
              <w:t>If accelerated depreciation measures</w:t>
            </w:r>
            <w:r w:rsidR="00FD3D91">
              <w:t>,</w:t>
            </w:r>
            <w:r w:rsidRPr="009E2BA8">
              <w:t xml:space="preserve"> or other measures </w:t>
            </w:r>
            <w:r w:rsidR="00FD3D91">
              <w:t>that</w:t>
            </w:r>
            <w:r w:rsidRPr="009E2BA8">
              <w:t xml:space="preserve"> increase the present value of depreciation deductions</w:t>
            </w:r>
            <w:r w:rsidR="00FD3D91">
              <w:t>,</w:t>
            </w:r>
            <w:r w:rsidRPr="009E2BA8">
              <w:t xml:space="preserve"> are considered, are there reasons to prefer depreciation loading, partial expensing or some other scheme?</w:t>
            </w:r>
          </w:p>
        </w:tc>
      </w:tr>
    </w:tbl>
    <w:p w14:paraId="72F710A3" w14:textId="209F86CA" w:rsidR="001B3AE0" w:rsidRPr="00586800" w:rsidRDefault="001B3AE0" w:rsidP="00325672">
      <w:pPr>
        <w:rPr>
          <w:rFonts w:eastAsia="Calibri"/>
        </w:rPr>
      </w:pPr>
    </w:p>
    <w:p w14:paraId="0B463075" w14:textId="77777777" w:rsidR="001B3AE0" w:rsidRPr="004B1C56" w:rsidRDefault="001B3AE0" w:rsidP="001B3AE0">
      <w:pPr>
        <w:pStyle w:val="Heading1"/>
        <w:rPr>
          <w:rFonts w:eastAsia="Calibri"/>
          <w:lang w:eastAsia="en-US"/>
        </w:rPr>
      </w:pPr>
      <w:r w:rsidRPr="004B1C56">
        <w:rPr>
          <w:rFonts w:eastAsia="Calibri"/>
          <w:lang w:eastAsia="en-US"/>
        </w:rPr>
        <w:lastRenderedPageBreak/>
        <w:br/>
      </w:r>
      <w:r w:rsidRPr="004B1C56">
        <w:rPr>
          <w:rFonts w:eastAsia="Calibri"/>
          <w:lang w:eastAsia="en-US"/>
        </w:rPr>
        <w:br/>
      </w:r>
      <w:bookmarkStart w:id="50" w:name="_Toc96585552"/>
      <w:r w:rsidRPr="004B1C56">
        <w:rPr>
          <w:rFonts w:eastAsia="Calibri"/>
          <w:lang w:eastAsia="en-US"/>
        </w:rPr>
        <w:t>Indexation</w:t>
      </w:r>
      <w:bookmarkEnd w:id="50"/>
    </w:p>
    <w:tbl>
      <w:tblPr>
        <w:tblStyle w:val="SummaryBox"/>
        <w:tblW w:w="0" w:type="auto"/>
        <w:tblLook w:val="04A0" w:firstRow="1" w:lastRow="0" w:firstColumn="1" w:lastColumn="0" w:noHBand="0" w:noVBand="1"/>
      </w:tblPr>
      <w:tblGrid>
        <w:gridCol w:w="8768"/>
      </w:tblGrid>
      <w:tr w:rsidR="001B3AE0" w:rsidRPr="00221CD8" w14:paraId="19828917" w14:textId="77777777" w:rsidTr="007D07BC">
        <w:tc>
          <w:tcPr>
            <w:tcW w:w="8778" w:type="dxa"/>
          </w:tcPr>
          <w:p w14:paraId="1EBDBA12" w14:textId="77777777" w:rsidR="001B3AE0" w:rsidRPr="00221CD8" w:rsidRDefault="001B3AE0" w:rsidP="00597B6B">
            <w:pPr>
              <w:pStyle w:val="ListBullet"/>
            </w:pPr>
            <w:r w:rsidRPr="00221CD8">
              <w:t>Under the present income tax system, costs of capital and EMTRs for real investment can vary significantly from the statutory rates when there is inflation.</w:t>
            </w:r>
          </w:p>
          <w:p w14:paraId="6F97F58A" w14:textId="7AA1E5B7" w:rsidR="001B3AE0" w:rsidRPr="00221CD8" w:rsidRDefault="001B3AE0" w:rsidP="00597B6B">
            <w:pPr>
              <w:pStyle w:val="ListBullet"/>
            </w:pPr>
            <w:r w:rsidRPr="00221CD8">
              <w:t>This increase can be significant even at low rates of inflation in the middle of the Reserve Bank’s 1% to 3% target range.</w:t>
            </w:r>
          </w:p>
          <w:p w14:paraId="33B3A765" w14:textId="77777777" w:rsidR="001B3AE0" w:rsidRPr="00221CD8" w:rsidRDefault="001B3AE0" w:rsidP="00597B6B">
            <w:pPr>
              <w:pStyle w:val="ListBullet"/>
            </w:pPr>
            <w:r w:rsidRPr="00221CD8">
              <w:t>The effects of inflation are not uniform across different asset classes.</w:t>
            </w:r>
          </w:p>
          <w:p w14:paraId="0E2995B3" w14:textId="77777777" w:rsidR="001B3AE0" w:rsidRPr="00221CD8" w:rsidRDefault="001B3AE0" w:rsidP="00597B6B">
            <w:pPr>
              <w:pStyle w:val="ListBullet"/>
            </w:pPr>
            <w:r w:rsidRPr="00221CD8">
              <w:t>This tends to reduce the neutrality of the tax system.</w:t>
            </w:r>
          </w:p>
          <w:p w14:paraId="6C60BCDB" w14:textId="5D4167EE" w:rsidR="001B3AE0" w:rsidRPr="00221CD8" w:rsidRDefault="001B3AE0" w:rsidP="00597B6B">
            <w:pPr>
              <w:pStyle w:val="ListBullet"/>
            </w:pPr>
            <w:r w:rsidRPr="00221CD8">
              <w:t xml:space="preserve">In principle, these distortions could be addressed by </w:t>
            </w:r>
            <w:r w:rsidR="001F2AFA">
              <w:t xml:space="preserve">comprehensively </w:t>
            </w:r>
            <w:r w:rsidRPr="00221CD8">
              <w:t>indexing the tax base for inflation</w:t>
            </w:r>
            <w:r w:rsidR="001F2AFA">
              <w:t>,</w:t>
            </w:r>
            <w:r w:rsidRPr="00221CD8">
              <w:t xml:space="preserve"> which would include sales of revenue account assets, depreciation, trading stock, and interest.</w:t>
            </w:r>
          </w:p>
          <w:p w14:paraId="563A0CAD" w14:textId="313D0A46" w:rsidR="001B3AE0" w:rsidRPr="00221CD8" w:rsidRDefault="001B3AE0" w:rsidP="00597B6B">
            <w:pPr>
              <w:pStyle w:val="ListBullet"/>
            </w:pPr>
            <w:r w:rsidRPr="00221CD8">
              <w:t>While comprehensive indexation c</w:t>
            </w:r>
            <w:r w:rsidR="00F26092">
              <w:t>ould</w:t>
            </w:r>
            <w:r w:rsidRPr="00221CD8">
              <w:t xml:space="preserve"> eliminate the mismeasurement of income and reduce tax distortions, it could </w:t>
            </w:r>
            <w:r w:rsidR="00F26092">
              <w:t xml:space="preserve">also </w:t>
            </w:r>
            <w:r w:rsidRPr="00221CD8">
              <w:t>be complex and have high compliance and administration costs.</w:t>
            </w:r>
          </w:p>
          <w:p w14:paraId="0C053114" w14:textId="77777777" w:rsidR="001B3AE0" w:rsidRPr="00221CD8" w:rsidRDefault="001B3AE0" w:rsidP="00597B6B">
            <w:pPr>
              <w:pStyle w:val="ListBullet"/>
            </w:pPr>
            <w:r w:rsidRPr="00221CD8">
              <w:t>Currently, no OECD countries comprehensively index their tax system for inflation.</w:t>
            </w:r>
          </w:p>
          <w:p w14:paraId="16982412" w14:textId="41642E85" w:rsidR="001B3AE0" w:rsidRPr="00221CD8" w:rsidRDefault="001B3AE0" w:rsidP="00597B6B">
            <w:pPr>
              <w:pStyle w:val="ListBullet"/>
            </w:pPr>
            <w:r w:rsidRPr="00221CD8">
              <w:t>Indexing depreciation deductions</w:t>
            </w:r>
            <w:r w:rsidR="00015856">
              <w:t>,</w:t>
            </w:r>
            <w:r w:rsidRPr="00221CD8">
              <w:t xml:space="preserve"> or both depreciation deductions and inventories without indexing interest</w:t>
            </w:r>
            <w:r w:rsidR="00015856">
              <w:t>,</w:t>
            </w:r>
            <w:r w:rsidRPr="00221CD8">
              <w:t xml:space="preserve"> might be a way of lowering costs of capital and EMTRs and making these more neutral.</w:t>
            </w:r>
          </w:p>
          <w:p w14:paraId="65AC8FF8" w14:textId="3B597DC8" w:rsidR="001B3AE0" w:rsidRPr="00221CD8" w:rsidRDefault="00015856" w:rsidP="00597B6B">
            <w:pPr>
              <w:pStyle w:val="ListBullet"/>
            </w:pPr>
            <w:r>
              <w:t>However,</w:t>
            </w:r>
            <w:r w:rsidR="001B3AE0" w:rsidRPr="00221CD8">
              <w:t xml:space="preserve"> like accelerated depreciation schemes, this would sometimes lead to investment subsidies.</w:t>
            </w:r>
          </w:p>
          <w:p w14:paraId="281BF73C" w14:textId="733B36D9" w:rsidR="001B3AE0" w:rsidRPr="00221CD8" w:rsidRDefault="001B3AE0" w:rsidP="00597B6B">
            <w:pPr>
              <w:pStyle w:val="ListBullet"/>
            </w:pPr>
            <w:r w:rsidRPr="00221CD8">
              <w:t>The case for indexation measures will depend on compliance and administration costs and how these change over time</w:t>
            </w:r>
            <w:r w:rsidR="001737FC">
              <w:t>,</w:t>
            </w:r>
            <w:r w:rsidRPr="00221CD8">
              <w:t xml:space="preserve"> </w:t>
            </w:r>
            <w:r w:rsidR="00F903C8">
              <w:t>as well as</w:t>
            </w:r>
            <w:r w:rsidRPr="00221CD8">
              <w:t xml:space="preserve"> on future interest and inflation rates.</w:t>
            </w:r>
          </w:p>
          <w:p w14:paraId="53E87FFA" w14:textId="77777777" w:rsidR="001B3AE0" w:rsidRPr="00221CD8" w:rsidRDefault="001B3AE0" w:rsidP="00597B6B">
            <w:pPr>
              <w:pStyle w:val="ListBullet"/>
            </w:pPr>
            <w:r w:rsidRPr="00221CD8">
              <w:t>The case for indexation is strongest when inflation is high relative to real interest rates.</w:t>
            </w:r>
          </w:p>
        </w:tc>
      </w:tr>
    </w:tbl>
    <w:p w14:paraId="3FD20714" w14:textId="77777777" w:rsidR="001B3AE0" w:rsidRPr="00221CD8" w:rsidRDefault="001B3AE0" w:rsidP="001B3AE0">
      <w:pPr>
        <w:pStyle w:val="Heading2"/>
        <w:rPr>
          <w:rFonts w:eastAsia="Calibri"/>
          <w:lang w:eastAsia="en-US"/>
        </w:rPr>
      </w:pPr>
      <w:bookmarkStart w:id="51" w:name="_Toc96585553"/>
      <w:r w:rsidRPr="00221CD8">
        <w:rPr>
          <w:rFonts w:eastAsia="Calibri"/>
          <w:lang w:eastAsia="en-US"/>
        </w:rPr>
        <w:t>Introduction</w:t>
      </w:r>
      <w:bookmarkEnd w:id="51"/>
    </w:p>
    <w:p w14:paraId="77666E4B" w14:textId="33F6615E" w:rsidR="001B3AE0" w:rsidRPr="00221CD8" w:rsidRDefault="001B3AE0" w:rsidP="00075D72">
      <w:pPr>
        <w:pStyle w:val="NumberedParagraph"/>
      </w:pPr>
      <w:r w:rsidRPr="00221CD8">
        <w:t xml:space="preserve">Currently, the New Zealand tax system is not indexed for inflation, so it taxes nominal income and allows deductions for nominal interest expenses. However, some nominal income is compensation for inflation and should not be taxed under an economic definition of income. Under an economic definition, gains in the value of a person’s assets </w:t>
      </w:r>
      <w:r w:rsidR="008541CB">
        <w:t>that</w:t>
      </w:r>
      <w:r w:rsidRPr="00221CD8">
        <w:t xml:space="preserve"> are merely compensating for inflation would not be taxed. However, gains </w:t>
      </w:r>
      <w:r w:rsidR="00AC3536">
        <w:t>that</w:t>
      </w:r>
      <w:r w:rsidRPr="00221CD8">
        <w:t xml:space="preserve"> contribute to an increase in a taxpayer’s real net worth should be taxed.</w:t>
      </w:r>
    </w:p>
    <w:tbl>
      <w:tblPr>
        <w:tblStyle w:val="ExampleBox"/>
        <w:tblW w:w="8170" w:type="dxa"/>
        <w:tblLayout w:type="fixed"/>
        <w:tblLook w:val="04A0" w:firstRow="1" w:lastRow="0" w:firstColumn="1" w:lastColumn="0" w:noHBand="0" w:noVBand="1"/>
      </w:tblPr>
      <w:tblGrid>
        <w:gridCol w:w="8170"/>
      </w:tblGrid>
      <w:tr w:rsidR="001B3AE0" w:rsidRPr="00221CD8" w14:paraId="7AF6616C" w14:textId="77777777" w:rsidTr="008D0B2E">
        <w:tc>
          <w:tcPr>
            <w:tcW w:w="8170" w:type="dxa"/>
          </w:tcPr>
          <w:p w14:paraId="2FA21FE5" w14:textId="77777777" w:rsidR="001B3AE0" w:rsidRPr="0096767B" w:rsidRDefault="001B3AE0" w:rsidP="006B3D7B">
            <w:pPr>
              <w:rPr>
                <w:b/>
                <w:bCs/>
              </w:rPr>
            </w:pPr>
            <w:r w:rsidRPr="0096767B">
              <w:rPr>
                <w:b/>
                <w:bCs/>
              </w:rPr>
              <w:lastRenderedPageBreak/>
              <w:t xml:space="preserve">Example </w:t>
            </w:r>
            <w:r>
              <w:rPr>
                <w:b/>
                <w:bCs/>
              </w:rPr>
              <w:t>8.1</w:t>
            </w:r>
          </w:p>
          <w:p w14:paraId="79AE565A" w14:textId="31711961" w:rsidR="001B3AE0" w:rsidRPr="00221CD8" w:rsidRDefault="00AC3536" w:rsidP="006B3D7B">
            <w:r>
              <w:t>S</w:t>
            </w:r>
            <w:r w:rsidR="001B3AE0" w:rsidRPr="00221CD8">
              <w:t>uppose the average price of goods is initially $10</w:t>
            </w:r>
            <w:r w:rsidR="00383FEB">
              <w:t>,</w:t>
            </w:r>
            <w:r w:rsidR="001B3AE0" w:rsidRPr="00221CD8">
              <w:t xml:space="preserve"> and a person has $10,000</w:t>
            </w:r>
            <w:r w:rsidR="00B70157">
              <w:t>.</w:t>
            </w:r>
            <w:r w:rsidR="001B3AE0" w:rsidRPr="00221CD8">
              <w:t xml:space="preserve"> </w:t>
            </w:r>
            <w:r w:rsidR="00B70157">
              <w:t>T</w:t>
            </w:r>
            <w:r w:rsidR="001B3AE0" w:rsidRPr="00221CD8">
              <w:t>hat person can buy 1,000 goods.</w:t>
            </w:r>
          </w:p>
          <w:p w14:paraId="3033A372" w14:textId="521ED3A2" w:rsidR="001B3AE0" w:rsidRPr="00221CD8" w:rsidRDefault="001B3AE0" w:rsidP="006B3D7B">
            <w:r w:rsidRPr="00221CD8">
              <w:t xml:space="preserve">The person puts the money into a bank account and earns 5.06% interest, and there is </w:t>
            </w:r>
            <w:r w:rsidR="00383FEB">
              <w:t xml:space="preserve">a </w:t>
            </w:r>
            <w:r w:rsidRPr="00221CD8">
              <w:t>2% inflation rate. This is a 3% real interest rate. After one year, the person will have $10,506, but the average price of goods will increase to $10.20. Before accounting for tax, the person’s real worth will have increased by 3% – in the first year, they can buy 1,000 goods and in the following year they can buy 1,030 goods.</w:t>
            </w:r>
          </w:p>
          <w:p w14:paraId="481223DB" w14:textId="5AE77E12" w:rsidR="001B3AE0" w:rsidRPr="00221CD8" w:rsidRDefault="001B3AE0" w:rsidP="006B3D7B">
            <w:r w:rsidRPr="00221CD8">
              <w:t xml:space="preserve">However, New Zealand currently taxes nominal income. If the person’s marginal tax rate is 30%, then the person will have $10,354 in the second year and can only buy 1,015 goods. The </w:t>
            </w:r>
            <w:r w:rsidR="00184AAE">
              <w:t>person</w:t>
            </w:r>
            <w:r w:rsidRPr="00221CD8">
              <w:t xml:space="preserve"> has been taxed at a rate of 50% on their real economic income.</w:t>
            </w:r>
          </w:p>
        </w:tc>
      </w:tr>
    </w:tbl>
    <w:p w14:paraId="59045668" w14:textId="77777777" w:rsidR="001B3AE0" w:rsidRPr="00221CD8" w:rsidRDefault="001B3AE0" w:rsidP="00075D72">
      <w:pPr>
        <w:pStyle w:val="NumberedParagraph"/>
      </w:pPr>
      <w:r w:rsidRPr="00221CD8">
        <w:t>Taxing nominal gains can increase the effective marginal tax rates (EMTRs) for investment and undertax those with nominal interest expenses. When compared to the economic definition of income, the current rules can:</w:t>
      </w:r>
    </w:p>
    <w:p w14:paraId="1673BC75" w14:textId="77777777" w:rsidR="001B3AE0" w:rsidRPr="00221CD8" w:rsidRDefault="001B3AE0" w:rsidP="00075D72">
      <w:pPr>
        <w:pStyle w:val="NumberedParagraph-BulletL1"/>
      </w:pPr>
      <w:r w:rsidRPr="00221CD8">
        <w:t>overtax taxpayers with income and assets that have an inflationary component, such as interest, trading stock, and depreciable property, and</w:t>
      </w:r>
    </w:p>
    <w:p w14:paraId="7111A4D3" w14:textId="77777777" w:rsidR="001B3AE0" w:rsidRPr="00221CD8" w:rsidRDefault="001B3AE0" w:rsidP="00075D72">
      <w:pPr>
        <w:pStyle w:val="NumberedParagraph-BulletL1"/>
      </w:pPr>
      <w:r w:rsidRPr="00221CD8">
        <w:t>undertax taxpayers with interest expenses.</w:t>
      </w:r>
      <w:r w:rsidRPr="00221CD8">
        <w:rPr>
          <w:vertAlign w:val="superscript"/>
        </w:rPr>
        <w:footnoteReference w:id="26"/>
      </w:r>
    </w:p>
    <w:p w14:paraId="4CED2811" w14:textId="0A25AFD5" w:rsidR="001B3AE0" w:rsidRPr="00221CD8" w:rsidRDefault="001B3AE0" w:rsidP="00075D72">
      <w:pPr>
        <w:pStyle w:val="NumberedParagraph"/>
      </w:pPr>
      <w:r w:rsidRPr="00221CD8">
        <w:t xml:space="preserve">This can increase costs of capital and EMTRs on investments </w:t>
      </w:r>
      <w:r w:rsidR="00215032">
        <w:t>that</w:t>
      </w:r>
      <w:r w:rsidRPr="00221CD8">
        <w:t xml:space="preserve"> are already taxed quite heavily. This overtaxation can reduce investment in many types of assets and be distortionary between different types of investments. While it is not the focus of this LTIB, it can also impose a heavy tax impost on those who are earning interest income</w:t>
      </w:r>
      <w:r w:rsidR="00300C79">
        <w:t>,</w:t>
      </w:r>
      <w:r w:rsidRPr="00221CD8">
        <w:t xml:space="preserve"> which may discourage savings and distort how people choose to save. This can reduce economic efficiency and horizontal equity.</w:t>
      </w:r>
    </w:p>
    <w:p w14:paraId="4126DFEE" w14:textId="7763906A" w:rsidR="001B3AE0" w:rsidRPr="00221CD8" w:rsidRDefault="001B3AE0" w:rsidP="00075D72">
      <w:pPr>
        <w:pStyle w:val="NumberedParagraph"/>
      </w:pPr>
      <w:r w:rsidRPr="00221CD8">
        <w:t xml:space="preserve">As was seen </w:t>
      </w:r>
      <w:r w:rsidRPr="00592BC3">
        <w:t xml:space="preserve">in chapter </w:t>
      </w:r>
      <w:r w:rsidRPr="0041399F">
        <w:t>4</w:t>
      </w:r>
      <w:r w:rsidRPr="00592BC3">
        <w:t>, at times the curre</w:t>
      </w:r>
      <w:r w:rsidRPr="00221CD8">
        <w:t xml:space="preserve">nt rules can </w:t>
      </w:r>
      <w:r w:rsidRPr="00075D72">
        <w:rPr>
          <w:i/>
        </w:rPr>
        <w:t>lower</w:t>
      </w:r>
      <w:r w:rsidRPr="00221CD8">
        <w:t xml:space="preserve"> costs of capital and EMTRs and promote investment in certain assets</w:t>
      </w:r>
      <w:r w:rsidR="00F24165">
        <w:t>,</w:t>
      </w:r>
      <w:r w:rsidRPr="00221CD8">
        <w:t xml:space="preserve"> especially for heavily geared investments.</w:t>
      </w:r>
    </w:p>
    <w:p w14:paraId="0B697971" w14:textId="77777777" w:rsidR="001B3AE0" w:rsidRPr="00221CD8" w:rsidRDefault="001B3AE0" w:rsidP="001B3AE0">
      <w:pPr>
        <w:pStyle w:val="Heading2"/>
        <w:rPr>
          <w:rFonts w:eastAsia="Calibri"/>
          <w:lang w:eastAsia="en-US"/>
        </w:rPr>
      </w:pPr>
      <w:bookmarkStart w:id="52" w:name="_Toc96585554"/>
      <w:r w:rsidRPr="00221CD8">
        <w:rPr>
          <w:rFonts w:eastAsia="Calibri"/>
          <w:lang w:eastAsia="en-US"/>
        </w:rPr>
        <w:t>How might the tax system be indexed for inflation?</w:t>
      </w:r>
      <w:bookmarkEnd w:id="52"/>
    </w:p>
    <w:p w14:paraId="68649E91" w14:textId="4C64D557" w:rsidR="001B3AE0" w:rsidRPr="00221CD8" w:rsidRDefault="001B3AE0" w:rsidP="00075D72">
      <w:pPr>
        <w:pStyle w:val="NumberedParagraph"/>
      </w:pPr>
      <w:r w:rsidRPr="00221CD8">
        <w:t>This chapter looks at the idea of comprehensively adjusting the income tax base for inflation. To clarify, this is different to the idea of inflation indexing personal income tax thresholds. Even if personal income tax thresholds were indexed for inflation</w:t>
      </w:r>
      <w:r w:rsidR="00122989">
        <w:t>,</w:t>
      </w:r>
      <w:r w:rsidRPr="00221CD8">
        <w:t xml:space="preserve"> or if there were a flat personal tax rate and no personal income tax thresholds to index, there would </w:t>
      </w:r>
      <w:r w:rsidR="00B83336">
        <w:t xml:space="preserve">still </w:t>
      </w:r>
      <w:r w:rsidRPr="00221CD8">
        <w:t>be a question of how to take inflation into account so that people who earn interest or other forms of capital income are not taxed on purely inflationary gains.</w:t>
      </w:r>
    </w:p>
    <w:p w14:paraId="77241B8E" w14:textId="5053DF7B" w:rsidR="001B3AE0" w:rsidRPr="00221CD8" w:rsidRDefault="001B3AE0" w:rsidP="00075D72">
      <w:pPr>
        <w:pStyle w:val="NumberedParagraph"/>
      </w:pPr>
      <w:r w:rsidRPr="00221CD8">
        <w:lastRenderedPageBreak/>
        <w:t xml:space="preserve">One approach to comprehensive indexation was proposed by the 1989 </w:t>
      </w:r>
      <w:r w:rsidRPr="00E8474D">
        <w:rPr>
          <w:rStyle w:val="Emphasis"/>
        </w:rPr>
        <w:t>Consultative Document on the Taxation of Income from Capital</w:t>
      </w:r>
      <w:r w:rsidRPr="00221CD8">
        <w:t>.</w:t>
      </w:r>
      <w:r w:rsidRPr="00221CD8">
        <w:rPr>
          <w:vertAlign w:val="superscript"/>
        </w:rPr>
        <w:footnoteReference w:id="27"/>
      </w:r>
      <w:r w:rsidRPr="00221CD8">
        <w:t xml:space="preserve"> This Consultative Document approach involves four key changes:</w:t>
      </w:r>
    </w:p>
    <w:p w14:paraId="3F421298" w14:textId="41A821ED" w:rsidR="001B3AE0" w:rsidRPr="00221CD8" w:rsidRDefault="001B3AE0" w:rsidP="00075D72">
      <w:pPr>
        <w:pStyle w:val="NumberedParagraph-BulletL1"/>
      </w:pPr>
      <w:r w:rsidRPr="00221CD8">
        <w:t xml:space="preserve">Sale of revenue account capital assets – on sale, the cost base of the asset and improvements </w:t>
      </w:r>
      <w:r w:rsidR="00162CD7">
        <w:t>is</w:t>
      </w:r>
      <w:r w:rsidRPr="00221CD8">
        <w:t xml:space="preserve"> increased by the amount of inflation since incurring these expenses.</w:t>
      </w:r>
    </w:p>
    <w:p w14:paraId="64D01C5F" w14:textId="77777777" w:rsidR="001B3AE0" w:rsidRPr="00221CD8" w:rsidRDefault="001B3AE0" w:rsidP="00075D72">
      <w:pPr>
        <w:pStyle w:val="NumberedParagraph-BulletL1"/>
      </w:pPr>
      <w:r w:rsidRPr="00221CD8">
        <w:t>Inventories or trading stock – the ‘opening value’ of trading stock is increased by an inflationary component based on the average value of stock through the year.</w:t>
      </w:r>
    </w:p>
    <w:p w14:paraId="1EDD4979" w14:textId="77777777" w:rsidR="001B3AE0" w:rsidRPr="00221CD8" w:rsidRDefault="001B3AE0" w:rsidP="00075D72">
      <w:pPr>
        <w:pStyle w:val="NumberedParagraph-BulletL1"/>
      </w:pPr>
      <w:r w:rsidRPr="00221CD8">
        <w:t>Depreciation – the cost base of depreciable assets is increased every year by inflation.</w:t>
      </w:r>
    </w:p>
    <w:p w14:paraId="2A585C15" w14:textId="20C1FC9F" w:rsidR="001B3AE0" w:rsidRPr="00221CD8" w:rsidRDefault="001B3AE0" w:rsidP="00075D72">
      <w:pPr>
        <w:pStyle w:val="NumberedParagraph-BulletL1"/>
      </w:pPr>
      <w:r w:rsidRPr="00221CD8">
        <w:t>Financial arrangements – the inflationary component of interest received is non-assessable and the inflationary component of interest paid is non-deductible. If inflation exceeds interest, the cost base for the value of the arrangement is increased. Other adjustments would be required for more complex financial arrangements</w:t>
      </w:r>
      <w:r w:rsidR="00220DE4">
        <w:t>,</w:t>
      </w:r>
      <w:r w:rsidRPr="00221CD8">
        <w:t xml:space="preserve"> such as derivatives and arrangements in foreign currency.</w:t>
      </w:r>
    </w:p>
    <w:p w14:paraId="1AD16327" w14:textId="77777777" w:rsidR="001B3AE0" w:rsidRPr="00221CD8" w:rsidRDefault="001B3AE0" w:rsidP="001B3AE0">
      <w:pPr>
        <w:pStyle w:val="Heading2"/>
        <w:rPr>
          <w:rFonts w:eastAsia="Calibri"/>
          <w:lang w:eastAsia="en-US"/>
        </w:rPr>
      </w:pPr>
      <w:bookmarkStart w:id="53" w:name="_Toc96585555"/>
      <w:r w:rsidRPr="00221CD8">
        <w:rPr>
          <w:rFonts w:eastAsia="Calibri"/>
          <w:lang w:eastAsia="en-US"/>
        </w:rPr>
        <w:t>Impacts on costs of capital</w:t>
      </w:r>
      <w:bookmarkEnd w:id="53"/>
    </w:p>
    <w:p w14:paraId="6DD59A9E" w14:textId="6A2A5ED5" w:rsidR="001B3AE0" w:rsidRPr="00221CD8" w:rsidRDefault="001B3AE0" w:rsidP="00075D72">
      <w:pPr>
        <w:pStyle w:val="NumberedParagraph"/>
      </w:pPr>
      <w:r w:rsidRPr="00915A79">
        <w:t>In chapter 4 we discu</w:t>
      </w:r>
      <w:r w:rsidRPr="00221CD8">
        <w:t xml:space="preserve">ssed how inflation and the mismeasurement of income could affect costs of capital and </w:t>
      </w:r>
      <w:r w:rsidR="006C4422">
        <w:t>EMTRs</w:t>
      </w:r>
      <w:r w:rsidRPr="00221CD8">
        <w:t>.</w:t>
      </w:r>
    </w:p>
    <w:p w14:paraId="36999C3B" w14:textId="3DCD0AED" w:rsidR="001B3AE0" w:rsidRPr="00221CD8" w:rsidRDefault="001B3AE0" w:rsidP="00075D72">
      <w:pPr>
        <w:pStyle w:val="NumberedParagraph"/>
      </w:pPr>
      <w:r w:rsidRPr="00221CD8">
        <w:t xml:space="preserve">Costs of capital are estimated in table </w:t>
      </w:r>
      <w:r>
        <w:t>8.1</w:t>
      </w:r>
      <w:r w:rsidRPr="00221CD8">
        <w:t>. As in previous chapters</w:t>
      </w:r>
      <w:r w:rsidR="006C4422">
        <w:t>,</w:t>
      </w:r>
      <w:r w:rsidRPr="00221CD8">
        <w:t xml:space="preserve"> we consider</w:t>
      </w:r>
      <w:r w:rsidRPr="00221CD8" w:rsidDel="00F66FE6">
        <w:t xml:space="preserve"> </w:t>
      </w:r>
      <w:r w:rsidRPr="00221CD8">
        <w:t xml:space="preserve">a domestic company with marginal foreign portfolio shareholders, using the OECD company tax model modified to take account of </w:t>
      </w:r>
      <w:r w:rsidR="00997B24">
        <w:t>approved issuer levy (</w:t>
      </w:r>
      <w:r w:rsidRPr="00221CD8">
        <w:t>AIL</w:t>
      </w:r>
      <w:r w:rsidR="00997B24">
        <w:t>)</w:t>
      </w:r>
      <w:r w:rsidRPr="00221CD8">
        <w:t>.</w:t>
      </w:r>
      <w:r w:rsidRPr="00221CD8">
        <w:rPr>
          <w:vertAlign w:val="superscript"/>
        </w:rPr>
        <w:footnoteReference w:id="28"/>
      </w:r>
      <w:r w:rsidRPr="00221CD8">
        <w:t xml:space="preserve"> We assume that foreign shareholders demand a real return of 3% on their funds net of any domestic taxes, as do foreign lenders. Because of </w:t>
      </w:r>
      <w:r w:rsidR="00AD58A9">
        <w:t>AIL</w:t>
      </w:r>
      <w:r w:rsidRPr="00221CD8">
        <w:t>, the domestic real interest rate is bid up to 3.10%. We assume that firms are 43% debt financed and the depreciation deductions for plant, machinery and equipment (PME) are set to mirror how assets would depreciate in the absence of inflation.</w:t>
      </w:r>
    </w:p>
    <w:p w14:paraId="3E0B4E96" w14:textId="062DBBB3" w:rsidR="001B3AE0" w:rsidRPr="00221CD8" w:rsidRDefault="001B3AE0" w:rsidP="00075D72">
      <w:pPr>
        <w:pStyle w:val="NumberedParagraph"/>
      </w:pPr>
      <w:r w:rsidRPr="00221CD8">
        <w:t>Rows 3</w:t>
      </w:r>
      <w:r w:rsidR="00CC2D79">
        <w:t>–</w:t>
      </w:r>
      <w:r w:rsidRPr="00221CD8">
        <w:t>5 report costs of capital and rows 6</w:t>
      </w:r>
      <w:r w:rsidR="00CC2D79">
        <w:t>–</w:t>
      </w:r>
      <w:r w:rsidRPr="00221CD8">
        <w:t>8 report EMTRs. We consider three possible tax treatments:</w:t>
      </w:r>
    </w:p>
    <w:p w14:paraId="52D2B173" w14:textId="77777777" w:rsidR="001B3AE0" w:rsidRPr="00221CD8" w:rsidRDefault="001B3AE0" w:rsidP="00075D72">
      <w:pPr>
        <w:pStyle w:val="NumberedParagraph-BulletL1"/>
      </w:pPr>
      <w:r w:rsidRPr="00221CD8">
        <w:t>the status quo</w:t>
      </w:r>
    </w:p>
    <w:p w14:paraId="77EE6443" w14:textId="09DF2353" w:rsidR="001B3AE0" w:rsidRPr="00221CD8" w:rsidRDefault="001B3AE0" w:rsidP="00075D72">
      <w:pPr>
        <w:pStyle w:val="NumberedParagraph-BulletL1"/>
      </w:pPr>
      <w:r w:rsidRPr="00221CD8">
        <w:t>full indexation of depreciation allowances, inventories and interest payments</w:t>
      </w:r>
      <w:r w:rsidR="00CC2D79">
        <w:t>, and</w:t>
      </w:r>
    </w:p>
    <w:p w14:paraId="0F89563A" w14:textId="77777777" w:rsidR="001B3AE0" w:rsidRPr="00221CD8" w:rsidRDefault="001B3AE0" w:rsidP="00075D72">
      <w:pPr>
        <w:pStyle w:val="NumberedParagraph-BulletL1"/>
      </w:pPr>
      <w:r w:rsidRPr="00221CD8">
        <w:t>indexation of depreciation allowances and inventories but not interest.</w:t>
      </w:r>
    </w:p>
    <w:p w14:paraId="22BDBA86" w14:textId="7167E8BA" w:rsidR="001B3AE0" w:rsidRPr="00221CD8" w:rsidRDefault="001B3AE0" w:rsidP="00A41A0E">
      <w:pPr>
        <w:pStyle w:val="Caption"/>
        <w:keepLines/>
        <w:ind w:left="-567" w:right="-426"/>
        <w:rPr>
          <w:rFonts w:eastAsia="Calibri"/>
        </w:rPr>
      </w:pPr>
      <w:r w:rsidRPr="00221CD8">
        <w:rPr>
          <w:rFonts w:eastAsia="Calibri"/>
        </w:rPr>
        <w:lastRenderedPageBreak/>
        <w:t xml:space="preserve">Table </w:t>
      </w:r>
      <w:r>
        <w:rPr>
          <w:rFonts w:eastAsia="Calibri"/>
        </w:rPr>
        <w:t xml:space="preserve">8.1: </w:t>
      </w:r>
      <w:r w:rsidRPr="00221CD8">
        <w:rPr>
          <w:rFonts w:eastAsia="Calibri"/>
        </w:rPr>
        <w:t>Costs of capital and EMTRs OECD company tax model</w:t>
      </w:r>
      <w:r w:rsidRPr="00221CD8">
        <w:rPr>
          <w:rFonts w:eastAsia="Calibri"/>
        </w:rPr>
        <w:br/>
      </w:r>
      <w:r w:rsidR="005E454A">
        <w:rPr>
          <w:rFonts w:eastAsia="Calibri"/>
        </w:rPr>
        <w:t>debt</w:t>
      </w:r>
      <w:r w:rsidRPr="00221CD8">
        <w:rPr>
          <w:rFonts w:eastAsia="Calibri"/>
        </w:rPr>
        <w:t xml:space="preserve"> = 43%, r = 3%, inflation = 2%, AIL = 2%</w:t>
      </w:r>
    </w:p>
    <w:tbl>
      <w:tblPr>
        <w:tblStyle w:val="TableGrid"/>
        <w:tblW w:w="9781" w:type="dxa"/>
        <w:tblInd w:w="-501"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left w:w="28" w:type="dxa"/>
          <w:right w:w="28" w:type="dxa"/>
        </w:tblCellMar>
        <w:tblLook w:val="04A0" w:firstRow="1" w:lastRow="0" w:firstColumn="1" w:lastColumn="0" w:noHBand="0" w:noVBand="1"/>
      </w:tblPr>
      <w:tblGrid>
        <w:gridCol w:w="1347"/>
        <w:gridCol w:w="992"/>
        <w:gridCol w:w="737"/>
        <w:gridCol w:w="681"/>
        <w:gridCol w:w="651"/>
        <w:gridCol w:w="666"/>
        <w:gridCol w:w="667"/>
        <w:gridCol w:w="1134"/>
        <w:gridCol w:w="851"/>
        <w:gridCol w:w="1134"/>
        <w:gridCol w:w="921"/>
      </w:tblGrid>
      <w:tr w:rsidR="00A421D9" w:rsidRPr="008F735E" w14:paraId="773707BD" w14:textId="77777777" w:rsidTr="00841651">
        <w:trPr>
          <w:tblHeader/>
        </w:trPr>
        <w:tc>
          <w:tcPr>
            <w:tcW w:w="1347" w:type="dxa"/>
            <w:shd w:val="clear" w:color="auto" w:fill="232E36"/>
          </w:tcPr>
          <w:p w14:paraId="70F15D08" w14:textId="77777777" w:rsidR="00A421D9" w:rsidRPr="008F735E" w:rsidRDefault="00A421D9" w:rsidP="00A41A0E">
            <w:pPr>
              <w:keepNext/>
              <w:keepLines/>
              <w:spacing w:before="120" w:after="120"/>
              <w:jc w:val="left"/>
              <w:rPr>
                <w:color w:val="FFFFFF" w:themeColor="background1"/>
                <w:sz w:val="14"/>
                <w:szCs w:val="14"/>
              </w:rPr>
            </w:pPr>
          </w:p>
        </w:tc>
        <w:tc>
          <w:tcPr>
            <w:tcW w:w="992" w:type="dxa"/>
            <w:shd w:val="clear" w:color="auto" w:fill="232E36"/>
          </w:tcPr>
          <w:p w14:paraId="768AFF41" w14:textId="77777777" w:rsidR="00A421D9" w:rsidRPr="008F735E" w:rsidRDefault="00A421D9" w:rsidP="00A41A0E">
            <w:pPr>
              <w:keepNext/>
              <w:keepLines/>
              <w:spacing w:before="120" w:after="120"/>
              <w:jc w:val="center"/>
              <w:rPr>
                <w:b/>
                <w:bCs/>
                <w:color w:val="FFFFFF" w:themeColor="background1"/>
                <w:sz w:val="14"/>
                <w:szCs w:val="14"/>
              </w:rPr>
            </w:pPr>
            <w:r w:rsidRPr="008F735E">
              <w:rPr>
                <w:b/>
                <w:bCs/>
                <w:color w:val="FFFFFF" w:themeColor="background1"/>
                <w:sz w:val="14"/>
                <w:szCs w:val="14"/>
              </w:rPr>
              <w:t>Commercial and industrial buildings</w:t>
            </w:r>
          </w:p>
        </w:tc>
        <w:tc>
          <w:tcPr>
            <w:tcW w:w="3402" w:type="dxa"/>
            <w:gridSpan w:val="5"/>
            <w:shd w:val="clear" w:color="auto" w:fill="232E36"/>
          </w:tcPr>
          <w:p w14:paraId="4D6F4A7D" w14:textId="77777777" w:rsidR="00A421D9" w:rsidRPr="008F735E" w:rsidRDefault="00A421D9" w:rsidP="00A41A0E">
            <w:pPr>
              <w:keepNext/>
              <w:keepLines/>
              <w:spacing w:before="120" w:after="120"/>
              <w:jc w:val="center"/>
              <w:rPr>
                <w:b/>
                <w:bCs/>
                <w:color w:val="FFFFFF" w:themeColor="background1"/>
                <w:sz w:val="14"/>
                <w:szCs w:val="14"/>
              </w:rPr>
            </w:pPr>
            <w:r w:rsidRPr="008F735E">
              <w:rPr>
                <w:b/>
                <w:bCs/>
                <w:color w:val="FFFFFF" w:themeColor="background1"/>
                <w:sz w:val="14"/>
                <w:szCs w:val="14"/>
              </w:rPr>
              <w:t>Plant, machinery and equipment</w:t>
            </w:r>
          </w:p>
        </w:tc>
        <w:tc>
          <w:tcPr>
            <w:tcW w:w="1134" w:type="dxa"/>
            <w:shd w:val="clear" w:color="auto" w:fill="232E36"/>
          </w:tcPr>
          <w:p w14:paraId="41896A36" w14:textId="2DB4B309" w:rsidR="00A421D9" w:rsidRPr="008F735E" w:rsidRDefault="00A421D9" w:rsidP="00A41A0E">
            <w:pPr>
              <w:keepNext/>
              <w:keepLines/>
              <w:spacing w:before="120" w:after="120"/>
              <w:jc w:val="center"/>
              <w:rPr>
                <w:b/>
                <w:bCs/>
                <w:color w:val="FFFFFF" w:themeColor="background1"/>
                <w:sz w:val="14"/>
                <w:szCs w:val="14"/>
              </w:rPr>
            </w:pPr>
            <w:r w:rsidRPr="008F735E">
              <w:rPr>
                <w:b/>
                <w:bCs/>
                <w:color w:val="FFFFFF" w:themeColor="background1"/>
                <w:sz w:val="14"/>
                <w:szCs w:val="14"/>
              </w:rPr>
              <w:t>Zero</w:t>
            </w:r>
            <w:r w:rsidR="00F71DBC">
              <w:rPr>
                <w:b/>
                <w:bCs/>
                <w:color w:val="FFFFFF" w:themeColor="background1"/>
                <w:sz w:val="14"/>
                <w:szCs w:val="14"/>
              </w:rPr>
              <w:t>-</w:t>
            </w:r>
            <w:r w:rsidRPr="008F735E">
              <w:rPr>
                <w:b/>
                <w:bCs/>
                <w:color w:val="FFFFFF" w:themeColor="background1"/>
                <w:sz w:val="14"/>
                <w:szCs w:val="14"/>
              </w:rPr>
              <w:t>depreciating assets</w:t>
            </w:r>
          </w:p>
        </w:tc>
        <w:tc>
          <w:tcPr>
            <w:tcW w:w="851" w:type="dxa"/>
            <w:shd w:val="clear" w:color="auto" w:fill="232E36"/>
          </w:tcPr>
          <w:p w14:paraId="4FBC7A6D" w14:textId="77777777" w:rsidR="00A421D9" w:rsidRPr="008F735E" w:rsidRDefault="00A421D9" w:rsidP="00A41A0E">
            <w:pPr>
              <w:keepNext/>
              <w:keepLines/>
              <w:spacing w:before="120" w:after="120"/>
              <w:jc w:val="center"/>
              <w:rPr>
                <w:b/>
                <w:bCs/>
                <w:color w:val="FFFFFF" w:themeColor="background1"/>
                <w:sz w:val="14"/>
                <w:szCs w:val="14"/>
              </w:rPr>
            </w:pPr>
            <w:r w:rsidRPr="008F735E">
              <w:rPr>
                <w:b/>
                <w:bCs/>
                <w:color w:val="FFFFFF" w:themeColor="background1"/>
                <w:sz w:val="14"/>
                <w:szCs w:val="14"/>
              </w:rPr>
              <w:t>Inventory</w:t>
            </w:r>
          </w:p>
        </w:tc>
        <w:tc>
          <w:tcPr>
            <w:tcW w:w="1134" w:type="dxa"/>
            <w:shd w:val="clear" w:color="auto" w:fill="232E36"/>
          </w:tcPr>
          <w:p w14:paraId="0CB17527" w14:textId="77777777" w:rsidR="00A421D9" w:rsidRPr="008F735E" w:rsidRDefault="00A421D9" w:rsidP="00A41A0E">
            <w:pPr>
              <w:keepNext/>
              <w:keepLines/>
              <w:spacing w:before="120" w:after="120"/>
              <w:jc w:val="center"/>
              <w:rPr>
                <w:b/>
                <w:bCs/>
                <w:color w:val="FFFFFF" w:themeColor="background1"/>
                <w:sz w:val="14"/>
                <w:szCs w:val="14"/>
              </w:rPr>
            </w:pPr>
            <w:r w:rsidRPr="008F735E">
              <w:rPr>
                <w:b/>
                <w:bCs/>
                <w:color w:val="FFFFFF" w:themeColor="background1"/>
                <w:sz w:val="14"/>
                <w:szCs w:val="14"/>
              </w:rPr>
              <w:t>Appreciating assets</w:t>
            </w:r>
          </w:p>
        </w:tc>
        <w:tc>
          <w:tcPr>
            <w:tcW w:w="921" w:type="dxa"/>
            <w:shd w:val="clear" w:color="auto" w:fill="232E36"/>
          </w:tcPr>
          <w:p w14:paraId="0EE80C92" w14:textId="77777777" w:rsidR="00A421D9" w:rsidRPr="008F735E" w:rsidRDefault="00A421D9" w:rsidP="00A41A0E">
            <w:pPr>
              <w:keepNext/>
              <w:keepLines/>
              <w:spacing w:before="120" w:after="120"/>
              <w:jc w:val="center"/>
              <w:rPr>
                <w:b/>
                <w:bCs/>
                <w:color w:val="FFFFFF" w:themeColor="background1"/>
                <w:sz w:val="14"/>
                <w:szCs w:val="14"/>
              </w:rPr>
            </w:pPr>
            <w:r w:rsidRPr="008F735E">
              <w:rPr>
                <w:b/>
                <w:bCs/>
                <w:color w:val="FFFFFF" w:themeColor="background1"/>
                <w:sz w:val="14"/>
                <w:szCs w:val="14"/>
              </w:rPr>
              <w:t>Expensing</w:t>
            </w:r>
          </w:p>
        </w:tc>
      </w:tr>
      <w:tr w:rsidR="00A421D9" w:rsidRPr="008F735E" w14:paraId="499E2379" w14:textId="77777777" w:rsidTr="00841651">
        <w:tc>
          <w:tcPr>
            <w:tcW w:w="1347" w:type="dxa"/>
            <w:shd w:val="clear" w:color="auto" w:fill="auto"/>
            <w:vAlign w:val="bottom"/>
          </w:tcPr>
          <w:p w14:paraId="1530E189" w14:textId="2EEC7944" w:rsidR="00A421D9" w:rsidRPr="00F4121B" w:rsidRDefault="009B4C96" w:rsidP="00A41A0E">
            <w:pPr>
              <w:keepNext/>
              <w:keepLines/>
              <w:tabs>
                <w:tab w:val="left" w:pos="106"/>
              </w:tabs>
              <w:spacing w:before="60" w:after="60"/>
              <w:jc w:val="left"/>
              <w:rPr>
                <w:rStyle w:val="Strong"/>
                <w:b w:val="0"/>
                <w:bCs w:val="0"/>
                <w:sz w:val="14"/>
                <w:szCs w:val="14"/>
              </w:rPr>
            </w:pPr>
            <w:r>
              <w:rPr>
                <w:rStyle w:val="Strong"/>
                <w:b w:val="0"/>
                <w:bCs w:val="0"/>
                <w:sz w:val="14"/>
                <w:szCs w:val="14"/>
              </w:rPr>
              <w:t>d</w:t>
            </w:r>
          </w:p>
        </w:tc>
        <w:tc>
          <w:tcPr>
            <w:tcW w:w="992" w:type="dxa"/>
            <w:vAlign w:val="center"/>
          </w:tcPr>
          <w:p w14:paraId="0F4912A0" w14:textId="77777777" w:rsidR="00A421D9" w:rsidRPr="008F735E" w:rsidRDefault="00A421D9" w:rsidP="00A41A0E">
            <w:pPr>
              <w:keepNext/>
              <w:keepLines/>
              <w:tabs>
                <w:tab w:val="decimal" w:pos="256"/>
              </w:tabs>
              <w:spacing w:before="60" w:after="60"/>
              <w:jc w:val="center"/>
              <w:rPr>
                <w:sz w:val="14"/>
                <w:szCs w:val="14"/>
              </w:rPr>
            </w:pPr>
            <w:r w:rsidRPr="008F735E">
              <w:rPr>
                <w:sz w:val="14"/>
                <w:szCs w:val="14"/>
              </w:rPr>
              <w:t>2.69%</w:t>
            </w:r>
          </w:p>
        </w:tc>
        <w:tc>
          <w:tcPr>
            <w:tcW w:w="737" w:type="dxa"/>
            <w:vAlign w:val="center"/>
          </w:tcPr>
          <w:p w14:paraId="015C2D0A" w14:textId="77777777" w:rsidR="00A421D9" w:rsidRPr="008F735E" w:rsidRDefault="00A421D9" w:rsidP="00A41A0E">
            <w:pPr>
              <w:keepNext/>
              <w:keepLines/>
              <w:tabs>
                <w:tab w:val="decimal" w:pos="256"/>
              </w:tabs>
              <w:spacing w:before="60" w:after="60"/>
              <w:jc w:val="center"/>
              <w:rPr>
                <w:sz w:val="14"/>
                <w:szCs w:val="14"/>
              </w:rPr>
            </w:pPr>
            <w:r w:rsidRPr="008F735E">
              <w:rPr>
                <w:sz w:val="14"/>
                <w:szCs w:val="14"/>
              </w:rPr>
              <w:t>100.00%</w:t>
            </w:r>
          </w:p>
        </w:tc>
        <w:tc>
          <w:tcPr>
            <w:tcW w:w="681" w:type="dxa"/>
            <w:vAlign w:val="center"/>
          </w:tcPr>
          <w:p w14:paraId="483892DA" w14:textId="77777777" w:rsidR="00A421D9" w:rsidRPr="008F735E" w:rsidRDefault="00A421D9" w:rsidP="00A41A0E">
            <w:pPr>
              <w:keepNext/>
              <w:keepLines/>
              <w:tabs>
                <w:tab w:val="decimal" w:pos="256"/>
              </w:tabs>
              <w:spacing w:before="60" w:after="60"/>
              <w:jc w:val="center"/>
              <w:rPr>
                <w:sz w:val="14"/>
                <w:szCs w:val="14"/>
              </w:rPr>
            </w:pPr>
            <w:r w:rsidRPr="008F735E">
              <w:rPr>
                <w:sz w:val="14"/>
                <w:szCs w:val="14"/>
              </w:rPr>
              <w:t>50.00%</w:t>
            </w:r>
          </w:p>
        </w:tc>
        <w:tc>
          <w:tcPr>
            <w:tcW w:w="651" w:type="dxa"/>
            <w:vAlign w:val="center"/>
          </w:tcPr>
          <w:p w14:paraId="3D669435" w14:textId="77777777" w:rsidR="00A421D9" w:rsidRPr="008F735E" w:rsidRDefault="00A421D9" w:rsidP="00A41A0E">
            <w:pPr>
              <w:keepNext/>
              <w:keepLines/>
              <w:tabs>
                <w:tab w:val="decimal" w:pos="256"/>
              </w:tabs>
              <w:spacing w:before="60" w:after="60"/>
              <w:jc w:val="center"/>
              <w:rPr>
                <w:sz w:val="14"/>
                <w:szCs w:val="14"/>
              </w:rPr>
            </w:pPr>
            <w:r w:rsidRPr="008F735E">
              <w:rPr>
                <w:sz w:val="14"/>
                <w:szCs w:val="14"/>
              </w:rPr>
              <w:t>10.00%</w:t>
            </w:r>
          </w:p>
        </w:tc>
        <w:tc>
          <w:tcPr>
            <w:tcW w:w="666" w:type="dxa"/>
            <w:vAlign w:val="center"/>
          </w:tcPr>
          <w:p w14:paraId="2350807C" w14:textId="77777777" w:rsidR="00A421D9" w:rsidRPr="008F735E" w:rsidRDefault="00A421D9" w:rsidP="00A41A0E">
            <w:pPr>
              <w:keepNext/>
              <w:keepLines/>
              <w:tabs>
                <w:tab w:val="decimal" w:pos="256"/>
              </w:tabs>
              <w:spacing w:before="60" w:after="60"/>
              <w:jc w:val="center"/>
              <w:rPr>
                <w:sz w:val="14"/>
                <w:szCs w:val="14"/>
              </w:rPr>
            </w:pPr>
            <w:r w:rsidRPr="008F735E">
              <w:rPr>
                <w:sz w:val="14"/>
                <w:szCs w:val="14"/>
              </w:rPr>
              <w:t>4.00%</w:t>
            </w:r>
          </w:p>
        </w:tc>
        <w:tc>
          <w:tcPr>
            <w:tcW w:w="667" w:type="dxa"/>
            <w:vAlign w:val="center"/>
          </w:tcPr>
          <w:p w14:paraId="625DD69B" w14:textId="77777777" w:rsidR="00A421D9" w:rsidRPr="008F735E" w:rsidRDefault="00A421D9" w:rsidP="00A41A0E">
            <w:pPr>
              <w:keepNext/>
              <w:keepLines/>
              <w:tabs>
                <w:tab w:val="decimal" w:pos="256"/>
              </w:tabs>
              <w:spacing w:before="60" w:after="60"/>
              <w:jc w:val="center"/>
              <w:rPr>
                <w:sz w:val="14"/>
                <w:szCs w:val="14"/>
              </w:rPr>
            </w:pPr>
            <w:r w:rsidRPr="008F735E">
              <w:rPr>
                <w:sz w:val="14"/>
                <w:szCs w:val="14"/>
              </w:rPr>
              <w:t>2.00%</w:t>
            </w:r>
          </w:p>
        </w:tc>
        <w:tc>
          <w:tcPr>
            <w:tcW w:w="1134" w:type="dxa"/>
            <w:vAlign w:val="center"/>
          </w:tcPr>
          <w:p w14:paraId="44FEF60A" w14:textId="77777777" w:rsidR="00A421D9" w:rsidRPr="008F735E" w:rsidRDefault="00A421D9" w:rsidP="00A41A0E">
            <w:pPr>
              <w:keepNext/>
              <w:keepLines/>
              <w:tabs>
                <w:tab w:val="decimal" w:pos="256"/>
              </w:tabs>
              <w:spacing w:before="60" w:after="60"/>
              <w:jc w:val="center"/>
              <w:rPr>
                <w:sz w:val="14"/>
                <w:szCs w:val="14"/>
              </w:rPr>
            </w:pPr>
            <w:r w:rsidRPr="008F735E">
              <w:rPr>
                <w:sz w:val="14"/>
                <w:szCs w:val="14"/>
              </w:rPr>
              <w:t>0.00%</w:t>
            </w:r>
          </w:p>
        </w:tc>
        <w:tc>
          <w:tcPr>
            <w:tcW w:w="851" w:type="dxa"/>
            <w:vAlign w:val="center"/>
          </w:tcPr>
          <w:p w14:paraId="0431AF89" w14:textId="77777777" w:rsidR="00A421D9" w:rsidRPr="008F735E" w:rsidRDefault="00A421D9" w:rsidP="00A41A0E">
            <w:pPr>
              <w:keepNext/>
              <w:keepLines/>
              <w:tabs>
                <w:tab w:val="decimal" w:pos="256"/>
              </w:tabs>
              <w:spacing w:before="60" w:after="60"/>
              <w:jc w:val="center"/>
              <w:rPr>
                <w:sz w:val="14"/>
                <w:szCs w:val="14"/>
              </w:rPr>
            </w:pPr>
          </w:p>
        </w:tc>
        <w:tc>
          <w:tcPr>
            <w:tcW w:w="1134" w:type="dxa"/>
            <w:vAlign w:val="center"/>
          </w:tcPr>
          <w:p w14:paraId="0127BC57" w14:textId="77777777" w:rsidR="00A421D9" w:rsidRPr="008F735E" w:rsidRDefault="00A421D9" w:rsidP="00A41A0E">
            <w:pPr>
              <w:keepNext/>
              <w:keepLines/>
              <w:tabs>
                <w:tab w:val="decimal" w:pos="256"/>
              </w:tabs>
              <w:spacing w:before="60" w:after="60"/>
              <w:jc w:val="center"/>
              <w:rPr>
                <w:sz w:val="14"/>
                <w:szCs w:val="14"/>
              </w:rPr>
            </w:pPr>
            <w:r w:rsidRPr="008F735E">
              <w:rPr>
                <w:sz w:val="14"/>
                <w:szCs w:val="14"/>
              </w:rPr>
              <w:t>-1.00%</w:t>
            </w:r>
          </w:p>
        </w:tc>
        <w:tc>
          <w:tcPr>
            <w:tcW w:w="921" w:type="dxa"/>
            <w:vAlign w:val="center"/>
          </w:tcPr>
          <w:p w14:paraId="6C711777" w14:textId="77777777" w:rsidR="00A421D9" w:rsidRPr="008F735E" w:rsidRDefault="00A421D9" w:rsidP="00A41A0E">
            <w:pPr>
              <w:keepNext/>
              <w:keepLines/>
              <w:tabs>
                <w:tab w:val="decimal" w:pos="256"/>
              </w:tabs>
              <w:spacing w:before="60" w:after="60"/>
              <w:jc w:val="center"/>
              <w:rPr>
                <w:sz w:val="14"/>
                <w:szCs w:val="14"/>
              </w:rPr>
            </w:pPr>
          </w:p>
        </w:tc>
      </w:tr>
      <w:tr w:rsidR="00A421D9" w:rsidRPr="008F735E" w14:paraId="75D66C43" w14:textId="77777777" w:rsidTr="00841651">
        <w:tc>
          <w:tcPr>
            <w:tcW w:w="1347" w:type="dxa"/>
            <w:shd w:val="clear" w:color="auto" w:fill="auto"/>
            <w:vAlign w:val="bottom"/>
          </w:tcPr>
          <w:p w14:paraId="52C3A5E8" w14:textId="08E43FFC" w:rsidR="00A421D9" w:rsidRPr="00F4121B" w:rsidRDefault="009B4C96" w:rsidP="00A41A0E">
            <w:pPr>
              <w:keepNext/>
              <w:keepLines/>
              <w:tabs>
                <w:tab w:val="left" w:pos="106"/>
              </w:tabs>
              <w:spacing w:before="60" w:after="60"/>
              <w:jc w:val="left"/>
              <w:rPr>
                <w:rStyle w:val="Strong"/>
                <w:b w:val="0"/>
                <w:bCs w:val="0"/>
                <w:sz w:val="14"/>
                <w:szCs w:val="14"/>
              </w:rPr>
            </w:pPr>
            <w:r>
              <w:rPr>
                <w:rStyle w:val="Strong"/>
                <w:b w:val="0"/>
                <w:bCs w:val="0"/>
                <w:sz w:val="14"/>
                <w:szCs w:val="14"/>
              </w:rPr>
              <w:t>d*</w:t>
            </w:r>
          </w:p>
        </w:tc>
        <w:tc>
          <w:tcPr>
            <w:tcW w:w="992" w:type="dxa"/>
            <w:vAlign w:val="center"/>
          </w:tcPr>
          <w:p w14:paraId="36C0A407" w14:textId="77777777" w:rsidR="00A421D9" w:rsidRPr="008F735E" w:rsidRDefault="00A421D9" w:rsidP="00A41A0E">
            <w:pPr>
              <w:keepNext/>
              <w:keepLines/>
              <w:tabs>
                <w:tab w:val="decimal" w:pos="256"/>
              </w:tabs>
              <w:spacing w:before="60" w:after="60"/>
              <w:jc w:val="center"/>
              <w:rPr>
                <w:sz w:val="14"/>
                <w:szCs w:val="14"/>
              </w:rPr>
            </w:pPr>
            <w:r w:rsidRPr="008F735E">
              <w:rPr>
                <w:sz w:val="14"/>
                <w:szCs w:val="14"/>
              </w:rPr>
              <w:t>2.00%</w:t>
            </w:r>
          </w:p>
        </w:tc>
        <w:tc>
          <w:tcPr>
            <w:tcW w:w="737" w:type="dxa"/>
            <w:vAlign w:val="center"/>
          </w:tcPr>
          <w:p w14:paraId="176165DB" w14:textId="77777777" w:rsidR="00A421D9" w:rsidRPr="008F735E" w:rsidRDefault="00A421D9" w:rsidP="00A41A0E">
            <w:pPr>
              <w:keepNext/>
              <w:keepLines/>
              <w:tabs>
                <w:tab w:val="decimal" w:pos="256"/>
              </w:tabs>
              <w:spacing w:before="60" w:after="60"/>
              <w:jc w:val="center"/>
              <w:rPr>
                <w:sz w:val="14"/>
                <w:szCs w:val="14"/>
              </w:rPr>
            </w:pPr>
            <w:r w:rsidRPr="008F735E">
              <w:rPr>
                <w:sz w:val="14"/>
                <w:szCs w:val="14"/>
              </w:rPr>
              <w:t>100.00%</w:t>
            </w:r>
          </w:p>
        </w:tc>
        <w:tc>
          <w:tcPr>
            <w:tcW w:w="681" w:type="dxa"/>
            <w:vAlign w:val="center"/>
          </w:tcPr>
          <w:p w14:paraId="0E8D36B6" w14:textId="77777777" w:rsidR="00A421D9" w:rsidRPr="008F735E" w:rsidRDefault="00A421D9" w:rsidP="00A41A0E">
            <w:pPr>
              <w:keepNext/>
              <w:keepLines/>
              <w:tabs>
                <w:tab w:val="decimal" w:pos="256"/>
              </w:tabs>
              <w:spacing w:before="60" w:after="60"/>
              <w:jc w:val="center"/>
              <w:rPr>
                <w:sz w:val="14"/>
                <w:szCs w:val="14"/>
              </w:rPr>
            </w:pPr>
            <w:r w:rsidRPr="008F735E">
              <w:rPr>
                <w:sz w:val="14"/>
                <w:szCs w:val="14"/>
              </w:rPr>
              <w:t>50.00%</w:t>
            </w:r>
          </w:p>
        </w:tc>
        <w:tc>
          <w:tcPr>
            <w:tcW w:w="651" w:type="dxa"/>
            <w:vAlign w:val="center"/>
          </w:tcPr>
          <w:p w14:paraId="5A78A7C7" w14:textId="77777777" w:rsidR="00A421D9" w:rsidRPr="008F735E" w:rsidRDefault="00A421D9" w:rsidP="00A41A0E">
            <w:pPr>
              <w:keepNext/>
              <w:keepLines/>
              <w:tabs>
                <w:tab w:val="decimal" w:pos="256"/>
              </w:tabs>
              <w:spacing w:before="60" w:after="60"/>
              <w:jc w:val="center"/>
              <w:rPr>
                <w:sz w:val="14"/>
                <w:szCs w:val="14"/>
              </w:rPr>
            </w:pPr>
            <w:r w:rsidRPr="008F735E">
              <w:rPr>
                <w:sz w:val="14"/>
                <w:szCs w:val="14"/>
              </w:rPr>
              <w:t>10.00%</w:t>
            </w:r>
          </w:p>
        </w:tc>
        <w:tc>
          <w:tcPr>
            <w:tcW w:w="666" w:type="dxa"/>
            <w:vAlign w:val="center"/>
          </w:tcPr>
          <w:p w14:paraId="61C957F4" w14:textId="77777777" w:rsidR="00A421D9" w:rsidRPr="008F735E" w:rsidRDefault="00A421D9" w:rsidP="00A41A0E">
            <w:pPr>
              <w:keepNext/>
              <w:keepLines/>
              <w:tabs>
                <w:tab w:val="decimal" w:pos="256"/>
              </w:tabs>
              <w:spacing w:before="60" w:after="60"/>
              <w:jc w:val="center"/>
              <w:rPr>
                <w:sz w:val="14"/>
                <w:szCs w:val="14"/>
              </w:rPr>
            </w:pPr>
            <w:r w:rsidRPr="008F735E">
              <w:rPr>
                <w:sz w:val="14"/>
                <w:szCs w:val="14"/>
              </w:rPr>
              <w:t>4.00%</w:t>
            </w:r>
          </w:p>
        </w:tc>
        <w:tc>
          <w:tcPr>
            <w:tcW w:w="667" w:type="dxa"/>
            <w:vAlign w:val="center"/>
          </w:tcPr>
          <w:p w14:paraId="0440239B" w14:textId="77777777" w:rsidR="00A421D9" w:rsidRPr="008F735E" w:rsidRDefault="00A421D9" w:rsidP="00A41A0E">
            <w:pPr>
              <w:keepNext/>
              <w:keepLines/>
              <w:tabs>
                <w:tab w:val="decimal" w:pos="256"/>
              </w:tabs>
              <w:spacing w:before="60" w:after="60"/>
              <w:jc w:val="center"/>
              <w:rPr>
                <w:sz w:val="14"/>
                <w:szCs w:val="14"/>
              </w:rPr>
            </w:pPr>
            <w:r w:rsidRPr="008F735E">
              <w:rPr>
                <w:sz w:val="14"/>
                <w:szCs w:val="14"/>
              </w:rPr>
              <w:t>2.00%</w:t>
            </w:r>
          </w:p>
        </w:tc>
        <w:tc>
          <w:tcPr>
            <w:tcW w:w="1134" w:type="dxa"/>
            <w:vAlign w:val="center"/>
          </w:tcPr>
          <w:p w14:paraId="2BA29D5E" w14:textId="77777777" w:rsidR="00A421D9" w:rsidRPr="008F735E" w:rsidRDefault="00A421D9" w:rsidP="00A41A0E">
            <w:pPr>
              <w:keepNext/>
              <w:keepLines/>
              <w:tabs>
                <w:tab w:val="decimal" w:pos="256"/>
              </w:tabs>
              <w:spacing w:before="60" w:after="60"/>
              <w:jc w:val="center"/>
              <w:rPr>
                <w:sz w:val="14"/>
                <w:szCs w:val="14"/>
              </w:rPr>
            </w:pPr>
            <w:r w:rsidRPr="008F735E">
              <w:rPr>
                <w:sz w:val="14"/>
                <w:szCs w:val="14"/>
              </w:rPr>
              <w:t>0.00%</w:t>
            </w:r>
          </w:p>
        </w:tc>
        <w:tc>
          <w:tcPr>
            <w:tcW w:w="851" w:type="dxa"/>
            <w:vAlign w:val="center"/>
          </w:tcPr>
          <w:p w14:paraId="187BF17F" w14:textId="77777777" w:rsidR="00A421D9" w:rsidRPr="008F735E" w:rsidRDefault="00A421D9" w:rsidP="00A41A0E">
            <w:pPr>
              <w:keepNext/>
              <w:keepLines/>
              <w:tabs>
                <w:tab w:val="decimal" w:pos="256"/>
              </w:tabs>
              <w:spacing w:before="60" w:after="60"/>
              <w:jc w:val="center"/>
              <w:rPr>
                <w:sz w:val="14"/>
                <w:szCs w:val="14"/>
              </w:rPr>
            </w:pPr>
          </w:p>
        </w:tc>
        <w:tc>
          <w:tcPr>
            <w:tcW w:w="1134" w:type="dxa"/>
            <w:vAlign w:val="center"/>
          </w:tcPr>
          <w:p w14:paraId="65EC6083" w14:textId="77777777" w:rsidR="00A421D9" w:rsidRPr="008F735E" w:rsidRDefault="00A421D9" w:rsidP="00A41A0E">
            <w:pPr>
              <w:keepNext/>
              <w:keepLines/>
              <w:tabs>
                <w:tab w:val="decimal" w:pos="256"/>
              </w:tabs>
              <w:spacing w:before="60" w:after="60"/>
              <w:jc w:val="center"/>
              <w:rPr>
                <w:sz w:val="14"/>
                <w:szCs w:val="14"/>
              </w:rPr>
            </w:pPr>
            <w:r w:rsidRPr="008F735E">
              <w:rPr>
                <w:sz w:val="14"/>
                <w:szCs w:val="14"/>
              </w:rPr>
              <w:t>0.00%</w:t>
            </w:r>
          </w:p>
        </w:tc>
        <w:tc>
          <w:tcPr>
            <w:tcW w:w="921" w:type="dxa"/>
            <w:vAlign w:val="center"/>
          </w:tcPr>
          <w:p w14:paraId="383F7774" w14:textId="77777777" w:rsidR="00A421D9" w:rsidRPr="008F735E" w:rsidRDefault="00A421D9" w:rsidP="00A41A0E">
            <w:pPr>
              <w:keepNext/>
              <w:keepLines/>
              <w:tabs>
                <w:tab w:val="decimal" w:pos="256"/>
              </w:tabs>
              <w:spacing w:before="60" w:after="60"/>
              <w:jc w:val="center"/>
              <w:rPr>
                <w:sz w:val="14"/>
                <w:szCs w:val="14"/>
              </w:rPr>
            </w:pPr>
          </w:p>
        </w:tc>
      </w:tr>
      <w:tr w:rsidR="00A421D9" w:rsidRPr="008F735E" w14:paraId="45AF80FD" w14:textId="77777777" w:rsidTr="00841651">
        <w:tc>
          <w:tcPr>
            <w:tcW w:w="1347" w:type="dxa"/>
            <w:shd w:val="clear" w:color="auto" w:fill="auto"/>
            <w:vAlign w:val="bottom"/>
          </w:tcPr>
          <w:p w14:paraId="3E043F59" w14:textId="13948DF0" w:rsidR="00A421D9" w:rsidRPr="008F735E" w:rsidRDefault="00A421D9" w:rsidP="00A41A0E">
            <w:pPr>
              <w:keepNext/>
              <w:keepLines/>
              <w:tabs>
                <w:tab w:val="left" w:pos="106"/>
              </w:tabs>
              <w:spacing w:before="60" w:after="60"/>
              <w:jc w:val="left"/>
              <w:rPr>
                <w:b/>
                <w:bCs/>
                <w:sz w:val="14"/>
                <w:szCs w:val="14"/>
              </w:rPr>
            </w:pPr>
            <w:r w:rsidRPr="008F735E">
              <w:rPr>
                <w:b/>
                <w:bCs/>
                <w:sz w:val="14"/>
                <w:szCs w:val="14"/>
              </w:rPr>
              <w:t>Cost</w:t>
            </w:r>
            <w:r w:rsidR="00CC2A61">
              <w:rPr>
                <w:b/>
                <w:bCs/>
                <w:sz w:val="14"/>
                <w:szCs w:val="14"/>
              </w:rPr>
              <w:t>s</w:t>
            </w:r>
            <w:r w:rsidRPr="008F735E">
              <w:rPr>
                <w:b/>
                <w:bCs/>
                <w:sz w:val="14"/>
                <w:szCs w:val="14"/>
              </w:rPr>
              <w:t xml:space="preserve"> of capital</w:t>
            </w:r>
          </w:p>
        </w:tc>
        <w:tc>
          <w:tcPr>
            <w:tcW w:w="992" w:type="dxa"/>
            <w:vAlign w:val="center"/>
          </w:tcPr>
          <w:p w14:paraId="43FF20A9" w14:textId="77777777" w:rsidR="00A421D9" w:rsidRPr="008F735E" w:rsidRDefault="00A421D9" w:rsidP="00A41A0E">
            <w:pPr>
              <w:keepNext/>
              <w:keepLines/>
              <w:tabs>
                <w:tab w:val="decimal" w:pos="256"/>
              </w:tabs>
              <w:spacing w:before="60" w:after="60"/>
              <w:jc w:val="center"/>
              <w:rPr>
                <w:sz w:val="14"/>
                <w:szCs w:val="14"/>
              </w:rPr>
            </w:pPr>
          </w:p>
        </w:tc>
        <w:tc>
          <w:tcPr>
            <w:tcW w:w="737" w:type="dxa"/>
            <w:vAlign w:val="center"/>
          </w:tcPr>
          <w:p w14:paraId="2D94B961" w14:textId="77777777" w:rsidR="00A421D9" w:rsidRPr="008F735E" w:rsidRDefault="00A421D9" w:rsidP="00A41A0E">
            <w:pPr>
              <w:keepNext/>
              <w:keepLines/>
              <w:tabs>
                <w:tab w:val="decimal" w:pos="256"/>
              </w:tabs>
              <w:spacing w:before="60" w:after="60"/>
              <w:jc w:val="center"/>
              <w:rPr>
                <w:sz w:val="14"/>
                <w:szCs w:val="14"/>
              </w:rPr>
            </w:pPr>
          </w:p>
        </w:tc>
        <w:tc>
          <w:tcPr>
            <w:tcW w:w="681" w:type="dxa"/>
            <w:vAlign w:val="center"/>
          </w:tcPr>
          <w:p w14:paraId="3D988ABE" w14:textId="77777777" w:rsidR="00A421D9" w:rsidRPr="008F735E" w:rsidRDefault="00A421D9" w:rsidP="00A41A0E">
            <w:pPr>
              <w:keepNext/>
              <w:keepLines/>
              <w:tabs>
                <w:tab w:val="decimal" w:pos="256"/>
              </w:tabs>
              <w:spacing w:before="60" w:after="60"/>
              <w:jc w:val="center"/>
              <w:rPr>
                <w:sz w:val="14"/>
                <w:szCs w:val="14"/>
              </w:rPr>
            </w:pPr>
          </w:p>
        </w:tc>
        <w:tc>
          <w:tcPr>
            <w:tcW w:w="651" w:type="dxa"/>
            <w:vAlign w:val="center"/>
          </w:tcPr>
          <w:p w14:paraId="200F5FF6" w14:textId="77777777" w:rsidR="00A421D9" w:rsidRPr="008F735E" w:rsidRDefault="00A421D9" w:rsidP="00A41A0E">
            <w:pPr>
              <w:keepNext/>
              <w:keepLines/>
              <w:tabs>
                <w:tab w:val="decimal" w:pos="256"/>
              </w:tabs>
              <w:spacing w:before="60" w:after="60"/>
              <w:jc w:val="center"/>
              <w:rPr>
                <w:sz w:val="14"/>
                <w:szCs w:val="14"/>
              </w:rPr>
            </w:pPr>
          </w:p>
        </w:tc>
        <w:tc>
          <w:tcPr>
            <w:tcW w:w="666" w:type="dxa"/>
            <w:vAlign w:val="center"/>
          </w:tcPr>
          <w:p w14:paraId="08E1180B" w14:textId="77777777" w:rsidR="00A421D9" w:rsidRPr="008F735E" w:rsidRDefault="00A421D9" w:rsidP="00A41A0E">
            <w:pPr>
              <w:keepNext/>
              <w:keepLines/>
              <w:tabs>
                <w:tab w:val="decimal" w:pos="256"/>
              </w:tabs>
              <w:spacing w:before="60" w:after="60"/>
              <w:jc w:val="center"/>
              <w:rPr>
                <w:sz w:val="14"/>
                <w:szCs w:val="14"/>
              </w:rPr>
            </w:pPr>
          </w:p>
        </w:tc>
        <w:tc>
          <w:tcPr>
            <w:tcW w:w="667" w:type="dxa"/>
            <w:vAlign w:val="center"/>
          </w:tcPr>
          <w:p w14:paraId="3E640FE6" w14:textId="77777777" w:rsidR="00A421D9" w:rsidRPr="008F735E" w:rsidRDefault="00A421D9" w:rsidP="00A41A0E">
            <w:pPr>
              <w:keepNext/>
              <w:keepLines/>
              <w:tabs>
                <w:tab w:val="decimal" w:pos="256"/>
              </w:tabs>
              <w:spacing w:before="60" w:after="60"/>
              <w:jc w:val="center"/>
              <w:rPr>
                <w:sz w:val="14"/>
                <w:szCs w:val="14"/>
              </w:rPr>
            </w:pPr>
          </w:p>
        </w:tc>
        <w:tc>
          <w:tcPr>
            <w:tcW w:w="1134" w:type="dxa"/>
            <w:vAlign w:val="center"/>
          </w:tcPr>
          <w:p w14:paraId="1FC2C359" w14:textId="77777777" w:rsidR="00A421D9" w:rsidRPr="008F735E" w:rsidRDefault="00A421D9" w:rsidP="00A41A0E">
            <w:pPr>
              <w:keepNext/>
              <w:keepLines/>
              <w:tabs>
                <w:tab w:val="decimal" w:pos="256"/>
              </w:tabs>
              <w:spacing w:before="60" w:after="60"/>
              <w:jc w:val="center"/>
              <w:rPr>
                <w:sz w:val="14"/>
                <w:szCs w:val="14"/>
              </w:rPr>
            </w:pPr>
          </w:p>
        </w:tc>
        <w:tc>
          <w:tcPr>
            <w:tcW w:w="851" w:type="dxa"/>
            <w:vAlign w:val="center"/>
          </w:tcPr>
          <w:p w14:paraId="0DCCEA2D" w14:textId="77777777" w:rsidR="00A421D9" w:rsidRPr="008F735E" w:rsidRDefault="00A421D9" w:rsidP="00A41A0E">
            <w:pPr>
              <w:keepNext/>
              <w:keepLines/>
              <w:tabs>
                <w:tab w:val="decimal" w:pos="256"/>
              </w:tabs>
              <w:spacing w:before="60" w:after="60"/>
              <w:jc w:val="center"/>
              <w:rPr>
                <w:sz w:val="14"/>
                <w:szCs w:val="14"/>
              </w:rPr>
            </w:pPr>
          </w:p>
        </w:tc>
        <w:tc>
          <w:tcPr>
            <w:tcW w:w="1134" w:type="dxa"/>
            <w:vAlign w:val="center"/>
          </w:tcPr>
          <w:p w14:paraId="094086B6" w14:textId="77777777" w:rsidR="00A421D9" w:rsidRPr="008F735E" w:rsidRDefault="00A421D9" w:rsidP="00A41A0E">
            <w:pPr>
              <w:keepNext/>
              <w:keepLines/>
              <w:tabs>
                <w:tab w:val="decimal" w:pos="256"/>
              </w:tabs>
              <w:spacing w:before="60" w:after="60"/>
              <w:jc w:val="center"/>
              <w:rPr>
                <w:sz w:val="14"/>
                <w:szCs w:val="14"/>
              </w:rPr>
            </w:pPr>
          </w:p>
        </w:tc>
        <w:tc>
          <w:tcPr>
            <w:tcW w:w="921" w:type="dxa"/>
            <w:vAlign w:val="center"/>
          </w:tcPr>
          <w:p w14:paraId="0B7C96BD" w14:textId="77777777" w:rsidR="00A421D9" w:rsidRPr="008F735E" w:rsidRDefault="00A421D9" w:rsidP="00A41A0E">
            <w:pPr>
              <w:keepNext/>
              <w:keepLines/>
              <w:tabs>
                <w:tab w:val="decimal" w:pos="256"/>
              </w:tabs>
              <w:spacing w:before="60" w:after="60"/>
              <w:jc w:val="center"/>
              <w:rPr>
                <w:sz w:val="14"/>
                <w:szCs w:val="14"/>
              </w:rPr>
            </w:pPr>
          </w:p>
        </w:tc>
      </w:tr>
      <w:tr w:rsidR="00A421D9" w:rsidRPr="008F735E" w14:paraId="7FAB7CA4" w14:textId="77777777" w:rsidTr="00841651">
        <w:tc>
          <w:tcPr>
            <w:tcW w:w="1347" w:type="dxa"/>
            <w:shd w:val="clear" w:color="auto" w:fill="auto"/>
            <w:vAlign w:val="bottom"/>
          </w:tcPr>
          <w:p w14:paraId="78F449D1" w14:textId="4624156D" w:rsidR="00A421D9" w:rsidRPr="008F735E" w:rsidRDefault="00A421D9" w:rsidP="00A41A0E">
            <w:pPr>
              <w:keepNext/>
              <w:keepLines/>
              <w:tabs>
                <w:tab w:val="left" w:pos="106"/>
              </w:tabs>
              <w:spacing w:before="60" w:after="60"/>
              <w:jc w:val="left"/>
              <w:rPr>
                <w:sz w:val="14"/>
                <w:szCs w:val="14"/>
              </w:rPr>
            </w:pPr>
            <w:r w:rsidRPr="008F735E">
              <w:rPr>
                <w:sz w:val="14"/>
                <w:szCs w:val="14"/>
              </w:rPr>
              <w:tab/>
            </w:r>
            <w:r>
              <w:rPr>
                <w:sz w:val="14"/>
                <w:szCs w:val="14"/>
              </w:rPr>
              <w:t>Status quo</w:t>
            </w:r>
          </w:p>
        </w:tc>
        <w:tc>
          <w:tcPr>
            <w:tcW w:w="992" w:type="dxa"/>
          </w:tcPr>
          <w:p w14:paraId="4EC0C3F2" w14:textId="05998CEC" w:rsidR="00A421D9" w:rsidRPr="008F735E" w:rsidRDefault="00A421D9" w:rsidP="00A41A0E">
            <w:pPr>
              <w:keepNext/>
              <w:keepLines/>
              <w:tabs>
                <w:tab w:val="decimal" w:pos="256"/>
              </w:tabs>
              <w:spacing w:before="60" w:after="60"/>
              <w:jc w:val="center"/>
              <w:rPr>
                <w:sz w:val="14"/>
                <w:szCs w:val="14"/>
              </w:rPr>
            </w:pPr>
            <w:r>
              <w:rPr>
                <w:sz w:val="14"/>
                <w:szCs w:val="14"/>
              </w:rPr>
              <w:t>3.81</w:t>
            </w:r>
            <w:r w:rsidRPr="00E33C16">
              <w:rPr>
                <w:sz w:val="14"/>
                <w:szCs w:val="14"/>
              </w:rPr>
              <w:t>%</w:t>
            </w:r>
          </w:p>
        </w:tc>
        <w:tc>
          <w:tcPr>
            <w:tcW w:w="737" w:type="dxa"/>
          </w:tcPr>
          <w:p w14:paraId="5429FFD7" w14:textId="3A26405F" w:rsidR="00A421D9" w:rsidRPr="008F735E" w:rsidRDefault="00A421D9" w:rsidP="00A41A0E">
            <w:pPr>
              <w:keepNext/>
              <w:keepLines/>
              <w:tabs>
                <w:tab w:val="decimal" w:pos="256"/>
              </w:tabs>
              <w:spacing w:before="60" w:after="60"/>
              <w:jc w:val="center"/>
              <w:rPr>
                <w:sz w:val="14"/>
                <w:szCs w:val="14"/>
              </w:rPr>
            </w:pPr>
            <w:r>
              <w:rPr>
                <w:sz w:val="14"/>
                <w:szCs w:val="14"/>
              </w:rPr>
              <w:t>4.14</w:t>
            </w:r>
            <w:r w:rsidRPr="00E33C16">
              <w:rPr>
                <w:sz w:val="14"/>
                <w:szCs w:val="14"/>
              </w:rPr>
              <w:t>%</w:t>
            </w:r>
          </w:p>
        </w:tc>
        <w:tc>
          <w:tcPr>
            <w:tcW w:w="681" w:type="dxa"/>
          </w:tcPr>
          <w:p w14:paraId="6A48CEA5" w14:textId="48E565D8" w:rsidR="00A421D9" w:rsidRPr="008F735E" w:rsidRDefault="00A421D9" w:rsidP="00A41A0E">
            <w:pPr>
              <w:keepNext/>
              <w:keepLines/>
              <w:tabs>
                <w:tab w:val="decimal" w:pos="256"/>
              </w:tabs>
              <w:spacing w:before="60" w:after="60"/>
              <w:jc w:val="center"/>
              <w:rPr>
                <w:sz w:val="14"/>
                <w:szCs w:val="14"/>
              </w:rPr>
            </w:pPr>
            <w:r>
              <w:rPr>
                <w:sz w:val="14"/>
                <w:szCs w:val="14"/>
              </w:rPr>
              <w:t>4.11</w:t>
            </w:r>
            <w:r w:rsidRPr="00E33C16">
              <w:rPr>
                <w:sz w:val="14"/>
                <w:szCs w:val="14"/>
              </w:rPr>
              <w:t>%</w:t>
            </w:r>
          </w:p>
        </w:tc>
        <w:tc>
          <w:tcPr>
            <w:tcW w:w="651" w:type="dxa"/>
          </w:tcPr>
          <w:p w14:paraId="062C6D3B" w14:textId="05AE5EFA" w:rsidR="00A421D9" w:rsidRPr="008F735E" w:rsidRDefault="00A421D9" w:rsidP="00A41A0E">
            <w:pPr>
              <w:keepNext/>
              <w:keepLines/>
              <w:tabs>
                <w:tab w:val="decimal" w:pos="256"/>
              </w:tabs>
              <w:spacing w:before="60" w:after="60"/>
              <w:jc w:val="center"/>
              <w:rPr>
                <w:sz w:val="14"/>
                <w:szCs w:val="14"/>
              </w:rPr>
            </w:pPr>
            <w:r>
              <w:rPr>
                <w:sz w:val="14"/>
                <w:szCs w:val="14"/>
              </w:rPr>
              <w:t>3.93</w:t>
            </w:r>
            <w:r w:rsidRPr="00E33C16">
              <w:rPr>
                <w:sz w:val="14"/>
                <w:szCs w:val="14"/>
              </w:rPr>
              <w:t>%</w:t>
            </w:r>
          </w:p>
        </w:tc>
        <w:tc>
          <w:tcPr>
            <w:tcW w:w="666" w:type="dxa"/>
          </w:tcPr>
          <w:p w14:paraId="71672960" w14:textId="3D988173" w:rsidR="00A421D9" w:rsidRPr="008F735E" w:rsidRDefault="00A421D9" w:rsidP="00A41A0E">
            <w:pPr>
              <w:keepNext/>
              <w:keepLines/>
              <w:tabs>
                <w:tab w:val="decimal" w:pos="256"/>
              </w:tabs>
              <w:spacing w:before="60" w:after="60"/>
              <w:jc w:val="center"/>
              <w:rPr>
                <w:sz w:val="14"/>
                <w:szCs w:val="14"/>
              </w:rPr>
            </w:pPr>
            <w:r>
              <w:rPr>
                <w:sz w:val="14"/>
                <w:szCs w:val="14"/>
              </w:rPr>
              <w:t>3.76</w:t>
            </w:r>
            <w:r w:rsidRPr="00E33C16">
              <w:rPr>
                <w:sz w:val="14"/>
                <w:szCs w:val="14"/>
              </w:rPr>
              <w:t>%</w:t>
            </w:r>
          </w:p>
        </w:tc>
        <w:tc>
          <w:tcPr>
            <w:tcW w:w="667" w:type="dxa"/>
          </w:tcPr>
          <w:p w14:paraId="1DAB49E1" w14:textId="581615EF" w:rsidR="00A421D9" w:rsidRPr="008F735E" w:rsidRDefault="00A421D9" w:rsidP="00A41A0E">
            <w:pPr>
              <w:keepNext/>
              <w:keepLines/>
              <w:tabs>
                <w:tab w:val="decimal" w:pos="256"/>
              </w:tabs>
              <w:spacing w:before="60" w:after="60"/>
              <w:jc w:val="center"/>
              <w:rPr>
                <w:sz w:val="14"/>
                <w:szCs w:val="14"/>
              </w:rPr>
            </w:pPr>
            <w:r>
              <w:rPr>
                <w:sz w:val="14"/>
                <w:szCs w:val="14"/>
              </w:rPr>
              <w:t>3.63</w:t>
            </w:r>
            <w:r w:rsidRPr="00E33C16">
              <w:rPr>
                <w:sz w:val="14"/>
                <w:szCs w:val="14"/>
              </w:rPr>
              <w:t>%</w:t>
            </w:r>
          </w:p>
        </w:tc>
        <w:tc>
          <w:tcPr>
            <w:tcW w:w="1134" w:type="dxa"/>
          </w:tcPr>
          <w:p w14:paraId="4F3DF5E8" w14:textId="0C79993A" w:rsidR="00A421D9" w:rsidRPr="008F735E" w:rsidRDefault="00A421D9" w:rsidP="00A41A0E">
            <w:pPr>
              <w:keepNext/>
              <w:keepLines/>
              <w:tabs>
                <w:tab w:val="decimal" w:pos="256"/>
              </w:tabs>
              <w:spacing w:before="60" w:after="60"/>
              <w:jc w:val="center"/>
              <w:rPr>
                <w:sz w:val="14"/>
                <w:szCs w:val="14"/>
              </w:rPr>
            </w:pPr>
            <w:r>
              <w:rPr>
                <w:sz w:val="14"/>
                <w:szCs w:val="14"/>
              </w:rPr>
              <w:t>3.38</w:t>
            </w:r>
            <w:r w:rsidRPr="00E33C16">
              <w:rPr>
                <w:sz w:val="14"/>
                <w:szCs w:val="14"/>
              </w:rPr>
              <w:t>%</w:t>
            </w:r>
          </w:p>
        </w:tc>
        <w:tc>
          <w:tcPr>
            <w:tcW w:w="851" w:type="dxa"/>
          </w:tcPr>
          <w:p w14:paraId="170FB5D4" w14:textId="452DDC23" w:rsidR="00A421D9" w:rsidRPr="008F735E" w:rsidRDefault="00A421D9" w:rsidP="00A41A0E">
            <w:pPr>
              <w:keepNext/>
              <w:keepLines/>
              <w:tabs>
                <w:tab w:val="decimal" w:pos="256"/>
              </w:tabs>
              <w:spacing w:before="60" w:after="60"/>
              <w:jc w:val="center"/>
              <w:rPr>
                <w:sz w:val="14"/>
                <w:szCs w:val="14"/>
              </w:rPr>
            </w:pPr>
            <w:r>
              <w:rPr>
                <w:sz w:val="14"/>
                <w:szCs w:val="14"/>
              </w:rPr>
              <w:t>4.14</w:t>
            </w:r>
            <w:r w:rsidRPr="00E33C16">
              <w:rPr>
                <w:sz w:val="14"/>
                <w:szCs w:val="14"/>
              </w:rPr>
              <w:t>%</w:t>
            </w:r>
          </w:p>
        </w:tc>
        <w:tc>
          <w:tcPr>
            <w:tcW w:w="1134" w:type="dxa"/>
          </w:tcPr>
          <w:p w14:paraId="50BF32BF" w14:textId="5994EF04" w:rsidR="00A421D9" w:rsidRPr="008F735E" w:rsidRDefault="00A421D9" w:rsidP="00A41A0E">
            <w:pPr>
              <w:keepNext/>
              <w:keepLines/>
              <w:tabs>
                <w:tab w:val="decimal" w:pos="256"/>
              </w:tabs>
              <w:spacing w:before="60" w:after="60"/>
              <w:jc w:val="center"/>
              <w:rPr>
                <w:sz w:val="14"/>
                <w:szCs w:val="14"/>
              </w:rPr>
            </w:pPr>
            <w:r>
              <w:rPr>
                <w:sz w:val="14"/>
                <w:szCs w:val="14"/>
              </w:rPr>
              <w:t>2.99</w:t>
            </w:r>
            <w:r w:rsidRPr="00E33C16">
              <w:rPr>
                <w:sz w:val="14"/>
                <w:szCs w:val="14"/>
              </w:rPr>
              <w:t>%</w:t>
            </w:r>
          </w:p>
        </w:tc>
        <w:tc>
          <w:tcPr>
            <w:tcW w:w="921" w:type="dxa"/>
          </w:tcPr>
          <w:p w14:paraId="520AB415" w14:textId="3BE85B23" w:rsidR="00A421D9" w:rsidRPr="008F735E" w:rsidRDefault="00A421D9" w:rsidP="00A41A0E">
            <w:pPr>
              <w:keepNext/>
              <w:keepLines/>
              <w:tabs>
                <w:tab w:val="decimal" w:pos="256"/>
              </w:tabs>
              <w:spacing w:before="60" w:after="60"/>
              <w:jc w:val="center"/>
              <w:rPr>
                <w:sz w:val="14"/>
                <w:szCs w:val="14"/>
              </w:rPr>
            </w:pPr>
            <w:r>
              <w:rPr>
                <w:sz w:val="14"/>
                <w:szCs w:val="14"/>
              </w:rPr>
              <w:t>2.43</w:t>
            </w:r>
            <w:r w:rsidRPr="00E33C16">
              <w:rPr>
                <w:sz w:val="14"/>
                <w:szCs w:val="14"/>
              </w:rPr>
              <w:t>%</w:t>
            </w:r>
          </w:p>
        </w:tc>
      </w:tr>
      <w:tr w:rsidR="00A421D9" w:rsidRPr="008F735E" w14:paraId="5AA30E3E" w14:textId="77777777" w:rsidTr="00841651">
        <w:tc>
          <w:tcPr>
            <w:tcW w:w="1347" w:type="dxa"/>
            <w:shd w:val="clear" w:color="auto" w:fill="auto"/>
            <w:vAlign w:val="bottom"/>
          </w:tcPr>
          <w:p w14:paraId="70D998CF" w14:textId="4CA0F21F" w:rsidR="00A421D9" w:rsidRPr="008F735E" w:rsidRDefault="00A421D9" w:rsidP="00A41A0E">
            <w:pPr>
              <w:keepNext/>
              <w:keepLines/>
              <w:tabs>
                <w:tab w:val="left" w:pos="106"/>
              </w:tabs>
              <w:spacing w:before="60" w:after="60"/>
              <w:jc w:val="left"/>
              <w:rPr>
                <w:sz w:val="14"/>
                <w:szCs w:val="14"/>
              </w:rPr>
            </w:pPr>
            <w:r w:rsidRPr="008F735E">
              <w:rPr>
                <w:sz w:val="14"/>
                <w:szCs w:val="14"/>
              </w:rPr>
              <w:tab/>
            </w:r>
            <w:r>
              <w:rPr>
                <w:sz w:val="14"/>
                <w:szCs w:val="14"/>
              </w:rPr>
              <w:t>Fully index</w:t>
            </w:r>
          </w:p>
        </w:tc>
        <w:tc>
          <w:tcPr>
            <w:tcW w:w="992" w:type="dxa"/>
          </w:tcPr>
          <w:p w14:paraId="66C83981" w14:textId="3614EE19" w:rsidR="00A421D9" w:rsidRPr="008F735E" w:rsidRDefault="00A421D9" w:rsidP="00A41A0E">
            <w:pPr>
              <w:keepNext/>
              <w:keepLines/>
              <w:tabs>
                <w:tab w:val="decimal" w:pos="256"/>
              </w:tabs>
              <w:spacing w:before="60" w:after="60"/>
              <w:jc w:val="center"/>
              <w:rPr>
                <w:sz w:val="14"/>
                <w:szCs w:val="14"/>
              </w:rPr>
            </w:pPr>
            <w:r>
              <w:rPr>
                <w:sz w:val="14"/>
                <w:szCs w:val="14"/>
              </w:rPr>
              <w:t>3.84</w:t>
            </w:r>
            <w:r w:rsidRPr="00E33C16">
              <w:rPr>
                <w:sz w:val="14"/>
                <w:szCs w:val="14"/>
              </w:rPr>
              <w:t>%</w:t>
            </w:r>
          </w:p>
        </w:tc>
        <w:tc>
          <w:tcPr>
            <w:tcW w:w="737" w:type="dxa"/>
          </w:tcPr>
          <w:p w14:paraId="2A52F0E4" w14:textId="33294520" w:rsidR="00A421D9" w:rsidRPr="008F735E" w:rsidRDefault="00A421D9" w:rsidP="00A41A0E">
            <w:pPr>
              <w:keepNext/>
              <w:keepLines/>
              <w:tabs>
                <w:tab w:val="decimal" w:pos="256"/>
              </w:tabs>
              <w:spacing w:before="60" w:after="60"/>
              <w:jc w:val="center"/>
              <w:rPr>
                <w:sz w:val="14"/>
                <w:szCs w:val="14"/>
              </w:rPr>
            </w:pPr>
            <w:r>
              <w:rPr>
                <w:sz w:val="14"/>
                <w:szCs w:val="14"/>
              </w:rPr>
              <w:t>3.69</w:t>
            </w:r>
            <w:r w:rsidRPr="00E33C16">
              <w:rPr>
                <w:sz w:val="14"/>
                <w:szCs w:val="14"/>
              </w:rPr>
              <w:t>%</w:t>
            </w:r>
          </w:p>
        </w:tc>
        <w:tc>
          <w:tcPr>
            <w:tcW w:w="681" w:type="dxa"/>
          </w:tcPr>
          <w:p w14:paraId="4AF02B4D" w14:textId="6ACB25D3" w:rsidR="00A421D9" w:rsidRPr="008F735E" w:rsidRDefault="00A421D9" w:rsidP="00A41A0E">
            <w:pPr>
              <w:keepNext/>
              <w:keepLines/>
              <w:tabs>
                <w:tab w:val="decimal" w:pos="256"/>
              </w:tabs>
              <w:spacing w:before="60" w:after="60"/>
              <w:jc w:val="center"/>
              <w:rPr>
                <w:sz w:val="14"/>
                <w:szCs w:val="14"/>
              </w:rPr>
            </w:pPr>
            <w:r>
              <w:rPr>
                <w:sz w:val="14"/>
                <w:szCs w:val="14"/>
              </w:rPr>
              <w:t>3.69</w:t>
            </w:r>
            <w:r w:rsidRPr="00E33C16">
              <w:rPr>
                <w:sz w:val="14"/>
                <w:szCs w:val="14"/>
              </w:rPr>
              <w:t>%</w:t>
            </w:r>
          </w:p>
        </w:tc>
        <w:tc>
          <w:tcPr>
            <w:tcW w:w="651" w:type="dxa"/>
          </w:tcPr>
          <w:p w14:paraId="7ABA05F5" w14:textId="7C1BD3F5" w:rsidR="00A421D9" w:rsidRPr="008F735E" w:rsidRDefault="00A421D9" w:rsidP="00A41A0E">
            <w:pPr>
              <w:keepNext/>
              <w:keepLines/>
              <w:tabs>
                <w:tab w:val="decimal" w:pos="256"/>
              </w:tabs>
              <w:spacing w:before="60" w:after="60"/>
              <w:jc w:val="center"/>
              <w:rPr>
                <w:sz w:val="14"/>
                <w:szCs w:val="14"/>
              </w:rPr>
            </w:pPr>
            <w:r>
              <w:rPr>
                <w:sz w:val="14"/>
                <w:szCs w:val="14"/>
              </w:rPr>
              <w:t>3.69</w:t>
            </w:r>
            <w:r w:rsidRPr="00E33C16">
              <w:rPr>
                <w:sz w:val="14"/>
                <w:szCs w:val="14"/>
              </w:rPr>
              <w:t>%</w:t>
            </w:r>
          </w:p>
        </w:tc>
        <w:tc>
          <w:tcPr>
            <w:tcW w:w="666" w:type="dxa"/>
          </w:tcPr>
          <w:p w14:paraId="4D8371CD" w14:textId="11F113F7" w:rsidR="00A421D9" w:rsidRPr="008F735E" w:rsidRDefault="00A421D9" w:rsidP="00A41A0E">
            <w:pPr>
              <w:keepNext/>
              <w:keepLines/>
              <w:tabs>
                <w:tab w:val="decimal" w:pos="256"/>
              </w:tabs>
              <w:spacing w:before="60" w:after="60"/>
              <w:jc w:val="center"/>
              <w:rPr>
                <w:sz w:val="14"/>
                <w:szCs w:val="14"/>
              </w:rPr>
            </w:pPr>
            <w:r>
              <w:rPr>
                <w:sz w:val="14"/>
                <w:szCs w:val="14"/>
              </w:rPr>
              <w:t>3.69</w:t>
            </w:r>
            <w:r w:rsidRPr="00E33C16">
              <w:rPr>
                <w:sz w:val="14"/>
                <w:szCs w:val="14"/>
              </w:rPr>
              <w:t>%</w:t>
            </w:r>
          </w:p>
        </w:tc>
        <w:tc>
          <w:tcPr>
            <w:tcW w:w="667" w:type="dxa"/>
          </w:tcPr>
          <w:p w14:paraId="46B1B198" w14:textId="2C80EC7F" w:rsidR="00A421D9" w:rsidRPr="008F735E" w:rsidRDefault="00A421D9" w:rsidP="00A41A0E">
            <w:pPr>
              <w:keepNext/>
              <w:keepLines/>
              <w:tabs>
                <w:tab w:val="decimal" w:pos="256"/>
              </w:tabs>
              <w:spacing w:before="60" w:after="60"/>
              <w:jc w:val="center"/>
              <w:rPr>
                <w:sz w:val="14"/>
                <w:szCs w:val="14"/>
              </w:rPr>
            </w:pPr>
            <w:r>
              <w:rPr>
                <w:sz w:val="14"/>
                <w:szCs w:val="14"/>
              </w:rPr>
              <w:t>3.69</w:t>
            </w:r>
            <w:r w:rsidRPr="00E33C16">
              <w:rPr>
                <w:sz w:val="14"/>
                <w:szCs w:val="14"/>
              </w:rPr>
              <w:t>%</w:t>
            </w:r>
          </w:p>
        </w:tc>
        <w:tc>
          <w:tcPr>
            <w:tcW w:w="1134" w:type="dxa"/>
          </w:tcPr>
          <w:p w14:paraId="29F6F22E" w14:textId="5BB9B816" w:rsidR="00A421D9" w:rsidRPr="008F735E" w:rsidRDefault="00A421D9" w:rsidP="00A41A0E">
            <w:pPr>
              <w:keepNext/>
              <w:keepLines/>
              <w:tabs>
                <w:tab w:val="decimal" w:pos="256"/>
              </w:tabs>
              <w:spacing w:before="60" w:after="60"/>
              <w:jc w:val="center"/>
              <w:rPr>
                <w:sz w:val="14"/>
                <w:szCs w:val="14"/>
              </w:rPr>
            </w:pPr>
            <w:r>
              <w:rPr>
                <w:sz w:val="14"/>
                <w:szCs w:val="14"/>
              </w:rPr>
              <w:t>3.69</w:t>
            </w:r>
            <w:r w:rsidRPr="00E33C16">
              <w:rPr>
                <w:sz w:val="14"/>
                <w:szCs w:val="14"/>
              </w:rPr>
              <w:t>%</w:t>
            </w:r>
          </w:p>
        </w:tc>
        <w:tc>
          <w:tcPr>
            <w:tcW w:w="851" w:type="dxa"/>
          </w:tcPr>
          <w:p w14:paraId="01B5A003" w14:textId="37968B1C" w:rsidR="00A421D9" w:rsidRPr="008F735E" w:rsidRDefault="00A421D9" w:rsidP="00A41A0E">
            <w:pPr>
              <w:keepNext/>
              <w:keepLines/>
              <w:tabs>
                <w:tab w:val="decimal" w:pos="256"/>
              </w:tabs>
              <w:spacing w:before="60" w:after="60"/>
              <w:jc w:val="center"/>
              <w:rPr>
                <w:sz w:val="14"/>
                <w:szCs w:val="14"/>
              </w:rPr>
            </w:pPr>
            <w:r>
              <w:rPr>
                <w:sz w:val="14"/>
                <w:szCs w:val="14"/>
              </w:rPr>
              <w:t>3.69</w:t>
            </w:r>
            <w:r w:rsidRPr="00E33C16">
              <w:rPr>
                <w:sz w:val="14"/>
                <w:szCs w:val="14"/>
              </w:rPr>
              <w:t>%</w:t>
            </w:r>
          </w:p>
        </w:tc>
        <w:tc>
          <w:tcPr>
            <w:tcW w:w="1134" w:type="dxa"/>
          </w:tcPr>
          <w:p w14:paraId="2FC849A4" w14:textId="2EA6C2F8" w:rsidR="00A421D9" w:rsidRPr="008F735E" w:rsidRDefault="00A421D9" w:rsidP="00A41A0E">
            <w:pPr>
              <w:keepNext/>
              <w:keepLines/>
              <w:tabs>
                <w:tab w:val="decimal" w:pos="256"/>
              </w:tabs>
              <w:spacing w:before="60" w:after="60"/>
              <w:jc w:val="center"/>
              <w:rPr>
                <w:sz w:val="14"/>
                <w:szCs w:val="14"/>
              </w:rPr>
            </w:pPr>
            <w:r>
              <w:rPr>
                <w:sz w:val="14"/>
                <w:szCs w:val="14"/>
              </w:rPr>
              <w:t>3.30</w:t>
            </w:r>
            <w:r w:rsidRPr="00E33C16">
              <w:rPr>
                <w:sz w:val="14"/>
                <w:szCs w:val="14"/>
              </w:rPr>
              <w:t>%</w:t>
            </w:r>
          </w:p>
        </w:tc>
        <w:tc>
          <w:tcPr>
            <w:tcW w:w="921" w:type="dxa"/>
          </w:tcPr>
          <w:p w14:paraId="31BDD50C" w14:textId="4C6D5170" w:rsidR="00A421D9" w:rsidRPr="008F735E" w:rsidRDefault="00A421D9" w:rsidP="00A41A0E">
            <w:pPr>
              <w:keepNext/>
              <w:keepLines/>
              <w:tabs>
                <w:tab w:val="decimal" w:pos="256"/>
              </w:tabs>
              <w:spacing w:before="60" w:after="60"/>
              <w:jc w:val="center"/>
              <w:rPr>
                <w:sz w:val="14"/>
                <w:szCs w:val="14"/>
              </w:rPr>
            </w:pPr>
            <w:r>
              <w:rPr>
                <w:sz w:val="14"/>
                <w:szCs w:val="14"/>
              </w:rPr>
              <w:t>2.66</w:t>
            </w:r>
            <w:r w:rsidRPr="00E33C16">
              <w:rPr>
                <w:sz w:val="14"/>
                <w:szCs w:val="14"/>
              </w:rPr>
              <w:t>%</w:t>
            </w:r>
          </w:p>
        </w:tc>
      </w:tr>
      <w:tr w:rsidR="00A421D9" w:rsidRPr="008F735E" w14:paraId="321D1F27" w14:textId="77777777" w:rsidTr="00841651">
        <w:tc>
          <w:tcPr>
            <w:tcW w:w="1347" w:type="dxa"/>
            <w:shd w:val="clear" w:color="auto" w:fill="auto"/>
            <w:vAlign w:val="bottom"/>
          </w:tcPr>
          <w:p w14:paraId="3C66350B" w14:textId="24F3E675" w:rsidR="00A421D9" w:rsidRPr="008F735E" w:rsidRDefault="00A421D9" w:rsidP="00A41A0E">
            <w:pPr>
              <w:keepNext/>
              <w:keepLines/>
              <w:tabs>
                <w:tab w:val="left" w:pos="106"/>
              </w:tabs>
              <w:spacing w:before="60" w:after="60"/>
              <w:ind w:left="108" w:hanging="108"/>
              <w:jc w:val="left"/>
              <w:rPr>
                <w:sz w:val="14"/>
                <w:szCs w:val="14"/>
              </w:rPr>
            </w:pPr>
            <w:r w:rsidRPr="008F735E">
              <w:rPr>
                <w:sz w:val="14"/>
                <w:szCs w:val="14"/>
              </w:rPr>
              <w:tab/>
            </w:r>
            <w:r>
              <w:rPr>
                <w:sz w:val="14"/>
                <w:szCs w:val="14"/>
              </w:rPr>
              <w:t>Index dep</w:t>
            </w:r>
            <w:r w:rsidR="001B0AFD">
              <w:rPr>
                <w:sz w:val="14"/>
                <w:szCs w:val="14"/>
              </w:rPr>
              <w:t xml:space="preserve">reciation and </w:t>
            </w:r>
            <w:r w:rsidR="00A41A0E">
              <w:rPr>
                <w:sz w:val="14"/>
                <w:szCs w:val="14"/>
              </w:rPr>
              <w:t xml:space="preserve"> </w:t>
            </w:r>
            <w:r w:rsidRPr="00EB67D1">
              <w:rPr>
                <w:sz w:val="14"/>
                <w:szCs w:val="14"/>
              </w:rPr>
              <w:t>in</w:t>
            </w:r>
            <w:r w:rsidR="001B0AFD" w:rsidRPr="00EB67D1">
              <w:rPr>
                <w:sz w:val="14"/>
                <w:szCs w:val="14"/>
              </w:rPr>
              <w:t>ventor</w:t>
            </w:r>
            <w:r w:rsidR="00F55B95" w:rsidRPr="00EB67D1">
              <w:rPr>
                <w:sz w:val="14"/>
                <w:szCs w:val="14"/>
              </w:rPr>
              <w:t>y</w:t>
            </w:r>
          </w:p>
        </w:tc>
        <w:tc>
          <w:tcPr>
            <w:tcW w:w="992" w:type="dxa"/>
          </w:tcPr>
          <w:p w14:paraId="380DBCA4" w14:textId="4FF7058F" w:rsidR="00A421D9" w:rsidRPr="008F735E" w:rsidRDefault="00A421D9" w:rsidP="00A41A0E">
            <w:pPr>
              <w:keepNext/>
              <w:keepLines/>
              <w:tabs>
                <w:tab w:val="decimal" w:pos="256"/>
              </w:tabs>
              <w:spacing w:before="60" w:after="60"/>
              <w:jc w:val="center"/>
              <w:rPr>
                <w:sz w:val="14"/>
                <w:szCs w:val="14"/>
              </w:rPr>
            </w:pPr>
            <w:r>
              <w:rPr>
                <w:sz w:val="14"/>
                <w:szCs w:val="14"/>
              </w:rPr>
              <w:t>3.53</w:t>
            </w:r>
            <w:r w:rsidRPr="00E33C16">
              <w:rPr>
                <w:sz w:val="14"/>
                <w:szCs w:val="14"/>
              </w:rPr>
              <w:t>%</w:t>
            </w:r>
          </w:p>
        </w:tc>
        <w:tc>
          <w:tcPr>
            <w:tcW w:w="737" w:type="dxa"/>
          </w:tcPr>
          <w:p w14:paraId="020AAAA9" w14:textId="689FD5BB" w:rsidR="00A421D9" w:rsidRPr="008F735E" w:rsidRDefault="00A421D9" w:rsidP="00A41A0E">
            <w:pPr>
              <w:keepNext/>
              <w:keepLines/>
              <w:tabs>
                <w:tab w:val="decimal" w:pos="256"/>
              </w:tabs>
              <w:spacing w:before="60" w:after="60"/>
              <w:jc w:val="center"/>
              <w:rPr>
                <w:sz w:val="14"/>
                <w:szCs w:val="14"/>
              </w:rPr>
            </w:pPr>
            <w:r>
              <w:rPr>
                <w:sz w:val="14"/>
                <w:szCs w:val="14"/>
              </w:rPr>
              <w:t>3.38</w:t>
            </w:r>
            <w:r w:rsidRPr="00E33C16">
              <w:rPr>
                <w:sz w:val="14"/>
                <w:szCs w:val="14"/>
              </w:rPr>
              <w:t>%</w:t>
            </w:r>
          </w:p>
        </w:tc>
        <w:tc>
          <w:tcPr>
            <w:tcW w:w="681" w:type="dxa"/>
          </w:tcPr>
          <w:p w14:paraId="6E41C905" w14:textId="029B0B06" w:rsidR="00A421D9" w:rsidRPr="008F735E" w:rsidRDefault="00A421D9" w:rsidP="00A41A0E">
            <w:pPr>
              <w:keepNext/>
              <w:keepLines/>
              <w:tabs>
                <w:tab w:val="decimal" w:pos="256"/>
              </w:tabs>
              <w:spacing w:before="60" w:after="60"/>
              <w:jc w:val="center"/>
              <w:rPr>
                <w:sz w:val="14"/>
                <w:szCs w:val="14"/>
              </w:rPr>
            </w:pPr>
            <w:r>
              <w:rPr>
                <w:sz w:val="14"/>
                <w:szCs w:val="14"/>
              </w:rPr>
              <w:t>3.38</w:t>
            </w:r>
            <w:r w:rsidRPr="00E33C16">
              <w:rPr>
                <w:sz w:val="14"/>
                <w:szCs w:val="14"/>
              </w:rPr>
              <w:t>%</w:t>
            </w:r>
          </w:p>
        </w:tc>
        <w:tc>
          <w:tcPr>
            <w:tcW w:w="651" w:type="dxa"/>
          </w:tcPr>
          <w:p w14:paraId="6CC9A46D" w14:textId="5170BBBC" w:rsidR="00A421D9" w:rsidRPr="008F735E" w:rsidRDefault="00A421D9" w:rsidP="00A41A0E">
            <w:pPr>
              <w:keepNext/>
              <w:keepLines/>
              <w:tabs>
                <w:tab w:val="decimal" w:pos="256"/>
              </w:tabs>
              <w:spacing w:before="60" w:after="60"/>
              <w:jc w:val="center"/>
              <w:rPr>
                <w:sz w:val="14"/>
                <w:szCs w:val="14"/>
              </w:rPr>
            </w:pPr>
            <w:r>
              <w:rPr>
                <w:sz w:val="14"/>
                <w:szCs w:val="14"/>
              </w:rPr>
              <w:t>3.38</w:t>
            </w:r>
            <w:r w:rsidRPr="00E33C16">
              <w:rPr>
                <w:sz w:val="14"/>
                <w:szCs w:val="14"/>
              </w:rPr>
              <w:t>%</w:t>
            </w:r>
          </w:p>
        </w:tc>
        <w:tc>
          <w:tcPr>
            <w:tcW w:w="666" w:type="dxa"/>
          </w:tcPr>
          <w:p w14:paraId="0EB5D1D4" w14:textId="534726BA" w:rsidR="00A421D9" w:rsidRPr="008F735E" w:rsidRDefault="00A421D9" w:rsidP="00A41A0E">
            <w:pPr>
              <w:keepNext/>
              <w:keepLines/>
              <w:tabs>
                <w:tab w:val="decimal" w:pos="256"/>
              </w:tabs>
              <w:spacing w:before="60" w:after="60"/>
              <w:jc w:val="center"/>
              <w:rPr>
                <w:sz w:val="14"/>
                <w:szCs w:val="14"/>
              </w:rPr>
            </w:pPr>
            <w:r>
              <w:rPr>
                <w:sz w:val="14"/>
                <w:szCs w:val="14"/>
              </w:rPr>
              <w:t>3.38</w:t>
            </w:r>
            <w:r w:rsidRPr="00E33C16">
              <w:rPr>
                <w:sz w:val="14"/>
                <w:szCs w:val="14"/>
              </w:rPr>
              <w:t>%</w:t>
            </w:r>
          </w:p>
        </w:tc>
        <w:tc>
          <w:tcPr>
            <w:tcW w:w="667" w:type="dxa"/>
          </w:tcPr>
          <w:p w14:paraId="703F589A" w14:textId="3297A220" w:rsidR="00A421D9" w:rsidRPr="008F735E" w:rsidRDefault="00A421D9" w:rsidP="00A41A0E">
            <w:pPr>
              <w:keepNext/>
              <w:keepLines/>
              <w:tabs>
                <w:tab w:val="decimal" w:pos="256"/>
              </w:tabs>
              <w:spacing w:before="60" w:after="60"/>
              <w:jc w:val="center"/>
              <w:rPr>
                <w:sz w:val="14"/>
                <w:szCs w:val="14"/>
              </w:rPr>
            </w:pPr>
            <w:r>
              <w:rPr>
                <w:sz w:val="14"/>
                <w:szCs w:val="14"/>
              </w:rPr>
              <w:t>3.38</w:t>
            </w:r>
            <w:r w:rsidRPr="00E33C16">
              <w:rPr>
                <w:sz w:val="14"/>
                <w:szCs w:val="14"/>
              </w:rPr>
              <w:t>%</w:t>
            </w:r>
          </w:p>
        </w:tc>
        <w:tc>
          <w:tcPr>
            <w:tcW w:w="1134" w:type="dxa"/>
          </w:tcPr>
          <w:p w14:paraId="4936FAB0" w14:textId="034A296B" w:rsidR="00A421D9" w:rsidRPr="008F735E" w:rsidRDefault="00A421D9" w:rsidP="00A41A0E">
            <w:pPr>
              <w:keepNext/>
              <w:keepLines/>
              <w:tabs>
                <w:tab w:val="decimal" w:pos="256"/>
              </w:tabs>
              <w:spacing w:before="60" w:after="60"/>
              <w:jc w:val="center"/>
              <w:rPr>
                <w:sz w:val="14"/>
                <w:szCs w:val="14"/>
              </w:rPr>
            </w:pPr>
            <w:r>
              <w:rPr>
                <w:sz w:val="14"/>
                <w:szCs w:val="14"/>
              </w:rPr>
              <w:t>3.38</w:t>
            </w:r>
            <w:r w:rsidRPr="00E33C16">
              <w:rPr>
                <w:sz w:val="14"/>
                <w:szCs w:val="14"/>
              </w:rPr>
              <w:t>%</w:t>
            </w:r>
          </w:p>
        </w:tc>
        <w:tc>
          <w:tcPr>
            <w:tcW w:w="851" w:type="dxa"/>
          </w:tcPr>
          <w:p w14:paraId="5D3C1DC2" w14:textId="2682716A" w:rsidR="00A421D9" w:rsidRPr="008F735E" w:rsidRDefault="00A421D9" w:rsidP="00A41A0E">
            <w:pPr>
              <w:keepNext/>
              <w:keepLines/>
              <w:tabs>
                <w:tab w:val="decimal" w:pos="256"/>
              </w:tabs>
              <w:spacing w:before="60" w:after="60"/>
              <w:jc w:val="center"/>
              <w:rPr>
                <w:sz w:val="14"/>
                <w:szCs w:val="14"/>
              </w:rPr>
            </w:pPr>
            <w:r>
              <w:rPr>
                <w:sz w:val="14"/>
                <w:szCs w:val="14"/>
              </w:rPr>
              <w:t>3.38</w:t>
            </w:r>
            <w:r w:rsidRPr="00E33C16">
              <w:rPr>
                <w:sz w:val="14"/>
                <w:szCs w:val="14"/>
              </w:rPr>
              <w:t>%</w:t>
            </w:r>
          </w:p>
        </w:tc>
        <w:tc>
          <w:tcPr>
            <w:tcW w:w="1134" w:type="dxa"/>
          </w:tcPr>
          <w:p w14:paraId="664E83ED" w14:textId="4BA4BBB0" w:rsidR="00A421D9" w:rsidRPr="008F735E" w:rsidRDefault="00A421D9" w:rsidP="00A41A0E">
            <w:pPr>
              <w:keepNext/>
              <w:keepLines/>
              <w:tabs>
                <w:tab w:val="decimal" w:pos="256"/>
              </w:tabs>
              <w:spacing w:before="60" w:after="60"/>
              <w:jc w:val="center"/>
              <w:rPr>
                <w:sz w:val="14"/>
                <w:szCs w:val="14"/>
              </w:rPr>
            </w:pPr>
            <w:r>
              <w:rPr>
                <w:sz w:val="14"/>
                <w:szCs w:val="14"/>
              </w:rPr>
              <w:t>2.99</w:t>
            </w:r>
            <w:r w:rsidRPr="00E33C16">
              <w:rPr>
                <w:sz w:val="14"/>
                <w:szCs w:val="14"/>
              </w:rPr>
              <w:t>%</w:t>
            </w:r>
          </w:p>
        </w:tc>
        <w:tc>
          <w:tcPr>
            <w:tcW w:w="921" w:type="dxa"/>
          </w:tcPr>
          <w:p w14:paraId="6D27FCE0" w14:textId="048D4450" w:rsidR="00A421D9" w:rsidRPr="008F735E" w:rsidRDefault="00A421D9" w:rsidP="00A41A0E">
            <w:pPr>
              <w:keepNext/>
              <w:keepLines/>
              <w:tabs>
                <w:tab w:val="decimal" w:pos="256"/>
              </w:tabs>
              <w:spacing w:before="60" w:after="60"/>
              <w:jc w:val="center"/>
              <w:rPr>
                <w:sz w:val="14"/>
                <w:szCs w:val="14"/>
              </w:rPr>
            </w:pPr>
            <w:r>
              <w:rPr>
                <w:sz w:val="14"/>
                <w:szCs w:val="14"/>
              </w:rPr>
              <w:t>2.43</w:t>
            </w:r>
            <w:r w:rsidRPr="00E33C16">
              <w:rPr>
                <w:sz w:val="14"/>
                <w:szCs w:val="14"/>
              </w:rPr>
              <w:t>%</w:t>
            </w:r>
          </w:p>
        </w:tc>
      </w:tr>
      <w:tr w:rsidR="00A421D9" w:rsidRPr="008F735E" w14:paraId="5C9175EA" w14:textId="77777777" w:rsidTr="00841651">
        <w:tc>
          <w:tcPr>
            <w:tcW w:w="1347" w:type="dxa"/>
            <w:shd w:val="clear" w:color="auto" w:fill="auto"/>
            <w:vAlign w:val="bottom"/>
          </w:tcPr>
          <w:p w14:paraId="2240E5B9" w14:textId="4515F75F" w:rsidR="00A421D9" w:rsidRPr="008F735E" w:rsidRDefault="00A421D9" w:rsidP="00A41A0E">
            <w:pPr>
              <w:keepNext/>
              <w:keepLines/>
              <w:tabs>
                <w:tab w:val="left" w:pos="106"/>
              </w:tabs>
              <w:spacing w:before="60" w:after="60"/>
              <w:jc w:val="left"/>
              <w:rPr>
                <w:b/>
                <w:bCs/>
                <w:sz w:val="14"/>
                <w:szCs w:val="14"/>
              </w:rPr>
            </w:pPr>
            <w:r w:rsidRPr="008F735E">
              <w:rPr>
                <w:b/>
                <w:bCs/>
                <w:sz w:val="14"/>
                <w:szCs w:val="14"/>
              </w:rPr>
              <w:t>EMTR</w:t>
            </w:r>
            <w:r w:rsidR="00CC2A61">
              <w:rPr>
                <w:b/>
                <w:bCs/>
                <w:sz w:val="14"/>
                <w:szCs w:val="14"/>
              </w:rPr>
              <w:t>s</w:t>
            </w:r>
          </w:p>
        </w:tc>
        <w:tc>
          <w:tcPr>
            <w:tcW w:w="992" w:type="dxa"/>
          </w:tcPr>
          <w:p w14:paraId="2EB9B9C8" w14:textId="77777777" w:rsidR="00A421D9" w:rsidRPr="008F735E" w:rsidRDefault="00A421D9" w:rsidP="00A41A0E">
            <w:pPr>
              <w:keepNext/>
              <w:keepLines/>
              <w:tabs>
                <w:tab w:val="decimal" w:pos="256"/>
              </w:tabs>
              <w:spacing w:before="60" w:after="60"/>
              <w:jc w:val="center"/>
              <w:rPr>
                <w:sz w:val="14"/>
                <w:szCs w:val="14"/>
              </w:rPr>
            </w:pPr>
          </w:p>
        </w:tc>
        <w:tc>
          <w:tcPr>
            <w:tcW w:w="737" w:type="dxa"/>
          </w:tcPr>
          <w:p w14:paraId="261903C0" w14:textId="77777777" w:rsidR="00A421D9" w:rsidRPr="008F735E" w:rsidRDefault="00A421D9" w:rsidP="00A41A0E">
            <w:pPr>
              <w:keepNext/>
              <w:keepLines/>
              <w:tabs>
                <w:tab w:val="decimal" w:pos="256"/>
              </w:tabs>
              <w:spacing w:before="60" w:after="60"/>
              <w:jc w:val="center"/>
              <w:rPr>
                <w:sz w:val="14"/>
                <w:szCs w:val="14"/>
              </w:rPr>
            </w:pPr>
          </w:p>
        </w:tc>
        <w:tc>
          <w:tcPr>
            <w:tcW w:w="681" w:type="dxa"/>
          </w:tcPr>
          <w:p w14:paraId="28B1AB47" w14:textId="77777777" w:rsidR="00A421D9" w:rsidRPr="008F735E" w:rsidRDefault="00A421D9" w:rsidP="00A41A0E">
            <w:pPr>
              <w:keepNext/>
              <w:keepLines/>
              <w:tabs>
                <w:tab w:val="decimal" w:pos="256"/>
              </w:tabs>
              <w:spacing w:before="60" w:after="60"/>
              <w:jc w:val="center"/>
              <w:rPr>
                <w:sz w:val="14"/>
                <w:szCs w:val="14"/>
              </w:rPr>
            </w:pPr>
          </w:p>
        </w:tc>
        <w:tc>
          <w:tcPr>
            <w:tcW w:w="651" w:type="dxa"/>
          </w:tcPr>
          <w:p w14:paraId="4304840E" w14:textId="77777777" w:rsidR="00A421D9" w:rsidRPr="008F735E" w:rsidRDefault="00A421D9" w:rsidP="00A41A0E">
            <w:pPr>
              <w:keepNext/>
              <w:keepLines/>
              <w:tabs>
                <w:tab w:val="decimal" w:pos="256"/>
              </w:tabs>
              <w:spacing w:before="60" w:after="60"/>
              <w:jc w:val="center"/>
              <w:rPr>
                <w:sz w:val="14"/>
                <w:szCs w:val="14"/>
              </w:rPr>
            </w:pPr>
          </w:p>
        </w:tc>
        <w:tc>
          <w:tcPr>
            <w:tcW w:w="666" w:type="dxa"/>
          </w:tcPr>
          <w:p w14:paraId="1F4AEEF2" w14:textId="77777777" w:rsidR="00A421D9" w:rsidRPr="008F735E" w:rsidRDefault="00A421D9" w:rsidP="00A41A0E">
            <w:pPr>
              <w:keepNext/>
              <w:keepLines/>
              <w:tabs>
                <w:tab w:val="decimal" w:pos="256"/>
              </w:tabs>
              <w:spacing w:before="60" w:after="60"/>
              <w:jc w:val="center"/>
              <w:rPr>
                <w:sz w:val="14"/>
                <w:szCs w:val="14"/>
              </w:rPr>
            </w:pPr>
          </w:p>
        </w:tc>
        <w:tc>
          <w:tcPr>
            <w:tcW w:w="667" w:type="dxa"/>
          </w:tcPr>
          <w:p w14:paraId="18BD75EF" w14:textId="77777777" w:rsidR="00A421D9" w:rsidRPr="008F735E" w:rsidRDefault="00A421D9" w:rsidP="00A41A0E">
            <w:pPr>
              <w:keepNext/>
              <w:keepLines/>
              <w:tabs>
                <w:tab w:val="decimal" w:pos="256"/>
              </w:tabs>
              <w:spacing w:before="60" w:after="60"/>
              <w:jc w:val="center"/>
              <w:rPr>
                <w:sz w:val="14"/>
                <w:szCs w:val="14"/>
              </w:rPr>
            </w:pPr>
          </w:p>
        </w:tc>
        <w:tc>
          <w:tcPr>
            <w:tcW w:w="1134" w:type="dxa"/>
          </w:tcPr>
          <w:p w14:paraId="37621842" w14:textId="77777777" w:rsidR="00A421D9" w:rsidRPr="008F735E" w:rsidRDefault="00A421D9" w:rsidP="00A41A0E">
            <w:pPr>
              <w:keepNext/>
              <w:keepLines/>
              <w:tabs>
                <w:tab w:val="decimal" w:pos="256"/>
              </w:tabs>
              <w:spacing w:before="60" w:after="60"/>
              <w:jc w:val="center"/>
              <w:rPr>
                <w:sz w:val="14"/>
                <w:szCs w:val="14"/>
              </w:rPr>
            </w:pPr>
          </w:p>
        </w:tc>
        <w:tc>
          <w:tcPr>
            <w:tcW w:w="851" w:type="dxa"/>
          </w:tcPr>
          <w:p w14:paraId="49496BED" w14:textId="77777777" w:rsidR="00A421D9" w:rsidRPr="008F735E" w:rsidRDefault="00A421D9" w:rsidP="00A41A0E">
            <w:pPr>
              <w:keepNext/>
              <w:keepLines/>
              <w:tabs>
                <w:tab w:val="decimal" w:pos="256"/>
              </w:tabs>
              <w:spacing w:before="60" w:after="60"/>
              <w:jc w:val="center"/>
              <w:rPr>
                <w:sz w:val="14"/>
                <w:szCs w:val="14"/>
              </w:rPr>
            </w:pPr>
          </w:p>
        </w:tc>
        <w:tc>
          <w:tcPr>
            <w:tcW w:w="1134" w:type="dxa"/>
          </w:tcPr>
          <w:p w14:paraId="20BE35AC" w14:textId="77777777" w:rsidR="00A421D9" w:rsidRPr="008F735E" w:rsidRDefault="00A421D9" w:rsidP="00A41A0E">
            <w:pPr>
              <w:keepNext/>
              <w:keepLines/>
              <w:tabs>
                <w:tab w:val="decimal" w:pos="256"/>
              </w:tabs>
              <w:spacing w:before="60" w:after="60"/>
              <w:jc w:val="center"/>
              <w:rPr>
                <w:sz w:val="14"/>
                <w:szCs w:val="14"/>
              </w:rPr>
            </w:pPr>
          </w:p>
        </w:tc>
        <w:tc>
          <w:tcPr>
            <w:tcW w:w="921" w:type="dxa"/>
          </w:tcPr>
          <w:p w14:paraId="3C1DC168" w14:textId="77777777" w:rsidR="00A421D9" w:rsidRPr="008F735E" w:rsidRDefault="00A421D9" w:rsidP="00A41A0E">
            <w:pPr>
              <w:keepNext/>
              <w:keepLines/>
              <w:tabs>
                <w:tab w:val="decimal" w:pos="256"/>
              </w:tabs>
              <w:spacing w:before="60" w:after="60"/>
              <w:jc w:val="center"/>
              <w:rPr>
                <w:sz w:val="14"/>
                <w:szCs w:val="14"/>
              </w:rPr>
            </w:pPr>
          </w:p>
        </w:tc>
      </w:tr>
      <w:tr w:rsidR="00A421D9" w:rsidRPr="008F735E" w14:paraId="22418315" w14:textId="77777777" w:rsidTr="00841651">
        <w:tc>
          <w:tcPr>
            <w:tcW w:w="1347" w:type="dxa"/>
            <w:shd w:val="clear" w:color="auto" w:fill="auto"/>
            <w:vAlign w:val="bottom"/>
          </w:tcPr>
          <w:p w14:paraId="5365889E" w14:textId="060D6267" w:rsidR="00A421D9" w:rsidRPr="008F735E" w:rsidRDefault="00A421D9" w:rsidP="00A41A0E">
            <w:pPr>
              <w:keepNext/>
              <w:keepLines/>
              <w:tabs>
                <w:tab w:val="left" w:pos="106"/>
              </w:tabs>
              <w:spacing w:before="60" w:after="60"/>
              <w:jc w:val="left"/>
              <w:rPr>
                <w:sz w:val="14"/>
                <w:szCs w:val="14"/>
              </w:rPr>
            </w:pPr>
            <w:r w:rsidRPr="008F735E">
              <w:rPr>
                <w:sz w:val="14"/>
                <w:szCs w:val="14"/>
              </w:rPr>
              <w:tab/>
            </w:r>
            <w:r>
              <w:rPr>
                <w:sz w:val="14"/>
                <w:szCs w:val="14"/>
              </w:rPr>
              <w:t>Status quo</w:t>
            </w:r>
          </w:p>
        </w:tc>
        <w:tc>
          <w:tcPr>
            <w:tcW w:w="992" w:type="dxa"/>
          </w:tcPr>
          <w:p w14:paraId="793703D7" w14:textId="42EC91E4" w:rsidR="00A421D9" w:rsidRPr="008F735E" w:rsidRDefault="00A421D9" w:rsidP="00A41A0E">
            <w:pPr>
              <w:keepNext/>
              <w:keepLines/>
              <w:tabs>
                <w:tab w:val="decimal" w:pos="256"/>
              </w:tabs>
              <w:spacing w:before="60" w:after="60"/>
              <w:jc w:val="center"/>
              <w:rPr>
                <w:sz w:val="14"/>
                <w:szCs w:val="14"/>
              </w:rPr>
            </w:pPr>
            <w:r>
              <w:rPr>
                <w:sz w:val="14"/>
                <w:szCs w:val="14"/>
              </w:rPr>
              <w:t>21.3</w:t>
            </w:r>
            <w:r w:rsidRPr="00055618">
              <w:rPr>
                <w:sz w:val="14"/>
                <w:szCs w:val="14"/>
              </w:rPr>
              <w:t>%</w:t>
            </w:r>
          </w:p>
        </w:tc>
        <w:tc>
          <w:tcPr>
            <w:tcW w:w="737" w:type="dxa"/>
          </w:tcPr>
          <w:p w14:paraId="4E9B4544" w14:textId="0A379D99" w:rsidR="00A421D9" w:rsidRPr="008F735E" w:rsidRDefault="00A421D9" w:rsidP="00A41A0E">
            <w:pPr>
              <w:keepNext/>
              <w:keepLines/>
              <w:tabs>
                <w:tab w:val="decimal" w:pos="256"/>
              </w:tabs>
              <w:spacing w:before="60" w:after="60"/>
              <w:jc w:val="center"/>
              <w:rPr>
                <w:sz w:val="14"/>
                <w:szCs w:val="14"/>
              </w:rPr>
            </w:pPr>
            <w:r>
              <w:rPr>
                <w:sz w:val="14"/>
                <w:szCs w:val="14"/>
              </w:rPr>
              <w:t>27.6</w:t>
            </w:r>
            <w:r w:rsidRPr="00055618">
              <w:rPr>
                <w:sz w:val="14"/>
                <w:szCs w:val="14"/>
              </w:rPr>
              <w:t>%</w:t>
            </w:r>
          </w:p>
        </w:tc>
        <w:tc>
          <w:tcPr>
            <w:tcW w:w="681" w:type="dxa"/>
          </w:tcPr>
          <w:p w14:paraId="35BD2CC7" w14:textId="7A49F2CE" w:rsidR="00A421D9" w:rsidRPr="008F735E" w:rsidRDefault="00A421D9" w:rsidP="00A41A0E">
            <w:pPr>
              <w:keepNext/>
              <w:keepLines/>
              <w:tabs>
                <w:tab w:val="decimal" w:pos="256"/>
              </w:tabs>
              <w:spacing w:before="60" w:after="60"/>
              <w:jc w:val="center"/>
              <w:rPr>
                <w:sz w:val="14"/>
                <w:szCs w:val="14"/>
              </w:rPr>
            </w:pPr>
            <w:r>
              <w:rPr>
                <w:sz w:val="14"/>
                <w:szCs w:val="14"/>
              </w:rPr>
              <w:t>27.0</w:t>
            </w:r>
            <w:r w:rsidRPr="00055618">
              <w:rPr>
                <w:sz w:val="14"/>
                <w:szCs w:val="14"/>
              </w:rPr>
              <w:t>%</w:t>
            </w:r>
          </w:p>
        </w:tc>
        <w:tc>
          <w:tcPr>
            <w:tcW w:w="651" w:type="dxa"/>
          </w:tcPr>
          <w:p w14:paraId="356B976D" w14:textId="0387CE0D" w:rsidR="00A421D9" w:rsidRPr="008F735E" w:rsidRDefault="00A421D9" w:rsidP="00A41A0E">
            <w:pPr>
              <w:keepNext/>
              <w:keepLines/>
              <w:tabs>
                <w:tab w:val="decimal" w:pos="256"/>
              </w:tabs>
              <w:spacing w:before="60" w:after="60"/>
              <w:jc w:val="center"/>
              <w:rPr>
                <w:sz w:val="14"/>
                <w:szCs w:val="14"/>
              </w:rPr>
            </w:pPr>
            <w:r>
              <w:rPr>
                <w:sz w:val="14"/>
                <w:szCs w:val="14"/>
              </w:rPr>
              <w:t>23.7</w:t>
            </w:r>
            <w:r w:rsidRPr="00055618">
              <w:rPr>
                <w:sz w:val="14"/>
                <w:szCs w:val="14"/>
              </w:rPr>
              <w:t>%</w:t>
            </w:r>
          </w:p>
        </w:tc>
        <w:tc>
          <w:tcPr>
            <w:tcW w:w="666" w:type="dxa"/>
          </w:tcPr>
          <w:p w14:paraId="7B9CEEDC" w14:textId="2EA62427" w:rsidR="00A421D9" w:rsidRPr="008F735E" w:rsidRDefault="00A421D9" w:rsidP="00A41A0E">
            <w:pPr>
              <w:keepNext/>
              <w:keepLines/>
              <w:tabs>
                <w:tab w:val="decimal" w:pos="256"/>
              </w:tabs>
              <w:spacing w:before="60" w:after="60"/>
              <w:jc w:val="center"/>
              <w:rPr>
                <w:sz w:val="14"/>
                <w:szCs w:val="14"/>
              </w:rPr>
            </w:pPr>
            <w:r>
              <w:rPr>
                <w:sz w:val="14"/>
                <w:szCs w:val="14"/>
              </w:rPr>
              <w:t>20.1</w:t>
            </w:r>
            <w:r w:rsidRPr="00055618">
              <w:rPr>
                <w:sz w:val="14"/>
                <w:szCs w:val="14"/>
              </w:rPr>
              <w:t>%</w:t>
            </w:r>
          </w:p>
        </w:tc>
        <w:tc>
          <w:tcPr>
            <w:tcW w:w="667" w:type="dxa"/>
          </w:tcPr>
          <w:p w14:paraId="4E846BF3" w14:textId="799FFF8F" w:rsidR="00A421D9" w:rsidRPr="008F735E" w:rsidRDefault="00A421D9" w:rsidP="00A41A0E">
            <w:pPr>
              <w:keepNext/>
              <w:keepLines/>
              <w:tabs>
                <w:tab w:val="decimal" w:pos="256"/>
              </w:tabs>
              <w:spacing w:before="60" w:after="60"/>
              <w:jc w:val="center"/>
              <w:rPr>
                <w:sz w:val="14"/>
                <w:szCs w:val="14"/>
              </w:rPr>
            </w:pPr>
            <w:r>
              <w:rPr>
                <w:sz w:val="14"/>
                <w:szCs w:val="14"/>
              </w:rPr>
              <w:t>17.3</w:t>
            </w:r>
            <w:r w:rsidRPr="00055618">
              <w:rPr>
                <w:sz w:val="14"/>
                <w:szCs w:val="14"/>
              </w:rPr>
              <w:t>%</w:t>
            </w:r>
          </w:p>
        </w:tc>
        <w:tc>
          <w:tcPr>
            <w:tcW w:w="1134" w:type="dxa"/>
          </w:tcPr>
          <w:p w14:paraId="492E3732" w14:textId="5F76717E" w:rsidR="00A421D9" w:rsidRPr="008F735E" w:rsidRDefault="00A421D9" w:rsidP="00A41A0E">
            <w:pPr>
              <w:keepNext/>
              <w:keepLines/>
              <w:tabs>
                <w:tab w:val="decimal" w:pos="256"/>
              </w:tabs>
              <w:spacing w:before="60" w:after="60"/>
              <w:jc w:val="center"/>
              <w:rPr>
                <w:sz w:val="14"/>
                <w:szCs w:val="14"/>
              </w:rPr>
            </w:pPr>
            <w:r>
              <w:rPr>
                <w:sz w:val="14"/>
                <w:szCs w:val="14"/>
              </w:rPr>
              <w:t>11.3</w:t>
            </w:r>
            <w:r w:rsidRPr="00055618">
              <w:rPr>
                <w:sz w:val="14"/>
                <w:szCs w:val="14"/>
              </w:rPr>
              <w:t>%</w:t>
            </w:r>
          </w:p>
        </w:tc>
        <w:tc>
          <w:tcPr>
            <w:tcW w:w="851" w:type="dxa"/>
          </w:tcPr>
          <w:p w14:paraId="0D0864EA" w14:textId="6553D31E" w:rsidR="00A421D9" w:rsidRPr="008F735E" w:rsidRDefault="00A421D9" w:rsidP="00A41A0E">
            <w:pPr>
              <w:keepNext/>
              <w:keepLines/>
              <w:tabs>
                <w:tab w:val="decimal" w:pos="256"/>
              </w:tabs>
              <w:spacing w:before="60" w:after="60"/>
              <w:jc w:val="center"/>
              <w:rPr>
                <w:sz w:val="14"/>
                <w:szCs w:val="14"/>
              </w:rPr>
            </w:pPr>
            <w:r>
              <w:rPr>
                <w:sz w:val="14"/>
                <w:szCs w:val="14"/>
              </w:rPr>
              <w:t>27.6</w:t>
            </w:r>
            <w:r w:rsidRPr="00055618">
              <w:rPr>
                <w:sz w:val="14"/>
                <w:szCs w:val="14"/>
              </w:rPr>
              <w:t>%</w:t>
            </w:r>
          </w:p>
        </w:tc>
        <w:tc>
          <w:tcPr>
            <w:tcW w:w="1134" w:type="dxa"/>
          </w:tcPr>
          <w:p w14:paraId="16142021" w14:textId="5879A160" w:rsidR="00A421D9" w:rsidRPr="008F735E" w:rsidRDefault="00A421D9" w:rsidP="00A41A0E">
            <w:pPr>
              <w:keepNext/>
              <w:keepLines/>
              <w:tabs>
                <w:tab w:val="decimal" w:pos="256"/>
              </w:tabs>
              <w:spacing w:before="60" w:after="60"/>
              <w:jc w:val="center"/>
              <w:rPr>
                <w:sz w:val="14"/>
                <w:szCs w:val="14"/>
              </w:rPr>
            </w:pPr>
            <w:r>
              <w:rPr>
                <w:sz w:val="14"/>
                <w:szCs w:val="14"/>
              </w:rPr>
              <w:t>-0.3</w:t>
            </w:r>
            <w:r w:rsidRPr="00055618">
              <w:rPr>
                <w:sz w:val="14"/>
                <w:szCs w:val="14"/>
              </w:rPr>
              <w:t>%</w:t>
            </w:r>
          </w:p>
        </w:tc>
        <w:tc>
          <w:tcPr>
            <w:tcW w:w="921" w:type="dxa"/>
          </w:tcPr>
          <w:p w14:paraId="1D215188" w14:textId="237BA0F5" w:rsidR="00A421D9" w:rsidRPr="008F735E" w:rsidRDefault="00A421D9" w:rsidP="00A41A0E">
            <w:pPr>
              <w:keepNext/>
              <w:keepLines/>
              <w:tabs>
                <w:tab w:val="decimal" w:pos="256"/>
              </w:tabs>
              <w:spacing w:before="60" w:after="60"/>
              <w:jc w:val="center"/>
              <w:rPr>
                <w:sz w:val="14"/>
                <w:szCs w:val="14"/>
              </w:rPr>
            </w:pPr>
            <w:r>
              <w:rPr>
                <w:sz w:val="14"/>
                <w:szCs w:val="14"/>
              </w:rPr>
              <w:t>-23.3</w:t>
            </w:r>
            <w:r w:rsidRPr="00055618">
              <w:rPr>
                <w:sz w:val="14"/>
                <w:szCs w:val="14"/>
              </w:rPr>
              <w:t>%</w:t>
            </w:r>
          </w:p>
        </w:tc>
      </w:tr>
      <w:tr w:rsidR="00A421D9" w:rsidRPr="008F735E" w14:paraId="1346BE11" w14:textId="77777777" w:rsidTr="00841651">
        <w:tc>
          <w:tcPr>
            <w:tcW w:w="1347" w:type="dxa"/>
            <w:shd w:val="clear" w:color="auto" w:fill="auto"/>
            <w:vAlign w:val="bottom"/>
          </w:tcPr>
          <w:p w14:paraId="464E8AB4" w14:textId="620486B7" w:rsidR="00A421D9" w:rsidRPr="008F735E" w:rsidRDefault="00A421D9" w:rsidP="00A41A0E">
            <w:pPr>
              <w:keepNext/>
              <w:keepLines/>
              <w:tabs>
                <w:tab w:val="left" w:pos="106"/>
              </w:tabs>
              <w:spacing w:before="60" w:after="60"/>
              <w:jc w:val="left"/>
              <w:rPr>
                <w:sz w:val="14"/>
                <w:szCs w:val="14"/>
              </w:rPr>
            </w:pPr>
            <w:r w:rsidRPr="008F735E">
              <w:rPr>
                <w:sz w:val="14"/>
                <w:szCs w:val="14"/>
              </w:rPr>
              <w:tab/>
            </w:r>
            <w:r>
              <w:rPr>
                <w:sz w:val="14"/>
                <w:szCs w:val="14"/>
              </w:rPr>
              <w:t>Fully index</w:t>
            </w:r>
          </w:p>
        </w:tc>
        <w:tc>
          <w:tcPr>
            <w:tcW w:w="992" w:type="dxa"/>
          </w:tcPr>
          <w:p w14:paraId="4E2BFF92" w14:textId="4EFCB7F2" w:rsidR="00A421D9" w:rsidRPr="008F735E" w:rsidRDefault="00A421D9" w:rsidP="00A41A0E">
            <w:pPr>
              <w:keepNext/>
              <w:keepLines/>
              <w:tabs>
                <w:tab w:val="decimal" w:pos="256"/>
              </w:tabs>
              <w:spacing w:before="60" w:after="60"/>
              <w:jc w:val="center"/>
              <w:rPr>
                <w:sz w:val="14"/>
                <w:szCs w:val="14"/>
              </w:rPr>
            </w:pPr>
            <w:r>
              <w:rPr>
                <w:sz w:val="14"/>
                <w:szCs w:val="14"/>
              </w:rPr>
              <w:t>22.0</w:t>
            </w:r>
            <w:r w:rsidRPr="00055618">
              <w:rPr>
                <w:sz w:val="14"/>
                <w:szCs w:val="14"/>
              </w:rPr>
              <w:t>%</w:t>
            </w:r>
          </w:p>
        </w:tc>
        <w:tc>
          <w:tcPr>
            <w:tcW w:w="737" w:type="dxa"/>
          </w:tcPr>
          <w:p w14:paraId="08F85843" w14:textId="74178DCA" w:rsidR="00A421D9" w:rsidRPr="008F735E" w:rsidRDefault="00A421D9" w:rsidP="00A41A0E">
            <w:pPr>
              <w:keepNext/>
              <w:keepLines/>
              <w:tabs>
                <w:tab w:val="decimal" w:pos="256"/>
              </w:tabs>
              <w:spacing w:before="60" w:after="60"/>
              <w:jc w:val="center"/>
              <w:rPr>
                <w:sz w:val="14"/>
                <w:szCs w:val="14"/>
              </w:rPr>
            </w:pPr>
            <w:r>
              <w:rPr>
                <w:sz w:val="14"/>
                <w:szCs w:val="14"/>
              </w:rPr>
              <w:t>18.7</w:t>
            </w:r>
            <w:r w:rsidRPr="00055618">
              <w:rPr>
                <w:sz w:val="14"/>
                <w:szCs w:val="14"/>
              </w:rPr>
              <w:t>%</w:t>
            </w:r>
          </w:p>
        </w:tc>
        <w:tc>
          <w:tcPr>
            <w:tcW w:w="681" w:type="dxa"/>
          </w:tcPr>
          <w:p w14:paraId="3A5EBC1C" w14:textId="3D84CF67" w:rsidR="00A421D9" w:rsidRPr="008F735E" w:rsidRDefault="00A421D9" w:rsidP="00A41A0E">
            <w:pPr>
              <w:keepNext/>
              <w:keepLines/>
              <w:tabs>
                <w:tab w:val="decimal" w:pos="256"/>
              </w:tabs>
              <w:spacing w:before="60" w:after="60"/>
              <w:jc w:val="center"/>
              <w:rPr>
                <w:sz w:val="14"/>
                <w:szCs w:val="14"/>
              </w:rPr>
            </w:pPr>
            <w:r>
              <w:rPr>
                <w:sz w:val="14"/>
                <w:szCs w:val="14"/>
              </w:rPr>
              <w:t>18.7</w:t>
            </w:r>
            <w:r w:rsidRPr="00055618">
              <w:rPr>
                <w:sz w:val="14"/>
                <w:szCs w:val="14"/>
              </w:rPr>
              <w:t>%</w:t>
            </w:r>
          </w:p>
        </w:tc>
        <w:tc>
          <w:tcPr>
            <w:tcW w:w="651" w:type="dxa"/>
          </w:tcPr>
          <w:p w14:paraId="5F6359BC" w14:textId="7C7B8501" w:rsidR="00A421D9" w:rsidRPr="008F735E" w:rsidRDefault="00A421D9" w:rsidP="00A41A0E">
            <w:pPr>
              <w:keepNext/>
              <w:keepLines/>
              <w:tabs>
                <w:tab w:val="decimal" w:pos="256"/>
              </w:tabs>
              <w:spacing w:before="60" w:after="60"/>
              <w:jc w:val="center"/>
              <w:rPr>
                <w:sz w:val="14"/>
                <w:szCs w:val="14"/>
              </w:rPr>
            </w:pPr>
            <w:r>
              <w:rPr>
                <w:sz w:val="14"/>
                <w:szCs w:val="14"/>
              </w:rPr>
              <w:t>18.7</w:t>
            </w:r>
            <w:r w:rsidRPr="00055618">
              <w:rPr>
                <w:sz w:val="14"/>
                <w:szCs w:val="14"/>
              </w:rPr>
              <w:t>%</w:t>
            </w:r>
          </w:p>
        </w:tc>
        <w:tc>
          <w:tcPr>
            <w:tcW w:w="666" w:type="dxa"/>
          </w:tcPr>
          <w:p w14:paraId="017659CB" w14:textId="27431F5C" w:rsidR="00A421D9" w:rsidRPr="008F735E" w:rsidRDefault="00A421D9" w:rsidP="00A41A0E">
            <w:pPr>
              <w:keepNext/>
              <w:keepLines/>
              <w:tabs>
                <w:tab w:val="decimal" w:pos="256"/>
              </w:tabs>
              <w:spacing w:before="60" w:after="60"/>
              <w:jc w:val="center"/>
              <w:rPr>
                <w:sz w:val="14"/>
                <w:szCs w:val="14"/>
              </w:rPr>
            </w:pPr>
            <w:r>
              <w:rPr>
                <w:sz w:val="14"/>
                <w:szCs w:val="14"/>
              </w:rPr>
              <w:t>18.7</w:t>
            </w:r>
            <w:r w:rsidRPr="00055618">
              <w:rPr>
                <w:sz w:val="14"/>
                <w:szCs w:val="14"/>
              </w:rPr>
              <w:t>%</w:t>
            </w:r>
          </w:p>
        </w:tc>
        <w:tc>
          <w:tcPr>
            <w:tcW w:w="667" w:type="dxa"/>
          </w:tcPr>
          <w:p w14:paraId="345F61B7" w14:textId="7C038219" w:rsidR="00A421D9" w:rsidRPr="008F735E" w:rsidRDefault="00A421D9" w:rsidP="00A41A0E">
            <w:pPr>
              <w:keepNext/>
              <w:keepLines/>
              <w:tabs>
                <w:tab w:val="decimal" w:pos="256"/>
              </w:tabs>
              <w:spacing w:before="60" w:after="60"/>
              <w:jc w:val="center"/>
              <w:rPr>
                <w:sz w:val="14"/>
                <w:szCs w:val="14"/>
              </w:rPr>
            </w:pPr>
            <w:r>
              <w:rPr>
                <w:sz w:val="14"/>
                <w:szCs w:val="14"/>
              </w:rPr>
              <w:t>18.7</w:t>
            </w:r>
            <w:r w:rsidRPr="00055618">
              <w:rPr>
                <w:sz w:val="14"/>
                <w:szCs w:val="14"/>
              </w:rPr>
              <w:t>%</w:t>
            </w:r>
          </w:p>
        </w:tc>
        <w:tc>
          <w:tcPr>
            <w:tcW w:w="1134" w:type="dxa"/>
          </w:tcPr>
          <w:p w14:paraId="4A348053" w14:textId="5759F815" w:rsidR="00A421D9" w:rsidRPr="008F735E" w:rsidRDefault="00A421D9" w:rsidP="00A41A0E">
            <w:pPr>
              <w:keepNext/>
              <w:keepLines/>
              <w:tabs>
                <w:tab w:val="decimal" w:pos="256"/>
              </w:tabs>
              <w:spacing w:before="60" w:after="60"/>
              <w:jc w:val="center"/>
              <w:rPr>
                <w:sz w:val="14"/>
                <w:szCs w:val="14"/>
              </w:rPr>
            </w:pPr>
            <w:r>
              <w:rPr>
                <w:sz w:val="14"/>
                <w:szCs w:val="14"/>
              </w:rPr>
              <w:t>18.7</w:t>
            </w:r>
            <w:r w:rsidRPr="00055618">
              <w:rPr>
                <w:sz w:val="14"/>
                <w:szCs w:val="14"/>
              </w:rPr>
              <w:t>%</w:t>
            </w:r>
          </w:p>
        </w:tc>
        <w:tc>
          <w:tcPr>
            <w:tcW w:w="851" w:type="dxa"/>
          </w:tcPr>
          <w:p w14:paraId="5B2BC322" w14:textId="60FF43D7" w:rsidR="00A421D9" w:rsidRPr="008F735E" w:rsidRDefault="00A421D9" w:rsidP="00A41A0E">
            <w:pPr>
              <w:keepNext/>
              <w:keepLines/>
              <w:tabs>
                <w:tab w:val="decimal" w:pos="256"/>
              </w:tabs>
              <w:spacing w:before="60" w:after="60"/>
              <w:jc w:val="center"/>
              <w:rPr>
                <w:sz w:val="14"/>
                <w:szCs w:val="14"/>
              </w:rPr>
            </w:pPr>
            <w:r>
              <w:rPr>
                <w:sz w:val="14"/>
                <w:szCs w:val="14"/>
              </w:rPr>
              <w:t>18.7</w:t>
            </w:r>
            <w:r w:rsidRPr="00055618">
              <w:rPr>
                <w:sz w:val="14"/>
                <w:szCs w:val="14"/>
              </w:rPr>
              <w:t>%</w:t>
            </w:r>
          </w:p>
        </w:tc>
        <w:tc>
          <w:tcPr>
            <w:tcW w:w="1134" w:type="dxa"/>
          </w:tcPr>
          <w:p w14:paraId="38E9E2BE" w14:textId="2E5AADC2" w:rsidR="00A421D9" w:rsidRPr="008F735E" w:rsidRDefault="00A421D9" w:rsidP="00A41A0E">
            <w:pPr>
              <w:keepNext/>
              <w:keepLines/>
              <w:tabs>
                <w:tab w:val="decimal" w:pos="256"/>
              </w:tabs>
              <w:spacing w:before="60" w:after="60"/>
              <w:jc w:val="center"/>
              <w:rPr>
                <w:sz w:val="14"/>
                <w:szCs w:val="14"/>
              </w:rPr>
            </w:pPr>
            <w:r>
              <w:rPr>
                <w:sz w:val="14"/>
                <w:szCs w:val="14"/>
              </w:rPr>
              <w:t>9.2</w:t>
            </w:r>
            <w:r w:rsidRPr="00055618">
              <w:rPr>
                <w:sz w:val="14"/>
                <w:szCs w:val="14"/>
              </w:rPr>
              <w:t>%</w:t>
            </w:r>
          </w:p>
        </w:tc>
        <w:tc>
          <w:tcPr>
            <w:tcW w:w="921" w:type="dxa"/>
          </w:tcPr>
          <w:p w14:paraId="7FAC625E" w14:textId="0866F619" w:rsidR="00A421D9" w:rsidRPr="008F735E" w:rsidRDefault="00A421D9" w:rsidP="00A41A0E">
            <w:pPr>
              <w:keepNext/>
              <w:keepLines/>
              <w:tabs>
                <w:tab w:val="decimal" w:pos="256"/>
              </w:tabs>
              <w:spacing w:before="60" w:after="60"/>
              <w:jc w:val="center"/>
              <w:rPr>
                <w:sz w:val="14"/>
                <w:szCs w:val="14"/>
              </w:rPr>
            </w:pPr>
            <w:r>
              <w:rPr>
                <w:sz w:val="14"/>
                <w:szCs w:val="14"/>
              </w:rPr>
              <w:t>-12.9</w:t>
            </w:r>
            <w:r w:rsidRPr="00055618">
              <w:rPr>
                <w:sz w:val="14"/>
                <w:szCs w:val="14"/>
              </w:rPr>
              <w:t>%</w:t>
            </w:r>
          </w:p>
        </w:tc>
      </w:tr>
      <w:tr w:rsidR="00A421D9" w:rsidRPr="008F735E" w14:paraId="32DAEE91" w14:textId="77777777" w:rsidTr="00841651">
        <w:tc>
          <w:tcPr>
            <w:tcW w:w="1347" w:type="dxa"/>
            <w:shd w:val="clear" w:color="auto" w:fill="auto"/>
            <w:vAlign w:val="bottom"/>
          </w:tcPr>
          <w:p w14:paraId="1BF646DA" w14:textId="5A506511" w:rsidR="00A421D9" w:rsidRPr="008F735E" w:rsidRDefault="00A421D9" w:rsidP="00A41A0E">
            <w:pPr>
              <w:keepNext/>
              <w:keepLines/>
              <w:tabs>
                <w:tab w:val="left" w:pos="106"/>
              </w:tabs>
              <w:spacing w:before="60" w:after="60"/>
              <w:ind w:left="108" w:hanging="108"/>
              <w:jc w:val="left"/>
              <w:rPr>
                <w:sz w:val="14"/>
                <w:szCs w:val="14"/>
              </w:rPr>
            </w:pPr>
            <w:r w:rsidRPr="008F735E">
              <w:rPr>
                <w:sz w:val="14"/>
                <w:szCs w:val="14"/>
              </w:rPr>
              <w:tab/>
            </w:r>
            <w:r>
              <w:rPr>
                <w:sz w:val="14"/>
                <w:szCs w:val="14"/>
              </w:rPr>
              <w:t>Index dep</w:t>
            </w:r>
            <w:r w:rsidR="001B0AFD">
              <w:rPr>
                <w:sz w:val="14"/>
                <w:szCs w:val="14"/>
              </w:rPr>
              <w:t>reciation and</w:t>
            </w:r>
            <w:r>
              <w:rPr>
                <w:sz w:val="14"/>
                <w:szCs w:val="14"/>
              </w:rPr>
              <w:t xml:space="preserve"> </w:t>
            </w:r>
            <w:r w:rsidRPr="00EB67D1">
              <w:rPr>
                <w:sz w:val="14"/>
                <w:szCs w:val="14"/>
              </w:rPr>
              <w:t>in</w:t>
            </w:r>
            <w:r w:rsidR="001B0AFD" w:rsidRPr="00EB67D1">
              <w:rPr>
                <w:sz w:val="14"/>
                <w:szCs w:val="14"/>
              </w:rPr>
              <w:t>ventor</w:t>
            </w:r>
            <w:r w:rsidR="00F55B95">
              <w:rPr>
                <w:sz w:val="14"/>
                <w:szCs w:val="14"/>
              </w:rPr>
              <w:t>y</w:t>
            </w:r>
          </w:p>
        </w:tc>
        <w:tc>
          <w:tcPr>
            <w:tcW w:w="992" w:type="dxa"/>
          </w:tcPr>
          <w:p w14:paraId="5208E745" w14:textId="75B0EC30" w:rsidR="00A421D9" w:rsidRPr="008F735E" w:rsidRDefault="00A421D9" w:rsidP="00A41A0E">
            <w:pPr>
              <w:keepNext/>
              <w:keepLines/>
              <w:tabs>
                <w:tab w:val="decimal" w:pos="256"/>
              </w:tabs>
              <w:spacing w:before="60" w:after="60"/>
              <w:jc w:val="center"/>
              <w:rPr>
                <w:sz w:val="14"/>
                <w:szCs w:val="14"/>
              </w:rPr>
            </w:pPr>
            <w:r>
              <w:rPr>
                <w:sz w:val="14"/>
                <w:szCs w:val="14"/>
              </w:rPr>
              <w:t>15.0</w:t>
            </w:r>
            <w:r w:rsidRPr="00055618">
              <w:rPr>
                <w:sz w:val="14"/>
                <w:szCs w:val="14"/>
              </w:rPr>
              <w:t>%</w:t>
            </w:r>
          </w:p>
        </w:tc>
        <w:tc>
          <w:tcPr>
            <w:tcW w:w="737" w:type="dxa"/>
          </w:tcPr>
          <w:p w14:paraId="3A9D263F" w14:textId="357EC725" w:rsidR="00A421D9" w:rsidRPr="008F735E" w:rsidRDefault="00A421D9" w:rsidP="00A41A0E">
            <w:pPr>
              <w:keepNext/>
              <w:keepLines/>
              <w:tabs>
                <w:tab w:val="decimal" w:pos="256"/>
              </w:tabs>
              <w:spacing w:before="60" w:after="60"/>
              <w:jc w:val="center"/>
              <w:rPr>
                <w:sz w:val="14"/>
                <w:szCs w:val="14"/>
              </w:rPr>
            </w:pPr>
            <w:r>
              <w:rPr>
                <w:sz w:val="14"/>
                <w:szCs w:val="14"/>
              </w:rPr>
              <w:t>11.3</w:t>
            </w:r>
            <w:r w:rsidRPr="00055618">
              <w:rPr>
                <w:sz w:val="14"/>
                <w:szCs w:val="14"/>
              </w:rPr>
              <w:t>%</w:t>
            </w:r>
          </w:p>
        </w:tc>
        <w:tc>
          <w:tcPr>
            <w:tcW w:w="681" w:type="dxa"/>
          </w:tcPr>
          <w:p w14:paraId="39D1131B" w14:textId="5302E4E7" w:rsidR="00A421D9" w:rsidRPr="008F735E" w:rsidRDefault="00A421D9" w:rsidP="00A41A0E">
            <w:pPr>
              <w:keepNext/>
              <w:keepLines/>
              <w:tabs>
                <w:tab w:val="decimal" w:pos="256"/>
              </w:tabs>
              <w:spacing w:before="60" w:after="60"/>
              <w:jc w:val="center"/>
              <w:rPr>
                <w:sz w:val="14"/>
                <w:szCs w:val="14"/>
              </w:rPr>
            </w:pPr>
            <w:r>
              <w:rPr>
                <w:sz w:val="14"/>
                <w:szCs w:val="14"/>
              </w:rPr>
              <w:t>11.3</w:t>
            </w:r>
            <w:r w:rsidRPr="00055618">
              <w:rPr>
                <w:sz w:val="14"/>
                <w:szCs w:val="14"/>
              </w:rPr>
              <w:t>%</w:t>
            </w:r>
          </w:p>
        </w:tc>
        <w:tc>
          <w:tcPr>
            <w:tcW w:w="651" w:type="dxa"/>
          </w:tcPr>
          <w:p w14:paraId="24D6D2F2" w14:textId="33A506B8" w:rsidR="00A421D9" w:rsidRPr="008F735E" w:rsidRDefault="00A421D9" w:rsidP="00A41A0E">
            <w:pPr>
              <w:keepNext/>
              <w:keepLines/>
              <w:tabs>
                <w:tab w:val="decimal" w:pos="256"/>
              </w:tabs>
              <w:spacing w:before="60" w:after="60"/>
              <w:jc w:val="center"/>
              <w:rPr>
                <w:sz w:val="14"/>
                <w:szCs w:val="14"/>
              </w:rPr>
            </w:pPr>
            <w:r>
              <w:rPr>
                <w:sz w:val="14"/>
                <w:szCs w:val="14"/>
              </w:rPr>
              <w:t>11.3</w:t>
            </w:r>
            <w:r w:rsidRPr="00055618">
              <w:rPr>
                <w:sz w:val="14"/>
                <w:szCs w:val="14"/>
              </w:rPr>
              <w:t>%</w:t>
            </w:r>
          </w:p>
        </w:tc>
        <w:tc>
          <w:tcPr>
            <w:tcW w:w="666" w:type="dxa"/>
          </w:tcPr>
          <w:p w14:paraId="6067431D" w14:textId="0F9D9FEE" w:rsidR="00A421D9" w:rsidRPr="008F735E" w:rsidRDefault="00A421D9" w:rsidP="00A41A0E">
            <w:pPr>
              <w:keepNext/>
              <w:keepLines/>
              <w:tabs>
                <w:tab w:val="decimal" w:pos="256"/>
              </w:tabs>
              <w:spacing w:before="60" w:after="60"/>
              <w:jc w:val="center"/>
              <w:rPr>
                <w:sz w:val="14"/>
                <w:szCs w:val="14"/>
              </w:rPr>
            </w:pPr>
            <w:r>
              <w:rPr>
                <w:sz w:val="14"/>
                <w:szCs w:val="14"/>
              </w:rPr>
              <w:t>11.3</w:t>
            </w:r>
            <w:r w:rsidRPr="00055618">
              <w:rPr>
                <w:sz w:val="14"/>
                <w:szCs w:val="14"/>
              </w:rPr>
              <w:t>%</w:t>
            </w:r>
          </w:p>
        </w:tc>
        <w:tc>
          <w:tcPr>
            <w:tcW w:w="667" w:type="dxa"/>
          </w:tcPr>
          <w:p w14:paraId="74868806" w14:textId="1660F8EA" w:rsidR="00A421D9" w:rsidRPr="008F735E" w:rsidRDefault="00A421D9" w:rsidP="00A41A0E">
            <w:pPr>
              <w:keepNext/>
              <w:keepLines/>
              <w:tabs>
                <w:tab w:val="decimal" w:pos="256"/>
              </w:tabs>
              <w:spacing w:before="60" w:after="60"/>
              <w:jc w:val="center"/>
              <w:rPr>
                <w:sz w:val="14"/>
                <w:szCs w:val="14"/>
              </w:rPr>
            </w:pPr>
            <w:r>
              <w:rPr>
                <w:sz w:val="14"/>
                <w:szCs w:val="14"/>
              </w:rPr>
              <w:t>11.3</w:t>
            </w:r>
            <w:r w:rsidRPr="00055618">
              <w:rPr>
                <w:sz w:val="14"/>
                <w:szCs w:val="14"/>
              </w:rPr>
              <w:t>%</w:t>
            </w:r>
          </w:p>
        </w:tc>
        <w:tc>
          <w:tcPr>
            <w:tcW w:w="1134" w:type="dxa"/>
          </w:tcPr>
          <w:p w14:paraId="681D3BDF" w14:textId="7E4E46B6" w:rsidR="00A421D9" w:rsidRPr="008F735E" w:rsidRDefault="00A421D9" w:rsidP="00A41A0E">
            <w:pPr>
              <w:keepNext/>
              <w:keepLines/>
              <w:tabs>
                <w:tab w:val="decimal" w:pos="256"/>
              </w:tabs>
              <w:spacing w:before="60" w:after="60"/>
              <w:jc w:val="center"/>
              <w:rPr>
                <w:sz w:val="14"/>
                <w:szCs w:val="14"/>
              </w:rPr>
            </w:pPr>
            <w:r>
              <w:rPr>
                <w:sz w:val="14"/>
                <w:szCs w:val="14"/>
              </w:rPr>
              <w:t>11.3</w:t>
            </w:r>
            <w:r w:rsidRPr="00055618">
              <w:rPr>
                <w:sz w:val="14"/>
                <w:szCs w:val="14"/>
              </w:rPr>
              <w:t>%</w:t>
            </w:r>
          </w:p>
        </w:tc>
        <w:tc>
          <w:tcPr>
            <w:tcW w:w="851" w:type="dxa"/>
          </w:tcPr>
          <w:p w14:paraId="448ED738" w14:textId="125D4A97" w:rsidR="00A421D9" w:rsidRPr="008F735E" w:rsidRDefault="00A421D9" w:rsidP="00A41A0E">
            <w:pPr>
              <w:keepNext/>
              <w:keepLines/>
              <w:tabs>
                <w:tab w:val="decimal" w:pos="256"/>
              </w:tabs>
              <w:spacing w:before="60" w:after="60"/>
              <w:jc w:val="center"/>
              <w:rPr>
                <w:sz w:val="14"/>
                <w:szCs w:val="14"/>
              </w:rPr>
            </w:pPr>
            <w:r>
              <w:rPr>
                <w:sz w:val="14"/>
                <w:szCs w:val="14"/>
              </w:rPr>
              <w:t>11.3</w:t>
            </w:r>
            <w:r w:rsidRPr="00055618">
              <w:rPr>
                <w:sz w:val="14"/>
                <w:szCs w:val="14"/>
              </w:rPr>
              <w:t>%</w:t>
            </w:r>
          </w:p>
        </w:tc>
        <w:tc>
          <w:tcPr>
            <w:tcW w:w="1134" w:type="dxa"/>
          </w:tcPr>
          <w:p w14:paraId="36E346D4" w14:textId="5D3B166E" w:rsidR="00A421D9" w:rsidRPr="008F735E" w:rsidRDefault="00A421D9" w:rsidP="00A41A0E">
            <w:pPr>
              <w:keepNext/>
              <w:keepLines/>
              <w:tabs>
                <w:tab w:val="decimal" w:pos="256"/>
              </w:tabs>
              <w:spacing w:before="60" w:after="60"/>
              <w:jc w:val="center"/>
              <w:rPr>
                <w:sz w:val="14"/>
                <w:szCs w:val="14"/>
              </w:rPr>
            </w:pPr>
            <w:r>
              <w:rPr>
                <w:sz w:val="14"/>
                <w:szCs w:val="14"/>
              </w:rPr>
              <w:t>-0.3</w:t>
            </w:r>
            <w:r w:rsidRPr="00055618">
              <w:rPr>
                <w:sz w:val="14"/>
                <w:szCs w:val="14"/>
              </w:rPr>
              <w:t>%</w:t>
            </w:r>
          </w:p>
        </w:tc>
        <w:tc>
          <w:tcPr>
            <w:tcW w:w="921" w:type="dxa"/>
          </w:tcPr>
          <w:p w14:paraId="4820F16E" w14:textId="08AD795D" w:rsidR="00A421D9" w:rsidRPr="008F735E" w:rsidRDefault="00A421D9" w:rsidP="00A41A0E">
            <w:pPr>
              <w:keepNext/>
              <w:keepLines/>
              <w:tabs>
                <w:tab w:val="decimal" w:pos="256"/>
              </w:tabs>
              <w:spacing w:before="60" w:after="60"/>
              <w:jc w:val="center"/>
              <w:rPr>
                <w:sz w:val="14"/>
                <w:szCs w:val="14"/>
              </w:rPr>
            </w:pPr>
            <w:r>
              <w:rPr>
                <w:sz w:val="14"/>
                <w:szCs w:val="14"/>
              </w:rPr>
              <w:t>-23.3</w:t>
            </w:r>
            <w:r w:rsidRPr="00055618">
              <w:rPr>
                <w:sz w:val="14"/>
                <w:szCs w:val="14"/>
              </w:rPr>
              <w:t>%</w:t>
            </w:r>
          </w:p>
        </w:tc>
      </w:tr>
    </w:tbl>
    <w:p w14:paraId="7832E5CE" w14:textId="77777777" w:rsidR="001B3AE0" w:rsidRPr="0009166B" w:rsidRDefault="001B3AE0" w:rsidP="00075D72">
      <w:pPr>
        <w:pStyle w:val="NumberedParagraph"/>
      </w:pPr>
      <w:r w:rsidRPr="0009166B">
        <w:t>We draw attention to the following points:</w:t>
      </w:r>
    </w:p>
    <w:p w14:paraId="53A70938" w14:textId="3228981F" w:rsidR="001B3AE0" w:rsidRPr="0009166B" w:rsidRDefault="001B3AE0" w:rsidP="00075D72">
      <w:pPr>
        <w:pStyle w:val="NumberedParagraph-BulletL1"/>
      </w:pPr>
      <w:r w:rsidRPr="0009166B">
        <w:t xml:space="preserve">As was </w:t>
      </w:r>
      <w:r w:rsidRPr="00915A79">
        <w:t xml:space="preserve">discussed in chapter </w:t>
      </w:r>
      <w:r w:rsidRPr="0059107C">
        <w:t>4</w:t>
      </w:r>
      <w:r w:rsidRPr="00915A79">
        <w:t>, the current</w:t>
      </w:r>
      <w:r w:rsidRPr="0009166B">
        <w:t xml:space="preserve"> tax rules can result in costs of capital and EMTRs that vary significantly — from an EMTR of 27.6% for very short-lived PME and inventories to </w:t>
      </w:r>
      <w:r w:rsidR="00EE6388">
        <w:t xml:space="preserve">an EMTR of </w:t>
      </w:r>
      <w:r w:rsidRPr="0009166B">
        <w:t>-23.3% for assets that can be expensed.</w:t>
      </w:r>
    </w:p>
    <w:p w14:paraId="4A198D13" w14:textId="77777777" w:rsidR="001B3AE0" w:rsidRPr="0009166B" w:rsidRDefault="001B3AE0" w:rsidP="00075D72">
      <w:pPr>
        <w:pStyle w:val="NumberedParagraph-BulletL1"/>
      </w:pPr>
      <w:r w:rsidRPr="0009166B">
        <w:t>Comprehensive indexation would be a way of reducing higher EMTRs and making these more neutral.</w:t>
      </w:r>
    </w:p>
    <w:p w14:paraId="5145E2AD" w14:textId="77777777" w:rsidR="001B3AE0" w:rsidRPr="0009166B" w:rsidRDefault="001B3AE0" w:rsidP="00075D72">
      <w:pPr>
        <w:pStyle w:val="NumberedParagraph-BulletL2"/>
      </w:pPr>
      <w:r w:rsidRPr="0009166B">
        <w:t>EMTRs for short-lived PME and inventories would fall from 27.6% to 18.7%. Rather than taxes pushing up the hurdle rate of return by 1.14 percentage points from 3.0% to 4.14%, they would only be pushing up the hurdle rate of return by 0.69 percentage points.</w:t>
      </w:r>
    </w:p>
    <w:p w14:paraId="0115D959" w14:textId="760C41EA" w:rsidR="001B3AE0" w:rsidRPr="0009166B" w:rsidRDefault="001B3AE0" w:rsidP="00075D72">
      <w:pPr>
        <w:pStyle w:val="NumberedParagraph-BulletL2"/>
      </w:pPr>
      <w:r w:rsidRPr="0009166B">
        <w:t>Under our assumptions, the EMTRs for all different types of PME, zero</w:t>
      </w:r>
      <w:r w:rsidR="00191E06">
        <w:t>-</w:t>
      </w:r>
      <w:r w:rsidRPr="0009166B">
        <w:t>depreciation assets and inventory would all be the same (although differences would arise in practice because tax depreciation rates will never reflect economic depreciation rates perfectly).</w:t>
      </w:r>
    </w:p>
    <w:p w14:paraId="3E3FDE49" w14:textId="204B9E59" w:rsidR="001B3AE0" w:rsidRPr="0009166B" w:rsidRDefault="001B3AE0" w:rsidP="00075D72">
      <w:pPr>
        <w:pStyle w:val="NumberedParagraph-BulletL2"/>
      </w:pPr>
      <w:r w:rsidRPr="0009166B">
        <w:t>The negative EMTRs for assets that can be expensed would become less negative (changing from -23.3% to -12.9%</w:t>
      </w:r>
      <w:r w:rsidR="0090403A">
        <w:t>),</w:t>
      </w:r>
      <w:r w:rsidRPr="0009166B">
        <w:t xml:space="preserve"> which means that the tax subsidy for these investments would be reduced, promoting tax neutrality.</w:t>
      </w:r>
    </w:p>
    <w:p w14:paraId="333F5DC7" w14:textId="77777777" w:rsidR="001B3AE0" w:rsidRPr="0009166B" w:rsidRDefault="001B3AE0" w:rsidP="00075D72">
      <w:pPr>
        <w:pStyle w:val="NumberedParagraph-BulletL2"/>
      </w:pPr>
      <w:r w:rsidRPr="0009166B">
        <w:t>An anomaly would be the tax treatment of commercial and industrial buildings, and there would be a case for considering a higher tax depreciation rate for these buildings if we had a fully indexed tax system.</w:t>
      </w:r>
    </w:p>
    <w:p w14:paraId="20FD76A2" w14:textId="2E97D60D" w:rsidR="001B3AE0" w:rsidRDefault="001B3AE0" w:rsidP="00075D72">
      <w:pPr>
        <w:pStyle w:val="NumberedParagraph-BulletL1"/>
      </w:pPr>
      <w:r w:rsidRPr="002F1B57">
        <w:t xml:space="preserve">Only indexing depreciation allowances and inventories might be a way of reducing costs of capital and EMTRs and </w:t>
      </w:r>
      <w:r w:rsidRPr="002B5395">
        <w:t>making them more neutral.</w:t>
      </w:r>
    </w:p>
    <w:p w14:paraId="36BCE870" w14:textId="7AD8649B" w:rsidR="001B3AE0" w:rsidRPr="002B5395" w:rsidRDefault="001B3AE0" w:rsidP="00075D72">
      <w:pPr>
        <w:pStyle w:val="NumberedParagraph-BulletL1"/>
      </w:pPr>
      <w:r w:rsidRPr="002F1B57">
        <w:t xml:space="preserve">While not reported in the table, </w:t>
      </w:r>
      <w:r w:rsidR="006D2090">
        <w:t xml:space="preserve">only </w:t>
      </w:r>
      <w:r w:rsidR="00F96DEF">
        <w:t>indexing depreciation all</w:t>
      </w:r>
      <w:r w:rsidR="006D2090">
        <w:t>owances and inventories</w:t>
      </w:r>
      <w:r w:rsidRPr="002F1B57">
        <w:t xml:space="preserve"> could sometimes lead to inefficient tax subsidies. This can be </w:t>
      </w:r>
      <w:r w:rsidRPr="002F1B57">
        <w:lastRenderedPageBreak/>
        <w:t xml:space="preserve">true for domestic companies with marginal foreign shareholders </w:t>
      </w:r>
      <w:r w:rsidR="00D15311">
        <w:t>that</w:t>
      </w:r>
      <w:r w:rsidRPr="002F1B57">
        <w:t xml:space="preserve"> are sufficiently debt fin</w:t>
      </w:r>
      <w:r w:rsidRPr="00E342AC">
        <w:t>anced. It can also be true for domestic SMEs where New Zealand residents are marginal shareholders. The analysis</w:t>
      </w:r>
      <w:r w:rsidRPr="0009166B">
        <w:t xml:space="preserve"> parallels the discussion in </w:t>
      </w:r>
      <w:r w:rsidR="00972DBE">
        <w:t>t</w:t>
      </w:r>
      <w:r w:rsidRPr="0009166B">
        <w:t xml:space="preserve">able </w:t>
      </w:r>
      <w:r>
        <w:t>7.2</w:t>
      </w:r>
      <w:r w:rsidRPr="0009166B">
        <w:t xml:space="preserve"> above</w:t>
      </w:r>
      <w:r w:rsidR="00203A76">
        <w:t>,</w:t>
      </w:r>
      <w:r w:rsidRPr="0009166B">
        <w:t xml:space="preserve"> which considered the effects of accelerated depreciation measures.</w:t>
      </w:r>
    </w:p>
    <w:p w14:paraId="082DE463" w14:textId="77777777" w:rsidR="001B3AE0" w:rsidRPr="0009166B" w:rsidRDefault="001B3AE0" w:rsidP="001B3AE0">
      <w:pPr>
        <w:pStyle w:val="Heading2"/>
        <w:rPr>
          <w:rFonts w:eastAsia="Calibri"/>
          <w:lang w:eastAsia="en-US"/>
        </w:rPr>
      </w:pPr>
      <w:bookmarkStart w:id="54" w:name="_Toc96585556"/>
      <w:r w:rsidRPr="0009166B">
        <w:rPr>
          <w:rFonts w:eastAsia="Calibri"/>
          <w:lang w:eastAsia="en-US"/>
        </w:rPr>
        <w:t>Pros and cons of comprehensive indexation</w:t>
      </w:r>
      <w:bookmarkEnd w:id="54"/>
    </w:p>
    <w:p w14:paraId="639F5951" w14:textId="66A9D1DE" w:rsidR="001B3AE0" w:rsidRPr="0009166B" w:rsidRDefault="001B3AE0" w:rsidP="00075D72">
      <w:pPr>
        <w:pStyle w:val="NumberedParagraph"/>
      </w:pPr>
      <w:r w:rsidRPr="0009166B">
        <w:t>Comprehensive indexation of the tax system for inflation would reduce tax distortions and improve economic efficiency and horizontal equity. The EMTRs on different investments would be more consistent. Table</w:t>
      </w:r>
      <w:r>
        <w:t xml:space="preserve"> 8.1</w:t>
      </w:r>
      <w:r w:rsidRPr="0009166B">
        <w:t xml:space="preserve"> shows how the range of EMTRs would narrow for firms with an average level of debt finance (that is</w:t>
      </w:r>
      <w:r w:rsidR="001A29BB">
        <w:t>,</w:t>
      </w:r>
      <w:r w:rsidRPr="0009166B">
        <w:t xml:space="preserve"> 43% debt finance). While it is not directly reported in table </w:t>
      </w:r>
      <w:r>
        <w:t>8.1</w:t>
      </w:r>
      <w:r w:rsidR="001A29BB">
        <w:t>,</w:t>
      </w:r>
      <w:r w:rsidRPr="0009166B">
        <w:t xml:space="preserve"> it is evident that full indexation would also reduce biases between debt and equity finance by limiting interest deductions to only real interest expense.</w:t>
      </w:r>
    </w:p>
    <w:p w14:paraId="733270D5" w14:textId="5A989268" w:rsidR="001B3AE0" w:rsidRPr="0009166B" w:rsidRDefault="001B3AE0" w:rsidP="00075D72">
      <w:pPr>
        <w:pStyle w:val="NumberedParagraph"/>
      </w:pPr>
      <w:r w:rsidRPr="0009166B">
        <w:t xml:space="preserve">Indexation would get to the heart of the problem of removing biases in measuring the tax base </w:t>
      </w:r>
      <w:r w:rsidR="00870D53">
        <w:t>that</w:t>
      </w:r>
      <w:r w:rsidRPr="0009166B">
        <w:t xml:space="preserve"> are caused by inflation. In this regard, indexation could be better at mitigating the tax effects of inflation than other more ad hoc measures, which can introduce further biases into the tax system.</w:t>
      </w:r>
    </w:p>
    <w:p w14:paraId="711F979B" w14:textId="61E08AEA" w:rsidR="001B3AE0" w:rsidRPr="0009166B" w:rsidRDefault="001B3AE0" w:rsidP="00075D72">
      <w:pPr>
        <w:pStyle w:val="NumberedParagraph"/>
      </w:pPr>
      <w:r w:rsidRPr="0009166B">
        <w:t xml:space="preserve">However, comprehensively indexing the tax system for inflation using the Consultative Document approach would require adjustments to the rules for capital assets, trading stock, depreciation, and interest and financial arrangements (as </w:t>
      </w:r>
      <w:r w:rsidR="00B716FF">
        <w:t xml:space="preserve">set </w:t>
      </w:r>
      <w:r w:rsidRPr="0009166B">
        <w:t xml:space="preserve">out above). Of these adjustments, those required for interest income and expense from financial arrangements </w:t>
      </w:r>
      <w:r w:rsidR="00385BDF">
        <w:t>would be</w:t>
      </w:r>
      <w:r w:rsidRPr="0009166B">
        <w:t xml:space="preserve"> the most complex</w:t>
      </w:r>
      <w:r w:rsidR="00385BDF">
        <w:t>,</w:t>
      </w:r>
      <w:r w:rsidRPr="0009166B">
        <w:t xml:space="preserve"> particularly for financial arrangements involving foreign currency or derivatives. Where taxpayers have financial transactions with New Zealand financial institutions, complexities could normally be removed for most taxpayers by the financial institutions advising on the real component of interest income and interest expense. However, at times financial transactions will not involve New Zealand financial institutions</w:t>
      </w:r>
      <w:r w:rsidR="001E1318">
        <w:t>,</w:t>
      </w:r>
      <w:r w:rsidRPr="0009166B">
        <w:t xml:space="preserve"> and in this case</w:t>
      </w:r>
      <w:r w:rsidR="001E1318">
        <w:t>,</w:t>
      </w:r>
      <w:r w:rsidRPr="0009166B">
        <w:t xml:space="preserve"> sophisticated tax calculations might sometimes be required of relatively unsophisticated New Zealand taxpayers.</w:t>
      </w:r>
    </w:p>
    <w:p w14:paraId="64081BCE" w14:textId="77777777" w:rsidR="001B3AE0" w:rsidRPr="0009166B" w:rsidRDefault="001B3AE0" w:rsidP="00075D72">
      <w:pPr>
        <w:pStyle w:val="NumberedParagraph"/>
      </w:pPr>
      <w:r w:rsidRPr="0009166B">
        <w:t>The main issues with indexing are its complexity and practicality, which can lead to high compliance and administrative costs. No OECD country currently comprehensively inflation indexes their tax system. At the same time, advances in technology and the widespread uptake of accounting software may in time make comprehensive indexation more feasible.</w:t>
      </w:r>
    </w:p>
    <w:p w14:paraId="261F897A" w14:textId="77777777" w:rsidR="001B3AE0" w:rsidRPr="0009166B" w:rsidRDefault="001B3AE0" w:rsidP="001B3AE0">
      <w:pPr>
        <w:pStyle w:val="Heading2"/>
        <w:rPr>
          <w:rFonts w:eastAsia="Calibri"/>
          <w:lang w:eastAsia="en-US"/>
        </w:rPr>
      </w:pPr>
      <w:bookmarkStart w:id="55" w:name="_Toc96585557"/>
      <w:r w:rsidRPr="0009166B">
        <w:rPr>
          <w:rFonts w:eastAsia="Calibri"/>
          <w:lang w:eastAsia="en-US"/>
        </w:rPr>
        <w:t>Pros and cons of partial indexation</w:t>
      </w:r>
      <w:bookmarkEnd w:id="55"/>
    </w:p>
    <w:p w14:paraId="22E9C66B" w14:textId="7E3E1097" w:rsidR="001B3AE0" w:rsidRPr="0009166B" w:rsidRDefault="001B3AE0" w:rsidP="00075D72">
      <w:pPr>
        <w:pStyle w:val="NumberedParagraph"/>
      </w:pPr>
      <w:r w:rsidRPr="0009166B">
        <w:t>An alternative approach to comprehensive indexation is partial indexation, which reduces the complexities involved. Partial indexation involves adjusting particular items of income or deduction for inflation. Partial indexation measures adopted by various other countries include:</w:t>
      </w:r>
    </w:p>
    <w:p w14:paraId="7D6DBA14" w14:textId="77777777" w:rsidR="001B3AE0" w:rsidRPr="0009166B" w:rsidRDefault="001B3AE0" w:rsidP="00075D72">
      <w:pPr>
        <w:pStyle w:val="NumberedParagraph-BulletL1"/>
      </w:pPr>
      <w:r w:rsidRPr="0009166B">
        <w:t>Explicit indexation of the basis of depreciable property and of revenue account property in calculating capital gains.</w:t>
      </w:r>
    </w:p>
    <w:p w14:paraId="75888ED8" w14:textId="77777777" w:rsidR="001B3AE0" w:rsidRPr="0009166B" w:rsidRDefault="001B3AE0" w:rsidP="00075D72">
      <w:pPr>
        <w:pStyle w:val="NumberedParagraph-BulletL1"/>
      </w:pPr>
      <w:r w:rsidRPr="0009166B">
        <w:t>Only taxing a portion of the interest (for example, 60%) as a rough proxy for indexation.</w:t>
      </w:r>
    </w:p>
    <w:p w14:paraId="12DCDECC" w14:textId="2E0F6C0A" w:rsidR="001B3AE0" w:rsidRPr="0009166B" w:rsidRDefault="001B3AE0" w:rsidP="00075D72">
      <w:pPr>
        <w:pStyle w:val="NumberedParagraph"/>
      </w:pPr>
      <w:r w:rsidRPr="0009166B">
        <w:t xml:space="preserve">Inflation indexing depreciation deductions and sales of revenue account property or inflation indexing both these and inventories might be ways of both reducing higher EMTRs and also making EMTRs more consistent and neutral. </w:t>
      </w:r>
      <w:r w:rsidRPr="0009166B">
        <w:lastRenderedPageBreak/>
        <w:t>Several OECD countries</w:t>
      </w:r>
      <w:r w:rsidR="007B699F">
        <w:t>,</w:t>
      </w:r>
      <w:r w:rsidRPr="0009166B">
        <w:t xml:space="preserve"> including Chile, Costa Rica, Iceland, Mexico, the Netherlands and Turkey</w:t>
      </w:r>
      <w:r w:rsidR="004D0D26">
        <w:t>,</w:t>
      </w:r>
      <w:r w:rsidRPr="0009166B">
        <w:t xml:space="preserve"> index depreciation deductions for inflation.</w:t>
      </w:r>
      <w:r w:rsidRPr="0009166B">
        <w:rPr>
          <w:vertAlign w:val="superscript"/>
        </w:rPr>
        <w:footnoteReference w:id="29"/>
      </w:r>
      <w:r w:rsidRPr="0009166B">
        <w:t xml:space="preserve"> It would not reduce tax biases between debt and equity investment in companies with non-resident shareholders</w:t>
      </w:r>
      <w:r w:rsidR="004D0D26">
        <w:t>,</w:t>
      </w:r>
      <w:r w:rsidRPr="0009166B">
        <w:t xml:space="preserve"> and it would at times lead to investment subsidies. </w:t>
      </w:r>
      <w:r w:rsidRPr="00053ED8">
        <w:t>At the same time</w:t>
      </w:r>
      <w:r w:rsidR="004D0D26">
        <w:t>,</w:t>
      </w:r>
      <w:r w:rsidRPr="00053ED8">
        <w:t xml:space="preserve"> it might be a more neutral way of promoting investment in depreciable asset</w:t>
      </w:r>
      <w:r w:rsidR="004D0D26">
        <w:t>s</w:t>
      </w:r>
      <w:r w:rsidRPr="00053ED8">
        <w:t xml:space="preserve"> </w:t>
      </w:r>
      <w:r w:rsidRPr="00AC5FA0">
        <w:t xml:space="preserve">than the accelerated depreciation schemes examined in </w:t>
      </w:r>
      <w:r w:rsidRPr="0059107C">
        <w:t>chapter 7</w:t>
      </w:r>
      <w:r w:rsidRPr="00053ED8">
        <w:t>. As</w:t>
      </w:r>
      <w:r w:rsidRPr="0009166B">
        <w:t xml:space="preserve"> with accelerated depreciation measures, it would be less prone to reduce the progressivity and integrity of the personal tax system</w:t>
      </w:r>
      <w:r w:rsidR="00981D87" w:rsidRPr="0009166B">
        <w:t xml:space="preserve"> than a company tax rate cut</w:t>
      </w:r>
      <w:r w:rsidRPr="0009166B">
        <w:t>.</w:t>
      </w:r>
    </w:p>
    <w:p w14:paraId="3E5BE1FF" w14:textId="77777777" w:rsidR="001B3AE0" w:rsidRPr="0009166B" w:rsidRDefault="001B3AE0" w:rsidP="001B3AE0">
      <w:pPr>
        <w:pStyle w:val="Heading2"/>
        <w:rPr>
          <w:rFonts w:eastAsia="Calibri"/>
          <w:lang w:eastAsia="en-US"/>
        </w:rPr>
      </w:pPr>
      <w:bookmarkStart w:id="56" w:name="_Toc96585558"/>
      <w:r w:rsidRPr="0009166B">
        <w:rPr>
          <w:rFonts w:eastAsia="Calibri"/>
          <w:lang w:eastAsia="en-US"/>
        </w:rPr>
        <w:t>The appropriate index</w:t>
      </w:r>
      <w:bookmarkEnd w:id="56"/>
    </w:p>
    <w:p w14:paraId="65F9BBB7" w14:textId="2C331ED7" w:rsidR="001B3AE0" w:rsidRPr="0009166B" w:rsidRDefault="001B3AE0" w:rsidP="00075D72">
      <w:pPr>
        <w:pStyle w:val="NumberedParagraph"/>
      </w:pPr>
      <w:r w:rsidRPr="0009166B">
        <w:t>If the tax system were to be indexed for inflation, using a general price index</w:t>
      </w:r>
      <w:r w:rsidR="00081C0A">
        <w:t>,</w:t>
      </w:r>
      <w:r w:rsidRPr="0009166B">
        <w:t xml:space="preserve"> such as the </w:t>
      </w:r>
      <w:r w:rsidR="003759DA">
        <w:t>consumers price index (</w:t>
      </w:r>
      <w:r w:rsidRPr="0009166B">
        <w:t>CPI</w:t>
      </w:r>
      <w:r w:rsidR="003759DA">
        <w:t>)</w:t>
      </w:r>
      <w:r w:rsidR="00081C0A">
        <w:t>,</w:t>
      </w:r>
      <w:r w:rsidRPr="0009166B">
        <w:t xml:space="preserve"> would seem likely to be the most appropriate price index to use. Ultimately all income is income of individuals and using the CPI would avoid overstating or understating the true incomes that individuals receive.</w:t>
      </w:r>
    </w:p>
    <w:p w14:paraId="38A351A5" w14:textId="20B086CA" w:rsidR="001B3AE0" w:rsidRPr="0009166B" w:rsidRDefault="001B3AE0" w:rsidP="00075D72">
      <w:pPr>
        <w:pStyle w:val="NumberedParagraph"/>
      </w:pPr>
      <w:r w:rsidRPr="0009166B">
        <w:t>The Reserve Bank’s target range for CPI inflation is 1</w:t>
      </w:r>
      <w:r w:rsidR="006349D5">
        <w:t>–</w:t>
      </w:r>
      <w:r w:rsidRPr="0009166B">
        <w:t>3%. Therefore, one option might be to index the income tax base by 2% inflation, which would be in the centre of the range.</w:t>
      </w:r>
    </w:p>
    <w:p w14:paraId="6C7FEB93" w14:textId="77777777" w:rsidR="001B3AE0" w:rsidRPr="0009166B" w:rsidRDefault="001B3AE0" w:rsidP="00075D72">
      <w:pPr>
        <w:pStyle w:val="NumberedParagraph"/>
      </w:pPr>
      <w:r w:rsidRPr="0009166B">
        <w:t>However, prices go up by different amounts. This allows consumers to substitute away from those goods and services that have increased in relative price towards those goods and services whose relative prices have declined. This means that the true cost of inflation to consumers will often be less than the measured increase in the CPI. It might be argued that this should be taken into account if the tax system is indexed. However, other indexation measures do not normally take this into account. We do not, for example, take this sort of effect into account when indexing social assistance for inflation.</w:t>
      </w:r>
    </w:p>
    <w:p w14:paraId="027D4EEE" w14:textId="014A3754" w:rsidR="001B3AE0" w:rsidRPr="0009166B" w:rsidRDefault="001B3AE0" w:rsidP="00075D72">
      <w:pPr>
        <w:pStyle w:val="NumberedParagraph"/>
      </w:pPr>
      <w:r w:rsidRPr="0009166B">
        <w:t xml:space="preserve">Inflationary biases become large when inflation rates are high relative to interest rates. Currently the inflation rate is high and above the Reserve Bank’s target range. Interest rates are </w:t>
      </w:r>
      <w:r w:rsidR="00A26F86">
        <w:t xml:space="preserve">currently </w:t>
      </w:r>
      <w:r w:rsidRPr="0009166B">
        <w:t>low</w:t>
      </w:r>
      <w:r w:rsidR="008507E2">
        <w:t>,</w:t>
      </w:r>
      <w:r w:rsidRPr="0009166B">
        <w:t xml:space="preserve"> although </w:t>
      </w:r>
      <w:r w:rsidR="00A26F86">
        <w:t>they appear to be rising</w:t>
      </w:r>
      <w:r w:rsidRPr="0009166B">
        <w:t>. The case for indexation will depend in part on what happens in the future. If the inflation rate is only temporarily high</w:t>
      </w:r>
      <w:r w:rsidR="004F2A9D">
        <w:t>,</w:t>
      </w:r>
      <w:r w:rsidRPr="0009166B">
        <w:t xml:space="preserve"> and if interest rates are just temporarily low and rise significantly in the future, it might not be worthwhile to index the tax base for inflation given the complexities that this would involve. However, if higher rates of inflation and/or low interest rates continue in the future, there would be a stronger reason to consider whether indexation measures would be sensible</w:t>
      </w:r>
      <w:r w:rsidR="006349D5">
        <w:t>,</w:t>
      </w:r>
      <w:r w:rsidRPr="0009166B">
        <w:t xml:space="preserve"> especially if accounting software packages make this more and more feasible. There might also be other possibilities. For example, reducing the target range for inflation from 1</w:t>
      </w:r>
      <w:r w:rsidR="006349D5">
        <w:t>–</w:t>
      </w:r>
      <w:r w:rsidRPr="0009166B">
        <w:t>3% to 0</w:t>
      </w:r>
      <w:r w:rsidR="006349D5">
        <w:t>–</w:t>
      </w:r>
      <w:r w:rsidRPr="0009166B">
        <w:t>2% might be an alternative approach for moderating the impacts of inflation, but clearly the monetary policy implications of such a change might dominate the tax neutrality aspects.</w:t>
      </w:r>
    </w:p>
    <w:tbl>
      <w:tblPr>
        <w:tblStyle w:val="QuestionsBox"/>
        <w:tblW w:w="0" w:type="auto"/>
        <w:tblLayout w:type="fixed"/>
        <w:tblLook w:val="04A0" w:firstRow="1" w:lastRow="0" w:firstColumn="1" w:lastColumn="0" w:noHBand="0" w:noVBand="1"/>
      </w:tblPr>
      <w:tblGrid>
        <w:gridCol w:w="9016"/>
      </w:tblGrid>
      <w:tr w:rsidR="001B3AE0" w:rsidRPr="0009166B" w14:paraId="6F443DBA" w14:textId="77777777" w:rsidTr="00187016">
        <w:tc>
          <w:tcPr>
            <w:tcW w:w="9016" w:type="dxa"/>
          </w:tcPr>
          <w:p w14:paraId="18FB29E6" w14:textId="201955E7" w:rsidR="00187016" w:rsidRDefault="00187016" w:rsidP="00187016">
            <w:pPr>
              <w:pStyle w:val="Heading2-Questions"/>
              <w:rPr>
                <w:bCs/>
              </w:rPr>
            </w:pPr>
            <w:r w:rsidRPr="0009166B">
              <w:rPr>
                <w:rFonts w:eastAsia="Calibri"/>
                <w:lang w:eastAsia="en-US"/>
              </w:rPr>
              <w:lastRenderedPageBreak/>
              <w:t>Key questions to consider</w:t>
            </w:r>
          </w:p>
          <w:p w14:paraId="0C9DD573" w14:textId="4566EF67" w:rsidR="001B3AE0" w:rsidRPr="0009166B" w:rsidRDefault="001B3AE0" w:rsidP="006B3D7B">
            <w:pPr>
              <w:tabs>
                <w:tab w:val="left" w:pos="843"/>
              </w:tabs>
              <w:ind w:left="843" w:hanging="843"/>
            </w:pPr>
            <w:r w:rsidRPr="001905BC">
              <w:rPr>
                <w:b/>
                <w:bCs/>
              </w:rPr>
              <w:t>Q8.1:</w:t>
            </w:r>
            <w:r>
              <w:tab/>
            </w:r>
            <w:r w:rsidRPr="0009166B">
              <w:t>Might comprehensive indexation of the tax base</w:t>
            </w:r>
            <w:r w:rsidR="00DA5D3C">
              <w:t>,</w:t>
            </w:r>
            <w:r w:rsidRPr="0009166B">
              <w:t xml:space="preserve"> including indexation of interest, depreciation and trading stock</w:t>
            </w:r>
            <w:r w:rsidR="00DA5D3C">
              <w:t>,</w:t>
            </w:r>
            <w:r w:rsidRPr="0009166B">
              <w:t xml:space="preserve"> be worth considering further and does the answer depend on future inflation and interest rates?</w:t>
            </w:r>
          </w:p>
          <w:p w14:paraId="1E126024" w14:textId="4731C3F4" w:rsidR="001B3AE0" w:rsidRPr="0009166B" w:rsidRDefault="001B3AE0" w:rsidP="006B3D7B">
            <w:pPr>
              <w:tabs>
                <w:tab w:val="left" w:pos="843"/>
              </w:tabs>
              <w:ind w:left="843" w:hanging="843"/>
            </w:pPr>
            <w:r w:rsidRPr="001905BC">
              <w:rPr>
                <w:b/>
                <w:bCs/>
              </w:rPr>
              <w:t>Q8.2:</w:t>
            </w:r>
            <w:r>
              <w:tab/>
            </w:r>
            <w:r w:rsidRPr="0009166B">
              <w:t>Might partial indexation of the tax base</w:t>
            </w:r>
            <w:r w:rsidR="00495395">
              <w:t>,</w:t>
            </w:r>
            <w:r w:rsidRPr="0009166B">
              <w:t xml:space="preserve"> including indexation of depreciation deductions or indexation of both depreciation deductions and trading stock</w:t>
            </w:r>
            <w:r w:rsidR="00495395">
              <w:t>,</w:t>
            </w:r>
            <w:r w:rsidRPr="0009166B">
              <w:t xml:space="preserve"> be worth considering further and does the answer depend on future inflation and interest rates?</w:t>
            </w:r>
          </w:p>
          <w:p w14:paraId="41FF03DE" w14:textId="77777777" w:rsidR="001B3AE0" w:rsidRPr="0009166B" w:rsidRDefault="001B3AE0" w:rsidP="006B3D7B">
            <w:pPr>
              <w:tabs>
                <w:tab w:val="left" w:pos="843"/>
              </w:tabs>
              <w:ind w:left="845" w:hanging="845"/>
            </w:pPr>
            <w:r w:rsidRPr="001905BC">
              <w:rPr>
                <w:b/>
                <w:bCs/>
              </w:rPr>
              <w:t>Q8.3:</w:t>
            </w:r>
            <w:r>
              <w:tab/>
            </w:r>
            <w:r w:rsidRPr="0009166B">
              <w:t>How do these measures compare with other ways of reducing higher EMTRs and reducing current tax distortions?</w:t>
            </w:r>
          </w:p>
        </w:tc>
      </w:tr>
    </w:tbl>
    <w:p w14:paraId="496454FE" w14:textId="77777777" w:rsidR="001B3AE0" w:rsidRPr="004B1C56" w:rsidRDefault="001B3AE0" w:rsidP="001B3AE0">
      <w:pPr>
        <w:pStyle w:val="Heading1"/>
        <w:rPr>
          <w:rFonts w:eastAsia="Calibri"/>
          <w:lang w:eastAsia="en-US"/>
        </w:rPr>
      </w:pPr>
      <w:r w:rsidRPr="004B1C56">
        <w:rPr>
          <w:rFonts w:eastAsia="Calibri"/>
          <w:lang w:eastAsia="en-US"/>
        </w:rPr>
        <w:lastRenderedPageBreak/>
        <w:br/>
      </w:r>
      <w:r w:rsidRPr="004B1C56">
        <w:rPr>
          <w:rFonts w:eastAsia="Calibri"/>
          <w:lang w:eastAsia="en-US"/>
        </w:rPr>
        <w:br/>
      </w:r>
      <w:bookmarkStart w:id="57" w:name="_Toc96585559"/>
      <w:r w:rsidRPr="004B1C56">
        <w:rPr>
          <w:rFonts w:eastAsia="Calibri"/>
          <w:lang w:eastAsia="en-US"/>
        </w:rPr>
        <w:t>Thin capitalisation</w:t>
      </w:r>
      <w:bookmarkEnd w:id="57"/>
    </w:p>
    <w:tbl>
      <w:tblPr>
        <w:tblStyle w:val="SummaryBox"/>
        <w:tblW w:w="0" w:type="auto"/>
        <w:tblLayout w:type="fixed"/>
        <w:tblLook w:val="04A0" w:firstRow="1" w:lastRow="0" w:firstColumn="1" w:lastColumn="0" w:noHBand="0" w:noVBand="1"/>
      </w:tblPr>
      <w:tblGrid>
        <w:gridCol w:w="8778"/>
      </w:tblGrid>
      <w:tr w:rsidR="001B3AE0" w:rsidRPr="006E0C97" w14:paraId="1D68DD37" w14:textId="77777777" w:rsidTr="00325672">
        <w:tc>
          <w:tcPr>
            <w:tcW w:w="8778" w:type="dxa"/>
          </w:tcPr>
          <w:p w14:paraId="291D6559" w14:textId="77777777" w:rsidR="001B3AE0" w:rsidRPr="006E0C97" w:rsidRDefault="001B3AE0" w:rsidP="00597B6B">
            <w:pPr>
              <w:pStyle w:val="ListBullet"/>
            </w:pPr>
            <w:r w:rsidRPr="006E0C97">
              <w:t>The deductibility of interest but not dividends creates incentives for multinational entities to use debt to finance investment into New Zealand subsidiaries, at least if investment is from countries with lower company tax rates.</w:t>
            </w:r>
          </w:p>
          <w:p w14:paraId="67C5CF56" w14:textId="77777777" w:rsidR="001B3AE0" w:rsidRPr="006E0C97" w:rsidRDefault="001B3AE0" w:rsidP="00597B6B">
            <w:pPr>
              <w:pStyle w:val="ListBullet"/>
            </w:pPr>
            <w:r w:rsidRPr="006E0C97">
              <w:t>To combat base erosion and profit shifting by multinationals, most countries (including New Zealand) have introduced thin capitalisation rules, where a deduction for the cost of debt above a debt percentage is denied.</w:t>
            </w:r>
          </w:p>
          <w:p w14:paraId="2AB00570" w14:textId="77777777" w:rsidR="001B3AE0" w:rsidRPr="006E0C97" w:rsidRDefault="001B3AE0" w:rsidP="00597B6B">
            <w:pPr>
              <w:pStyle w:val="ListBullet"/>
            </w:pPr>
            <w:r w:rsidRPr="006E0C97">
              <w:t>However, thin capitalisation rules can push up costs of capital and EMTRs.</w:t>
            </w:r>
          </w:p>
          <w:p w14:paraId="3DCD6271" w14:textId="77777777" w:rsidR="001B3AE0" w:rsidRPr="006E0C97" w:rsidRDefault="001B3AE0" w:rsidP="00597B6B">
            <w:pPr>
              <w:pStyle w:val="ListBullet"/>
            </w:pPr>
            <w:r w:rsidRPr="006E0C97">
              <w:t>There is international evidence suggesting that thin capitalisation rules can have significant negative impacts on foreign direct investment and increase the tax rate elasticity of investments.</w:t>
            </w:r>
          </w:p>
          <w:p w14:paraId="0B467134" w14:textId="77777777" w:rsidR="001B3AE0" w:rsidRPr="006E0C97" w:rsidRDefault="001B3AE0" w:rsidP="00597B6B">
            <w:pPr>
              <w:pStyle w:val="ListBullet"/>
            </w:pPr>
            <w:r w:rsidRPr="006E0C97">
              <w:t>An increased safe harbour threshold would be a way of reducing costs of capital and EMTRs and promoting inbound investment.</w:t>
            </w:r>
          </w:p>
          <w:p w14:paraId="28719DCD" w14:textId="77777777" w:rsidR="001B3AE0" w:rsidRPr="006E0C97" w:rsidRDefault="001B3AE0" w:rsidP="00597B6B">
            <w:pPr>
              <w:pStyle w:val="ListBullet"/>
            </w:pPr>
            <w:r w:rsidRPr="006E0C97">
              <w:t>It would do so without sacrificing tax on economic rents and without making it harder to levy progressive personal income taxes.</w:t>
            </w:r>
          </w:p>
          <w:p w14:paraId="29BF8702" w14:textId="77777777" w:rsidR="001B3AE0" w:rsidRPr="006E0C97" w:rsidRDefault="001B3AE0" w:rsidP="00597B6B">
            <w:pPr>
              <w:pStyle w:val="ListBullet"/>
            </w:pPr>
            <w:r w:rsidRPr="006E0C97">
              <w:t>However, the changes are likely to promote inbound investment for only a minority of firms and not for firms facing the highest EMTRs at present.</w:t>
            </w:r>
          </w:p>
          <w:p w14:paraId="33AB20C8" w14:textId="2194F821" w:rsidR="001B3AE0" w:rsidRPr="006E0C97" w:rsidRDefault="001B3AE0" w:rsidP="00597B6B">
            <w:pPr>
              <w:pStyle w:val="ListBullet"/>
            </w:pPr>
            <w:r w:rsidRPr="006E0C97">
              <w:t>Additional debt levels may trigger higher taxes overseas</w:t>
            </w:r>
            <w:r w:rsidR="002467DC">
              <w:t>,</w:t>
            </w:r>
            <w:r w:rsidRPr="006E0C97">
              <w:t xml:space="preserve"> making a higher thin capitalisation threshold an expensive way of promoting inbound investment.</w:t>
            </w:r>
          </w:p>
          <w:p w14:paraId="47157651" w14:textId="77777777" w:rsidR="001B3AE0" w:rsidRPr="006E0C97" w:rsidRDefault="001B3AE0" w:rsidP="00597B6B">
            <w:pPr>
              <w:pStyle w:val="ListBullet"/>
            </w:pPr>
            <w:r w:rsidRPr="006E0C97">
              <w:t>A high threshold could result in inbound investment subsidies.</w:t>
            </w:r>
          </w:p>
        </w:tc>
      </w:tr>
    </w:tbl>
    <w:p w14:paraId="5AFB4E03" w14:textId="77777777" w:rsidR="001B3AE0" w:rsidRPr="006E0C97" w:rsidRDefault="001B3AE0" w:rsidP="001B3AE0">
      <w:pPr>
        <w:pStyle w:val="Heading2"/>
        <w:rPr>
          <w:rFonts w:eastAsia="Calibri"/>
          <w:lang w:eastAsia="en-US"/>
        </w:rPr>
      </w:pPr>
      <w:bookmarkStart w:id="58" w:name="_Toc96585560"/>
      <w:r w:rsidRPr="006E0C97">
        <w:rPr>
          <w:rFonts w:eastAsia="Calibri"/>
          <w:lang w:eastAsia="en-US"/>
        </w:rPr>
        <w:t>Introduction</w:t>
      </w:r>
      <w:bookmarkEnd w:id="58"/>
    </w:p>
    <w:p w14:paraId="75ECAA6B" w14:textId="77777777" w:rsidR="001B3AE0" w:rsidRPr="006E0C97" w:rsidRDefault="001B3AE0" w:rsidP="00075D72">
      <w:pPr>
        <w:pStyle w:val="NumberedParagraph"/>
      </w:pPr>
      <w:r w:rsidRPr="006E0C97">
        <w:t>Current tax settings allow taxpayers a deduction for interest but not for dividends paid. This is not a major issue when considering investment decisions for companies owned solely by New Zealand residents, as New Zealand’s imputation tax credit regime effectively makes the corporate income tax a withholding tax and reduces debt/equity biases for such firms.</w:t>
      </w:r>
      <w:r w:rsidRPr="006E0C97">
        <w:rPr>
          <w:vertAlign w:val="superscript"/>
        </w:rPr>
        <w:footnoteReference w:id="30"/>
      </w:r>
      <w:r w:rsidRPr="006E0C97">
        <w:t xml:space="preserve"> However, multinationals investing into New Zealand may often be able to lower their worldwide tax liability by increasing debt levels in New Zealand. This will be the case if the multinational is based in a country with a lower company tax rate than New Zealand. Interest paid to the foreign parent will reduce tax paid in New Zealand by more than it increases tax paid abroad.</w:t>
      </w:r>
    </w:p>
    <w:p w14:paraId="1352C934" w14:textId="77777777" w:rsidR="001B3AE0" w:rsidRPr="006E0C97" w:rsidRDefault="001B3AE0" w:rsidP="00075D72">
      <w:pPr>
        <w:pStyle w:val="NumberedParagraph"/>
      </w:pPr>
      <w:r w:rsidRPr="006E0C97">
        <w:t xml:space="preserve">The distinction between debt and equity is largely arbitrary in related-party situations. This is because the overall risk to a parent company is not generally </w:t>
      </w:r>
      <w:r w:rsidRPr="006E0C97">
        <w:lastRenderedPageBreak/>
        <w:t>affected by choices between these two methods of financing the operation of subsidiaries when the funding is being advanced by related parties. Multinational entities may sometimes be able to reduce their worldwide tax liability by having a subsidiary borrow from the parent, or another subsidiary, and then pay part of their return to the parent as deductible interest rather than as a non-deductible dividend. Alternatively, the corporate group could lower the amount of tax it pays in a jurisdiction by having a subsidiary in that jurisdiction take on a disproportionately large share of borrowing from third parties.</w:t>
      </w:r>
    </w:p>
    <w:p w14:paraId="69FD8CF4" w14:textId="77777777" w:rsidR="001B3AE0" w:rsidRPr="006E0C97" w:rsidRDefault="001B3AE0" w:rsidP="00075D72">
      <w:pPr>
        <w:pStyle w:val="NumberedParagraph"/>
      </w:pPr>
      <w:r w:rsidRPr="006E0C97">
        <w:t>The arbitrary nature of the distinction means that, in the absence of any restrictions, a subsidiary could be financed almost exclusively with debt. This might lead to interest deductions offsetting most or all income otherwise taxable in that jurisdiction.</w:t>
      </w:r>
    </w:p>
    <w:p w14:paraId="3F156E44" w14:textId="172F5B54" w:rsidR="001B3AE0" w:rsidRPr="006E0C97" w:rsidRDefault="001B3AE0" w:rsidP="00075D72">
      <w:pPr>
        <w:pStyle w:val="NumberedParagraph"/>
      </w:pPr>
      <w:r w:rsidRPr="006E0C97">
        <w:t>New Zealand currently has a relatively high corporate income tax rate when compared to other OECD countries</w:t>
      </w:r>
      <w:r w:rsidR="00B85BAF">
        <w:t>.</w:t>
      </w:r>
      <w:r w:rsidRPr="006E0C97">
        <w:t xml:space="preserve"> </w:t>
      </w:r>
      <w:r w:rsidR="00B85BAF">
        <w:t>Therefore,</w:t>
      </w:r>
      <w:r w:rsidRPr="006E0C97">
        <w:t xml:space="preserve"> there could often be a tax advantage in a multinational enterpris</w:t>
      </w:r>
      <w:r w:rsidR="009D64B3">
        <w:t>e</w:t>
      </w:r>
      <w:r w:rsidRPr="006E0C97">
        <w:t xml:space="preserve"> using a much higher proportion of debt to finance its New Zealand operations than is true for the worldwide enterprise.</w:t>
      </w:r>
    </w:p>
    <w:p w14:paraId="343409AF" w14:textId="77777777" w:rsidR="001B3AE0" w:rsidRPr="006E0C97" w:rsidRDefault="001B3AE0" w:rsidP="001B3AE0">
      <w:pPr>
        <w:pStyle w:val="Heading2"/>
        <w:rPr>
          <w:rFonts w:eastAsia="Calibri"/>
          <w:lang w:eastAsia="en-US"/>
        </w:rPr>
      </w:pPr>
      <w:bookmarkStart w:id="59" w:name="_Toc96585561"/>
      <w:r w:rsidRPr="006E0C97">
        <w:rPr>
          <w:rFonts w:eastAsia="Calibri"/>
          <w:lang w:eastAsia="en-US"/>
        </w:rPr>
        <w:t>Thin capitalisation rules</w:t>
      </w:r>
      <w:bookmarkEnd w:id="59"/>
    </w:p>
    <w:p w14:paraId="4B645664" w14:textId="5EDE0ABA" w:rsidR="001B3AE0" w:rsidRPr="006E0C97" w:rsidRDefault="001B3AE0" w:rsidP="00075D72">
      <w:pPr>
        <w:pStyle w:val="NumberedParagraph"/>
      </w:pPr>
      <w:r w:rsidRPr="006E0C97">
        <w:t xml:space="preserve">To address excessive profit shifting, many countries have </w:t>
      </w:r>
      <w:r w:rsidR="00E5681E">
        <w:t>‘</w:t>
      </w:r>
      <w:r w:rsidRPr="006E0C97">
        <w:t>thin capitalisation</w:t>
      </w:r>
      <w:r w:rsidR="00E5681E">
        <w:t>’</w:t>
      </w:r>
      <w:r w:rsidRPr="006E0C97">
        <w:t xml:space="preserve"> rules, including New Zealand. New Zealand’s thin capitalisation rules aim to limit the amount of interest deductions against the New Zealand tax base and apply to in</w:t>
      </w:r>
      <w:r w:rsidR="00A56891">
        <w:t>bound</w:t>
      </w:r>
      <w:r w:rsidRPr="006E0C97">
        <w:t xml:space="preserve"> investment by a non-resident.</w:t>
      </w:r>
    </w:p>
    <w:p w14:paraId="63530FAB" w14:textId="77777777" w:rsidR="001B3AE0" w:rsidRPr="006E0C97" w:rsidRDefault="001B3AE0" w:rsidP="00075D72">
      <w:pPr>
        <w:pStyle w:val="NumberedParagraph"/>
      </w:pPr>
      <w:r w:rsidRPr="006E0C97">
        <w:t>If the debt level of a corporate group or other taxpayer exceeds prescribed levels, the thin capitalisation rules deem the excess debt to be an item of income, effectively denying interest deductions. This can occur if both:</w:t>
      </w:r>
    </w:p>
    <w:p w14:paraId="048D0F0E" w14:textId="41534450" w:rsidR="001B3AE0" w:rsidRPr="006E0C97" w:rsidRDefault="001B3AE0" w:rsidP="00075D72">
      <w:pPr>
        <w:pStyle w:val="NumberedParagraph-BulletL1"/>
      </w:pPr>
      <w:r w:rsidRPr="006E0C97">
        <w:t>the New Zealand group’s debt percentage</w:t>
      </w:r>
      <w:r w:rsidRPr="006E0C97">
        <w:rPr>
          <w:vertAlign w:val="superscript"/>
        </w:rPr>
        <w:footnoteReference w:id="31"/>
      </w:r>
      <w:r w:rsidRPr="006E0C97">
        <w:t xml:space="preserve"> is greater than the </w:t>
      </w:r>
      <w:r w:rsidR="00A214A5">
        <w:t>‘</w:t>
      </w:r>
      <w:r w:rsidRPr="006E0C97">
        <w:t>safe harbour</w:t>
      </w:r>
      <w:r w:rsidR="00A214A5">
        <w:t>’</w:t>
      </w:r>
      <w:r w:rsidRPr="006E0C97">
        <w:t xml:space="preserve"> of 60%,</w:t>
      </w:r>
      <w:r w:rsidRPr="006E0C97">
        <w:rPr>
          <w:vertAlign w:val="superscript"/>
        </w:rPr>
        <w:footnoteReference w:id="32"/>
      </w:r>
      <w:r w:rsidRPr="006E0C97">
        <w:t xml:space="preserve"> and</w:t>
      </w:r>
    </w:p>
    <w:p w14:paraId="32875032" w14:textId="77777777" w:rsidR="001B3AE0" w:rsidRPr="006E0C97" w:rsidRDefault="001B3AE0" w:rsidP="00075D72">
      <w:pPr>
        <w:pStyle w:val="NumberedParagraph-BulletL1"/>
      </w:pPr>
      <w:r w:rsidRPr="006E0C97">
        <w:t>the New Zealand group’s debt percentage is greater than 110% of the group’s worldwide debt percentage.</w:t>
      </w:r>
      <w:r w:rsidRPr="006E0C97">
        <w:rPr>
          <w:vertAlign w:val="superscript"/>
        </w:rPr>
        <w:footnoteReference w:id="33"/>
      </w:r>
    </w:p>
    <w:p w14:paraId="0C1C6C47" w14:textId="77777777" w:rsidR="001B3AE0" w:rsidRPr="006E0C97" w:rsidRDefault="001B3AE0" w:rsidP="00075D72">
      <w:pPr>
        <w:pStyle w:val="NumberedParagraph"/>
      </w:pPr>
      <w:r w:rsidRPr="006E0C97">
        <w:t>The rules apply to foreign-controlled companies but not to domestic companies. They disallow interest deductions if the debt percentage of the New Zealand group exceeds 110% of the worldwide group’s debt percentage. However, if the New Zealand debt percentage does not exceed the ‘safe harbour’ ratio of 60%, then the worldwide comparison is not needed, and all the interest may be deducted. This means that deductions for interest on debt-financed investments is unaffected until this 60% threshold is exceeded.</w:t>
      </w:r>
    </w:p>
    <w:p w14:paraId="397298AA" w14:textId="713FD6CA" w:rsidR="001B3AE0" w:rsidRPr="006E0C97" w:rsidRDefault="001B3AE0" w:rsidP="00075D72">
      <w:pPr>
        <w:pStyle w:val="NumberedParagraph"/>
      </w:pPr>
      <w:r w:rsidRPr="006E0C97">
        <w:t xml:space="preserve">It should be noted that a case might be made for allowing New Zealand subsidiaries of foreign parents to have higher levels of debt than the worldwide group company. This can reduce costs of capital and help ensure that marginal inbound investment is not subject to high EMTRs. As was discussed in </w:t>
      </w:r>
      <w:r w:rsidR="00184159" w:rsidRPr="006E0C97">
        <w:t>chapter</w:t>
      </w:r>
      <w:r w:rsidR="00184159">
        <w:t> </w:t>
      </w:r>
      <w:r w:rsidRPr="006E0C97">
        <w:t xml:space="preserve">2, standard economic models would suggest that there is a </w:t>
      </w:r>
      <w:r w:rsidRPr="006E0C97">
        <w:lastRenderedPageBreak/>
        <w:t>presumption against high EMTRs on marginal inbound investment. As will be discussed in chapter 10, some countries have introduced an allowance for corporate equity</w:t>
      </w:r>
      <w:r w:rsidR="00B45911">
        <w:t>,</w:t>
      </w:r>
      <w:r w:rsidRPr="006E0C97">
        <w:t xml:space="preserve"> and this has some similarities to allowing firms to be fully debt financed. At the same time</w:t>
      </w:r>
      <w:r w:rsidR="00EE013C">
        <w:t>,</w:t>
      </w:r>
      <w:r w:rsidRPr="006E0C97">
        <w:t xml:space="preserve"> we have seen that</w:t>
      </w:r>
      <w:r w:rsidR="00A91E8B">
        <w:t>,</w:t>
      </w:r>
      <w:r w:rsidRPr="006E0C97">
        <w:t xml:space="preserve"> with high levels of debt financing</w:t>
      </w:r>
      <w:r w:rsidR="00ED61AD">
        <w:t>,</w:t>
      </w:r>
      <w:r w:rsidRPr="006E0C97">
        <w:t xml:space="preserve"> EMTRs may often be negative. In th</w:t>
      </w:r>
      <w:r w:rsidR="00DA2AB8">
        <w:t>at</w:t>
      </w:r>
      <w:r w:rsidRPr="006E0C97">
        <w:t xml:space="preserve"> case</w:t>
      </w:r>
      <w:r w:rsidR="00EE013C">
        <w:t>,</w:t>
      </w:r>
      <w:r w:rsidRPr="006E0C97">
        <w:t xml:space="preserve"> investment can be subsidised</w:t>
      </w:r>
      <w:r w:rsidR="00DA2AB8">
        <w:t>,</w:t>
      </w:r>
      <w:r w:rsidRPr="006E0C97">
        <w:t xml:space="preserve"> and this can be inefficient.</w:t>
      </w:r>
    </w:p>
    <w:p w14:paraId="7C57866C" w14:textId="77777777" w:rsidR="001B3AE0" w:rsidRPr="006E0C97" w:rsidRDefault="001B3AE0" w:rsidP="001B3AE0">
      <w:pPr>
        <w:pStyle w:val="Heading2"/>
        <w:rPr>
          <w:rFonts w:eastAsia="Calibri"/>
          <w:lang w:eastAsia="en-US"/>
        </w:rPr>
      </w:pPr>
      <w:bookmarkStart w:id="60" w:name="_Toc96585562"/>
      <w:r w:rsidRPr="006E0C97">
        <w:rPr>
          <w:rFonts w:eastAsia="Calibri"/>
          <w:lang w:eastAsia="en-US"/>
        </w:rPr>
        <w:t>International evidence on thin capitalisation rules and investment</w:t>
      </w:r>
      <w:bookmarkEnd w:id="60"/>
    </w:p>
    <w:p w14:paraId="44CCE72D" w14:textId="77777777" w:rsidR="001B3AE0" w:rsidRPr="006A333F" w:rsidRDefault="001B3AE0" w:rsidP="00075D72">
      <w:pPr>
        <w:pStyle w:val="NumberedParagraph"/>
      </w:pPr>
      <w:r w:rsidRPr="006E0C97">
        <w:t xml:space="preserve">Two international studies have investigated the effects of introducing, or tightening, thin capitalisation rules on investments. They have estimated it has a negative effect on employment and investment by multinational corporations, especially in high-tax host countries. This suggests that thin capitalisation rules may normally add to costs of capital and EMTR concerns in ways that we have not been able to model in our </w:t>
      </w:r>
      <w:r w:rsidRPr="00B36BEF">
        <w:t>work in chapter </w:t>
      </w:r>
      <w:r w:rsidRPr="0059107C">
        <w:t>4</w:t>
      </w:r>
      <w:r w:rsidRPr="00B36BEF">
        <w:t>.</w:t>
      </w:r>
    </w:p>
    <w:p w14:paraId="03CD92A0" w14:textId="442AB90F" w:rsidR="001B3AE0" w:rsidRPr="006E0C97" w:rsidRDefault="001B3AE0" w:rsidP="00075D72">
      <w:pPr>
        <w:pStyle w:val="NumberedParagraph"/>
      </w:pPr>
      <w:r w:rsidRPr="006E0C97">
        <w:t>De Mooij and Liu (2021) estimated that introducing thin capitalisation rules reduces the investment of multinational affiliates by an average of 20% where the average corporate income tax rate is 27%. The size of this effect depends on the corporate income tax rate and is larger at higher rates.</w:t>
      </w:r>
    </w:p>
    <w:p w14:paraId="007EBF79" w14:textId="5B530959" w:rsidR="001B3AE0" w:rsidRPr="006E0C97" w:rsidRDefault="001B3AE0" w:rsidP="00075D72">
      <w:pPr>
        <w:pStyle w:val="NumberedParagraph"/>
      </w:pPr>
      <w:r w:rsidRPr="006E0C97">
        <w:t>Similarly, Buettner et al (2014) estimated that introducing thin capitalisation rules</w:t>
      </w:r>
      <w:r w:rsidR="00531AFD">
        <w:t>,</w:t>
      </w:r>
      <w:r w:rsidRPr="006E0C97">
        <w:t xml:space="preserve"> or making them tighter</w:t>
      </w:r>
      <w:r w:rsidR="00531AFD">
        <w:t>,</w:t>
      </w:r>
      <w:r w:rsidRPr="006E0C97">
        <w:t xml:space="preserve"> can significantly reduce the level of foreign direct investment in high-tax countries. In addition, they estimated that foreign direct investment is about twice as sensitive to shifts in tax rates if typical thin capitalisation rules apply than if there are no restrictions. Concerns about excessive taxes on marginal inbound investment become larger the greater the responsiveness of investment to tax rates</w:t>
      </w:r>
      <w:r w:rsidR="00B057F8">
        <w:t xml:space="preserve"> is</w:t>
      </w:r>
      <w:r w:rsidRPr="006E0C97">
        <w:t>.</w:t>
      </w:r>
    </w:p>
    <w:p w14:paraId="1984330A" w14:textId="12A18739" w:rsidR="001B3AE0" w:rsidRPr="006E0C97" w:rsidRDefault="001B3AE0" w:rsidP="00075D72">
      <w:pPr>
        <w:pStyle w:val="NumberedParagraph"/>
      </w:pPr>
      <w:r w:rsidRPr="006E0C97">
        <w:t>This international analysis suggests that tight thin</w:t>
      </w:r>
      <w:r w:rsidR="00DE1C22">
        <w:t xml:space="preserve"> </w:t>
      </w:r>
      <w:r w:rsidRPr="006E0C97">
        <w:t>capitalisation rules may have a material impact on inbound investment. One potential way of reducing costs of capital and EMTRs would be to increase the thin</w:t>
      </w:r>
      <w:r w:rsidR="00DE1C22">
        <w:t xml:space="preserve"> </w:t>
      </w:r>
      <w:r w:rsidRPr="006E0C97">
        <w:t>capitalisation 60% safe harbour threshold. This would, however, increase the scope for multinationals to have much higher levels of debt in New Zealand than is true of the worldwide entity to shift tax payments out of New Zealand. Alternatively, if tight thin capitalisation rules are required to protect the tax base from profit shifting, there may be a greater case for considering whether concerns about high costs of capital and EMTRs on inbound marginal investment should be addressed in other ways. A variety of different possible ways of addressing cost of capital concerns are being canvassed in this briefing.</w:t>
      </w:r>
    </w:p>
    <w:p w14:paraId="7FA6D54E" w14:textId="77777777" w:rsidR="001B3AE0" w:rsidRPr="006E0C97" w:rsidRDefault="001B3AE0" w:rsidP="001B3AE0">
      <w:pPr>
        <w:pStyle w:val="Heading2"/>
        <w:rPr>
          <w:rFonts w:eastAsia="Calibri"/>
          <w:lang w:eastAsia="en-US"/>
        </w:rPr>
      </w:pPr>
      <w:bookmarkStart w:id="61" w:name="_Toc96585563"/>
      <w:r w:rsidRPr="006E0C97">
        <w:rPr>
          <w:rFonts w:eastAsia="Calibri"/>
          <w:lang w:eastAsia="en-US"/>
        </w:rPr>
        <w:t>Impact on costs of capital and EMTRs</w:t>
      </w:r>
      <w:bookmarkEnd w:id="61"/>
    </w:p>
    <w:p w14:paraId="3E521266" w14:textId="59CD5E76" w:rsidR="001B3AE0" w:rsidRPr="006E0C97" w:rsidRDefault="001B3AE0" w:rsidP="00075D72">
      <w:pPr>
        <w:pStyle w:val="NumberedParagraph"/>
      </w:pPr>
      <w:r w:rsidRPr="006E0C97">
        <w:t>Increasing the 60% thin</w:t>
      </w:r>
      <w:r w:rsidR="005D4D22">
        <w:t xml:space="preserve"> </w:t>
      </w:r>
      <w:r w:rsidRPr="006E0C97">
        <w:t>capitalisation safe harbour threshold would increase debt levels for some foreign-controlled companies. This would reduce costs of capital and EMTRs for these firms. This would have no implications for the debt levels of domestic firms</w:t>
      </w:r>
      <w:r w:rsidR="0031447A">
        <w:t>,</w:t>
      </w:r>
      <w:r w:rsidRPr="006E0C97">
        <w:t xml:space="preserve"> which are not subject to the rules.</w:t>
      </w:r>
    </w:p>
    <w:p w14:paraId="6D98BB6D" w14:textId="46A8600A" w:rsidR="001B3AE0" w:rsidRPr="006E0C97" w:rsidRDefault="001B3AE0" w:rsidP="00075D72">
      <w:pPr>
        <w:pStyle w:val="NumberedParagraph"/>
      </w:pPr>
      <w:r w:rsidRPr="006E0C97">
        <w:t>In chapter 4</w:t>
      </w:r>
      <w:r w:rsidR="00232921">
        <w:t>,</w:t>
      </w:r>
      <w:r w:rsidRPr="006E0C97">
        <w:t xml:space="preserve"> we analysed EMTRs for foreign-controlled firms that are required to pay </w:t>
      </w:r>
      <w:r w:rsidR="003F2D68">
        <w:t>non-resident withholding tax (</w:t>
      </w:r>
      <w:r w:rsidRPr="006E0C97">
        <w:t>NRWT</w:t>
      </w:r>
      <w:r w:rsidR="003F2D68">
        <w:t>)</w:t>
      </w:r>
      <w:r w:rsidRPr="006E0C97">
        <w:t xml:space="preserve"> on interest payments to foreign parent companies. NRWT is normally levied at a rate of 10%</w:t>
      </w:r>
      <w:r w:rsidR="003F2D68">
        <w:t>,</w:t>
      </w:r>
      <w:r w:rsidRPr="006E0C97">
        <w:t xml:space="preserve"> which is considerably higher than the 2% rate of </w:t>
      </w:r>
      <w:r w:rsidR="003F2D68">
        <w:t>approved issuer levy (</w:t>
      </w:r>
      <w:r w:rsidRPr="006E0C97">
        <w:t>AIL</w:t>
      </w:r>
      <w:r w:rsidR="003F2D68">
        <w:t>)</w:t>
      </w:r>
      <w:r w:rsidRPr="006E0C97">
        <w:t>. Unlike AIL, NRWT is not deductible.</w:t>
      </w:r>
    </w:p>
    <w:p w14:paraId="175B45C7" w14:textId="3A4E712F" w:rsidR="001B3AE0" w:rsidRPr="006E0C97" w:rsidRDefault="001B3AE0" w:rsidP="00075D72">
      <w:pPr>
        <w:pStyle w:val="NumberedParagraph"/>
      </w:pPr>
      <w:r w:rsidRPr="006E0C97">
        <w:t>Whether payments of NRWT increase costs of capital depends on whether this NRWT is creditable against income tax paid in other countries. In this chapter</w:t>
      </w:r>
      <w:r w:rsidR="005051ED">
        <w:t>,</w:t>
      </w:r>
      <w:r w:rsidRPr="006E0C97">
        <w:t xml:space="preserve"> we focus on the case where NRWT is not creditable</w:t>
      </w:r>
      <w:r w:rsidR="005051ED">
        <w:t>,</w:t>
      </w:r>
      <w:r w:rsidRPr="006E0C97">
        <w:t xml:space="preserve"> which means that NRWT payments will tend to increase costs of capital. This can be thought of as a </w:t>
      </w:r>
      <w:r w:rsidRPr="006E0C97">
        <w:lastRenderedPageBreak/>
        <w:t xml:space="preserve">worst case scenario. Domestic taxes will be pushing up costs of capital </w:t>
      </w:r>
      <w:r w:rsidR="00C0281E">
        <w:t>and this</w:t>
      </w:r>
      <w:r w:rsidR="00A276EC">
        <w:t xml:space="preserve"> </w:t>
      </w:r>
      <w:r w:rsidRPr="006E0C97">
        <w:t xml:space="preserve">would </w:t>
      </w:r>
      <w:r w:rsidR="00A276EC">
        <w:t xml:space="preserve">not </w:t>
      </w:r>
      <w:r w:rsidRPr="006E0C97">
        <w:t>be the case if NRWT were creditable.</w:t>
      </w:r>
    </w:p>
    <w:p w14:paraId="23909C77" w14:textId="7C8D9769" w:rsidR="001B3AE0" w:rsidRPr="006E0C97" w:rsidRDefault="001B3AE0" w:rsidP="00075D72">
      <w:pPr>
        <w:pStyle w:val="NumberedParagraph"/>
      </w:pPr>
      <w:r w:rsidRPr="006E0C97">
        <w:t xml:space="preserve">In table </w:t>
      </w:r>
      <w:r>
        <w:t xml:space="preserve">9.1 </w:t>
      </w:r>
      <w:r w:rsidRPr="006E0C97">
        <w:t>we show EMTRs for firms investing in our various assets. First</w:t>
      </w:r>
      <w:r w:rsidR="003D5323">
        <w:t>,</w:t>
      </w:r>
      <w:r w:rsidRPr="006E0C97">
        <w:t xml:space="preserve"> we show EMTRs for a domestic company with marginal foreign shareholders with the average debt level of 43%. </w:t>
      </w:r>
      <w:r w:rsidR="001E547A">
        <w:t>Second,</w:t>
      </w:r>
      <w:r w:rsidRPr="006E0C97">
        <w:t xml:space="preserve"> we show EMTRs for foreign-controlled companies at different debt levels. We assume that 37.3% of debt is related</w:t>
      </w:r>
      <w:r w:rsidR="00C03544">
        <w:t>-</w:t>
      </w:r>
      <w:r w:rsidRPr="006E0C97">
        <w:t>party debt</w:t>
      </w:r>
      <w:r w:rsidR="00C03544">
        <w:t>,</w:t>
      </w:r>
      <w:r w:rsidRPr="006E0C97">
        <w:t xml:space="preserve"> which was the a</w:t>
      </w:r>
      <w:r w:rsidRPr="00F53383">
        <w:t xml:space="preserve">verage level from the data reported in </w:t>
      </w:r>
      <w:r w:rsidR="00FC3127" w:rsidRPr="00F53383">
        <w:t xml:space="preserve">appendix 2 of the </w:t>
      </w:r>
      <w:r w:rsidR="009B7299" w:rsidRPr="00F53383">
        <w:rPr>
          <w:i/>
          <w:iCs/>
        </w:rPr>
        <w:t>T</w:t>
      </w:r>
      <w:r w:rsidR="00FC3127" w:rsidRPr="00F53383">
        <w:rPr>
          <w:i/>
          <w:iCs/>
        </w:rPr>
        <w:t>echnical appendices</w:t>
      </w:r>
      <w:r w:rsidRPr="006E0C97">
        <w:t>. We consider debt levels of 0%, 43%, 60%, 75% and 100% for foreign-controlled firms</w:t>
      </w:r>
      <w:r w:rsidR="00C03544">
        <w:t>,</w:t>
      </w:r>
      <w:r w:rsidRPr="006E0C97">
        <w:t xml:space="preserve"> assuming interest is fully deductible in all cases. This shows what would happen if thin capitalisation rules were relaxed and this allowed foreign</w:t>
      </w:r>
      <w:r w:rsidR="00812A05">
        <w:t>-</w:t>
      </w:r>
      <w:r w:rsidRPr="006E0C97">
        <w:t>controlled firms to take up these various debt levels.</w:t>
      </w:r>
    </w:p>
    <w:p w14:paraId="7DCF4B68" w14:textId="5ED283E9" w:rsidR="001B3AE0" w:rsidRPr="006E0C97" w:rsidRDefault="001B3AE0" w:rsidP="00DB1797">
      <w:pPr>
        <w:pStyle w:val="Caption"/>
        <w:ind w:left="-567" w:right="-568"/>
        <w:rPr>
          <w:rFonts w:eastAsia="Calibri"/>
          <w:lang w:eastAsia="en-US"/>
        </w:rPr>
      </w:pPr>
      <w:r w:rsidRPr="006E0C97">
        <w:rPr>
          <w:rFonts w:eastAsia="Calibri"/>
          <w:lang w:eastAsia="en-US"/>
        </w:rPr>
        <w:t xml:space="preserve">Table </w:t>
      </w:r>
      <w:r>
        <w:rPr>
          <w:rFonts w:eastAsia="Calibri"/>
          <w:lang w:eastAsia="en-US"/>
        </w:rPr>
        <w:t xml:space="preserve">9.1: </w:t>
      </w:r>
      <w:r w:rsidRPr="006E0C97">
        <w:rPr>
          <w:rFonts w:eastAsia="Calibri"/>
          <w:lang w:eastAsia="en-US"/>
        </w:rPr>
        <w:t>EMTRs for domestic companies and for foreign-controlled</w:t>
      </w:r>
      <w:r>
        <w:rPr>
          <w:rFonts w:eastAsia="Calibri"/>
          <w:lang w:eastAsia="en-US"/>
        </w:rPr>
        <w:t xml:space="preserve"> </w:t>
      </w:r>
      <w:r w:rsidRPr="006E0C97">
        <w:rPr>
          <w:rFonts w:eastAsia="Calibri"/>
          <w:lang w:eastAsia="en-US"/>
        </w:rPr>
        <w:t>companies with different levels of debt</w:t>
      </w:r>
    </w:p>
    <w:tbl>
      <w:tblPr>
        <w:tblStyle w:val="TableGrid"/>
        <w:tblW w:w="9781" w:type="dxa"/>
        <w:tblInd w:w="-501"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left w:w="28" w:type="dxa"/>
          <w:right w:w="28" w:type="dxa"/>
        </w:tblCellMar>
        <w:tblLook w:val="04A0" w:firstRow="1" w:lastRow="0" w:firstColumn="1" w:lastColumn="0" w:noHBand="0" w:noVBand="1"/>
      </w:tblPr>
      <w:tblGrid>
        <w:gridCol w:w="1347"/>
        <w:gridCol w:w="992"/>
        <w:gridCol w:w="737"/>
        <w:gridCol w:w="681"/>
        <w:gridCol w:w="651"/>
        <w:gridCol w:w="666"/>
        <w:gridCol w:w="667"/>
        <w:gridCol w:w="1134"/>
        <w:gridCol w:w="851"/>
        <w:gridCol w:w="1134"/>
        <w:gridCol w:w="921"/>
      </w:tblGrid>
      <w:tr w:rsidR="00EC3F6D" w:rsidRPr="008F735E" w14:paraId="59663DA2" w14:textId="77777777" w:rsidTr="00841651">
        <w:trPr>
          <w:tblHeader/>
        </w:trPr>
        <w:tc>
          <w:tcPr>
            <w:tcW w:w="1347" w:type="dxa"/>
            <w:shd w:val="clear" w:color="auto" w:fill="232E36"/>
          </w:tcPr>
          <w:p w14:paraId="145AE868" w14:textId="77777777" w:rsidR="00EC3F6D" w:rsidRPr="008F735E" w:rsidRDefault="00EC3F6D" w:rsidP="00841651">
            <w:pPr>
              <w:keepNext/>
              <w:keepLines/>
              <w:spacing w:before="120" w:after="120"/>
              <w:jc w:val="left"/>
              <w:rPr>
                <w:color w:val="FFFFFF" w:themeColor="background1"/>
                <w:sz w:val="14"/>
                <w:szCs w:val="14"/>
              </w:rPr>
            </w:pPr>
          </w:p>
        </w:tc>
        <w:tc>
          <w:tcPr>
            <w:tcW w:w="992" w:type="dxa"/>
            <w:shd w:val="clear" w:color="auto" w:fill="232E36"/>
          </w:tcPr>
          <w:p w14:paraId="7E928710" w14:textId="77777777" w:rsidR="00EC3F6D" w:rsidRPr="008F735E" w:rsidRDefault="00EC3F6D" w:rsidP="00841651">
            <w:pPr>
              <w:keepNext/>
              <w:keepLines/>
              <w:spacing w:before="120" w:after="120"/>
              <w:jc w:val="center"/>
              <w:rPr>
                <w:b/>
                <w:bCs/>
                <w:color w:val="FFFFFF" w:themeColor="background1"/>
                <w:sz w:val="14"/>
                <w:szCs w:val="14"/>
              </w:rPr>
            </w:pPr>
            <w:r w:rsidRPr="008F735E">
              <w:rPr>
                <w:b/>
                <w:bCs/>
                <w:color w:val="FFFFFF" w:themeColor="background1"/>
                <w:sz w:val="14"/>
                <w:szCs w:val="14"/>
              </w:rPr>
              <w:t>Commercial and industrial buildings</w:t>
            </w:r>
          </w:p>
        </w:tc>
        <w:tc>
          <w:tcPr>
            <w:tcW w:w="3402" w:type="dxa"/>
            <w:gridSpan w:val="5"/>
            <w:shd w:val="clear" w:color="auto" w:fill="232E36"/>
          </w:tcPr>
          <w:p w14:paraId="5654743C" w14:textId="77777777" w:rsidR="00EC3F6D" w:rsidRPr="008F735E" w:rsidRDefault="00EC3F6D" w:rsidP="00841651">
            <w:pPr>
              <w:keepNext/>
              <w:keepLines/>
              <w:spacing w:before="120" w:after="120"/>
              <w:jc w:val="center"/>
              <w:rPr>
                <w:b/>
                <w:bCs/>
                <w:color w:val="FFFFFF" w:themeColor="background1"/>
                <w:sz w:val="14"/>
                <w:szCs w:val="14"/>
              </w:rPr>
            </w:pPr>
            <w:r w:rsidRPr="008F735E">
              <w:rPr>
                <w:b/>
                <w:bCs/>
                <w:color w:val="FFFFFF" w:themeColor="background1"/>
                <w:sz w:val="14"/>
                <w:szCs w:val="14"/>
              </w:rPr>
              <w:t>Plant, machinery and equipment</w:t>
            </w:r>
          </w:p>
        </w:tc>
        <w:tc>
          <w:tcPr>
            <w:tcW w:w="1134" w:type="dxa"/>
            <w:shd w:val="clear" w:color="auto" w:fill="232E36"/>
          </w:tcPr>
          <w:p w14:paraId="00FC12B8" w14:textId="03384355" w:rsidR="00EC3F6D" w:rsidRPr="008F735E" w:rsidRDefault="00EC3F6D" w:rsidP="00841651">
            <w:pPr>
              <w:keepNext/>
              <w:keepLines/>
              <w:spacing w:before="120" w:after="120"/>
              <w:jc w:val="center"/>
              <w:rPr>
                <w:b/>
                <w:bCs/>
                <w:color w:val="FFFFFF" w:themeColor="background1"/>
                <w:sz w:val="14"/>
                <w:szCs w:val="14"/>
              </w:rPr>
            </w:pPr>
            <w:r w:rsidRPr="008F735E">
              <w:rPr>
                <w:b/>
                <w:bCs/>
                <w:color w:val="FFFFFF" w:themeColor="background1"/>
                <w:sz w:val="14"/>
                <w:szCs w:val="14"/>
              </w:rPr>
              <w:t>Zero</w:t>
            </w:r>
            <w:r w:rsidR="00F53383">
              <w:rPr>
                <w:b/>
                <w:bCs/>
                <w:color w:val="FFFFFF" w:themeColor="background1"/>
                <w:sz w:val="14"/>
                <w:szCs w:val="14"/>
              </w:rPr>
              <w:t>-</w:t>
            </w:r>
            <w:r w:rsidRPr="008F735E">
              <w:rPr>
                <w:b/>
                <w:bCs/>
                <w:color w:val="FFFFFF" w:themeColor="background1"/>
                <w:sz w:val="14"/>
                <w:szCs w:val="14"/>
              </w:rPr>
              <w:t>depreciating assets</w:t>
            </w:r>
          </w:p>
        </w:tc>
        <w:tc>
          <w:tcPr>
            <w:tcW w:w="851" w:type="dxa"/>
            <w:shd w:val="clear" w:color="auto" w:fill="232E36"/>
          </w:tcPr>
          <w:p w14:paraId="6166C60D" w14:textId="77777777" w:rsidR="00EC3F6D" w:rsidRPr="008F735E" w:rsidRDefault="00EC3F6D" w:rsidP="00841651">
            <w:pPr>
              <w:keepNext/>
              <w:keepLines/>
              <w:spacing w:before="120" w:after="120"/>
              <w:jc w:val="center"/>
              <w:rPr>
                <w:b/>
                <w:bCs/>
                <w:color w:val="FFFFFF" w:themeColor="background1"/>
                <w:sz w:val="14"/>
                <w:szCs w:val="14"/>
              </w:rPr>
            </w:pPr>
            <w:r w:rsidRPr="008F735E">
              <w:rPr>
                <w:b/>
                <w:bCs/>
                <w:color w:val="FFFFFF" w:themeColor="background1"/>
                <w:sz w:val="14"/>
                <w:szCs w:val="14"/>
              </w:rPr>
              <w:t>Inventory</w:t>
            </w:r>
          </w:p>
        </w:tc>
        <w:tc>
          <w:tcPr>
            <w:tcW w:w="1134" w:type="dxa"/>
            <w:shd w:val="clear" w:color="auto" w:fill="232E36"/>
          </w:tcPr>
          <w:p w14:paraId="3EC8DD2E" w14:textId="77777777" w:rsidR="00EC3F6D" w:rsidRPr="008F735E" w:rsidRDefault="00EC3F6D" w:rsidP="00841651">
            <w:pPr>
              <w:keepNext/>
              <w:keepLines/>
              <w:spacing w:before="120" w:after="120"/>
              <w:jc w:val="center"/>
              <w:rPr>
                <w:b/>
                <w:bCs/>
                <w:color w:val="FFFFFF" w:themeColor="background1"/>
                <w:sz w:val="14"/>
                <w:szCs w:val="14"/>
              </w:rPr>
            </w:pPr>
            <w:r w:rsidRPr="008F735E">
              <w:rPr>
                <w:b/>
                <w:bCs/>
                <w:color w:val="FFFFFF" w:themeColor="background1"/>
                <w:sz w:val="14"/>
                <w:szCs w:val="14"/>
              </w:rPr>
              <w:t>Appreciating assets</w:t>
            </w:r>
          </w:p>
        </w:tc>
        <w:tc>
          <w:tcPr>
            <w:tcW w:w="921" w:type="dxa"/>
            <w:shd w:val="clear" w:color="auto" w:fill="232E36"/>
          </w:tcPr>
          <w:p w14:paraId="3ADA07B3" w14:textId="77777777" w:rsidR="00EC3F6D" w:rsidRPr="008F735E" w:rsidRDefault="00EC3F6D" w:rsidP="00841651">
            <w:pPr>
              <w:keepNext/>
              <w:keepLines/>
              <w:spacing w:before="120" w:after="120"/>
              <w:jc w:val="center"/>
              <w:rPr>
                <w:b/>
                <w:bCs/>
                <w:color w:val="FFFFFF" w:themeColor="background1"/>
                <w:sz w:val="14"/>
                <w:szCs w:val="14"/>
              </w:rPr>
            </w:pPr>
            <w:r w:rsidRPr="008F735E">
              <w:rPr>
                <w:b/>
                <w:bCs/>
                <w:color w:val="FFFFFF" w:themeColor="background1"/>
                <w:sz w:val="14"/>
                <w:szCs w:val="14"/>
              </w:rPr>
              <w:t>Expensing</w:t>
            </w:r>
          </w:p>
        </w:tc>
      </w:tr>
      <w:tr w:rsidR="00EC3F6D" w:rsidRPr="008F735E" w14:paraId="00D916BB" w14:textId="77777777" w:rsidTr="00841651">
        <w:tc>
          <w:tcPr>
            <w:tcW w:w="1347" w:type="dxa"/>
            <w:shd w:val="clear" w:color="auto" w:fill="auto"/>
            <w:vAlign w:val="bottom"/>
          </w:tcPr>
          <w:p w14:paraId="4257675D" w14:textId="295DE6E6" w:rsidR="00EC3F6D" w:rsidRPr="00EE531B" w:rsidRDefault="00910836" w:rsidP="00841651">
            <w:pPr>
              <w:keepNext/>
              <w:keepLines/>
              <w:tabs>
                <w:tab w:val="left" w:pos="106"/>
              </w:tabs>
              <w:spacing w:before="60" w:after="60"/>
              <w:jc w:val="left"/>
              <w:rPr>
                <w:rStyle w:val="Strong"/>
                <w:b w:val="0"/>
                <w:bCs w:val="0"/>
                <w:sz w:val="14"/>
                <w:szCs w:val="14"/>
              </w:rPr>
            </w:pPr>
            <w:r>
              <w:rPr>
                <w:rStyle w:val="Strong"/>
                <w:b w:val="0"/>
                <w:bCs w:val="0"/>
                <w:sz w:val="14"/>
                <w:szCs w:val="14"/>
              </w:rPr>
              <w:t>d</w:t>
            </w:r>
          </w:p>
        </w:tc>
        <w:tc>
          <w:tcPr>
            <w:tcW w:w="992" w:type="dxa"/>
            <w:vAlign w:val="center"/>
          </w:tcPr>
          <w:p w14:paraId="2E2529C3" w14:textId="77777777" w:rsidR="00EC3F6D" w:rsidRPr="008F735E" w:rsidRDefault="00EC3F6D" w:rsidP="00841651">
            <w:pPr>
              <w:keepNext/>
              <w:keepLines/>
              <w:tabs>
                <w:tab w:val="decimal" w:pos="256"/>
              </w:tabs>
              <w:spacing w:before="60" w:after="60"/>
              <w:jc w:val="center"/>
              <w:rPr>
                <w:sz w:val="14"/>
                <w:szCs w:val="14"/>
              </w:rPr>
            </w:pPr>
            <w:r w:rsidRPr="008F735E">
              <w:rPr>
                <w:sz w:val="14"/>
                <w:szCs w:val="14"/>
              </w:rPr>
              <w:t>2.69%</w:t>
            </w:r>
          </w:p>
        </w:tc>
        <w:tc>
          <w:tcPr>
            <w:tcW w:w="737" w:type="dxa"/>
            <w:vAlign w:val="center"/>
          </w:tcPr>
          <w:p w14:paraId="62BFE28C" w14:textId="77777777" w:rsidR="00EC3F6D" w:rsidRPr="008F735E" w:rsidRDefault="00EC3F6D" w:rsidP="00841651">
            <w:pPr>
              <w:keepNext/>
              <w:keepLines/>
              <w:tabs>
                <w:tab w:val="decimal" w:pos="256"/>
              </w:tabs>
              <w:spacing w:before="60" w:after="60"/>
              <w:jc w:val="center"/>
              <w:rPr>
                <w:sz w:val="14"/>
                <w:szCs w:val="14"/>
              </w:rPr>
            </w:pPr>
            <w:r w:rsidRPr="008F735E">
              <w:rPr>
                <w:sz w:val="14"/>
                <w:szCs w:val="14"/>
              </w:rPr>
              <w:t>100.00%</w:t>
            </w:r>
          </w:p>
        </w:tc>
        <w:tc>
          <w:tcPr>
            <w:tcW w:w="681" w:type="dxa"/>
            <w:vAlign w:val="center"/>
          </w:tcPr>
          <w:p w14:paraId="7663045A" w14:textId="77777777" w:rsidR="00EC3F6D" w:rsidRPr="008F735E" w:rsidRDefault="00EC3F6D" w:rsidP="00841651">
            <w:pPr>
              <w:keepNext/>
              <w:keepLines/>
              <w:tabs>
                <w:tab w:val="decimal" w:pos="256"/>
              </w:tabs>
              <w:spacing w:before="60" w:after="60"/>
              <w:jc w:val="center"/>
              <w:rPr>
                <w:sz w:val="14"/>
                <w:szCs w:val="14"/>
              </w:rPr>
            </w:pPr>
            <w:r w:rsidRPr="008F735E">
              <w:rPr>
                <w:sz w:val="14"/>
                <w:szCs w:val="14"/>
              </w:rPr>
              <w:t>50.00%</w:t>
            </w:r>
          </w:p>
        </w:tc>
        <w:tc>
          <w:tcPr>
            <w:tcW w:w="651" w:type="dxa"/>
            <w:vAlign w:val="center"/>
          </w:tcPr>
          <w:p w14:paraId="4FAAD553" w14:textId="77777777" w:rsidR="00EC3F6D" w:rsidRPr="008F735E" w:rsidRDefault="00EC3F6D" w:rsidP="00841651">
            <w:pPr>
              <w:keepNext/>
              <w:keepLines/>
              <w:tabs>
                <w:tab w:val="decimal" w:pos="256"/>
              </w:tabs>
              <w:spacing w:before="60" w:after="60"/>
              <w:jc w:val="center"/>
              <w:rPr>
                <w:sz w:val="14"/>
                <w:szCs w:val="14"/>
              </w:rPr>
            </w:pPr>
            <w:r w:rsidRPr="008F735E">
              <w:rPr>
                <w:sz w:val="14"/>
                <w:szCs w:val="14"/>
              </w:rPr>
              <w:t>10.00%</w:t>
            </w:r>
          </w:p>
        </w:tc>
        <w:tc>
          <w:tcPr>
            <w:tcW w:w="666" w:type="dxa"/>
            <w:vAlign w:val="center"/>
          </w:tcPr>
          <w:p w14:paraId="67C6A8E4" w14:textId="77777777" w:rsidR="00EC3F6D" w:rsidRPr="008F735E" w:rsidRDefault="00EC3F6D" w:rsidP="00841651">
            <w:pPr>
              <w:keepNext/>
              <w:keepLines/>
              <w:tabs>
                <w:tab w:val="decimal" w:pos="256"/>
              </w:tabs>
              <w:spacing w:before="60" w:after="60"/>
              <w:jc w:val="center"/>
              <w:rPr>
                <w:sz w:val="14"/>
                <w:szCs w:val="14"/>
              </w:rPr>
            </w:pPr>
            <w:r w:rsidRPr="008F735E">
              <w:rPr>
                <w:sz w:val="14"/>
                <w:szCs w:val="14"/>
              </w:rPr>
              <w:t>4.00%</w:t>
            </w:r>
          </w:p>
        </w:tc>
        <w:tc>
          <w:tcPr>
            <w:tcW w:w="667" w:type="dxa"/>
            <w:vAlign w:val="center"/>
          </w:tcPr>
          <w:p w14:paraId="4B4A2791" w14:textId="77777777" w:rsidR="00EC3F6D" w:rsidRPr="008F735E" w:rsidRDefault="00EC3F6D" w:rsidP="00841651">
            <w:pPr>
              <w:keepNext/>
              <w:keepLines/>
              <w:tabs>
                <w:tab w:val="decimal" w:pos="256"/>
              </w:tabs>
              <w:spacing w:before="60" w:after="60"/>
              <w:jc w:val="center"/>
              <w:rPr>
                <w:sz w:val="14"/>
                <w:szCs w:val="14"/>
              </w:rPr>
            </w:pPr>
            <w:r w:rsidRPr="008F735E">
              <w:rPr>
                <w:sz w:val="14"/>
                <w:szCs w:val="14"/>
              </w:rPr>
              <w:t>2.00%</w:t>
            </w:r>
          </w:p>
        </w:tc>
        <w:tc>
          <w:tcPr>
            <w:tcW w:w="1134" w:type="dxa"/>
            <w:vAlign w:val="center"/>
          </w:tcPr>
          <w:p w14:paraId="76DCBF5D" w14:textId="77777777" w:rsidR="00EC3F6D" w:rsidRPr="008F735E" w:rsidRDefault="00EC3F6D" w:rsidP="00841651">
            <w:pPr>
              <w:keepNext/>
              <w:keepLines/>
              <w:tabs>
                <w:tab w:val="decimal" w:pos="256"/>
              </w:tabs>
              <w:spacing w:before="60" w:after="60"/>
              <w:jc w:val="center"/>
              <w:rPr>
                <w:sz w:val="14"/>
                <w:szCs w:val="14"/>
              </w:rPr>
            </w:pPr>
            <w:r w:rsidRPr="008F735E">
              <w:rPr>
                <w:sz w:val="14"/>
                <w:szCs w:val="14"/>
              </w:rPr>
              <w:t>0.00%</w:t>
            </w:r>
          </w:p>
        </w:tc>
        <w:tc>
          <w:tcPr>
            <w:tcW w:w="851" w:type="dxa"/>
            <w:vAlign w:val="center"/>
          </w:tcPr>
          <w:p w14:paraId="0DA63CE3" w14:textId="77777777" w:rsidR="00EC3F6D" w:rsidRPr="008F735E" w:rsidRDefault="00EC3F6D" w:rsidP="00841651">
            <w:pPr>
              <w:keepNext/>
              <w:keepLines/>
              <w:tabs>
                <w:tab w:val="decimal" w:pos="256"/>
              </w:tabs>
              <w:spacing w:before="60" w:after="60"/>
              <w:jc w:val="center"/>
              <w:rPr>
                <w:sz w:val="14"/>
                <w:szCs w:val="14"/>
              </w:rPr>
            </w:pPr>
          </w:p>
        </w:tc>
        <w:tc>
          <w:tcPr>
            <w:tcW w:w="1134" w:type="dxa"/>
            <w:vAlign w:val="center"/>
          </w:tcPr>
          <w:p w14:paraId="3D7A8BBC" w14:textId="77777777" w:rsidR="00EC3F6D" w:rsidRPr="008F735E" w:rsidRDefault="00EC3F6D" w:rsidP="00841651">
            <w:pPr>
              <w:keepNext/>
              <w:keepLines/>
              <w:tabs>
                <w:tab w:val="decimal" w:pos="256"/>
              </w:tabs>
              <w:spacing w:before="60" w:after="60"/>
              <w:jc w:val="center"/>
              <w:rPr>
                <w:sz w:val="14"/>
                <w:szCs w:val="14"/>
              </w:rPr>
            </w:pPr>
            <w:r w:rsidRPr="008F735E">
              <w:rPr>
                <w:sz w:val="14"/>
                <w:szCs w:val="14"/>
              </w:rPr>
              <w:t>-1.00%</w:t>
            </w:r>
          </w:p>
        </w:tc>
        <w:tc>
          <w:tcPr>
            <w:tcW w:w="921" w:type="dxa"/>
            <w:vAlign w:val="center"/>
          </w:tcPr>
          <w:p w14:paraId="214F78C6" w14:textId="77777777" w:rsidR="00EC3F6D" w:rsidRPr="008F735E" w:rsidRDefault="00EC3F6D" w:rsidP="00841651">
            <w:pPr>
              <w:keepNext/>
              <w:keepLines/>
              <w:tabs>
                <w:tab w:val="decimal" w:pos="256"/>
              </w:tabs>
              <w:spacing w:before="60" w:after="60"/>
              <w:jc w:val="center"/>
              <w:rPr>
                <w:sz w:val="14"/>
                <w:szCs w:val="14"/>
              </w:rPr>
            </w:pPr>
          </w:p>
        </w:tc>
      </w:tr>
      <w:tr w:rsidR="00EC3F6D" w:rsidRPr="008F735E" w14:paraId="3AD07E34" w14:textId="77777777" w:rsidTr="00841651">
        <w:tc>
          <w:tcPr>
            <w:tcW w:w="1347" w:type="dxa"/>
            <w:shd w:val="clear" w:color="auto" w:fill="auto"/>
            <w:vAlign w:val="bottom"/>
          </w:tcPr>
          <w:p w14:paraId="2349AC66" w14:textId="67758766" w:rsidR="00EC3F6D" w:rsidRPr="00EE531B" w:rsidRDefault="00EE531B" w:rsidP="00841651">
            <w:pPr>
              <w:keepNext/>
              <w:keepLines/>
              <w:tabs>
                <w:tab w:val="left" w:pos="106"/>
              </w:tabs>
              <w:spacing w:before="60" w:after="60"/>
              <w:jc w:val="left"/>
              <w:rPr>
                <w:rStyle w:val="Strong"/>
                <w:b w:val="0"/>
                <w:bCs w:val="0"/>
                <w:sz w:val="14"/>
                <w:szCs w:val="14"/>
              </w:rPr>
            </w:pPr>
            <w:r>
              <w:rPr>
                <w:rStyle w:val="Strong"/>
                <w:b w:val="0"/>
                <w:bCs w:val="0"/>
                <w:sz w:val="14"/>
                <w:szCs w:val="14"/>
              </w:rPr>
              <w:t>d*</w:t>
            </w:r>
          </w:p>
        </w:tc>
        <w:tc>
          <w:tcPr>
            <w:tcW w:w="992" w:type="dxa"/>
            <w:vAlign w:val="center"/>
          </w:tcPr>
          <w:p w14:paraId="5C677BD4" w14:textId="77777777" w:rsidR="00EC3F6D" w:rsidRPr="008F735E" w:rsidRDefault="00EC3F6D" w:rsidP="00841651">
            <w:pPr>
              <w:keepNext/>
              <w:keepLines/>
              <w:tabs>
                <w:tab w:val="decimal" w:pos="256"/>
              </w:tabs>
              <w:spacing w:before="60" w:after="60"/>
              <w:jc w:val="center"/>
              <w:rPr>
                <w:sz w:val="14"/>
                <w:szCs w:val="14"/>
              </w:rPr>
            </w:pPr>
            <w:r w:rsidRPr="008F735E">
              <w:rPr>
                <w:sz w:val="14"/>
                <w:szCs w:val="14"/>
              </w:rPr>
              <w:t>2.00%</w:t>
            </w:r>
          </w:p>
        </w:tc>
        <w:tc>
          <w:tcPr>
            <w:tcW w:w="737" w:type="dxa"/>
            <w:vAlign w:val="center"/>
          </w:tcPr>
          <w:p w14:paraId="090650E5" w14:textId="77777777" w:rsidR="00EC3F6D" w:rsidRPr="008F735E" w:rsidRDefault="00EC3F6D" w:rsidP="00841651">
            <w:pPr>
              <w:keepNext/>
              <w:keepLines/>
              <w:tabs>
                <w:tab w:val="decimal" w:pos="256"/>
              </w:tabs>
              <w:spacing w:before="60" w:after="60"/>
              <w:jc w:val="center"/>
              <w:rPr>
                <w:sz w:val="14"/>
                <w:szCs w:val="14"/>
              </w:rPr>
            </w:pPr>
            <w:r w:rsidRPr="008F735E">
              <w:rPr>
                <w:sz w:val="14"/>
                <w:szCs w:val="14"/>
              </w:rPr>
              <w:t>100.00%</w:t>
            </w:r>
          </w:p>
        </w:tc>
        <w:tc>
          <w:tcPr>
            <w:tcW w:w="681" w:type="dxa"/>
            <w:vAlign w:val="center"/>
          </w:tcPr>
          <w:p w14:paraId="525A06F4" w14:textId="77777777" w:rsidR="00EC3F6D" w:rsidRPr="008F735E" w:rsidRDefault="00EC3F6D" w:rsidP="00841651">
            <w:pPr>
              <w:keepNext/>
              <w:keepLines/>
              <w:tabs>
                <w:tab w:val="decimal" w:pos="256"/>
              </w:tabs>
              <w:spacing w:before="60" w:after="60"/>
              <w:jc w:val="center"/>
              <w:rPr>
                <w:sz w:val="14"/>
                <w:szCs w:val="14"/>
              </w:rPr>
            </w:pPr>
            <w:r w:rsidRPr="008F735E">
              <w:rPr>
                <w:sz w:val="14"/>
                <w:szCs w:val="14"/>
              </w:rPr>
              <w:t>50.00%</w:t>
            </w:r>
          </w:p>
        </w:tc>
        <w:tc>
          <w:tcPr>
            <w:tcW w:w="651" w:type="dxa"/>
            <w:vAlign w:val="center"/>
          </w:tcPr>
          <w:p w14:paraId="62C9AD75" w14:textId="77777777" w:rsidR="00EC3F6D" w:rsidRPr="008F735E" w:rsidRDefault="00EC3F6D" w:rsidP="00841651">
            <w:pPr>
              <w:keepNext/>
              <w:keepLines/>
              <w:tabs>
                <w:tab w:val="decimal" w:pos="256"/>
              </w:tabs>
              <w:spacing w:before="60" w:after="60"/>
              <w:jc w:val="center"/>
              <w:rPr>
                <w:sz w:val="14"/>
                <w:szCs w:val="14"/>
              </w:rPr>
            </w:pPr>
            <w:r w:rsidRPr="008F735E">
              <w:rPr>
                <w:sz w:val="14"/>
                <w:szCs w:val="14"/>
              </w:rPr>
              <w:t>10.00%</w:t>
            </w:r>
          </w:p>
        </w:tc>
        <w:tc>
          <w:tcPr>
            <w:tcW w:w="666" w:type="dxa"/>
            <w:vAlign w:val="center"/>
          </w:tcPr>
          <w:p w14:paraId="6E105424" w14:textId="77777777" w:rsidR="00EC3F6D" w:rsidRPr="008F735E" w:rsidRDefault="00EC3F6D" w:rsidP="00841651">
            <w:pPr>
              <w:keepNext/>
              <w:keepLines/>
              <w:tabs>
                <w:tab w:val="decimal" w:pos="256"/>
              </w:tabs>
              <w:spacing w:before="60" w:after="60"/>
              <w:jc w:val="center"/>
              <w:rPr>
                <w:sz w:val="14"/>
                <w:szCs w:val="14"/>
              </w:rPr>
            </w:pPr>
            <w:r w:rsidRPr="008F735E">
              <w:rPr>
                <w:sz w:val="14"/>
                <w:szCs w:val="14"/>
              </w:rPr>
              <w:t>4.00%</w:t>
            </w:r>
          </w:p>
        </w:tc>
        <w:tc>
          <w:tcPr>
            <w:tcW w:w="667" w:type="dxa"/>
            <w:vAlign w:val="center"/>
          </w:tcPr>
          <w:p w14:paraId="0378E5D6" w14:textId="77777777" w:rsidR="00EC3F6D" w:rsidRPr="008F735E" w:rsidRDefault="00EC3F6D" w:rsidP="00841651">
            <w:pPr>
              <w:keepNext/>
              <w:keepLines/>
              <w:tabs>
                <w:tab w:val="decimal" w:pos="256"/>
              </w:tabs>
              <w:spacing w:before="60" w:after="60"/>
              <w:jc w:val="center"/>
              <w:rPr>
                <w:sz w:val="14"/>
                <w:szCs w:val="14"/>
              </w:rPr>
            </w:pPr>
            <w:r w:rsidRPr="008F735E">
              <w:rPr>
                <w:sz w:val="14"/>
                <w:szCs w:val="14"/>
              </w:rPr>
              <w:t>2.00%</w:t>
            </w:r>
          </w:p>
        </w:tc>
        <w:tc>
          <w:tcPr>
            <w:tcW w:w="1134" w:type="dxa"/>
            <w:vAlign w:val="center"/>
          </w:tcPr>
          <w:p w14:paraId="501606DA" w14:textId="77777777" w:rsidR="00EC3F6D" w:rsidRPr="008F735E" w:rsidRDefault="00EC3F6D" w:rsidP="00841651">
            <w:pPr>
              <w:keepNext/>
              <w:keepLines/>
              <w:tabs>
                <w:tab w:val="decimal" w:pos="256"/>
              </w:tabs>
              <w:spacing w:before="60" w:after="60"/>
              <w:jc w:val="center"/>
              <w:rPr>
                <w:sz w:val="14"/>
                <w:szCs w:val="14"/>
              </w:rPr>
            </w:pPr>
            <w:r w:rsidRPr="008F735E">
              <w:rPr>
                <w:sz w:val="14"/>
                <w:szCs w:val="14"/>
              </w:rPr>
              <w:t>0.00%</w:t>
            </w:r>
          </w:p>
        </w:tc>
        <w:tc>
          <w:tcPr>
            <w:tcW w:w="851" w:type="dxa"/>
            <w:vAlign w:val="center"/>
          </w:tcPr>
          <w:p w14:paraId="7811B74D" w14:textId="77777777" w:rsidR="00EC3F6D" w:rsidRPr="008F735E" w:rsidRDefault="00EC3F6D" w:rsidP="00841651">
            <w:pPr>
              <w:keepNext/>
              <w:keepLines/>
              <w:tabs>
                <w:tab w:val="decimal" w:pos="256"/>
              </w:tabs>
              <w:spacing w:before="60" w:after="60"/>
              <w:jc w:val="center"/>
              <w:rPr>
                <w:sz w:val="14"/>
                <w:szCs w:val="14"/>
              </w:rPr>
            </w:pPr>
          </w:p>
        </w:tc>
        <w:tc>
          <w:tcPr>
            <w:tcW w:w="1134" w:type="dxa"/>
            <w:vAlign w:val="center"/>
          </w:tcPr>
          <w:p w14:paraId="5AB20A92" w14:textId="77777777" w:rsidR="00EC3F6D" w:rsidRPr="008F735E" w:rsidRDefault="00EC3F6D" w:rsidP="00841651">
            <w:pPr>
              <w:keepNext/>
              <w:keepLines/>
              <w:tabs>
                <w:tab w:val="decimal" w:pos="256"/>
              </w:tabs>
              <w:spacing w:before="60" w:after="60"/>
              <w:jc w:val="center"/>
              <w:rPr>
                <w:sz w:val="14"/>
                <w:szCs w:val="14"/>
              </w:rPr>
            </w:pPr>
            <w:r w:rsidRPr="008F735E">
              <w:rPr>
                <w:sz w:val="14"/>
                <w:szCs w:val="14"/>
              </w:rPr>
              <w:t>0.00%</w:t>
            </w:r>
          </w:p>
        </w:tc>
        <w:tc>
          <w:tcPr>
            <w:tcW w:w="921" w:type="dxa"/>
            <w:vAlign w:val="center"/>
          </w:tcPr>
          <w:p w14:paraId="7B4C57C8" w14:textId="77777777" w:rsidR="00EC3F6D" w:rsidRPr="008F735E" w:rsidRDefault="00EC3F6D" w:rsidP="00841651">
            <w:pPr>
              <w:keepNext/>
              <w:keepLines/>
              <w:tabs>
                <w:tab w:val="decimal" w:pos="256"/>
              </w:tabs>
              <w:spacing w:before="60" w:after="60"/>
              <w:jc w:val="center"/>
              <w:rPr>
                <w:sz w:val="14"/>
                <w:szCs w:val="14"/>
              </w:rPr>
            </w:pPr>
          </w:p>
        </w:tc>
      </w:tr>
      <w:tr w:rsidR="00EC3F6D" w:rsidRPr="008F735E" w14:paraId="470CF2F6" w14:textId="77777777" w:rsidTr="00841651">
        <w:tc>
          <w:tcPr>
            <w:tcW w:w="1347" w:type="dxa"/>
            <w:shd w:val="clear" w:color="auto" w:fill="auto"/>
            <w:vAlign w:val="bottom"/>
          </w:tcPr>
          <w:p w14:paraId="6B86761E" w14:textId="6D518836" w:rsidR="00EC3F6D" w:rsidRPr="008F735E" w:rsidRDefault="00EC3F6D" w:rsidP="00841651">
            <w:pPr>
              <w:keepNext/>
              <w:keepLines/>
              <w:tabs>
                <w:tab w:val="left" w:pos="106"/>
              </w:tabs>
              <w:spacing w:before="60" w:after="60"/>
              <w:jc w:val="left"/>
              <w:rPr>
                <w:b/>
                <w:bCs/>
                <w:sz w:val="14"/>
                <w:szCs w:val="14"/>
              </w:rPr>
            </w:pPr>
            <w:r>
              <w:rPr>
                <w:b/>
                <w:bCs/>
                <w:sz w:val="14"/>
                <w:szCs w:val="14"/>
              </w:rPr>
              <w:t>Domestic companies</w:t>
            </w:r>
          </w:p>
        </w:tc>
        <w:tc>
          <w:tcPr>
            <w:tcW w:w="992" w:type="dxa"/>
            <w:vAlign w:val="center"/>
          </w:tcPr>
          <w:p w14:paraId="206E45F3" w14:textId="77777777" w:rsidR="00EC3F6D" w:rsidRPr="008F735E" w:rsidRDefault="00EC3F6D" w:rsidP="00841651">
            <w:pPr>
              <w:keepNext/>
              <w:keepLines/>
              <w:tabs>
                <w:tab w:val="decimal" w:pos="256"/>
              </w:tabs>
              <w:spacing w:before="60" w:after="60"/>
              <w:jc w:val="center"/>
              <w:rPr>
                <w:sz w:val="14"/>
                <w:szCs w:val="14"/>
              </w:rPr>
            </w:pPr>
          </w:p>
        </w:tc>
        <w:tc>
          <w:tcPr>
            <w:tcW w:w="737" w:type="dxa"/>
            <w:vAlign w:val="center"/>
          </w:tcPr>
          <w:p w14:paraId="417E483B" w14:textId="77777777" w:rsidR="00EC3F6D" w:rsidRPr="008F735E" w:rsidRDefault="00EC3F6D" w:rsidP="00841651">
            <w:pPr>
              <w:keepNext/>
              <w:keepLines/>
              <w:tabs>
                <w:tab w:val="decimal" w:pos="256"/>
              </w:tabs>
              <w:spacing w:before="60" w:after="60"/>
              <w:jc w:val="center"/>
              <w:rPr>
                <w:sz w:val="14"/>
                <w:szCs w:val="14"/>
              </w:rPr>
            </w:pPr>
          </w:p>
        </w:tc>
        <w:tc>
          <w:tcPr>
            <w:tcW w:w="681" w:type="dxa"/>
            <w:vAlign w:val="center"/>
          </w:tcPr>
          <w:p w14:paraId="24A5C7D1" w14:textId="77777777" w:rsidR="00EC3F6D" w:rsidRPr="008F735E" w:rsidRDefault="00EC3F6D" w:rsidP="00841651">
            <w:pPr>
              <w:keepNext/>
              <w:keepLines/>
              <w:tabs>
                <w:tab w:val="decimal" w:pos="256"/>
              </w:tabs>
              <w:spacing w:before="60" w:after="60"/>
              <w:jc w:val="center"/>
              <w:rPr>
                <w:sz w:val="14"/>
                <w:szCs w:val="14"/>
              </w:rPr>
            </w:pPr>
          </w:p>
        </w:tc>
        <w:tc>
          <w:tcPr>
            <w:tcW w:w="651" w:type="dxa"/>
            <w:vAlign w:val="center"/>
          </w:tcPr>
          <w:p w14:paraId="06EF623D" w14:textId="77777777" w:rsidR="00EC3F6D" w:rsidRPr="008F735E" w:rsidRDefault="00EC3F6D" w:rsidP="00841651">
            <w:pPr>
              <w:keepNext/>
              <w:keepLines/>
              <w:tabs>
                <w:tab w:val="decimal" w:pos="256"/>
              </w:tabs>
              <w:spacing w:before="60" w:after="60"/>
              <w:jc w:val="center"/>
              <w:rPr>
                <w:sz w:val="14"/>
                <w:szCs w:val="14"/>
              </w:rPr>
            </w:pPr>
          </w:p>
        </w:tc>
        <w:tc>
          <w:tcPr>
            <w:tcW w:w="666" w:type="dxa"/>
            <w:vAlign w:val="center"/>
          </w:tcPr>
          <w:p w14:paraId="28987250" w14:textId="77777777" w:rsidR="00EC3F6D" w:rsidRPr="008F735E" w:rsidRDefault="00EC3F6D" w:rsidP="00841651">
            <w:pPr>
              <w:keepNext/>
              <w:keepLines/>
              <w:tabs>
                <w:tab w:val="decimal" w:pos="256"/>
              </w:tabs>
              <w:spacing w:before="60" w:after="60"/>
              <w:jc w:val="center"/>
              <w:rPr>
                <w:sz w:val="14"/>
                <w:szCs w:val="14"/>
              </w:rPr>
            </w:pPr>
          </w:p>
        </w:tc>
        <w:tc>
          <w:tcPr>
            <w:tcW w:w="667" w:type="dxa"/>
            <w:vAlign w:val="center"/>
          </w:tcPr>
          <w:p w14:paraId="7B662AB8" w14:textId="77777777" w:rsidR="00EC3F6D" w:rsidRPr="008F735E" w:rsidRDefault="00EC3F6D" w:rsidP="00841651">
            <w:pPr>
              <w:keepNext/>
              <w:keepLines/>
              <w:tabs>
                <w:tab w:val="decimal" w:pos="256"/>
              </w:tabs>
              <w:spacing w:before="60" w:after="60"/>
              <w:jc w:val="center"/>
              <w:rPr>
                <w:sz w:val="14"/>
                <w:szCs w:val="14"/>
              </w:rPr>
            </w:pPr>
          </w:p>
        </w:tc>
        <w:tc>
          <w:tcPr>
            <w:tcW w:w="1134" w:type="dxa"/>
            <w:vAlign w:val="center"/>
          </w:tcPr>
          <w:p w14:paraId="1981D5DF" w14:textId="77777777" w:rsidR="00EC3F6D" w:rsidRPr="008F735E" w:rsidRDefault="00EC3F6D" w:rsidP="00841651">
            <w:pPr>
              <w:keepNext/>
              <w:keepLines/>
              <w:tabs>
                <w:tab w:val="decimal" w:pos="256"/>
              </w:tabs>
              <w:spacing w:before="60" w:after="60"/>
              <w:jc w:val="center"/>
              <w:rPr>
                <w:sz w:val="14"/>
                <w:szCs w:val="14"/>
              </w:rPr>
            </w:pPr>
          </w:p>
        </w:tc>
        <w:tc>
          <w:tcPr>
            <w:tcW w:w="851" w:type="dxa"/>
            <w:vAlign w:val="center"/>
          </w:tcPr>
          <w:p w14:paraId="24F69DC3" w14:textId="77777777" w:rsidR="00EC3F6D" w:rsidRPr="008F735E" w:rsidRDefault="00EC3F6D" w:rsidP="00841651">
            <w:pPr>
              <w:keepNext/>
              <w:keepLines/>
              <w:tabs>
                <w:tab w:val="decimal" w:pos="256"/>
              </w:tabs>
              <w:spacing w:before="60" w:after="60"/>
              <w:jc w:val="center"/>
              <w:rPr>
                <w:sz w:val="14"/>
                <w:szCs w:val="14"/>
              </w:rPr>
            </w:pPr>
          </w:p>
        </w:tc>
        <w:tc>
          <w:tcPr>
            <w:tcW w:w="1134" w:type="dxa"/>
            <w:vAlign w:val="center"/>
          </w:tcPr>
          <w:p w14:paraId="240EFBD6" w14:textId="77777777" w:rsidR="00EC3F6D" w:rsidRPr="008F735E" w:rsidRDefault="00EC3F6D" w:rsidP="00841651">
            <w:pPr>
              <w:keepNext/>
              <w:keepLines/>
              <w:tabs>
                <w:tab w:val="decimal" w:pos="256"/>
              </w:tabs>
              <w:spacing w:before="60" w:after="60"/>
              <w:jc w:val="center"/>
              <w:rPr>
                <w:sz w:val="14"/>
                <w:szCs w:val="14"/>
              </w:rPr>
            </w:pPr>
          </w:p>
        </w:tc>
        <w:tc>
          <w:tcPr>
            <w:tcW w:w="921" w:type="dxa"/>
            <w:vAlign w:val="center"/>
          </w:tcPr>
          <w:p w14:paraId="6DE00AD8" w14:textId="77777777" w:rsidR="00EC3F6D" w:rsidRPr="008F735E" w:rsidRDefault="00EC3F6D" w:rsidP="00841651">
            <w:pPr>
              <w:keepNext/>
              <w:keepLines/>
              <w:tabs>
                <w:tab w:val="decimal" w:pos="256"/>
              </w:tabs>
              <w:spacing w:before="60" w:after="60"/>
              <w:jc w:val="center"/>
              <w:rPr>
                <w:sz w:val="14"/>
                <w:szCs w:val="14"/>
              </w:rPr>
            </w:pPr>
          </w:p>
        </w:tc>
      </w:tr>
      <w:tr w:rsidR="00EC3F6D" w:rsidRPr="008F735E" w14:paraId="0CB90D68" w14:textId="77777777" w:rsidTr="00841651">
        <w:tc>
          <w:tcPr>
            <w:tcW w:w="1347" w:type="dxa"/>
            <w:shd w:val="clear" w:color="auto" w:fill="auto"/>
            <w:vAlign w:val="bottom"/>
          </w:tcPr>
          <w:p w14:paraId="56D18FD2" w14:textId="3729AC33" w:rsidR="00EC3F6D" w:rsidRPr="008F735E" w:rsidRDefault="00EC3F6D" w:rsidP="00EC3F6D">
            <w:pPr>
              <w:keepNext/>
              <w:keepLines/>
              <w:tabs>
                <w:tab w:val="left" w:pos="106"/>
              </w:tabs>
              <w:spacing w:before="60" w:after="60"/>
              <w:jc w:val="left"/>
              <w:rPr>
                <w:sz w:val="14"/>
                <w:szCs w:val="14"/>
              </w:rPr>
            </w:pPr>
            <w:r w:rsidRPr="008F735E">
              <w:rPr>
                <w:sz w:val="14"/>
                <w:szCs w:val="14"/>
              </w:rPr>
              <w:tab/>
            </w:r>
            <w:r>
              <w:rPr>
                <w:sz w:val="14"/>
                <w:szCs w:val="14"/>
              </w:rPr>
              <w:t>b= 43%</w:t>
            </w:r>
          </w:p>
        </w:tc>
        <w:tc>
          <w:tcPr>
            <w:tcW w:w="992" w:type="dxa"/>
          </w:tcPr>
          <w:p w14:paraId="40875DEE" w14:textId="30090C85" w:rsidR="00EC3F6D" w:rsidRPr="008F735E" w:rsidRDefault="00EC3F6D" w:rsidP="00EC3F6D">
            <w:pPr>
              <w:keepNext/>
              <w:keepLines/>
              <w:tabs>
                <w:tab w:val="decimal" w:pos="256"/>
              </w:tabs>
              <w:spacing w:before="60" w:after="60"/>
              <w:jc w:val="center"/>
              <w:rPr>
                <w:sz w:val="14"/>
                <w:szCs w:val="14"/>
              </w:rPr>
            </w:pPr>
            <w:r>
              <w:rPr>
                <w:sz w:val="14"/>
                <w:szCs w:val="14"/>
              </w:rPr>
              <w:t>21.3%</w:t>
            </w:r>
          </w:p>
        </w:tc>
        <w:tc>
          <w:tcPr>
            <w:tcW w:w="737" w:type="dxa"/>
          </w:tcPr>
          <w:p w14:paraId="242B49DB" w14:textId="6AB959D8" w:rsidR="00EC3F6D" w:rsidRPr="008F735E" w:rsidRDefault="00EC3F6D" w:rsidP="00EC3F6D">
            <w:pPr>
              <w:keepNext/>
              <w:keepLines/>
              <w:tabs>
                <w:tab w:val="decimal" w:pos="256"/>
              </w:tabs>
              <w:spacing w:before="60" w:after="60"/>
              <w:jc w:val="center"/>
              <w:rPr>
                <w:sz w:val="14"/>
                <w:szCs w:val="14"/>
              </w:rPr>
            </w:pPr>
            <w:r>
              <w:rPr>
                <w:sz w:val="14"/>
                <w:szCs w:val="14"/>
              </w:rPr>
              <w:t>27.6</w:t>
            </w:r>
            <w:r w:rsidRPr="00576F2F">
              <w:rPr>
                <w:sz w:val="14"/>
                <w:szCs w:val="14"/>
              </w:rPr>
              <w:t>%</w:t>
            </w:r>
          </w:p>
        </w:tc>
        <w:tc>
          <w:tcPr>
            <w:tcW w:w="681" w:type="dxa"/>
          </w:tcPr>
          <w:p w14:paraId="2BBD1A98" w14:textId="45A9CD7E" w:rsidR="00EC3F6D" w:rsidRPr="008F735E" w:rsidRDefault="00EC3F6D" w:rsidP="00EC3F6D">
            <w:pPr>
              <w:keepNext/>
              <w:keepLines/>
              <w:tabs>
                <w:tab w:val="decimal" w:pos="256"/>
              </w:tabs>
              <w:spacing w:before="60" w:after="60"/>
              <w:jc w:val="center"/>
              <w:rPr>
                <w:sz w:val="14"/>
                <w:szCs w:val="14"/>
              </w:rPr>
            </w:pPr>
            <w:r>
              <w:rPr>
                <w:sz w:val="14"/>
                <w:szCs w:val="14"/>
              </w:rPr>
              <w:t>27.0</w:t>
            </w:r>
            <w:r w:rsidRPr="00576F2F">
              <w:rPr>
                <w:sz w:val="14"/>
                <w:szCs w:val="14"/>
              </w:rPr>
              <w:t>%</w:t>
            </w:r>
          </w:p>
        </w:tc>
        <w:tc>
          <w:tcPr>
            <w:tcW w:w="651" w:type="dxa"/>
          </w:tcPr>
          <w:p w14:paraId="10B2105D" w14:textId="40CB2D4A" w:rsidR="00EC3F6D" w:rsidRPr="008F735E" w:rsidRDefault="00EC3F6D" w:rsidP="00EC3F6D">
            <w:pPr>
              <w:keepNext/>
              <w:keepLines/>
              <w:tabs>
                <w:tab w:val="decimal" w:pos="256"/>
              </w:tabs>
              <w:spacing w:before="60" w:after="60"/>
              <w:jc w:val="center"/>
              <w:rPr>
                <w:sz w:val="14"/>
                <w:szCs w:val="14"/>
              </w:rPr>
            </w:pPr>
            <w:r>
              <w:rPr>
                <w:sz w:val="14"/>
                <w:szCs w:val="14"/>
              </w:rPr>
              <w:t>23.7</w:t>
            </w:r>
            <w:r w:rsidRPr="00576F2F">
              <w:rPr>
                <w:sz w:val="14"/>
                <w:szCs w:val="14"/>
              </w:rPr>
              <w:t>%</w:t>
            </w:r>
          </w:p>
        </w:tc>
        <w:tc>
          <w:tcPr>
            <w:tcW w:w="666" w:type="dxa"/>
          </w:tcPr>
          <w:p w14:paraId="1A2A7CC8" w14:textId="553D2EE2" w:rsidR="00EC3F6D" w:rsidRPr="008F735E" w:rsidRDefault="00EC3F6D" w:rsidP="00EC3F6D">
            <w:pPr>
              <w:keepNext/>
              <w:keepLines/>
              <w:tabs>
                <w:tab w:val="decimal" w:pos="256"/>
              </w:tabs>
              <w:spacing w:before="60" w:after="60"/>
              <w:jc w:val="center"/>
              <w:rPr>
                <w:sz w:val="14"/>
                <w:szCs w:val="14"/>
              </w:rPr>
            </w:pPr>
            <w:r>
              <w:rPr>
                <w:sz w:val="14"/>
                <w:szCs w:val="14"/>
              </w:rPr>
              <w:t>20.1</w:t>
            </w:r>
            <w:r w:rsidRPr="00576F2F">
              <w:rPr>
                <w:sz w:val="14"/>
                <w:szCs w:val="14"/>
              </w:rPr>
              <w:t>%</w:t>
            </w:r>
          </w:p>
        </w:tc>
        <w:tc>
          <w:tcPr>
            <w:tcW w:w="667" w:type="dxa"/>
          </w:tcPr>
          <w:p w14:paraId="6B01B296" w14:textId="7108F0E0" w:rsidR="00EC3F6D" w:rsidRPr="008F735E" w:rsidRDefault="00EC3F6D" w:rsidP="00EC3F6D">
            <w:pPr>
              <w:keepNext/>
              <w:keepLines/>
              <w:tabs>
                <w:tab w:val="decimal" w:pos="256"/>
              </w:tabs>
              <w:spacing w:before="60" w:after="60"/>
              <w:jc w:val="center"/>
              <w:rPr>
                <w:sz w:val="14"/>
                <w:szCs w:val="14"/>
              </w:rPr>
            </w:pPr>
            <w:r>
              <w:rPr>
                <w:sz w:val="14"/>
                <w:szCs w:val="14"/>
              </w:rPr>
              <w:t>17.3</w:t>
            </w:r>
            <w:r w:rsidRPr="00576F2F">
              <w:rPr>
                <w:sz w:val="14"/>
                <w:szCs w:val="14"/>
              </w:rPr>
              <w:t>%</w:t>
            </w:r>
          </w:p>
        </w:tc>
        <w:tc>
          <w:tcPr>
            <w:tcW w:w="1134" w:type="dxa"/>
          </w:tcPr>
          <w:p w14:paraId="3B2D0B98" w14:textId="010A2365" w:rsidR="00EC3F6D" w:rsidRPr="008F735E" w:rsidRDefault="00EC3F6D" w:rsidP="00EC3F6D">
            <w:pPr>
              <w:keepNext/>
              <w:keepLines/>
              <w:tabs>
                <w:tab w:val="decimal" w:pos="256"/>
              </w:tabs>
              <w:spacing w:before="60" w:after="60"/>
              <w:jc w:val="center"/>
              <w:rPr>
                <w:sz w:val="14"/>
                <w:szCs w:val="14"/>
              </w:rPr>
            </w:pPr>
            <w:r>
              <w:rPr>
                <w:sz w:val="14"/>
                <w:szCs w:val="14"/>
              </w:rPr>
              <w:t>11.3</w:t>
            </w:r>
            <w:r w:rsidRPr="00576F2F">
              <w:rPr>
                <w:sz w:val="14"/>
                <w:szCs w:val="14"/>
              </w:rPr>
              <w:t>%</w:t>
            </w:r>
          </w:p>
        </w:tc>
        <w:tc>
          <w:tcPr>
            <w:tcW w:w="851" w:type="dxa"/>
          </w:tcPr>
          <w:p w14:paraId="4A229DA9" w14:textId="5CF67221" w:rsidR="00EC3F6D" w:rsidRPr="008F735E" w:rsidRDefault="00EC3F6D" w:rsidP="00EC3F6D">
            <w:pPr>
              <w:keepNext/>
              <w:keepLines/>
              <w:tabs>
                <w:tab w:val="decimal" w:pos="256"/>
              </w:tabs>
              <w:spacing w:before="60" w:after="60"/>
              <w:jc w:val="center"/>
              <w:rPr>
                <w:sz w:val="14"/>
                <w:szCs w:val="14"/>
              </w:rPr>
            </w:pPr>
            <w:r>
              <w:rPr>
                <w:sz w:val="14"/>
                <w:szCs w:val="14"/>
              </w:rPr>
              <w:t>27.6</w:t>
            </w:r>
            <w:r w:rsidRPr="00576F2F">
              <w:rPr>
                <w:sz w:val="14"/>
                <w:szCs w:val="14"/>
              </w:rPr>
              <w:t>%</w:t>
            </w:r>
          </w:p>
        </w:tc>
        <w:tc>
          <w:tcPr>
            <w:tcW w:w="1134" w:type="dxa"/>
          </w:tcPr>
          <w:p w14:paraId="2D073543" w14:textId="63AC3E14" w:rsidR="00EC3F6D" w:rsidRPr="008F735E" w:rsidRDefault="00EC3F6D" w:rsidP="00EC3F6D">
            <w:pPr>
              <w:keepNext/>
              <w:keepLines/>
              <w:tabs>
                <w:tab w:val="decimal" w:pos="256"/>
              </w:tabs>
              <w:spacing w:before="60" w:after="60"/>
              <w:jc w:val="center"/>
              <w:rPr>
                <w:sz w:val="14"/>
                <w:szCs w:val="14"/>
              </w:rPr>
            </w:pPr>
            <w:r>
              <w:rPr>
                <w:sz w:val="14"/>
                <w:szCs w:val="14"/>
              </w:rPr>
              <w:t>-0.3</w:t>
            </w:r>
            <w:r w:rsidRPr="00576F2F">
              <w:rPr>
                <w:sz w:val="14"/>
                <w:szCs w:val="14"/>
              </w:rPr>
              <w:t>%</w:t>
            </w:r>
          </w:p>
        </w:tc>
        <w:tc>
          <w:tcPr>
            <w:tcW w:w="921" w:type="dxa"/>
          </w:tcPr>
          <w:p w14:paraId="08930F27" w14:textId="049A7A31" w:rsidR="00EC3F6D" w:rsidRPr="008F735E" w:rsidRDefault="00EC3F6D" w:rsidP="00EC3F6D">
            <w:pPr>
              <w:keepNext/>
              <w:keepLines/>
              <w:tabs>
                <w:tab w:val="decimal" w:pos="256"/>
              </w:tabs>
              <w:spacing w:before="60" w:after="60"/>
              <w:jc w:val="center"/>
              <w:rPr>
                <w:sz w:val="14"/>
                <w:szCs w:val="14"/>
              </w:rPr>
            </w:pPr>
            <w:r>
              <w:rPr>
                <w:sz w:val="14"/>
                <w:szCs w:val="14"/>
              </w:rPr>
              <w:t>-23.3</w:t>
            </w:r>
            <w:r w:rsidRPr="00576F2F">
              <w:rPr>
                <w:sz w:val="14"/>
                <w:szCs w:val="14"/>
              </w:rPr>
              <w:t>%</w:t>
            </w:r>
          </w:p>
        </w:tc>
      </w:tr>
      <w:tr w:rsidR="00EC3F6D" w:rsidRPr="008F735E" w14:paraId="3DCE034C" w14:textId="77777777" w:rsidTr="00841651">
        <w:tc>
          <w:tcPr>
            <w:tcW w:w="1347" w:type="dxa"/>
            <w:shd w:val="clear" w:color="auto" w:fill="auto"/>
            <w:vAlign w:val="bottom"/>
          </w:tcPr>
          <w:p w14:paraId="2BA61C11" w14:textId="42F0F18E" w:rsidR="00EC3F6D" w:rsidRPr="008F735E" w:rsidRDefault="00EC3F6D" w:rsidP="00841651">
            <w:pPr>
              <w:keepNext/>
              <w:keepLines/>
              <w:tabs>
                <w:tab w:val="left" w:pos="106"/>
              </w:tabs>
              <w:spacing w:before="60" w:after="60"/>
              <w:jc w:val="left"/>
              <w:rPr>
                <w:b/>
                <w:bCs/>
                <w:sz w:val="14"/>
                <w:szCs w:val="14"/>
              </w:rPr>
            </w:pPr>
            <w:r>
              <w:rPr>
                <w:b/>
                <w:bCs/>
                <w:sz w:val="14"/>
                <w:szCs w:val="14"/>
              </w:rPr>
              <w:t>Foreign-controlled companies</w:t>
            </w:r>
          </w:p>
        </w:tc>
        <w:tc>
          <w:tcPr>
            <w:tcW w:w="992" w:type="dxa"/>
          </w:tcPr>
          <w:p w14:paraId="1E8F8129" w14:textId="77777777" w:rsidR="00EC3F6D" w:rsidRPr="008F735E" w:rsidRDefault="00EC3F6D" w:rsidP="00841651">
            <w:pPr>
              <w:keepNext/>
              <w:keepLines/>
              <w:tabs>
                <w:tab w:val="decimal" w:pos="256"/>
              </w:tabs>
              <w:spacing w:before="60" w:after="60"/>
              <w:jc w:val="center"/>
              <w:rPr>
                <w:sz w:val="14"/>
                <w:szCs w:val="14"/>
              </w:rPr>
            </w:pPr>
          </w:p>
        </w:tc>
        <w:tc>
          <w:tcPr>
            <w:tcW w:w="737" w:type="dxa"/>
          </w:tcPr>
          <w:p w14:paraId="025AB23A" w14:textId="77777777" w:rsidR="00EC3F6D" w:rsidRPr="008F735E" w:rsidRDefault="00EC3F6D" w:rsidP="00841651">
            <w:pPr>
              <w:keepNext/>
              <w:keepLines/>
              <w:tabs>
                <w:tab w:val="decimal" w:pos="256"/>
              </w:tabs>
              <w:spacing w:before="60" w:after="60"/>
              <w:jc w:val="center"/>
              <w:rPr>
                <w:sz w:val="14"/>
                <w:szCs w:val="14"/>
              </w:rPr>
            </w:pPr>
          </w:p>
        </w:tc>
        <w:tc>
          <w:tcPr>
            <w:tcW w:w="681" w:type="dxa"/>
          </w:tcPr>
          <w:p w14:paraId="6C74149D" w14:textId="77777777" w:rsidR="00EC3F6D" w:rsidRPr="008F735E" w:rsidRDefault="00EC3F6D" w:rsidP="00841651">
            <w:pPr>
              <w:keepNext/>
              <w:keepLines/>
              <w:tabs>
                <w:tab w:val="decimal" w:pos="256"/>
              </w:tabs>
              <w:spacing w:before="60" w:after="60"/>
              <w:jc w:val="center"/>
              <w:rPr>
                <w:sz w:val="14"/>
                <w:szCs w:val="14"/>
              </w:rPr>
            </w:pPr>
          </w:p>
        </w:tc>
        <w:tc>
          <w:tcPr>
            <w:tcW w:w="651" w:type="dxa"/>
          </w:tcPr>
          <w:p w14:paraId="3C47B80F" w14:textId="77777777" w:rsidR="00EC3F6D" w:rsidRPr="008F735E" w:rsidRDefault="00EC3F6D" w:rsidP="00841651">
            <w:pPr>
              <w:keepNext/>
              <w:keepLines/>
              <w:tabs>
                <w:tab w:val="decimal" w:pos="256"/>
              </w:tabs>
              <w:spacing w:before="60" w:after="60"/>
              <w:jc w:val="center"/>
              <w:rPr>
                <w:sz w:val="14"/>
                <w:szCs w:val="14"/>
              </w:rPr>
            </w:pPr>
          </w:p>
        </w:tc>
        <w:tc>
          <w:tcPr>
            <w:tcW w:w="666" w:type="dxa"/>
          </w:tcPr>
          <w:p w14:paraId="266CECF2" w14:textId="77777777" w:rsidR="00EC3F6D" w:rsidRPr="008F735E" w:rsidRDefault="00EC3F6D" w:rsidP="00841651">
            <w:pPr>
              <w:keepNext/>
              <w:keepLines/>
              <w:tabs>
                <w:tab w:val="decimal" w:pos="256"/>
              </w:tabs>
              <w:spacing w:before="60" w:after="60"/>
              <w:jc w:val="center"/>
              <w:rPr>
                <w:sz w:val="14"/>
                <w:szCs w:val="14"/>
              </w:rPr>
            </w:pPr>
          </w:p>
        </w:tc>
        <w:tc>
          <w:tcPr>
            <w:tcW w:w="667" w:type="dxa"/>
          </w:tcPr>
          <w:p w14:paraId="3BCABD0E" w14:textId="77777777" w:rsidR="00EC3F6D" w:rsidRPr="008F735E" w:rsidRDefault="00EC3F6D" w:rsidP="00841651">
            <w:pPr>
              <w:keepNext/>
              <w:keepLines/>
              <w:tabs>
                <w:tab w:val="decimal" w:pos="256"/>
              </w:tabs>
              <w:spacing w:before="60" w:after="60"/>
              <w:jc w:val="center"/>
              <w:rPr>
                <w:sz w:val="14"/>
                <w:szCs w:val="14"/>
              </w:rPr>
            </w:pPr>
          </w:p>
        </w:tc>
        <w:tc>
          <w:tcPr>
            <w:tcW w:w="1134" w:type="dxa"/>
          </w:tcPr>
          <w:p w14:paraId="6BC3A451" w14:textId="77777777" w:rsidR="00EC3F6D" w:rsidRPr="008F735E" w:rsidRDefault="00EC3F6D" w:rsidP="00841651">
            <w:pPr>
              <w:keepNext/>
              <w:keepLines/>
              <w:tabs>
                <w:tab w:val="decimal" w:pos="256"/>
              </w:tabs>
              <w:spacing w:before="60" w:after="60"/>
              <w:jc w:val="center"/>
              <w:rPr>
                <w:sz w:val="14"/>
                <w:szCs w:val="14"/>
              </w:rPr>
            </w:pPr>
          </w:p>
        </w:tc>
        <w:tc>
          <w:tcPr>
            <w:tcW w:w="851" w:type="dxa"/>
          </w:tcPr>
          <w:p w14:paraId="4B839649" w14:textId="77777777" w:rsidR="00EC3F6D" w:rsidRPr="008F735E" w:rsidRDefault="00EC3F6D" w:rsidP="00841651">
            <w:pPr>
              <w:keepNext/>
              <w:keepLines/>
              <w:tabs>
                <w:tab w:val="decimal" w:pos="256"/>
              </w:tabs>
              <w:spacing w:before="60" w:after="60"/>
              <w:jc w:val="center"/>
              <w:rPr>
                <w:sz w:val="14"/>
                <w:szCs w:val="14"/>
              </w:rPr>
            </w:pPr>
          </w:p>
        </w:tc>
        <w:tc>
          <w:tcPr>
            <w:tcW w:w="1134" w:type="dxa"/>
          </w:tcPr>
          <w:p w14:paraId="122946DD" w14:textId="77777777" w:rsidR="00EC3F6D" w:rsidRPr="008F735E" w:rsidRDefault="00EC3F6D" w:rsidP="00841651">
            <w:pPr>
              <w:keepNext/>
              <w:keepLines/>
              <w:tabs>
                <w:tab w:val="decimal" w:pos="256"/>
              </w:tabs>
              <w:spacing w:before="60" w:after="60"/>
              <w:jc w:val="center"/>
              <w:rPr>
                <w:sz w:val="14"/>
                <w:szCs w:val="14"/>
              </w:rPr>
            </w:pPr>
          </w:p>
        </w:tc>
        <w:tc>
          <w:tcPr>
            <w:tcW w:w="921" w:type="dxa"/>
          </w:tcPr>
          <w:p w14:paraId="549045AE" w14:textId="77777777" w:rsidR="00EC3F6D" w:rsidRPr="008F735E" w:rsidRDefault="00EC3F6D" w:rsidP="00841651">
            <w:pPr>
              <w:keepNext/>
              <w:keepLines/>
              <w:tabs>
                <w:tab w:val="decimal" w:pos="256"/>
              </w:tabs>
              <w:spacing w:before="60" w:after="60"/>
              <w:jc w:val="center"/>
              <w:rPr>
                <w:sz w:val="14"/>
                <w:szCs w:val="14"/>
              </w:rPr>
            </w:pPr>
          </w:p>
        </w:tc>
      </w:tr>
      <w:tr w:rsidR="00EC3F6D" w:rsidRPr="008F735E" w14:paraId="49CBA111" w14:textId="77777777" w:rsidTr="00011826">
        <w:tc>
          <w:tcPr>
            <w:tcW w:w="1347" w:type="dxa"/>
            <w:shd w:val="clear" w:color="auto" w:fill="auto"/>
          </w:tcPr>
          <w:p w14:paraId="23614158" w14:textId="3E7E9680" w:rsidR="00EC3F6D" w:rsidRPr="008F735E" w:rsidRDefault="00EC3F6D" w:rsidP="00EC3F6D">
            <w:pPr>
              <w:keepNext/>
              <w:keepLines/>
              <w:tabs>
                <w:tab w:val="left" w:pos="106"/>
              </w:tabs>
              <w:spacing w:before="60" w:after="60"/>
              <w:jc w:val="left"/>
              <w:rPr>
                <w:sz w:val="14"/>
                <w:szCs w:val="14"/>
              </w:rPr>
            </w:pPr>
            <w:r w:rsidRPr="008F735E">
              <w:rPr>
                <w:sz w:val="14"/>
                <w:szCs w:val="14"/>
              </w:rPr>
              <w:tab/>
            </w:r>
            <w:r>
              <w:rPr>
                <w:sz w:val="14"/>
                <w:szCs w:val="14"/>
              </w:rPr>
              <w:t>b= 0%</w:t>
            </w:r>
          </w:p>
        </w:tc>
        <w:tc>
          <w:tcPr>
            <w:tcW w:w="992" w:type="dxa"/>
          </w:tcPr>
          <w:p w14:paraId="6514926D" w14:textId="1DB9F6B4" w:rsidR="00EC3F6D" w:rsidRPr="008F735E" w:rsidRDefault="00EC3F6D" w:rsidP="00EC3F6D">
            <w:pPr>
              <w:keepNext/>
              <w:keepLines/>
              <w:tabs>
                <w:tab w:val="decimal" w:pos="256"/>
              </w:tabs>
              <w:spacing w:before="60" w:after="60"/>
              <w:jc w:val="center"/>
              <w:rPr>
                <w:sz w:val="14"/>
                <w:szCs w:val="14"/>
              </w:rPr>
            </w:pPr>
            <w:r>
              <w:rPr>
                <w:sz w:val="14"/>
                <w:szCs w:val="14"/>
              </w:rPr>
              <w:t>34.6</w:t>
            </w:r>
            <w:r w:rsidRPr="00785F96">
              <w:rPr>
                <w:sz w:val="14"/>
                <w:szCs w:val="14"/>
              </w:rPr>
              <w:t>%</w:t>
            </w:r>
          </w:p>
        </w:tc>
        <w:tc>
          <w:tcPr>
            <w:tcW w:w="737" w:type="dxa"/>
          </w:tcPr>
          <w:p w14:paraId="6142480C" w14:textId="4979F254" w:rsidR="00EC3F6D" w:rsidRPr="008F735E" w:rsidRDefault="00EC3F6D" w:rsidP="00EC3F6D">
            <w:pPr>
              <w:keepNext/>
              <w:keepLines/>
              <w:tabs>
                <w:tab w:val="decimal" w:pos="256"/>
              </w:tabs>
              <w:spacing w:before="60" w:after="60"/>
              <w:jc w:val="center"/>
              <w:rPr>
                <w:sz w:val="14"/>
                <w:szCs w:val="14"/>
              </w:rPr>
            </w:pPr>
            <w:r>
              <w:rPr>
                <w:sz w:val="14"/>
                <w:szCs w:val="14"/>
              </w:rPr>
              <w:t>39.1</w:t>
            </w:r>
            <w:r w:rsidRPr="00785F96">
              <w:rPr>
                <w:sz w:val="14"/>
                <w:szCs w:val="14"/>
              </w:rPr>
              <w:t>%</w:t>
            </w:r>
          </w:p>
        </w:tc>
        <w:tc>
          <w:tcPr>
            <w:tcW w:w="681" w:type="dxa"/>
          </w:tcPr>
          <w:p w14:paraId="46D2D624" w14:textId="33C3A264" w:rsidR="00EC3F6D" w:rsidRPr="008F735E" w:rsidRDefault="00EC3F6D" w:rsidP="00EC3F6D">
            <w:pPr>
              <w:keepNext/>
              <w:keepLines/>
              <w:tabs>
                <w:tab w:val="decimal" w:pos="256"/>
              </w:tabs>
              <w:spacing w:before="60" w:after="60"/>
              <w:jc w:val="center"/>
              <w:rPr>
                <w:sz w:val="14"/>
                <w:szCs w:val="14"/>
              </w:rPr>
            </w:pPr>
            <w:r>
              <w:rPr>
                <w:sz w:val="14"/>
                <w:szCs w:val="14"/>
              </w:rPr>
              <w:t>38.7</w:t>
            </w:r>
            <w:r w:rsidRPr="00785F96">
              <w:rPr>
                <w:sz w:val="14"/>
                <w:szCs w:val="14"/>
              </w:rPr>
              <w:t>%</w:t>
            </w:r>
          </w:p>
        </w:tc>
        <w:tc>
          <w:tcPr>
            <w:tcW w:w="651" w:type="dxa"/>
          </w:tcPr>
          <w:p w14:paraId="216DFE7E" w14:textId="74C1A5D2" w:rsidR="00EC3F6D" w:rsidRPr="008F735E" w:rsidRDefault="00EC3F6D" w:rsidP="00EC3F6D">
            <w:pPr>
              <w:keepNext/>
              <w:keepLines/>
              <w:tabs>
                <w:tab w:val="decimal" w:pos="256"/>
              </w:tabs>
              <w:spacing w:before="60" w:after="60"/>
              <w:jc w:val="center"/>
              <w:rPr>
                <w:sz w:val="14"/>
                <w:szCs w:val="14"/>
              </w:rPr>
            </w:pPr>
            <w:r>
              <w:rPr>
                <w:sz w:val="14"/>
                <w:szCs w:val="14"/>
              </w:rPr>
              <w:t>36.2</w:t>
            </w:r>
            <w:r w:rsidRPr="00785F96">
              <w:rPr>
                <w:sz w:val="14"/>
                <w:szCs w:val="14"/>
              </w:rPr>
              <w:t>%</w:t>
            </w:r>
          </w:p>
        </w:tc>
        <w:tc>
          <w:tcPr>
            <w:tcW w:w="666" w:type="dxa"/>
          </w:tcPr>
          <w:p w14:paraId="13C8F255" w14:textId="4DC70909" w:rsidR="00EC3F6D" w:rsidRPr="008F735E" w:rsidRDefault="00EC3F6D" w:rsidP="00EC3F6D">
            <w:pPr>
              <w:keepNext/>
              <w:keepLines/>
              <w:tabs>
                <w:tab w:val="decimal" w:pos="256"/>
              </w:tabs>
              <w:spacing w:before="60" w:after="60"/>
              <w:jc w:val="center"/>
              <w:rPr>
                <w:sz w:val="14"/>
                <w:szCs w:val="14"/>
              </w:rPr>
            </w:pPr>
            <w:r>
              <w:rPr>
                <w:sz w:val="14"/>
                <w:szCs w:val="14"/>
              </w:rPr>
              <w:t>33.6</w:t>
            </w:r>
            <w:r w:rsidRPr="00785F96">
              <w:rPr>
                <w:sz w:val="14"/>
                <w:szCs w:val="14"/>
              </w:rPr>
              <w:t>%</w:t>
            </w:r>
          </w:p>
        </w:tc>
        <w:tc>
          <w:tcPr>
            <w:tcW w:w="667" w:type="dxa"/>
          </w:tcPr>
          <w:p w14:paraId="1F055018" w14:textId="0E7DFD87" w:rsidR="00EC3F6D" w:rsidRPr="008F735E" w:rsidRDefault="00EC3F6D" w:rsidP="00EC3F6D">
            <w:pPr>
              <w:keepNext/>
              <w:keepLines/>
              <w:tabs>
                <w:tab w:val="decimal" w:pos="256"/>
              </w:tabs>
              <w:spacing w:before="60" w:after="60"/>
              <w:jc w:val="center"/>
              <w:rPr>
                <w:sz w:val="14"/>
                <w:szCs w:val="14"/>
              </w:rPr>
            </w:pPr>
            <w:r>
              <w:rPr>
                <w:sz w:val="14"/>
                <w:szCs w:val="14"/>
              </w:rPr>
              <w:t>31.7</w:t>
            </w:r>
            <w:r w:rsidRPr="00785F96">
              <w:rPr>
                <w:sz w:val="14"/>
                <w:szCs w:val="14"/>
              </w:rPr>
              <w:t>%</w:t>
            </w:r>
          </w:p>
        </w:tc>
        <w:tc>
          <w:tcPr>
            <w:tcW w:w="1134" w:type="dxa"/>
          </w:tcPr>
          <w:p w14:paraId="29DE5873" w14:textId="21BF0481" w:rsidR="00EC3F6D" w:rsidRPr="008F735E" w:rsidRDefault="00EC3F6D" w:rsidP="00EC3F6D">
            <w:pPr>
              <w:keepNext/>
              <w:keepLines/>
              <w:tabs>
                <w:tab w:val="decimal" w:pos="256"/>
              </w:tabs>
              <w:spacing w:before="60" w:after="60"/>
              <w:jc w:val="center"/>
              <w:rPr>
                <w:sz w:val="14"/>
                <w:szCs w:val="14"/>
              </w:rPr>
            </w:pPr>
            <w:r>
              <w:rPr>
                <w:sz w:val="14"/>
                <w:szCs w:val="14"/>
              </w:rPr>
              <w:t>28.0</w:t>
            </w:r>
            <w:r w:rsidRPr="00785F96">
              <w:rPr>
                <w:sz w:val="14"/>
                <w:szCs w:val="14"/>
              </w:rPr>
              <w:t>%</w:t>
            </w:r>
          </w:p>
        </w:tc>
        <w:tc>
          <w:tcPr>
            <w:tcW w:w="851" w:type="dxa"/>
          </w:tcPr>
          <w:p w14:paraId="51F4024D" w14:textId="41B944D9" w:rsidR="00EC3F6D" w:rsidRPr="008F735E" w:rsidRDefault="00EC3F6D" w:rsidP="00EC3F6D">
            <w:pPr>
              <w:keepNext/>
              <w:keepLines/>
              <w:tabs>
                <w:tab w:val="decimal" w:pos="256"/>
              </w:tabs>
              <w:spacing w:before="60" w:after="60"/>
              <w:jc w:val="center"/>
              <w:rPr>
                <w:sz w:val="14"/>
                <w:szCs w:val="14"/>
              </w:rPr>
            </w:pPr>
            <w:r>
              <w:rPr>
                <w:sz w:val="14"/>
                <w:szCs w:val="14"/>
              </w:rPr>
              <w:t>39.1</w:t>
            </w:r>
            <w:r w:rsidRPr="00785F96">
              <w:rPr>
                <w:sz w:val="14"/>
                <w:szCs w:val="14"/>
              </w:rPr>
              <w:t>%</w:t>
            </w:r>
          </w:p>
        </w:tc>
        <w:tc>
          <w:tcPr>
            <w:tcW w:w="1134" w:type="dxa"/>
          </w:tcPr>
          <w:p w14:paraId="19092B9A" w14:textId="5A3D059A" w:rsidR="00EC3F6D" w:rsidRPr="008F735E" w:rsidRDefault="00EC3F6D" w:rsidP="00EC3F6D">
            <w:pPr>
              <w:keepNext/>
              <w:keepLines/>
              <w:tabs>
                <w:tab w:val="decimal" w:pos="256"/>
              </w:tabs>
              <w:spacing w:before="60" w:after="60"/>
              <w:jc w:val="center"/>
              <w:rPr>
                <w:sz w:val="14"/>
                <w:szCs w:val="14"/>
              </w:rPr>
            </w:pPr>
            <w:r>
              <w:rPr>
                <w:sz w:val="14"/>
                <w:szCs w:val="14"/>
              </w:rPr>
              <w:t>20.6</w:t>
            </w:r>
            <w:r w:rsidRPr="00785F96">
              <w:rPr>
                <w:sz w:val="14"/>
                <w:szCs w:val="14"/>
              </w:rPr>
              <w:t>%</w:t>
            </w:r>
          </w:p>
        </w:tc>
        <w:tc>
          <w:tcPr>
            <w:tcW w:w="921" w:type="dxa"/>
          </w:tcPr>
          <w:p w14:paraId="0FDA6E71" w14:textId="69189015" w:rsidR="00EC3F6D" w:rsidRPr="008F735E" w:rsidRDefault="00EC3F6D" w:rsidP="00EC3F6D">
            <w:pPr>
              <w:keepNext/>
              <w:keepLines/>
              <w:tabs>
                <w:tab w:val="decimal" w:pos="256"/>
              </w:tabs>
              <w:spacing w:before="60" w:after="60"/>
              <w:jc w:val="center"/>
              <w:rPr>
                <w:sz w:val="14"/>
                <w:szCs w:val="14"/>
              </w:rPr>
            </w:pPr>
            <w:r>
              <w:rPr>
                <w:sz w:val="14"/>
                <w:szCs w:val="14"/>
              </w:rPr>
              <w:t>0.0</w:t>
            </w:r>
            <w:r w:rsidRPr="00785F96">
              <w:rPr>
                <w:sz w:val="14"/>
                <w:szCs w:val="14"/>
              </w:rPr>
              <w:t>%</w:t>
            </w:r>
          </w:p>
        </w:tc>
      </w:tr>
      <w:tr w:rsidR="00EC3F6D" w:rsidRPr="008F735E" w14:paraId="42ACFAF0" w14:textId="77777777" w:rsidTr="00011826">
        <w:tc>
          <w:tcPr>
            <w:tcW w:w="1347" w:type="dxa"/>
            <w:shd w:val="clear" w:color="auto" w:fill="auto"/>
          </w:tcPr>
          <w:p w14:paraId="23EEF5F9" w14:textId="484DB281" w:rsidR="00EC3F6D" w:rsidRPr="008F735E" w:rsidRDefault="00EC3F6D" w:rsidP="00EC3F6D">
            <w:pPr>
              <w:keepNext/>
              <w:keepLines/>
              <w:tabs>
                <w:tab w:val="left" w:pos="106"/>
              </w:tabs>
              <w:spacing w:before="60" w:after="60"/>
              <w:jc w:val="left"/>
              <w:rPr>
                <w:sz w:val="14"/>
                <w:szCs w:val="14"/>
              </w:rPr>
            </w:pPr>
            <w:r w:rsidRPr="008F735E">
              <w:rPr>
                <w:sz w:val="14"/>
                <w:szCs w:val="14"/>
              </w:rPr>
              <w:tab/>
            </w:r>
            <w:r>
              <w:rPr>
                <w:sz w:val="14"/>
                <w:szCs w:val="14"/>
              </w:rPr>
              <w:t>b= 43%</w:t>
            </w:r>
          </w:p>
        </w:tc>
        <w:tc>
          <w:tcPr>
            <w:tcW w:w="992" w:type="dxa"/>
          </w:tcPr>
          <w:p w14:paraId="215F2168" w14:textId="6172DD53" w:rsidR="00EC3F6D" w:rsidRPr="008F735E" w:rsidRDefault="00EC3F6D" w:rsidP="00EC3F6D">
            <w:pPr>
              <w:keepNext/>
              <w:keepLines/>
              <w:tabs>
                <w:tab w:val="decimal" w:pos="256"/>
              </w:tabs>
              <w:spacing w:before="60" w:after="60"/>
              <w:jc w:val="center"/>
              <w:rPr>
                <w:sz w:val="14"/>
                <w:szCs w:val="14"/>
              </w:rPr>
            </w:pPr>
            <w:r>
              <w:rPr>
                <w:sz w:val="14"/>
                <w:szCs w:val="14"/>
              </w:rPr>
              <w:t>23.4</w:t>
            </w:r>
            <w:r w:rsidRPr="00785F96">
              <w:rPr>
                <w:sz w:val="14"/>
                <w:szCs w:val="14"/>
              </w:rPr>
              <w:t>%</w:t>
            </w:r>
          </w:p>
        </w:tc>
        <w:tc>
          <w:tcPr>
            <w:tcW w:w="737" w:type="dxa"/>
          </w:tcPr>
          <w:p w14:paraId="5991655A" w14:textId="6083C799" w:rsidR="00EC3F6D" w:rsidRPr="008F735E" w:rsidRDefault="00EC3F6D" w:rsidP="00EC3F6D">
            <w:pPr>
              <w:keepNext/>
              <w:keepLines/>
              <w:tabs>
                <w:tab w:val="decimal" w:pos="256"/>
              </w:tabs>
              <w:spacing w:before="60" w:after="60"/>
              <w:jc w:val="center"/>
              <w:rPr>
                <w:sz w:val="14"/>
                <w:szCs w:val="14"/>
              </w:rPr>
            </w:pPr>
            <w:r>
              <w:rPr>
                <w:sz w:val="14"/>
                <w:szCs w:val="14"/>
              </w:rPr>
              <w:t>29.4</w:t>
            </w:r>
            <w:r w:rsidRPr="00785F96">
              <w:rPr>
                <w:sz w:val="14"/>
                <w:szCs w:val="14"/>
              </w:rPr>
              <w:t>%</w:t>
            </w:r>
          </w:p>
        </w:tc>
        <w:tc>
          <w:tcPr>
            <w:tcW w:w="681" w:type="dxa"/>
          </w:tcPr>
          <w:p w14:paraId="39EA0DFB" w14:textId="107BC53B" w:rsidR="00EC3F6D" w:rsidRPr="008F735E" w:rsidRDefault="00EC3F6D" w:rsidP="00EC3F6D">
            <w:pPr>
              <w:keepNext/>
              <w:keepLines/>
              <w:tabs>
                <w:tab w:val="decimal" w:pos="256"/>
              </w:tabs>
              <w:spacing w:before="60" w:after="60"/>
              <w:jc w:val="center"/>
              <w:rPr>
                <w:sz w:val="14"/>
                <w:szCs w:val="14"/>
              </w:rPr>
            </w:pPr>
            <w:r>
              <w:rPr>
                <w:sz w:val="14"/>
                <w:szCs w:val="14"/>
              </w:rPr>
              <w:t>28.9</w:t>
            </w:r>
            <w:r w:rsidRPr="00785F96">
              <w:rPr>
                <w:sz w:val="14"/>
                <w:szCs w:val="14"/>
              </w:rPr>
              <w:t>%</w:t>
            </w:r>
          </w:p>
        </w:tc>
        <w:tc>
          <w:tcPr>
            <w:tcW w:w="651" w:type="dxa"/>
          </w:tcPr>
          <w:p w14:paraId="63271951" w14:textId="4CA2AE06" w:rsidR="00EC3F6D" w:rsidRPr="008F735E" w:rsidRDefault="00EC3F6D" w:rsidP="00EC3F6D">
            <w:pPr>
              <w:keepNext/>
              <w:keepLines/>
              <w:tabs>
                <w:tab w:val="decimal" w:pos="256"/>
              </w:tabs>
              <w:spacing w:before="60" w:after="60"/>
              <w:jc w:val="center"/>
              <w:rPr>
                <w:sz w:val="14"/>
                <w:szCs w:val="14"/>
              </w:rPr>
            </w:pPr>
            <w:r>
              <w:rPr>
                <w:sz w:val="14"/>
                <w:szCs w:val="14"/>
              </w:rPr>
              <w:t>25.6</w:t>
            </w:r>
            <w:r w:rsidRPr="00785F96">
              <w:rPr>
                <w:sz w:val="14"/>
                <w:szCs w:val="14"/>
              </w:rPr>
              <w:t>%</w:t>
            </w:r>
          </w:p>
        </w:tc>
        <w:tc>
          <w:tcPr>
            <w:tcW w:w="666" w:type="dxa"/>
          </w:tcPr>
          <w:p w14:paraId="6E032F09" w14:textId="00A5F361" w:rsidR="00EC3F6D" w:rsidRPr="008F735E" w:rsidRDefault="00EC3F6D" w:rsidP="00EC3F6D">
            <w:pPr>
              <w:keepNext/>
              <w:keepLines/>
              <w:tabs>
                <w:tab w:val="decimal" w:pos="256"/>
              </w:tabs>
              <w:spacing w:before="60" w:after="60"/>
              <w:jc w:val="center"/>
              <w:rPr>
                <w:sz w:val="14"/>
                <w:szCs w:val="14"/>
              </w:rPr>
            </w:pPr>
            <w:r>
              <w:rPr>
                <w:sz w:val="14"/>
                <w:szCs w:val="14"/>
              </w:rPr>
              <w:t>22.3</w:t>
            </w:r>
            <w:r w:rsidRPr="00785F96">
              <w:rPr>
                <w:sz w:val="14"/>
                <w:szCs w:val="14"/>
              </w:rPr>
              <w:t>%</w:t>
            </w:r>
          </w:p>
        </w:tc>
        <w:tc>
          <w:tcPr>
            <w:tcW w:w="667" w:type="dxa"/>
          </w:tcPr>
          <w:p w14:paraId="0B305AB8" w14:textId="6225CCA6" w:rsidR="00EC3F6D" w:rsidRPr="008F735E" w:rsidRDefault="00EC3F6D" w:rsidP="00EC3F6D">
            <w:pPr>
              <w:keepNext/>
              <w:keepLines/>
              <w:tabs>
                <w:tab w:val="decimal" w:pos="256"/>
              </w:tabs>
              <w:spacing w:before="60" w:after="60"/>
              <w:jc w:val="center"/>
              <w:rPr>
                <w:sz w:val="14"/>
                <w:szCs w:val="14"/>
              </w:rPr>
            </w:pPr>
            <w:r>
              <w:rPr>
                <w:sz w:val="14"/>
                <w:szCs w:val="14"/>
              </w:rPr>
              <w:t>19.6</w:t>
            </w:r>
            <w:r w:rsidRPr="00785F96">
              <w:rPr>
                <w:sz w:val="14"/>
                <w:szCs w:val="14"/>
              </w:rPr>
              <w:t>%</w:t>
            </w:r>
          </w:p>
        </w:tc>
        <w:tc>
          <w:tcPr>
            <w:tcW w:w="1134" w:type="dxa"/>
          </w:tcPr>
          <w:p w14:paraId="5914EE6E" w14:textId="4313AAF4" w:rsidR="00EC3F6D" w:rsidRPr="008F735E" w:rsidRDefault="00EC3F6D" w:rsidP="00EC3F6D">
            <w:pPr>
              <w:keepNext/>
              <w:keepLines/>
              <w:tabs>
                <w:tab w:val="decimal" w:pos="256"/>
              </w:tabs>
              <w:spacing w:before="60" w:after="60"/>
              <w:jc w:val="center"/>
              <w:rPr>
                <w:sz w:val="14"/>
                <w:szCs w:val="14"/>
              </w:rPr>
            </w:pPr>
            <w:r>
              <w:rPr>
                <w:sz w:val="14"/>
                <w:szCs w:val="14"/>
              </w:rPr>
              <w:t>14.0</w:t>
            </w:r>
            <w:r w:rsidRPr="00785F96">
              <w:rPr>
                <w:sz w:val="14"/>
                <w:szCs w:val="14"/>
              </w:rPr>
              <w:t>%</w:t>
            </w:r>
          </w:p>
        </w:tc>
        <w:tc>
          <w:tcPr>
            <w:tcW w:w="851" w:type="dxa"/>
          </w:tcPr>
          <w:p w14:paraId="130BC489" w14:textId="7BCE5819" w:rsidR="00EC3F6D" w:rsidRPr="008F735E" w:rsidRDefault="00EC3F6D" w:rsidP="00EC3F6D">
            <w:pPr>
              <w:keepNext/>
              <w:keepLines/>
              <w:tabs>
                <w:tab w:val="decimal" w:pos="256"/>
              </w:tabs>
              <w:spacing w:before="60" w:after="60"/>
              <w:jc w:val="center"/>
              <w:rPr>
                <w:sz w:val="14"/>
                <w:szCs w:val="14"/>
              </w:rPr>
            </w:pPr>
            <w:r>
              <w:rPr>
                <w:sz w:val="14"/>
                <w:szCs w:val="14"/>
              </w:rPr>
              <w:t>29.4</w:t>
            </w:r>
            <w:r w:rsidRPr="00785F96">
              <w:rPr>
                <w:sz w:val="14"/>
                <w:szCs w:val="14"/>
              </w:rPr>
              <w:t>%</w:t>
            </w:r>
          </w:p>
        </w:tc>
        <w:tc>
          <w:tcPr>
            <w:tcW w:w="1134" w:type="dxa"/>
          </w:tcPr>
          <w:p w14:paraId="457F75B0" w14:textId="080EE6FF" w:rsidR="00EC3F6D" w:rsidRPr="008F735E" w:rsidRDefault="00EC3F6D" w:rsidP="00EC3F6D">
            <w:pPr>
              <w:keepNext/>
              <w:keepLines/>
              <w:tabs>
                <w:tab w:val="decimal" w:pos="256"/>
              </w:tabs>
              <w:spacing w:before="60" w:after="60"/>
              <w:jc w:val="center"/>
              <w:rPr>
                <w:sz w:val="14"/>
                <w:szCs w:val="14"/>
              </w:rPr>
            </w:pPr>
            <w:r>
              <w:rPr>
                <w:sz w:val="14"/>
                <w:szCs w:val="14"/>
              </w:rPr>
              <w:t>3.2</w:t>
            </w:r>
            <w:r w:rsidRPr="00785F96">
              <w:rPr>
                <w:sz w:val="14"/>
                <w:szCs w:val="14"/>
              </w:rPr>
              <w:t>%</w:t>
            </w:r>
          </w:p>
        </w:tc>
        <w:tc>
          <w:tcPr>
            <w:tcW w:w="921" w:type="dxa"/>
          </w:tcPr>
          <w:p w14:paraId="45D2CA70" w14:textId="367281C6" w:rsidR="00EC3F6D" w:rsidRPr="008F735E" w:rsidRDefault="00EC3F6D" w:rsidP="00EC3F6D">
            <w:pPr>
              <w:keepNext/>
              <w:keepLines/>
              <w:tabs>
                <w:tab w:val="decimal" w:pos="256"/>
              </w:tabs>
              <w:spacing w:before="60" w:after="60"/>
              <w:jc w:val="center"/>
              <w:rPr>
                <w:sz w:val="14"/>
                <w:szCs w:val="14"/>
              </w:rPr>
            </w:pPr>
            <w:r>
              <w:rPr>
                <w:sz w:val="14"/>
                <w:szCs w:val="14"/>
              </w:rPr>
              <w:t>-19.5</w:t>
            </w:r>
            <w:r w:rsidRPr="00785F96">
              <w:rPr>
                <w:sz w:val="14"/>
                <w:szCs w:val="14"/>
              </w:rPr>
              <w:t>%</w:t>
            </w:r>
          </w:p>
        </w:tc>
      </w:tr>
      <w:tr w:rsidR="00EC3F6D" w:rsidRPr="008F735E" w14:paraId="4FD406FA" w14:textId="77777777" w:rsidTr="00011826">
        <w:tc>
          <w:tcPr>
            <w:tcW w:w="1347" w:type="dxa"/>
            <w:shd w:val="clear" w:color="auto" w:fill="auto"/>
          </w:tcPr>
          <w:p w14:paraId="01239146" w14:textId="4914C1DB" w:rsidR="00EC3F6D" w:rsidRPr="008F735E" w:rsidRDefault="00EC3F6D" w:rsidP="00EC3F6D">
            <w:pPr>
              <w:keepNext/>
              <w:keepLines/>
              <w:tabs>
                <w:tab w:val="left" w:pos="106"/>
              </w:tabs>
              <w:spacing w:before="60" w:after="60"/>
              <w:ind w:left="108" w:hanging="108"/>
              <w:jc w:val="left"/>
              <w:rPr>
                <w:sz w:val="14"/>
                <w:szCs w:val="14"/>
              </w:rPr>
            </w:pPr>
            <w:r w:rsidRPr="008F735E">
              <w:rPr>
                <w:sz w:val="14"/>
                <w:szCs w:val="14"/>
              </w:rPr>
              <w:tab/>
            </w:r>
            <w:r>
              <w:rPr>
                <w:sz w:val="14"/>
                <w:szCs w:val="14"/>
              </w:rPr>
              <w:t>b= 60%</w:t>
            </w:r>
          </w:p>
        </w:tc>
        <w:tc>
          <w:tcPr>
            <w:tcW w:w="992" w:type="dxa"/>
          </w:tcPr>
          <w:p w14:paraId="4C88D3DD" w14:textId="7CBEEF9F" w:rsidR="00EC3F6D" w:rsidRPr="008F735E" w:rsidRDefault="00EC3F6D" w:rsidP="00EC3F6D">
            <w:pPr>
              <w:keepNext/>
              <w:keepLines/>
              <w:tabs>
                <w:tab w:val="decimal" w:pos="256"/>
              </w:tabs>
              <w:spacing w:before="60" w:after="60"/>
              <w:jc w:val="center"/>
              <w:rPr>
                <w:sz w:val="14"/>
                <w:szCs w:val="14"/>
              </w:rPr>
            </w:pPr>
            <w:r>
              <w:rPr>
                <w:sz w:val="14"/>
                <w:szCs w:val="14"/>
              </w:rPr>
              <w:t>17.9</w:t>
            </w:r>
            <w:r w:rsidRPr="00785F96">
              <w:rPr>
                <w:sz w:val="14"/>
                <w:szCs w:val="14"/>
              </w:rPr>
              <w:t>%</w:t>
            </w:r>
          </w:p>
        </w:tc>
        <w:tc>
          <w:tcPr>
            <w:tcW w:w="737" w:type="dxa"/>
          </w:tcPr>
          <w:p w14:paraId="3834B049" w14:textId="7EBA9861" w:rsidR="00EC3F6D" w:rsidRPr="008F735E" w:rsidRDefault="00EC3F6D" w:rsidP="00EC3F6D">
            <w:pPr>
              <w:keepNext/>
              <w:keepLines/>
              <w:tabs>
                <w:tab w:val="decimal" w:pos="256"/>
              </w:tabs>
              <w:spacing w:before="60" w:after="60"/>
              <w:jc w:val="center"/>
              <w:rPr>
                <w:sz w:val="14"/>
                <w:szCs w:val="14"/>
              </w:rPr>
            </w:pPr>
            <w:r>
              <w:rPr>
                <w:sz w:val="14"/>
                <w:szCs w:val="14"/>
              </w:rPr>
              <w:t>24.6</w:t>
            </w:r>
            <w:r w:rsidRPr="00785F96">
              <w:rPr>
                <w:sz w:val="14"/>
                <w:szCs w:val="14"/>
              </w:rPr>
              <w:t>%</w:t>
            </w:r>
          </w:p>
        </w:tc>
        <w:tc>
          <w:tcPr>
            <w:tcW w:w="681" w:type="dxa"/>
          </w:tcPr>
          <w:p w14:paraId="585BAE25" w14:textId="391B0A45" w:rsidR="00EC3F6D" w:rsidRPr="008F735E" w:rsidRDefault="00EC3F6D" w:rsidP="00EC3F6D">
            <w:pPr>
              <w:keepNext/>
              <w:keepLines/>
              <w:tabs>
                <w:tab w:val="decimal" w:pos="256"/>
              </w:tabs>
              <w:spacing w:before="60" w:after="60"/>
              <w:jc w:val="center"/>
              <w:rPr>
                <w:sz w:val="14"/>
                <w:szCs w:val="14"/>
              </w:rPr>
            </w:pPr>
            <w:r>
              <w:rPr>
                <w:sz w:val="14"/>
                <w:szCs w:val="14"/>
              </w:rPr>
              <w:t>24.1</w:t>
            </w:r>
            <w:r w:rsidRPr="00785F96">
              <w:rPr>
                <w:sz w:val="14"/>
                <w:szCs w:val="14"/>
              </w:rPr>
              <w:t>%</w:t>
            </w:r>
          </w:p>
        </w:tc>
        <w:tc>
          <w:tcPr>
            <w:tcW w:w="651" w:type="dxa"/>
          </w:tcPr>
          <w:p w14:paraId="5034A22C" w14:textId="4B5FB3B2" w:rsidR="00EC3F6D" w:rsidRPr="008F735E" w:rsidRDefault="00EC3F6D" w:rsidP="00EC3F6D">
            <w:pPr>
              <w:keepNext/>
              <w:keepLines/>
              <w:tabs>
                <w:tab w:val="decimal" w:pos="256"/>
              </w:tabs>
              <w:spacing w:before="60" w:after="60"/>
              <w:jc w:val="center"/>
              <w:rPr>
                <w:sz w:val="14"/>
                <w:szCs w:val="14"/>
              </w:rPr>
            </w:pPr>
            <w:r>
              <w:rPr>
                <w:sz w:val="14"/>
                <w:szCs w:val="14"/>
              </w:rPr>
              <w:t>20.5</w:t>
            </w:r>
            <w:r w:rsidRPr="00785F96">
              <w:rPr>
                <w:sz w:val="14"/>
                <w:szCs w:val="14"/>
              </w:rPr>
              <w:t>%</w:t>
            </w:r>
          </w:p>
        </w:tc>
        <w:tc>
          <w:tcPr>
            <w:tcW w:w="666" w:type="dxa"/>
          </w:tcPr>
          <w:p w14:paraId="0E3E5EEF" w14:textId="389A487B" w:rsidR="00EC3F6D" w:rsidRPr="008F735E" w:rsidRDefault="00EC3F6D" w:rsidP="00EC3F6D">
            <w:pPr>
              <w:keepNext/>
              <w:keepLines/>
              <w:tabs>
                <w:tab w:val="decimal" w:pos="256"/>
              </w:tabs>
              <w:spacing w:before="60" w:after="60"/>
              <w:jc w:val="center"/>
              <w:rPr>
                <w:sz w:val="14"/>
                <w:szCs w:val="14"/>
              </w:rPr>
            </w:pPr>
            <w:r>
              <w:rPr>
                <w:sz w:val="14"/>
                <w:szCs w:val="14"/>
              </w:rPr>
              <w:t>16.6</w:t>
            </w:r>
            <w:r w:rsidRPr="00785F96">
              <w:rPr>
                <w:sz w:val="14"/>
                <w:szCs w:val="14"/>
              </w:rPr>
              <w:t>%</w:t>
            </w:r>
          </w:p>
        </w:tc>
        <w:tc>
          <w:tcPr>
            <w:tcW w:w="667" w:type="dxa"/>
          </w:tcPr>
          <w:p w14:paraId="09CCAE5A" w14:textId="59EEEC92" w:rsidR="00EC3F6D" w:rsidRPr="008F735E" w:rsidRDefault="00EC3F6D" w:rsidP="00EC3F6D">
            <w:pPr>
              <w:keepNext/>
              <w:keepLines/>
              <w:tabs>
                <w:tab w:val="decimal" w:pos="256"/>
              </w:tabs>
              <w:spacing w:before="60" w:after="60"/>
              <w:jc w:val="center"/>
              <w:rPr>
                <w:sz w:val="14"/>
                <w:szCs w:val="14"/>
              </w:rPr>
            </w:pPr>
            <w:r>
              <w:rPr>
                <w:sz w:val="14"/>
                <w:szCs w:val="14"/>
              </w:rPr>
              <w:t>13.5</w:t>
            </w:r>
            <w:r w:rsidRPr="00785F96">
              <w:rPr>
                <w:sz w:val="14"/>
                <w:szCs w:val="14"/>
              </w:rPr>
              <w:t>%</w:t>
            </w:r>
          </w:p>
        </w:tc>
        <w:tc>
          <w:tcPr>
            <w:tcW w:w="1134" w:type="dxa"/>
          </w:tcPr>
          <w:p w14:paraId="0C4956AA" w14:textId="2FFF3453" w:rsidR="00EC3F6D" w:rsidRPr="008F735E" w:rsidRDefault="00EC3F6D" w:rsidP="00EC3F6D">
            <w:pPr>
              <w:keepNext/>
              <w:keepLines/>
              <w:tabs>
                <w:tab w:val="decimal" w:pos="256"/>
              </w:tabs>
              <w:spacing w:before="60" w:after="60"/>
              <w:jc w:val="center"/>
              <w:rPr>
                <w:sz w:val="14"/>
                <w:szCs w:val="14"/>
              </w:rPr>
            </w:pPr>
            <w:r>
              <w:rPr>
                <w:sz w:val="14"/>
                <w:szCs w:val="14"/>
              </w:rPr>
              <w:t>6.8</w:t>
            </w:r>
            <w:r w:rsidRPr="00785F96">
              <w:rPr>
                <w:sz w:val="14"/>
                <w:szCs w:val="14"/>
              </w:rPr>
              <w:t>%</w:t>
            </w:r>
          </w:p>
        </w:tc>
        <w:tc>
          <w:tcPr>
            <w:tcW w:w="851" w:type="dxa"/>
          </w:tcPr>
          <w:p w14:paraId="748E726C" w14:textId="6B221737" w:rsidR="00EC3F6D" w:rsidRPr="008F735E" w:rsidRDefault="00EC3F6D" w:rsidP="00EC3F6D">
            <w:pPr>
              <w:keepNext/>
              <w:keepLines/>
              <w:tabs>
                <w:tab w:val="decimal" w:pos="256"/>
              </w:tabs>
              <w:spacing w:before="60" w:after="60"/>
              <w:jc w:val="center"/>
              <w:rPr>
                <w:sz w:val="14"/>
                <w:szCs w:val="14"/>
              </w:rPr>
            </w:pPr>
            <w:r>
              <w:rPr>
                <w:sz w:val="14"/>
                <w:szCs w:val="14"/>
              </w:rPr>
              <w:t>24.6</w:t>
            </w:r>
            <w:r w:rsidRPr="00785F96">
              <w:rPr>
                <w:sz w:val="14"/>
                <w:szCs w:val="14"/>
              </w:rPr>
              <w:t>%</w:t>
            </w:r>
          </w:p>
        </w:tc>
        <w:tc>
          <w:tcPr>
            <w:tcW w:w="1134" w:type="dxa"/>
          </w:tcPr>
          <w:p w14:paraId="17C8A20E" w14:textId="6E117C66" w:rsidR="00EC3F6D" w:rsidRPr="008F735E" w:rsidRDefault="00EC3F6D" w:rsidP="00EC3F6D">
            <w:pPr>
              <w:keepNext/>
              <w:keepLines/>
              <w:tabs>
                <w:tab w:val="decimal" w:pos="256"/>
              </w:tabs>
              <w:spacing w:before="60" w:after="60"/>
              <w:jc w:val="center"/>
              <w:rPr>
                <w:sz w:val="14"/>
                <w:szCs w:val="14"/>
              </w:rPr>
            </w:pPr>
            <w:r>
              <w:rPr>
                <w:sz w:val="14"/>
                <w:szCs w:val="14"/>
              </w:rPr>
              <w:t>-6.0</w:t>
            </w:r>
            <w:r w:rsidRPr="00785F96">
              <w:rPr>
                <w:sz w:val="14"/>
                <w:szCs w:val="14"/>
              </w:rPr>
              <w:t>%</w:t>
            </w:r>
          </w:p>
        </w:tc>
        <w:tc>
          <w:tcPr>
            <w:tcW w:w="921" w:type="dxa"/>
          </w:tcPr>
          <w:p w14:paraId="06FDC0A4" w14:textId="36428620" w:rsidR="00EC3F6D" w:rsidRPr="008F735E" w:rsidRDefault="00EC3F6D" w:rsidP="00EC3F6D">
            <w:pPr>
              <w:keepNext/>
              <w:keepLines/>
              <w:tabs>
                <w:tab w:val="decimal" w:pos="256"/>
              </w:tabs>
              <w:spacing w:before="60" w:after="60"/>
              <w:jc w:val="center"/>
              <w:rPr>
                <w:sz w:val="14"/>
                <w:szCs w:val="14"/>
              </w:rPr>
            </w:pPr>
            <w:r>
              <w:rPr>
                <w:sz w:val="14"/>
                <w:szCs w:val="14"/>
              </w:rPr>
              <w:t>-29.5</w:t>
            </w:r>
            <w:r w:rsidRPr="00785F96">
              <w:rPr>
                <w:sz w:val="14"/>
                <w:szCs w:val="14"/>
              </w:rPr>
              <w:t>%</w:t>
            </w:r>
          </w:p>
        </w:tc>
      </w:tr>
      <w:tr w:rsidR="00EC3F6D" w:rsidRPr="008F735E" w14:paraId="0BC38A08" w14:textId="77777777" w:rsidTr="00011826">
        <w:tc>
          <w:tcPr>
            <w:tcW w:w="1347" w:type="dxa"/>
            <w:shd w:val="clear" w:color="auto" w:fill="auto"/>
          </w:tcPr>
          <w:p w14:paraId="1D26E427" w14:textId="7042FDB4" w:rsidR="00EC3F6D" w:rsidRPr="008F735E" w:rsidRDefault="00EC3F6D" w:rsidP="00EC3F6D">
            <w:pPr>
              <w:keepNext/>
              <w:keepLines/>
              <w:tabs>
                <w:tab w:val="left" w:pos="106"/>
              </w:tabs>
              <w:spacing w:before="60" w:after="60"/>
              <w:ind w:left="108" w:hanging="108"/>
              <w:jc w:val="left"/>
              <w:rPr>
                <w:sz w:val="14"/>
                <w:szCs w:val="14"/>
              </w:rPr>
            </w:pPr>
            <w:r w:rsidRPr="008F735E">
              <w:rPr>
                <w:sz w:val="14"/>
                <w:szCs w:val="14"/>
              </w:rPr>
              <w:tab/>
            </w:r>
            <w:r>
              <w:rPr>
                <w:sz w:val="14"/>
                <w:szCs w:val="14"/>
              </w:rPr>
              <w:t>b= 75%</w:t>
            </w:r>
          </w:p>
        </w:tc>
        <w:tc>
          <w:tcPr>
            <w:tcW w:w="992" w:type="dxa"/>
          </w:tcPr>
          <w:p w14:paraId="780B7F43" w14:textId="67A18036" w:rsidR="00EC3F6D" w:rsidRDefault="00EC3F6D" w:rsidP="00EC3F6D">
            <w:pPr>
              <w:keepNext/>
              <w:keepLines/>
              <w:tabs>
                <w:tab w:val="decimal" w:pos="256"/>
              </w:tabs>
              <w:spacing w:before="60" w:after="60"/>
              <w:jc w:val="center"/>
              <w:rPr>
                <w:sz w:val="14"/>
                <w:szCs w:val="14"/>
              </w:rPr>
            </w:pPr>
            <w:r>
              <w:rPr>
                <w:sz w:val="14"/>
                <w:szCs w:val="14"/>
              </w:rPr>
              <w:t>12.3</w:t>
            </w:r>
            <w:r w:rsidRPr="00785F96">
              <w:rPr>
                <w:sz w:val="14"/>
                <w:szCs w:val="14"/>
              </w:rPr>
              <w:t>%</w:t>
            </w:r>
          </w:p>
        </w:tc>
        <w:tc>
          <w:tcPr>
            <w:tcW w:w="737" w:type="dxa"/>
          </w:tcPr>
          <w:p w14:paraId="6C1E1809" w14:textId="6707626B" w:rsidR="00EC3F6D" w:rsidRDefault="00EC3F6D" w:rsidP="00EC3F6D">
            <w:pPr>
              <w:keepNext/>
              <w:keepLines/>
              <w:tabs>
                <w:tab w:val="decimal" w:pos="256"/>
              </w:tabs>
              <w:spacing w:before="60" w:after="60"/>
              <w:jc w:val="center"/>
              <w:rPr>
                <w:sz w:val="14"/>
                <w:szCs w:val="14"/>
              </w:rPr>
            </w:pPr>
            <w:r>
              <w:rPr>
                <w:sz w:val="14"/>
                <w:szCs w:val="14"/>
              </w:rPr>
              <w:t>19.9</w:t>
            </w:r>
            <w:r w:rsidRPr="00785F96">
              <w:rPr>
                <w:sz w:val="14"/>
                <w:szCs w:val="14"/>
              </w:rPr>
              <w:t>%</w:t>
            </w:r>
          </w:p>
        </w:tc>
        <w:tc>
          <w:tcPr>
            <w:tcW w:w="681" w:type="dxa"/>
          </w:tcPr>
          <w:p w14:paraId="598D0449" w14:textId="3E720519" w:rsidR="00EC3F6D" w:rsidRDefault="00EC3F6D" w:rsidP="00EC3F6D">
            <w:pPr>
              <w:keepNext/>
              <w:keepLines/>
              <w:tabs>
                <w:tab w:val="decimal" w:pos="256"/>
              </w:tabs>
              <w:spacing w:before="60" w:after="60"/>
              <w:jc w:val="center"/>
              <w:rPr>
                <w:sz w:val="14"/>
                <w:szCs w:val="14"/>
              </w:rPr>
            </w:pPr>
            <w:r>
              <w:rPr>
                <w:sz w:val="14"/>
                <w:szCs w:val="14"/>
              </w:rPr>
              <w:t>19.2</w:t>
            </w:r>
            <w:r w:rsidRPr="00785F96">
              <w:rPr>
                <w:sz w:val="14"/>
                <w:szCs w:val="14"/>
              </w:rPr>
              <w:t>%</w:t>
            </w:r>
          </w:p>
        </w:tc>
        <w:tc>
          <w:tcPr>
            <w:tcW w:w="651" w:type="dxa"/>
          </w:tcPr>
          <w:p w14:paraId="11EA3778" w14:textId="393B54A7" w:rsidR="00EC3F6D" w:rsidRDefault="00EC3F6D" w:rsidP="00EC3F6D">
            <w:pPr>
              <w:keepNext/>
              <w:keepLines/>
              <w:tabs>
                <w:tab w:val="decimal" w:pos="256"/>
              </w:tabs>
              <w:spacing w:before="60" w:after="60"/>
              <w:jc w:val="center"/>
              <w:rPr>
                <w:sz w:val="14"/>
                <w:szCs w:val="14"/>
              </w:rPr>
            </w:pPr>
            <w:r>
              <w:rPr>
                <w:sz w:val="14"/>
                <w:szCs w:val="14"/>
              </w:rPr>
              <w:t>15.3</w:t>
            </w:r>
            <w:r w:rsidRPr="00785F96">
              <w:rPr>
                <w:sz w:val="14"/>
                <w:szCs w:val="14"/>
              </w:rPr>
              <w:t>%</w:t>
            </w:r>
          </w:p>
        </w:tc>
        <w:tc>
          <w:tcPr>
            <w:tcW w:w="666" w:type="dxa"/>
          </w:tcPr>
          <w:p w14:paraId="615EACFD" w14:textId="00930B6C" w:rsidR="00EC3F6D" w:rsidRDefault="00EC3F6D" w:rsidP="00EC3F6D">
            <w:pPr>
              <w:keepNext/>
              <w:keepLines/>
              <w:tabs>
                <w:tab w:val="decimal" w:pos="256"/>
              </w:tabs>
              <w:spacing w:before="60" w:after="60"/>
              <w:jc w:val="center"/>
              <w:rPr>
                <w:sz w:val="14"/>
                <w:szCs w:val="14"/>
              </w:rPr>
            </w:pPr>
            <w:r>
              <w:rPr>
                <w:sz w:val="14"/>
                <w:szCs w:val="14"/>
              </w:rPr>
              <w:t>11.0</w:t>
            </w:r>
            <w:r w:rsidRPr="00785F96">
              <w:rPr>
                <w:sz w:val="14"/>
                <w:szCs w:val="14"/>
              </w:rPr>
              <w:t>%</w:t>
            </w:r>
          </w:p>
        </w:tc>
        <w:tc>
          <w:tcPr>
            <w:tcW w:w="667" w:type="dxa"/>
          </w:tcPr>
          <w:p w14:paraId="081F612C" w14:textId="1401CC06" w:rsidR="00EC3F6D" w:rsidRDefault="00EC3F6D" w:rsidP="00EC3F6D">
            <w:pPr>
              <w:keepNext/>
              <w:keepLines/>
              <w:tabs>
                <w:tab w:val="decimal" w:pos="256"/>
              </w:tabs>
              <w:spacing w:before="60" w:after="60"/>
              <w:jc w:val="center"/>
              <w:rPr>
                <w:sz w:val="14"/>
                <w:szCs w:val="14"/>
              </w:rPr>
            </w:pPr>
            <w:r>
              <w:rPr>
                <w:sz w:val="14"/>
                <w:szCs w:val="14"/>
              </w:rPr>
              <w:t>7.4</w:t>
            </w:r>
            <w:r w:rsidRPr="00785F96">
              <w:rPr>
                <w:sz w:val="14"/>
                <w:szCs w:val="14"/>
              </w:rPr>
              <w:t>%</w:t>
            </w:r>
          </w:p>
        </w:tc>
        <w:tc>
          <w:tcPr>
            <w:tcW w:w="1134" w:type="dxa"/>
          </w:tcPr>
          <w:p w14:paraId="36DF80BE" w14:textId="58278C53" w:rsidR="00EC3F6D" w:rsidRDefault="00EC3F6D" w:rsidP="00EC3F6D">
            <w:pPr>
              <w:keepNext/>
              <w:keepLines/>
              <w:tabs>
                <w:tab w:val="decimal" w:pos="256"/>
              </w:tabs>
              <w:spacing w:before="60" w:after="60"/>
              <w:jc w:val="center"/>
              <w:rPr>
                <w:sz w:val="14"/>
                <w:szCs w:val="14"/>
              </w:rPr>
            </w:pPr>
            <w:r>
              <w:rPr>
                <w:sz w:val="14"/>
                <w:szCs w:val="14"/>
              </w:rPr>
              <w:t>-0.6</w:t>
            </w:r>
            <w:r w:rsidRPr="00785F96">
              <w:rPr>
                <w:sz w:val="14"/>
                <w:szCs w:val="14"/>
              </w:rPr>
              <w:t>%</w:t>
            </w:r>
          </w:p>
        </w:tc>
        <w:tc>
          <w:tcPr>
            <w:tcW w:w="851" w:type="dxa"/>
          </w:tcPr>
          <w:p w14:paraId="375AD5DC" w14:textId="5BB0002F" w:rsidR="00EC3F6D" w:rsidRDefault="00EC3F6D" w:rsidP="00EC3F6D">
            <w:pPr>
              <w:keepNext/>
              <w:keepLines/>
              <w:tabs>
                <w:tab w:val="decimal" w:pos="256"/>
              </w:tabs>
              <w:spacing w:before="60" w:after="60"/>
              <w:jc w:val="center"/>
              <w:rPr>
                <w:sz w:val="14"/>
                <w:szCs w:val="14"/>
              </w:rPr>
            </w:pPr>
            <w:r>
              <w:rPr>
                <w:sz w:val="14"/>
                <w:szCs w:val="14"/>
              </w:rPr>
              <w:t>19.9</w:t>
            </w:r>
            <w:r w:rsidRPr="00785F96">
              <w:rPr>
                <w:sz w:val="14"/>
                <w:szCs w:val="14"/>
              </w:rPr>
              <w:t>%</w:t>
            </w:r>
          </w:p>
        </w:tc>
        <w:tc>
          <w:tcPr>
            <w:tcW w:w="1134" w:type="dxa"/>
          </w:tcPr>
          <w:p w14:paraId="32CB34C9" w14:textId="6E602A6E" w:rsidR="00EC3F6D" w:rsidRDefault="00EC3F6D" w:rsidP="00EC3F6D">
            <w:pPr>
              <w:keepNext/>
              <w:keepLines/>
              <w:tabs>
                <w:tab w:val="decimal" w:pos="256"/>
              </w:tabs>
              <w:spacing w:before="60" w:after="60"/>
              <w:jc w:val="center"/>
              <w:rPr>
                <w:sz w:val="14"/>
                <w:szCs w:val="14"/>
              </w:rPr>
            </w:pPr>
            <w:r>
              <w:rPr>
                <w:sz w:val="14"/>
                <w:szCs w:val="14"/>
              </w:rPr>
              <w:t>-15.7</w:t>
            </w:r>
            <w:r w:rsidRPr="00785F96">
              <w:rPr>
                <w:sz w:val="14"/>
                <w:szCs w:val="14"/>
              </w:rPr>
              <w:t>%</w:t>
            </w:r>
          </w:p>
        </w:tc>
        <w:tc>
          <w:tcPr>
            <w:tcW w:w="921" w:type="dxa"/>
          </w:tcPr>
          <w:p w14:paraId="38B4D105" w14:textId="5D56AA4C" w:rsidR="00EC3F6D" w:rsidRDefault="00EC3F6D" w:rsidP="00EC3F6D">
            <w:pPr>
              <w:keepNext/>
              <w:keepLines/>
              <w:tabs>
                <w:tab w:val="decimal" w:pos="256"/>
              </w:tabs>
              <w:spacing w:before="60" w:after="60"/>
              <w:jc w:val="center"/>
              <w:rPr>
                <w:sz w:val="14"/>
                <w:szCs w:val="14"/>
              </w:rPr>
            </w:pPr>
            <w:r>
              <w:rPr>
                <w:sz w:val="14"/>
                <w:szCs w:val="14"/>
              </w:rPr>
              <w:t>-39.7</w:t>
            </w:r>
            <w:r w:rsidRPr="00785F96">
              <w:rPr>
                <w:sz w:val="14"/>
                <w:szCs w:val="14"/>
              </w:rPr>
              <w:t>%</w:t>
            </w:r>
          </w:p>
        </w:tc>
      </w:tr>
      <w:tr w:rsidR="00EC3F6D" w:rsidRPr="008F735E" w14:paraId="6698BB78" w14:textId="77777777" w:rsidTr="00011826">
        <w:tc>
          <w:tcPr>
            <w:tcW w:w="1347" w:type="dxa"/>
            <w:shd w:val="clear" w:color="auto" w:fill="auto"/>
          </w:tcPr>
          <w:p w14:paraId="6FA64C40" w14:textId="33CF5894" w:rsidR="00EC3F6D" w:rsidRPr="008F735E" w:rsidRDefault="00EC3F6D" w:rsidP="00EC3F6D">
            <w:pPr>
              <w:keepNext/>
              <w:keepLines/>
              <w:tabs>
                <w:tab w:val="left" w:pos="106"/>
              </w:tabs>
              <w:spacing w:before="60" w:after="60"/>
              <w:ind w:left="108" w:hanging="108"/>
              <w:jc w:val="left"/>
              <w:rPr>
                <w:sz w:val="14"/>
                <w:szCs w:val="14"/>
              </w:rPr>
            </w:pPr>
            <w:r w:rsidRPr="008F735E">
              <w:rPr>
                <w:sz w:val="14"/>
                <w:szCs w:val="14"/>
              </w:rPr>
              <w:tab/>
            </w:r>
            <w:r>
              <w:rPr>
                <w:sz w:val="14"/>
                <w:szCs w:val="14"/>
              </w:rPr>
              <w:t>b= 100%</w:t>
            </w:r>
          </w:p>
        </w:tc>
        <w:tc>
          <w:tcPr>
            <w:tcW w:w="992" w:type="dxa"/>
          </w:tcPr>
          <w:p w14:paraId="59C8134F" w14:textId="5E97AB13" w:rsidR="00EC3F6D" w:rsidRDefault="00EC3F6D" w:rsidP="00EC3F6D">
            <w:pPr>
              <w:keepNext/>
              <w:keepLines/>
              <w:tabs>
                <w:tab w:val="decimal" w:pos="256"/>
              </w:tabs>
              <w:spacing w:before="60" w:after="60"/>
              <w:jc w:val="center"/>
              <w:rPr>
                <w:sz w:val="14"/>
                <w:szCs w:val="14"/>
              </w:rPr>
            </w:pPr>
            <w:r>
              <w:rPr>
                <w:sz w:val="14"/>
                <w:szCs w:val="14"/>
              </w:rPr>
              <w:t>1.1</w:t>
            </w:r>
            <w:r w:rsidRPr="00785F96">
              <w:rPr>
                <w:sz w:val="14"/>
                <w:szCs w:val="14"/>
              </w:rPr>
              <w:t>%</w:t>
            </w:r>
          </w:p>
        </w:tc>
        <w:tc>
          <w:tcPr>
            <w:tcW w:w="737" w:type="dxa"/>
          </w:tcPr>
          <w:p w14:paraId="6B999271" w14:textId="31455555" w:rsidR="00EC3F6D" w:rsidRDefault="00EC3F6D" w:rsidP="00EC3F6D">
            <w:pPr>
              <w:keepNext/>
              <w:keepLines/>
              <w:tabs>
                <w:tab w:val="decimal" w:pos="256"/>
              </w:tabs>
              <w:spacing w:before="60" w:after="60"/>
              <w:jc w:val="center"/>
              <w:rPr>
                <w:sz w:val="14"/>
                <w:szCs w:val="14"/>
              </w:rPr>
            </w:pPr>
            <w:r>
              <w:rPr>
                <w:sz w:val="14"/>
                <w:szCs w:val="14"/>
              </w:rPr>
              <w:t>10.1</w:t>
            </w:r>
            <w:r w:rsidRPr="00785F96">
              <w:rPr>
                <w:sz w:val="14"/>
                <w:szCs w:val="14"/>
              </w:rPr>
              <w:t>%</w:t>
            </w:r>
          </w:p>
        </w:tc>
        <w:tc>
          <w:tcPr>
            <w:tcW w:w="681" w:type="dxa"/>
          </w:tcPr>
          <w:p w14:paraId="7D93E398" w14:textId="1EA49466" w:rsidR="00EC3F6D" w:rsidRDefault="00EC3F6D" w:rsidP="00EC3F6D">
            <w:pPr>
              <w:keepNext/>
              <w:keepLines/>
              <w:tabs>
                <w:tab w:val="decimal" w:pos="256"/>
              </w:tabs>
              <w:spacing w:before="60" w:after="60"/>
              <w:jc w:val="center"/>
              <w:rPr>
                <w:sz w:val="14"/>
                <w:szCs w:val="14"/>
              </w:rPr>
            </w:pPr>
            <w:r>
              <w:rPr>
                <w:sz w:val="14"/>
                <w:szCs w:val="14"/>
              </w:rPr>
              <w:t>9.7</w:t>
            </w:r>
            <w:r w:rsidRPr="00785F96">
              <w:rPr>
                <w:sz w:val="14"/>
                <w:szCs w:val="14"/>
              </w:rPr>
              <w:t>%</w:t>
            </w:r>
          </w:p>
        </w:tc>
        <w:tc>
          <w:tcPr>
            <w:tcW w:w="651" w:type="dxa"/>
          </w:tcPr>
          <w:p w14:paraId="2D8F49D0" w14:textId="3255AA70" w:rsidR="00EC3F6D" w:rsidRDefault="00EC3F6D" w:rsidP="00EC3F6D">
            <w:pPr>
              <w:keepNext/>
              <w:keepLines/>
              <w:tabs>
                <w:tab w:val="decimal" w:pos="256"/>
              </w:tabs>
              <w:spacing w:before="60" w:after="60"/>
              <w:jc w:val="center"/>
              <w:rPr>
                <w:sz w:val="14"/>
                <w:szCs w:val="14"/>
              </w:rPr>
            </w:pPr>
            <w:r>
              <w:rPr>
                <w:sz w:val="14"/>
                <w:szCs w:val="14"/>
              </w:rPr>
              <w:t>5.0</w:t>
            </w:r>
            <w:r w:rsidRPr="00785F96">
              <w:rPr>
                <w:sz w:val="14"/>
                <w:szCs w:val="14"/>
              </w:rPr>
              <w:t>%</w:t>
            </w:r>
          </w:p>
        </w:tc>
        <w:tc>
          <w:tcPr>
            <w:tcW w:w="666" w:type="dxa"/>
          </w:tcPr>
          <w:p w14:paraId="6D0F7352" w14:textId="59032340" w:rsidR="00EC3F6D" w:rsidRDefault="00EC3F6D" w:rsidP="00EC3F6D">
            <w:pPr>
              <w:keepNext/>
              <w:keepLines/>
              <w:tabs>
                <w:tab w:val="decimal" w:pos="256"/>
              </w:tabs>
              <w:spacing w:before="60" w:after="60"/>
              <w:jc w:val="center"/>
              <w:rPr>
                <w:sz w:val="14"/>
                <w:szCs w:val="14"/>
              </w:rPr>
            </w:pPr>
            <w:r>
              <w:rPr>
                <w:sz w:val="14"/>
                <w:szCs w:val="14"/>
              </w:rPr>
              <w:t>-0.4</w:t>
            </w:r>
            <w:r w:rsidRPr="00785F96">
              <w:rPr>
                <w:sz w:val="14"/>
                <w:szCs w:val="14"/>
              </w:rPr>
              <w:t>%</w:t>
            </w:r>
          </w:p>
        </w:tc>
        <w:tc>
          <w:tcPr>
            <w:tcW w:w="667" w:type="dxa"/>
          </w:tcPr>
          <w:p w14:paraId="04C80AED" w14:textId="40539EAD" w:rsidR="00EC3F6D" w:rsidRDefault="00EC3F6D" w:rsidP="00EC3F6D">
            <w:pPr>
              <w:keepNext/>
              <w:keepLines/>
              <w:tabs>
                <w:tab w:val="decimal" w:pos="256"/>
              </w:tabs>
              <w:spacing w:before="60" w:after="60"/>
              <w:jc w:val="center"/>
              <w:rPr>
                <w:sz w:val="14"/>
                <w:szCs w:val="14"/>
              </w:rPr>
            </w:pPr>
            <w:r>
              <w:rPr>
                <w:sz w:val="14"/>
                <w:szCs w:val="14"/>
              </w:rPr>
              <w:t>-5.1</w:t>
            </w:r>
            <w:r w:rsidRPr="00785F96">
              <w:rPr>
                <w:sz w:val="14"/>
                <w:szCs w:val="14"/>
              </w:rPr>
              <w:t>%</w:t>
            </w:r>
          </w:p>
        </w:tc>
        <w:tc>
          <w:tcPr>
            <w:tcW w:w="1134" w:type="dxa"/>
          </w:tcPr>
          <w:p w14:paraId="0957DC93" w14:textId="68900B0C" w:rsidR="00EC3F6D" w:rsidRDefault="00EC3F6D" w:rsidP="00EC3F6D">
            <w:pPr>
              <w:keepNext/>
              <w:keepLines/>
              <w:tabs>
                <w:tab w:val="decimal" w:pos="256"/>
              </w:tabs>
              <w:spacing w:before="60" w:after="60"/>
              <w:jc w:val="center"/>
              <w:rPr>
                <w:sz w:val="14"/>
                <w:szCs w:val="14"/>
              </w:rPr>
            </w:pPr>
            <w:r>
              <w:rPr>
                <w:sz w:val="14"/>
                <w:szCs w:val="14"/>
              </w:rPr>
              <w:t>-16.0</w:t>
            </w:r>
            <w:r w:rsidRPr="00785F96">
              <w:rPr>
                <w:sz w:val="14"/>
                <w:szCs w:val="14"/>
              </w:rPr>
              <w:t>%</w:t>
            </w:r>
          </w:p>
        </w:tc>
        <w:tc>
          <w:tcPr>
            <w:tcW w:w="851" w:type="dxa"/>
          </w:tcPr>
          <w:p w14:paraId="0AB5A8E8" w14:textId="4ECF0F60" w:rsidR="00EC3F6D" w:rsidRDefault="00EC3F6D" w:rsidP="00EC3F6D">
            <w:pPr>
              <w:keepNext/>
              <w:keepLines/>
              <w:tabs>
                <w:tab w:val="decimal" w:pos="256"/>
              </w:tabs>
              <w:spacing w:before="60" w:after="60"/>
              <w:jc w:val="center"/>
              <w:rPr>
                <w:sz w:val="14"/>
                <w:szCs w:val="14"/>
              </w:rPr>
            </w:pPr>
            <w:r>
              <w:rPr>
                <w:sz w:val="14"/>
                <w:szCs w:val="14"/>
              </w:rPr>
              <w:t>10.4</w:t>
            </w:r>
            <w:r w:rsidRPr="00785F96">
              <w:rPr>
                <w:sz w:val="14"/>
                <w:szCs w:val="14"/>
              </w:rPr>
              <w:t>%</w:t>
            </w:r>
          </w:p>
        </w:tc>
        <w:tc>
          <w:tcPr>
            <w:tcW w:w="1134" w:type="dxa"/>
          </w:tcPr>
          <w:p w14:paraId="761D73EA" w14:textId="100EE75E" w:rsidR="00EC3F6D" w:rsidRDefault="00EC3F6D" w:rsidP="00EC3F6D">
            <w:pPr>
              <w:keepNext/>
              <w:keepLines/>
              <w:tabs>
                <w:tab w:val="decimal" w:pos="256"/>
              </w:tabs>
              <w:spacing w:before="60" w:after="60"/>
              <w:jc w:val="center"/>
              <w:rPr>
                <w:sz w:val="14"/>
                <w:szCs w:val="14"/>
              </w:rPr>
            </w:pPr>
            <w:r>
              <w:rPr>
                <w:sz w:val="14"/>
                <w:szCs w:val="14"/>
              </w:rPr>
              <w:t>-36.5</w:t>
            </w:r>
            <w:r w:rsidRPr="00785F96">
              <w:rPr>
                <w:sz w:val="14"/>
                <w:szCs w:val="14"/>
              </w:rPr>
              <w:t>%</w:t>
            </w:r>
          </w:p>
        </w:tc>
        <w:tc>
          <w:tcPr>
            <w:tcW w:w="921" w:type="dxa"/>
          </w:tcPr>
          <w:p w14:paraId="62F4DB95" w14:textId="61E324AE" w:rsidR="00EC3F6D" w:rsidRDefault="00EC3F6D" w:rsidP="00EC3F6D">
            <w:pPr>
              <w:keepNext/>
              <w:keepLines/>
              <w:tabs>
                <w:tab w:val="decimal" w:pos="256"/>
              </w:tabs>
              <w:spacing w:before="60" w:after="60"/>
              <w:jc w:val="center"/>
              <w:rPr>
                <w:sz w:val="14"/>
                <w:szCs w:val="14"/>
              </w:rPr>
            </w:pPr>
            <w:r>
              <w:rPr>
                <w:sz w:val="14"/>
                <w:szCs w:val="14"/>
              </w:rPr>
              <w:t>-61.1</w:t>
            </w:r>
            <w:r w:rsidRPr="00785F96">
              <w:rPr>
                <w:sz w:val="14"/>
                <w:szCs w:val="14"/>
              </w:rPr>
              <w:t>%</w:t>
            </w:r>
          </w:p>
        </w:tc>
      </w:tr>
    </w:tbl>
    <w:p w14:paraId="00EB7873" w14:textId="77777777" w:rsidR="001B3AE0" w:rsidRPr="000A289A" w:rsidRDefault="001B3AE0" w:rsidP="00075D72">
      <w:pPr>
        <w:pStyle w:val="NumberedParagraph"/>
      </w:pPr>
      <w:r w:rsidRPr="000A289A">
        <w:t>We draw attention to the following points:</w:t>
      </w:r>
    </w:p>
    <w:p w14:paraId="64787C29" w14:textId="77777777" w:rsidR="001B3AE0" w:rsidRPr="000A289A" w:rsidRDefault="001B3AE0" w:rsidP="00075D72">
      <w:pPr>
        <w:pStyle w:val="NumberedParagraph-BulletL1"/>
      </w:pPr>
      <w:r w:rsidRPr="000A289A">
        <w:t>EMTRs for domestic companies with marginal foreign shareholders that are 43% debt financed vary between 27.6% and -23.3%. This is consistent with data that has been provided in earlier chapters.</w:t>
      </w:r>
    </w:p>
    <w:p w14:paraId="7D402D6C" w14:textId="60AC6A21" w:rsidR="001B3AE0" w:rsidRPr="000A289A" w:rsidRDefault="001B3AE0" w:rsidP="00075D72">
      <w:pPr>
        <w:pStyle w:val="NumberedParagraph-BulletL1"/>
      </w:pPr>
      <w:r w:rsidRPr="000A289A">
        <w:t xml:space="preserve">For foreign-controlled companies </w:t>
      </w:r>
      <w:r w:rsidR="002214A9">
        <w:t>that</w:t>
      </w:r>
      <w:r w:rsidRPr="000A289A">
        <w:t xml:space="preserve"> are 43% debt financed, EMTRs vary between 29.4% and -19.5%. They are slightly higher than for domestic companies because interest payments to related parties in foreign</w:t>
      </w:r>
      <w:r w:rsidR="00453A2D">
        <w:t>-</w:t>
      </w:r>
      <w:r w:rsidRPr="000A289A">
        <w:t>controlled companies are subject to NRWT rather than AIL.</w:t>
      </w:r>
    </w:p>
    <w:p w14:paraId="221B8F8F" w14:textId="742D13C5" w:rsidR="001B3AE0" w:rsidRPr="000A289A" w:rsidRDefault="00E11C4A" w:rsidP="00075D72">
      <w:pPr>
        <w:pStyle w:val="NumberedParagraph-BulletL1"/>
      </w:pPr>
      <w:r>
        <w:t xml:space="preserve">As is discussed in appendix 2 of the </w:t>
      </w:r>
      <w:r w:rsidR="00F53383">
        <w:rPr>
          <w:i/>
          <w:iCs/>
        </w:rPr>
        <w:t>T</w:t>
      </w:r>
      <w:r w:rsidR="00C83917">
        <w:rPr>
          <w:i/>
          <w:iCs/>
        </w:rPr>
        <w:t>echnical appendices</w:t>
      </w:r>
      <w:r w:rsidR="00C83917">
        <w:t xml:space="preserve">, </w:t>
      </w:r>
      <w:r w:rsidR="001B3AE0" w:rsidRPr="000A289A">
        <w:t>many foreign-controlled companies ha</w:t>
      </w:r>
      <w:r w:rsidR="002C0DAF">
        <w:t>ve</w:t>
      </w:r>
      <w:r w:rsidR="001B3AE0" w:rsidRPr="000A289A">
        <w:t xml:space="preserve"> no debt. These would have EMTRs varying between 39.1% and 0.0%.</w:t>
      </w:r>
    </w:p>
    <w:p w14:paraId="165F163A" w14:textId="561DD91B" w:rsidR="001B3AE0" w:rsidRPr="000A289A" w:rsidRDefault="002C0DAF" w:rsidP="00075D72">
      <w:pPr>
        <w:pStyle w:val="NumberedParagraph-BulletL1"/>
      </w:pPr>
      <w:r>
        <w:t xml:space="preserve">As is also discussed in appendix 2 of the </w:t>
      </w:r>
      <w:r w:rsidR="00A246A0">
        <w:rPr>
          <w:i/>
          <w:iCs/>
        </w:rPr>
        <w:t>T</w:t>
      </w:r>
      <w:r>
        <w:rPr>
          <w:i/>
          <w:iCs/>
        </w:rPr>
        <w:t>echnical appendices</w:t>
      </w:r>
      <w:r w:rsidR="00C83FD3">
        <w:t>, there is</w:t>
      </w:r>
      <w:r w:rsidR="001B3AE0" w:rsidRPr="000A289A">
        <w:t xml:space="preserve"> limited evidence of foreign-controlled companies being clustered at the 60% thin capitalisation threshold. However, for firms that are, EMTRs would vary between 24.6% and </w:t>
      </w:r>
      <w:r w:rsidR="00EF5FA3">
        <w:noBreakHyphen/>
      </w:r>
      <w:r w:rsidR="001B3AE0" w:rsidRPr="000A289A">
        <w:t>29.5%. These are the firms that would benefit from a higher thin capitalisation threshold.</w:t>
      </w:r>
    </w:p>
    <w:p w14:paraId="58E4682A" w14:textId="77777777" w:rsidR="001B3AE0" w:rsidRPr="000A289A" w:rsidRDefault="001B3AE0" w:rsidP="00075D72">
      <w:pPr>
        <w:pStyle w:val="NumberedParagraph-BulletL1"/>
      </w:pPr>
      <w:r w:rsidRPr="000A289A">
        <w:t>Relaxing the thin capitalisation threshold to 75% would mean that firms that move to this new threshold would have EMTRs varying between 19.9% and -39.7%.</w:t>
      </w:r>
    </w:p>
    <w:p w14:paraId="4D7CFCD5" w14:textId="603AD139" w:rsidR="001B3AE0" w:rsidRPr="000A289A" w:rsidRDefault="001B3AE0" w:rsidP="00075D72">
      <w:pPr>
        <w:pStyle w:val="NumberedParagraph-BulletL1"/>
      </w:pPr>
      <w:r w:rsidRPr="000A289A">
        <w:lastRenderedPageBreak/>
        <w:t>Abandoning thin capitalisation rules completely would mean that foreign-controlled firms becoming fully debt</w:t>
      </w:r>
      <w:r w:rsidR="00C8448F">
        <w:t xml:space="preserve"> </w:t>
      </w:r>
      <w:r w:rsidRPr="000A289A">
        <w:t>financed would have EMTRs varying between 10.4% and -61.6%.</w:t>
      </w:r>
    </w:p>
    <w:p w14:paraId="4EFC4E98" w14:textId="1C23EE87" w:rsidR="001B3AE0" w:rsidRPr="000A289A" w:rsidRDefault="001B3AE0" w:rsidP="00075D72">
      <w:pPr>
        <w:pStyle w:val="NumberedParagraph-BulletL1"/>
      </w:pPr>
      <w:r w:rsidRPr="000A289A">
        <w:t xml:space="preserve">Relaxing or eliminating the thin capitalisation threshold would reduce EMTRs and costs of capital for foreign-controlled firms that want to take on more debt to benefit from interest deductibility but are constrained by the current threshold. </w:t>
      </w:r>
      <w:r w:rsidR="00C40BE3">
        <w:t>However,</w:t>
      </w:r>
      <w:r w:rsidRPr="000A289A">
        <w:t xml:space="preserve"> these are not firms that face the highest EMTRs at present.</w:t>
      </w:r>
    </w:p>
    <w:p w14:paraId="4060078B" w14:textId="2554C0E7" w:rsidR="001B3AE0" w:rsidRPr="000A289A" w:rsidRDefault="001B3AE0" w:rsidP="001B3AE0">
      <w:pPr>
        <w:pStyle w:val="Heading2"/>
        <w:rPr>
          <w:rFonts w:eastAsia="Calibri"/>
          <w:lang w:eastAsia="en-US"/>
        </w:rPr>
      </w:pPr>
      <w:bookmarkStart w:id="62" w:name="_Toc96585564"/>
      <w:r w:rsidRPr="000A289A">
        <w:rPr>
          <w:rFonts w:eastAsia="Calibri"/>
          <w:lang w:eastAsia="en-US"/>
        </w:rPr>
        <w:t>Increasing the safe</w:t>
      </w:r>
      <w:r w:rsidR="000567C4">
        <w:rPr>
          <w:rFonts w:eastAsia="Calibri"/>
          <w:lang w:eastAsia="en-US"/>
        </w:rPr>
        <w:t xml:space="preserve"> </w:t>
      </w:r>
      <w:r w:rsidRPr="000A289A">
        <w:rPr>
          <w:rFonts w:eastAsia="Calibri"/>
          <w:lang w:eastAsia="en-US"/>
        </w:rPr>
        <w:t>harbour threshold: policy considerations</w:t>
      </w:r>
      <w:bookmarkEnd w:id="62"/>
    </w:p>
    <w:p w14:paraId="3F0E2FAB" w14:textId="3F79130B" w:rsidR="001B3AE0" w:rsidRPr="000A289A" w:rsidRDefault="001B3AE0" w:rsidP="00075D72">
      <w:pPr>
        <w:pStyle w:val="NumberedParagraph"/>
      </w:pPr>
      <w:r w:rsidRPr="000A289A">
        <w:t>There are pros and cons in increasing the safe</w:t>
      </w:r>
      <w:r w:rsidR="000567C4">
        <w:t xml:space="preserve"> </w:t>
      </w:r>
      <w:r w:rsidRPr="000A289A">
        <w:t>harbour threshold.</w:t>
      </w:r>
    </w:p>
    <w:p w14:paraId="1E479A99" w14:textId="77777777" w:rsidR="001B3AE0" w:rsidRPr="000A289A" w:rsidRDefault="001B3AE0" w:rsidP="001B3AE0">
      <w:pPr>
        <w:pStyle w:val="Heading3"/>
        <w:rPr>
          <w:rFonts w:eastAsia="Calibri"/>
          <w:lang w:eastAsia="en-US"/>
        </w:rPr>
      </w:pPr>
      <w:r w:rsidRPr="000A289A">
        <w:rPr>
          <w:rFonts w:eastAsia="Calibri"/>
          <w:lang w:eastAsia="en-US"/>
        </w:rPr>
        <w:t>Pros</w:t>
      </w:r>
    </w:p>
    <w:p w14:paraId="3C02B381" w14:textId="298267AB" w:rsidR="001B3AE0" w:rsidRPr="000A289A" w:rsidRDefault="001B3AE0" w:rsidP="00075D72">
      <w:pPr>
        <w:pStyle w:val="NumberedParagraph"/>
      </w:pPr>
      <w:r w:rsidRPr="000A289A">
        <w:t xml:space="preserve">Removing the thin capitalisation rules entirely or increasing the safe harbour threshold would be ways of reducing costs of capital and EMTRs for some firms. This is likely to promote inbound investment and foreign direct investment. The international evidence suggests that the effects on inbound investment may be significant. It would have </w:t>
      </w:r>
      <w:r w:rsidR="00FF4D8B">
        <w:t>several</w:t>
      </w:r>
      <w:r w:rsidRPr="000A289A">
        <w:t xml:space="preserve"> potential advantages relative to other ways of reducing costs of capital and EMTRs.</w:t>
      </w:r>
    </w:p>
    <w:p w14:paraId="4EAD201F" w14:textId="73E2FBC4" w:rsidR="001B3AE0" w:rsidRPr="000A289A" w:rsidRDefault="001B3AE0" w:rsidP="00075D72">
      <w:pPr>
        <w:pStyle w:val="NumberedParagraph"/>
      </w:pPr>
      <w:r w:rsidRPr="000A289A">
        <w:t>An attraction of increasing the thin capitalisation safe harbour threshold is that it would not mean forgoing tax on economic rents. So long as interest is not being deducted at inflated rates, economic rents would continue to be taxed. Also</w:t>
      </w:r>
      <w:r w:rsidR="0015489A">
        <w:t>,</w:t>
      </w:r>
      <w:r w:rsidRPr="000A289A">
        <w:t xml:space="preserve"> unlike cutting the company tax rate</w:t>
      </w:r>
      <w:r w:rsidR="0015489A">
        <w:t>,</w:t>
      </w:r>
      <w:r w:rsidRPr="000A289A">
        <w:t xml:space="preserve"> it would not make it more difficult to maintain a progressive personal income tax structure if that is a key objective for future governments. A higher threshold would only be of benefit to foreign-controlled firms</w:t>
      </w:r>
      <w:r w:rsidR="006668D4">
        <w:t>,</w:t>
      </w:r>
      <w:r w:rsidRPr="000A289A">
        <w:t xml:space="preserve"> so </w:t>
      </w:r>
      <w:r w:rsidR="006668D4">
        <w:t xml:space="preserve">it </w:t>
      </w:r>
      <w:r w:rsidRPr="000A289A">
        <w:t>would not undermine the role of the company tax in supporting personal income taxation.</w:t>
      </w:r>
    </w:p>
    <w:p w14:paraId="62B6314E" w14:textId="7C727DA3" w:rsidR="001B3AE0" w:rsidRPr="000A289A" w:rsidRDefault="001B3AE0" w:rsidP="00075D72">
      <w:pPr>
        <w:pStyle w:val="NumberedParagraph"/>
      </w:pPr>
      <w:r w:rsidRPr="000A289A">
        <w:t>If there were an intention to lower taxes on inbound foreign direct investment without reducing taxes on inbound investment more broadly, increasing the threshold might be particularly attractive. This is because it would be targeted at investment by foreign-controlled firms. However, this is only likely to be justified if it were thought that foreign direct investment brought in important spillover benefits or other wellbeing benefits not associated with other forms of inbound investment. In chapter 2</w:t>
      </w:r>
      <w:r w:rsidR="00575A43">
        <w:t>,</w:t>
      </w:r>
      <w:r w:rsidRPr="000A289A">
        <w:t xml:space="preserve"> we questioned whether there was strong evidence of important productivity spillovers from foreign direct investment.</w:t>
      </w:r>
    </w:p>
    <w:p w14:paraId="028E7AB2" w14:textId="77777777" w:rsidR="001B3AE0" w:rsidRPr="000A289A" w:rsidRDefault="001B3AE0" w:rsidP="001B3AE0">
      <w:pPr>
        <w:pStyle w:val="Heading3"/>
        <w:rPr>
          <w:rFonts w:eastAsia="Calibri"/>
          <w:lang w:eastAsia="en-US"/>
        </w:rPr>
      </w:pPr>
      <w:r w:rsidRPr="000A289A">
        <w:rPr>
          <w:rFonts w:eastAsia="Calibri"/>
          <w:lang w:eastAsia="en-US"/>
        </w:rPr>
        <w:t>Cons</w:t>
      </w:r>
    </w:p>
    <w:p w14:paraId="2F05ADB8" w14:textId="77777777" w:rsidR="001B3AE0" w:rsidRPr="000A289A" w:rsidRDefault="001B3AE0" w:rsidP="00075D72">
      <w:pPr>
        <w:pStyle w:val="NumberedParagraph"/>
      </w:pPr>
      <w:r w:rsidRPr="000A289A">
        <w:t>Increasing the safe harbour would be reducing the effectiveness of the rules as a base-maintenance measure. Many would question whether it is fair to provide multinationals with greater scope to stream profits out of New Zealand and reduce their worldwide tax payments in the process.</w:t>
      </w:r>
    </w:p>
    <w:p w14:paraId="07E64863" w14:textId="0ACFCE8F" w:rsidR="001B3AE0" w:rsidRPr="000A289A" w:rsidRDefault="001B3AE0" w:rsidP="00075D72">
      <w:pPr>
        <w:pStyle w:val="NumberedParagraph"/>
      </w:pPr>
      <w:r w:rsidRPr="000A289A">
        <w:t>Increasing the safe harbour would only benefit some firms. It would benefit foreign-controlled companies that are close to the thin capitalisation border and would like to take on more debt but are stopped from doing so by the thin capitalisation rules. However, these firms are already likely to be facing relatively low EMTRs and costs of capital. As table</w:t>
      </w:r>
      <w:r>
        <w:t xml:space="preserve"> 9.1</w:t>
      </w:r>
      <w:r w:rsidRPr="000A289A">
        <w:t xml:space="preserve"> above points out</w:t>
      </w:r>
      <w:r w:rsidR="0043751E">
        <w:t>,</w:t>
      </w:r>
      <w:r w:rsidRPr="000A289A">
        <w:t xml:space="preserve"> EMTRs and costs of capital for these firms are likely to be significantly lower than for either foreign-controlled firms with low levels of debt or for domestic firms. This is likely to reduce rather than increase the neutrality of inbound investment. Productivity is likely to be supported more by tax measures that reduce costs of capital generally than by measures </w:t>
      </w:r>
      <w:r w:rsidR="00314850">
        <w:t>that</w:t>
      </w:r>
      <w:r w:rsidRPr="000A289A">
        <w:t xml:space="preserve"> reduce costs of capital for firms with relatively low EMTRs to start with.</w:t>
      </w:r>
    </w:p>
    <w:p w14:paraId="2873AE98" w14:textId="324F531E" w:rsidR="001B3AE0" w:rsidRPr="000A289A" w:rsidRDefault="001B3AE0" w:rsidP="00075D72">
      <w:pPr>
        <w:pStyle w:val="NumberedParagraph"/>
      </w:pPr>
      <w:r w:rsidRPr="000A289A">
        <w:lastRenderedPageBreak/>
        <w:t xml:space="preserve">An increase in the safe harbour may only affect a relatively small number of firms. </w:t>
      </w:r>
      <w:r w:rsidR="00EA224B">
        <w:t>T</w:t>
      </w:r>
      <w:r w:rsidRPr="000A289A">
        <w:t xml:space="preserve">here </w:t>
      </w:r>
      <w:r w:rsidR="00BB39EC">
        <w:t>is</w:t>
      </w:r>
      <w:r w:rsidRPr="000A289A">
        <w:t xml:space="preserve"> limited evidence of firms being clustered close to the thin capitalisation safe harbour threshold (see table </w:t>
      </w:r>
      <w:r>
        <w:t>9.2</w:t>
      </w:r>
      <w:r w:rsidRPr="000A289A">
        <w:t>). An increase in the threshold is unlikely to have any effect on costs of capital and EMTRs for the large numbers of foreign</w:t>
      </w:r>
      <w:r w:rsidR="00EC7A39">
        <w:t>-</w:t>
      </w:r>
      <w:r w:rsidRPr="000A289A">
        <w:t xml:space="preserve">controlled firms that are well below it. Of course, not only would this reduce the effectiveness of the measure as a way of promoting investment, </w:t>
      </w:r>
      <w:r w:rsidR="00D65638">
        <w:t xml:space="preserve">but </w:t>
      </w:r>
      <w:r w:rsidRPr="000A289A">
        <w:t>it would also be likely to reduce the fiscal cost.</w:t>
      </w:r>
    </w:p>
    <w:p w14:paraId="78FDD2A2" w14:textId="28347ED7" w:rsidR="001B3AE0" w:rsidRPr="000A289A" w:rsidRDefault="001B3AE0" w:rsidP="008D0B2E">
      <w:pPr>
        <w:pStyle w:val="Caption"/>
        <w:keepLines/>
        <w:ind w:left="-709"/>
        <w:rPr>
          <w:rFonts w:eastAsia="Calibri"/>
          <w:lang w:eastAsia="en-US"/>
        </w:rPr>
      </w:pPr>
      <w:r w:rsidRPr="000A289A">
        <w:rPr>
          <w:rFonts w:eastAsia="Calibri"/>
          <w:lang w:eastAsia="en-US"/>
        </w:rPr>
        <w:t xml:space="preserve">Table </w:t>
      </w:r>
      <w:r>
        <w:rPr>
          <w:rFonts w:eastAsia="Calibri"/>
          <w:lang w:eastAsia="en-US"/>
        </w:rPr>
        <w:t>9.2</w:t>
      </w:r>
      <w:r w:rsidRPr="000A289A">
        <w:rPr>
          <w:rFonts w:eastAsia="Calibri"/>
          <w:lang w:eastAsia="en-US"/>
        </w:rPr>
        <w:t>:</w:t>
      </w:r>
      <w:r>
        <w:rPr>
          <w:rFonts w:eastAsia="Calibri"/>
          <w:lang w:eastAsia="en-US"/>
        </w:rPr>
        <w:t xml:space="preserve"> </w:t>
      </w:r>
      <w:r w:rsidRPr="000A289A">
        <w:rPr>
          <w:rFonts w:eastAsia="Calibri"/>
          <w:lang w:eastAsia="en-US"/>
        </w:rPr>
        <w:t>Debt/(debt+equity) ratios for IQ firms</w:t>
      </w:r>
      <w:r w:rsidRPr="000A289A">
        <w:rPr>
          <w:rFonts w:eastAsia="Calibri"/>
          <w:vertAlign w:val="superscript"/>
          <w:lang w:eastAsia="en-US"/>
        </w:rPr>
        <w:footnoteReference w:id="34"/>
      </w:r>
    </w:p>
    <w:tbl>
      <w:tblPr>
        <w:tblStyle w:val="TableGrid"/>
        <w:tblW w:w="9570" w:type="dxa"/>
        <w:tblInd w:w="-78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063"/>
        <w:gridCol w:w="1063"/>
        <w:gridCol w:w="1064"/>
        <w:gridCol w:w="1063"/>
        <w:gridCol w:w="1063"/>
        <w:gridCol w:w="1064"/>
        <w:gridCol w:w="1063"/>
        <w:gridCol w:w="1063"/>
        <w:gridCol w:w="1064"/>
      </w:tblGrid>
      <w:tr w:rsidR="0016448E" w:rsidRPr="0016448E" w14:paraId="0A0CD8D3" w14:textId="77777777" w:rsidTr="00841651">
        <w:trPr>
          <w:tblHeader/>
        </w:trPr>
        <w:tc>
          <w:tcPr>
            <w:tcW w:w="1063" w:type="dxa"/>
            <w:shd w:val="clear" w:color="auto" w:fill="232E36"/>
          </w:tcPr>
          <w:p w14:paraId="405B3CDE" w14:textId="77777777" w:rsidR="0016448E" w:rsidRPr="0016448E" w:rsidRDefault="0016448E" w:rsidP="0016448E">
            <w:pPr>
              <w:keepNext/>
              <w:keepLines/>
              <w:tabs>
                <w:tab w:val="left" w:pos="174"/>
              </w:tabs>
              <w:spacing w:before="120" w:after="120"/>
              <w:jc w:val="center"/>
              <w:rPr>
                <w:b/>
                <w:bCs/>
                <w:color w:val="FFFFFF" w:themeColor="background1"/>
                <w:sz w:val="16"/>
                <w:szCs w:val="16"/>
              </w:rPr>
            </w:pPr>
            <w:r w:rsidRPr="0016448E">
              <w:rPr>
                <w:b/>
                <w:bCs/>
                <w:color w:val="FFFFFF" w:themeColor="background1"/>
                <w:sz w:val="16"/>
                <w:szCs w:val="16"/>
              </w:rPr>
              <w:t>Debt / (Debt + Equity)</w:t>
            </w:r>
          </w:p>
        </w:tc>
        <w:tc>
          <w:tcPr>
            <w:tcW w:w="1063" w:type="dxa"/>
            <w:shd w:val="clear" w:color="auto" w:fill="232E36"/>
          </w:tcPr>
          <w:p w14:paraId="073AF458" w14:textId="77777777" w:rsidR="0016448E" w:rsidRPr="0016448E" w:rsidRDefault="0016448E" w:rsidP="0016448E">
            <w:pPr>
              <w:keepNext/>
              <w:keepLines/>
              <w:tabs>
                <w:tab w:val="left" w:pos="174"/>
              </w:tabs>
              <w:spacing w:before="120" w:after="120"/>
              <w:jc w:val="center"/>
              <w:rPr>
                <w:b/>
                <w:bCs/>
                <w:color w:val="FFFFFF" w:themeColor="background1"/>
                <w:sz w:val="16"/>
                <w:szCs w:val="16"/>
              </w:rPr>
            </w:pPr>
            <w:r w:rsidRPr="0016448E">
              <w:rPr>
                <w:b/>
                <w:bCs/>
                <w:color w:val="FFFFFF" w:themeColor="background1"/>
                <w:sz w:val="16"/>
                <w:szCs w:val="16"/>
              </w:rPr>
              <w:t>Numbers</w:t>
            </w:r>
          </w:p>
        </w:tc>
        <w:tc>
          <w:tcPr>
            <w:tcW w:w="1064" w:type="dxa"/>
            <w:shd w:val="clear" w:color="auto" w:fill="232E36"/>
          </w:tcPr>
          <w:p w14:paraId="7BBC8E1C" w14:textId="77777777" w:rsidR="0016448E" w:rsidRPr="0016448E" w:rsidRDefault="0016448E" w:rsidP="0016448E">
            <w:pPr>
              <w:keepNext/>
              <w:keepLines/>
              <w:tabs>
                <w:tab w:val="left" w:pos="174"/>
              </w:tabs>
              <w:spacing w:before="120" w:after="120"/>
              <w:jc w:val="center"/>
              <w:rPr>
                <w:b/>
                <w:bCs/>
                <w:color w:val="FFFFFF" w:themeColor="background1"/>
                <w:sz w:val="16"/>
                <w:szCs w:val="16"/>
              </w:rPr>
            </w:pPr>
            <w:r w:rsidRPr="0016448E">
              <w:rPr>
                <w:b/>
                <w:bCs/>
                <w:color w:val="FFFFFF" w:themeColor="background1"/>
                <w:sz w:val="16"/>
                <w:szCs w:val="16"/>
              </w:rPr>
              <w:t>% of total groups</w:t>
            </w:r>
          </w:p>
        </w:tc>
        <w:tc>
          <w:tcPr>
            <w:tcW w:w="1063" w:type="dxa"/>
            <w:shd w:val="clear" w:color="auto" w:fill="232E36"/>
            <w:tcMar>
              <w:left w:w="57" w:type="dxa"/>
              <w:right w:w="57" w:type="dxa"/>
            </w:tcMar>
          </w:tcPr>
          <w:p w14:paraId="0BA4C694" w14:textId="77777777" w:rsidR="0016448E" w:rsidRPr="0016448E" w:rsidRDefault="0016448E" w:rsidP="0016448E">
            <w:pPr>
              <w:keepNext/>
              <w:keepLines/>
              <w:tabs>
                <w:tab w:val="left" w:pos="174"/>
              </w:tabs>
              <w:spacing w:before="120" w:after="120"/>
              <w:jc w:val="center"/>
              <w:rPr>
                <w:b/>
                <w:bCs/>
                <w:color w:val="FFFFFF" w:themeColor="background1"/>
                <w:sz w:val="16"/>
                <w:szCs w:val="16"/>
              </w:rPr>
            </w:pPr>
            <w:r w:rsidRPr="0016448E">
              <w:rPr>
                <w:b/>
                <w:bCs/>
                <w:color w:val="FFFFFF" w:themeColor="background1"/>
                <w:sz w:val="16"/>
                <w:szCs w:val="16"/>
              </w:rPr>
              <w:t xml:space="preserve">Debt </w:t>
            </w:r>
            <w:r w:rsidRPr="0016448E">
              <w:rPr>
                <w:b/>
                <w:bCs/>
                <w:color w:val="FFFFFF" w:themeColor="background1"/>
                <w:sz w:val="16"/>
                <w:szCs w:val="16"/>
              </w:rPr>
              <w:br/>
              <w:t>($ billion)</w:t>
            </w:r>
          </w:p>
        </w:tc>
        <w:tc>
          <w:tcPr>
            <w:tcW w:w="1063" w:type="dxa"/>
            <w:shd w:val="clear" w:color="auto" w:fill="232E36"/>
          </w:tcPr>
          <w:p w14:paraId="4B62DFBA" w14:textId="77777777" w:rsidR="0016448E" w:rsidRPr="0016448E" w:rsidRDefault="0016448E" w:rsidP="0016448E">
            <w:pPr>
              <w:keepNext/>
              <w:keepLines/>
              <w:tabs>
                <w:tab w:val="left" w:pos="174"/>
              </w:tabs>
              <w:spacing w:before="120" w:after="120"/>
              <w:jc w:val="center"/>
              <w:rPr>
                <w:b/>
                <w:bCs/>
                <w:color w:val="FFFFFF" w:themeColor="background1"/>
                <w:sz w:val="16"/>
                <w:szCs w:val="16"/>
              </w:rPr>
            </w:pPr>
            <w:r w:rsidRPr="0016448E">
              <w:rPr>
                <w:b/>
                <w:bCs/>
                <w:color w:val="FFFFFF" w:themeColor="background1"/>
                <w:sz w:val="16"/>
                <w:szCs w:val="16"/>
              </w:rPr>
              <w:t>% of total debt</w:t>
            </w:r>
          </w:p>
        </w:tc>
        <w:tc>
          <w:tcPr>
            <w:tcW w:w="1064" w:type="dxa"/>
            <w:shd w:val="clear" w:color="auto" w:fill="232E36"/>
            <w:tcMar>
              <w:left w:w="57" w:type="dxa"/>
              <w:right w:w="57" w:type="dxa"/>
            </w:tcMar>
          </w:tcPr>
          <w:p w14:paraId="2B2DB2BF" w14:textId="77777777" w:rsidR="0016448E" w:rsidRPr="0016448E" w:rsidRDefault="0016448E" w:rsidP="0016448E">
            <w:pPr>
              <w:keepNext/>
              <w:keepLines/>
              <w:tabs>
                <w:tab w:val="left" w:pos="174"/>
              </w:tabs>
              <w:spacing w:before="120" w:after="120"/>
              <w:jc w:val="center"/>
              <w:rPr>
                <w:b/>
                <w:bCs/>
                <w:color w:val="FFFFFF" w:themeColor="background1"/>
                <w:sz w:val="16"/>
                <w:szCs w:val="16"/>
              </w:rPr>
            </w:pPr>
            <w:r w:rsidRPr="0016448E">
              <w:rPr>
                <w:b/>
                <w:bCs/>
                <w:color w:val="FFFFFF" w:themeColor="background1"/>
                <w:sz w:val="16"/>
                <w:szCs w:val="16"/>
              </w:rPr>
              <w:t xml:space="preserve">Equity </w:t>
            </w:r>
            <w:r w:rsidRPr="0016448E">
              <w:rPr>
                <w:b/>
                <w:bCs/>
                <w:color w:val="FFFFFF" w:themeColor="background1"/>
                <w:sz w:val="16"/>
                <w:szCs w:val="16"/>
              </w:rPr>
              <w:br/>
              <w:t>($ billion)</w:t>
            </w:r>
          </w:p>
        </w:tc>
        <w:tc>
          <w:tcPr>
            <w:tcW w:w="1063" w:type="dxa"/>
            <w:shd w:val="clear" w:color="auto" w:fill="232E36"/>
          </w:tcPr>
          <w:p w14:paraId="132F0A81" w14:textId="77777777" w:rsidR="0016448E" w:rsidRPr="0016448E" w:rsidRDefault="0016448E" w:rsidP="0016448E">
            <w:pPr>
              <w:keepNext/>
              <w:keepLines/>
              <w:tabs>
                <w:tab w:val="left" w:pos="174"/>
              </w:tabs>
              <w:spacing w:before="120" w:after="120"/>
              <w:jc w:val="center"/>
              <w:rPr>
                <w:b/>
                <w:bCs/>
                <w:color w:val="FFFFFF" w:themeColor="background1"/>
                <w:sz w:val="16"/>
                <w:szCs w:val="16"/>
              </w:rPr>
            </w:pPr>
            <w:r w:rsidRPr="0016448E">
              <w:rPr>
                <w:b/>
                <w:bCs/>
                <w:color w:val="FFFFFF" w:themeColor="background1"/>
                <w:sz w:val="16"/>
                <w:szCs w:val="16"/>
              </w:rPr>
              <w:t>% of total equity</w:t>
            </w:r>
          </w:p>
        </w:tc>
        <w:tc>
          <w:tcPr>
            <w:tcW w:w="1063" w:type="dxa"/>
            <w:shd w:val="clear" w:color="auto" w:fill="232E36"/>
            <w:tcMar>
              <w:left w:w="57" w:type="dxa"/>
              <w:right w:w="57" w:type="dxa"/>
            </w:tcMar>
          </w:tcPr>
          <w:p w14:paraId="0EB2A46C" w14:textId="77777777" w:rsidR="0016448E" w:rsidRPr="0016448E" w:rsidRDefault="0016448E" w:rsidP="0016448E">
            <w:pPr>
              <w:keepNext/>
              <w:keepLines/>
              <w:tabs>
                <w:tab w:val="left" w:pos="174"/>
              </w:tabs>
              <w:spacing w:before="120" w:after="120"/>
              <w:jc w:val="center"/>
              <w:rPr>
                <w:b/>
                <w:bCs/>
                <w:color w:val="FFFFFF" w:themeColor="background1"/>
                <w:sz w:val="16"/>
                <w:szCs w:val="16"/>
              </w:rPr>
            </w:pPr>
            <w:r w:rsidRPr="0016448E">
              <w:rPr>
                <w:b/>
                <w:bCs/>
                <w:color w:val="FFFFFF" w:themeColor="background1"/>
                <w:sz w:val="16"/>
                <w:szCs w:val="16"/>
              </w:rPr>
              <w:t xml:space="preserve">Debt + equity </w:t>
            </w:r>
            <w:r w:rsidRPr="0016448E">
              <w:rPr>
                <w:b/>
                <w:bCs/>
                <w:color w:val="FFFFFF" w:themeColor="background1"/>
                <w:sz w:val="16"/>
                <w:szCs w:val="16"/>
              </w:rPr>
              <w:br/>
              <w:t>($ billion)</w:t>
            </w:r>
          </w:p>
        </w:tc>
        <w:tc>
          <w:tcPr>
            <w:tcW w:w="1064" w:type="dxa"/>
            <w:shd w:val="clear" w:color="auto" w:fill="232E36"/>
          </w:tcPr>
          <w:p w14:paraId="765A877E" w14:textId="77777777" w:rsidR="0016448E" w:rsidRPr="0016448E" w:rsidRDefault="0016448E" w:rsidP="0016448E">
            <w:pPr>
              <w:keepNext/>
              <w:keepLines/>
              <w:tabs>
                <w:tab w:val="left" w:pos="174"/>
              </w:tabs>
              <w:spacing w:before="120" w:after="120"/>
              <w:jc w:val="center"/>
              <w:rPr>
                <w:b/>
                <w:bCs/>
                <w:color w:val="FFFFFF" w:themeColor="background1"/>
                <w:sz w:val="16"/>
                <w:szCs w:val="16"/>
              </w:rPr>
            </w:pPr>
            <w:r w:rsidRPr="0016448E">
              <w:rPr>
                <w:b/>
                <w:bCs/>
                <w:color w:val="FFFFFF" w:themeColor="background1"/>
                <w:sz w:val="16"/>
                <w:szCs w:val="16"/>
              </w:rPr>
              <w:t>% of total debt + equity)</w:t>
            </w:r>
          </w:p>
        </w:tc>
      </w:tr>
      <w:tr w:rsidR="0016448E" w:rsidRPr="0016448E" w14:paraId="4214DDAD" w14:textId="77777777" w:rsidTr="00841651">
        <w:tc>
          <w:tcPr>
            <w:tcW w:w="1063" w:type="dxa"/>
          </w:tcPr>
          <w:p w14:paraId="29E6C76F" w14:textId="77777777" w:rsidR="0016448E" w:rsidRPr="0016448E" w:rsidRDefault="0016448E" w:rsidP="0016448E">
            <w:pPr>
              <w:keepNext/>
              <w:keepLines/>
              <w:tabs>
                <w:tab w:val="left" w:pos="174"/>
              </w:tabs>
              <w:spacing w:before="60" w:after="60"/>
              <w:jc w:val="left"/>
              <w:rPr>
                <w:b/>
                <w:bCs/>
                <w:sz w:val="16"/>
                <w:szCs w:val="16"/>
              </w:rPr>
            </w:pPr>
            <w:r w:rsidRPr="0016448E">
              <w:rPr>
                <w:b/>
                <w:bCs/>
                <w:sz w:val="16"/>
                <w:szCs w:val="16"/>
              </w:rPr>
              <w:t>0%</w:t>
            </w:r>
          </w:p>
        </w:tc>
        <w:tc>
          <w:tcPr>
            <w:tcW w:w="1063" w:type="dxa"/>
            <w:shd w:val="clear" w:color="auto" w:fill="auto"/>
            <w:vAlign w:val="bottom"/>
          </w:tcPr>
          <w:p w14:paraId="157DAA52" w14:textId="77777777" w:rsidR="0016448E" w:rsidRPr="0016448E" w:rsidRDefault="0016448E" w:rsidP="0016448E">
            <w:pPr>
              <w:keepNext/>
              <w:keepLines/>
              <w:spacing w:before="60" w:after="60"/>
              <w:jc w:val="right"/>
              <w:rPr>
                <w:sz w:val="16"/>
                <w:szCs w:val="16"/>
              </w:rPr>
            </w:pPr>
            <w:r w:rsidRPr="0016448E">
              <w:rPr>
                <w:sz w:val="16"/>
                <w:szCs w:val="16"/>
              </w:rPr>
              <w:t>259</w:t>
            </w:r>
          </w:p>
        </w:tc>
        <w:tc>
          <w:tcPr>
            <w:tcW w:w="1064" w:type="dxa"/>
            <w:vAlign w:val="center"/>
          </w:tcPr>
          <w:p w14:paraId="10FBB9B9" w14:textId="77777777" w:rsidR="0016448E" w:rsidRPr="0016448E" w:rsidRDefault="0016448E" w:rsidP="0016448E">
            <w:pPr>
              <w:keepNext/>
              <w:keepLines/>
              <w:spacing w:before="60" w:after="60"/>
              <w:jc w:val="right"/>
              <w:rPr>
                <w:sz w:val="16"/>
                <w:szCs w:val="16"/>
              </w:rPr>
            </w:pPr>
            <w:r w:rsidRPr="0016448E">
              <w:rPr>
                <w:sz w:val="16"/>
                <w:szCs w:val="16"/>
              </w:rPr>
              <w:t>44.1%</w:t>
            </w:r>
          </w:p>
        </w:tc>
        <w:tc>
          <w:tcPr>
            <w:tcW w:w="1063" w:type="dxa"/>
            <w:vAlign w:val="center"/>
          </w:tcPr>
          <w:p w14:paraId="2410AEF2" w14:textId="77777777" w:rsidR="0016448E" w:rsidRPr="0016448E" w:rsidRDefault="0016448E" w:rsidP="0016448E">
            <w:pPr>
              <w:keepNext/>
              <w:keepLines/>
              <w:spacing w:before="60" w:after="60"/>
              <w:jc w:val="right"/>
              <w:rPr>
                <w:sz w:val="16"/>
                <w:szCs w:val="16"/>
              </w:rPr>
            </w:pPr>
            <w:r w:rsidRPr="0016448E">
              <w:rPr>
                <w:sz w:val="16"/>
                <w:szCs w:val="16"/>
              </w:rPr>
              <w:t>0.000</w:t>
            </w:r>
          </w:p>
        </w:tc>
        <w:tc>
          <w:tcPr>
            <w:tcW w:w="1063" w:type="dxa"/>
          </w:tcPr>
          <w:p w14:paraId="2F14515B" w14:textId="77777777" w:rsidR="0016448E" w:rsidRPr="0016448E" w:rsidRDefault="0016448E" w:rsidP="0016448E">
            <w:pPr>
              <w:keepNext/>
              <w:keepLines/>
              <w:spacing w:before="60" w:after="60"/>
              <w:jc w:val="right"/>
              <w:rPr>
                <w:sz w:val="16"/>
                <w:szCs w:val="16"/>
              </w:rPr>
            </w:pPr>
            <w:r w:rsidRPr="0016448E">
              <w:rPr>
                <w:sz w:val="16"/>
                <w:szCs w:val="16"/>
              </w:rPr>
              <w:t>0.0%</w:t>
            </w:r>
          </w:p>
        </w:tc>
        <w:tc>
          <w:tcPr>
            <w:tcW w:w="1064" w:type="dxa"/>
            <w:vAlign w:val="center"/>
          </w:tcPr>
          <w:p w14:paraId="3981E8ED" w14:textId="77777777" w:rsidR="0016448E" w:rsidRPr="0016448E" w:rsidRDefault="0016448E" w:rsidP="0016448E">
            <w:pPr>
              <w:keepNext/>
              <w:keepLines/>
              <w:spacing w:before="60" w:after="60"/>
              <w:jc w:val="right"/>
              <w:rPr>
                <w:sz w:val="16"/>
                <w:szCs w:val="16"/>
              </w:rPr>
            </w:pPr>
            <w:r w:rsidRPr="0016448E">
              <w:rPr>
                <w:sz w:val="16"/>
                <w:szCs w:val="16"/>
              </w:rPr>
              <w:t>14.263</w:t>
            </w:r>
          </w:p>
        </w:tc>
        <w:tc>
          <w:tcPr>
            <w:tcW w:w="1063" w:type="dxa"/>
          </w:tcPr>
          <w:p w14:paraId="47D18FE8" w14:textId="77777777" w:rsidR="0016448E" w:rsidRPr="0016448E" w:rsidRDefault="0016448E" w:rsidP="0016448E">
            <w:pPr>
              <w:keepNext/>
              <w:keepLines/>
              <w:spacing w:before="60" w:after="60"/>
              <w:jc w:val="right"/>
              <w:rPr>
                <w:sz w:val="16"/>
                <w:szCs w:val="16"/>
              </w:rPr>
            </w:pPr>
            <w:r w:rsidRPr="0016448E">
              <w:rPr>
                <w:sz w:val="16"/>
                <w:szCs w:val="16"/>
              </w:rPr>
              <w:t>27.3%</w:t>
            </w:r>
          </w:p>
        </w:tc>
        <w:tc>
          <w:tcPr>
            <w:tcW w:w="1063" w:type="dxa"/>
            <w:vAlign w:val="center"/>
          </w:tcPr>
          <w:p w14:paraId="4D8A9FE1" w14:textId="77777777" w:rsidR="0016448E" w:rsidRPr="0016448E" w:rsidRDefault="0016448E" w:rsidP="0016448E">
            <w:pPr>
              <w:keepNext/>
              <w:keepLines/>
              <w:spacing w:before="60" w:after="60"/>
              <w:jc w:val="right"/>
              <w:rPr>
                <w:sz w:val="16"/>
                <w:szCs w:val="16"/>
              </w:rPr>
            </w:pPr>
            <w:r w:rsidRPr="0016448E">
              <w:rPr>
                <w:sz w:val="16"/>
                <w:szCs w:val="16"/>
              </w:rPr>
              <w:t>14.264</w:t>
            </w:r>
          </w:p>
        </w:tc>
        <w:tc>
          <w:tcPr>
            <w:tcW w:w="1064" w:type="dxa"/>
          </w:tcPr>
          <w:p w14:paraId="5A246A75" w14:textId="77777777" w:rsidR="0016448E" w:rsidRPr="0016448E" w:rsidRDefault="0016448E" w:rsidP="0016448E">
            <w:pPr>
              <w:keepNext/>
              <w:keepLines/>
              <w:spacing w:before="60" w:after="60"/>
              <w:jc w:val="right"/>
              <w:rPr>
                <w:sz w:val="16"/>
                <w:szCs w:val="16"/>
              </w:rPr>
            </w:pPr>
            <w:r w:rsidRPr="0016448E">
              <w:rPr>
                <w:sz w:val="16"/>
                <w:szCs w:val="16"/>
              </w:rPr>
              <w:t>15.6%</w:t>
            </w:r>
          </w:p>
        </w:tc>
      </w:tr>
      <w:tr w:rsidR="0016448E" w:rsidRPr="0016448E" w14:paraId="275A8963" w14:textId="77777777" w:rsidTr="00841651">
        <w:tc>
          <w:tcPr>
            <w:tcW w:w="1063" w:type="dxa"/>
          </w:tcPr>
          <w:p w14:paraId="35890127" w14:textId="77777777" w:rsidR="0016448E" w:rsidRPr="0016448E" w:rsidRDefault="0016448E" w:rsidP="0016448E">
            <w:pPr>
              <w:keepNext/>
              <w:keepLines/>
              <w:tabs>
                <w:tab w:val="left" w:pos="174"/>
              </w:tabs>
              <w:spacing w:before="60" w:after="60"/>
              <w:jc w:val="left"/>
              <w:rPr>
                <w:b/>
                <w:bCs/>
                <w:sz w:val="16"/>
                <w:szCs w:val="16"/>
              </w:rPr>
            </w:pPr>
            <w:r w:rsidRPr="0016448E">
              <w:rPr>
                <w:b/>
                <w:bCs/>
                <w:sz w:val="16"/>
                <w:szCs w:val="16"/>
              </w:rPr>
              <w:t>to 10%</w:t>
            </w:r>
          </w:p>
        </w:tc>
        <w:tc>
          <w:tcPr>
            <w:tcW w:w="1063" w:type="dxa"/>
            <w:shd w:val="clear" w:color="auto" w:fill="auto"/>
            <w:vAlign w:val="bottom"/>
          </w:tcPr>
          <w:p w14:paraId="63FDFDB2" w14:textId="77777777" w:rsidR="0016448E" w:rsidRPr="0016448E" w:rsidRDefault="0016448E" w:rsidP="0016448E">
            <w:pPr>
              <w:keepNext/>
              <w:keepLines/>
              <w:spacing w:before="60" w:after="60"/>
              <w:jc w:val="right"/>
              <w:rPr>
                <w:sz w:val="16"/>
                <w:szCs w:val="16"/>
              </w:rPr>
            </w:pPr>
            <w:r w:rsidRPr="0016448E">
              <w:rPr>
                <w:sz w:val="16"/>
                <w:szCs w:val="16"/>
              </w:rPr>
              <w:t>34</w:t>
            </w:r>
          </w:p>
        </w:tc>
        <w:tc>
          <w:tcPr>
            <w:tcW w:w="1064" w:type="dxa"/>
            <w:vAlign w:val="center"/>
          </w:tcPr>
          <w:p w14:paraId="21FA8F46" w14:textId="77777777" w:rsidR="0016448E" w:rsidRPr="0016448E" w:rsidRDefault="0016448E" w:rsidP="0016448E">
            <w:pPr>
              <w:keepNext/>
              <w:keepLines/>
              <w:spacing w:before="60" w:after="60"/>
              <w:jc w:val="right"/>
              <w:rPr>
                <w:sz w:val="16"/>
                <w:szCs w:val="16"/>
              </w:rPr>
            </w:pPr>
            <w:r w:rsidRPr="0016448E">
              <w:rPr>
                <w:sz w:val="16"/>
                <w:szCs w:val="16"/>
              </w:rPr>
              <w:t>5.8%</w:t>
            </w:r>
          </w:p>
        </w:tc>
        <w:tc>
          <w:tcPr>
            <w:tcW w:w="1063" w:type="dxa"/>
            <w:vAlign w:val="center"/>
          </w:tcPr>
          <w:p w14:paraId="245742B4" w14:textId="77777777" w:rsidR="0016448E" w:rsidRPr="0016448E" w:rsidRDefault="0016448E" w:rsidP="0016448E">
            <w:pPr>
              <w:keepNext/>
              <w:keepLines/>
              <w:spacing w:before="60" w:after="60"/>
              <w:jc w:val="right"/>
              <w:rPr>
                <w:sz w:val="16"/>
                <w:szCs w:val="16"/>
              </w:rPr>
            </w:pPr>
            <w:r w:rsidRPr="0016448E">
              <w:rPr>
                <w:sz w:val="16"/>
                <w:szCs w:val="16"/>
              </w:rPr>
              <w:t>0.320</w:t>
            </w:r>
          </w:p>
        </w:tc>
        <w:tc>
          <w:tcPr>
            <w:tcW w:w="1063" w:type="dxa"/>
          </w:tcPr>
          <w:p w14:paraId="42A6B7CD" w14:textId="77777777" w:rsidR="0016448E" w:rsidRPr="0016448E" w:rsidRDefault="0016448E" w:rsidP="0016448E">
            <w:pPr>
              <w:keepNext/>
              <w:keepLines/>
              <w:spacing w:before="60" w:after="60"/>
              <w:jc w:val="right"/>
              <w:rPr>
                <w:sz w:val="16"/>
                <w:szCs w:val="16"/>
              </w:rPr>
            </w:pPr>
            <w:r w:rsidRPr="0016448E">
              <w:rPr>
                <w:sz w:val="16"/>
                <w:szCs w:val="16"/>
              </w:rPr>
              <w:t>0.8%</w:t>
            </w:r>
          </w:p>
        </w:tc>
        <w:tc>
          <w:tcPr>
            <w:tcW w:w="1064" w:type="dxa"/>
            <w:vAlign w:val="center"/>
          </w:tcPr>
          <w:p w14:paraId="10E60719" w14:textId="77777777" w:rsidR="0016448E" w:rsidRPr="0016448E" w:rsidRDefault="0016448E" w:rsidP="0016448E">
            <w:pPr>
              <w:keepNext/>
              <w:keepLines/>
              <w:spacing w:before="60" w:after="60"/>
              <w:jc w:val="right"/>
              <w:rPr>
                <w:sz w:val="16"/>
                <w:szCs w:val="16"/>
              </w:rPr>
            </w:pPr>
            <w:r w:rsidRPr="0016448E">
              <w:rPr>
                <w:sz w:val="16"/>
                <w:szCs w:val="16"/>
              </w:rPr>
              <w:t>4.619</w:t>
            </w:r>
          </w:p>
        </w:tc>
        <w:tc>
          <w:tcPr>
            <w:tcW w:w="1063" w:type="dxa"/>
          </w:tcPr>
          <w:p w14:paraId="63AAF277" w14:textId="77777777" w:rsidR="0016448E" w:rsidRPr="0016448E" w:rsidRDefault="0016448E" w:rsidP="0016448E">
            <w:pPr>
              <w:keepNext/>
              <w:keepLines/>
              <w:spacing w:before="60" w:after="60"/>
              <w:jc w:val="right"/>
              <w:rPr>
                <w:sz w:val="16"/>
                <w:szCs w:val="16"/>
              </w:rPr>
            </w:pPr>
            <w:r w:rsidRPr="0016448E">
              <w:rPr>
                <w:sz w:val="16"/>
                <w:szCs w:val="16"/>
              </w:rPr>
              <w:t>8.8%</w:t>
            </w:r>
          </w:p>
        </w:tc>
        <w:tc>
          <w:tcPr>
            <w:tcW w:w="1063" w:type="dxa"/>
            <w:vAlign w:val="center"/>
          </w:tcPr>
          <w:p w14:paraId="3024BBC3" w14:textId="77777777" w:rsidR="0016448E" w:rsidRPr="0016448E" w:rsidRDefault="0016448E" w:rsidP="0016448E">
            <w:pPr>
              <w:keepNext/>
              <w:keepLines/>
              <w:spacing w:before="60" w:after="60"/>
              <w:jc w:val="right"/>
              <w:rPr>
                <w:sz w:val="16"/>
                <w:szCs w:val="16"/>
              </w:rPr>
            </w:pPr>
            <w:r w:rsidRPr="0016448E">
              <w:rPr>
                <w:sz w:val="16"/>
                <w:szCs w:val="16"/>
              </w:rPr>
              <w:t>4.939</w:t>
            </w:r>
          </w:p>
        </w:tc>
        <w:tc>
          <w:tcPr>
            <w:tcW w:w="1064" w:type="dxa"/>
          </w:tcPr>
          <w:p w14:paraId="0C43FD56" w14:textId="77777777" w:rsidR="0016448E" w:rsidRPr="0016448E" w:rsidRDefault="0016448E" w:rsidP="0016448E">
            <w:pPr>
              <w:keepNext/>
              <w:keepLines/>
              <w:spacing w:before="60" w:after="60"/>
              <w:jc w:val="right"/>
              <w:rPr>
                <w:sz w:val="16"/>
                <w:szCs w:val="16"/>
              </w:rPr>
            </w:pPr>
            <w:r w:rsidRPr="0016448E">
              <w:rPr>
                <w:sz w:val="16"/>
                <w:szCs w:val="16"/>
              </w:rPr>
              <w:t>5.4%</w:t>
            </w:r>
          </w:p>
        </w:tc>
      </w:tr>
      <w:tr w:rsidR="0016448E" w:rsidRPr="0016448E" w14:paraId="5DBEC308" w14:textId="77777777" w:rsidTr="00841651">
        <w:tc>
          <w:tcPr>
            <w:tcW w:w="1063" w:type="dxa"/>
          </w:tcPr>
          <w:p w14:paraId="575556D5" w14:textId="77777777" w:rsidR="0016448E" w:rsidRPr="0016448E" w:rsidRDefault="0016448E" w:rsidP="0016448E">
            <w:pPr>
              <w:keepNext/>
              <w:keepLines/>
              <w:tabs>
                <w:tab w:val="left" w:pos="174"/>
              </w:tabs>
              <w:spacing w:before="60" w:after="60"/>
              <w:jc w:val="left"/>
              <w:rPr>
                <w:b/>
                <w:bCs/>
                <w:sz w:val="16"/>
                <w:szCs w:val="16"/>
              </w:rPr>
            </w:pPr>
            <w:r w:rsidRPr="0016448E">
              <w:rPr>
                <w:b/>
                <w:bCs/>
                <w:sz w:val="16"/>
                <w:szCs w:val="16"/>
              </w:rPr>
              <w:t>to 20%</w:t>
            </w:r>
          </w:p>
        </w:tc>
        <w:tc>
          <w:tcPr>
            <w:tcW w:w="1063" w:type="dxa"/>
            <w:shd w:val="clear" w:color="auto" w:fill="auto"/>
            <w:vAlign w:val="bottom"/>
          </w:tcPr>
          <w:p w14:paraId="7FF1083C" w14:textId="77777777" w:rsidR="0016448E" w:rsidRPr="0016448E" w:rsidRDefault="0016448E" w:rsidP="0016448E">
            <w:pPr>
              <w:keepNext/>
              <w:keepLines/>
              <w:spacing w:before="60" w:after="60"/>
              <w:jc w:val="right"/>
              <w:rPr>
                <w:sz w:val="16"/>
                <w:szCs w:val="16"/>
              </w:rPr>
            </w:pPr>
            <w:r w:rsidRPr="0016448E">
              <w:rPr>
                <w:sz w:val="16"/>
                <w:szCs w:val="16"/>
              </w:rPr>
              <w:t>28</w:t>
            </w:r>
          </w:p>
        </w:tc>
        <w:tc>
          <w:tcPr>
            <w:tcW w:w="1064" w:type="dxa"/>
          </w:tcPr>
          <w:p w14:paraId="5CD5E459" w14:textId="77777777" w:rsidR="0016448E" w:rsidRPr="0016448E" w:rsidRDefault="0016448E" w:rsidP="0016448E">
            <w:pPr>
              <w:keepNext/>
              <w:keepLines/>
              <w:spacing w:before="60" w:after="60"/>
              <w:jc w:val="right"/>
              <w:rPr>
                <w:sz w:val="16"/>
                <w:szCs w:val="16"/>
              </w:rPr>
            </w:pPr>
            <w:r w:rsidRPr="0016448E">
              <w:rPr>
                <w:sz w:val="16"/>
                <w:szCs w:val="16"/>
              </w:rPr>
              <w:t>4.8%</w:t>
            </w:r>
          </w:p>
        </w:tc>
        <w:tc>
          <w:tcPr>
            <w:tcW w:w="1063" w:type="dxa"/>
            <w:vAlign w:val="center"/>
          </w:tcPr>
          <w:p w14:paraId="14A62298" w14:textId="77777777" w:rsidR="0016448E" w:rsidRPr="0016448E" w:rsidRDefault="0016448E" w:rsidP="0016448E">
            <w:pPr>
              <w:keepNext/>
              <w:keepLines/>
              <w:spacing w:before="60" w:after="60"/>
              <w:jc w:val="right"/>
              <w:rPr>
                <w:sz w:val="16"/>
                <w:szCs w:val="16"/>
              </w:rPr>
            </w:pPr>
            <w:r w:rsidRPr="0016448E">
              <w:rPr>
                <w:sz w:val="16"/>
                <w:szCs w:val="16"/>
              </w:rPr>
              <w:t>0.719</w:t>
            </w:r>
          </w:p>
        </w:tc>
        <w:tc>
          <w:tcPr>
            <w:tcW w:w="1063" w:type="dxa"/>
          </w:tcPr>
          <w:p w14:paraId="4489E926" w14:textId="77777777" w:rsidR="0016448E" w:rsidRPr="0016448E" w:rsidRDefault="0016448E" w:rsidP="0016448E">
            <w:pPr>
              <w:keepNext/>
              <w:keepLines/>
              <w:spacing w:before="60" w:after="60"/>
              <w:jc w:val="right"/>
              <w:rPr>
                <w:sz w:val="16"/>
                <w:szCs w:val="16"/>
              </w:rPr>
            </w:pPr>
            <w:r w:rsidRPr="0016448E">
              <w:rPr>
                <w:sz w:val="16"/>
                <w:szCs w:val="16"/>
              </w:rPr>
              <w:t>1.8%</w:t>
            </w:r>
          </w:p>
        </w:tc>
        <w:tc>
          <w:tcPr>
            <w:tcW w:w="1064" w:type="dxa"/>
            <w:vAlign w:val="center"/>
          </w:tcPr>
          <w:p w14:paraId="79C23F07" w14:textId="77777777" w:rsidR="0016448E" w:rsidRPr="0016448E" w:rsidRDefault="0016448E" w:rsidP="0016448E">
            <w:pPr>
              <w:keepNext/>
              <w:keepLines/>
              <w:spacing w:before="60" w:after="60"/>
              <w:jc w:val="right"/>
              <w:rPr>
                <w:sz w:val="16"/>
                <w:szCs w:val="16"/>
              </w:rPr>
            </w:pPr>
            <w:r w:rsidRPr="0016448E">
              <w:rPr>
                <w:sz w:val="16"/>
                <w:szCs w:val="16"/>
              </w:rPr>
              <w:t>3.879</w:t>
            </w:r>
          </w:p>
        </w:tc>
        <w:tc>
          <w:tcPr>
            <w:tcW w:w="1063" w:type="dxa"/>
          </w:tcPr>
          <w:p w14:paraId="2BF8E2C9" w14:textId="77777777" w:rsidR="0016448E" w:rsidRPr="0016448E" w:rsidRDefault="0016448E" w:rsidP="0016448E">
            <w:pPr>
              <w:keepNext/>
              <w:keepLines/>
              <w:spacing w:before="60" w:after="60"/>
              <w:jc w:val="right"/>
              <w:rPr>
                <w:sz w:val="16"/>
                <w:szCs w:val="16"/>
              </w:rPr>
            </w:pPr>
            <w:r w:rsidRPr="0016448E">
              <w:rPr>
                <w:sz w:val="16"/>
                <w:szCs w:val="16"/>
              </w:rPr>
              <w:t>7.4%</w:t>
            </w:r>
          </w:p>
        </w:tc>
        <w:tc>
          <w:tcPr>
            <w:tcW w:w="1063" w:type="dxa"/>
            <w:vAlign w:val="center"/>
          </w:tcPr>
          <w:p w14:paraId="0620FA96" w14:textId="77777777" w:rsidR="0016448E" w:rsidRPr="0016448E" w:rsidRDefault="0016448E" w:rsidP="0016448E">
            <w:pPr>
              <w:keepNext/>
              <w:keepLines/>
              <w:spacing w:before="60" w:after="60"/>
              <w:jc w:val="right"/>
              <w:rPr>
                <w:sz w:val="16"/>
                <w:szCs w:val="16"/>
              </w:rPr>
            </w:pPr>
            <w:r w:rsidRPr="0016448E">
              <w:rPr>
                <w:sz w:val="16"/>
                <w:szCs w:val="16"/>
              </w:rPr>
              <w:t>4.598</w:t>
            </w:r>
          </w:p>
        </w:tc>
        <w:tc>
          <w:tcPr>
            <w:tcW w:w="1064" w:type="dxa"/>
          </w:tcPr>
          <w:p w14:paraId="3A39FD7F" w14:textId="77777777" w:rsidR="0016448E" w:rsidRPr="0016448E" w:rsidRDefault="0016448E" w:rsidP="0016448E">
            <w:pPr>
              <w:keepNext/>
              <w:keepLines/>
              <w:spacing w:before="60" w:after="60"/>
              <w:jc w:val="right"/>
              <w:rPr>
                <w:sz w:val="16"/>
                <w:szCs w:val="16"/>
              </w:rPr>
            </w:pPr>
            <w:r w:rsidRPr="0016448E">
              <w:rPr>
                <w:sz w:val="16"/>
                <w:szCs w:val="16"/>
              </w:rPr>
              <w:t>5.0%</w:t>
            </w:r>
          </w:p>
        </w:tc>
      </w:tr>
      <w:tr w:rsidR="0016448E" w:rsidRPr="0016448E" w14:paraId="19AFEE53" w14:textId="77777777" w:rsidTr="00841651">
        <w:tc>
          <w:tcPr>
            <w:tcW w:w="1063" w:type="dxa"/>
          </w:tcPr>
          <w:p w14:paraId="7A4CF833" w14:textId="77777777" w:rsidR="0016448E" w:rsidRPr="0016448E" w:rsidRDefault="0016448E" w:rsidP="0016448E">
            <w:pPr>
              <w:keepNext/>
              <w:keepLines/>
              <w:tabs>
                <w:tab w:val="left" w:pos="174"/>
              </w:tabs>
              <w:spacing w:before="60" w:after="60"/>
              <w:jc w:val="left"/>
              <w:rPr>
                <w:b/>
                <w:bCs/>
                <w:sz w:val="16"/>
                <w:szCs w:val="16"/>
              </w:rPr>
            </w:pPr>
            <w:r w:rsidRPr="0016448E">
              <w:rPr>
                <w:b/>
                <w:bCs/>
                <w:sz w:val="16"/>
                <w:szCs w:val="16"/>
              </w:rPr>
              <w:t>to 30%</w:t>
            </w:r>
          </w:p>
        </w:tc>
        <w:tc>
          <w:tcPr>
            <w:tcW w:w="1063" w:type="dxa"/>
            <w:shd w:val="clear" w:color="auto" w:fill="auto"/>
            <w:vAlign w:val="bottom"/>
          </w:tcPr>
          <w:p w14:paraId="75DAA4C0" w14:textId="77777777" w:rsidR="0016448E" w:rsidRPr="0016448E" w:rsidRDefault="0016448E" w:rsidP="0016448E">
            <w:pPr>
              <w:keepNext/>
              <w:keepLines/>
              <w:spacing w:before="60" w:after="60"/>
              <w:jc w:val="right"/>
              <w:rPr>
                <w:sz w:val="16"/>
                <w:szCs w:val="16"/>
              </w:rPr>
            </w:pPr>
            <w:r w:rsidRPr="0016448E">
              <w:rPr>
                <w:sz w:val="16"/>
                <w:szCs w:val="16"/>
              </w:rPr>
              <w:t>38</w:t>
            </w:r>
          </w:p>
        </w:tc>
        <w:tc>
          <w:tcPr>
            <w:tcW w:w="1064" w:type="dxa"/>
          </w:tcPr>
          <w:p w14:paraId="5FEF4D10" w14:textId="77777777" w:rsidR="0016448E" w:rsidRPr="0016448E" w:rsidRDefault="0016448E" w:rsidP="0016448E">
            <w:pPr>
              <w:keepNext/>
              <w:keepLines/>
              <w:spacing w:before="60" w:after="60"/>
              <w:jc w:val="right"/>
              <w:rPr>
                <w:sz w:val="16"/>
                <w:szCs w:val="16"/>
              </w:rPr>
            </w:pPr>
            <w:r w:rsidRPr="0016448E">
              <w:rPr>
                <w:sz w:val="16"/>
                <w:szCs w:val="16"/>
              </w:rPr>
              <w:t>6.5%</w:t>
            </w:r>
          </w:p>
        </w:tc>
        <w:tc>
          <w:tcPr>
            <w:tcW w:w="1063" w:type="dxa"/>
            <w:vAlign w:val="center"/>
          </w:tcPr>
          <w:p w14:paraId="7A6C4DA1" w14:textId="77777777" w:rsidR="0016448E" w:rsidRPr="0016448E" w:rsidRDefault="0016448E" w:rsidP="0016448E">
            <w:pPr>
              <w:keepNext/>
              <w:keepLines/>
              <w:spacing w:before="60" w:after="60"/>
              <w:jc w:val="right"/>
              <w:rPr>
                <w:sz w:val="16"/>
                <w:szCs w:val="16"/>
              </w:rPr>
            </w:pPr>
            <w:r w:rsidRPr="0016448E">
              <w:rPr>
                <w:sz w:val="16"/>
                <w:szCs w:val="16"/>
              </w:rPr>
              <w:t>1.514</w:t>
            </w:r>
          </w:p>
        </w:tc>
        <w:tc>
          <w:tcPr>
            <w:tcW w:w="1063" w:type="dxa"/>
          </w:tcPr>
          <w:p w14:paraId="27EB0C21" w14:textId="77777777" w:rsidR="0016448E" w:rsidRPr="0016448E" w:rsidRDefault="0016448E" w:rsidP="0016448E">
            <w:pPr>
              <w:keepNext/>
              <w:keepLines/>
              <w:spacing w:before="60" w:after="60"/>
              <w:jc w:val="right"/>
              <w:rPr>
                <w:sz w:val="16"/>
                <w:szCs w:val="16"/>
              </w:rPr>
            </w:pPr>
            <w:r w:rsidRPr="0016448E">
              <w:rPr>
                <w:sz w:val="16"/>
                <w:szCs w:val="16"/>
              </w:rPr>
              <w:t>3.8%</w:t>
            </w:r>
          </w:p>
        </w:tc>
        <w:tc>
          <w:tcPr>
            <w:tcW w:w="1064" w:type="dxa"/>
            <w:vAlign w:val="center"/>
          </w:tcPr>
          <w:p w14:paraId="7F3D2487" w14:textId="77777777" w:rsidR="0016448E" w:rsidRPr="0016448E" w:rsidRDefault="0016448E" w:rsidP="0016448E">
            <w:pPr>
              <w:keepNext/>
              <w:keepLines/>
              <w:spacing w:before="60" w:after="60"/>
              <w:jc w:val="right"/>
              <w:rPr>
                <w:sz w:val="16"/>
                <w:szCs w:val="16"/>
              </w:rPr>
            </w:pPr>
            <w:r w:rsidRPr="0016448E">
              <w:rPr>
                <w:sz w:val="16"/>
                <w:szCs w:val="16"/>
              </w:rPr>
              <w:t>4.352</w:t>
            </w:r>
          </w:p>
        </w:tc>
        <w:tc>
          <w:tcPr>
            <w:tcW w:w="1063" w:type="dxa"/>
          </w:tcPr>
          <w:p w14:paraId="67AF4760" w14:textId="77777777" w:rsidR="0016448E" w:rsidRPr="0016448E" w:rsidRDefault="0016448E" w:rsidP="0016448E">
            <w:pPr>
              <w:keepNext/>
              <w:keepLines/>
              <w:spacing w:before="60" w:after="60"/>
              <w:jc w:val="right"/>
              <w:rPr>
                <w:sz w:val="16"/>
                <w:szCs w:val="16"/>
              </w:rPr>
            </w:pPr>
            <w:r w:rsidRPr="0016448E">
              <w:rPr>
                <w:sz w:val="16"/>
                <w:szCs w:val="16"/>
              </w:rPr>
              <w:t>8.3%</w:t>
            </w:r>
          </w:p>
        </w:tc>
        <w:tc>
          <w:tcPr>
            <w:tcW w:w="1063" w:type="dxa"/>
            <w:vAlign w:val="center"/>
          </w:tcPr>
          <w:p w14:paraId="4A52234A" w14:textId="77777777" w:rsidR="0016448E" w:rsidRPr="0016448E" w:rsidRDefault="0016448E" w:rsidP="0016448E">
            <w:pPr>
              <w:keepNext/>
              <w:keepLines/>
              <w:spacing w:before="60" w:after="60"/>
              <w:jc w:val="right"/>
              <w:rPr>
                <w:sz w:val="16"/>
                <w:szCs w:val="16"/>
              </w:rPr>
            </w:pPr>
            <w:r w:rsidRPr="0016448E">
              <w:rPr>
                <w:sz w:val="16"/>
                <w:szCs w:val="16"/>
              </w:rPr>
              <w:t>5.866</w:t>
            </w:r>
          </w:p>
        </w:tc>
        <w:tc>
          <w:tcPr>
            <w:tcW w:w="1064" w:type="dxa"/>
          </w:tcPr>
          <w:p w14:paraId="4C20998F" w14:textId="77777777" w:rsidR="0016448E" w:rsidRPr="0016448E" w:rsidRDefault="0016448E" w:rsidP="0016448E">
            <w:pPr>
              <w:keepNext/>
              <w:keepLines/>
              <w:spacing w:before="60" w:after="60"/>
              <w:jc w:val="right"/>
              <w:rPr>
                <w:sz w:val="16"/>
                <w:szCs w:val="16"/>
              </w:rPr>
            </w:pPr>
            <w:r w:rsidRPr="0016448E">
              <w:rPr>
                <w:sz w:val="16"/>
                <w:szCs w:val="16"/>
              </w:rPr>
              <w:t>6.4%</w:t>
            </w:r>
          </w:p>
        </w:tc>
      </w:tr>
      <w:tr w:rsidR="0016448E" w:rsidRPr="0016448E" w14:paraId="2737F321" w14:textId="77777777" w:rsidTr="00841651">
        <w:tc>
          <w:tcPr>
            <w:tcW w:w="1063" w:type="dxa"/>
          </w:tcPr>
          <w:p w14:paraId="0D56A4CC" w14:textId="77777777" w:rsidR="0016448E" w:rsidRPr="0016448E" w:rsidRDefault="0016448E" w:rsidP="0016448E">
            <w:pPr>
              <w:keepNext/>
              <w:keepLines/>
              <w:tabs>
                <w:tab w:val="left" w:pos="174"/>
              </w:tabs>
              <w:spacing w:before="60" w:after="60"/>
              <w:jc w:val="left"/>
              <w:rPr>
                <w:b/>
                <w:bCs/>
                <w:sz w:val="16"/>
                <w:szCs w:val="16"/>
              </w:rPr>
            </w:pPr>
            <w:r w:rsidRPr="0016448E">
              <w:rPr>
                <w:b/>
                <w:bCs/>
                <w:sz w:val="16"/>
                <w:szCs w:val="16"/>
              </w:rPr>
              <w:t>to 40%</w:t>
            </w:r>
          </w:p>
        </w:tc>
        <w:tc>
          <w:tcPr>
            <w:tcW w:w="1063" w:type="dxa"/>
            <w:shd w:val="clear" w:color="auto" w:fill="auto"/>
            <w:vAlign w:val="bottom"/>
          </w:tcPr>
          <w:p w14:paraId="4FFCD3E4" w14:textId="77777777" w:rsidR="0016448E" w:rsidRPr="0016448E" w:rsidRDefault="0016448E" w:rsidP="0016448E">
            <w:pPr>
              <w:keepNext/>
              <w:keepLines/>
              <w:spacing w:before="60" w:after="60"/>
              <w:jc w:val="right"/>
              <w:rPr>
                <w:sz w:val="16"/>
                <w:szCs w:val="16"/>
              </w:rPr>
            </w:pPr>
            <w:r w:rsidRPr="0016448E">
              <w:rPr>
                <w:sz w:val="16"/>
                <w:szCs w:val="16"/>
              </w:rPr>
              <w:t>44</w:t>
            </w:r>
          </w:p>
        </w:tc>
        <w:tc>
          <w:tcPr>
            <w:tcW w:w="1064" w:type="dxa"/>
            <w:shd w:val="clear" w:color="auto" w:fill="auto"/>
          </w:tcPr>
          <w:p w14:paraId="3159AAFE" w14:textId="77777777" w:rsidR="0016448E" w:rsidRPr="0016448E" w:rsidRDefault="0016448E" w:rsidP="0016448E">
            <w:pPr>
              <w:keepNext/>
              <w:keepLines/>
              <w:spacing w:before="60" w:after="60"/>
              <w:jc w:val="right"/>
              <w:rPr>
                <w:sz w:val="16"/>
                <w:szCs w:val="16"/>
              </w:rPr>
            </w:pPr>
            <w:r w:rsidRPr="0016448E">
              <w:rPr>
                <w:sz w:val="16"/>
                <w:szCs w:val="16"/>
              </w:rPr>
              <w:t>7.5%</w:t>
            </w:r>
          </w:p>
        </w:tc>
        <w:tc>
          <w:tcPr>
            <w:tcW w:w="1063" w:type="dxa"/>
            <w:shd w:val="clear" w:color="auto" w:fill="auto"/>
            <w:vAlign w:val="center"/>
          </w:tcPr>
          <w:p w14:paraId="5801B1F5" w14:textId="77777777" w:rsidR="0016448E" w:rsidRPr="0016448E" w:rsidRDefault="0016448E" w:rsidP="0016448E">
            <w:pPr>
              <w:keepNext/>
              <w:keepLines/>
              <w:spacing w:before="60" w:after="60"/>
              <w:jc w:val="right"/>
              <w:rPr>
                <w:sz w:val="16"/>
                <w:szCs w:val="16"/>
              </w:rPr>
            </w:pPr>
            <w:r w:rsidRPr="0016448E">
              <w:rPr>
                <w:sz w:val="16"/>
                <w:szCs w:val="16"/>
              </w:rPr>
              <w:t>4.697</w:t>
            </w:r>
          </w:p>
        </w:tc>
        <w:tc>
          <w:tcPr>
            <w:tcW w:w="1063" w:type="dxa"/>
            <w:shd w:val="clear" w:color="auto" w:fill="auto"/>
          </w:tcPr>
          <w:p w14:paraId="5414DC1E" w14:textId="77777777" w:rsidR="0016448E" w:rsidRPr="0016448E" w:rsidRDefault="0016448E" w:rsidP="0016448E">
            <w:pPr>
              <w:keepNext/>
              <w:keepLines/>
              <w:spacing w:before="60" w:after="60"/>
              <w:jc w:val="right"/>
              <w:rPr>
                <w:sz w:val="16"/>
                <w:szCs w:val="16"/>
              </w:rPr>
            </w:pPr>
            <w:r w:rsidRPr="0016448E">
              <w:rPr>
                <w:sz w:val="16"/>
                <w:szCs w:val="16"/>
              </w:rPr>
              <w:t>11.9%</w:t>
            </w:r>
          </w:p>
        </w:tc>
        <w:tc>
          <w:tcPr>
            <w:tcW w:w="1064" w:type="dxa"/>
            <w:shd w:val="clear" w:color="auto" w:fill="auto"/>
            <w:vAlign w:val="center"/>
          </w:tcPr>
          <w:p w14:paraId="3F4D5C1E" w14:textId="77777777" w:rsidR="0016448E" w:rsidRPr="0016448E" w:rsidRDefault="0016448E" w:rsidP="0016448E">
            <w:pPr>
              <w:keepNext/>
              <w:keepLines/>
              <w:spacing w:before="60" w:after="60"/>
              <w:jc w:val="right"/>
              <w:rPr>
                <w:sz w:val="16"/>
                <w:szCs w:val="16"/>
              </w:rPr>
            </w:pPr>
            <w:r w:rsidRPr="0016448E">
              <w:rPr>
                <w:sz w:val="16"/>
                <w:szCs w:val="16"/>
              </w:rPr>
              <w:t>9.043</w:t>
            </w:r>
          </w:p>
        </w:tc>
        <w:tc>
          <w:tcPr>
            <w:tcW w:w="1063" w:type="dxa"/>
            <w:shd w:val="clear" w:color="auto" w:fill="auto"/>
          </w:tcPr>
          <w:p w14:paraId="15D3AFFC" w14:textId="77777777" w:rsidR="0016448E" w:rsidRPr="0016448E" w:rsidRDefault="0016448E" w:rsidP="0016448E">
            <w:pPr>
              <w:keepNext/>
              <w:keepLines/>
              <w:spacing w:before="60" w:after="60"/>
              <w:jc w:val="right"/>
              <w:rPr>
                <w:sz w:val="16"/>
                <w:szCs w:val="16"/>
              </w:rPr>
            </w:pPr>
            <w:r w:rsidRPr="0016448E">
              <w:rPr>
                <w:sz w:val="16"/>
                <w:szCs w:val="16"/>
              </w:rPr>
              <w:t>17.3%</w:t>
            </w:r>
          </w:p>
        </w:tc>
        <w:tc>
          <w:tcPr>
            <w:tcW w:w="1063" w:type="dxa"/>
            <w:shd w:val="clear" w:color="auto" w:fill="auto"/>
            <w:vAlign w:val="center"/>
          </w:tcPr>
          <w:p w14:paraId="75131C27" w14:textId="77777777" w:rsidR="0016448E" w:rsidRPr="0016448E" w:rsidRDefault="0016448E" w:rsidP="0016448E">
            <w:pPr>
              <w:keepNext/>
              <w:keepLines/>
              <w:spacing w:before="60" w:after="60"/>
              <w:jc w:val="right"/>
              <w:rPr>
                <w:sz w:val="16"/>
                <w:szCs w:val="16"/>
              </w:rPr>
            </w:pPr>
            <w:r w:rsidRPr="0016448E">
              <w:rPr>
                <w:sz w:val="16"/>
                <w:szCs w:val="16"/>
              </w:rPr>
              <w:t>13.740</w:t>
            </w:r>
          </w:p>
        </w:tc>
        <w:tc>
          <w:tcPr>
            <w:tcW w:w="1064" w:type="dxa"/>
            <w:shd w:val="clear" w:color="auto" w:fill="auto"/>
          </w:tcPr>
          <w:p w14:paraId="792BFA8D" w14:textId="77777777" w:rsidR="0016448E" w:rsidRPr="0016448E" w:rsidRDefault="0016448E" w:rsidP="0016448E">
            <w:pPr>
              <w:keepNext/>
              <w:keepLines/>
              <w:spacing w:before="60" w:after="60"/>
              <w:jc w:val="right"/>
              <w:rPr>
                <w:sz w:val="16"/>
                <w:szCs w:val="16"/>
              </w:rPr>
            </w:pPr>
            <w:r w:rsidRPr="0016448E">
              <w:rPr>
                <w:sz w:val="16"/>
                <w:szCs w:val="16"/>
              </w:rPr>
              <w:t>15.0%</w:t>
            </w:r>
          </w:p>
        </w:tc>
      </w:tr>
      <w:tr w:rsidR="0016448E" w:rsidRPr="0016448E" w14:paraId="5388DC6D" w14:textId="77777777" w:rsidTr="00841651">
        <w:tc>
          <w:tcPr>
            <w:tcW w:w="1063" w:type="dxa"/>
            <w:shd w:val="clear" w:color="auto" w:fill="BFBFBF" w:themeFill="background1" w:themeFillShade="BF"/>
          </w:tcPr>
          <w:p w14:paraId="2876EEDD" w14:textId="77777777" w:rsidR="0016448E" w:rsidRPr="0016448E" w:rsidRDefault="0016448E" w:rsidP="0016448E">
            <w:pPr>
              <w:keepNext/>
              <w:keepLines/>
              <w:tabs>
                <w:tab w:val="left" w:pos="174"/>
              </w:tabs>
              <w:spacing w:before="60" w:after="60"/>
              <w:jc w:val="left"/>
              <w:rPr>
                <w:b/>
                <w:bCs/>
                <w:sz w:val="16"/>
                <w:szCs w:val="16"/>
              </w:rPr>
            </w:pPr>
            <w:r w:rsidRPr="0016448E">
              <w:rPr>
                <w:b/>
                <w:bCs/>
                <w:sz w:val="16"/>
                <w:szCs w:val="16"/>
              </w:rPr>
              <w:t>to 50%</w:t>
            </w:r>
          </w:p>
        </w:tc>
        <w:tc>
          <w:tcPr>
            <w:tcW w:w="1063" w:type="dxa"/>
            <w:shd w:val="clear" w:color="auto" w:fill="BFBFBF" w:themeFill="background1" w:themeFillShade="BF"/>
            <w:vAlign w:val="bottom"/>
          </w:tcPr>
          <w:p w14:paraId="75B65EC3" w14:textId="77777777" w:rsidR="0016448E" w:rsidRPr="0016448E" w:rsidRDefault="0016448E" w:rsidP="0016448E">
            <w:pPr>
              <w:keepNext/>
              <w:keepLines/>
              <w:spacing w:before="60" w:after="60"/>
              <w:jc w:val="right"/>
              <w:rPr>
                <w:sz w:val="16"/>
                <w:szCs w:val="16"/>
              </w:rPr>
            </w:pPr>
            <w:r w:rsidRPr="0016448E">
              <w:rPr>
                <w:sz w:val="16"/>
                <w:szCs w:val="16"/>
              </w:rPr>
              <w:t>31</w:t>
            </w:r>
          </w:p>
        </w:tc>
        <w:tc>
          <w:tcPr>
            <w:tcW w:w="1064" w:type="dxa"/>
            <w:shd w:val="clear" w:color="auto" w:fill="BFBFBF" w:themeFill="background1" w:themeFillShade="BF"/>
          </w:tcPr>
          <w:p w14:paraId="705E4DCE" w14:textId="77777777" w:rsidR="0016448E" w:rsidRPr="0016448E" w:rsidRDefault="0016448E" w:rsidP="0016448E">
            <w:pPr>
              <w:keepNext/>
              <w:keepLines/>
              <w:spacing w:before="60" w:after="60"/>
              <w:jc w:val="right"/>
              <w:rPr>
                <w:sz w:val="16"/>
                <w:szCs w:val="16"/>
              </w:rPr>
            </w:pPr>
            <w:r w:rsidRPr="0016448E">
              <w:rPr>
                <w:sz w:val="16"/>
                <w:szCs w:val="16"/>
              </w:rPr>
              <w:t>5.3%</w:t>
            </w:r>
          </w:p>
        </w:tc>
        <w:tc>
          <w:tcPr>
            <w:tcW w:w="1063" w:type="dxa"/>
            <w:shd w:val="clear" w:color="auto" w:fill="BFBFBF" w:themeFill="background1" w:themeFillShade="BF"/>
            <w:vAlign w:val="center"/>
          </w:tcPr>
          <w:p w14:paraId="6CDBD87C" w14:textId="77777777" w:rsidR="0016448E" w:rsidRPr="0016448E" w:rsidRDefault="0016448E" w:rsidP="0016448E">
            <w:pPr>
              <w:keepNext/>
              <w:keepLines/>
              <w:spacing w:before="60" w:after="60"/>
              <w:jc w:val="right"/>
              <w:rPr>
                <w:sz w:val="16"/>
                <w:szCs w:val="16"/>
              </w:rPr>
            </w:pPr>
            <w:r w:rsidRPr="0016448E">
              <w:rPr>
                <w:sz w:val="16"/>
                <w:szCs w:val="16"/>
              </w:rPr>
              <w:t>2.516</w:t>
            </w:r>
          </w:p>
        </w:tc>
        <w:tc>
          <w:tcPr>
            <w:tcW w:w="1063" w:type="dxa"/>
            <w:shd w:val="clear" w:color="auto" w:fill="BFBFBF" w:themeFill="background1" w:themeFillShade="BF"/>
          </w:tcPr>
          <w:p w14:paraId="490D089A" w14:textId="77777777" w:rsidR="0016448E" w:rsidRPr="0016448E" w:rsidRDefault="0016448E" w:rsidP="0016448E">
            <w:pPr>
              <w:keepNext/>
              <w:keepLines/>
              <w:spacing w:before="60" w:after="60"/>
              <w:jc w:val="right"/>
              <w:rPr>
                <w:sz w:val="16"/>
                <w:szCs w:val="16"/>
              </w:rPr>
            </w:pPr>
            <w:r w:rsidRPr="0016448E">
              <w:rPr>
                <w:sz w:val="16"/>
                <w:szCs w:val="16"/>
              </w:rPr>
              <w:t>6.4%</w:t>
            </w:r>
          </w:p>
        </w:tc>
        <w:tc>
          <w:tcPr>
            <w:tcW w:w="1064" w:type="dxa"/>
            <w:shd w:val="clear" w:color="auto" w:fill="BFBFBF" w:themeFill="background1" w:themeFillShade="BF"/>
            <w:vAlign w:val="center"/>
          </w:tcPr>
          <w:p w14:paraId="140FEA05" w14:textId="77777777" w:rsidR="0016448E" w:rsidRPr="0016448E" w:rsidRDefault="0016448E" w:rsidP="0016448E">
            <w:pPr>
              <w:keepNext/>
              <w:keepLines/>
              <w:spacing w:before="60" w:after="60"/>
              <w:jc w:val="right"/>
              <w:rPr>
                <w:sz w:val="16"/>
                <w:szCs w:val="16"/>
              </w:rPr>
            </w:pPr>
            <w:r w:rsidRPr="0016448E">
              <w:rPr>
                <w:sz w:val="16"/>
                <w:szCs w:val="16"/>
              </w:rPr>
              <w:t>2.866</w:t>
            </w:r>
          </w:p>
        </w:tc>
        <w:tc>
          <w:tcPr>
            <w:tcW w:w="1063" w:type="dxa"/>
            <w:shd w:val="clear" w:color="auto" w:fill="BFBFBF" w:themeFill="background1" w:themeFillShade="BF"/>
          </w:tcPr>
          <w:p w14:paraId="41916EC6" w14:textId="77777777" w:rsidR="0016448E" w:rsidRPr="0016448E" w:rsidRDefault="0016448E" w:rsidP="0016448E">
            <w:pPr>
              <w:keepNext/>
              <w:keepLines/>
              <w:spacing w:before="60" w:after="60"/>
              <w:jc w:val="right"/>
              <w:rPr>
                <w:sz w:val="16"/>
                <w:szCs w:val="16"/>
              </w:rPr>
            </w:pPr>
            <w:r w:rsidRPr="0016448E">
              <w:rPr>
                <w:sz w:val="16"/>
                <w:szCs w:val="16"/>
              </w:rPr>
              <w:t>5.5%</w:t>
            </w:r>
          </w:p>
        </w:tc>
        <w:tc>
          <w:tcPr>
            <w:tcW w:w="1063" w:type="dxa"/>
            <w:shd w:val="clear" w:color="auto" w:fill="BFBFBF" w:themeFill="background1" w:themeFillShade="BF"/>
            <w:vAlign w:val="center"/>
          </w:tcPr>
          <w:p w14:paraId="03537B2C" w14:textId="77777777" w:rsidR="0016448E" w:rsidRPr="0016448E" w:rsidRDefault="0016448E" w:rsidP="0016448E">
            <w:pPr>
              <w:keepNext/>
              <w:keepLines/>
              <w:spacing w:before="60" w:after="60"/>
              <w:jc w:val="right"/>
              <w:rPr>
                <w:sz w:val="16"/>
                <w:szCs w:val="16"/>
              </w:rPr>
            </w:pPr>
            <w:r w:rsidRPr="0016448E">
              <w:rPr>
                <w:sz w:val="16"/>
                <w:szCs w:val="16"/>
              </w:rPr>
              <w:t>5.383</w:t>
            </w:r>
          </w:p>
        </w:tc>
        <w:tc>
          <w:tcPr>
            <w:tcW w:w="1064" w:type="dxa"/>
            <w:shd w:val="clear" w:color="auto" w:fill="BFBFBF" w:themeFill="background1" w:themeFillShade="BF"/>
          </w:tcPr>
          <w:p w14:paraId="34A90746" w14:textId="77777777" w:rsidR="0016448E" w:rsidRPr="0016448E" w:rsidRDefault="0016448E" w:rsidP="0016448E">
            <w:pPr>
              <w:keepNext/>
              <w:keepLines/>
              <w:spacing w:before="60" w:after="60"/>
              <w:jc w:val="right"/>
              <w:rPr>
                <w:sz w:val="16"/>
                <w:szCs w:val="16"/>
              </w:rPr>
            </w:pPr>
            <w:r w:rsidRPr="0016448E">
              <w:rPr>
                <w:sz w:val="16"/>
                <w:szCs w:val="16"/>
              </w:rPr>
              <w:t>5.9%</w:t>
            </w:r>
          </w:p>
        </w:tc>
      </w:tr>
      <w:tr w:rsidR="0016448E" w:rsidRPr="0016448E" w14:paraId="50115004" w14:textId="77777777" w:rsidTr="00841651">
        <w:tc>
          <w:tcPr>
            <w:tcW w:w="1063" w:type="dxa"/>
            <w:shd w:val="clear" w:color="auto" w:fill="BFBFBF" w:themeFill="background1" w:themeFillShade="BF"/>
          </w:tcPr>
          <w:p w14:paraId="447D23D4" w14:textId="77777777" w:rsidR="0016448E" w:rsidRPr="0016448E" w:rsidRDefault="0016448E" w:rsidP="0016448E">
            <w:pPr>
              <w:keepNext/>
              <w:keepLines/>
              <w:tabs>
                <w:tab w:val="left" w:pos="174"/>
              </w:tabs>
              <w:spacing w:before="60" w:after="60"/>
              <w:jc w:val="left"/>
              <w:rPr>
                <w:b/>
                <w:bCs/>
                <w:sz w:val="16"/>
                <w:szCs w:val="16"/>
              </w:rPr>
            </w:pPr>
            <w:r w:rsidRPr="0016448E">
              <w:rPr>
                <w:b/>
                <w:bCs/>
                <w:sz w:val="16"/>
                <w:szCs w:val="16"/>
              </w:rPr>
              <w:t>to 60%</w:t>
            </w:r>
          </w:p>
        </w:tc>
        <w:tc>
          <w:tcPr>
            <w:tcW w:w="1063" w:type="dxa"/>
            <w:shd w:val="clear" w:color="auto" w:fill="BFBFBF" w:themeFill="background1" w:themeFillShade="BF"/>
            <w:vAlign w:val="bottom"/>
          </w:tcPr>
          <w:p w14:paraId="0FD45AE1" w14:textId="77777777" w:rsidR="0016448E" w:rsidRPr="0016448E" w:rsidRDefault="0016448E" w:rsidP="0016448E">
            <w:pPr>
              <w:keepNext/>
              <w:keepLines/>
              <w:spacing w:before="60" w:after="60"/>
              <w:jc w:val="right"/>
              <w:rPr>
                <w:sz w:val="16"/>
                <w:szCs w:val="16"/>
              </w:rPr>
            </w:pPr>
            <w:r w:rsidRPr="0016448E">
              <w:rPr>
                <w:sz w:val="16"/>
                <w:szCs w:val="16"/>
              </w:rPr>
              <w:t>55</w:t>
            </w:r>
          </w:p>
        </w:tc>
        <w:tc>
          <w:tcPr>
            <w:tcW w:w="1064" w:type="dxa"/>
            <w:shd w:val="clear" w:color="auto" w:fill="BFBFBF" w:themeFill="background1" w:themeFillShade="BF"/>
          </w:tcPr>
          <w:p w14:paraId="60AF1B90" w14:textId="77777777" w:rsidR="0016448E" w:rsidRPr="0016448E" w:rsidRDefault="0016448E" w:rsidP="0016448E">
            <w:pPr>
              <w:keepNext/>
              <w:keepLines/>
              <w:spacing w:before="60" w:after="60"/>
              <w:jc w:val="right"/>
              <w:rPr>
                <w:sz w:val="16"/>
                <w:szCs w:val="16"/>
              </w:rPr>
            </w:pPr>
            <w:r w:rsidRPr="0016448E">
              <w:rPr>
                <w:sz w:val="16"/>
                <w:szCs w:val="16"/>
              </w:rPr>
              <w:t>9.4%</w:t>
            </w:r>
          </w:p>
        </w:tc>
        <w:tc>
          <w:tcPr>
            <w:tcW w:w="1063" w:type="dxa"/>
            <w:shd w:val="clear" w:color="auto" w:fill="BFBFBF" w:themeFill="background1" w:themeFillShade="BF"/>
            <w:vAlign w:val="center"/>
          </w:tcPr>
          <w:p w14:paraId="38C15B80" w14:textId="77777777" w:rsidR="0016448E" w:rsidRPr="0016448E" w:rsidRDefault="0016448E" w:rsidP="0016448E">
            <w:pPr>
              <w:keepNext/>
              <w:keepLines/>
              <w:spacing w:before="60" w:after="60"/>
              <w:jc w:val="right"/>
              <w:rPr>
                <w:sz w:val="16"/>
                <w:szCs w:val="16"/>
              </w:rPr>
            </w:pPr>
            <w:r w:rsidRPr="0016448E">
              <w:rPr>
                <w:sz w:val="16"/>
                <w:szCs w:val="16"/>
              </w:rPr>
              <w:t>8.445</w:t>
            </w:r>
          </w:p>
        </w:tc>
        <w:tc>
          <w:tcPr>
            <w:tcW w:w="1063" w:type="dxa"/>
            <w:shd w:val="clear" w:color="auto" w:fill="BFBFBF" w:themeFill="background1" w:themeFillShade="BF"/>
          </w:tcPr>
          <w:p w14:paraId="6CDFFE76" w14:textId="77777777" w:rsidR="0016448E" w:rsidRPr="0016448E" w:rsidRDefault="0016448E" w:rsidP="0016448E">
            <w:pPr>
              <w:keepNext/>
              <w:keepLines/>
              <w:spacing w:before="60" w:after="60"/>
              <w:jc w:val="right"/>
              <w:rPr>
                <w:sz w:val="16"/>
                <w:szCs w:val="16"/>
              </w:rPr>
            </w:pPr>
            <w:r w:rsidRPr="0016448E">
              <w:rPr>
                <w:sz w:val="16"/>
                <w:szCs w:val="16"/>
              </w:rPr>
              <w:t>21.4%</w:t>
            </w:r>
          </w:p>
        </w:tc>
        <w:tc>
          <w:tcPr>
            <w:tcW w:w="1064" w:type="dxa"/>
            <w:shd w:val="clear" w:color="auto" w:fill="BFBFBF" w:themeFill="background1" w:themeFillShade="BF"/>
            <w:vAlign w:val="center"/>
          </w:tcPr>
          <w:p w14:paraId="6831E136" w14:textId="77777777" w:rsidR="0016448E" w:rsidRPr="0016448E" w:rsidRDefault="0016448E" w:rsidP="0016448E">
            <w:pPr>
              <w:keepNext/>
              <w:keepLines/>
              <w:spacing w:before="60" w:after="60"/>
              <w:jc w:val="right"/>
              <w:rPr>
                <w:sz w:val="16"/>
                <w:szCs w:val="16"/>
              </w:rPr>
            </w:pPr>
            <w:r w:rsidRPr="0016448E">
              <w:rPr>
                <w:sz w:val="16"/>
                <w:szCs w:val="16"/>
              </w:rPr>
              <w:t>6.748</w:t>
            </w:r>
          </w:p>
        </w:tc>
        <w:tc>
          <w:tcPr>
            <w:tcW w:w="1063" w:type="dxa"/>
            <w:shd w:val="clear" w:color="auto" w:fill="BFBFBF" w:themeFill="background1" w:themeFillShade="BF"/>
          </w:tcPr>
          <w:p w14:paraId="5C99C7A1" w14:textId="77777777" w:rsidR="0016448E" w:rsidRPr="0016448E" w:rsidRDefault="0016448E" w:rsidP="0016448E">
            <w:pPr>
              <w:keepNext/>
              <w:keepLines/>
              <w:spacing w:before="60" w:after="60"/>
              <w:jc w:val="right"/>
              <w:rPr>
                <w:sz w:val="16"/>
                <w:szCs w:val="16"/>
              </w:rPr>
            </w:pPr>
            <w:r w:rsidRPr="0016448E">
              <w:rPr>
                <w:sz w:val="16"/>
                <w:szCs w:val="16"/>
              </w:rPr>
              <w:t>12.9%</w:t>
            </w:r>
          </w:p>
        </w:tc>
        <w:tc>
          <w:tcPr>
            <w:tcW w:w="1063" w:type="dxa"/>
            <w:shd w:val="clear" w:color="auto" w:fill="BFBFBF" w:themeFill="background1" w:themeFillShade="BF"/>
            <w:vAlign w:val="center"/>
          </w:tcPr>
          <w:p w14:paraId="128C64BA" w14:textId="77777777" w:rsidR="0016448E" w:rsidRPr="0016448E" w:rsidRDefault="0016448E" w:rsidP="0016448E">
            <w:pPr>
              <w:keepNext/>
              <w:keepLines/>
              <w:spacing w:before="60" w:after="60"/>
              <w:jc w:val="right"/>
              <w:rPr>
                <w:sz w:val="16"/>
                <w:szCs w:val="16"/>
              </w:rPr>
            </w:pPr>
            <w:r w:rsidRPr="0016448E">
              <w:rPr>
                <w:sz w:val="16"/>
                <w:szCs w:val="16"/>
              </w:rPr>
              <w:t>15.192</w:t>
            </w:r>
          </w:p>
        </w:tc>
        <w:tc>
          <w:tcPr>
            <w:tcW w:w="1064" w:type="dxa"/>
            <w:shd w:val="clear" w:color="auto" w:fill="BFBFBF" w:themeFill="background1" w:themeFillShade="BF"/>
          </w:tcPr>
          <w:p w14:paraId="2F00E300" w14:textId="77777777" w:rsidR="0016448E" w:rsidRPr="0016448E" w:rsidRDefault="0016448E" w:rsidP="0016448E">
            <w:pPr>
              <w:keepNext/>
              <w:keepLines/>
              <w:spacing w:before="60" w:after="60"/>
              <w:jc w:val="right"/>
              <w:rPr>
                <w:sz w:val="16"/>
                <w:szCs w:val="16"/>
              </w:rPr>
            </w:pPr>
            <w:r w:rsidRPr="0016448E">
              <w:rPr>
                <w:sz w:val="16"/>
                <w:szCs w:val="16"/>
              </w:rPr>
              <w:t>16.6%</w:t>
            </w:r>
          </w:p>
        </w:tc>
      </w:tr>
      <w:tr w:rsidR="0016448E" w:rsidRPr="0016448E" w14:paraId="24ECB508" w14:textId="77777777" w:rsidTr="00841651">
        <w:tc>
          <w:tcPr>
            <w:tcW w:w="1063" w:type="dxa"/>
          </w:tcPr>
          <w:p w14:paraId="43377B33" w14:textId="77777777" w:rsidR="0016448E" w:rsidRPr="0016448E" w:rsidRDefault="0016448E" w:rsidP="0016448E">
            <w:pPr>
              <w:keepNext/>
              <w:keepLines/>
              <w:tabs>
                <w:tab w:val="left" w:pos="174"/>
              </w:tabs>
              <w:spacing w:before="60" w:after="60"/>
              <w:jc w:val="left"/>
              <w:rPr>
                <w:b/>
                <w:bCs/>
                <w:sz w:val="16"/>
                <w:szCs w:val="16"/>
              </w:rPr>
            </w:pPr>
            <w:r w:rsidRPr="0016448E">
              <w:rPr>
                <w:b/>
                <w:bCs/>
                <w:sz w:val="16"/>
                <w:szCs w:val="16"/>
              </w:rPr>
              <w:t>to 70%</w:t>
            </w:r>
          </w:p>
        </w:tc>
        <w:tc>
          <w:tcPr>
            <w:tcW w:w="1063" w:type="dxa"/>
            <w:shd w:val="clear" w:color="auto" w:fill="auto"/>
            <w:vAlign w:val="bottom"/>
          </w:tcPr>
          <w:p w14:paraId="427E33E3" w14:textId="77777777" w:rsidR="0016448E" w:rsidRPr="0016448E" w:rsidRDefault="0016448E" w:rsidP="0016448E">
            <w:pPr>
              <w:keepNext/>
              <w:keepLines/>
              <w:spacing w:before="60" w:after="60"/>
              <w:jc w:val="right"/>
              <w:rPr>
                <w:sz w:val="16"/>
                <w:szCs w:val="16"/>
              </w:rPr>
            </w:pPr>
            <w:r w:rsidRPr="0016448E">
              <w:rPr>
                <w:sz w:val="16"/>
                <w:szCs w:val="16"/>
              </w:rPr>
              <w:t>39</w:t>
            </w:r>
          </w:p>
        </w:tc>
        <w:tc>
          <w:tcPr>
            <w:tcW w:w="1064" w:type="dxa"/>
            <w:shd w:val="clear" w:color="auto" w:fill="auto"/>
          </w:tcPr>
          <w:p w14:paraId="7E995591" w14:textId="77777777" w:rsidR="0016448E" w:rsidRPr="0016448E" w:rsidRDefault="0016448E" w:rsidP="0016448E">
            <w:pPr>
              <w:keepNext/>
              <w:keepLines/>
              <w:spacing w:before="60" w:after="60"/>
              <w:jc w:val="right"/>
              <w:rPr>
                <w:sz w:val="16"/>
                <w:szCs w:val="16"/>
              </w:rPr>
            </w:pPr>
            <w:r w:rsidRPr="0016448E">
              <w:rPr>
                <w:sz w:val="16"/>
                <w:szCs w:val="16"/>
              </w:rPr>
              <w:t>6.6%</w:t>
            </w:r>
          </w:p>
        </w:tc>
        <w:tc>
          <w:tcPr>
            <w:tcW w:w="1063" w:type="dxa"/>
            <w:shd w:val="clear" w:color="auto" w:fill="auto"/>
            <w:vAlign w:val="center"/>
          </w:tcPr>
          <w:p w14:paraId="5B748E2A" w14:textId="77777777" w:rsidR="0016448E" w:rsidRPr="0016448E" w:rsidRDefault="0016448E" w:rsidP="0016448E">
            <w:pPr>
              <w:keepNext/>
              <w:keepLines/>
              <w:spacing w:before="60" w:after="60"/>
              <w:jc w:val="right"/>
              <w:rPr>
                <w:sz w:val="16"/>
                <w:szCs w:val="16"/>
              </w:rPr>
            </w:pPr>
            <w:r w:rsidRPr="0016448E">
              <w:rPr>
                <w:sz w:val="16"/>
                <w:szCs w:val="16"/>
              </w:rPr>
              <w:t>8.294</w:t>
            </w:r>
          </w:p>
        </w:tc>
        <w:tc>
          <w:tcPr>
            <w:tcW w:w="1063" w:type="dxa"/>
            <w:shd w:val="clear" w:color="auto" w:fill="auto"/>
          </w:tcPr>
          <w:p w14:paraId="217ED014" w14:textId="77777777" w:rsidR="0016448E" w:rsidRPr="0016448E" w:rsidRDefault="0016448E" w:rsidP="0016448E">
            <w:pPr>
              <w:keepNext/>
              <w:keepLines/>
              <w:spacing w:before="60" w:after="60"/>
              <w:jc w:val="right"/>
              <w:rPr>
                <w:sz w:val="16"/>
                <w:szCs w:val="16"/>
              </w:rPr>
            </w:pPr>
            <w:r w:rsidRPr="0016448E">
              <w:rPr>
                <w:sz w:val="16"/>
                <w:szCs w:val="16"/>
              </w:rPr>
              <w:t>21.0%</w:t>
            </w:r>
          </w:p>
        </w:tc>
        <w:tc>
          <w:tcPr>
            <w:tcW w:w="1064" w:type="dxa"/>
            <w:shd w:val="clear" w:color="auto" w:fill="auto"/>
            <w:vAlign w:val="center"/>
          </w:tcPr>
          <w:p w14:paraId="19015B8C" w14:textId="77777777" w:rsidR="0016448E" w:rsidRPr="0016448E" w:rsidRDefault="0016448E" w:rsidP="0016448E">
            <w:pPr>
              <w:keepNext/>
              <w:keepLines/>
              <w:spacing w:before="60" w:after="60"/>
              <w:jc w:val="right"/>
              <w:rPr>
                <w:sz w:val="16"/>
                <w:szCs w:val="16"/>
              </w:rPr>
            </w:pPr>
            <w:r w:rsidRPr="0016448E">
              <w:rPr>
                <w:sz w:val="16"/>
                <w:szCs w:val="16"/>
              </w:rPr>
              <w:t>4.549</w:t>
            </w:r>
          </w:p>
        </w:tc>
        <w:tc>
          <w:tcPr>
            <w:tcW w:w="1063" w:type="dxa"/>
            <w:shd w:val="clear" w:color="auto" w:fill="auto"/>
          </w:tcPr>
          <w:p w14:paraId="6421B9E3" w14:textId="77777777" w:rsidR="0016448E" w:rsidRPr="0016448E" w:rsidRDefault="0016448E" w:rsidP="0016448E">
            <w:pPr>
              <w:keepNext/>
              <w:keepLines/>
              <w:spacing w:before="60" w:after="60"/>
              <w:jc w:val="right"/>
              <w:rPr>
                <w:sz w:val="16"/>
                <w:szCs w:val="16"/>
              </w:rPr>
            </w:pPr>
            <w:r w:rsidRPr="0016448E">
              <w:rPr>
                <w:sz w:val="16"/>
                <w:szCs w:val="16"/>
              </w:rPr>
              <w:t>8.7%</w:t>
            </w:r>
          </w:p>
        </w:tc>
        <w:tc>
          <w:tcPr>
            <w:tcW w:w="1063" w:type="dxa"/>
            <w:shd w:val="clear" w:color="auto" w:fill="auto"/>
            <w:vAlign w:val="center"/>
          </w:tcPr>
          <w:p w14:paraId="7CE523DC" w14:textId="77777777" w:rsidR="0016448E" w:rsidRPr="0016448E" w:rsidRDefault="0016448E" w:rsidP="0016448E">
            <w:pPr>
              <w:keepNext/>
              <w:keepLines/>
              <w:spacing w:before="60" w:after="60"/>
              <w:jc w:val="right"/>
              <w:rPr>
                <w:sz w:val="16"/>
                <w:szCs w:val="16"/>
              </w:rPr>
            </w:pPr>
            <w:r w:rsidRPr="0016448E">
              <w:rPr>
                <w:sz w:val="16"/>
                <w:szCs w:val="16"/>
              </w:rPr>
              <w:t>12.842</w:t>
            </w:r>
          </w:p>
        </w:tc>
        <w:tc>
          <w:tcPr>
            <w:tcW w:w="1064" w:type="dxa"/>
            <w:shd w:val="clear" w:color="auto" w:fill="auto"/>
          </w:tcPr>
          <w:p w14:paraId="7D9DAC6C" w14:textId="77777777" w:rsidR="0016448E" w:rsidRPr="0016448E" w:rsidRDefault="0016448E" w:rsidP="0016448E">
            <w:pPr>
              <w:keepNext/>
              <w:keepLines/>
              <w:spacing w:before="60" w:after="60"/>
              <w:jc w:val="right"/>
              <w:rPr>
                <w:sz w:val="16"/>
                <w:szCs w:val="16"/>
              </w:rPr>
            </w:pPr>
            <w:r w:rsidRPr="0016448E">
              <w:rPr>
                <w:sz w:val="16"/>
                <w:szCs w:val="16"/>
              </w:rPr>
              <w:t>14.0%</w:t>
            </w:r>
          </w:p>
        </w:tc>
      </w:tr>
      <w:tr w:rsidR="0016448E" w:rsidRPr="0016448E" w14:paraId="471A1068" w14:textId="77777777" w:rsidTr="00841651">
        <w:tc>
          <w:tcPr>
            <w:tcW w:w="1063" w:type="dxa"/>
          </w:tcPr>
          <w:p w14:paraId="27E9A8E2" w14:textId="77777777" w:rsidR="0016448E" w:rsidRPr="0016448E" w:rsidRDefault="0016448E" w:rsidP="0016448E">
            <w:pPr>
              <w:keepNext/>
              <w:keepLines/>
              <w:tabs>
                <w:tab w:val="left" w:pos="174"/>
              </w:tabs>
              <w:spacing w:before="60" w:after="60"/>
              <w:jc w:val="left"/>
              <w:rPr>
                <w:b/>
                <w:bCs/>
                <w:sz w:val="16"/>
                <w:szCs w:val="16"/>
              </w:rPr>
            </w:pPr>
            <w:r w:rsidRPr="0016448E">
              <w:rPr>
                <w:b/>
                <w:bCs/>
                <w:sz w:val="16"/>
                <w:szCs w:val="16"/>
              </w:rPr>
              <w:t>to 80%</w:t>
            </w:r>
          </w:p>
        </w:tc>
        <w:tc>
          <w:tcPr>
            <w:tcW w:w="1063" w:type="dxa"/>
            <w:shd w:val="clear" w:color="auto" w:fill="auto"/>
            <w:vAlign w:val="bottom"/>
          </w:tcPr>
          <w:p w14:paraId="4A00A9B0" w14:textId="77777777" w:rsidR="0016448E" w:rsidRPr="0016448E" w:rsidRDefault="0016448E" w:rsidP="0016448E">
            <w:pPr>
              <w:keepNext/>
              <w:keepLines/>
              <w:spacing w:before="60" w:after="60"/>
              <w:jc w:val="right"/>
              <w:rPr>
                <w:sz w:val="16"/>
                <w:szCs w:val="16"/>
              </w:rPr>
            </w:pPr>
            <w:r w:rsidRPr="0016448E">
              <w:rPr>
                <w:sz w:val="16"/>
                <w:szCs w:val="16"/>
              </w:rPr>
              <w:t>19</w:t>
            </w:r>
          </w:p>
        </w:tc>
        <w:tc>
          <w:tcPr>
            <w:tcW w:w="1064" w:type="dxa"/>
            <w:shd w:val="clear" w:color="auto" w:fill="auto"/>
          </w:tcPr>
          <w:p w14:paraId="167A98A3" w14:textId="77777777" w:rsidR="0016448E" w:rsidRPr="0016448E" w:rsidRDefault="0016448E" w:rsidP="0016448E">
            <w:pPr>
              <w:keepNext/>
              <w:keepLines/>
              <w:spacing w:before="60" w:after="60"/>
              <w:jc w:val="right"/>
              <w:rPr>
                <w:sz w:val="16"/>
                <w:szCs w:val="16"/>
              </w:rPr>
            </w:pPr>
            <w:r w:rsidRPr="0016448E">
              <w:rPr>
                <w:sz w:val="16"/>
                <w:szCs w:val="16"/>
              </w:rPr>
              <w:t>3.2%</w:t>
            </w:r>
          </w:p>
        </w:tc>
        <w:tc>
          <w:tcPr>
            <w:tcW w:w="1063" w:type="dxa"/>
            <w:shd w:val="clear" w:color="auto" w:fill="auto"/>
            <w:vAlign w:val="center"/>
          </w:tcPr>
          <w:p w14:paraId="783E5491" w14:textId="77777777" w:rsidR="0016448E" w:rsidRPr="0016448E" w:rsidRDefault="0016448E" w:rsidP="0016448E">
            <w:pPr>
              <w:keepNext/>
              <w:keepLines/>
              <w:spacing w:before="60" w:after="60"/>
              <w:jc w:val="right"/>
              <w:rPr>
                <w:sz w:val="16"/>
                <w:szCs w:val="16"/>
              </w:rPr>
            </w:pPr>
            <w:r w:rsidRPr="0016448E">
              <w:rPr>
                <w:sz w:val="16"/>
                <w:szCs w:val="16"/>
              </w:rPr>
              <w:t>1.835</w:t>
            </w:r>
          </w:p>
        </w:tc>
        <w:tc>
          <w:tcPr>
            <w:tcW w:w="1063" w:type="dxa"/>
            <w:shd w:val="clear" w:color="auto" w:fill="auto"/>
          </w:tcPr>
          <w:p w14:paraId="0A3F3717" w14:textId="77777777" w:rsidR="0016448E" w:rsidRPr="0016448E" w:rsidRDefault="0016448E" w:rsidP="0016448E">
            <w:pPr>
              <w:keepNext/>
              <w:keepLines/>
              <w:spacing w:before="60" w:after="60"/>
              <w:jc w:val="right"/>
              <w:rPr>
                <w:sz w:val="16"/>
                <w:szCs w:val="16"/>
              </w:rPr>
            </w:pPr>
            <w:r w:rsidRPr="0016448E">
              <w:rPr>
                <w:sz w:val="16"/>
                <w:szCs w:val="16"/>
              </w:rPr>
              <w:t>4.6%</w:t>
            </w:r>
          </w:p>
        </w:tc>
        <w:tc>
          <w:tcPr>
            <w:tcW w:w="1064" w:type="dxa"/>
            <w:shd w:val="clear" w:color="auto" w:fill="auto"/>
            <w:vAlign w:val="center"/>
          </w:tcPr>
          <w:p w14:paraId="36311CF0" w14:textId="77777777" w:rsidR="0016448E" w:rsidRPr="0016448E" w:rsidRDefault="0016448E" w:rsidP="0016448E">
            <w:pPr>
              <w:keepNext/>
              <w:keepLines/>
              <w:spacing w:before="60" w:after="60"/>
              <w:jc w:val="right"/>
              <w:rPr>
                <w:sz w:val="16"/>
                <w:szCs w:val="16"/>
              </w:rPr>
            </w:pPr>
            <w:r w:rsidRPr="0016448E">
              <w:rPr>
                <w:sz w:val="16"/>
                <w:szCs w:val="16"/>
              </w:rPr>
              <w:t>0.586</w:t>
            </w:r>
          </w:p>
        </w:tc>
        <w:tc>
          <w:tcPr>
            <w:tcW w:w="1063" w:type="dxa"/>
            <w:shd w:val="clear" w:color="auto" w:fill="auto"/>
          </w:tcPr>
          <w:p w14:paraId="152FE3C7" w14:textId="77777777" w:rsidR="0016448E" w:rsidRPr="0016448E" w:rsidRDefault="0016448E" w:rsidP="0016448E">
            <w:pPr>
              <w:keepNext/>
              <w:keepLines/>
              <w:spacing w:before="60" w:after="60"/>
              <w:jc w:val="right"/>
              <w:rPr>
                <w:sz w:val="16"/>
                <w:szCs w:val="16"/>
              </w:rPr>
            </w:pPr>
            <w:r w:rsidRPr="0016448E">
              <w:rPr>
                <w:sz w:val="16"/>
                <w:szCs w:val="16"/>
              </w:rPr>
              <w:t>1.1%</w:t>
            </w:r>
          </w:p>
        </w:tc>
        <w:tc>
          <w:tcPr>
            <w:tcW w:w="1063" w:type="dxa"/>
            <w:shd w:val="clear" w:color="auto" w:fill="auto"/>
            <w:vAlign w:val="center"/>
          </w:tcPr>
          <w:p w14:paraId="694212CC" w14:textId="77777777" w:rsidR="0016448E" w:rsidRPr="0016448E" w:rsidRDefault="0016448E" w:rsidP="0016448E">
            <w:pPr>
              <w:keepNext/>
              <w:keepLines/>
              <w:spacing w:before="60" w:after="60"/>
              <w:jc w:val="right"/>
              <w:rPr>
                <w:sz w:val="16"/>
                <w:szCs w:val="16"/>
              </w:rPr>
            </w:pPr>
            <w:r w:rsidRPr="0016448E">
              <w:rPr>
                <w:sz w:val="16"/>
                <w:szCs w:val="16"/>
              </w:rPr>
              <w:t>2.421</w:t>
            </w:r>
          </w:p>
        </w:tc>
        <w:tc>
          <w:tcPr>
            <w:tcW w:w="1064" w:type="dxa"/>
            <w:shd w:val="clear" w:color="auto" w:fill="auto"/>
          </w:tcPr>
          <w:p w14:paraId="26D7FD38" w14:textId="77777777" w:rsidR="0016448E" w:rsidRPr="0016448E" w:rsidRDefault="0016448E" w:rsidP="0016448E">
            <w:pPr>
              <w:keepNext/>
              <w:keepLines/>
              <w:spacing w:before="60" w:after="60"/>
              <w:jc w:val="right"/>
              <w:rPr>
                <w:sz w:val="16"/>
                <w:szCs w:val="16"/>
              </w:rPr>
            </w:pPr>
            <w:r w:rsidRPr="0016448E">
              <w:rPr>
                <w:sz w:val="16"/>
                <w:szCs w:val="16"/>
              </w:rPr>
              <w:t>2.6%</w:t>
            </w:r>
          </w:p>
        </w:tc>
      </w:tr>
      <w:tr w:rsidR="0016448E" w:rsidRPr="0016448E" w14:paraId="2CC99873" w14:textId="77777777" w:rsidTr="00841651">
        <w:tc>
          <w:tcPr>
            <w:tcW w:w="1063" w:type="dxa"/>
          </w:tcPr>
          <w:p w14:paraId="4DF42F10" w14:textId="77777777" w:rsidR="0016448E" w:rsidRPr="0016448E" w:rsidRDefault="0016448E" w:rsidP="0016448E">
            <w:pPr>
              <w:keepNext/>
              <w:keepLines/>
              <w:tabs>
                <w:tab w:val="left" w:pos="174"/>
              </w:tabs>
              <w:spacing w:before="60" w:after="60"/>
              <w:jc w:val="left"/>
              <w:rPr>
                <w:b/>
                <w:bCs/>
                <w:sz w:val="16"/>
                <w:szCs w:val="16"/>
              </w:rPr>
            </w:pPr>
            <w:r w:rsidRPr="0016448E">
              <w:rPr>
                <w:b/>
                <w:bCs/>
                <w:sz w:val="16"/>
                <w:szCs w:val="16"/>
              </w:rPr>
              <w:t>to 90%</w:t>
            </w:r>
          </w:p>
        </w:tc>
        <w:tc>
          <w:tcPr>
            <w:tcW w:w="1063" w:type="dxa"/>
            <w:shd w:val="clear" w:color="auto" w:fill="auto"/>
            <w:vAlign w:val="bottom"/>
          </w:tcPr>
          <w:p w14:paraId="2BBE4504" w14:textId="77777777" w:rsidR="0016448E" w:rsidRPr="0016448E" w:rsidRDefault="0016448E" w:rsidP="0016448E">
            <w:pPr>
              <w:keepNext/>
              <w:keepLines/>
              <w:spacing w:before="60" w:after="60"/>
              <w:jc w:val="right"/>
              <w:rPr>
                <w:sz w:val="16"/>
                <w:szCs w:val="16"/>
              </w:rPr>
            </w:pPr>
            <w:r w:rsidRPr="0016448E">
              <w:rPr>
                <w:sz w:val="16"/>
                <w:szCs w:val="16"/>
              </w:rPr>
              <w:t>16</w:t>
            </w:r>
          </w:p>
        </w:tc>
        <w:tc>
          <w:tcPr>
            <w:tcW w:w="1064" w:type="dxa"/>
            <w:shd w:val="clear" w:color="auto" w:fill="auto"/>
          </w:tcPr>
          <w:p w14:paraId="3D6A79E1" w14:textId="77777777" w:rsidR="0016448E" w:rsidRPr="0016448E" w:rsidRDefault="0016448E" w:rsidP="0016448E">
            <w:pPr>
              <w:keepNext/>
              <w:keepLines/>
              <w:spacing w:before="60" w:after="60"/>
              <w:jc w:val="right"/>
              <w:rPr>
                <w:sz w:val="16"/>
                <w:szCs w:val="16"/>
              </w:rPr>
            </w:pPr>
            <w:r w:rsidRPr="0016448E">
              <w:rPr>
                <w:sz w:val="16"/>
                <w:szCs w:val="16"/>
              </w:rPr>
              <w:t>2.7%</w:t>
            </w:r>
          </w:p>
        </w:tc>
        <w:tc>
          <w:tcPr>
            <w:tcW w:w="1063" w:type="dxa"/>
            <w:shd w:val="clear" w:color="auto" w:fill="auto"/>
            <w:vAlign w:val="center"/>
          </w:tcPr>
          <w:p w14:paraId="38D274E5" w14:textId="77777777" w:rsidR="0016448E" w:rsidRPr="0016448E" w:rsidRDefault="0016448E" w:rsidP="0016448E">
            <w:pPr>
              <w:keepNext/>
              <w:keepLines/>
              <w:spacing w:before="60" w:after="60"/>
              <w:jc w:val="right"/>
              <w:rPr>
                <w:sz w:val="16"/>
                <w:szCs w:val="16"/>
              </w:rPr>
            </w:pPr>
            <w:r w:rsidRPr="0016448E">
              <w:rPr>
                <w:sz w:val="16"/>
                <w:szCs w:val="16"/>
              </w:rPr>
              <w:t>5.213</w:t>
            </w:r>
          </w:p>
        </w:tc>
        <w:tc>
          <w:tcPr>
            <w:tcW w:w="1063" w:type="dxa"/>
            <w:shd w:val="clear" w:color="auto" w:fill="auto"/>
          </w:tcPr>
          <w:p w14:paraId="7CDB4BF4" w14:textId="77777777" w:rsidR="0016448E" w:rsidRPr="0016448E" w:rsidRDefault="0016448E" w:rsidP="0016448E">
            <w:pPr>
              <w:keepNext/>
              <w:keepLines/>
              <w:spacing w:before="60" w:after="60"/>
              <w:jc w:val="right"/>
              <w:rPr>
                <w:sz w:val="16"/>
                <w:szCs w:val="16"/>
              </w:rPr>
            </w:pPr>
            <w:r w:rsidRPr="0016448E">
              <w:rPr>
                <w:sz w:val="16"/>
                <w:szCs w:val="16"/>
              </w:rPr>
              <w:t>13.2%</w:t>
            </w:r>
          </w:p>
        </w:tc>
        <w:tc>
          <w:tcPr>
            <w:tcW w:w="1064" w:type="dxa"/>
            <w:shd w:val="clear" w:color="auto" w:fill="auto"/>
            <w:vAlign w:val="center"/>
          </w:tcPr>
          <w:p w14:paraId="03FDDCE2" w14:textId="77777777" w:rsidR="0016448E" w:rsidRPr="0016448E" w:rsidRDefault="0016448E" w:rsidP="0016448E">
            <w:pPr>
              <w:keepNext/>
              <w:keepLines/>
              <w:spacing w:before="60" w:after="60"/>
              <w:jc w:val="right"/>
              <w:rPr>
                <w:sz w:val="16"/>
                <w:szCs w:val="16"/>
              </w:rPr>
            </w:pPr>
            <w:r w:rsidRPr="0016448E">
              <w:rPr>
                <w:sz w:val="16"/>
                <w:szCs w:val="16"/>
              </w:rPr>
              <w:t>0.976</w:t>
            </w:r>
          </w:p>
        </w:tc>
        <w:tc>
          <w:tcPr>
            <w:tcW w:w="1063" w:type="dxa"/>
            <w:shd w:val="clear" w:color="auto" w:fill="auto"/>
          </w:tcPr>
          <w:p w14:paraId="3D0F8CB7" w14:textId="77777777" w:rsidR="0016448E" w:rsidRPr="0016448E" w:rsidRDefault="0016448E" w:rsidP="0016448E">
            <w:pPr>
              <w:keepNext/>
              <w:keepLines/>
              <w:spacing w:before="60" w:after="60"/>
              <w:jc w:val="right"/>
              <w:rPr>
                <w:sz w:val="16"/>
                <w:szCs w:val="16"/>
              </w:rPr>
            </w:pPr>
            <w:r w:rsidRPr="0016448E">
              <w:rPr>
                <w:sz w:val="16"/>
                <w:szCs w:val="16"/>
              </w:rPr>
              <w:t>1.9%</w:t>
            </w:r>
          </w:p>
        </w:tc>
        <w:tc>
          <w:tcPr>
            <w:tcW w:w="1063" w:type="dxa"/>
            <w:shd w:val="clear" w:color="auto" w:fill="auto"/>
            <w:vAlign w:val="center"/>
          </w:tcPr>
          <w:p w14:paraId="18960E51" w14:textId="77777777" w:rsidR="0016448E" w:rsidRPr="0016448E" w:rsidRDefault="0016448E" w:rsidP="0016448E">
            <w:pPr>
              <w:keepNext/>
              <w:keepLines/>
              <w:spacing w:before="60" w:after="60"/>
              <w:jc w:val="right"/>
              <w:rPr>
                <w:sz w:val="16"/>
                <w:szCs w:val="16"/>
              </w:rPr>
            </w:pPr>
            <w:r w:rsidRPr="0016448E">
              <w:rPr>
                <w:sz w:val="16"/>
                <w:szCs w:val="16"/>
              </w:rPr>
              <w:t>6.189</w:t>
            </w:r>
          </w:p>
        </w:tc>
        <w:tc>
          <w:tcPr>
            <w:tcW w:w="1064" w:type="dxa"/>
            <w:shd w:val="clear" w:color="auto" w:fill="auto"/>
          </w:tcPr>
          <w:p w14:paraId="4FAFF7FE" w14:textId="77777777" w:rsidR="0016448E" w:rsidRPr="0016448E" w:rsidRDefault="0016448E" w:rsidP="0016448E">
            <w:pPr>
              <w:keepNext/>
              <w:keepLines/>
              <w:spacing w:before="60" w:after="60"/>
              <w:jc w:val="right"/>
              <w:rPr>
                <w:sz w:val="16"/>
                <w:szCs w:val="16"/>
              </w:rPr>
            </w:pPr>
            <w:r w:rsidRPr="0016448E">
              <w:rPr>
                <w:sz w:val="16"/>
                <w:szCs w:val="16"/>
              </w:rPr>
              <w:t>6.7%</w:t>
            </w:r>
          </w:p>
        </w:tc>
      </w:tr>
      <w:tr w:rsidR="0016448E" w:rsidRPr="0016448E" w14:paraId="0664C8B2" w14:textId="77777777" w:rsidTr="00841651">
        <w:tc>
          <w:tcPr>
            <w:tcW w:w="1063" w:type="dxa"/>
          </w:tcPr>
          <w:p w14:paraId="4CEA5110" w14:textId="77777777" w:rsidR="0016448E" w:rsidRPr="0016448E" w:rsidRDefault="0016448E" w:rsidP="0016448E">
            <w:pPr>
              <w:keepNext/>
              <w:keepLines/>
              <w:tabs>
                <w:tab w:val="left" w:pos="174"/>
              </w:tabs>
              <w:spacing w:before="60" w:after="60"/>
              <w:jc w:val="left"/>
              <w:rPr>
                <w:b/>
                <w:bCs/>
                <w:sz w:val="16"/>
                <w:szCs w:val="16"/>
              </w:rPr>
            </w:pPr>
            <w:r w:rsidRPr="0016448E">
              <w:rPr>
                <w:b/>
                <w:bCs/>
                <w:sz w:val="16"/>
                <w:szCs w:val="16"/>
              </w:rPr>
              <w:t>to 100%</w:t>
            </w:r>
          </w:p>
        </w:tc>
        <w:tc>
          <w:tcPr>
            <w:tcW w:w="1063" w:type="dxa"/>
            <w:shd w:val="clear" w:color="auto" w:fill="auto"/>
            <w:vAlign w:val="bottom"/>
          </w:tcPr>
          <w:p w14:paraId="5434B21F" w14:textId="77777777" w:rsidR="0016448E" w:rsidRPr="0016448E" w:rsidRDefault="0016448E" w:rsidP="0016448E">
            <w:pPr>
              <w:keepNext/>
              <w:keepLines/>
              <w:spacing w:before="60" w:after="60"/>
              <w:jc w:val="right"/>
              <w:rPr>
                <w:sz w:val="16"/>
                <w:szCs w:val="16"/>
              </w:rPr>
            </w:pPr>
            <w:r w:rsidRPr="0016448E">
              <w:rPr>
                <w:sz w:val="16"/>
                <w:szCs w:val="16"/>
              </w:rPr>
              <w:t>24</w:t>
            </w:r>
          </w:p>
        </w:tc>
        <w:tc>
          <w:tcPr>
            <w:tcW w:w="1064" w:type="dxa"/>
            <w:shd w:val="clear" w:color="auto" w:fill="auto"/>
          </w:tcPr>
          <w:p w14:paraId="04A22AE7" w14:textId="77777777" w:rsidR="0016448E" w:rsidRPr="0016448E" w:rsidRDefault="0016448E" w:rsidP="0016448E">
            <w:pPr>
              <w:keepNext/>
              <w:keepLines/>
              <w:spacing w:before="60" w:after="60"/>
              <w:jc w:val="right"/>
              <w:rPr>
                <w:sz w:val="16"/>
                <w:szCs w:val="16"/>
              </w:rPr>
            </w:pPr>
            <w:r w:rsidRPr="0016448E">
              <w:rPr>
                <w:sz w:val="16"/>
                <w:szCs w:val="16"/>
              </w:rPr>
              <w:t>4.1%</w:t>
            </w:r>
          </w:p>
        </w:tc>
        <w:tc>
          <w:tcPr>
            <w:tcW w:w="1063" w:type="dxa"/>
            <w:shd w:val="clear" w:color="auto" w:fill="auto"/>
            <w:vAlign w:val="center"/>
          </w:tcPr>
          <w:p w14:paraId="5C549903" w14:textId="77777777" w:rsidR="0016448E" w:rsidRPr="0016448E" w:rsidRDefault="0016448E" w:rsidP="0016448E">
            <w:pPr>
              <w:keepNext/>
              <w:keepLines/>
              <w:spacing w:before="60" w:after="60"/>
              <w:jc w:val="right"/>
              <w:rPr>
                <w:sz w:val="16"/>
                <w:szCs w:val="16"/>
              </w:rPr>
            </w:pPr>
            <w:r w:rsidRPr="0016448E">
              <w:rPr>
                <w:sz w:val="16"/>
                <w:szCs w:val="16"/>
              </w:rPr>
              <w:t>5.947</w:t>
            </w:r>
          </w:p>
        </w:tc>
        <w:tc>
          <w:tcPr>
            <w:tcW w:w="1063" w:type="dxa"/>
            <w:shd w:val="clear" w:color="auto" w:fill="auto"/>
          </w:tcPr>
          <w:p w14:paraId="347EF1AA" w14:textId="77777777" w:rsidR="0016448E" w:rsidRPr="0016448E" w:rsidRDefault="0016448E" w:rsidP="0016448E">
            <w:pPr>
              <w:keepNext/>
              <w:keepLines/>
              <w:spacing w:before="60" w:after="60"/>
              <w:jc w:val="right"/>
              <w:rPr>
                <w:sz w:val="16"/>
                <w:szCs w:val="16"/>
              </w:rPr>
            </w:pPr>
            <w:r w:rsidRPr="0016448E">
              <w:rPr>
                <w:sz w:val="16"/>
                <w:szCs w:val="16"/>
              </w:rPr>
              <w:t>15.1%</w:t>
            </w:r>
          </w:p>
        </w:tc>
        <w:tc>
          <w:tcPr>
            <w:tcW w:w="1064" w:type="dxa"/>
            <w:shd w:val="clear" w:color="auto" w:fill="auto"/>
            <w:vAlign w:val="center"/>
          </w:tcPr>
          <w:p w14:paraId="0509DDFA" w14:textId="77777777" w:rsidR="0016448E" w:rsidRPr="0016448E" w:rsidRDefault="0016448E" w:rsidP="0016448E">
            <w:pPr>
              <w:keepNext/>
              <w:keepLines/>
              <w:spacing w:before="60" w:after="60"/>
              <w:jc w:val="right"/>
              <w:rPr>
                <w:sz w:val="16"/>
                <w:szCs w:val="16"/>
              </w:rPr>
            </w:pPr>
            <w:r w:rsidRPr="0016448E">
              <w:rPr>
                <w:sz w:val="16"/>
                <w:szCs w:val="16"/>
              </w:rPr>
              <w:t>0.310</w:t>
            </w:r>
          </w:p>
        </w:tc>
        <w:tc>
          <w:tcPr>
            <w:tcW w:w="1063" w:type="dxa"/>
            <w:shd w:val="clear" w:color="auto" w:fill="auto"/>
          </w:tcPr>
          <w:p w14:paraId="669583C7" w14:textId="77777777" w:rsidR="0016448E" w:rsidRPr="0016448E" w:rsidRDefault="0016448E" w:rsidP="0016448E">
            <w:pPr>
              <w:keepNext/>
              <w:keepLines/>
              <w:spacing w:before="60" w:after="60"/>
              <w:jc w:val="right"/>
              <w:rPr>
                <w:sz w:val="16"/>
                <w:szCs w:val="16"/>
              </w:rPr>
            </w:pPr>
            <w:r w:rsidRPr="0016448E">
              <w:rPr>
                <w:sz w:val="16"/>
                <w:szCs w:val="16"/>
              </w:rPr>
              <w:t>0.6%</w:t>
            </w:r>
          </w:p>
        </w:tc>
        <w:tc>
          <w:tcPr>
            <w:tcW w:w="1063" w:type="dxa"/>
            <w:shd w:val="clear" w:color="auto" w:fill="auto"/>
            <w:vAlign w:val="center"/>
          </w:tcPr>
          <w:p w14:paraId="10ED5FD5" w14:textId="77777777" w:rsidR="0016448E" w:rsidRPr="0016448E" w:rsidRDefault="0016448E" w:rsidP="0016448E">
            <w:pPr>
              <w:keepNext/>
              <w:keepLines/>
              <w:spacing w:before="60" w:after="60"/>
              <w:jc w:val="right"/>
              <w:rPr>
                <w:sz w:val="16"/>
                <w:szCs w:val="16"/>
              </w:rPr>
            </w:pPr>
            <w:r w:rsidRPr="0016448E">
              <w:rPr>
                <w:sz w:val="16"/>
                <w:szCs w:val="16"/>
              </w:rPr>
              <w:t>6.257</w:t>
            </w:r>
          </w:p>
        </w:tc>
        <w:tc>
          <w:tcPr>
            <w:tcW w:w="1064" w:type="dxa"/>
            <w:shd w:val="clear" w:color="auto" w:fill="auto"/>
          </w:tcPr>
          <w:p w14:paraId="7D822F7D" w14:textId="77777777" w:rsidR="0016448E" w:rsidRPr="0016448E" w:rsidRDefault="0016448E" w:rsidP="0016448E">
            <w:pPr>
              <w:keepNext/>
              <w:keepLines/>
              <w:spacing w:before="60" w:after="60"/>
              <w:jc w:val="right"/>
              <w:rPr>
                <w:sz w:val="16"/>
                <w:szCs w:val="16"/>
              </w:rPr>
            </w:pPr>
            <w:r w:rsidRPr="0016448E">
              <w:rPr>
                <w:sz w:val="16"/>
                <w:szCs w:val="16"/>
              </w:rPr>
              <w:t>6.8%</w:t>
            </w:r>
          </w:p>
        </w:tc>
      </w:tr>
      <w:tr w:rsidR="0016448E" w:rsidRPr="0016448E" w14:paraId="768F58E6" w14:textId="77777777" w:rsidTr="00841651">
        <w:tc>
          <w:tcPr>
            <w:tcW w:w="1063" w:type="dxa"/>
          </w:tcPr>
          <w:p w14:paraId="637418EC" w14:textId="77777777" w:rsidR="0016448E" w:rsidRPr="0016448E" w:rsidRDefault="0016448E" w:rsidP="0016448E">
            <w:pPr>
              <w:keepNext/>
              <w:keepLines/>
              <w:tabs>
                <w:tab w:val="left" w:pos="174"/>
              </w:tabs>
              <w:spacing w:before="60" w:after="60"/>
              <w:jc w:val="left"/>
              <w:rPr>
                <w:b/>
                <w:bCs/>
                <w:sz w:val="16"/>
                <w:szCs w:val="16"/>
              </w:rPr>
            </w:pPr>
            <w:r w:rsidRPr="0016448E">
              <w:rPr>
                <w:b/>
                <w:bCs/>
                <w:sz w:val="16"/>
                <w:szCs w:val="16"/>
              </w:rPr>
              <w:t>Total</w:t>
            </w:r>
          </w:p>
        </w:tc>
        <w:tc>
          <w:tcPr>
            <w:tcW w:w="1063" w:type="dxa"/>
            <w:shd w:val="clear" w:color="auto" w:fill="auto"/>
            <w:vAlign w:val="bottom"/>
          </w:tcPr>
          <w:p w14:paraId="77ED01C7" w14:textId="77777777" w:rsidR="0016448E" w:rsidRPr="0016448E" w:rsidRDefault="0016448E" w:rsidP="0016448E">
            <w:pPr>
              <w:keepNext/>
              <w:keepLines/>
              <w:spacing w:before="60" w:after="60"/>
              <w:jc w:val="right"/>
              <w:rPr>
                <w:b/>
                <w:bCs/>
                <w:sz w:val="16"/>
                <w:szCs w:val="16"/>
              </w:rPr>
            </w:pPr>
            <w:r w:rsidRPr="0016448E">
              <w:rPr>
                <w:b/>
                <w:bCs/>
                <w:sz w:val="16"/>
                <w:szCs w:val="16"/>
              </w:rPr>
              <w:t>587</w:t>
            </w:r>
          </w:p>
        </w:tc>
        <w:tc>
          <w:tcPr>
            <w:tcW w:w="1064" w:type="dxa"/>
            <w:shd w:val="clear" w:color="auto" w:fill="auto"/>
            <w:vAlign w:val="center"/>
          </w:tcPr>
          <w:p w14:paraId="5A6A2CA6" w14:textId="77777777" w:rsidR="0016448E" w:rsidRPr="0016448E" w:rsidRDefault="0016448E" w:rsidP="0016448E">
            <w:pPr>
              <w:keepNext/>
              <w:keepLines/>
              <w:spacing w:before="60" w:after="60"/>
              <w:jc w:val="right"/>
              <w:rPr>
                <w:b/>
                <w:bCs/>
                <w:sz w:val="16"/>
                <w:szCs w:val="16"/>
              </w:rPr>
            </w:pPr>
            <w:r w:rsidRPr="0016448E">
              <w:rPr>
                <w:b/>
                <w:bCs/>
                <w:sz w:val="16"/>
                <w:szCs w:val="16"/>
              </w:rPr>
              <w:t>100.0%</w:t>
            </w:r>
          </w:p>
        </w:tc>
        <w:tc>
          <w:tcPr>
            <w:tcW w:w="1063" w:type="dxa"/>
            <w:shd w:val="clear" w:color="auto" w:fill="auto"/>
            <w:vAlign w:val="center"/>
          </w:tcPr>
          <w:p w14:paraId="363FB1CC" w14:textId="77777777" w:rsidR="0016448E" w:rsidRPr="0016448E" w:rsidRDefault="0016448E" w:rsidP="0016448E">
            <w:pPr>
              <w:keepNext/>
              <w:keepLines/>
              <w:spacing w:before="60" w:after="60"/>
              <w:jc w:val="right"/>
              <w:rPr>
                <w:b/>
                <w:bCs/>
                <w:sz w:val="16"/>
                <w:szCs w:val="16"/>
              </w:rPr>
            </w:pPr>
            <w:r w:rsidRPr="0016448E">
              <w:rPr>
                <w:b/>
                <w:bCs/>
                <w:sz w:val="16"/>
                <w:szCs w:val="16"/>
              </w:rPr>
              <w:t>39.501</w:t>
            </w:r>
          </w:p>
        </w:tc>
        <w:tc>
          <w:tcPr>
            <w:tcW w:w="1063" w:type="dxa"/>
            <w:shd w:val="clear" w:color="auto" w:fill="auto"/>
          </w:tcPr>
          <w:p w14:paraId="4494C29D" w14:textId="77777777" w:rsidR="0016448E" w:rsidRPr="0016448E" w:rsidRDefault="0016448E" w:rsidP="0016448E">
            <w:pPr>
              <w:keepNext/>
              <w:keepLines/>
              <w:spacing w:before="60" w:after="60"/>
              <w:jc w:val="right"/>
              <w:rPr>
                <w:b/>
                <w:bCs/>
                <w:sz w:val="16"/>
                <w:szCs w:val="16"/>
              </w:rPr>
            </w:pPr>
            <w:r w:rsidRPr="0016448E">
              <w:rPr>
                <w:b/>
                <w:bCs/>
                <w:sz w:val="16"/>
                <w:szCs w:val="16"/>
              </w:rPr>
              <w:t>100.0%</w:t>
            </w:r>
          </w:p>
        </w:tc>
        <w:tc>
          <w:tcPr>
            <w:tcW w:w="1064" w:type="dxa"/>
            <w:shd w:val="clear" w:color="auto" w:fill="auto"/>
            <w:vAlign w:val="center"/>
          </w:tcPr>
          <w:p w14:paraId="19FAE345" w14:textId="77777777" w:rsidR="0016448E" w:rsidRPr="0016448E" w:rsidRDefault="0016448E" w:rsidP="0016448E">
            <w:pPr>
              <w:keepNext/>
              <w:keepLines/>
              <w:spacing w:before="60" w:after="60"/>
              <w:jc w:val="right"/>
              <w:rPr>
                <w:b/>
                <w:bCs/>
                <w:sz w:val="16"/>
                <w:szCs w:val="16"/>
              </w:rPr>
            </w:pPr>
            <w:r w:rsidRPr="0016448E">
              <w:rPr>
                <w:b/>
                <w:bCs/>
                <w:sz w:val="16"/>
                <w:szCs w:val="16"/>
              </w:rPr>
              <w:t>52.191</w:t>
            </w:r>
          </w:p>
        </w:tc>
        <w:tc>
          <w:tcPr>
            <w:tcW w:w="1063" w:type="dxa"/>
            <w:shd w:val="clear" w:color="auto" w:fill="auto"/>
          </w:tcPr>
          <w:p w14:paraId="48ED8690" w14:textId="77777777" w:rsidR="0016448E" w:rsidRPr="0016448E" w:rsidRDefault="0016448E" w:rsidP="0016448E">
            <w:pPr>
              <w:keepNext/>
              <w:keepLines/>
              <w:spacing w:before="60" w:after="60"/>
              <w:jc w:val="right"/>
              <w:rPr>
                <w:b/>
                <w:bCs/>
                <w:sz w:val="16"/>
                <w:szCs w:val="16"/>
              </w:rPr>
            </w:pPr>
            <w:r w:rsidRPr="0016448E">
              <w:rPr>
                <w:b/>
                <w:bCs/>
                <w:sz w:val="16"/>
                <w:szCs w:val="16"/>
              </w:rPr>
              <w:t>100.0%</w:t>
            </w:r>
          </w:p>
        </w:tc>
        <w:tc>
          <w:tcPr>
            <w:tcW w:w="1063" w:type="dxa"/>
            <w:shd w:val="clear" w:color="auto" w:fill="auto"/>
            <w:vAlign w:val="center"/>
          </w:tcPr>
          <w:p w14:paraId="5B501A80" w14:textId="77777777" w:rsidR="0016448E" w:rsidRPr="0016448E" w:rsidRDefault="0016448E" w:rsidP="0016448E">
            <w:pPr>
              <w:keepNext/>
              <w:keepLines/>
              <w:spacing w:before="60" w:after="60"/>
              <w:jc w:val="right"/>
              <w:rPr>
                <w:b/>
                <w:bCs/>
                <w:sz w:val="16"/>
                <w:szCs w:val="16"/>
              </w:rPr>
            </w:pPr>
            <w:r w:rsidRPr="0016448E">
              <w:rPr>
                <w:b/>
                <w:bCs/>
                <w:sz w:val="16"/>
                <w:szCs w:val="16"/>
              </w:rPr>
              <w:t>91.961</w:t>
            </w:r>
          </w:p>
        </w:tc>
        <w:tc>
          <w:tcPr>
            <w:tcW w:w="1064" w:type="dxa"/>
            <w:shd w:val="clear" w:color="auto" w:fill="auto"/>
          </w:tcPr>
          <w:p w14:paraId="2B1598B0" w14:textId="77777777" w:rsidR="0016448E" w:rsidRPr="0016448E" w:rsidRDefault="0016448E" w:rsidP="0016448E">
            <w:pPr>
              <w:keepNext/>
              <w:keepLines/>
              <w:spacing w:before="60" w:after="60"/>
              <w:jc w:val="right"/>
              <w:rPr>
                <w:b/>
                <w:bCs/>
                <w:sz w:val="16"/>
                <w:szCs w:val="16"/>
              </w:rPr>
            </w:pPr>
            <w:r w:rsidRPr="0016448E">
              <w:rPr>
                <w:b/>
                <w:bCs/>
                <w:sz w:val="16"/>
                <w:szCs w:val="16"/>
              </w:rPr>
              <w:t>100.0%</w:t>
            </w:r>
          </w:p>
        </w:tc>
      </w:tr>
    </w:tbl>
    <w:p w14:paraId="35EF8ACD" w14:textId="7695AF4C" w:rsidR="001B3AE0" w:rsidRPr="007C42CE" w:rsidRDefault="001B3AE0" w:rsidP="00075D72">
      <w:pPr>
        <w:pStyle w:val="NumberedParagraph"/>
      </w:pPr>
      <w:r w:rsidRPr="007C42CE">
        <w:t xml:space="preserve">There is a further important issue that </w:t>
      </w:r>
      <w:r w:rsidR="008F66A0">
        <w:t>wa</w:t>
      </w:r>
      <w:r w:rsidRPr="007C42CE">
        <w:t>s not picked up in table</w:t>
      </w:r>
      <w:r>
        <w:t xml:space="preserve"> 9.1</w:t>
      </w:r>
      <w:r w:rsidRPr="007C42CE">
        <w:t xml:space="preserve">. This is that increasing the thin capitalisation safe harbour threshold may be a relatively costly way of promoting inbound investment. When it leads to New Zealand subsidiaries being financed with more debt and less equity from a foreign parent, not only will this reduce tax paid in New Zealand, </w:t>
      </w:r>
      <w:r w:rsidR="00F94C76">
        <w:t xml:space="preserve">but </w:t>
      </w:r>
      <w:r w:rsidRPr="007C42CE">
        <w:t>it will often add to tax paid overseas.</w:t>
      </w:r>
    </w:p>
    <w:p w14:paraId="41ACB210" w14:textId="1A56E795" w:rsidR="001B3AE0" w:rsidRPr="007C42CE" w:rsidRDefault="001B3AE0" w:rsidP="00075D72">
      <w:pPr>
        <w:pStyle w:val="NumberedParagraph"/>
      </w:pPr>
      <w:r w:rsidRPr="007C42CE">
        <w:t xml:space="preserve">For example, suppose a higher threshold leads to an extra $100 of interest being attracted from a country with a 20% company tax rate </w:t>
      </w:r>
      <w:r w:rsidR="00880DAA">
        <w:t>that</w:t>
      </w:r>
      <w:r w:rsidRPr="007C42CE">
        <w:t xml:space="preserve"> provides credits for NRWT on interest levied in New Zealand. This reduces New Zealand tax by $18 (a reduction in company tax of $28 offset by an increase in NRWT of $10) but increases foreign tax by $10 (as the interest income is taxed at a rate of 20% but offset by an NRWT tax credit). Overall, the net benefit to the foreign investor would be a reduction in worldwide tax of $8, but this would be smaller than the drop in New Zealand tax. Thus, increasing the safe harbour threshold may be a relatively costly way of promoting inbound investment.</w:t>
      </w:r>
    </w:p>
    <w:p w14:paraId="1937F69E" w14:textId="0BE1DF53" w:rsidR="001B3AE0" w:rsidRPr="007C42CE" w:rsidRDefault="001B3AE0" w:rsidP="00075D72">
      <w:pPr>
        <w:pStyle w:val="NumberedParagraph"/>
      </w:pPr>
      <w:r w:rsidRPr="007C42CE">
        <w:t>Finally, as has been discussed, at times debt-financed investment may face negative EMTRs and be subsidised by the tax system. For example, table</w:t>
      </w:r>
      <w:r>
        <w:t xml:space="preserve"> 9.1</w:t>
      </w:r>
      <w:r w:rsidRPr="007C42CE">
        <w:t xml:space="preserve"> above shows that if firms were allowed to use 100% debt finance, EMTRs for several types of investment would be negative (and in the case of expensing is very negative). Allowing foreign-controlled firms to have very high levels of </w:t>
      </w:r>
      <w:r w:rsidRPr="007C42CE">
        <w:lastRenderedPageBreak/>
        <w:t>debt finance would not just be reducing high positive EMTRs</w:t>
      </w:r>
      <w:r w:rsidR="003464DF">
        <w:t>,</w:t>
      </w:r>
      <w:r w:rsidRPr="007C42CE">
        <w:t xml:space="preserve"> it would sometimes be adding to investment subsidies.</w:t>
      </w:r>
    </w:p>
    <w:p w14:paraId="12FCC6F8" w14:textId="00F2C8E3" w:rsidR="001B3AE0" w:rsidRPr="007C42CE" w:rsidRDefault="009F703E" w:rsidP="001B3AE0">
      <w:pPr>
        <w:pStyle w:val="Heading2"/>
        <w:rPr>
          <w:rFonts w:eastAsia="Calibri"/>
          <w:lang w:eastAsia="en-US"/>
        </w:rPr>
      </w:pPr>
      <w:bookmarkStart w:id="63" w:name="_Toc96585565"/>
      <w:r>
        <w:rPr>
          <w:rFonts w:eastAsia="Calibri"/>
          <w:lang w:eastAsia="en-US"/>
        </w:rPr>
        <w:t>Other</w:t>
      </w:r>
      <w:r w:rsidR="001B3AE0" w:rsidRPr="007C42CE">
        <w:rPr>
          <w:rFonts w:eastAsia="Calibri"/>
          <w:lang w:eastAsia="en-US"/>
        </w:rPr>
        <w:t xml:space="preserve"> solutions</w:t>
      </w:r>
      <w:bookmarkEnd w:id="63"/>
    </w:p>
    <w:p w14:paraId="0669DB15" w14:textId="12FEED96" w:rsidR="001B3AE0" w:rsidRPr="007C42CE" w:rsidRDefault="001B3AE0" w:rsidP="00075D72">
      <w:pPr>
        <w:pStyle w:val="NumberedParagraph"/>
      </w:pPr>
      <w:r w:rsidRPr="007C42CE">
        <w:t>One disadvantage of increasing the safe harbour threshold is that increasing debt finance into New Zealand may often mean higher taxes paid overseas. This makes a higher threshold a relatively cost ineffective way of promoting investment. Also</w:t>
      </w:r>
      <w:r w:rsidR="007261D4">
        <w:t>,</w:t>
      </w:r>
      <w:r w:rsidRPr="007C42CE">
        <w:t xml:space="preserve"> a higher safe harbour threshold is only likely to be of benefit to foreign-controlled firms </w:t>
      </w:r>
      <w:r w:rsidR="007261D4">
        <w:t>that</w:t>
      </w:r>
      <w:r w:rsidRPr="007C42CE">
        <w:t xml:space="preserve"> are close to the safe harbour threshold initially. An alternative is an allowance for corporate equity. This would reduce the cost of capital on inbound investment without inducing firms to take on additional debt finance and apply to a much broader set of inbound investment. This is discussed in chapter 10.</w:t>
      </w:r>
    </w:p>
    <w:tbl>
      <w:tblPr>
        <w:tblStyle w:val="QuestionsBox"/>
        <w:tblW w:w="0" w:type="auto"/>
        <w:tblLook w:val="04A0" w:firstRow="1" w:lastRow="0" w:firstColumn="1" w:lastColumn="0" w:noHBand="0" w:noVBand="1"/>
      </w:tblPr>
      <w:tblGrid>
        <w:gridCol w:w="8768"/>
      </w:tblGrid>
      <w:tr w:rsidR="001B3AE0" w:rsidRPr="007C42CE" w14:paraId="78B8BCCC" w14:textId="77777777" w:rsidTr="00325672">
        <w:tc>
          <w:tcPr>
            <w:tcW w:w="9016" w:type="dxa"/>
          </w:tcPr>
          <w:p w14:paraId="3BEC100C" w14:textId="01D76DA1" w:rsidR="00325672" w:rsidRDefault="00325672" w:rsidP="00325672">
            <w:pPr>
              <w:pStyle w:val="Heading2-Questions"/>
              <w:rPr>
                <w:bCs/>
              </w:rPr>
            </w:pPr>
            <w:r w:rsidRPr="007C42CE">
              <w:rPr>
                <w:rFonts w:eastAsia="Calibri"/>
                <w:lang w:eastAsia="en-US"/>
              </w:rPr>
              <w:t>Key questions to consider</w:t>
            </w:r>
          </w:p>
          <w:p w14:paraId="69531F6C" w14:textId="481A81A2" w:rsidR="001B3AE0" w:rsidRPr="007C42CE" w:rsidRDefault="001B3AE0" w:rsidP="00187016">
            <w:pPr>
              <w:pStyle w:val="Questionsparagraph"/>
              <w:tabs>
                <w:tab w:val="clear" w:pos="992"/>
                <w:tab w:val="left" w:pos="816"/>
              </w:tabs>
              <w:ind w:left="816" w:hanging="816"/>
            </w:pPr>
            <w:r w:rsidRPr="001905BC">
              <w:rPr>
                <w:b/>
                <w:bCs/>
              </w:rPr>
              <w:t>Q9.1:</w:t>
            </w:r>
            <w:r>
              <w:tab/>
            </w:r>
            <w:r w:rsidRPr="007C42CE">
              <w:t>Would it be sensible for the tax rules to be as neutral as possible between foreign direct investment and foreign portfolio investment or are there good grounds to promote one form of investment over another? If so, what should be promoted and why?</w:t>
            </w:r>
          </w:p>
          <w:p w14:paraId="34E96447" w14:textId="77777777" w:rsidR="001B3AE0" w:rsidRPr="007C42CE" w:rsidRDefault="001B3AE0" w:rsidP="00187016">
            <w:pPr>
              <w:pStyle w:val="Questionsparagraph"/>
              <w:tabs>
                <w:tab w:val="clear" w:pos="992"/>
                <w:tab w:val="left" w:pos="816"/>
              </w:tabs>
              <w:ind w:left="816" w:hanging="816"/>
            </w:pPr>
            <w:r w:rsidRPr="001905BC">
              <w:rPr>
                <w:b/>
                <w:bCs/>
              </w:rPr>
              <w:t>Q9.2:</w:t>
            </w:r>
            <w:r>
              <w:tab/>
            </w:r>
            <w:r w:rsidRPr="007C42CE">
              <w:t>Is the current 60% thin capitalisation safe harbour broadly reasonable?  If not, should it be increased or decreased?</w:t>
            </w:r>
          </w:p>
        </w:tc>
      </w:tr>
    </w:tbl>
    <w:p w14:paraId="631CC177" w14:textId="77777777" w:rsidR="001B3AE0" w:rsidRPr="004B1C56" w:rsidRDefault="001B3AE0" w:rsidP="001B3AE0">
      <w:pPr>
        <w:pStyle w:val="Heading1"/>
        <w:rPr>
          <w:rFonts w:eastAsia="Calibri"/>
          <w:lang w:eastAsia="en-US"/>
        </w:rPr>
      </w:pPr>
      <w:r w:rsidRPr="004B1C56">
        <w:rPr>
          <w:rFonts w:eastAsia="Calibri"/>
          <w:lang w:eastAsia="en-US"/>
        </w:rPr>
        <w:lastRenderedPageBreak/>
        <w:br/>
      </w:r>
      <w:r w:rsidRPr="004B1C56">
        <w:rPr>
          <w:rFonts w:eastAsia="Calibri"/>
          <w:lang w:eastAsia="en-US"/>
        </w:rPr>
        <w:br/>
      </w:r>
      <w:bookmarkStart w:id="64" w:name="_Toc96585566"/>
      <w:r w:rsidRPr="004B1C56">
        <w:rPr>
          <w:rFonts w:eastAsia="Calibri"/>
          <w:lang w:eastAsia="en-US"/>
        </w:rPr>
        <w:t>Allowance for corporate equity</w:t>
      </w:r>
      <w:bookmarkEnd w:id="64"/>
    </w:p>
    <w:tbl>
      <w:tblPr>
        <w:tblStyle w:val="SummaryBox"/>
        <w:tblW w:w="0" w:type="auto"/>
        <w:tblLayout w:type="fixed"/>
        <w:tblLook w:val="04A0" w:firstRow="1" w:lastRow="0" w:firstColumn="1" w:lastColumn="0" w:noHBand="0" w:noVBand="1"/>
      </w:tblPr>
      <w:tblGrid>
        <w:gridCol w:w="8778"/>
      </w:tblGrid>
      <w:tr w:rsidR="001B3AE0" w:rsidRPr="00E244D1" w14:paraId="1946D7F9" w14:textId="77777777" w:rsidTr="00325672">
        <w:tc>
          <w:tcPr>
            <w:tcW w:w="8778" w:type="dxa"/>
          </w:tcPr>
          <w:p w14:paraId="6136CB65" w14:textId="77777777" w:rsidR="001B3AE0" w:rsidRPr="00E244D1" w:rsidRDefault="001B3AE0" w:rsidP="00597B6B">
            <w:pPr>
              <w:pStyle w:val="ListBullet"/>
            </w:pPr>
            <w:r w:rsidRPr="00E244D1">
              <w:t>An allowance for corporate equity (ACE) allows companies a deduction at an imputed interest rate for the cost of equity finance.</w:t>
            </w:r>
          </w:p>
          <w:p w14:paraId="0E25C161" w14:textId="77777777" w:rsidR="001B3AE0" w:rsidRPr="00E244D1" w:rsidRDefault="001B3AE0" w:rsidP="00597B6B">
            <w:pPr>
              <w:pStyle w:val="ListBullet"/>
            </w:pPr>
            <w:r w:rsidRPr="00E244D1">
              <w:t>At first sight, it would appear to have several attractions.</w:t>
            </w:r>
          </w:p>
          <w:p w14:paraId="597857FD" w14:textId="77777777" w:rsidR="001B3AE0" w:rsidRPr="00E244D1" w:rsidRDefault="001B3AE0" w:rsidP="00597B6B">
            <w:pPr>
              <w:pStyle w:val="ListBullet"/>
            </w:pPr>
            <w:r w:rsidRPr="00E244D1">
              <w:t>It aims to eliminate tax on marginal inbound investment while continuing to tax economic rents.</w:t>
            </w:r>
          </w:p>
          <w:p w14:paraId="78D47620" w14:textId="31586DAA" w:rsidR="001B3AE0" w:rsidRPr="00E244D1" w:rsidRDefault="001B3AE0" w:rsidP="00597B6B">
            <w:pPr>
              <w:pStyle w:val="ListBullet"/>
            </w:pPr>
            <w:r w:rsidRPr="00E244D1">
              <w:t>If it is applied only to incremental equity acquired after the tax is put in place, it might avoid windfalls to existing owners of shares in companies, and this would reduce the fiscal cost of the measure.</w:t>
            </w:r>
          </w:p>
          <w:p w14:paraId="09C49513" w14:textId="77777777" w:rsidR="001B3AE0" w:rsidRPr="00E244D1" w:rsidRDefault="001B3AE0" w:rsidP="00597B6B">
            <w:pPr>
              <w:pStyle w:val="ListBullet"/>
            </w:pPr>
            <w:r w:rsidRPr="00E244D1">
              <w:t>The interest rate used in the ACE calculation should, in principle, reflect the risk to a firm of being unable to claim deductions but some average interest rate would be likely to be used in practice.</w:t>
            </w:r>
          </w:p>
          <w:p w14:paraId="5597BFA9" w14:textId="77777777" w:rsidR="001B3AE0" w:rsidRPr="00E244D1" w:rsidRDefault="001B3AE0" w:rsidP="00597B6B">
            <w:pPr>
              <w:pStyle w:val="ListBullet"/>
            </w:pPr>
            <w:r w:rsidRPr="00E244D1">
              <w:t>The neutrality properties of the tax would depend heavily on how the equity base is defined.</w:t>
            </w:r>
          </w:p>
          <w:p w14:paraId="39A0945B" w14:textId="77777777" w:rsidR="001B3AE0" w:rsidRPr="00E244D1" w:rsidRDefault="001B3AE0" w:rsidP="00597B6B">
            <w:pPr>
              <w:pStyle w:val="ListBullet"/>
            </w:pPr>
            <w:r w:rsidRPr="00E244D1">
              <w:t>To obtain full neutrality benefits, it would be necessary for the ACE to sometimes operate as an additional tax rather than as a tax deduction.</w:t>
            </w:r>
          </w:p>
          <w:p w14:paraId="6068385B" w14:textId="7D116A94" w:rsidR="001B3AE0" w:rsidRPr="00E244D1" w:rsidRDefault="001B3AE0" w:rsidP="00597B6B">
            <w:pPr>
              <w:pStyle w:val="ListBullet"/>
              <w:rPr>
                <w:b/>
                <w:bCs/>
              </w:rPr>
            </w:pPr>
            <w:r w:rsidRPr="00E244D1">
              <w:t xml:space="preserve">If </w:t>
            </w:r>
            <w:r w:rsidR="00610B00">
              <w:t>a tax policy goa</w:t>
            </w:r>
            <w:r w:rsidR="00AB7B68">
              <w:t>l</w:t>
            </w:r>
            <w:r w:rsidRPr="00E244D1">
              <w:t xml:space="preserve"> is to tax individuals on both their capital and labour income, it would seem difficult to integrate an ACE with the personal tax system unless gains on shares were subject to full rates of personal tax.</w:t>
            </w:r>
          </w:p>
        </w:tc>
      </w:tr>
    </w:tbl>
    <w:p w14:paraId="4DD827EC" w14:textId="77777777" w:rsidR="001B3AE0" w:rsidRPr="00E244D1" w:rsidRDefault="001B3AE0" w:rsidP="001B3AE0">
      <w:pPr>
        <w:pStyle w:val="Heading2"/>
        <w:rPr>
          <w:rFonts w:eastAsia="Calibri"/>
          <w:lang w:eastAsia="en-US"/>
        </w:rPr>
      </w:pPr>
      <w:bookmarkStart w:id="65" w:name="_Toc96585567"/>
      <w:r w:rsidRPr="00E244D1">
        <w:rPr>
          <w:rFonts w:eastAsia="Calibri"/>
          <w:lang w:eastAsia="en-US"/>
        </w:rPr>
        <w:t>Introduction</w:t>
      </w:r>
      <w:bookmarkEnd w:id="65"/>
    </w:p>
    <w:p w14:paraId="788078F9" w14:textId="77777777" w:rsidR="001B3AE0" w:rsidRPr="00E244D1" w:rsidRDefault="001B3AE0" w:rsidP="00075D72">
      <w:pPr>
        <w:pStyle w:val="NumberedParagraph"/>
      </w:pPr>
      <w:r w:rsidRPr="00E244D1">
        <w:t>Current tax settings allow companies a deduction for the cost of debt but not for the cost of equity. An allowance for corporate equity (ACE) grants companies a notional interest deduction for their equity. For example, if a company has $1,000 of equity and the interest rate that applies to notional interest deductions is 5%, the company would be able to claim a deduction of $50.</w:t>
      </w:r>
    </w:p>
    <w:p w14:paraId="73ADEC67" w14:textId="00B076E5" w:rsidR="001B3AE0" w:rsidRPr="00E244D1" w:rsidRDefault="001B3AE0" w:rsidP="00075D72">
      <w:pPr>
        <w:pStyle w:val="NumberedParagraph"/>
      </w:pPr>
      <w:r w:rsidRPr="00E244D1">
        <w:t xml:space="preserve">Providing an ACE would be one way of reducing the relatively high costs of capital and </w:t>
      </w:r>
      <w:r w:rsidR="00AA4EF3">
        <w:t>effective marginal tax rates (</w:t>
      </w:r>
      <w:r w:rsidRPr="00E244D1">
        <w:t>EMTRs</w:t>
      </w:r>
      <w:r w:rsidR="00AA4EF3">
        <w:t>)</w:t>
      </w:r>
      <w:r w:rsidRPr="00E244D1">
        <w:t xml:space="preserve"> that New Zealand imposes on inbound investment (discussed in chapter 3). At the same time, a potential danger exists of going beyond the point of merely reducing high EMTRs and instead generating tax subsidies with negative EMTRs. The OECD analysis suggested that several countries with ACE systems, including Italy, Belgium and Poland, had very negative EMTRs on inbound investment.</w:t>
      </w:r>
    </w:p>
    <w:p w14:paraId="725326AC" w14:textId="77777777" w:rsidR="001B3AE0" w:rsidRPr="00E244D1" w:rsidRDefault="001B3AE0" w:rsidP="00075D72">
      <w:pPr>
        <w:pStyle w:val="NumberedParagraph"/>
      </w:pPr>
      <w:r w:rsidRPr="00E244D1">
        <w:t>An ACE could also reduce or eliminate debt-equity biases for foreign-owned firms. As discussed in chapter 4, costs of capital and EMTRs can be substantially higher for equity-financed investment than for debt-financed and allowing a notional interest deduction would alleviate these biases.</w:t>
      </w:r>
    </w:p>
    <w:p w14:paraId="7AFF8D0A" w14:textId="77777777" w:rsidR="001B3AE0" w:rsidRPr="00E244D1" w:rsidRDefault="001B3AE0" w:rsidP="001B3AE0">
      <w:pPr>
        <w:pStyle w:val="Heading2"/>
        <w:rPr>
          <w:rFonts w:eastAsia="Calibri"/>
          <w:lang w:eastAsia="en-US"/>
        </w:rPr>
      </w:pPr>
      <w:bookmarkStart w:id="66" w:name="_Toc96585568"/>
      <w:r w:rsidRPr="00E244D1">
        <w:rPr>
          <w:rFonts w:eastAsia="Calibri"/>
          <w:lang w:eastAsia="en-US"/>
        </w:rPr>
        <w:t>Policy objectives</w:t>
      </w:r>
      <w:bookmarkEnd w:id="66"/>
    </w:p>
    <w:p w14:paraId="38D2C2E0" w14:textId="77777777" w:rsidR="001B3AE0" w:rsidRPr="00E244D1" w:rsidRDefault="001B3AE0" w:rsidP="00075D72">
      <w:pPr>
        <w:pStyle w:val="NumberedParagraph"/>
      </w:pPr>
      <w:r w:rsidRPr="00E244D1">
        <w:t>A key objective for an ACE is to remove tax on marginal inbound investment and make EMTRs as close to zero as possible.</w:t>
      </w:r>
    </w:p>
    <w:p w14:paraId="088AEA2A" w14:textId="48D65316" w:rsidR="001B3AE0" w:rsidRPr="00E244D1" w:rsidRDefault="001B3AE0" w:rsidP="00075D72">
      <w:pPr>
        <w:pStyle w:val="NumberedParagraph"/>
      </w:pPr>
      <w:r w:rsidRPr="00E244D1">
        <w:lastRenderedPageBreak/>
        <w:t xml:space="preserve">A strong case for an ACE was made by Griffith, Hines and </w:t>
      </w:r>
      <w:r w:rsidR="00AA2412">
        <w:t>Sørensen</w:t>
      </w:r>
      <w:r w:rsidRPr="00E244D1">
        <w:t xml:space="preserve"> (2010) (GHS) in a chapter written for the Mirrlees Review in the United Kingdom. GHS suggested this as an approach that has been adopted in some countries </w:t>
      </w:r>
      <w:r w:rsidR="00737FE0">
        <w:t>that</w:t>
      </w:r>
      <w:r w:rsidRPr="00E244D1">
        <w:t xml:space="preserve"> would respond to the growing openness of the UK economy. It is a possible way of addressing many of the concerns that were discussed in chapter 2.</w:t>
      </w:r>
    </w:p>
    <w:p w14:paraId="5445F81E" w14:textId="77777777" w:rsidR="001B3AE0" w:rsidRPr="00E244D1" w:rsidRDefault="001B3AE0" w:rsidP="00075D72">
      <w:pPr>
        <w:pStyle w:val="NumberedParagraph"/>
      </w:pPr>
      <w:r w:rsidRPr="00E244D1">
        <w:t>An ACE would aim to remove tax on marginal inbound investments and make EMTRs as close to zero as possible. At the same time, it would aim to continue to tax economic rents. It is often suggested that the ACE apply only to new equity that is issued after the tax comes into force to minimise the fiscal cost of the tax change and windfall benefits to existing firms. While this is attractive in principle, we suspect that this might not be feasible for New Zealand without significant other changes to our tax system.</w:t>
      </w:r>
    </w:p>
    <w:p w14:paraId="1B4C6CD8" w14:textId="613E5539" w:rsidR="001B3AE0" w:rsidRPr="00E244D1" w:rsidRDefault="001B3AE0" w:rsidP="00075D72">
      <w:pPr>
        <w:pStyle w:val="NumberedParagraph"/>
      </w:pPr>
      <w:r w:rsidRPr="00E244D1">
        <w:t>By creating greater neutrality in the tax treatment of debt and equity investment into New Zealand, an ACE would reduce financing biases</w:t>
      </w:r>
      <w:r w:rsidR="00844013">
        <w:t>. This</w:t>
      </w:r>
      <w:r w:rsidRPr="00E244D1">
        <w:t xml:space="preserve"> would be likely to increase economic efficiency and productivity.</w:t>
      </w:r>
    </w:p>
    <w:p w14:paraId="5DF85B0E" w14:textId="77777777" w:rsidR="001B3AE0" w:rsidRPr="00E244D1" w:rsidRDefault="001B3AE0" w:rsidP="00075D72">
      <w:pPr>
        <w:pStyle w:val="NumberedParagraph"/>
      </w:pPr>
      <w:r w:rsidRPr="00E244D1">
        <w:t>As well as aiming to remove tax on marginal inbound investments and make EMTRs as close to zero as possible, GHS argue that an ACE would eliminate the distortions associated with the misalignment between economic depreciation and depreciation for tax purposes. GHS argue that, under conventional systems of business taxation, accelerated depreciation measures can distort the behaviour of firms and end up subsidising investment (p.975 ff). This can induce low-productivity investment, which would not be attractive in the absence of tax. They argue that an attraction of an ACE system is that it eliminates these distortions.</w:t>
      </w:r>
    </w:p>
    <w:p w14:paraId="1BCA17F5" w14:textId="5FD881ED" w:rsidR="001B3AE0" w:rsidRPr="00E244D1" w:rsidRDefault="001B3AE0" w:rsidP="00075D72">
      <w:pPr>
        <w:pStyle w:val="NumberedParagraph"/>
      </w:pPr>
      <w:r w:rsidRPr="00E244D1">
        <w:t>Any increase in depreciation will reduce the equity against which an allowance under ACE is calculated. This reduces the ACE allowance by an amount that should, at least in principle, exactly offset any benefits derived from the accelerated depreciation. Regardless of the rate at which firms write down their assets in the tax accounts, the present value of the sum of the capital allowance and the ACE should always equal the initial investment outlay. Therefore, for a fully equity-financed investment, the ACE system is intended to be equivalent to the immediate expensing of investment allowed under a cash flow tax.</w:t>
      </w:r>
    </w:p>
    <w:tbl>
      <w:tblPr>
        <w:tblStyle w:val="ExampleBox"/>
        <w:tblW w:w="8170" w:type="dxa"/>
        <w:tblLayout w:type="fixed"/>
        <w:tblLook w:val="04A0" w:firstRow="1" w:lastRow="0" w:firstColumn="1" w:lastColumn="0" w:noHBand="0" w:noVBand="1"/>
      </w:tblPr>
      <w:tblGrid>
        <w:gridCol w:w="8170"/>
      </w:tblGrid>
      <w:tr w:rsidR="001B3AE0" w:rsidRPr="00E244D1" w14:paraId="1250AB6A" w14:textId="77777777" w:rsidTr="001361AD">
        <w:tc>
          <w:tcPr>
            <w:tcW w:w="8170" w:type="dxa"/>
          </w:tcPr>
          <w:p w14:paraId="3305CCC0" w14:textId="77777777" w:rsidR="001B3AE0" w:rsidRPr="00E244D1" w:rsidRDefault="001B3AE0" w:rsidP="006B3D7B">
            <w:pPr>
              <w:spacing w:before="120"/>
              <w:rPr>
                <w:b/>
                <w:bCs/>
                <w:sz w:val="18"/>
                <w:szCs w:val="18"/>
              </w:rPr>
            </w:pPr>
            <w:r w:rsidRPr="00E244D1">
              <w:rPr>
                <w:b/>
                <w:bCs/>
                <w:sz w:val="18"/>
                <w:szCs w:val="18"/>
              </w:rPr>
              <w:lastRenderedPageBreak/>
              <w:t xml:space="preserve">Example </w:t>
            </w:r>
            <w:r>
              <w:rPr>
                <w:b/>
                <w:bCs/>
                <w:sz w:val="18"/>
                <w:szCs w:val="18"/>
              </w:rPr>
              <w:t>10.1</w:t>
            </w:r>
          </w:p>
          <w:p w14:paraId="008CA4D1" w14:textId="77777777" w:rsidR="001B3AE0" w:rsidRPr="00E244D1" w:rsidRDefault="001B3AE0" w:rsidP="006B3D7B">
            <w:r w:rsidRPr="00E244D1">
              <w:t>Suppose that the tax code allows a taxpayer to bring forward $100 of depreciation from year 2 to year 1. Assuming a tax rate of 28%, their tax liability is reduced by $28 in year 1.</w:t>
            </w:r>
          </w:p>
          <w:p w14:paraId="2E9B88D8" w14:textId="77777777" w:rsidR="001B3AE0" w:rsidRPr="00E244D1" w:rsidRDefault="001B3AE0" w:rsidP="006B3D7B">
            <w:r w:rsidRPr="00E244D1">
              <w:t>In year 2, the taxpayer is not able to claim the $100 depreciation as they claimed it in year 1. Their taxable earnings in year 2 are therefore $100 higher than they otherwise would have been, and their tax liability increases by $28. Assuming a discount rate of 5%, the taxpayer has gained $1.40 by deferring the payment of the $28 to year 2.</w:t>
            </w:r>
            <w:r w:rsidRPr="00E244D1">
              <w:rPr>
                <w:vertAlign w:val="superscript"/>
              </w:rPr>
              <w:footnoteReference w:id="35"/>
            </w:r>
          </w:p>
          <w:p w14:paraId="1FDD92AD" w14:textId="77777777" w:rsidR="001B3AE0" w:rsidRPr="00E244D1" w:rsidRDefault="001B3AE0" w:rsidP="006B3D7B">
            <w:r w:rsidRPr="00E244D1">
              <w:t>However, the equity base used for calculating an ACE liability is increased by retained profits from tax accounts. We assume that the tax saving of $28 leads to a matching $28 increase in dividends so that real funds for investment are unchanged. As taxable earnings fall by $100, retained earnings is reduced by $100 in year 1 and the equity base for ACE in year 2 is also reduced by $100. If the imputed rate of return allowed under ACE is also 5%, then the taxpayer deduction under ACE is reduced by $5. This increases their tax liability in year 2 by a further $1.40. Thus, the tax benefit from accelerated depreciation is exactly offset by the fall in the future ACE allowance. This is assumed to be matched by a reduction in dividends of $29.40 in year 2. This means that the rate at which companies write down their assets does not matter for the present value of the taxes they pay.</w:t>
            </w:r>
          </w:p>
        </w:tc>
      </w:tr>
    </w:tbl>
    <w:p w14:paraId="3BCCB1F3" w14:textId="6F0B20D1" w:rsidR="001B3AE0" w:rsidRPr="00E244D1" w:rsidRDefault="001B3AE0" w:rsidP="00075D72">
      <w:pPr>
        <w:pStyle w:val="NumberedParagraph"/>
      </w:pPr>
      <w:r w:rsidRPr="00E244D1">
        <w:t>This neutrality example requires that the imputed interest charge reflects the company’s discount rate</w:t>
      </w:r>
      <w:r w:rsidR="0029412F">
        <w:t xml:space="preserve"> used to di</w:t>
      </w:r>
      <w:r w:rsidR="00155EC3">
        <w:t>scount future depreciation deductions</w:t>
      </w:r>
      <w:r w:rsidRPr="00E244D1">
        <w:t>. As will be discussed below, it also requires the equity base to be able to become negative and to then lead to an ACE liability for this neutrality result to hold.</w:t>
      </w:r>
    </w:p>
    <w:p w14:paraId="36D38E75" w14:textId="77777777" w:rsidR="001B3AE0" w:rsidRPr="00E244D1" w:rsidRDefault="001B3AE0" w:rsidP="00075D72">
      <w:pPr>
        <w:pStyle w:val="NumberedParagraph"/>
      </w:pPr>
      <w:r w:rsidRPr="00E244D1">
        <w:t>Lastly, an ACE system will also influence corporate debt policy. By allowing a deduction for equity financing, it could potentially introduce funding neutrality to the current tax system, thereby reducing or eliminating the debt bias.</w:t>
      </w:r>
    </w:p>
    <w:p w14:paraId="6D0CF21F" w14:textId="77777777" w:rsidR="001B3AE0" w:rsidRPr="00E244D1" w:rsidRDefault="001B3AE0" w:rsidP="001B3AE0">
      <w:pPr>
        <w:pStyle w:val="Heading2"/>
        <w:rPr>
          <w:rFonts w:eastAsia="Calibri"/>
          <w:lang w:eastAsia="en-US"/>
        </w:rPr>
      </w:pPr>
      <w:bookmarkStart w:id="67" w:name="_Toc96585569"/>
      <w:r w:rsidRPr="00E244D1">
        <w:rPr>
          <w:rFonts w:eastAsia="Calibri"/>
          <w:lang w:eastAsia="en-US"/>
        </w:rPr>
        <w:t>Design issues</w:t>
      </w:r>
      <w:bookmarkEnd w:id="67"/>
    </w:p>
    <w:p w14:paraId="24B18460" w14:textId="77777777" w:rsidR="001B3AE0" w:rsidRPr="00E244D1" w:rsidRDefault="001B3AE0" w:rsidP="001B3AE0">
      <w:pPr>
        <w:pStyle w:val="Heading3"/>
        <w:rPr>
          <w:rFonts w:eastAsia="Calibri"/>
          <w:lang w:eastAsia="en-US"/>
        </w:rPr>
      </w:pPr>
      <w:r w:rsidRPr="00E244D1">
        <w:rPr>
          <w:rFonts w:eastAsia="Calibri"/>
          <w:lang w:eastAsia="en-US"/>
        </w:rPr>
        <w:t>Rate of allowance</w:t>
      </w:r>
    </w:p>
    <w:p w14:paraId="49302D1E" w14:textId="790BA8E0" w:rsidR="001B3AE0" w:rsidRPr="00E244D1" w:rsidRDefault="001B3AE0" w:rsidP="00075D72">
      <w:pPr>
        <w:pStyle w:val="NumberedParagraph"/>
      </w:pPr>
      <w:r w:rsidRPr="00E244D1">
        <w:t xml:space="preserve">The efficacy of </w:t>
      </w:r>
      <w:r w:rsidR="008E3273">
        <w:t xml:space="preserve">an </w:t>
      </w:r>
      <w:r w:rsidRPr="00E244D1">
        <w:t>ACE in alleviating tax on marginal inbound investment and eliminating the debt bias depends on the allowed rate of notional deduction.</w:t>
      </w:r>
    </w:p>
    <w:p w14:paraId="583FB45C" w14:textId="21780E20" w:rsidR="001B3AE0" w:rsidRPr="00E244D1" w:rsidRDefault="001B3AE0" w:rsidP="00075D72">
      <w:pPr>
        <w:pStyle w:val="NumberedParagraph"/>
      </w:pPr>
      <w:r w:rsidRPr="00E244D1">
        <w:t xml:space="preserve">In principle, the interest rate used might not necessarily </w:t>
      </w:r>
      <w:r>
        <w:t xml:space="preserve">need to </w:t>
      </w:r>
      <w:r w:rsidRPr="00E244D1">
        <w:t>include a premium for risk and it might be appropriate to allow a deduction for only the risk-free nominal interest rate (that is, the interest rate of long-term government bonds). This would be the case if losses could be carried forward with interest and were certain to be used at some stage in the future</w:t>
      </w:r>
      <w:r w:rsidR="006615A9">
        <w:t>,</w:t>
      </w:r>
      <w:r>
        <w:t xml:space="preserve"> as is discussed in Bond and Devereux (1995)</w:t>
      </w:r>
      <w:r w:rsidR="007557D6">
        <w:t>.</w:t>
      </w:r>
    </w:p>
    <w:p w14:paraId="1EF70CCF" w14:textId="77777777" w:rsidR="001B3AE0" w:rsidRPr="00E244D1" w:rsidRDefault="001B3AE0" w:rsidP="00075D72">
      <w:pPr>
        <w:pStyle w:val="NumberedParagraph"/>
      </w:pPr>
      <w:r w:rsidRPr="00E244D1">
        <w:t>However, in practice, firms will often receive less than the present value of their losses, so GHS argue that it would be appropriate to add a risk premium to the interest rate used.</w:t>
      </w:r>
    </w:p>
    <w:p w14:paraId="06B31D72" w14:textId="15C2A0A5" w:rsidR="001B3AE0" w:rsidRPr="00E244D1" w:rsidRDefault="001B3AE0" w:rsidP="00075D72">
      <w:pPr>
        <w:pStyle w:val="NumberedParagraph"/>
      </w:pPr>
      <w:r w:rsidRPr="00E244D1">
        <w:t xml:space="preserve">Under an ACE system, any equity invested will increase the amount the company is allowed to deduct in all future years on a fully equity-financed </w:t>
      </w:r>
      <w:r w:rsidRPr="00E244D1">
        <w:lastRenderedPageBreak/>
        <w:t xml:space="preserve">investment by the amount invested multiplied by the ACE rate. If the value of these deductions is discounted at the same rate, the present value of the additional ACE deductions will equal the amount of equity invested. Thus, the taxpayer ends up receiving the same deduction as if they </w:t>
      </w:r>
      <w:r w:rsidR="005A3571">
        <w:t>had been</w:t>
      </w:r>
      <w:r w:rsidRPr="00E244D1">
        <w:t xml:space="preserve"> allowed a deduction for the equity invested up front. The premium added to the ACE rate should therefore reflect the risk faced by individual firms in being able to make these future deductions.</w:t>
      </w:r>
    </w:p>
    <w:p w14:paraId="207D5364" w14:textId="77777777" w:rsidR="001B3AE0" w:rsidRPr="00E244D1" w:rsidRDefault="001B3AE0" w:rsidP="00075D72">
      <w:pPr>
        <w:pStyle w:val="NumberedParagraph"/>
      </w:pPr>
      <w:r w:rsidRPr="00E244D1">
        <w:t>This is also necessary if the ACE is to eliminate the distortions associated with the misalignment between economic depreciation and depreciation for tax purposes.</w:t>
      </w:r>
    </w:p>
    <w:p w14:paraId="02F4E6EB" w14:textId="77777777" w:rsidR="001B3AE0" w:rsidRPr="00E244D1" w:rsidRDefault="001B3AE0" w:rsidP="00075D72">
      <w:pPr>
        <w:pStyle w:val="NumberedParagraph"/>
      </w:pPr>
      <w:r w:rsidRPr="00E244D1">
        <w:t>Tax authorities are unlikely to know the risk faced by each individual firm, so an average risk premium would seem the only viable option. This would compromise some of the tax neutrality properties of an ACE. GHS argue that the best practical approach could be to use an average interest rate on corporate bonds.</w:t>
      </w:r>
    </w:p>
    <w:p w14:paraId="084B72B5" w14:textId="672F55AA" w:rsidR="001B3AE0" w:rsidRPr="00E244D1" w:rsidRDefault="001B3AE0" w:rsidP="00075D72">
      <w:pPr>
        <w:pStyle w:val="NumberedParagraph"/>
      </w:pPr>
      <w:r w:rsidRPr="00E244D1">
        <w:t>Most countries with ACE systems have either used rates linked to the yields on government bonds, normally with some additional risk premium, or commercial interest rates. Hebous and Klemm (2019) provide details on the rules used in different countries that have had ACE systems.</w:t>
      </w:r>
    </w:p>
    <w:p w14:paraId="517C391C" w14:textId="77777777" w:rsidR="001B3AE0" w:rsidRPr="00E244D1" w:rsidRDefault="001B3AE0" w:rsidP="001B3AE0">
      <w:pPr>
        <w:pStyle w:val="Heading3"/>
        <w:rPr>
          <w:rFonts w:eastAsia="Calibri"/>
          <w:lang w:eastAsia="en-US"/>
        </w:rPr>
      </w:pPr>
      <w:r w:rsidRPr="00E244D1">
        <w:rPr>
          <w:rFonts w:eastAsia="Calibri"/>
          <w:lang w:eastAsia="en-US"/>
        </w:rPr>
        <w:t>ACE base</w:t>
      </w:r>
    </w:p>
    <w:p w14:paraId="25A7D037" w14:textId="77777777" w:rsidR="001B3AE0" w:rsidRPr="00E244D1" w:rsidRDefault="001B3AE0" w:rsidP="00075D72">
      <w:pPr>
        <w:pStyle w:val="NumberedParagraph"/>
      </w:pPr>
      <w:r w:rsidRPr="00E244D1">
        <w:t>One question is how the ACE base should best be defined. GHS suggest that the equity base be calculated as follows:</w:t>
      </w:r>
    </w:p>
    <w:p w14:paraId="31EB8B7F" w14:textId="77777777" w:rsidR="001B3AE0" w:rsidRPr="00E244D1" w:rsidRDefault="001B3AE0" w:rsidP="00447848">
      <w:pPr>
        <w:pStyle w:val="Quote"/>
        <w:rPr>
          <w:rFonts w:eastAsia="Calibri"/>
          <w:lang w:eastAsia="en-US"/>
        </w:rPr>
      </w:pPr>
      <w:r w:rsidRPr="00E244D1">
        <w:rPr>
          <w:rFonts w:eastAsia="Calibri"/>
          <w:lang w:eastAsia="en-US"/>
        </w:rPr>
        <w:t>“Equity base in the previous year</w:t>
      </w:r>
    </w:p>
    <w:p w14:paraId="345365D9" w14:textId="77777777" w:rsidR="001B3AE0" w:rsidRPr="00E244D1" w:rsidRDefault="001B3AE0" w:rsidP="00447848">
      <w:pPr>
        <w:pStyle w:val="Quote"/>
        <w:rPr>
          <w:rFonts w:eastAsia="Calibri"/>
          <w:lang w:eastAsia="en-US"/>
        </w:rPr>
      </w:pPr>
      <w:r w:rsidRPr="00E244D1">
        <w:rPr>
          <w:rFonts w:eastAsia="Calibri"/>
          <w:lang w:eastAsia="en-US"/>
        </w:rPr>
        <w:t>+ taxable profits in the previous year (gross of the ACE allowance)</w:t>
      </w:r>
    </w:p>
    <w:p w14:paraId="7E770015" w14:textId="77777777" w:rsidR="001B3AE0" w:rsidRPr="00E244D1" w:rsidRDefault="001B3AE0" w:rsidP="00447848">
      <w:pPr>
        <w:pStyle w:val="Quote"/>
        <w:rPr>
          <w:rFonts w:eastAsia="Calibri"/>
          <w:lang w:eastAsia="en-US"/>
        </w:rPr>
      </w:pPr>
      <w:r w:rsidRPr="00E244D1">
        <w:rPr>
          <w:rFonts w:eastAsia="Calibri"/>
          <w:lang w:eastAsia="en-US"/>
        </w:rPr>
        <w:t>+ dividends received</w:t>
      </w:r>
    </w:p>
    <w:p w14:paraId="364B260F" w14:textId="77777777" w:rsidR="001B3AE0" w:rsidRPr="00E244D1" w:rsidRDefault="001B3AE0" w:rsidP="00447848">
      <w:pPr>
        <w:pStyle w:val="Quote"/>
        <w:rPr>
          <w:rFonts w:eastAsia="Calibri"/>
          <w:lang w:eastAsia="en-US"/>
        </w:rPr>
      </w:pPr>
      <w:r w:rsidRPr="00E244D1">
        <w:rPr>
          <w:rFonts w:eastAsia="Calibri"/>
          <w:lang w:eastAsia="en-US"/>
        </w:rPr>
        <w:t>+ net new equity issues</w:t>
      </w:r>
    </w:p>
    <w:p w14:paraId="7BFFCDCF" w14:textId="77777777" w:rsidR="001B3AE0" w:rsidRPr="00E244D1" w:rsidRDefault="001B3AE0" w:rsidP="00447848">
      <w:pPr>
        <w:pStyle w:val="Quote"/>
        <w:rPr>
          <w:rFonts w:eastAsia="Calibri"/>
          <w:lang w:eastAsia="en-US"/>
        </w:rPr>
      </w:pPr>
      <w:r w:rsidRPr="00E244D1">
        <w:rPr>
          <w:rFonts w:eastAsia="Calibri"/>
          <w:lang w:eastAsia="en-US"/>
        </w:rPr>
        <w:t>– tax payable on taxable profits in the previous year</w:t>
      </w:r>
    </w:p>
    <w:p w14:paraId="1F877F87" w14:textId="77777777" w:rsidR="001B3AE0" w:rsidRPr="00E244D1" w:rsidRDefault="001B3AE0" w:rsidP="00447848">
      <w:pPr>
        <w:pStyle w:val="Quote"/>
        <w:rPr>
          <w:rFonts w:eastAsia="Calibri"/>
          <w:lang w:eastAsia="en-US"/>
        </w:rPr>
      </w:pPr>
      <w:r w:rsidRPr="00E244D1">
        <w:rPr>
          <w:rFonts w:eastAsia="Calibri"/>
          <w:lang w:eastAsia="en-US"/>
        </w:rPr>
        <w:t>– dividends paid</w:t>
      </w:r>
    </w:p>
    <w:p w14:paraId="2C34254D" w14:textId="77777777" w:rsidR="001B3AE0" w:rsidRPr="00E244D1" w:rsidRDefault="001B3AE0" w:rsidP="00447848">
      <w:pPr>
        <w:pStyle w:val="Quote"/>
        <w:rPr>
          <w:rFonts w:eastAsia="Calibri"/>
          <w:lang w:eastAsia="en-US"/>
        </w:rPr>
      </w:pPr>
      <w:r w:rsidRPr="00E244D1">
        <w:rPr>
          <w:rFonts w:eastAsia="Calibri"/>
          <w:lang w:eastAsia="en-US"/>
        </w:rPr>
        <w:t>– net new acquisitions of shares in other companies</w:t>
      </w:r>
    </w:p>
    <w:p w14:paraId="6787CAD8" w14:textId="77777777" w:rsidR="001B3AE0" w:rsidRPr="00E244D1" w:rsidRDefault="001B3AE0" w:rsidP="00447848">
      <w:pPr>
        <w:pStyle w:val="Quote"/>
        <w:rPr>
          <w:rFonts w:eastAsia="Calibri"/>
          <w:lang w:eastAsia="en-US"/>
        </w:rPr>
      </w:pPr>
      <w:r w:rsidRPr="00E244D1">
        <w:rPr>
          <w:rFonts w:eastAsia="Calibri"/>
          <w:lang w:eastAsia="en-US"/>
        </w:rPr>
        <w:t>= Equity base for the current year”</w:t>
      </w:r>
    </w:p>
    <w:p w14:paraId="5F7DB26F" w14:textId="4F5A8007" w:rsidR="001B3AE0" w:rsidRPr="00E244D1" w:rsidRDefault="001B3AE0" w:rsidP="00075D72">
      <w:pPr>
        <w:pStyle w:val="NumberedParagraph"/>
      </w:pPr>
      <w:r w:rsidRPr="00E244D1">
        <w:t xml:space="preserve">There are several points to note. First, this approach is aimed at removing tax on marginal investments into New Zealand and achieving investment neutrality across assets. As was illustrated in example </w:t>
      </w:r>
      <w:r>
        <w:t>10.1</w:t>
      </w:r>
      <w:r w:rsidRPr="00E244D1">
        <w:t xml:space="preserve">, an important part of making this work is to add in taxable profits when calculating changes in the base from year to year. This approach is also aimed at achieving neutrality between debt and equity financing. It does this by aligning EMTRs for equity-financed corporate investments with assets that can be expensed. In this case, the EMTR for all equity-financed investments would be zero. Likewise, if not for </w:t>
      </w:r>
      <w:r w:rsidR="001D5EE0">
        <w:t>non-resident withholding tax (</w:t>
      </w:r>
      <w:r w:rsidRPr="00E244D1">
        <w:t>NRWT</w:t>
      </w:r>
      <w:r w:rsidR="001D5EE0">
        <w:t>)</w:t>
      </w:r>
      <w:r w:rsidRPr="00E244D1">
        <w:t xml:space="preserve"> and </w:t>
      </w:r>
      <w:r w:rsidR="001D5EE0">
        <w:t>approved issuer levy (</w:t>
      </w:r>
      <w:r w:rsidRPr="00E244D1">
        <w:t>AIL</w:t>
      </w:r>
      <w:r w:rsidR="001D5EE0">
        <w:t>)</w:t>
      </w:r>
      <w:r w:rsidRPr="00E244D1">
        <w:t>, the EMTRs for debt-financed investments would all be zero. As EMTRs on fully debt-financed investment</w:t>
      </w:r>
      <w:r w:rsidR="00904BAF">
        <w:t>s</w:t>
      </w:r>
      <w:r w:rsidRPr="00E244D1">
        <w:t xml:space="preserve"> are normally negative, this means </w:t>
      </w:r>
      <w:r w:rsidRPr="00075D72">
        <w:rPr>
          <w:i/>
          <w:iCs/>
        </w:rPr>
        <w:t xml:space="preserve">increasing </w:t>
      </w:r>
      <w:r w:rsidRPr="00E244D1">
        <w:t>the tax impost on debt-financed investment.</w:t>
      </w:r>
    </w:p>
    <w:p w14:paraId="743330BA" w14:textId="5EC54341" w:rsidR="001B3AE0" w:rsidRPr="00E244D1" w:rsidRDefault="001B3AE0" w:rsidP="00075D72">
      <w:pPr>
        <w:pStyle w:val="NumberedParagraph"/>
      </w:pPr>
      <w:r w:rsidRPr="00E244D1">
        <w:t xml:space="preserve">Further, acquisitions of shares in other companies should be subtracted from the equity base. This is to avoid double counting. For example, if company A is set up with $100 of equity and uses this to purchase share capital in </w:t>
      </w:r>
      <w:r w:rsidR="00F53AB4" w:rsidRPr="00E244D1">
        <w:t>company</w:t>
      </w:r>
      <w:r w:rsidR="00F53AB4">
        <w:t> </w:t>
      </w:r>
      <w:r w:rsidRPr="00E244D1">
        <w:t xml:space="preserve">B, the same $100 should not be counted twice as equity in both companies. For </w:t>
      </w:r>
      <w:r w:rsidRPr="00E244D1">
        <w:lastRenderedPageBreak/>
        <w:t>ACE purposes, it is necessary to subtract new acquisitions of shares so that company A ends up with zero, while company B ends up with $100. Share purchases in foreign companies would also be subtracted, because income derived by a parent company from such firms would typically be non-taxable. If company A was financed with $50 of share capital and $50 of debt and used this to purchase the shares in company B, then it would have an ACE basis of –$50 and would need to be subject to an imputed interest charge on the –$50 of equity for the GHS approach to work. Thus, under the GHS approach, the ACE deduction might sometimes be negative and adding to a company’s tax liability.</w:t>
      </w:r>
    </w:p>
    <w:p w14:paraId="6AE138B1" w14:textId="77507048" w:rsidR="001B3AE0" w:rsidRPr="00E244D1" w:rsidRDefault="001B3AE0" w:rsidP="00075D72">
      <w:pPr>
        <w:pStyle w:val="NumberedParagraph"/>
      </w:pPr>
      <w:r w:rsidRPr="00E244D1">
        <w:t>This seems central to the GHS approach. It is necessary for the ACE system to be increasing the tax impost on debt-financed investment. We have seen that under current tax settings, fully debt-financed investment will normally generate negative EMTRs. With an ACE, these EMTRs would become zero</w:t>
      </w:r>
      <w:r w:rsidR="004E7082">
        <w:t>,</w:t>
      </w:r>
      <w:r w:rsidRPr="00E244D1">
        <w:t xml:space="preserve"> which means a higher tax liability than at present. Debt-financed investment into an asset that can be expensed would provide an immediate deduction for the cost of the asset. This would reduce the equity base or turn it negative. Debt-financed investment into firms that make tax losses for several years before moving into a tax profit would also tend to generate negative equity bases.</w:t>
      </w:r>
    </w:p>
    <w:p w14:paraId="5D48D882" w14:textId="77777777" w:rsidR="001B3AE0" w:rsidRPr="00E244D1" w:rsidRDefault="001B3AE0" w:rsidP="001B3AE0">
      <w:pPr>
        <w:pStyle w:val="Heading3"/>
        <w:rPr>
          <w:rFonts w:eastAsia="Calibri"/>
          <w:lang w:eastAsia="en-US"/>
        </w:rPr>
      </w:pPr>
      <w:r w:rsidRPr="00E244D1">
        <w:rPr>
          <w:rFonts w:eastAsia="Calibri"/>
          <w:lang w:eastAsia="en-US"/>
        </w:rPr>
        <w:t>Transition to an ACE</w:t>
      </w:r>
    </w:p>
    <w:p w14:paraId="4EA6D6F5" w14:textId="77777777" w:rsidR="001B3AE0" w:rsidRPr="00E244D1" w:rsidRDefault="001B3AE0" w:rsidP="00075D72">
      <w:pPr>
        <w:pStyle w:val="NumberedParagraph"/>
      </w:pPr>
      <w:r w:rsidRPr="00E244D1">
        <w:t>An ACE might, in principle, be applied either to all equity in a company or only to equity acquired after the date that the ACE is implemented. An attraction of applying it only to additional equity built up after the time when an ACE is introduced is that this would limit the cost of the scheme. It would also minimise windfall gains to existing companies.</w:t>
      </w:r>
    </w:p>
    <w:p w14:paraId="719145C6" w14:textId="775199BD" w:rsidR="001B3AE0" w:rsidRPr="00E244D1" w:rsidRDefault="001B3AE0" w:rsidP="00075D72">
      <w:pPr>
        <w:pStyle w:val="NumberedParagraph"/>
      </w:pPr>
      <w:r w:rsidRPr="00E244D1">
        <w:t xml:space="preserve">As we understand it, most ACE systems are based on additional equity acquired after the initial implementation date. This provides obvious incentives for a firm to be wound up and then reborn in a different entity in which new equity qualifies for the ACE deduction. GHS argue that the incentives for this to happen may be attenuated by other taxes if companies are wound up. However, the other taxes </w:t>
      </w:r>
      <w:r w:rsidR="00ED1031">
        <w:t xml:space="preserve">that GHS point to </w:t>
      </w:r>
      <w:r w:rsidRPr="00E244D1">
        <w:t xml:space="preserve">are capital gains taxes. This may make it more difficult for countries like New Zealand, without a capital gains tax, to limit deductions </w:t>
      </w:r>
      <w:r w:rsidR="00BB05EE">
        <w:t xml:space="preserve">only </w:t>
      </w:r>
      <w:r w:rsidRPr="00E244D1">
        <w:t>to what is, in reality, new equity.</w:t>
      </w:r>
    </w:p>
    <w:p w14:paraId="6D2EB5C9" w14:textId="77777777" w:rsidR="001B3AE0" w:rsidRPr="00E244D1" w:rsidRDefault="001B3AE0" w:rsidP="001B3AE0">
      <w:pPr>
        <w:pStyle w:val="Heading3"/>
        <w:rPr>
          <w:rFonts w:eastAsia="Calibri"/>
          <w:lang w:eastAsia="en-US"/>
        </w:rPr>
      </w:pPr>
      <w:r w:rsidRPr="00E244D1">
        <w:rPr>
          <w:rFonts w:eastAsia="Calibri"/>
          <w:lang w:eastAsia="en-US"/>
        </w:rPr>
        <w:t>Anti-avoidance</w:t>
      </w:r>
    </w:p>
    <w:p w14:paraId="3400DFC6" w14:textId="522C141D" w:rsidR="001B3AE0" w:rsidRPr="00E244D1" w:rsidRDefault="001B3AE0" w:rsidP="00075D72">
      <w:pPr>
        <w:pStyle w:val="NumberedParagraph"/>
      </w:pPr>
      <w:r w:rsidRPr="00E244D1">
        <w:t>The issue of the potential abuse of ACE systems has been raised in policy discussions. Indeed, Hebous and Ruf (2017)</w:t>
      </w:r>
      <w:r w:rsidRPr="00075D72">
        <w:rPr>
          <w:vertAlign w:val="superscript"/>
        </w:rPr>
        <w:t xml:space="preserve"> </w:t>
      </w:r>
      <w:r w:rsidRPr="00E244D1">
        <w:t>found that the increases in equity following the introduction of the Belgian ACE were largely earmarked for intra-group lending and for creating deductions to shelter other sources of interest earnings.</w:t>
      </w:r>
    </w:p>
    <w:p w14:paraId="20957D3B" w14:textId="77777777" w:rsidR="001B3AE0" w:rsidRPr="00E244D1" w:rsidRDefault="001B3AE0" w:rsidP="00075D72">
      <w:pPr>
        <w:pStyle w:val="NumberedParagraph"/>
      </w:pPr>
      <w:r w:rsidRPr="00E244D1">
        <w:t>They found that a unilateral implementation of an ACE system creates an opportunity for multinational entities to implement ‘double-dipping’ structures. This is where capital is injected as equity into an affiliate in a country with an ACE system who then lends that capital to another affiliate in a country without an ACE system. The borrower affiliate receives a deduction for interest paid on the loan, while the lender affiliate receives a deduction under the ACE system.</w:t>
      </w:r>
    </w:p>
    <w:p w14:paraId="21F21328" w14:textId="77777777" w:rsidR="001B3AE0" w:rsidRPr="00E244D1" w:rsidRDefault="001B3AE0" w:rsidP="00075D72">
      <w:pPr>
        <w:pStyle w:val="NumberedParagraph"/>
      </w:pPr>
      <w:r w:rsidRPr="00E244D1">
        <w:t>In addition, the borrower affiliate can invest the loan into yet another affiliate in a country with an ACE system, thereby doubling (or ‘cascading’) the received allowance corresponding to any given amount of equity.</w:t>
      </w:r>
    </w:p>
    <w:p w14:paraId="5ED5AD63" w14:textId="000C7315" w:rsidR="001B3AE0" w:rsidRPr="00E244D1" w:rsidRDefault="001B3AE0" w:rsidP="00075D72">
      <w:pPr>
        <w:pStyle w:val="NumberedParagraph"/>
      </w:pPr>
      <w:r w:rsidRPr="00E244D1">
        <w:t xml:space="preserve">The tax avoidance concerns outlined in this section would mean that ACE reforms might need to be accompanied </w:t>
      </w:r>
      <w:r w:rsidR="00FE186B">
        <w:t>by</w:t>
      </w:r>
      <w:r w:rsidRPr="00E244D1">
        <w:t xml:space="preserve"> anti-avoidance provisions targeting intra-company transactions. We note that the implementation of the global </w:t>
      </w:r>
      <w:r w:rsidRPr="00E244D1">
        <w:lastRenderedPageBreak/>
        <w:t>minimum taxation regime established by Pillar Two may mitigate these concerns.</w:t>
      </w:r>
    </w:p>
    <w:p w14:paraId="46699039" w14:textId="77777777" w:rsidR="001B3AE0" w:rsidRPr="00E244D1" w:rsidRDefault="001B3AE0" w:rsidP="001B3AE0">
      <w:pPr>
        <w:pStyle w:val="Heading3"/>
        <w:rPr>
          <w:rFonts w:eastAsia="Calibri"/>
          <w:lang w:eastAsia="en-US"/>
        </w:rPr>
      </w:pPr>
      <w:r w:rsidRPr="00E244D1">
        <w:rPr>
          <w:rFonts w:eastAsia="Calibri"/>
          <w:lang w:eastAsia="en-US"/>
        </w:rPr>
        <w:t>Integration with the personal tax system</w:t>
      </w:r>
    </w:p>
    <w:p w14:paraId="5ACEABB4" w14:textId="77777777" w:rsidR="001B3AE0" w:rsidRPr="00E244D1" w:rsidRDefault="001B3AE0" w:rsidP="00075D72">
      <w:pPr>
        <w:pStyle w:val="NumberedParagraph"/>
      </w:pPr>
      <w:r w:rsidRPr="00E244D1">
        <w:t>A policy concern with an ACE, and quite possibly a fatal difficulty for such a tax at least in the short run, is how to integrate it with personal taxes. So long as individuals are being taxed on both their capital and labour income, it would be necessary to have additional taxes at the shareholder level if investment through companies is not to create an obvious tax avoidance loophole. For example, rather than an individual earning money in a bank account and paying tax on interest earned each year as funds accumulate, the individual could set up a company that puts the money into a bank account. Because of the ACE deduction, there would be no tax on the interest income accumulating in the company’s bank account. If there is no tax on gains in shares and the individual subsequently sells the shares in the company for a tax-free capital gain, no tax would have been paid on the interest.</w:t>
      </w:r>
    </w:p>
    <w:p w14:paraId="459DFFCB" w14:textId="20222799" w:rsidR="001B3AE0" w:rsidRPr="00E244D1" w:rsidRDefault="001B3AE0" w:rsidP="00075D72">
      <w:pPr>
        <w:pStyle w:val="NumberedParagraph"/>
      </w:pPr>
      <w:r w:rsidRPr="00E244D1">
        <w:t xml:space="preserve">GHS suggest two possible personal tax systems that could be integrated with an ACE system. The first is what they describe as an income tax regime. This is a dual income tax system as described in chapter </w:t>
      </w:r>
      <w:r>
        <w:t>12</w:t>
      </w:r>
      <w:r w:rsidRPr="00E244D1">
        <w:t>. The second is a personal consumption tax that exempt</w:t>
      </w:r>
      <w:r w:rsidR="00A2104F">
        <w:t>s</w:t>
      </w:r>
      <w:r w:rsidRPr="00E244D1">
        <w:t xml:space="preserve"> individuals from tax on their capital income. If income is to be taxed at the personal level, GHS suggest taxing both dividends and capital gains at full personal rates. In the absence of a tax on share gains, it would seem </w:t>
      </w:r>
      <w:r w:rsidR="0015632F">
        <w:t>difficult</w:t>
      </w:r>
      <w:r w:rsidRPr="00E244D1">
        <w:t xml:space="preserve"> to integrate this tax with New Zealand’s personal income tax base.</w:t>
      </w:r>
    </w:p>
    <w:p w14:paraId="596ADBB2" w14:textId="77777777" w:rsidR="001B3AE0" w:rsidRPr="00E244D1" w:rsidRDefault="001B3AE0" w:rsidP="001B3AE0">
      <w:pPr>
        <w:pStyle w:val="Heading3"/>
        <w:rPr>
          <w:rFonts w:eastAsia="Calibri"/>
          <w:lang w:eastAsia="en-US"/>
        </w:rPr>
      </w:pPr>
      <w:r w:rsidRPr="00E244D1">
        <w:rPr>
          <w:rFonts w:eastAsia="Calibri"/>
          <w:lang w:eastAsia="en-US"/>
        </w:rPr>
        <w:t>Land and property and rents capitalised in prices</w:t>
      </w:r>
    </w:p>
    <w:p w14:paraId="737B2A68" w14:textId="7D1141C0" w:rsidR="001B3AE0" w:rsidRPr="00E244D1" w:rsidRDefault="001B3AE0" w:rsidP="00075D72">
      <w:pPr>
        <w:pStyle w:val="NumberedParagraph"/>
      </w:pPr>
      <w:r w:rsidRPr="00E244D1">
        <w:t>In the absence of good integration between an ACE and personal taxes, there would be considerable scope for individuals to put assets they own, such as rental properties, into companies. If properties are acquired by the companies at market value, the value is likely to reflect the capitalised value of future earnings. Most, or all, future rental income would escape personal tax.</w:t>
      </w:r>
    </w:p>
    <w:tbl>
      <w:tblPr>
        <w:tblStyle w:val="QuestionsBox"/>
        <w:tblW w:w="0" w:type="auto"/>
        <w:tblLayout w:type="fixed"/>
        <w:tblLook w:val="04A0" w:firstRow="1" w:lastRow="0" w:firstColumn="1" w:lastColumn="0" w:noHBand="0" w:noVBand="1"/>
      </w:tblPr>
      <w:tblGrid>
        <w:gridCol w:w="9016"/>
      </w:tblGrid>
      <w:tr w:rsidR="001B3AE0" w:rsidRPr="00E244D1" w14:paraId="1694344F" w14:textId="77777777" w:rsidTr="00325672">
        <w:tc>
          <w:tcPr>
            <w:tcW w:w="9016" w:type="dxa"/>
          </w:tcPr>
          <w:p w14:paraId="44E834CC" w14:textId="77777777" w:rsidR="00D52E2E" w:rsidRPr="00D52E2E" w:rsidRDefault="00D52E2E" w:rsidP="00325672">
            <w:pPr>
              <w:pStyle w:val="Heading2-Questions"/>
            </w:pPr>
            <w:r w:rsidRPr="00D52E2E">
              <w:t>Key questions to consider</w:t>
            </w:r>
          </w:p>
          <w:p w14:paraId="1DE2B791" w14:textId="5EE1A17E" w:rsidR="001B3AE0" w:rsidRPr="00E244D1" w:rsidRDefault="001B3AE0" w:rsidP="00325672">
            <w:pPr>
              <w:pStyle w:val="Questionsparagraph"/>
            </w:pPr>
            <w:r w:rsidRPr="001905BC">
              <w:rPr>
                <w:b/>
                <w:bCs/>
              </w:rPr>
              <w:t>Q10.1:</w:t>
            </w:r>
            <w:r>
              <w:tab/>
            </w:r>
            <w:r w:rsidRPr="00E244D1">
              <w:t>If problems of integration with personal taxes could be resolved, would an ACE be a viable tax reform option if governments wish to reduce EMTRs and make investment decisions more neutral?</w:t>
            </w:r>
          </w:p>
          <w:p w14:paraId="1DA8E5DB" w14:textId="77777777" w:rsidR="001B3AE0" w:rsidRPr="00E244D1" w:rsidRDefault="001B3AE0" w:rsidP="00325672">
            <w:pPr>
              <w:pStyle w:val="Questionsparagraph"/>
            </w:pPr>
            <w:r w:rsidRPr="001905BC">
              <w:rPr>
                <w:b/>
                <w:bCs/>
              </w:rPr>
              <w:t>Q10.2:</w:t>
            </w:r>
            <w:r>
              <w:tab/>
            </w:r>
            <w:r w:rsidRPr="00E244D1">
              <w:t>Are there viable ways of integrating an ACE with personal taxes and, if so, what are they?</w:t>
            </w:r>
          </w:p>
          <w:p w14:paraId="7386D487" w14:textId="77777777" w:rsidR="001B3AE0" w:rsidRPr="00E244D1" w:rsidRDefault="001B3AE0" w:rsidP="00325672">
            <w:pPr>
              <w:pStyle w:val="Questionsparagraph"/>
            </w:pPr>
            <w:r w:rsidRPr="001905BC">
              <w:rPr>
                <w:b/>
                <w:bCs/>
              </w:rPr>
              <w:t>Q10.3:</w:t>
            </w:r>
            <w:r>
              <w:tab/>
            </w:r>
            <w:r w:rsidRPr="00E244D1">
              <w:t>If an ACE system were to be introduced, would it be viable to levy a tax on firms with negative equity? If not, would the neutrality properties of the tax be sufficiently compromised for this to be an unattractive option?</w:t>
            </w:r>
          </w:p>
        </w:tc>
      </w:tr>
    </w:tbl>
    <w:p w14:paraId="09C7342D" w14:textId="2EC43FB1" w:rsidR="001B3AE0" w:rsidRPr="004B1C56" w:rsidRDefault="001B3AE0" w:rsidP="001B3AE0">
      <w:pPr>
        <w:pStyle w:val="Heading1"/>
        <w:rPr>
          <w:rFonts w:eastAsia="Calibri"/>
          <w:lang w:eastAsia="en-US"/>
        </w:rPr>
      </w:pPr>
      <w:r w:rsidRPr="004B1C56">
        <w:rPr>
          <w:rFonts w:eastAsia="Calibri"/>
          <w:lang w:eastAsia="en-US"/>
        </w:rPr>
        <w:lastRenderedPageBreak/>
        <w:br/>
      </w:r>
      <w:r w:rsidRPr="004B1C56">
        <w:rPr>
          <w:rFonts w:eastAsia="Calibri"/>
          <w:lang w:eastAsia="en-US"/>
        </w:rPr>
        <w:br/>
      </w:r>
      <w:bookmarkStart w:id="68" w:name="_Toc96585570"/>
      <w:r w:rsidR="002D0405">
        <w:rPr>
          <w:rFonts w:eastAsia="Calibri"/>
          <w:lang w:eastAsia="en-US"/>
        </w:rPr>
        <w:t>I</w:t>
      </w:r>
      <w:r w:rsidRPr="004B1C56">
        <w:rPr>
          <w:rFonts w:eastAsia="Calibri"/>
          <w:lang w:eastAsia="en-US"/>
        </w:rPr>
        <w:t xml:space="preserve">ncentives for </w:t>
      </w:r>
      <w:r w:rsidR="002D0405">
        <w:rPr>
          <w:rFonts w:eastAsia="Calibri"/>
          <w:lang w:eastAsia="en-US"/>
        </w:rPr>
        <w:t>specific</w:t>
      </w:r>
      <w:r w:rsidRPr="004B1C56">
        <w:rPr>
          <w:rFonts w:eastAsia="Calibri"/>
          <w:lang w:eastAsia="en-US"/>
        </w:rPr>
        <w:t xml:space="preserve"> businesses or industries</w:t>
      </w:r>
      <w:bookmarkEnd w:id="68"/>
    </w:p>
    <w:tbl>
      <w:tblPr>
        <w:tblStyle w:val="SummaryBox"/>
        <w:tblW w:w="0" w:type="auto"/>
        <w:tblLayout w:type="fixed"/>
        <w:tblLook w:val="04A0" w:firstRow="1" w:lastRow="0" w:firstColumn="1" w:lastColumn="0" w:noHBand="0" w:noVBand="1"/>
      </w:tblPr>
      <w:tblGrid>
        <w:gridCol w:w="8778"/>
      </w:tblGrid>
      <w:tr w:rsidR="001B3AE0" w:rsidRPr="00614077" w14:paraId="0D08C6B3" w14:textId="77777777" w:rsidTr="007D07BC">
        <w:tc>
          <w:tcPr>
            <w:tcW w:w="8778" w:type="dxa"/>
          </w:tcPr>
          <w:p w14:paraId="3A295C1E" w14:textId="26DFFD18" w:rsidR="001B3AE0" w:rsidRPr="00614077" w:rsidRDefault="001B3AE0" w:rsidP="00597B6B">
            <w:pPr>
              <w:pStyle w:val="ListBullet"/>
            </w:pPr>
            <w:r w:rsidRPr="00614077">
              <w:t xml:space="preserve">The main objective of this policy option is to favour </w:t>
            </w:r>
            <w:r w:rsidR="003912A5">
              <w:t>specific</w:t>
            </w:r>
            <w:r w:rsidRPr="00614077">
              <w:t xml:space="preserve"> industries or activities </w:t>
            </w:r>
            <w:r w:rsidR="00115E9D">
              <w:t>where</w:t>
            </w:r>
            <w:r w:rsidRPr="00614077">
              <w:t xml:space="preserve"> it is believed there will be too little of </w:t>
            </w:r>
            <w:r w:rsidR="0020047C">
              <w:t xml:space="preserve">these industries or activities </w:t>
            </w:r>
            <w:r w:rsidRPr="00614077">
              <w:t>without an incentive.</w:t>
            </w:r>
          </w:p>
          <w:p w14:paraId="5FBFC676" w14:textId="03B79C47" w:rsidR="001B3AE0" w:rsidRPr="00614077" w:rsidRDefault="0020047C" w:rsidP="00597B6B">
            <w:pPr>
              <w:pStyle w:val="ListBullet"/>
            </w:pPr>
            <w:r>
              <w:t>R</w:t>
            </w:r>
            <w:r w:rsidR="001B3AE0" w:rsidRPr="00614077">
              <w:t xml:space="preserve">easons for incentives include the possibility of positive externalities or that the incentives may bring some desirable activity to New Zealand </w:t>
            </w:r>
            <w:r w:rsidR="00F2677D">
              <w:t>that</w:t>
            </w:r>
            <w:r w:rsidR="001B3AE0" w:rsidRPr="00614077">
              <w:t xml:space="preserve"> is particularly sensitive to tax.</w:t>
            </w:r>
          </w:p>
          <w:p w14:paraId="5B2D755B" w14:textId="77777777" w:rsidR="001B3AE0" w:rsidRPr="00614077" w:rsidRDefault="001B3AE0" w:rsidP="00597B6B">
            <w:pPr>
              <w:pStyle w:val="ListBullet"/>
            </w:pPr>
            <w:r w:rsidRPr="00614077">
              <w:t>Downsides of tax incentives are that this reduces the neutrality of the tax system and, unless incentives are very cleverly targeted, this can divert investment into less productive areas and encourage lobbying.</w:t>
            </w:r>
          </w:p>
          <w:p w14:paraId="79FC11C0" w14:textId="77777777" w:rsidR="001B3AE0" w:rsidRPr="00614077" w:rsidRDefault="001B3AE0" w:rsidP="00597B6B">
            <w:pPr>
              <w:pStyle w:val="ListBullet"/>
            </w:pPr>
            <w:r w:rsidRPr="00614077">
              <w:t>Questions can also be raised about whether there should be surtaxes on certain activities.</w:t>
            </w:r>
          </w:p>
          <w:p w14:paraId="5641EFF4" w14:textId="35F2FFD3" w:rsidR="001B3AE0" w:rsidRPr="00614077" w:rsidRDefault="001B3AE0" w:rsidP="00597B6B">
            <w:pPr>
              <w:pStyle w:val="ListBullet"/>
            </w:pPr>
            <w:r w:rsidRPr="00614077">
              <w:t>New Zealand’s general approach for many years has been (with a few exceptions) to keep the tax base as broad and neutral as possible.</w:t>
            </w:r>
          </w:p>
          <w:p w14:paraId="3A9F5190" w14:textId="77777777" w:rsidR="001B3AE0" w:rsidRPr="00614077" w:rsidRDefault="001B3AE0" w:rsidP="00597B6B">
            <w:pPr>
              <w:pStyle w:val="ListBullet"/>
            </w:pPr>
            <w:r w:rsidRPr="00614077">
              <w:t>This chapter questions whether there are good grounds for changing this approach.</w:t>
            </w:r>
          </w:p>
        </w:tc>
      </w:tr>
    </w:tbl>
    <w:p w14:paraId="24BB7C26" w14:textId="77777777" w:rsidR="001B3AE0" w:rsidRPr="00614077" w:rsidRDefault="001B3AE0" w:rsidP="001B3AE0">
      <w:pPr>
        <w:pStyle w:val="Heading2"/>
        <w:rPr>
          <w:rFonts w:eastAsia="Calibri"/>
          <w:lang w:eastAsia="en-US"/>
        </w:rPr>
      </w:pPr>
      <w:bookmarkStart w:id="69" w:name="_Toc96585571"/>
      <w:r w:rsidRPr="00614077">
        <w:rPr>
          <w:rFonts w:eastAsia="Calibri"/>
          <w:lang w:eastAsia="en-US"/>
        </w:rPr>
        <w:t>Introduction</w:t>
      </w:r>
      <w:bookmarkEnd w:id="69"/>
    </w:p>
    <w:p w14:paraId="47967D58" w14:textId="464D05B0" w:rsidR="001B3AE0" w:rsidRPr="00614077" w:rsidRDefault="001B3AE0" w:rsidP="00075D72">
      <w:pPr>
        <w:pStyle w:val="NumberedParagraph"/>
      </w:pPr>
      <w:r w:rsidRPr="00614077">
        <w:t xml:space="preserve">One way of reducing the cost of capital is to target favourable tax treatment to </w:t>
      </w:r>
      <w:r w:rsidR="007D3803">
        <w:t>specific</w:t>
      </w:r>
      <w:r w:rsidRPr="00614077">
        <w:t xml:space="preserve"> businesses or industries. This is usually promoted on one or more of the following premises:</w:t>
      </w:r>
    </w:p>
    <w:p w14:paraId="73537401" w14:textId="77777777" w:rsidR="001B3AE0" w:rsidRPr="00614077" w:rsidRDefault="001B3AE0" w:rsidP="00075D72">
      <w:pPr>
        <w:pStyle w:val="NumberedParagraph-BulletL1"/>
      </w:pPr>
      <w:r w:rsidRPr="00614077">
        <w:t>We are competing with other countries for a particular type of activity, and a specific tax incentive is a cost-effective way of attracting that activity while keeping taxes higher on other businesses.</w:t>
      </w:r>
    </w:p>
    <w:p w14:paraId="63963ECD" w14:textId="77777777" w:rsidR="001B3AE0" w:rsidRPr="00614077" w:rsidRDefault="001B3AE0" w:rsidP="00075D72">
      <w:pPr>
        <w:pStyle w:val="NumberedParagraph-BulletL1"/>
      </w:pPr>
      <w:r w:rsidRPr="00614077">
        <w:t>There are positive externalities from the activity, and it will therefore be underprovided by the market unless it is subsidised through a specific tax incentive.</w:t>
      </w:r>
    </w:p>
    <w:p w14:paraId="15F422CE" w14:textId="77777777" w:rsidR="001B3AE0" w:rsidRPr="00614077" w:rsidRDefault="001B3AE0" w:rsidP="00075D72">
      <w:pPr>
        <w:pStyle w:val="NumberedParagraph-BulletL1"/>
      </w:pPr>
      <w:r w:rsidRPr="00614077">
        <w:t>The activity is important to the future of the economy, and future living standards will be higher if we get more of the activity now by subsidising it with a specific tax incentive.</w:t>
      </w:r>
    </w:p>
    <w:p w14:paraId="51E7F4A1" w14:textId="412274B7" w:rsidR="001B3AE0" w:rsidRPr="00614077" w:rsidRDefault="001B3AE0" w:rsidP="00075D72">
      <w:pPr>
        <w:pStyle w:val="NumberedParagraph"/>
      </w:pPr>
      <w:r w:rsidRPr="00614077">
        <w:t>In the context of a model looking at effective marginal tax rates</w:t>
      </w:r>
      <w:r w:rsidR="00836005">
        <w:t xml:space="preserve"> (EMTRs)</w:t>
      </w:r>
      <w:r w:rsidRPr="00614077">
        <w:t>, a specific incentive can lower the cost of capital by lowering the tax rate applied to income from the investment, or by accelerating or increasing depreciation deductions for the investment.</w:t>
      </w:r>
    </w:p>
    <w:p w14:paraId="4AA09C61" w14:textId="44440A0E" w:rsidR="001B3AE0" w:rsidRPr="00614077" w:rsidRDefault="001B3AE0" w:rsidP="00075D72">
      <w:pPr>
        <w:pStyle w:val="NumberedParagraph"/>
      </w:pPr>
      <w:r w:rsidRPr="00614077">
        <w:t>A typical list of tax incentives is provided by Klemm:</w:t>
      </w:r>
    </w:p>
    <w:p w14:paraId="0E9C118E" w14:textId="77777777" w:rsidR="001B3AE0" w:rsidRPr="00614077" w:rsidRDefault="001B3AE0" w:rsidP="00075D72">
      <w:pPr>
        <w:pStyle w:val="NumberedParagraph-BulletL1"/>
      </w:pPr>
      <w:r w:rsidRPr="00614077">
        <w:t>Tax holidays (a temporary exemption from particular taxes).</w:t>
      </w:r>
    </w:p>
    <w:p w14:paraId="145A1FAC" w14:textId="77777777" w:rsidR="001B3AE0" w:rsidRPr="00614077" w:rsidRDefault="001B3AE0" w:rsidP="00075D72">
      <w:pPr>
        <w:pStyle w:val="NumberedParagraph-BulletL1"/>
      </w:pPr>
      <w:r w:rsidRPr="00614077">
        <w:t>Special zones (geographically limited areas where various tax exemptions are applied).</w:t>
      </w:r>
    </w:p>
    <w:p w14:paraId="607DCDF8" w14:textId="77777777" w:rsidR="001B3AE0" w:rsidRPr="00614077" w:rsidRDefault="001B3AE0" w:rsidP="00075D72">
      <w:pPr>
        <w:pStyle w:val="NumberedParagraph-BulletL1"/>
      </w:pPr>
      <w:r w:rsidRPr="00614077">
        <w:lastRenderedPageBreak/>
        <w:t>Investment tax credit (immediate tax credit similar to New Zealand’s current R&amp;D tax credit for investment, potentially with refundability).</w:t>
      </w:r>
    </w:p>
    <w:p w14:paraId="55537DAE" w14:textId="77777777" w:rsidR="001B3AE0" w:rsidRPr="00614077" w:rsidRDefault="001B3AE0" w:rsidP="00075D72">
      <w:pPr>
        <w:pStyle w:val="NumberedParagraph-BulletL1"/>
      </w:pPr>
      <w:r w:rsidRPr="00614077">
        <w:t>Investment allowance (immediate deduction for investment, but its value depends on the tax rate for the firm).</w:t>
      </w:r>
    </w:p>
    <w:p w14:paraId="7F096D33" w14:textId="77777777" w:rsidR="001B3AE0" w:rsidRPr="00614077" w:rsidRDefault="001B3AE0" w:rsidP="00075D72">
      <w:pPr>
        <w:pStyle w:val="NumberedParagraph-BulletL1"/>
      </w:pPr>
      <w:r w:rsidRPr="00614077">
        <w:t>Accelerated depreciation (depreciation at a faster rate than generally applied).</w:t>
      </w:r>
    </w:p>
    <w:p w14:paraId="27AF3A6F" w14:textId="77777777" w:rsidR="001B3AE0" w:rsidRPr="00614077" w:rsidRDefault="001B3AE0" w:rsidP="00075D72">
      <w:pPr>
        <w:pStyle w:val="NumberedParagraph-BulletL1"/>
      </w:pPr>
      <w:r w:rsidRPr="00614077">
        <w:t>Reduced tax rates.</w:t>
      </w:r>
    </w:p>
    <w:p w14:paraId="08618660" w14:textId="77777777" w:rsidR="001B3AE0" w:rsidRPr="00614077" w:rsidRDefault="001B3AE0" w:rsidP="00075D72">
      <w:pPr>
        <w:pStyle w:val="NumberedParagraph-BulletL1"/>
      </w:pPr>
      <w:r w:rsidRPr="00614077">
        <w:t>Exemptions from various taxes.</w:t>
      </w:r>
    </w:p>
    <w:p w14:paraId="206CC062" w14:textId="77777777" w:rsidR="001B3AE0" w:rsidRPr="00614077" w:rsidRDefault="001B3AE0" w:rsidP="00075D72">
      <w:pPr>
        <w:pStyle w:val="NumberedParagraph-BulletL1"/>
      </w:pPr>
      <w:r w:rsidRPr="00614077">
        <w:t>Financing incentives (for example, reduced withholding taxes on dividends)</w:t>
      </w:r>
    </w:p>
    <w:p w14:paraId="071D293A" w14:textId="338E1531" w:rsidR="001B3AE0" w:rsidRPr="00614077" w:rsidRDefault="001B3AE0" w:rsidP="001B3AE0">
      <w:pPr>
        <w:pStyle w:val="Heading2"/>
        <w:rPr>
          <w:rFonts w:eastAsia="Calibri"/>
          <w:lang w:eastAsia="en-US"/>
        </w:rPr>
      </w:pPr>
      <w:bookmarkStart w:id="70" w:name="_Toc96585572"/>
      <w:r w:rsidRPr="00614077">
        <w:rPr>
          <w:rFonts w:eastAsia="Calibri"/>
          <w:lang w:eastAsia="en-US"/>
        </w:rPr>
        <w:t>P</w:t>
      </w:r>
      <w:r w:rsidR="004C1915">
        <w:rPr>
          <w:rFonts w:eastAsia="Calibri"/>
          <w:lang w:eastAsia="en-US"/>
        </w:rPr>
        <w:t>ros</w:t>
      </w:r>
      <w:bookmarkEnd w:id="70"/>
    </w:p>
    <w:p w14:paraId="04C33D56" w14:textId="335522BE" w:rsidR="001B3AE0" w:rsidRPr="00614077" w:rsidRDefault="001B3AE0" w:rsidP="00075D72">
      <w:pPr>
        <w:pStyle w:val="NumberedParagraph"/>
      </w:pPr>
      <w:r w:rsidRPr="00614077">
        <w:t>At times investment may generate positive externalities (that is, spillover benefits to other firms or individuals). This can provide a case for a tax subsidy for that type of investment. This is the justification for the current R&amp;D tax credit. A concern is that</w:t>
      </w:r>
      <w:r w:rsidR="00E96B27">
        <w:t>,</w:t>
      </w:r>
      <w:r w:rsidRPr="00614077">
        <w:t xml:space="preserve"> in the absence of some subsidy for the investment</w:t>
      </w:r>
      <w:r w:rsidR="00E96B27">
        <w:t>,</w:t>
      </w:r>
      <w:r w:rsidRPr="00614077">
        <w:t xml:space="preserve"> there may be too little investment undertaken because some of the benefits from R&amp;D are captured not by the firm undertaking the investment but by other firms in New Zealand. If a tax subsidy is justified on those grounds</w:t>
      </w:r>
      <w:r w:rsidR="002C0174">
        <w:t>,</w:t>
      </w:r>
      <w:r w:rsidRPr="00614077">
        <w:t xml:space="preserve"> it is important that the measure addresses a specific market failure, that the market failure is not driven by other poor regulatory settings and </w:t>
      </w:r>
      <w:r w:rsidR="007D749A">
        <w:t xml:space="preserve">that </w:t>
      </w:r>
      <w:r w:rsidRPr="00614077">
        <w:t>providing a tax incentive is the best way of addressing the issue.</w:t>
      </w:r>
    </w:p>
    <w:p w14:paraId="5114C69C" w14:textId="77777777" w:rsidR="001B3AE0" w:rsidRPr="00614077" w:rsidRDefault="001B3AE0" w:rsidP="00075D72">
      <w:pPr>
        <w:pStyle w:val="NumberedParagraph"/>
      </w:pPr>
      <w:r w:rsidRPr="00614077">
        <w:t>Another possible argument for incentives is that, if targeted to mobile investment, investment might be attracted without reducing activity in other areas.</w:t>
      </w:r>
    </w:p>
    <w:p w14:paraId="25143B9F" w14:textId="77777777" w:rsidR="001B3AE0" w:rsidRPr="00614077" w:rsidRDefault="001B3AE0" w:rsidP="00075D72">
      <w:pPr>
        <w:pStyle w:val="NumberedParagraph"/>
      </w:pPr>
      <w:r w:rsidRPr="00614077">
        <w:t>By targeting specific industries, a case can be made that, overall, tax competition might be less damaging because it allows higher general tax rates.</w:t>
      </w:r>
    </w:p>
    <w:p w14:paraId="143FFA49" w14:textId="077F57C2" w:rsidR="001B3AE0" w:rsidRPr="00614077" w:rsidRDefault="001B3AE0" w:rsidP="00075D72">
      <w:pPr>
        <w:pStyle w:val="NumberedParagraph"/>
      </w:pPr>
      <w:r w:rsidRPr="00614077">
        <w:t xml:space="preserve">Another perspective is not to look at this approach as a system that has low rates for specific industries or activities, but rather as having a low cost of capital for industries generally, while levying higher tax rates on particularly immobile tax bases. </w:t>
      </w:r>
      <w:r w:rsidR="437916CA">
        <w:t>This approach (levying higher tax rates on immobile tax bases),</w:t>
      </w:r>
      <w:r w:rsidRPr="00614077">
        <w:t xml:space="preserve"> has been followed</w:t>
      </w:r>
      <w:r w:rsidR="00012FAD" w:rsidRPr="00614077">
        <w:t xml:space="preserve"> to some degree</w:t>
      </w:r>
      <w:r w:rsidRPr="00614077">
        <w:t xml:space="preserve"> in a country like Norway (with very high taxes on oil and gas but a broad-based low-rate system generally).</w:t>
      </w:r>
    </w:p>
    <w:p w14:paraId="75718CD8" w14:textId="79D3E623" w:rsidR="001B3AE0" w:rsidRPr="00614077" w:rsidRDefault="004C1915" w:rsidP="001B3AE0">
      <w:pPr>
        <w:pStyle w:val="Heading2"/>
        <w:rPr>
          <w:rFonts w:eastAsia="Calibri"/>
          <w:lang w:eastAsia="en-US"/>
        </w:rPr>
      </w:pPr>
      <w:bookmarkStart w:id="71" w:name="_Toc96585573"/>
      <w:r>
        <w:rPr>
          <w:rFonts w:eastAsia="Calibri"/>
          <w:lang w:eastAsia="en-US"/>
        </w:rPr>
        <w:t>Cons</w:t>
      </w:r>
      <w:bookmarkEnd w:id="71"/>
    </w:p>
    <w:p w14:paraId="203541DE" w14:textId="77777777" w:rsidR="001B3AE0" w:rsidRPr="00614077" w:rsidRDefault="001B3AE0" w:rsidP="001B3AE0">
      <w:pPr>
        <w:pStyle w:val="Heading3"/>
        <w:rPr>
          <w:rFonts w:eastAsia="Calibri"/>
          <w:iCs/>
          <w:lang w:eastAsia="en-US"/>
        </w:rPr>
      </w:pPr>
      <w:r w:rsidRPr="00614077">
        <w:rPr>
          <w:rFonts w:eastAsia="Calibri"/>
          <w:lang w:eastAsia="en-US"/>
        </w:rPr>
        <w:t>Moving away from a broad-based low-rate system</w:t>
      </w:r>
    </w:p>
    <w:p w14:paraId="362C9DD1" w14:textId="77777777" w:rsidR="001B3AE0" w:rsidRPr="00614077" w:rsidRDefault="001B3AE0" w:rsidP="00075D72">
      <w:pPr>
        <w:pStyle w:val="NumberedParagraph"/>
      </w:pPr>
      <w:r w:rsidRPr="00075D72">
        <w:rPr>
          <w:lang w:val="en-GB"/>
        </w:rPr>
        <w:t>The underlying logic of a broad-based low-rate system is that the most profitable pre-tax investments are the most productive investments. That is, they generate the most income for a given investment cost. New Zealand is likely to have the lowest cost tax system (for a given amount of revenue) if it ensures that the tax system is distorting the choice of which investments by as little as possible. In chapter 2, we discussed some general benefits of neutrality in tax settings.</w:t>
      </w:r>
    </w:p>
    <w:p w14:paraId="68AF2F4B" w14:textId="77777777" w:rsidR="001B3AE0" w:rsidRPr="00075D72" w:rsidRDefault="001B3AE0" w:rsidP="00075D72">
      <w:pPr>
        <w:pStyle w:val="NumberedParagraph"/>
        <w:rPr>
          <w:shd w:val="clear" w:color="auto" w:fill="FFFFFF"/>
        </w:rPr>
      </w:pPr>
      <w:r w:rsidRPr="00075D72">
        <w:rPr>
          <w:shd w:val="clear" w:color="auto" w:fill="FFFFFF"/>
        </w:rPr>
        <w:t xml:space="preserve">The primary weakness of specific incentives is that they create distortions to the economy through preferential treatment. This can have indirect costs even </w:t>
      </w:r>
      <w:r w:rsidRPr="00075D72">
        <w:rPr>
          <w:shd w:val="clear" w:color="auto" w:fill="FFFFFF"/>
        </w:rPr>
        <w:lastRenderedPageBreak/>
        <w:t>if the investment would not have taken place but for the incentive. This will happen if the favoured investment or activity crowds out other investment or activity that is taxed at the general rate. Normally this would be expected to reduce economic efficiency and productivity relative to providing more neutral tax cuts that cost a similar amount.</w:t>
      </w:r>
    </w:p>
    <w:p w14:paraId="23B63E51" w14:textId="6BBCCBC0" w:rsidR="001B3AE0" w:rsidRPr="00075D72" w:rsidRDefault="001B3AE0" w:rsidP="00075D72">
      <w:pPr>
        <w:pStyle w:val="NumberedParagraph"/>
        <w:rPr>
          <w:lang w:val="en-GB"/>
        </w:rPr>
      </w:pPr>
      <w:r w:rsidRPr="00075D72">
        <w:rPr>
          <w:lang w:val="en-GB"/>
        </w:rPr>
        <w:t>Specific incentives (a move towards a narrow-based high-rate system) would make sense if the government were able to somehow know that, although an investment was less profitable pre-tax than other investments, it was nevertheless more in New Zealand’s interests for the investment to be undertaken, and if there w</w:t>
      </w:r>
      <w:r w:rsidR="00A47C2D" w:rsidRPr="00075D72">
        <w:rPr>
          <w:lang w:val="en-GB"/>
        </w:rPr>
        <w:t>ere</w:t>
      </w:r>
      <w:r w:rsidRPr="00075D72">
        <w:rPr>
          <w:lang w:val="en-GB"/>
        </w:rPr>
        <w:t xml:space="preserve"> no better instrument to address this presumed market failure other than the tax incentive. The key weakness is about the ability and incentives to gather that knowledge.</w:t>
      </w:r>
    </w:p>
    <w:p w14:paraId="21817CC0" w14:textId="77777777" w:rsidR="001B3AE0" w:rsidRPr="00075D72" w:rsidRDefault="001B3AE0" w:rsidP="00075D72">
      <w:pPr>
        <w:pStyle w:val="NumberedParagraph"/>
        <w:rPr>
          <w:color w:val="000000"/>
          <w:shd w:val="clear" w:color="auto" w:fill="FFFFFF"/>
        </w:rPr>
      </w:pPr>
      <w:r w:rsidRPr="00075D72">
        <w:rPr>
          <w:lang w:val="en-GB"/>
        </w:rPr>
        <w:t>As noted in the 2001 McLeod review, arguments for favourable tax treatment due to positive externalities or other benefits can become “a platform for practically any lobbyist’s reform</w:t>
      </w:r>
      <w:r w:rsidRPr="00075D72">
        <w:rPr>
          <w:color w:val="000000"/>
          <w:shd w:val="clear" w:color="auto" w:fill="FFFFFF"/>
        </w:rPr>
        <w:t xml:space="preserve"> agenda”.</w:t>
      </w:r>
      <w:r w:rsidRPr="00614077">
        <w:rPr>
          <w:color w:val="000000"/>
          <w:shd w:val="clear" w:color="auto" w:fill="FFFFFF"/>
          <w:vertAlign w:val="superscript"/>
        </w:rPr>
        <w:footnoteReference w:id="36"/>
      </w:r>
    </w:p>
    <w:p w14:paraId="7F9B849F" w14:textId="77777777" w:rsidR="001B3AE0" w:rsidRPr="00614077" w:rsidRDefault="001B3AE0" w:rsidP="001B3AE0">
      <w:pPr>
        <w:pStyle w:val="Heading3"/>
        <w:rPr>
          <w:rFonts w:eastAsia="Calibri"/>
          <w:iCs/>
          <w:shd w:val="clear" w:color="auto" w:fill="FFFFFF"/>
          <w:lang w:eastAsia="en-US"/>
        </w:rPr>
      </w:pPr>
      <w:r w:rsidRPr="00614077">
        <w:rPr>
          <w:rFonts w:eastAsia="Calibri"/>
          <w:shd w:val="clear" w:color="auto" w:fill="FFFFFF"/>
          <w:lang w:eastAsia="en-US"/>
        </w:rPr>
        <w:t>When low taxes on specific businesses or industries might be in New Zealand’s best interests</w:t>
      </w:r>
    </w:p>
    <w:p w14:paraId="0C3BD4C8" w14:textId="1B78CC40" w:rsidR="001B3AE0" w:rsidRPr="00614077" w:rsidRDefault="001B3AE0" w:rsidP="00075D72">
      <w:pPr>
        <w:pStyle w:val="NumberedParagraph"/>
      </w:pPr>
      <w:r w:rsidRPr="00614077">
        <w:rPr>
          <w:lang w:val="en-GB"/>
        </w:rPr>
        <w:t>There can be cases where it makes sense for a country (for example, New Zealand) to undercut a different country’s tax rate to try to attract investment that can happen in one country or another (but not both). This will be the case where this lures highly productive firms to New Zealand with substantial economic rents that they can earn in New Zealand or in other countries</w:t>
      </w:r>
      <w:r w:rsidR="00CE7364">
        <w:rPr>
          <w:lang w:val="en-GB"/>
        </w:rPr>
        <w:t>,</w:t>
      </w:r>
      <w:r w:rsidRPr="00614077">
        <w:rPr>
          <w:lang w:val="en-GB"/>
        </w:rPr>
        <w:t xml:space="preserve"> and where that investment does not draw investment away from other, higher pre-tax return investments in the attracting country (that is, New Zealand).</w:t>
      </w:r>
    </w:p>
    <w:p w14:paraId="6E5EAA6F" w14:textId="5EEB851E" w:rsidR="001B3AE0" w:rsidRPr="00614077" w:rsidRDefault="001B3AE0" w:rsidP="00075D72">
      <w:pPr>
        <w:pStyle w:val="NumberedParagraph"/>
      </w:pPr>
      <w:r w:rsidRPr="00075D72">
        <w:rPr>
          <w:shd w:val="clear" w:color="auto" w:fill="FFFFFF"/>
          <w:lang w:val="en-GB"/>
        </w:rPr>
        <w:t xml:space="preserve">Low taxes are most effective where a tax base is very mobile. That is, the firm has an economic rent it can earn, but it can earn that same level of rent </w:t>
      </w:r>
      <w:r w:rsidRPr="00075D72">
        <w:rPr>
          <w:i/>
          <w:iCs/>
          <w:shd w:val="clear" w:color="auto" w:fill="FFFFFF"/>
          <w:lang w:val="en-GB"/>
        </w:rPr>
        <w:t>regardless</w:t>
      </w:r>
      <w:r w:rsidRPr="00075D72">
        <w:rPr>
          <w:shd w:val="clear" w:color="auto" w:fill="FFFFFF"/>
          <w:lang w:val="en-GB"/>
        </w:rPr>
        <w:t xml:space="preserve"> of where it operates. If a tax incentive</w:t>
      </w:r>
      <w:r w:rsidR="00564BD3" w:rsidRPr="00075D72">
        <w:rPr>
          <w:shd w:val="clear" w:color="auto" w:fill="FFFFFF"/>
          <w:lang w:val="en-GB"/>
        </w:rPr>
        <w:t>,</w:t>
      </w:r>
      <w:r w:rsidRPr="00075D72">
        <w:rPr>
          <w:shd w:val="clear" w:color="auto" w:fill="FFFFFF"/>
          <w:lang w:val="en-GB"/>
        </w:rPr>
        <w:t xml:space="preserve"> such as a low company tax rate for certain businesses or industries</w:t>
      </w:r>
      <w:r w:rsidR="00564BD3" w:rsidRPr="00075D72">
        <w:rPr>
          <w:shd w:val="clear" w:color="auto" w:fill="FFFFFF"/>
          <w:lang w:val="en-GB"/>
        </w:rPr>
        <w:t>,</w:t>
      </w:r>
      <w:r w:rsidRPr="00075D72">
        <w:rPr>
          <w:shd w:val="clear" w:color="auto" w:fill="FFFFFF"/>
          <w:lang w:val="en-GB"/>
        </w:rPr>
        <w:t xml:space="preserve"> lured firms with large firm specific rents to locate and grow and expand in New Zealand, this could potentially be in New Zealand’s best interests. There would be both the direct revenue benefits of company tax that would otherwise not be collected and potentially wider skills which might be passed on to other firms which would support productivity and growth. Correctly identifying these businesses or industries is likely to be challenging.</w:t>
      </w:r>
    </w:p>
    <w:p w14:paraId="40BD63DA" w14:textId="44E183D5" w:rsidR="001B3AE0" w:rsidRPr="00614077" w:rsidRDefault="001B3AE0" w:rsidP="001B3AE0">
      <w:pPr>
        <w:pStyle w:val="Heading3"/>
        <w:rPr>
          <w:rFonts w:eastAsia="Calibri"/>
          <w:color w:val="000000"/>
          <w:shd w:val="clear" w:color="auto" w:fill="FFFFFF"/>
          <w:lang w:eastAsia="en-US"/>
        </w:rPr>
      </w:pPr>
      <w:r w:rsidRPr="000E30EE">
        <w:rPr>
          <w:rFonts w:eastAsia="Calibri"/>
          <w:lang w:val="en-GB" w:eastAsia="en-US"/>
        </w:rPr>
        <w:t>When</w:t>
      </w:r>
      <w:r w:rsidRPr="00614077">
        <w:rPr>
          <w:rFonts w:eastAsia="Calibri"/>
          <w:lang w:eastAsia="en-US"/>
        </w:rPr>
        <w:t xml:space="preserve"> low taxes on specific businesses or </w:t>
      </w:r>
      <w:r w:rsidR="001F384D">
        <w:rPr>
          <w:rFonts w:eastAsia="Calibri"/>
          <w:lang w:eastAsia="en-US"/>
        </w:rPr>
        <w:t>industries</w:t>
      </w:r>
      <w:r w:rsidRPr="00614077">
        <w:rPr>
          <w:rFonts w:eastAsia="Calibri"/>
          <w:lang w:eastAsia="en-US"/>
        </w:rPr>
        <w:t xml:space="preserve"> are unlikely to be in New Zealand’s best interests.</w:t>
      </w:r>
      <w:r w:rsidRPr="00614077" w:rsidDel="00310414">
        <w:rPr>
          <w:rFonts w:eastAsia="Calibri"/>
          <w:color w:val="000000"/>
          <w:shd w:val="clear" w:color="auto" w:fill="FFFFFF"/>
          <w:lang w:eastAsia="en-US"/>
        </w:rPr>
        <w:t xml:space="preserve"> </w:t>
      </w:r>
    </w:p>
    <w:p w14:paraId="3CAC8207" w14:textId="1A8B4F55" w:rsidR="001B3AE0" w:rsidRPr="00075D72" w:rsidRDefault="001B3AE0" w:rsidP="00075D72">
      <w:pPr>
        <w:pStyle w:val="NumberedParagraph"/>
        <w:rPr>
          <w:lang w:val="en-GB"/>
        </w:rPr>
      </w:pPr>
      <w:r w:rsidRPr="00075D72">
        <w:rPr>
          <w:lang w:val="en-GB"/>
        </w:rPr>
        <w:t xml:space="preserve">Low taxes on specific businesses or </w:t>
      </w:r>
      <w:r w:rsidR="001F384D" w:rsidRPr="00075D72">
        <w:rPr>
          <w:lang w:val="en-GB"/>
        </w:rPr>
        <w:t>industries</w:t>
      </w:r>
      <w:r w:rsidRPr="00075D72">
        <w:rPr>
          <w:lang w:val="en-GB"/>
        </w:rPr>
        <w:t xml:space="preserve"> will not be in New Zealand’s best interests when there are large economic rents to be earned while operating in New Zealand</w:t>
      </w:r>
      <w:r w:rsidR="00625674" w:rsidRPr="00075D72">
        <w:rPr>
          <w:lang w:val="en-GB"/>
        </w:rPr>
        <w:t>,</w:t>
      </w:r>
      <w:r w:rsidRPr="00075D72">
        <w:rPr>
          <w:lang w:val="en-GB"/>
        </w:rPr>
        <w:t xml:space="preserve"> but they are location specific and only arise if the firm operates within New Zealand.</w:t>
      </w:r>
    </w:p>
    <w:p w14:paraId="41052C98" w14:textId="6D6F3842" w:rsidR="001B3AE0" w:rsidRPr="00075D72" w:rsidRDefault="001B3AE0" w:rsidP="00075D72">
      <w:pPr>
        <w:pStyle w:val="NumberedParagraph"/>
        <w:rPr>
          <w:lang w:val="en-GB"/>
        </w:rPr>
      </w:pPr>
      <w:r w:rsidRPr="00075D72">
        <w:rPr>
          <w:lang w:val="en-GB"/>
        </w:rPr>
        <w:t>When there are large location</w:t>
      </w:r>
      <w:r w:rsidR="00262769" w:rsidRPr="00075D72">
        <w:rPr>
          <w:lang w:val="en-GB"/>
        </w:rPr>
        <w:t>-</w:t>
      </w:r>
      <w:r w:rsidRPr="00075D72">
        <w:rPr>
          <w:lang w:val="en-GB"/>
        </w:rPr>
        <w:t xml:space="preserve">specific rents, some countries apply higher taxes to the business or activity. A specific extreme example is petroleum resources in Norway. The ordinary company rate in Norway is 22%, </w:t>
      </w:r>
      <w:r w:rsidRPr="00614077">
        <w:t>but</w:t>
      </w:r>
      <w:r w:rsidRPr="00075D72">
        <w:rPr>
          <w:lang w:val="en-GB"/>
        </w:rPr>
        <w:t xml:space="preserve"> the additional tax on cash</w:t>
      </w:r>
      <w:r w:rsidR="00894900" w:rsidRPr="00075D72">
        <w:rPr>
          <w:lang w:val="en-GB"/>
        </w:rPr>
        <w:t xml:space="preserve"> </w:t>
      </w:r>
      <w:r w:rsidRPr="00075D72">
        <w:rPr>
          <w:lang w:val="en-GB"/>
        </w:rPr>
        <w:t>flow principles on petroleum resources is applied at a rate of 56%, giving a total rate of 78%.</w:t>
      </w:r>
      <w:r w:rsidRPr="00614077">
        <w:rPr>
          <w:vertAlign w:val="superscript"/>
          <w:lang w:val="en-GB"/>
        </w:rPr>
        <w:footnoteReference w:id="37"/>
      </w:r>
    </w:p>
    <w:p w14:paraId="7E8CAC31" w14:textId="4D274CD2" w:rsidR="001B3AE0" w:rsidRPr="00614077" w:rsidRDefault="001B3AE0" w:rsidP="00075D72">
      <w:pPr>
        <w:pStyle w:val="NumberedParagraph"/>
      </w:pPr>
      <w:r w:rsidRPr="00075D72">
        <w:rPr>
          <w:lang w:val="en-GB"/>
        </w:rPr>
        <w:lastRenderedPageBreak/>
        <w:t xml:space="preserve">In one sense, investment in petroleum extraction </w:t>
      </w:r>
      <w:r w:rsidR="002D27F1" w:rsidRPr="00075D72">
        <w:rPr>
          <w:lang w:val="en-GB"/>
        </w:rPr>
        <w:t>‘</w:t>
      </w:r>
      <w:r w:rsidRPr="00075D72">
        <w:rPr>
          <w:lang w:val="en-GB"/>
        </w:rPr>
        <w:t>competes</w:t>
      </w:r>
      <w:r w:rsidR="002D27F1" w:rsidRPr="00075D72">
        <w:rPr>
          <w:lang w:val="en-GB"/>
        </w:rPr>
        <w:t>’</w:t>
      </w:r>
      <w:r w:rsidRPr="00075D72">
        <w:rPr>
          <w:lang w:val="en-GB"/>
        </w:rPr>
        <w:t xml:space="preserve"> with all other investments available to international investors. </w:t>
      </w:r>
      <w:r w:rsidR="00B50823" w:rsidRPr="00075D72">
        <w:rPr>
          <w:lang w:val="en-GB"/>
        </w:rPr>
        <w:t>However,</w:t>
      </w:r>
      <w:r w:rsidRPr="00075D72">
        <w:rPr>
          <w:lang w:val="en-GB"/>
        </w:rPr>
        <w:t xml:space="preserve"> applying a 78% tax rate may still be a sensible policy because the firm must be in Norway to earn the returns, and those returns are so high that, even after this tax, the investment earns sufficient returns to still attract investment.</w:t>
      </w:r>
    </w:p>
    <w:p w14:paraId="75B6BFFF" w14:textId="3B565018" w:rsidR="001B3AE0" w:rsidRPr="00614077" w:rsidRDefault="001B3AE0" w:rsidP="00075D72">
      <w:pPr>
        <w:pStyle w:val="NumberedParagraph"/>
      </w:pPr>
      <w:r w:rsidRPr="00614077">
        <w:t>Norway</w:t>
      </w:r>
      <w:r w:rsidRPr="00075D72">
        <w:rPr>
          <w:lang w:val="en-GB"/>
        </w:rPr>
        <w:t xml:space="preserve"> has decided it makes sense to move away from an otherwise broad-based low-rate approach for this specific industry because of the level of economic rent available to firms operating in the industry.</w:t>
      </w:r>
      <w:r w:rsidR="005937D8" w:rsidRPr="00075D72">
        <w:rPr>
          <w:lang w:val="en-GB"/>
        </w:rPr>
        <w:t xml:space="preserve"> This is</w:t>
      </w:r>
      <w:r w:rsidR="009B4F02" w:rsidRPr="00075D72">
        <w:rPr>
          <w:lang w:val="en-GB"/>
        </w:rPr>
        <w:t xml:space="preserve"> even though it is a capital-intensive industry with global competition.</w:t>
      </w:r>
    </w:p>
    <w:p w14:paraId="7EF07E90" w14:textId="4CBDC627" w:rsidR="001B3AE0" w:rsidRPr="00075D72" w:rsidRDefault="001B3AE0" w:rsidP="00075D72">
      <w:pPr>
        <w:pStyle w:val="NumberedParagraph"/>
        <w:rPr>
          <w:lang w:val="en-GB"/>
        </w:rPr>
      </w:pPr>
      <w:r w:rsidRPr="00075D72">
        <w:rPr>
          <w:lang w:val="en-GB"/>
        </w:rPr>
        <w:t xml:space="preserve">Note that even though there are plenty of other countries with petroleum resources, Norway is not </w:t>
      </w:r>
      <w:r w:rsidR="00F905A9" w:rsidRPr="00075D72">
        <w:rPr>
          <w:lang w:val="en-GB"/>
        </w:rPr>
        <w:t>‘</w:t>
      </w:r>
      <w:r w:rsidRPr="00075D72">
        <w:rPr>
          <w:lang w:val="en-GB"/>
        </w:rPr>
        <w:t>competing</w:t>
      </w:r>
      <w:r w:rsidR="00F905A9" w:rsidRPr="00075D72">
        <w:rPr>
          <w:lang w:val="en-GB"/>
        </w:rPr>
        <w:t>’</w:t>
      </w:r>
      <w:r w:rsidRPr="00075D72">
        <w:rPr>
          <w:lang w:val="en-GB"/>
        </w:rPr>
        <w:t xml:space="preserve"> with these other countries, because it is not an either/or question. A firm may appreciate a much lower tax rate in a different country, but it does not have to choose whether to operate in Norway or another country. It can operate and extract and sell petroleum from both</w:t>
      </w:r>
      <w:r w:rsidR="008C70BB" w:rsidRPr="00075D72">
        <w:rPr>
          <w:lang w:val="en-GB"/>
        </w:rPr>
        <w:t xml:space="preserve"> countries</w:t>
      </w:r>
      <w:r w:rsidRPr="00075D72">
        <w:rPr>
          <w:lang w:val="en-GB"/>
        </w:rPr>
        <w:t xml:space="preserve">. Provided the after-tax return in Norway has a positive net present value, it would make sense to operate in both countries, even when the non-Norway country had a more </w:t>
      </w:r>
      <w:r w:rsidR="005F2953" w:rsidRPr="00075D72">
        <w:rPr>
          <w:lang w:val="en-GB"/>
        </w:rPr>
        <w:t>‘</w:t>
      </w:r>
      <w:r w:rsidRPr="00075D72">
        <w:rPr>
          <w:lang w:val="en-GB"/>
        </w:rPr>
        <w:t>competitive</w:t>
      </w:r>
      <w:r w:rsidR="005F2953" w:rsidRPr="00075D72">
        <w:rPr>
          <w:lang w:val="en-GB"/>
        </w:rPr>
        <w:t>’</w:t>
      </w:r>
      <w:r w:rsidRPr="00075D72">
        <w:rPr>
          <w:lang w:val="en-GB"/>
        </w:rPr>
        <w:t xml:space="preserve"> tax rate.</w:t>
      </w:r>
    </w:p>
    <w:p w14:paraId="6B344DED" w14:textId="057DB097" w:rsidR="001B3AE0" w:rsidRPr="00075D72" w:rsidRDefault="001B3AE0" w:rsidP="00075D72">
      <w:pPr>
        <w:pStyle w:val="NumberedParagraph"/>
        <w:rPr>
          <w:lang w:val="en-GB"/>
        </w:rPr>
      </w:pPr>
      <w:r w:rsidRPr="00075D72">
        <w:rPr>
          <w:lang w:val="en-GB"/>
        </w:rPr>
        <w:t>It is challenging to identify areas in New Zealand where location</w:t>
      </w:r>
      <w:r w:rsidR="005F2953" w:rsidRPr="00075D72">
        <w:rPr>
          <w:lang w:val="en-GB"/>
        </w:rPr>
        <w:t>-</w:t>
      </w:r>
      <w:r w:rsidRPr="00075D72">
        <w:rPr>
          <w:lang w:val="en-GB"/>
        </w:rPr>
        <w:t>specific rents are likely to be highest</w:t>
      </w:r>
      <w:r w:rsidR="005F2953" w:rsidRPr="00075D72">
        <w:rPr>
          <w:lang w:val="en-GB"/>
        </w:rPr>
        <w:t>,</w:t>
      </w:r>
      <w:r w:rsidRPr="00075D72">
        <w:rPr>
          <w:lang w:val="en-GB"/>
        </w:rPr>
        <w:t xml:space="preserve"> let alone to design and enforce different tax rates for different activities. Applying higher tax rates where location</w:t>
      </w:r>
      <w:r w:rsidR="0015373E" w:rsidRPr="00075D72">
        <w:rPr>
          <w:lang w:val="en-GB"/>
        </w:rPr>
        <w:t>-</w:t>
      </w:r>
      <w:r w:rsidRPr="00075D72">
        <w:rPr>
          <w:lang w:val="en-GB"/>
        </w:rPr>
        <w:t>specific rents are significant might be easier in an economy with one or two sectors earning high location-specific rents</w:t>
      </w:r>
      <w:r w:rsidR="005D2A39" w:rsidRPr="00075D72">
        <w:rPr>
          <w:lang w:val="en-GB"/>
        </w:rPr>
        <w:t>, rather</w:t>
      </w:r>
      <w:r w:rsidRPr="00075D72">
        <w:rPr>
          <w:lang w:val="en-GB"/>
        </w:rPr>
        <w:t xml:space="preserve"> than in an economy where these rents are likely to be much more diffuse and harder to identify.</w:t>
      </w:r>
    </w:p>
    <w:p w14:paraId="509E616D" w14:textId="03F30045" w:rsidR="001B3AE0" w:rsidRPr="00614077" w:rsidRDefault="001B3AE0" w:rsidP="00075D72">
      <w:pPr>
        <w:pStyle w:val="NumberedParagraph"/>
      </w:pPr>
      <w:r w:rsidRPr="00614077">
        <w:t xml:space="preserve">In his survey of specific incentives and the literature surrounding them, Klemm </w:t>
      </w:r>
      <w:r w:rsidR="00A62490">
        <w:t xml:space="preserve">(2010) </w:t>
      </w:r>
      <w:r w:rsidRPr="00614077">
        <w:t>provides a pithy conclusion that summarises his scepticism about the ability to target tax rates in a beneficial way:</w:t>
      </w:r>
    </w:p>
    <w:p w14:paraId="670C74D4" w14:textId="77777777" w:rsidR="001B3AE0" w:rsidRPr="00614077" w:rsidRDefault="001B3AE0" w:rsidP="001B3AE0">
      <w:pPr>
        <w:pStyle w:val="Quote"/>
        <w:rPr>
          <w:rFonts w:eastAsia="Calibri"/>
          <w:lang w:eastAsia="en-US"/>
        </w:rPr>
      </w:pPr>
      <w:r w:rsidRPr="00614077">
        <w:rPr>
          <w:rFonts w:eastAsia="Calibri"/>
          <w:lang w:eastAsia="en-US"/>
        </w:rPr>
        <w:t>Even if a tax incentive can be useful in principle, a country may be well advised to refrain from introducing one. This reflects the advantage of a coherent and simple tax system, which cannot take account of all issues, especially since they may be changing over time. Moreover, once a system has created the precedence of an exemption for one particular sector or region, the pressure for further ones will increase. The ultimate outcome may be a less efficient tax system, even if a few of the incentives used have a sound economic rationale and are cost-effective.</w:t>
      </w:r>
    </w:p>
    <w:p w14:paraId="63EAC7DF" w14:textId="77777777" w:rsidR="001B3AE0" w:rsidRPr="00614077" w:rsidRDefault="001B3AE0" w:rsidP="001B3AE0">
      <w:pPr>
        <w:pStyle w:val="Heading2"/>
        <w:rPr>
          <w:rFonts w:eastAsia="Calibri"/>
          <w:lang w:eastAsia="en-US"/>
        </w:rPr>
      </w:pPr>
      <w:bookmarkStart w:id="72" w:name="_Toc96585574"/>
      <w:r w:rsidRPr="00614077">
        <w:rPr>
          <w:rFonts w:eastAsia="Calibri"/>
          <w:lang w:eastAsia="en-US"/>
        </w:rPr>
        <w:t>International experience</w:t>
      </w:r>
      <w:bookmarkEnd w:id="72"/>
    </w:p>
    <w:p w14:paraId="4102B491" w14:textId="5EDB6743" w:rsidR="001B3AE0" w:rsidRPr="00614077" w:rsidRDefault="008808B8" w:rsidP="00075D72">
      <w:pPr>
        <w:pStyle w:val="NumberedParagraph"/>
      </w:pPr>
      <w:r>
        <w:t>T</w:t>
      </w:r>
      <w:r w:rsidR="001B3AE0" w:rsidRPr="00614077">
        <w:t xml:space="preserve">ax incentives for </w:t>
      </w:r>
      <w:r>
        <w:t>specific</w:t>
      </w:r>
      <w:r w:rsidR="001B3AE0" w:rsidRPr="00614077">
        <w:t xml:space="preserve"> businesses or industries are common overseas. The OECD’s publication, </w:t>
      </w:r>
      <w:r w:rsidR="001B3AE0" w:rsidRPr="00075D72">
        <w:rPr>
          <w:i/>
          <w:iCs/>
        </w:rPr>
        <w:t>Tax Policy Reforms 2020: OECD and Selected Partner Economies,</w:t>
      </w:r>
      <w:r w:rsidR="001B3AE0" w:rsidRPr="00614077">
        <w:rPr>
          <w:vertAlign w:val="superscript"/>
        </w:rPr>
        <w:footnoteReference w:id="38"/>
      </w:r>
      <w:r w:rsidR="001B3AE0" w:rsidRPr="00614077">
        <w:t xml:space="preserve"> gives a sense of the sorts of activities and investment that draw special incentives:</w:t>
      </w:r>
    </w:p>
    <w:p w14:paraId="1FD5F080" w14:textId="77777777" w:rsidR="001B3AE0" w:rsidRPr="00614077" w:rsidRDefault="001B3AE0" w:rsidP="00075D72">
      <w:pPr>
        <w:pStyle w:val="NumberedParagraph-BulletL1"/>
      </w:pPr>
      <w:r w:rsidRPr="00614077">
        <w:t>In the USA, tax credits for biodiesel and renewable diesel, electricity produced from certain renewable sources and alternative fuels have been extended.</w:t>
      </w:r>
    </w:p>
    <w:p w14:paraId="6D781F76" w14:textId="77777777" w:rsidR="001B3AE0" w:rsidRPr="00614077" w:rsidRDefault="001B3AE0" w:rsidP="00075D72">
      <w:pPr>
        <w:pStyle w:val="NumberedParagraph-BulletL1"/>
      </w:pPr>
      <w:r w:rsidRPr="00614077">
        <w:t>In Mexico, tax relief for Special Economic Zones has been repealed, but future tax policies are intended to focus on projects rather than regions.</w:t>
      </w:r>
    </w:p>
    <w:p w14:paraId="345BDE37" w14:textId="6C9EBAC2" w:rsidR="001B3AE0" w:rsidRPr="00075D72" w:rsidRDefault="001B3AE0" w:rsidP="00075D72">
      <w:pPr>
        <w:pStyle w:val="NumberedParagraph-BulletL1"/>
        <w:rPr>
          <w:shd w:val="clear" w:color="auto" w:fill="FFFFFF"/>
        </w:rPr>
      </w:pPr>
      <w:r w:rsidRPr="00614077">
        <w:lastRenderedPageBreak/>
        <w:t>In Korea, tax credits for investments made have been simplified. Previous incentives were more restricted, targeting facilities for (among other activities) research and testing, vocational training, safety,</w:t>
      </w:r>
      <w:r w:rsidRPr="00075D72">
        <w:rPr>
          <w:shd w:val="clear" w:color="auto" w:fill="FFFFFF"/>
        </w:rPr>
        <w:t xml:space="preserve"> energy saving, and new growth-engine technology commerciali</w:t>
      </w:r>
      <w:r w:rsidR="0067775E" w:rsidRPr="00075D72">
        <w:rPr>
          <w:shd w:val="clear" w:color="auto" w:fill="FFFFFF"/>
        </w:rPr>
        <w:t>s</w:t>
      </w:r>
      <w:r w:rsidRPr="00075D72">
        <w:rPr>
          <w:shd w:val="clear" w:color="auto" w:fill="FFFFFF"/>
        </w:rPr>
        <w:t xml:space="preserve">ation. The new regime has a </w:t>
      </w:r>
      <w:r w:rsidR="00A167AE" w:rsidRPr="00075D72">
        <w:rPr>
          <w:shd w:val="clear" w:color="auto" w:fill="FFFFFF"/>
        </w:rPr>
        <w:t>‘</w:t>
      </w:r>
      <w:r w:rsidRPr="00075D72">
        <w:rPr>
          <w:shd w:val="clear" w:color="auto" w:fill="FFFFFF"/>
        </w:rPr>
        <w:t>negative list system</w:t>
      </w:r>
      <w:r w:rsidR="00A167AE" w:rsidRPr="00075D72">
        <w:rPr>
          <w:shd w:val="clear" w:color="auto" w:fill="FFFFFF"/>
        </w:rPr>
        <w:t>’</w:t>
      </w:r>
      <w:r w:rsidRPr="00614077">
        <w:rPr>
          <w:shd w:val="clear" w:color="auto" w:fill="FFFFFF"/>
          <w:vertAlign w:val="superscript"/>
        </w:rPr>
        <w:footnoteReference w:id="39"/>
      </w:r>
      <w:r w:rsidRPr="00075D72">
        <w:rPr>
          <w:shd w:val="clear" w:color="auto" w:fill="FFFFFF"/>
        </w:rPr>
        <w:t xml:space="preserve"> that excludes, rather than includes, specified industries and assets.</w:t>
      </w:r>
    </w:p>
    <w:p w14:paraId="4368B0A2" w14:textId="77777777" w:rsidR="001B3AE0" w:rsidRPr="00614077" w:rsidRDefault="001B3AE0" w:rsidP="00075D72">
      <w:pPr>
        <w:pStyle w:val="NumberedParagraph"/>
      </w:pPr>
      <w:r w:rsidRPr="00614077">
        <w:t>In general, specific incentives are particularly common in developing countries, where governments are often trying to balance taxing location-specific rents (for example, mining) at higher rates with attracting other industries with specific incentives.</w:t>
      </w:r>
    </w:p>
    <w:p w14:paraId="224D09B9" w14:textId="77777777" w:rsidR="001B3AE0" w:rsidRPr="00614077" w:rsidRDefault="001B3AE0" w:rsidP="00075D72">
      <w:pPr>
        <w:pStyle w:val="NumberedParagraph"/>
      </w:pPr>
      <w:r w:rsidRPr="00614077">
        <w:t>Reviews of tax incentives overseas tend to point to a lack of cost-effectiveness (that is, limited additional investment given the fiscal cost) and the risk of rent seeking and corruption, although this is usually in the context of countries that may already suffer from those problems.</w:t>
      </w:r>
      <w:r w:rsidRPr="00614077">
        <w:rPr>
          <w:vertAlign w:val="superscript"/>
        </w:rPr>
        <w:footnoteReference w:id="40"/>
      </w:r>
    </w:p>
    <w:tbl>
      <w:tblPr>
        <w:tblStyle w:val="QuestionsBox"/>
        <w:tblW w:w="0" w:type="auto"/>
        <w:tblLook w:val="04A0" w:firstRow="1" w:lastRow="0" w:firstColumn="1" w:lastColumn="0" w:noHBand="0" w:noVBand="1"/>
      </w:tblPr>
      <w:tblGrid>
        <w:gridCol w:w="8768"/>
      </w:tblGrid>
      <w:tr w:rsidR="001B3AE0" w:rsidRPr="00614077" w14:paraId="401AB10D" w14:textId="77777777" w:rsidTr="00D52E2E">
        <w:tc>
          <w:tcPr>
            <w:tcW w:w="8778" w:type="dxa"/>
          </w:tcPr>
          <w:p w14:paraId="043152CF" w14:textId="77777777" w:rsidR="00D52E2E" w:rsidRPr="00614077" w:rsidRDefault="00D52E2E" w:rsidP="00D52E2E">
            <w:pPr>
              <w:pStyle w:val="Heading2-Questions"/>
              <w:rPr>
                <w:rFonts w:eastAsia="Calibri"/>
              </w:rPr>
            </w:pPr>
            <w:r w:rsidRPr="00614077">
              <w:rPr>
                <w:rFonts w:eastAsia="Calibri"/>
              </w:rPr>
              <w:t>Key questions to consider</w:t>
            </w:r>
          </w:p>
          <w:p w14:paraId="11E2B434" w14:textId="6D02151F" w:rsidR="001B3AE0" w:rsidRPr="00614077" w:rsidRDefault="001B3AE0" w:rsidP="00D52E2E">
            <w:pPr>
              <w:pStyle w:val="Questionsparagraph"/>
            </w:pPr>
            <w:r w:rsidRPr="001905BC">
              <w:rPr>
                <w:b/>
                <w:bCs/>
              </w:rPr>
              <w:t>Q11.1</w:t>
            </w:r>
            <w:r w:rsidR="00D52E2E" w:rsidRPr="001905BC">
              <w:rPr>
                <w:b/>
                <w:bCs/>
              </w:rPr>
              <w:t>:</w:t>
            </w:r>
            <w:r w:rsidR="00D52E2E">
              <w:tab/>
            </w:r>
            <w:r w:rsidRPr="00614077">
              <w:t>Are there specific businesses or industries where spillovers are large enough to justify lower tax rates?</w:t>
            </w:r>
          </w:p>
          <w:p w14:paraId="4127F462" w14:textId="56C4FC08" w:rsidR="001B3AE0" w:rsidRPr="00614077" w:rsidRDefault="001B3AE0" w:rsidP="00D52E2E">
            <w:pPr>
              <w:pStyle w:val="Questionsparagraph"/>
            </w:pPr>
            <w:r w:rsidRPr="001905BC">
              <w:rPr>
                <w:b/>
                <w:bCs/>
              </w:rPr>
              <w:t>Q11.2</w:t>
            </w:r>
            <w:r w:rsidR="00D52E2E" w:rsidRPr="001905BC">
              <w:rPr>
                <w:b/>
                <w:bCs/>
              </w:rPr>
              <w:t>:</w:t>
            </w:r>
            <w:r w:rsidR="00D52E2E">
              <w:tab/>
            </w:r>
            <w:r w:rsidRPr="00614077">
              <w:t>Are there specific businesses or industries where economic rents are large enough to justify higher tax rates to fund lower general business tax rates?</w:t>
            </w:r>
          </w:p>
          <w:p w14:paraId="34D73BB7" w14:textId="1B456095" w:rsidR="001B3AE0" w:rsidRPr="00614077" w:rsidRDefault="001B3AE0" w:rsidP="00D52E2E">
            <w:pPr>
              <w:pStyle w:val="Questionsparagraph"/>
            </w:pPr>
            <w:r w:rsidRPr="001905BC">
              <w:rPr>
                <w:b/>
                <w:bCs/>
              </w:rPr>
              <w:t>Q11.3</w:t>
            </w:r>
            <w:r w:rsidR="00D52E2E" w:rsidRPr="001905BC">
              <w:rPr>
                <w:b/>
                <w:bCs/>
              </w:rPr>
              <w:t>:</w:t>
            </w:r>
            <w:r w:rsidR="00D52E2E">
              <w:tab/>
            </w:r>
            <w:r w:rsidRPr="00614077">
              <w:t xml:space="preserve">Are there </w:t>
            </w:r>
            <w:r w:rsidR="00A13BEC">
              <w:t xml:space="preserve">any </w:t>
            </w:r>
            <w:r w:rsidRPr="00614077">
              <w:t>other arguments for specific incentives?</w:t>
            </w:r>
          </w:p>
        </w:tc>
      </w:tr>
    </w:tbl>
    <w:p w14:paraId="372AE07D" w14:textId="03BBDDFB" w:rsidR="001B3AE0" w:rsidRPr="004B1C56" w:rsidRDefault="001B3AE0" w:rsidP="001B3AE0">
      <w:pPr>
        <w:pStyle w:val="Heading1"/>
        <w:rPr>
          <w:rFonts w:eastAsia="Calibri"/>
          <w:lang w:eastAsia="en-US"/>
        </w:rPr>
      </w:pPr>
      <w:r w:rsidRPr="004B1C56">
        <w:rPr>
          <w:rFonts w:eastAsia="Calibri"/>
          <w:lang w:eastAsia="en-US"/>
        </w:rPr>
        <w:lastRenderedPageBreak/>
        <w:br/>
      </w:r>
      <w:r w:rsidRPr="004B1C56">
        <w:rPr>
          <w:rFonts w:eastAsia="Calibri"/>
          <w:lang w:eastAsia="en-US"/>
        </w:rPr>
        <w:br/>
      </w:r>
      <w:bookmarkStart w:id="73" w:name="_Toc96585575"/>
      <w:r w:rsidRPr="004B1C56">
        <w:rPr>
          <w:rFonts w:eastAsia="Calibri"/>
          <w:lang w:eastAsia="en-US"/>
        </w:rPr>
        <w:t xml:space="preserve">Dual </w:t>
      </w:r>
      <w:r w:rsidR="00F53AB4">
        <w:rPr>
          <w:rFonts w:eastAsia="Calibri"/>
          <w:lang w:eastAsia="en-US"/>
        </w:rPr>
        <w:t>i</w:t>
      </w:r>
      <w:r w:rsidRPr="004B1C56">
        <w:rPr>
          <w:rFonts w:eastAsia="Calibri"/>
          <w:lang w:eastAsia="en-US"/>
        </w:rPr>
        <w:t xml:space="preserve">ncome </w:t>
      </w:r>
      <w:r w:rsidR="00F53AB4">
        <w:rPr>
          <w:rFonts w:eastAsia="Calibri"/>
          <w:lang w:eastAsia="en-US"/>
        </w:rPr>
        <w:t>t</w:t>
      </w:r>
      <w:r w:rsidRPr="004B1C56">
        <w:rPr>
          <w:rFonts w:eastAsia="Calibri"/>
          <w:lang w:eastAsia="en-US"/>
        </w:rPr>
        <w:t xml:space="preserve">ax </w:t>
      </w:r>
      <w:r w:rsidR="00F53AB4">
        <w:rPr>
          <w:rFonts w:eastAsia="Calibri"/>
          <w:lang w:eastAsia="en-US"/>
        </w:rPr>
        <w:t>s</w:t>
      </w:r>
      <w:r w:rsidRPr="004B1C56">
        <w:rPr>
          <w:rFonts w:eastAsia="Calibri"/>
          <w:lang w:eastAsia="en-US"/>
        </w:rPr>
        <w:t>ystem</w:t>
      </w:r>
      <w:bookmarkEnd w:id="73"/>
    </w:p>
    <w:tbl>
      <w:tblPr>
        <w:tblStyle w:val="SummaryBox"/>
        <w:tblW w:w="0" w:type="auto"/>
        <w:tblLayout w:type="fixed"/>
        <w:tblLook w:val="04A0" w:firstRow="1" w:lastRow="0" w:firstColumn="1" w:lastColumn="0" w:noHBand="0" w:noVBand="1"/>
      </w:tblPr>
      <w:tblGrid>
        <w:gridCol w:w="8778"/>
      </w:tblGrid>
      <w:tr w:rsidR="001B3AE0" w:rsidRPr="0011214E" w14:paraId="4D1E56C7" w14:textId="77777777" w:rsidTr="007D07BC">
        <w:tc>
          <w:tcPr>
            <w:tcW w:w="8778" w:type="dxa"/>
          </w:tcPr>
          <w:p w14:paraId="02F2FAA6" w14:textId="77777777" w:rsidR="001B3AE0" w:rsidRPr="0011214E" w:rsidRDefault="001B3AE0" w:rsidP="00597B6B">
            <w:pPr>
              <w:pStyle w:val="ListBullet"/>
            </w:pPr>
            <w:r w:rsidRPr="0011214E">
              <w:t>Dual income tax systems have been adopted by Nordic countries.</w:t>
            </w:r>
          </w:p>
          <w:p w14:paraId="3E86609C" w14:textId="4FCC0E94" w:rsidR="001B3AE0" w:rsidRPr="0011214E" w:rsidRDefault="001B3AE0" w:rsidP="00597B6B">
            <w:pPr>
              <w:pStyle w:val="ListBullet"/>
            </w:pPr>
            <w:r w:rsidRPr="0011214E">
              <w:t>A pure dual income tax would involve a low flat tax rate on capital income and higher progressive taxes on labour income.</w:t>
            </w:r>
          </w:p>
          <w:p w14:paraId="44352441" w14:textId="114C7832" w:rsidR="001B3AE0" w:rsidRPr="0011214E" w:rsidRDefault="001B3AE0" w:rsidP="00597B6B">
            <w:pPr>
              <w:pStyle w:val="ListBullet"/>
            </w:pPr>
            <w:r w:rsidRPr="0011214E">
              <w:t>A dual income tax might provide a coherent way of allowing reductions in the company tax rate</w:t>
            </w:r>
            <w:r w:rsidR="00F05EC5">
              <w:t>,</w:t>
            </w:r>
            <w:r w:rsidRPr="0011214E">
              <w:t xml:space="preserve"> and in costs of capital and EMTRs</w:t>
            </w:r>
            <w:r w:rsidR="008F64F0">
              <w:t>,</w:t>
            </w:r>
            <w:r w:rsidRPr="0011214E">
              <w:t xml:space="preserve"> without creating pressures for a lower top personal marginal tax rate.</w:t>
            </w:r>
          </w:p>
          <w:p w14:paraId="45BCAB74" w14:textId="682A03DA" w:rsidR="001B3AE0" w:rsidRPr="0011214E" w:rsidRDefault="001B3AE0" w:rsidP="00597B6B">
            <w:pPr>
              <w:pStyle w:val="ListBullet"/>
            </w:pPr>
            <w:r w:rsidRPr="0011214E">
              <w:t xml:space="preserve">Alternatively, it might provide a way </w:t>
            </w:r>
            <w:r w:rsidR="00CC3EA8">
              <w:t>for</w:t>
            </w:r>
            <w:r w:rsidRPr="0011214E">
              <w:t xml:space="preserve"> future governments </w:t>
            </w:r>
            <w:r w:rsidR="00CC3EA8">
              <w:t xml:space="preserve">to </w:t>
            </w:r>
            <w:r w:rsidRPr="0011214E">
              <w:t>increas</w:t>
            </w:r>
            <w:r w:rsidR="00CC3EA8">
              <w:t>e</w:t>
            </w:r>
            <w:r w:rsidRPr="0011214E">
              <w:t xml:space="preserve"> higher marginal tax rates and the progressivity of the tax system for those elements of income that are taxed at progressive rates without increasing costs of capital or EMTRs.</w:t>
            </w:r>
          </w:p>
          <w:p w14:paraId="720A52CF" w14:textId="77777777" w:rsidR="001B3AE0" w:rsidRPr="0011214E" w:rsidRDefault="001B3AE0" w:rsidP="00597B6B">
            <w:pPr>
              <w:pStyle w:val="ListBullet"/>
            </w:pPr>
            <w:r w:rsidRPr="0011214E">
              <w:t>It provides a way of maintaining a steeply progressive tax system if there are concerns that efficiency or avoidance concerns make it impractical to tax capital income at high marginal tax rates.</w:t>
            </w:r>
          </w:p>
          <w:p w14:paraId="1117CEF5" w14:textId="77777777" w:rsidR="001B3AE0" w:rsidRPr="0011214E" w:rsidRDefault="001B3AE0" w:rsidP="00597B6B">
            <w:pPr>
              <w:pStyle w:val="ListBullet"/>
            </w:pPr>
            <w:r w:rsidRPr="0011214E">
              <w:t xml:space="preserve">It </w:t>
            </w:r>
            <w:r>
              <w:t>may</w:t>
            </w:r>
            <w:r w:rsidRPr="0011214E">
              <w:t xml:space="preserve"> require a tax on gains in the value of shares.</w:t>
            </w:r>
          </w:p>
          <w:p w14:paraId="596B34F1" w14:textId="77777777" w:rsidR="001B3AE0" w:rsidRPr="0011214E" w:rsidRDefault="001B3AE0" w:rsidP="00597B6B">
            <w:pPr>
              <w:pStyle w:val="ListBullet"/>
            </w:pPr>
            <w:r w:rsidRPr="0011214E">
              <w:t>It might be a way of removing some inconsistencies in the way that income earned in different entities is taxed.</w:t>
            </w:r>
          </w:p>
          <w:p w14:paraId="660E4949" w14:textId="51BA2573" w:rsidR="001B3AE0" w:rsidRPr="0011214E" w:rsidRDefault="001B3AE0" w:rsidP="00597B6B">
            <w:pPr>
              <w:pStyle w:val="ListBullet"/>
            </w:pPr>
            <w:r w:rsidRPr="0011214E">
              <w:t>It would be a complex tax change and there would be a lot of detailed issues to work through.</w:t>
            </w:r>
          </w:p>
        </w:tc>
      </w:tr>
    </w:tbl>
    <w:p w14:paraId="1FF3ECC2" w14:textId="77777777" w:rsidR="001B3AE0" w:rsidRPr="0011214E" w:rsidRDefault="001B3AE0" w:rsidP="001B3AE0">
      <w:pPr>
        <w:pStyle w:val="Heading2"/>
        <w:rPr>
          <w:rFonts w:eastAsia="Calibri"/>
          <w:lang w:eastAsia="en-US"/>
        </w:rPr>
      </w:pPr>
      <w:bookmarkStart w:id="74" w:name="_Toc96585576"/>
      <w:r w:rsidRPr="0011214E">
        <w:rPr>
          <w:rFonts w:eastAsia="Calibri"/>
          <w:lang w:eastAsia="en-US"/>
        </w:rPr>
        <w:t>Introduction</w:t>
      </w:r>
      <w:bookmarkEnd w:id="74"/>
    </w:p>
    <w:p w14:paraId="6BCE877F" w14:textId="13172343" w:rsidR="001B3AE0" w:rsidRPr="0011214E" w:rsidRDefault="001B3AE0" w:rsidP="00075D72">
      <w:pPr>
        <w:pStyle w:val="NumberedParagraph"/>
      </w:pPr>
      <w:r w:rsidRPr="0011214E">
        <w:t xml:space="preserve">A </w:t>
      </w:r>
      <w:r w:rsidR="00C94348">
        <w:t>‘</w:t>
      </w:r>
      <w:r w:rsidRPr="0011214E">
        <w:t>dual income tax system</w:t>
      </w:r>
      <w:r w:rsidR="00C94348">
        <w:t>’</w:t>
      </w:r>
      <w:r w:rsidRPr="0011214E">
        <w:t xml:space="preserve"> is a system where capital income is taxed separately (at lower rates) from labour income.</w:t>
      </w:r>
    </w:p>
    <w:p w14:paraId="6D30F5BD" w14:textId="489D135B" w:rsidR="001B3AE0" w:rsidRPr="00075D72" w:rsidRDefault="001B3AE0" w:rsidP="00075D72">
      <w:pPr>
        <w:pStyle w:val="NumberedParagraph"/>
        <w:rPr>
          <w:shd w:val="clear" w:color="auto" w:fill="FFFFFF"/>
        </w:rPr>
      </w:pPr>
      <w:r w:rsidRPr="00075D72">
        <w:rPr>
          <w:shd w:val="clear" w:color="auto" w:fill="FFFFFF"/>
        </w:rPr>
        <w:t xml:space="preserve">The tax systems in the Nordic countries are generally described as </w:t>
      </w:r>
      <w:r w:rsidR="00AD671F" w:rsidRPr="00075D72">
        <w:rPr>
          <w:shd w:val="clear" w:color="auto" w:fill="FFFFFF"/>
        </w:rPr>
        <w:t>‘</w:t>
      </w:r>
      <w:r w:rsidRPr="00075D72">
        <w:rPr>
          <w:shd w:val="clear" w:color="auto" w:fill="FFFFFF"/>
        </w:rPr>
        <w:t>dual income tax systems</w:t>
      </w:r>
      <w:r w:rsidR="00AD671F" w:rsidRPr="00075D72">
        <w:rPr>
          <w:shd w:val="clear" w:color="auto" w:fill="FFFFFF"/>
        </w:rPr>
        <w:t>’</w:t>
      </w:r>
      <w:r w:rsidRPr="00075D72">
        <w:rPr>
          <w:shd w:val="clear" w:color="auto" w:fill="FFFFFF"/>
        </w:rPr>
        <w:t xml:space="preserve">: high progressive tax rates are applied to labour income (for example, salaries, wages) while relatively low tax rates are generally applied to capital income (for example, interest, capital gains). In contrast, New Zealand’s income tax system is more of a </w:t>
      </w:r>
      <w:r w:rsidR="001312B5" w:rsidRPr="00075D72">
        <w:rPr>
          <w:shd w:val="clear" w:color="auto" w:fill="FFFFFF"/>
        </w:rPr>
        <w:t>‘</w:t>
      </w:r>
      <w:r w:rsidRPr="00075D72">
        <w:rPr>
          <w:shd w:val="clear" w:color="auto" w:fill="FFFFFF"/>
        </w:rPr>
        <w:t>comprehensive income tax system</w:t>
      </w:r>
      <w:r w:rsidR="001312B5" w:rsidRPr="00075D72">
        <w:rPr>
          <w:shd w:val="clear" w:color="auto" w:fill="FFFFFF"/>
        </w:rPr>
        <w:t>’</w:t>
      </w:r>
      <w:r w:rsidRPr="00075D72">
        <w:rPr>
          <w:shd w:val="clear" w:color="auto" w:fill="FFFFFF"/>
        </w:rPr>
        <w:t>, under which capital income is generally taxed at the same rate as labour income, although there are some notable exceptions (for example, PIE income is taxed at a top rate of 28%, and capital gains not specified in legislation as taxable are generally non-taxable).</w:t>
      </w:r>
    </w:p>
    <w:p w14:paraId="0A50555D" w14:textId="1A7A1C7F" w:rsidR="001B3AE0" w:rsidRPr="0011214E" w:rsidRDefault="001B3AE0" w:rsidP="00075D72">
      <w:pPr>
        <w:pStyle w:val="NumberedParagraph"/>
      </w:pPr>
      <w:r w:rsidRPr="0011214E">
        <w:t>According to Sørensen (2005), a pure dual income tax system has the following features:</w:t>
      </w:r>
    </w:p>
    <w:p w14:paraId="46E79472" w14:textId="77777777" w:rsidR="001B3AE0" w:rsidRPr="0011214E" w:rsidRDefault="001B3AE0" w:rsidP="00075D72">
      <w:pPr>
        <w:pStyle w:val="NumberedParagraph-BulletL1"/>
      </w:pPr>
      <w:r w:rsidRPr="0011214E">
        <w:t>A flat uniform personal tax on all forms of capital income (including capital gains), levied at a rate equal to the corporate income tax rate.</w:t>
      </w:r>
    </w:p>
    <w:p w14:paraId="3D36B414" w14:textId="77777777" w:rsidR="001B3AE0" w:rsidRPr="0011214E" w:rsidRDefault="001B3AE0" w:rsidP="00075D72">
      <w:pPr>
        <w:pStyle w:val="NumberedParagraph-BulletL1"/>
      </w:pPr>
      <w:r w:rsidRPr="0011214E">
        <w:t>Full relief for the double taxation of corporate equity income.</w:t>
      </w:r>
    </w:p>
    <w:p w14:paraId="76A734DC" w14:textId="77777777" w:rsidR="001B3AE0" w:rsidRPr="0011214E" w:rsidRDefault="001B3AE0" w:rsidP="00075D72">
      <w:pPr>
        <w:pStyle w:val="NumberedParagraph-BulletL1"/>
      </w:pPr>
      <w:r w:rsidRPr="0011214E">
        <w:t>A broad tax base for capital income and corporate income.</w:t>
      </w:r>
    </w:p>
    <w:p w14:paraId="07A3D4B6" w14:textId="77777777" w:rsidR="001B3AE0" w:rsidRDefault="001B3AE0" w:rsidP="00075D72">
      <w:pPr>
        <w:pStyle w:val="NumberedParagraph-BulletL1"/>
      </w:pPr>
      <w:r w:rsidRPr="0011214E">
        <w:lastRenderedPageBreak/>
        <w:t>A basic tax rate on labour income (equal to the capital income tax rate) combined with a progressive surtax on high labour income.</w:t>
      </w:r>
    </w:p>
    <w:tbl>
      <w:tblPr>
        <w:tblStyle w:val="ExampleBox"/>
        <w:tblW w:w="0" w:type="auto"/>
        <w:tblLook w:val="04A0" w:firstRow="1" w:lastRow="0" w:firstColumn="1" w:lastColumn="0" w:noHBand="0" w:noVBand="1"/>
      </w:tblPr>
      <w:tblGrid>
        <w:gridCol w:w="7917"/>
      </w:tblGrid>
      <w:tr w:rsidR="001B3AE0" w:rsidRPr="007A0574" w14:paraId="5B10FF8F" w14:textId="77777777" w:rsidTr="001361AD">
        <w:tc>
          <w:tcPr>
            <w:tcW w:w="7932" w:type="dxa"/>
          </w:tcPr>
          <w:p w14:paraId="3323F61A" w14:textId="20FE3DAF" w:rsidR="001B3AE0" w:rsidRPr="007A0574" w:rsidRDefault="001B3AE0" w:rsidP="006B3D7B">
            <w:pPr>
              <w:rPr>
                <w:b/>
                <w:bCs/>
              </w:rPr>
            </w:pPr>
            <w:r w:rsidRPr="007A0574">
              <w:rPr>
                <w:b/>
                <w:bCs/>
              </w:rPr>
              <w:t>Example 12.1</w:t>
            </w:r>
          </w:p>
          <w:p w14:paraId="05A50ED4" w14:textId="77777777" w:rsidR="001B3AE0" w:rsidRPr="007A0574" w:rsidRDefault="001B3AE0" w:rsidP="006B3D7B">
            <w:pPr>
              <w:spacing w:before="120"/>
            </w:pPr>
            <w:r w:rsidRPr="007A0574">
              <w:t>Assume that:</w:t>
            </w:r>
          </w:p>
          <w:p w14:paraId="28368427" w14:textId="3EEB9548" w:rsidR="001B3AE0" w:rsidRPr="007A0574" w:rsidRDefault="001B3AE0" w:rsidP="00597B6B">
            <w:pPr>
              <w:pStyle w:val="ListBullet"/>
            </w:pPr>
            <w:r w:rsidRPr="007A0574">
              <w:t>the corporate, basic labour, and flat personal tax rates are 20%, and</w:t>
            </w:r>
          </w:p>
          <w:p w14:paraId="4E789B4B" w14:textId="672A38D1" w:rsidR="001B3AE0" w:rsidRPr="007A0574" w:rsidRDefault="001B3AE0" w:rsidP="00597B6B">
            <w:pPr>
              <w:pStyle w:val="ListBullet"/>
            </w:pPr>
            <w:r w:rsidRPr="007A0574">
              <w:t>the progressive surtax on labour income is 16% on labour income over $100</w:t>
            </w:r>
            <w:r w:rsidR="000F49DB" w:rsidRPr="007A0574">
              <w:t>,</w:t>
            </w:r>
            <w:r w:rsidRPr="007A0574">
              <w:t>000 – thus labour income over and above $100,000 is taxed at a total marginal tax rate of 36%</w:t>
            </w:r>
            <w:r w:rsidR="00736FB3" w:rsidRPr="007A0574">
              <w:t>.</w:t>
            </w:r>
          </w:p>
          <w:p w14:paraId="03EA5EE5" w14:textId="1616DDEC" w:rsidR="001B3AE0" w:rsidRPr="007A0574" w:rsidRDefault="001B3AE0" w:rsidP="006B3D7B">
            <w:pPr>
              <w:spacing w:before="120"/>
            </w:pPr>
            <w:r w:rsidRPr="007A0574">
              <w:t xml:space="preserve">A taxpayer </w:t>
            </w:r>
            <w:r w:rsidR="00334433" w:rsidRPr="007A0574">
              <w:t>has</w:t>
            </w:r>
            <w:r w:rsidRPr="007A0574">
              <w:t xml:space="preserve"> $160</w:t>
            </w:r>
            <w:r w:rsidR="000F49DB" w:rsidRPr="007A0574">
              <w:t>,</w:t>
            </w:r>
            <w:r w:rsidRPr="007A0574">
              <w:t>000 of salary income, $5</w:t>
            </w:r>
            <w:r w:rsidR="00334433" w:rsidRPr="007A0574">
              <w:t>,</w:t>
            </w:r>
            <w:r w:rsidRPr="007A0574">
              <w:t>000 of interest income from personal investments, and $15</w:t>
            </w:r>
            <w:r w:rsidR="00334433" w:rsidRPr="007A0574">
              <w:t>,</w:t>
            </w:r>
            <w:r w:rsidRPr="007A0574">
              <w:t>000 of capital losses. This taxpayer does not have any shares, so the technical details of how corporate equity income is taxed in the shareholders hands is ignored.</w:t>
            </w:r>
          </w:p>
          <w:p w14:paraId="51473814" w14:textId="77777777" w:rsidR="001B3AE0" w:rsidRPr="007A0574" w:rsidRDefault="001B3AE0" w:rsidP="006B3D7B">
            <w:pPr>
              <w:spacing w:before="120"/>
            </w:pPr>
            <w:r w:rsidRPr="007A0574">
              <w:t>This taxpayer would be taxed in the following way:</w:t>
            </w:r>
          </w:p>
          <w:p w14:paraId="343F3CA5" w14:textId="59D2A136" w:rsidR="001B3AE0" w:rsidRPr="007A0574" w:rsidRDefault="001B3AE0" w:rsidP="00597B6B">
            <w:pPr>
              <w:pStyle w:val="ListBullet"/>
            </w:pPr>
            <w:r w:rsidRPr="007A0574">
              <w:t>The taxpayer’s general net income would be $160</w:t>
            </w:r>
            <w:r w:rsidR="003267BA" w:rsidRPr="007A0574">
              <w:t>,</w:t>
            </w:r>
            <w:r w:rsidRPr="007A0574">
              <w:t>000 + $5</w:t>
            </w:r>
            <w:r w:rsidR="003267BA" w:rsidRPr="007A0574">
              <w:t>,</w:t>
            </w:r>
            <w:r w:rsidRPr="007A0574">
              <w:t>000 - $15</w:t>
            </w:r>
            <w:r w:rsidR="003267BA" w:rsidRPr="007A0574">
              <w:t>,</w:t>
            </w:r>
            <w:r w:rsidRPr="007A0574">
              <w:t>000, or $150</w:t>
            </w:r>
            <w:r w:rsidR="003267BA" w:rsidRPr="007A0574">
              <w:t>,</w:t>
            </w:r>
            <w:r w:rsidRPr="007A0574">
              <w:t>000.</w:t>
            </w:r>
          </w:p>
          <w:p w14:paraId="79065690" w14:textId="459E9767" w:rsidR="001B3AE0" w:rsidRPr="007A0574" w:rsidRDefault="001B3AE0" w:rsidP="00597B6B">
            <w:pPr>
              <w:pStyle w:val="ListBullet"/>
            </w:pPr>
            <w:r w:rsidRPr="007A0574">
              <w:t>Tax on this amount would be $30</w:t>
            </w:r>
            <w:r w:rsidR="003267BA" w:rsidRPr="007A0574">
              <w:t>,</w:t>
            </w:r>
            <w:r w:rsidRPr="007A0574">
              <w:t>000, which is 20% of $150</w:t>
            </w:r>
            <w:r w:rsidR="003267BA" w:rsidRPr="007A0574">
              <w:t>,</w:t>
            </w:r>
            <w:r w:rsidRPr="007A0574">
              <w:t>000.</w:t>
            </w:r>
          </w:p>
          <w:p w14:paraId="0333BD3D" w14:textId="70232A06" w:rsidR="001B3AE0" w:rsidRPr="007A0574" w:rsidRDefault="001B3AE0" w:rsidP="00597B6B">
            <w:pPr>
              <w:pStyle w:val="ListBullet"/>
            </w:pPr>
            <w:r w:rsidRPr="007A0574">
              <w:t>The taxpayer would also be liable for the surtax percentage points of tax on the $60</w:t>
            </w:r>
            <w:r w:rsidR="00315F47" w:rsidRPr="007A0574">
              <w:t>,</w:t>
            </w:r>
            <w:r w:rsidRPr="007A0574">
              <w:t>000 salary income.</w:t>
            </w:r>
          </w:p>
          <w:p w14:paraId="72EF886D" w14:textId="10101FB2" w:rsidR="001B3AE0" w:rsidRPr="007A0574" w:rsidRDefault="001B3AE0" w:rsidP="00597B6B">
            <w:pPr>
              <w:pStyle w:val="ListBullet"/>
            </w:pPr>
            <w:r w:rsidRPr="007A0574">
              <w:t>This is additional tax of $9</w:t>
            </w:r>
            <w:r w:rsidR="00315F47" w:rsidRPr="007A0574">
              <w:t>,</w:t>
            </w:r>
            <w:r w:rsidRPr="007A0574">
              <w:t>600.</w:t>
            </w:r>
          </w:p>
          <w:p w14:paraId="6A51B170" w14:textId="559C9859" w:rsidR="001B3AE0" w:rsidRPr="007A0574" w:rsidRDefault="001B3AE0" w:rsidP="00597B6B">
            <w:pPr>
              <w:pStyle w:val="ListBullet"/>
            </w:pPr>
            <w:r w:rsidRPr="007A0574">
              <w:t>Total tax for the taxpayer in this case is $39</w:t>
            </w:r>
            <w:r w:rsidR="00315F47" w:rsidRPr="007A0574">
              <w:t>,</w:t>
            </w:r>
            <w:r w:rsidRPr="007A0574">
              <w:t>600.</w:t>
            </w:r>
          </w:p>
        </w:tc>
      </w:tr>
    </w:tbl>
    <w:p w14:paraId="3629040A" w14:textId="738D805F" w:rsidR="001B3AE0" w:rsidRPr="0011214E" w:rsidRDefault="001B3AE0" w:rsidP="00075D72">
      <w:pPr>
        <w:pStyle w:val="NumberedParagraph"/>
      </w:pPr>
      <w:r w:rsidRPr="0011214E">
        <w:t>None of the Nordic tax systems have all the features outlined by Sørensen. Norway’s system probably comes closest.</w:t>
      </w:r>
      <w:r w:rsidRPr="0011214E">
        <w:rPr>
          <w:vertAlign w:val="superscript"/>
        </w:rPr>
        <w:footnoteReference w:id="41"/>
      </w:r>
    </w:p>
    <w:p w14:paraId="5E8CCD78" w14:textId="77777777" w:rsidR="001B3AE0" w:rsidRPr="00075D72" w:rsidRDefault="001B3AE0" w:rsidP="00075D72">
      <w:pPr>
        <w:pStyle w:val="NumberedParagraph"/>
        <w:rPr>
          <w:rFonts w:eastAsia="Verdana" w:cs="Verdana"/>
        </w:rPr>
      </w:pPr>
      <w:r w:rsidRPr="0011214E">
        <w:t>The Nordic systems all make explicit distinctions between types of income, with earned or personal income taxed differently from capital income. Further divisions exist within these two broad categories, particularly for dividends and capital gains.</w:t>
      </w:r>
    </w:p>
    <w:p w14:paraId="5AB36CA1" w14:textId="77777777" w:rsidR="001B3AE0" w:rsidRPr="0011214E" w:rsidRDefault="001B3AE0" w:rsidP="00075D72">
      <w:pPr>
        <w:pStyle w:val="NumberedParagraph"/>
      </w:pPr>
      <w:r w:rsidRPr="0011214E">
        <w:t>The corporate tax rates in the Nordic countries are generally low – between 20% to 22%.</w:t>
      </w:r>
      <w:r w:rsidRPr="0011214E">
        <w:rPr>
          <w:vertAlign w:val="superscript"/>
        </w:rPr>
        <w:footnoteReference w:id="42"/>
      </w:r>
      <w:r w:rsidRPr="0011214E">
        <w:t xml:space="preserve"> In contrast, the personal tax rates are very high, with top marginal tax rates ranging from around 46% to 55%.</w:t>
      </w:r>
    </w:p>
    <w:p w14:paraId="305B35E1" w14:textId="77777777" w:rsidR="001B3AE0" w:rsidRPr="0011214E" w:rsidRDefault="001B3AE0" w:rsidP="00075D72">
      <w:pPr>
        <w:pStyle w:val="NumberedParagraph"/>
      </w:pPr>
      <w:r w:rsidRPr="0011214E">
        <w:t>The corporate tax rates are not generally aligned with the tax rates on capital income, and the tax rates on capital income are not completely flat and uniform either. For example, Iceland taxes capital gains, dividends and interest at 22% (with a tax-free threshold for interest), but it taxes rental income at effectively 11%,</w:t>
      </w:r>
      <w:r w:rsidRPr="0011214E">
        <w:rPr>
          <w:vertAlign w:val="superscript"/>
        </w:rPr>
        <w:footnoteReference w:id="43"/>
      </w:r>
      <w:r w:rsidRPr="0011214E">
        <w:t xml:space="preserve"> and both Finland and Denmark tax capital income progressively.</w:t>
      </w:r>
    </w:p>
    <w:p w14:paraId="362EC6F7" w14:textId="1682A7E3" w:rsidR="001B3AE0" w:rsidRPr="0011214E" w:rsidRDefault="001B3AE0" w:rsidP="00075D72">
      <w:pPr>
        <w:pStyle w:val="NumberedParagraph"/>
      </w:pPr>
      <w:r w:rsidRPr="0011214E">
        <w:lastRenderedPageBreak/>
        <w:t>Different reasons have been put forward for taxing capital income at a lower rate than labour income. As we see it, the main considerations seem to be:</w:t>
      </w:r>
      <w:r w:rsidRPr="0011214E">
        <w:rPr>
          <w:vertAlign w:val="superscript"/>
        </w:rPr>
        <w:footnoteReference w:id="44"/>
      </w:r>
    </w:p>
    <w:p w14:paraId="3B93BD7C" w14:textId="717EC29C" w:rsidR="001B3AE0" w:rsidRPr="0011214E" w:rsidRDefault="005840B2" w:rsidP="00075D72">
      <w:pPr>
        <w:pStyle w:val="NumberedParagraph-BulletL1"/>
      </w:pPr>
      <w:r>
        <w:t xml:space="preserve">to </w:t>
      </w:r>
      <w:r w:rsidR="001B3AE0" w:rsidRPr="0011214E">
        <w:t>maintain a reasonably low cost of capital for foreign investors while collecting high levels of tax</w:t>
      </w:r>
    </w:p>
    <w:p w14:paraId="2DD90A07" w14:textId="60ED74D1" w:rsidR="001B3AE0" w:rsidRPr="0011214E" w:rsidRDefault="004F1C29" w:rsidP="00075D72">
      <w:pPr>
        <w:pStyle w:val="NumberedParagraph-BulletL1"/>
      </w:pPr>
      <w:r>
        <w:t xml:space="preserve">to </w:t>
      </w:r>
      <w:r w:rsidR="001B3AE0" w:rsidRPr="0011214E">
        <w:t>maintain a progressive personal tax system with potentially a significantly higher top rate than New Zealand’s current top rate of 39%</w:t>
      </w:r>
    </w:p>
    <w:p w14:paraId="7A62690F" w14:textId="77777777" w:rsidR="001B3AE0" w:rsidRPr="0011214E" w:rsidRDefault="001B3AE0" w:rsidP="00075D72">
      <w:pPr>
        <w:pStyle w:val="NumberedParagraph-BulletL1"/>
      </w:pPr>
      <w:r w:rsidRPr="0011214E">
        <w:t>concerns that applying high top marginal tax rates to personal capital income may lead to excessive distortions or to excessive evasion of tax</w:t>
      </w:r>
    </w:p>
    <w:p w14:paraId="2C655F55" w14:textId="2D6F6E2E" w:rsidR="001B3AE0" w:rsidRPr="0011214E" w:rsidRDefault="001B3AE0" w:rsidP="00075D72">
      <w:pPr>
        <w:pStyle w:val="NumberedParagraph-BulletL1"/>
      </w:pPr>
      <w:r w:rsidRPr="0011214E">
        <w:t>enthusiasm for</w:t>
      </w:r>
      <w:r w:rsidR="0075276D">
        <w:t>,</w:t>
      </w:r>
      <w:r w:rsidRPr="0011214E">
        <w:t xml:space="preserve"> or at least a willingness to accept</w:t>
      </w:r>
      <w:r w:rsidR="0075276D">
        <w:t>,</w:t>
      </w:r>
      <w:r w:rsidRPr="0011214E">
        <w:t xml:space="preserve"> a low tax rate on capital income as a quid pro quo for quite steeply progressive tax rates on labour incomes.</w:t>
      </w:r>
    </w:p>
    <w:p w14:paraId="48071586" w14:textId="59F13DCD" w:rsidR="001B3AE0" w:rsidRPr="0011214E" w:rsidRDefault="001B3AE0" w:rsidP="00075D72">
      <w:pPr>
        <w:pStyle w:val="NumberedParagraph"/>
      </w:pPr>
      <w:r w:rsidRPr="0011214E">
        <w:t>One concern about taxing the capital incomes of domestic residents at very high rates is that this can distort intertemporal consumption decisions and cause people to save too little for the future. Up until recently (and at the time dual income tax systems were being put in place)</w:t>
      </w:r>
      <w:r w:rsidR="00721BFF">
        <w:t>,</w:t>
      </w:r>
      <w:r w:rsidRPr="0011214E">
        <w:t xml:space="preserve"> the conventional wisdom held by many economists was that taxing the capital incomes of domestic residents at all was likely to be particularly inefficient.</w:t>
      </w:r>
      <w:r w:rsidRPr="0011214E">
        <w:rPr>
          <w:vertAlign w:val="superscript"/>
        </w:rPr>
        <w:footnoteReference w:id="45"/>
      </w:r>
      <w:r w:rsidRPr="0011214E">
        <w:t xml:space="preserve"> More recent analysis has questioned the robustness of these result</w:t>
      </w:r>
      <w:r w:rsidR="00390D9F">
        <w:t>s</w:t>
      </w:r>
      <w:r w:rsidR="004F58DF">
        <w:t>,</w:t>
      </w:r>
      <w:r w:rsidRPr="0011214E">
        <w:t xml:space="preserve"> and some </w:t>
      </w:r>
      <w:r w:rsidR="00865453">
        <w:t xml:space="preserve">analysts </w:t>
      </w:r>
      <w:r w:rsidRPr="0011214E">
        <w:t>have suggested high and progressive taxes on wealth or capital incomes.</w:t>
      </w:r>
      <w:r w:rsidRPr="0011214E">
        <w:rPr>
          <w:vertAlign w:val="superscript"/>
        </w:rPr>
        <w:footnoteReference w:id="46"/>
      </w:r>
      <w:r w:rsidRPr="0011214E">
        <w:t xml:space="preserve"> Scheuer and Slemrod (2020) puts it as follows</w:t>
      </w:r>
      <w:r w:rsidR="004F58DF">
        <w:t>:</w:t>
      </w:r>
      <w:r w:rsidRPr="0011214E">
        <w:t xml:space="preserve"> “We point out that the former conventional wisdom – that an optimal tax system would feature no taxes on capital income – has been overturned.” It is fair to say that concerns about intertemporal consumption distortions are probably more muted now than they were when Nordic countries adopted their dual income tax systems. Nonetheless, there is no presumption that capital incomes should necessarily be taxed at the same rates as labour incomes.</w:t>
      </w:r>
    </w:p>
    <w:p w14:paraId="52D180C2" w14:textId="24798636" w:rsidR="001B3AE0" w:rsidRPr="0011214E" w:rsidRDefault="001B3AE0" w:rsidP="00075D72">
      <w:pPr>
        <w:pStyle w:val="NumberedParagraph"/>
      </w:pPr>
      <w:r w:rsidRPr="0011214E">
        <w:t>A second concern</w:t>
      </w:r>
      <w:r w:rsidRPr="0011214E" w:rsidDel="00A93D13">
        <w:t xml:space="preserve"> </w:t>
      </w:r>
      <w:r w:rsidRPr="0011214E">
        <w:t>is that capital income taxes can produce significant distortions because different forms of capital income</w:t>
      </w:r>
      <w:r w:rsidR="00937151">
        <w:t>,</w:t>
      </w:r>
      <w:r w:rsidRPr="0011214E">
        <w:t xml:space="preserve"> such as income from housing and interest income</w:t>
      </w:r>
      <w:r w:rsidR="00D26273">
        <w:t>,</w:t>
      </w:r>
      <w:r w:rsidRPr="0011214E">
        <w:t xml:space="preserve"> are taxed very differently. As a result, taxes on capital incomes may be particularly distortionary.</w:t>
      </w:r>
    </w:p>
    <w:p w14:paraId="4A456C77" w14:textId="622258B5" w:rsidR="001B3AE0" w:rsidRPr="0011214E" w:rsidRDefault="001B3AE0" w:rsidP="00075D72">
      <w:pPr>
        <w:pStyle w:val="NumberedParagraph"/>
      </w:pPr>
      <w:r w:rsidRPr="0011214E">
        <w:t>A third concern is the way that capital income tax distortions can be increased because of inflation and the taxation of inflationary gains. This can compound intertemporal consumption distortions and biases between different types of saving.</w:t>
      </w:r>
    </w:p>
    <w:p w14:paraId="645EF0D6" w14:textId="78F5977E" w:rsidR="001B3AE0" w:rsidRPr="0011214E" w:rsidRDefault="001B3AE0" w:rsidP="00075D72">
      <w:pPr>
        <w:pStyle w:val="NumberedParagraph"/>
      </w:pPr>
      <w:r w:rsidRPr="0011214E">
        <w:t>A fourth concern is that capital incomes may be particularly hard to tax and prone to tax evasion by taxpayers concealing wealth offshore. International agreements on the automatic exchange of information (AEOI) between countries will have helped to moderate some of these concerns. At the same time new innovations</w:t>
      </w:r>
      <w:r w:rsidR="002519B8">
        <w:t>,</w:t>
      </w:r>
      <w:r w:rsidRPr="0011214E">
        <w:t xml:space="preserve"> such as blockchain</w:t>
      </w:r>
      <w:r w:rsidR="002519B8">
        <w:t>,</w:t>
      </w:r>
      <w:r w:rsidRPr="0011214E">
        <w:t xml:space="preserve"> may be making it harder for tax authorities to find out about taxable incomes. It is hard to predict now how these pressures are likely to change in the future.</w:t>
      </w:r>
    </w:p>
    <w:p w14:paraId="294A3941" w14:textId="52E122F6" w:rsidR="001B3AE0" w:rsidRPr="0011214E" w:rsidRDefault="001B3AE0" w:rsidP="00075D72">
      <w:pPr>
        <w:pStyle w:val="NumberedParagraph"/>
      </w:pPr>
      <w:r w:rsidRPr="0011214E">
        <w:lastRenderedPageBreak/>
        <w:t>A fifth concern is the way in which high tax rates on capital income could increase the benefits of interest deductions</w:t>
      </w:r>
      <w:r w:rsidR="002600D0">
        <w:t>,</w:t>
      </w:r>
      <w:r w:rsidRPr="0011214E">
        <w:t xml:space="preserve"> especially in times of inflation.</w:t>
      </w:r>
    </w:p>
    <w:p w14:paraId="1F834197" w14:textId="6E32A96E" w:rsidR="001B3AE0" w:rsidRPr="0011214E" w:rsidRDefault="001B3AE0" w:rsidP="00075D72">
      <w:pPr>
        <w:pStyle w:val="NumberedParagraph"/>
      </w:pPr>
      <w:r w:rsidRPr="0011214E">
        <w:t>It is hard to know now if these sorts of concerns are likely to become pressing in New Zealand. If they do</w:t>
      </w:r>
      <w:r w:rsidR="00871F04">
        <w:t>,</w:t>
      </w:r>
      <w:r w:rsidRPr="0011214E">
        <w:t xml:space="preserve"> a dual income tax approach is something to be considered. At the same time</w:t>
      </w:r>
      <w:r w:rsidR="00871F04">
        <w:t>,</w:t>
      </w:r>
      <w:r w:rsidRPr="0011214E">
        <w:t xml:space="preserve"> measures </w:t>
      </w:r>
      <w:r w:rsidR="00871F04">
        <w:t>that</w:t>
      </w:r>
      <w:r w:rsidRPr="0011214E">
        <w:t xml:space="preserve"> reduce taxes on capital incomes can obviously end up reducing taxes on some of the wealthiest in society</w:t>
      </w:r>
      <w:r w:rsidR="00871F04">
        <w:t>,</w:t>
      </w:r>
      <w:r w:rsidRPr="0011214E">
        <w:t xml:space="preserve"> so there are complex fairness concerns to work through.</w:t>
      </w:r>
    </w:p>
    <w:p w14:paraId="09780292" w14:textId="6F2AE9CC" w:rsidR="001B3AE0" w:rsidRPr="0011214E" w:rsidRDefault="001B3AE0" w:rsidP="00075D72">
      <w:pPr>
        <w:pStyle w:val="NumberedParagraph"/>
      </w:pPr>
      <w:r w:rsidRPr="0011214E">
        <w:t>If New Zealand wish</w:t>
      </w:r>
      <w:r w:rsidR="00D72CC2">
        <w:t>ed</w:t>
      </w:r>
      <w:r w:rsidRPr="0011214E">
        <w:t xml:space="preserve"> to move in the dual income tax direction, there are </w:t>
      </w:r>
      <w:r w:rsidR="00D72CC2">
        <w:t>several</w:t>
      </w:r>
      <w:r w:rsidRPr="0011214E">
        <w:t xml:space="preserve"> ways of achieving this</w:t>
      </w:r>
      <w:r w:rsidR="00D72CC2">
        <w:t>,</w:t>
      </w:r>
      <w:r w:rsidRPr="0011214E">
        <w:t xml:space="preserve"> including increasing the rate of GST and using the revenue raised to reduce income taxes or provide payments to households. If this were done in a way </w:t>
      </w:r>
      <w:r w:rsidR="0008682C">
        <w:t>that</w:t>
      </w:r>
      <w:r w:rsidRPr="0011214E">
        <w:t xml:space="preserve"> delivers more benefit to those on lower incomes than on higher incomes</w:t>
      </w:r>
      <w:r w:rsidR="0008682C">
        <w:t>,</w:t>
      </w:r>
      <w:r w:rsidRPr="0011214E">
        <w:t xml:space="preserve"> this might be done without reducing the overall progressivity of the tax system.</w:t>
      </w:r>
    </w:p>
    <w:p w14:paraId="5C073DCE" w14:textId="77777777" w:rsidR="001B3AE0" w:rsidRPr="0011214E" w:rsidRDefault="001B3AE0" w:rsidP="00075D72">
      <w:pPr>
        <w:pStyle w:val="NumberedParagraph"/>
      </w:pPr>
      <w:r w:rsidRPr="0011214E">
        <w:t>The Nordic countries collect very high levels of tax. In 2019, Denmark collected the most tax as a proportion of GDP (46.3%), followed by Sweden (42.9%) and Finland (42.2%). Norway (39.9%) and Iceland (36.1%) collected the least. In comparison, New Zealand’s tax take was 32.3% of GDP.</w:t>
      </w:r>
      <w:r w:rsidRPr="0011214E">
        <w:rPr>
          <w:vertAlign w:val="superscript"/>
        </w:rPr>
        <w:footnoteReference w:id="47"/>
      </w:r>
    </w:p>
    <w:p w14:paraId="1CDAEC78" w14:textId="15038CD8" w:rsidR="001B3AE0" w:rsidRPr="0011214E" w:rsidRDefault="001B3AE0" w:rsidP="00075D72">
      <w:pPr>
        <w:pStyle w:val="NumberedParagraph"/>
      </w:pPr>
      <w:r w:rsidRPr="0011214E">
        <w:t xml:space="preserve">Despite such high levels of tax, the Nordic countries’ corporate tax rates are all lower than New Zealand’s (see </w:t>
      </w:r>
      <w:r w:rsidR="0064750E">
        <w:t>t</w:t>
      </w:r>
      <w:r>
        <w:t>able 12.1</w:t>
      </w:r>
      <w:r w:rsidRPr="0011214E">
        <w:t>). The reasonably low corporate tax rates allow the Nordic countries to maintain reasonably low costs of capital for foreign investors. At the same time, dual income taxes allow the Nordic countries to levy high taxes on labour income</w:t>
      </w:r>
      <w:r w:rsidRPr="0011214E">
        <w:rPr>
          <w:vertAlign w:val="superscript"/>
        </w:rPr>
        <w:footnoteReference w:id="48"/>
      </w:r>
      <w:r w:rsidRPr="0011214E">
        <w:t xml:space="preserve"> without too much distortion.</w:t>
      </w:r>
    </w:p>
    <w:p w14:paraId="15AE68E6" w14:textId="2CA43FAE" w:rsidR="001B3AE0" w:rsidRPr="0011214E" w:rsidRDefault="001B3AE0" w:rsidP="00075D72">
      <w:pPr>
        <w:pStyle w:val="Caption"/>
        <w:rPr>
          <w:rFonts w:eastAsia="Calibri"/>
          <w:lang w:eastAsia="en-US"/>
        </w:rPr>
      </w:pPr>
      <w:r w:rsidRPr="0011214E">
        <w:rPr>
          <w:rFonts w:eastAsia="Calibri"/>
          <w:lang w:eastAsia="en-US"/>
        </w:rPr>
        <w:t xml:space="preserve">Table </w:t>
      </w:r>
      <w:r>
        <w:rPr>
          <w:rFonts w:eastAsia="Calibri"/>
          <w:lang w:eastAsia="en-US"/>
        </w:rPr>
        <w:t>12.1</w:t>
      </w:r>
      <w:r w:rsidR="002A071F">
        <w:rPr>
          <w:rFonts w:eastAsia="Calibri"/>
          <w:lang w:eastAsia="en-US"/>
        </w:rPr>
        <w:t>: Nordic countries’ tax rates</w:t>
      </w:r>
    </w:p>
    <w:tbl>
      <w:tblPr>
        <w:tblStyle w:val="TableGrid"/>
        <w:tblW w:w="7938" w:type="dxa"/>
        <w:tblInd w:w="84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top w:w="57" w:type="dxa"/>
          <w:bottom w:w="57" w:type="dxa"/>
        </w:tblCellMar>
        <w:tblLook w:val="04A0" w:firstRow="1" w:lastRow="0" w:firstColumn="1" w:lastColumn="0" w:noHBand="0" w:noVBand="1"/>
      </w:tblPr>
      <w:tblGrid>
        <w:gridCol w:w="1559"/>
        <w:gridCol w:w="1276"/>
        <w:gridCol w:w="2551"/>
        <w:gridCol w:w="2552"/>
      </w:tblGrid>
      <w:tr w:rsidR="0021078D" w:rsidRPr="001A7A39" w14:paraId="2B1CB862" w14:textId="77777777" w:rsidTr="00A82A79">
        <w:trPr>
          <w:tblHeader/>
        </w:trPr>
        <w:tc>
          <w:tcPr>
            <w:tcW w:w="1559" w:type="dxa"/>
            <w:tcBorders>
              <w:bottom w:val="single" w:sz="4" w:space="0" w:color="A6A6A6" w:themeColor="background1" w:themeShade="A6"/>
            </w:tcBorders>
            <w:shd w:val="clear" w:color="auto" w:fill="232E36"/>
          </w:tcPr>
          <w:p w14:paraId="5EFB06F6" w14:textId="22E5A737" w:rsidR="001B3AE0" w:rsidRPr="001A7A39" w:rsidRDefault="002A071F" w:rsidP="0021078D">
            <w:pPr>
              <w:pStyle w:val="Table-HeaderRow"/>
            </w:pPr>
            <w:r>
              <w:t>Country</w:t>
            </w:r>
          </w:p>
        </w:tc>
        <w:tc>
          <w:tcPr>
            <w:tcW w:w="1276" w:type="dxa"/>
            <w:shd w:val="clear" w:color="auto" w:fill="232E36"/>
          </w:tcPr>
          <w:p w14:paraId="5F46E92D" w14:textId="77777777" w:rsidR="001B3AE0" w:rsidRPr="001A7A39" w:rsidRDefault="001B3AE0" w:rsidP="0021078D">
            <w:pPr>
              <w:pStyle w:val="Table-HeaderRow"/>
              <w:jc w:val="center"/>
            </w:pPr>
            <w:r w:rsidRPr="001A7A39">
              <w:t>Corporate tax rates</w:t>
            </w:r>
          </w:p>
        </w:tc>
        <w:tc>
          <w:tcPr>
            <w:tcW w:w="2551" w:type="dxa"/>
            <w:shd w:val="clear" w:color="auto" w:fill="232E36"/>
          </w:tcPr>
          <w:p w14:paraId="3E6C4D12" w14:textId="77777777" w:rsidR="001B3AE0" w:rsidRPr="001A7A39" w:rsidRDefault="001B3AE0" w:rsidP="0021078D">
            <w:pPr>
              <w:pStyle w:val="Table-HeaderRow"/>
              <w:jc w:val="center"/>
            </w:pPr>
            <w:r w:rsidRPr="001A7A39">
              <w:t>Personal/earned income tax rates</w:t>
            </w:r>
          </w:p>
        </w:tc>
        <w:tc>
          <w:tcPr>
            <w:tcW w:w="2552" w:type="dxa"/>
            <w:shd w:val="clear" w:color="auto" w:fill="232E36"/>
          </w:tcPr>
          <w:p w14:paraId="5BD590B1" w14:textId="20D5F2E6" w:rsidR="001B3AE0" w:rsidRPr="001A7A39" w:rsidRDefault="001B3AE0" w:rsidP="0021078D">
            <w:pPr>
              <w:pStyle w:val="Table-HeaderRow"/>
              <w:jc w:val="center"/>
            </w:pPr>
            <w:r w:rsidRPr="001A7A39">
              <w:t>Capital income rates</w:t>
            </w:r>
          </w:p>
        </w:tc>
      </w:tr>
      <w:tr w:rsidR="0021078D" w:rsidRPr="0021078D" w14:paraId="546209E6" w14:textId="77777777" w:rsidTr="00A82A79">
        <w:tc>
          <w:tcPr>
            <w:tcW w:w="1559" w:type="dxa"/>
            <w:shd w:val="clear" w:color="auto" w:fill="auto"/>
          </w:tcPr>
          <w:p w14:paraId="07DA5887" w14:textId="77777777" w:rsidR="001B3AE0" w:rsidRPr="0021078D" w:rsidRDefault="001B3AE0" w:rsidP="0021078D">
            <w:pPr>
              <w:pStyle w:val="Table-Text"/>
              <w:rPr>
                <w:rStyle w:val="Strong"/>
              </w:rPr>
            </w:pPr>
            <w:r w:rsidRPr="0021078D">
              <w:rPr>
                <w:rStyle w:val="Strong"/>
              </w:rPr>
              <w:t>Sweden</w:t>
            </w:r>
          </w:p>
        </w:tc>
        <w:tc>
          <w:tcPr>
            <w:tcW w:w="1276" w:type="dxa"/>
          </w:tcPr>
          <w:p w14:paraId="5E82ED1C" w14:textId="77777777" w:rsidR="001B3AE0" w:rsidRPr="0021078D" w:rsidRDefault="001B3AE0" w:rsidP="00A82A79">
            <w:pPr>
              <w:pStyle w:val="Table-Text"/>
              <w:tabs>
                <w:tab w:val="decimal" w:pos="605"/>
              </w:tabs>
            </w:pPr>
            <w:r w:rsidRPr="0021078D">
              <w:t>21.4%</w:t>
            </w:r>
          </w:p>
        </w:tc>
        <w:tc>
          <w:tcPr>
            <w:tcW w:w="2551" w:type="dxa"/>
          </w:tcPr>
          <w:p w14:paraId="5FCF429B" w14:textId="5CFC69E4" w:rsidR="001B3AE0" w:rsidRPr="0021078D" w:rsidRDefault="001B3AE0" w:rsidP="0021078D">
            <w:pPr>
              <w:pStyle w:val="Table-Text"/>
            </w:pPr>
            <w:r w:rsidRPr="0021078D">
              <w:t>Around 30% to 52%</w:t>
            </w:r>
            <w:r w:rsidR="0021078D">
              <w:t>.</w:t>
            </w:r>
          </w:p>
          <w:p w14:paraId="2D3B22AE" w14:textId="237984D4" w:rsidR="001B3AE0" w:rsidRPr="0021078D" w:rsidRDefault="001B3AE0" w:rsidP="0021078D">
            <w:pPr>
              <w:pStyle w:val="Table-Text"/>
            </w:pPr>
            <w:r w:rsidRPr="0021078D">
              <w:t>Figures include municipal taxes of around 32% but not social security contributions. Social security contributions are around 30% but are capped at around NZ</w:t>
            </w:r>
            <w:r w:rsidR="00A82A79">
              <w:t>$</w:t>
            </w:r>
            <w:r w:rsidRPr="0021078D">
              <w:t>6</w:t>
            </w:r>
            <w:r w:rsidR="00A82A79">
              <w:t>,</w:t>
            </w:r>
            <w:r w:rsidRPr="0021078D">
              <w:t>000 and can be credited against other taxes.</w:t>
            </w:r>
          </w:p>
        </w:tc>
        <w:tc>
          <w:tcPr>
            <w:tcW w:w="2552" w:type="dxa"/>
          </w:tcPr>
          <w:p w14:paraId="50AE360A" w14:textId="134B56CE" w:rsidR="001B3AE0" w:rsidRPr="0021078D" w:rsidRDefault="001B3AE0" w:rsidP="0021078D">
            <w:pPr>
              <w:pStyle w:val="Table-Text"/>
            </w:pPr>
            <w:r w:rsidRPr="0021078D">
              <w:t>25% for dividends, interest, capital gains and rental income</w:t>
            </w:r>
            <w:r w:rsidR="0021078D">
              <w:t>.</w:t>
            </w:r>
          </w:p>
          <w:p w14:paraId="465C0CC0" w14:textId="0322B983" w:rsidR="001B3AE0" w:rsidRPr="0021078D" w:rsidRDefault="001B3AE0" w:rsidP="0021078D">
            <w:pPr>
              <w:pStyle w:val="Table-Text"/>
            </w:pPr>
            <w:r w:rsidRPr="0021078D">
              <w:t>Dividends are double taxed (no imputation)</w:t>
            </w:r>
            <w:r w:rsidR="0021078D">
              <w:t>.</w:t>
            </w:r>
          </w:p>
        </w:tc>
      </w:tr>
      <w:tr w:rsidR="0021078D" w:rsidRPr="0021078D" w14:paraId="5A5C41E3" w14:textId="77777777" w:rsidTr="00A82A79">
        <w:tc>
          <w:tcPr>
            <w:tcW w:w="1559" w:type="dxa"/>
            <w:shd w:val="clear" w:color="auto" w:fill="auto"/>
          </w:tcPr>
          <w:p w14:paraId="5022A8D3" w14:textId="77777777" w:rsidR="001B3AE0" w:rsidRPr="0021078D" w:rsidRDefault="001B3AE0" w:rsidP="0021078D">
            <w:pPr>
              <w:pStyle w:val="Table-Text"/>
              <w:rPr>
                <w:rStyle w:val="Strong"/>
              </w:rPr>
            </w:pPr>
            <w:r w:rsidRPr="0021078D">
              <w:rPr>
                <w:rStyle w:val="Strong"/>
              </w:rPr>
              <w:br w:type="page"/>
              <w:t>Norway</w:t>
            </w:r>
          </w:p>
        </w:tc>
        <w:tc>
          <w:tcPr>
            <w:tcW w:w="1276" w:type="dxa"/>
          </w:tcPr>
          <w:p w14:paraId="5CB3928C" w14:textId="77777777" w:rsidR="001B3AE0" w:rsidRPr="0021078D" w:rsidRDefault="001B3AE0" w:rsidP="00A82A79">
            <w:pPr>
              <w:pStyle w:val="Table-Text"/>
              <w:tabs>
                <w:tab w:val="decimal" w:pos="605"/>
              </w:tabs>
            </w:pPr>
            <w:r w:rsidRPr="0021078D">
              <w:t>22%</w:t>
            </w:r>
          </w:p>
        </w:tc>
        <w:tc>
          <w:tcPr>
            <w:tcW w:w="2551" w:type="dxa"/>
          </w:tcPr>
          <w:p w14:paraId="7009F446" w14:textId="7605CC61" w:rsidR="001B3AE0" w:rsidRPr="0021078D" w:rsidRDefault="001B3AE0" w:rsidP="0021078D">
            <w:pPr>
              <w:pStyle w:val="Table-Text"/>
            </w:pPr>
            <w:r w:rsidRPr="0021078D">
              <w:t>Around 30% to 46%</w:t>
            </w:r>
            <w:r w:rsidR="0021078D">
              <w:t>.</w:t>
            </w:r>
          </w:p>
          <w:p w14:paraId="48ED2574" w14:textId="77777777" w:rsidR="001B3AE0" w:rsidRPr="0021078D" w:rsidRDefault="001B3AE0" w:rsidP="0021078D">
            <w:pPr>
              <w:pStyle w:val="Table-Text"/>
            </w:pPr>
            <w:r w:rsidRPr="0021078D">
              <w:t>Figures include national insurance of 8.2%.</w:t>
            </w:r>
          </w:p>
        </w:tc>
        <w:tc>
          <w:tcPr>
            <w:tcW w:w="2552" w:type="dxa"/>
          </w:tcPr>
          <w:p w14:paraId="4CC2AF14" w14:textId="1BBB6B57" w:rsidR="001B3AE0" w:rsidRPr="0021078D" w:rsidRDefault="001B3AE0" w:rsidP="0021078D">
            <w:pPr>
              <w:pStyle w:val="Table-Text"/>
            </w:pPr>
            <w:r w:rsidRPr="0021078D">
              <w:t>22% on interest, royalties, rental and capital gains other than on shares</w:t>
            </w:r>
            <w:r w:rsidR="0021078D">
              <w:t>.</w:t>
            </w:r>
          </w:p>
          <w:p w14:paraId="63C3673C" w14:textId="0E1DAACF" w:rsidR="001B3AE0" w:rsidRPr="0021078D" w:rsidRDefault="001B3AE0" w:rsidP="0021078D">
            <w:pPr>
              <w:pStyle w:val="Table-Text"/>
            </w:pPr>
            <w:r w:rsidRPr="0021078D">
              <w:t>31.68% for dividends and capital gains on shares, which are double taxed with an RRA deduction allowed (explained below)</w:t>
            </w:r>
            <w:r w:rsidR="0021078D">
              <w:t>.</w:t>
            </w:r>
          </w:p>
        </w:tc>
      </w:tr>
      <w:tr w:rsidR="00A82A79" w:rsidRPr="001A7A39" w14:paraId="408DD0F4" w14:textId="77777777" w:rsidTr="00A82A79">
        <w:tc>
          <w:tcPr>
            <w:tcW w:w="1559" w:type="dxa"/>
            <w:shd w:val="clear" w:color="auto" w:fill="auto"/>
          </w:tcPr>
          <w:p w14:paraId="20587A2F" w14:textId="77777777" w:rsidR="001B3AE0" w:rsidRPr="00A82A79" w:rsidRDefault="001B3AE0" w:rsidP="00A82A79">
            <w:pPr>
              <w:pStyle w:val="Table-Text"/>
              <w:rPr>
                <w:rStyle w:val="Strong"/>
              </w:rPr>
            </w:pPr>
            <w:r w:rsidRPr="00A82A79">
              <w:rPr>
                <w:rStyle w:val="Strong"/>
              </w:rPr>
              <w:lastRenderedPageBreak/>
              <w:t>Finland</w:t>
            </w:r>
          </w:p>
        </w:tc>
        <w:tc>
          <w:tcPr>
            <w:tcW w:w="1276" w:type="dxa"/>
          </w:tcPr>
          <w:p w14:paraId="7D5412F2" w14:textId="77777777" w:rsidR="001B3AE0" w:rsidRPr="001A7A39" w:rsidRDefault="001B3AE0" w:rsidP="00A82A79">
            <w:pPr>
              <w:pStyle w:val="Table-Text"/>
              <w:tabs>
                <w:tab w:val="decimal" w:pos="605"/>
              </w:tabs>
            </w:pPr>
            <w:r w:rsidRPr="001A7A39">
              <w:t>20%</w:t>
            </w:r>
          </w:p>
        </w:tc>
        <w:tc>
          <w:tcPr>
            <w:tcW w:w="2551" w:type="dxa"/>
          </w:tcPr>
          <w:p w14:paraId="1D67BEC2" w14:textId="36BAC2B0" w:rsidR="001B3AE0" w:rsidRPr="001A7A39" w:rsidRDefault="001B3AE0" w:rsidP="00A82A79">
            <w:pPr>
              <w:pStyle w:val="Table-Text"/>
            </w:pPr>
            <w:r w:rsidRPr="001A7A39">
              <w:t>Around 17% to 55%</w:t>
            </w:r>
            <w:r w:rsidR="0021078D">
              <w:t>.</w:t>
            </w:r>
          </w:p>
          <w:p w14:paraId="300DE13C" w14:textId="77777777" w:rsidR="001B3AE0" w:rsidRPr="001A7A39" w:rsidRDefault="001B3AE0" w:rsidP="00A82A79">
            <w:pPr>
              <w:pStyle w:val="Table-Text"/>
            </w:pPr>
            <w:r w:rsidRPr="001A7A39">
              <w:t>Figures include municipal tax (16.75% to 23.5%) and church tax (1% to 2.2%).</w:t>
            </w:r>
          </w:p>
        </w:tc>
        <w:tc>
          <w:tcPr>
            <w:tcW w:w="2552" w:type="dxa"/>
          </w:tcPr>
          <w:p w14:paraId="1F867C96" w14:textId="267CCFF2" w:rsidR="001B3AE0" w:rsidRPr="001A7A39" w:rsidRDefault="001B3AE0" w:rsidP="00A82A79">
            <w:pPr>
              <w:pStyle w:val="Table-Text"/>
            </w:pPr>
            <w:r w:rsidRPr="001A7A39">
              <w:t>30% on dividends, rental income, some interest income, and capital gains</w:t>
            </w:r>
            <w:r w:rsidR="00844EE1">
              <w:t xml:space="preserve"> up to EUR</w:t>
            </w:r>
            <w:r w:rsidR="0021078D">
              <w:t>€</w:t>
            </w:r>
            <w:r w:rsidR="00844EE1">
              <w:t>30,000</w:t>
            </w:r>
            <w:r w:rsidR="0021078D">
              <w:t>.</w:t>
            </w:r>
          </w:p>
          <w:p w14:paraId="05664C67" w14:textId="40ABB763" w:rsidR="001B3AE0" w:rsidRPr="001A7A39" w:rsidRDefault="001B3AE0" w:rsidP="00A82A79">
            <w:pPr>
              <w:pStyle w:val="Table-Text"/>
            </w:pPr>
            <w:r w:rsidRPr="001A7A39">
              <w:t>34% thereafter</w:t>
            </w:r>
            <w:r w:rsidR="0021078D">
              <w:t>.</w:t>
            </w:r>
          </w:p>
        </w:tc>
      </w:tr>
      <w:tr w:rsidR="0021078D" w:rsidRPr="001A7A39" w14:paraId="2CBB4BA9" w14:textId="77777777" w:rsidTr="00A82A79">
        <w:tc>
          <w:tcPr>
            <w:tcW w:w="1559" w:type="dxa"/>
            <w:shd w:val="clear" w:color="auto" w:fill="auto"/>
          </w:tcPr>
          <w:p w14:paraId="1B95E9B3" w14:textId="77777777" w:rsidR="001B3AE0" w:rsidRPr="00A82A79" w:rsidRDefault="001B3AE0" w:rsidP="00A82A79">
            <w:pPr>
              <w:pStyle w:val="Table-Text"/>
              <w:rPr>
                <w:rStyle w:val="Strong"/>
              </w:rPr>
            </w:pPr>
            <w:r w:rsidRPr="00A82A79">
              <w:rPr>
                <w:rStyle w:val="Strong"/>
              </w:rPr>
              <w:t>Denmark</w:t>
            </w:r>
          </w:p>
        </w:tc>
        <w:tc>
          <w:tcPr>
            <w:tcW w:w="1276" w:type="dxa"/>
          </w:tcPr>
          <w:p w14:paraId="61332F53" w14:textId="77777777" w:rsidR="001B3AE0" w:rsidRPr="001A7A39" w:rsidRDefault="001B3AE0" w:rsidP="00A82A79">
            <w:pPr>
              <w:pStyle w:val="Table-Text"/>
              <w:tabs>
                <w:tab w:val="decimal" w:pos="605"/>
              </w:tabs>
            </w:pPr>
            <w:r w:rsidRPr="001A7A39">
              <w:t>22%</w:t>
            </w:r>
          </w:p>
        </w:tc>
        <w:tc>
          <w:tcPr>
            <w:tcW w:w="2551" w:type="dxa"/>
          </w:tcPr>
          <w:p w14:paraId="03AB5EF2" w14:textId="26D1E711" w:rsidR="001B3AE0" w:rsidRPr="001A7A39" w:rsidRDefault="001B3AE0" w:rsidP="00A82A79">
            <w:pPr>
              <w:pStyle w:val="Table-Text"/>
            </w:pPr>
            <w:r w:rsidRPr="001A7A39">
              <w:t>Around 8% to 56%</w:t>
            </w:r>
            <w:r w:rsidR="0021078D">
              <w:t>.</w:t>
            </w:r>
          </w:p>
          <w:p w14:paraId="60660A95" w14:textId="74E30C53" w:rsidR="001B3AE0" w:rsidRPr="001A7A39" w:rsidRDefault="001B3AE0" w:rsidP="00A82A79">
            <w:pPr>
              <w:pStyle w:val="Table-Text"/>
            </w:pPr>
            <w:r w:rsidRPr="001A7A39">
              <w:t>Figures include municipal tax and the social security levy (tax of around 8%).</w:t>
            </w:r>
          </w:p>
        </w:tc>
        <w:tc>
          <w:tcPr>
            <w:tcW w:w="2552" w:type="dxa"/>
          </w:tcPr>
          <w:p w14:paraId="45B0D776" w14:textId="1746CE6B" w:rsidR="001B3AE0" w:rsidRPr="001A7A39" w:rsidRDefault="001B3AE0" w:rsidP="00A82A79">
            <w:pPr>
              <w:pStyle w:val="Table-Text"/>
            </w:pPr>
            <w:r w:rsidRPr="001A7A39">
              <w:t>27% or 42% on dividends and capital gains on shares</w:t>
            </w:r>
            <w:r w:rsidR="0021078D">
              <w:t>.</w:t>
            </w:r>
          </w:p>
          <w:p w14:paraId="2C46A1D6" w14:textId="3701AFDF" w:rsidR="001B3AE0" w:rsidRPr="001A7A39" w:rsidRDefault="001B3AE0" w:rsidP="00A82A79">
            <w:pPr>
              <w:pStyle w:val="Table-Text"/>
            </w:pPr>
            <w:r w:rsidRPr="001A7A39">
              <w:t>Up to 42.7% on other capital income (for example, interest)</w:t>
            </w:r>
            <w:r w:rsidR="0021078D">
              <w:t>.</w:t>
            </w:r>
          </w:p>
        </w:tc>
      </w:tr>
      <w:tr w:rsidR="00A82A79" w:rsidRPr="001A7A39" w14:paraId="5B0BA0B7" w14:textId="77777777" w:rsidTr="00A82A79">
        <w:tc>
          <w:tcPr>
            <w:tcW w:w="1559" w:type="dxa"/>
            <w:shd w:val="clear" w:color="auto" w:fill="auto"/>
          </w:tcPr>
          <w:p w14:paraId="28525FB9" w14:textId="77777777" w:rsidR="001B3AE0" w:rsidRPr="00A82A79" w:rsidRDefault="001B3AE0" w:rsidP="00A82A79">
            <w:pPr>
              <w:pStyle w:val="Table-Text"/>
              <w:rPr>
                <w:rStyle w:val="Strong"/>
              </w:rPr>
            </w:pPr>
            <w:r w:rsidRPr="00A82A79">
              <w:rPr>
                <w:rStyle w:val="Strong"/>
              </w:rPr>
              <w:t>Iceland</w:t>
            </w:r>
          </w:p>
        </w:tc>
        <w:tc>
          <w:tcPr>
            <w:tcW w:w="1276" w:type="dxa"/>
          </w:tcPr>
          <w:p w14:paraId="7B2F0110" w14:textId="77777777" w:rsidR="001B3AE0" w:rsidRPr="001A7A39" w:rsidRDefault="001B3AE0" w:rsidP="00A82A79">
            <w:pPr>
              <w:pStyle w:val="Table-Text"/>
              <w:tabs>
                <w:tab w:val="decimal" w:pos="605"/>
              </w:tabs>
            </w:pPr>
            <w:r w:rsidRPr="001A7A39">
              <w:t>20%</w:t>
            </w:r>
          </w:p>
        </w:tc>
        <w:tc>
          <w:tcPr>
            <w:tcW w:w="2551" w:type="dxa"/>
          </w:tcPr>
          <w:p w14:paraId="5548C03E" w14:textId="38970934" w:rsidR="001B3AE0" w:rsidRPr="001A7A39" w:rsidRDefault="001B3AE0" w:rsidP="00A82A79">
            <w:pPr>
              <w:pStyle w:val="Table-Text"/>
            </w:pPr>
            <w:r w:rsidRPr="001A7A39">
              <w:t>Around 42% to 53%</w:t>
            </w:r>
            <w:r w:rsidR="0021078D">
              <w:t>.</w:t>
            </w:r>
          </w:p>
          <w:p w14:paraId="6303E70F" w14:textId="77777777" w:rsidR="001B3AE0" w:rsidRPr="001A7A39" w:rsidRDefault="001B3AE0" w:rsidP="00A82A79">
            <w:pPr>
              <w:pStyle w:val="Table-Text"/>
            </w:pPr>
            <w:r w:rsidRPr="001A7A39">
              <w:t>Figures include municipal taxes and social security (6.85%).</w:t>
            </w:r>
          </w:p>
        </w:tc>
        <w:tc>
          <w:tcPr>
            <w:tcW w:w="2552" w:type="dxa"/>
          </w:tcPr>
          <w:p w14:paraId="27C410CE" w14:textId="19EDD3B5" w:rsidR="001B3AE0" w:rsidRPr="001A7A39" w:rsidRDefault="001B3AE0" w:rsidP="00A82A79">
            <w:pPr>
              <w:pStyle w:val="Table-Text"/>
            </w:pPr>
            <w:r w:rsidRPr="001A7A39">
              <w:t>22% on capital gains and dividends, interest and rent</w:t>
            </w:r>
            <w:r w:rsidR="0021078D">
              <w:t>.</w:t>
            </w:r>
          </w:p>
          <w:p w14:paraId="27C566F6" w14:textId="4ED364C2" w:rsidR="001B3AE0" w:rsidRPr="001A7A39" w:rsidRDefault="001B3AE0" w:rsidP="00A82A79">
            <w:pPr>
              <w:pStyle w:val="Table-Text"/>
            </w:pPr>
            <w:r w:rsidRPr="001A7A39">
              <w:t>There is a tax-free threshold for interest and only 50% of rent is taxed</w:t>
            </w:r>
            <w:r w:rsidR="0021078D">
              <w:t>.</w:t>
            </w:r>
          </w:p>
        </w:tc>
      </w:tr>
    </w:tbl>
    <w:p w14:paraId="682172E8" w14:textId="5B0B46CA" w:rsidR="001B3AE0" w:rsidRPr="006B2CE5" w:rsidRDefault="001B3AE0" w:rsidP="001B3AE0">
      <w:pPr>
        <w:pStyle w:val="Heading2"/>
        <w:rPr>
          <w:rFonts w:eastAsia="Calibri"/>
          <w:lang w:eastAsia="en-US"/>
        </w:rPr>
      </w:pPr>
      <w:bookmarkStart w:id="75" w:name="_Toc96585577"/>
      <w:r w:rsidRPr="006B2CE5">
        <w:rPr>
          <w:rFonts w:eastAsia="Calibri"/>
          <w:lang w:eastAsia="en-US"/>
        </w:rPr>
        <w:t>P</w:t>
      </w:r>
      <w:r w:rsidR="00861827">
        <w:rPr>
          <w:rFonts w:eastAsia="Calibri"/>
          <w:lang w:eastAsia="en-US"/>
        </w:rPr>
        <w:t>ros and cons</w:t>
      </w:r>
      <w:bookmarkEnd w:id="75"/>
    </w:p>
    <w:p w14:paraId="664213BB" w14:textId="77777777" w:rsidR="001B3AE0" w:rsidRPr="006B2CE5" w:rsidRDefault="001B3AE0" w:rsidP="001B3AE0">
      <w:pPr>
        <w:pStyle w:val="Heading3"/>
        <w:rPr>
          <w:rFonts w:eastAsia="Calibri"/>
          <w:lang w:eastAsia="en-US"/>
        </w:rPr>
      </w:pPr>
      <w:r w:rsidRPr="006B2CE5">
        <w:rPr>
          <w:rFonts w:eastAsia="Calibri"/>
          <w:lang w:eastAsia="en-US"/>
        </w:rPr>
        <w:t>Reducing the cost of capital</w:t>
      </w:r>
    </w:p>
    <w:p w14:paraId="0FFBEAE4" w14:textId="18A00079" w:rsidR="001B3AE0" w:rsidRPr="006B2CE5" w:rsidRDefault="001B3AE0" w:rsidP="00075D72">
      <w:pPr>
        <w:pStyle w:val="NumberedParagraph"/>
      </w:pPr>
      <w:r w:rsidRPr="006B2CE5">
        <w:t xml:space="preserve">Many of the strengths and weaknesses of a dual income tax </w:t>
      </w:r>
      <w:r w:rsidR="0016044B">
        <w:t xml:space="preserve">system </w:t>
      </w:r>
      <w:r w:rsidRPr="006B2CE5">
        <w:t xml:space="preserve">that relate to the lower cost of capital through a lower corporate </w:t>
      </w:r>
      <w:r w:rsidR="00743EB9">
        <w:t xml:space="preserve">tax </w:t>
      </w:r>
      <w:r w:rsidRPr="006B2CE5">
        <w:t xml:space="preserve">rate are identical to </w:t>
      </w:r>
      <w:r w:rsidR="00743EB9">
        <w:t xml:space="preserve">the </w:t>
      </w:r>
      <w:r w:rsidRPr="006B2CE5">
        <w:t xml:space="preserve">strengths and weaknesses of lowering the company </w:t>
      </w:r>
      <w:r w:rsidR="00743EB9">
        <w:t xml:space="preserve">tax </w:t>
      </w:r>
      <w:r w:rsidRPr="006B2CE5">
        <w:t xml:space="preserve">rate, outlined in </w:t>
      </w:r>
      <w:r w:rsidRPr="003D48C8">
        <w:t xml:space="preserve">chapter </w:t>
      </w:r>
      <w:r>
        <w:t>6</w:t>
      </w:r>
      <w:r w:rsidRPr="003D48C8">
        <w:t>.</w:t>
      </w:r>
    </w:p>
    <w:p w14:paraId="4E6EED44" w14:textId="46F0ECC2" w:rsidR="001B3AE0" w:rsidRPr="006B2CE5" w:rsidRDefault="001B3AE0" w:rsidP="00075D72">
      <w:pPr>
        <w:pStyle w:val="NumberedParagraph"/>
      </w:pPr>
      <w:r w:rsidRPr="006B2CE5">
        <w:t>In the context of an exercise looking at costs of capital, the primary strength of a dual income tax system is that it allows a lower cost of capital, but it still allows greater taxation of domestic residents’ labour and capital income (where that capital income earns a higher than risk-free return). One important difference is that cutting the company tax rate and doing nothing else would tend to make the tax system less progressive</w:t>
      </w:r>
      <w:r w:rsidR="008E332F">
        <w:t>. This is</w:t>
      </w:r>
      <w:r w:rsidRPr="006B2CE5">
        <w:t xml:space="preserve"> because those on higher incomes would obtain greater benefits by sheltering personal income in companies</w:t>
      </w:r>
      <w:r w:rsidR="00702353">
        <w:t xml:space="preserve">. </w:t>
      </w:r>
      <w:r w:rsidRPr="006B2CE5">
        <w:t xml:space="preserve">A dual income tax is one way of allowing a company tax cut but supporting this with other measures </w:t>
      </w:r>
      <w:r w:rsidR="009B4A2C">
        <w:t>that</w:t>
      </w:r>
      <w:r w:rsidRPr="006B2CE5">
        <w:t xml:space="preserve"> support the integrity and progressivity of the personal tax system</w:t>
      </w:r>
      <w:r w:rsidR="00702353">
        <w:t xml:space="preserve">. </w:t>
      </w:r>
      <w:r w:rsidRPr="006B2CE5">
        <w:t xml:space="preserve">These include measures to integrate the corporate tax system with the personal tax system, </w:t>
      </w:r>
      <w:r>
        <w:t xml:space="preserve">possibly </w:t>
      </w:r>
      <w:r w:rsidRPr="006B2CE5">
        <w:t>including a capital gains tax on shareholders.</w:t>
      </w:r>
    </w:p>
    <w:p w14:paraId="10912BA3" w14:textId="313850B1" w:rsidR="001B3AE0" w:rsidRPr="006B2CE5" w:rsidRDefault="001B3AE0" w:rsidP="00075D72">
      <w:pPr>
        <w:pStyle w:val="NumberedParagraph"/>
      </w:pPr>
      <w:r w:rsidRPr="006B2CE5">
        <w:t>As set out above, a lower tax rate on corporate income also reduces the effect of non-neutralities in the capital income base (for example, depreciation schedules that do not match economic depreciation), potentially reduces avoidance and evasion, and reduces tax distortions to saving. Other aspects of the regime ensure that the portion of nominal income reflecting inflation is taxed less under a dual income tax system than a comprehensive income tax system.</w:t>
      </w:r>
      <w:r w:rsidR="00406791">
        <w:t xml:space="preserve"> At the same time there </w:t>
      </w:r>
      <w:r w:rsidR="00061A4F">
        <w:t xml:space="preserve">are some complex design issues </w:t>
      </w:r>
      <w:r w:rsidR="001A2F6B">
        <w:t xml:space="preserve">and distributional issues </w:t>
      </w:r>
      <w:r w:rsidR="00061A4F">
        <w:t>to consider</w:t>
      </w:r>
      <w:r w:rsidR="001A2F6B">
        <w:t>.</w:t>
      </w:r>
    </w:p>
    <w:p w14:paraId="2C43CF34" w14:textId="77777777" w:rsidR="001B3AE0" w:rsidRPr="006B2CE5" w:rsidRDefault="001B3AE0" w:rsidP="00893E99">
      <w:pPr>
        <w:pStyle w:val="Heading3"/>
        <w:rPr>
          <w:rFonts w:eastAsia="Calibri"/>
          <w:lang w:eastAsia="en-US"/>
        </w:rPr>
      </w:pPr>
      <w:r w:rsidRPr="006B2CE5">
        <w:rPr>
          <w:rFonts w:eastAsia="Calibri"/>
          <w:lang w:eastAsia="en-US"/>
        </w:rPr>
        <w:lastRenderedPageBreak/>
        <w:t>Issues with the distinction between labour income and capital income</w:t>
      </w:r>
    </w:p>
    <w:p w14:paraId="4070C034" w14:textId="77777777" w:rsidR="001B3AE0" w:rsidRPr="00075D72" w:rsidRDefault="001B3AE0" w:rsidP="00075D72">
      <w:pPr>
        <w:pStyle w:val="NumberedParagraph"/>
        <w:rPr>
          <w:rFonts w:eastAsia="Verdana" w:cs="Verdana"/>
        </w:rPr>
      </w:pPr>
      <w:r w:rsidRPr="006B2CE5">
        <w:t>The distinction between labour income and capital income can be very difficult to draw. Broadly speaking, labour income is earned from performing services (for example, wages, salaries) whereas capital income is earned from investment (for example, ordinary business income, interest, dividends, capital gains).</w:t>
      </w:r>
    </w:p>
    <w:p w14:paraId="408A5B37" w14:textId="2F3CB749" w:rsidR="001B3AE0" w:rsidRPr="006B2CE5" w:rsidRDefault="001B3AE0" w:rsidP="00075D72">
      <w:pPr>
        <w:pStyle w:val="NumberedParagraph"/>
      </w:pPr>
      <w:r w:rsidRPr="006B2CE5">
        <w:t xml:space="preserve">However, items that are typically considered </w:t>
      </w:r>
      <w:r w:rsidR="00FB0FF9">
        <w:t>‘</w:t>
      </w:r>
      <w:r w:rsidRPr="006B2CE5">
        <w:t>capital income</w:t>
      </w:r>
      <w:r w:rsidR="00FB0FF9">
        <w:t>’</w:t>
      </w:r>
      <w:r w:rsidRPr="006B2CE5">
        <w:t xml:space="preserve"> may also include a labour component. For example, part of the capital gain from buying and selling a property may include value added by labour spent fixing up the property. Similarly, capital gains and dividends from closely held companies may include a component that is properly attributable to work performed by a shareholder-employee in the company who is paid a below-market wage or salary.</w:t>
      </w:r>
    </w:p>
    <w:p w14:paraId="16DA1C08" w14:textId="23E03E5B" w:rsidR="001B3AE0" w:rsidRPr="006B2CE5" w:rsidRDefault="001B3AE0" w:rsidP="00075D72">
      <w:pPr>
        <w:pStyle w:val="NumberedParagraph"/>
      </w:pPr>
      <w:r w:rsidRPr="006B2CE5">
        <w:t xml:space="preserve">It therefore seems inevitable that a subjective distinction between labour and capital will be complex and give rise to outcomes that at times appear inconsistent or arbitrary and create distortions. This is even in the absence of any tax avoidance or minimisation behaviour. A dual income tax system, therefore, cannot rely solely on anti-avoidance rules that consider the </w:t>
      </w:r>
      <w:r w:rsidR="006661F1">
        <w:t>‘</w:t>
      </w:r>
      <w:r w:rsidRPr="006B2CE5">
        <w:t>true substance</w:t>
      </w:r>
      <w:r w:rsidR="006661F1">
        <w:t>’</w:t>
      </w:r>
      <w:r w:rsidRPr="006B2CE5">
        <w:t xml:space="preserve"> of income to work out if it is capital or revenue. Such subjective rules can only be a backstop at best. Norway illustrates an attempt at more objective </w:t>
      </w:r>
      <w:r w:rsidR="00887D97">
        <w:t>‘</w:t>
      </w:r>
      <w:r w:rsidRPr="006B2CE5">
        <w:t>income splitting</w:t>
      </w:r>
      <w:r w:rsidR="00887D97">
        <w:t>’</w:t>
      </w:r>
      <w:r w:rsidRPr="006B2CE5">
        <w:t xml:space="preserve"> rules.</w:t>
      </w:r>
    </w:p>
    <w:p w14:paraId="48722A95" w14:textId="6CC4EAEB" w:rsidR="001B3AE0" w:rsidRPr="006B2CE5" w:rsidRDefault="001B3AE0" w:rsidP="00893E99">
      <w:pPr>
        <w:pStyle w:val="Heading3"/>
        <w:rPr>
          <w:rFonts w:eastAsia="Calibri"/>
          <w:lang w:eastAsia="en-US"/>
        </w:rPr>
      </w:pPr>
      <w:r w:rsidRPr="00B84D84">
        <w:rPr>
          <w:rFonts w:eastAsia="Calibri"/>
        </w:rPr>
        <w:t>Income</w:t>
      </w:r>
      <w:r w:rsidR="00AB321D">
        <w:rPr>
          <w:rFonts w:eastAsia="Calibri"/>
        </w:rPr>
        <w:t>-</w:t>
      </w:r>
      <w:r w:rsidRPr="006B2CE5">
        <w:rPr>
          <w:rFonts w:eastAsia="Calibri"/>
          <w:lang w:eastAsia="en-US"/>
        </w:rPr>
        <w:t>splitting rules</w:t>
      </w:r>
    </w:p>
    <w:p w14:paraId="5ED88180" w14:textId="77777777" w:rsidR="001B3AE0" w:rsidRPr="006B2CE5" w:rsidRDefault="001B3AE0" w:rsidP="00075D72">
      <w:pPr>
        <w:pStyle w:val="NumberedParagraph"/>
      </w:pPr>
      <w:r w:rsidRPr="006B2CE5">
        <w:t>An initial question is how to tax the capital incomes of sole traders and partnerships where the return comprises both capital and labour income. In principle, there are two potential approaches for splitting income between the capital income and labour income components.</w:t>
      </w:r>
    </w:p>
    <w:p w14:paraId="32ECF081" w14:textId="77777777" w:rsidR="001B3AE0" w:rsidRPr="006B2CE5" w:rsidRDefault="001B3AE0" w:rsidP="00075D72">
      <w:pPr>
        <w:pStyle w:val="NumberedParagraph"/>
      </w:pPr>
      <w:r w:rsidRPr="006B2CE5">
        <w:t>One is to identify labour income by attempting to value the labour services that are being provided and then to treat the residual as capital income. A key problem with that approach is that it seems impractical to value the labour services that are being contributed.</w:t>
      </w:r>
    </w:p>
    <w:p w14:paraId="46D35902" w14:textId="36CA61AC" w:rsidR="001B3AE0" w:rsidRPr="006B2CE5" w:rsidRDefault="001B3AE0" w:rsidP="00075D72">
      <w:pPr>
        <w:pStyle w:val="NumberedParagraph"/>
      </w:pPr>
      <w:r w:rsidRPr="006B2CE5">
        <w:t>The second approach</w:t>
      </w:r>
      <w:r w:rsidR="00AB321D">
        <w:t>,</w:t>
      </w:r>
      <w:r w:rsidRPr="006B2CE5">
        <w:t xml:space="preserve"> and what is used in practice</w:t>
      </w:r>
      <w:r w:rsidR="00AB321D">
        <w:t>,</w:t>
      </w:r>
      <w:r w:rsidRPr="006B2CE5">
        <w:t xml:space="preserve"> is to attempt to value the capital income component and to treat the residual as labour income. This can be done by attempting to value capital assets employed in a business and imput</w:t>
      </w:r>
      <w:r w:rsidR="009A6685">
        <w:t>ing</w:t>
      </w:r>
      <w:r w:rsidRPr="006B2CE5">
        <w:t xml:space="preserve"> a standard return on these as capital income</w:t>
      </w:r>
      <w:r w:rsidR="00054696">
        <w:t>.</w:t>
      </w:r>
      <w:r w:rsidRPr="006B2CE5">
        <w:t xml:space="preserve"> </w:t>
      </w:r>
      <w:r w:rsidR="00054696">
        <w:t>E</w:t>
      </w:r>
      <w:r w:rsidRPr="006B2CE5">
        <w:t xml:space="preserve">verything else </w:t>
      </w:r>
      <w:r w:rsidR="00054696">
        <w:t>is</w:t>
      </w:r>
      <w:r w:rsidRPr="006B2CE5">
        <w:t xml:space="preserve"> treated as labour income and subject to higher progressive marginal tax rates. This means that if someone has a very smart idea and </w:t>
      </w:r>
      <w:r w:rsidR="00054696">
        <w:t>can</w:t>
      </w:r>
      <w:r w:rsidRPr="006B2CE5">
        <w:t xml:space="preserve"> generate economic rents, these rents will be taxed as labour income.</w:t>
      </w:r>
    </w:p>
    <w:p w14:paraId="350A7AE4" w14:textId="58C0D196" w:rsidR="001B3AE0" w:rsidRPr="006B2CE5" w:rsidRDefault="001B3AE0" w:rsidP="00075D72">
      <w:pPr>
        <w:pStyle w:val="NumberedParagraph"/>
      </w:pPr>
      <w:r w:rsidRPr="006B2CE5">
        <w:t xml:space="preserve">In calculating capital income, Norway allows an imputed interest rate </w:t>
      </w:r>
      <w:r w:rsidR="003352CE">
        <w:t>known as the rate of return allow</w:t>
      </w:r>
      <w:r w:rsidR="00351013">
        <w:t xml:space="preserve">ance </w:t>
      </w:r>
      <w:r w:rsidRPr="006B2CE5">
        <w:t>(RRA) on the value of capital in the business to be taxed as capital income. The RRA, which is currently around 1.3%, is based on interest rates on government bonds and is practically risk free.</w:t>
      </w:r>
      <w:r w:rsidRPr="006B2CE5">
        <w:rPr>
          <w:vertAlign w:val="superscript"/>
        </w:rPr>
        <w:footnoteReference w:id="49"/>
      </w:r>
      <w:r w:rsidRPr="006B2CE5">
        <w:t xml:space="preserve"> This income (along with forms of passive capital income</w:t>
      </w:r>
      <w:r w:rsidR="00F80E8A">
        <w:t>,</w:t>
      </w:r>
      <w:r w:rsidRPr="006B2CE5">
        <w:t xml:space="preserve"> such as interest and rents</w:t>
      </w:r>
      <w:r w:rsidR="00F80E8A">
        <w:t>)</w:t>
      </w:r>
      <w:r w:rsidRPr="00075D72">
        <w:rPr>
          <w:i/>
        </w:rPr>
        <w:t xml:space="preserve"> </w:t>
      </w:r>
      <w:r w:rsidRPr="006B2CE5">
        <w:t>is taxed at 22%</w:t>
      </w:r>
      <w:r w:rsidR="00702353">
        <w:t xml:space="preserve">. </w:t>
      </w:r>
      <w:r w:rsidRPr="006B2CE5">
        <w:t>Other income is taxed as labour income and subject to higher progressive income tax rates.</w:t>
      </w:r>
    </w:p>
    <w:p w14:paraId="6E195C82" w14:textId="7EF1E704" w:rsidR="001B3AE0" w:rsidRPr="00075D72" w:rsidRDefault="001B3AE0" w:rsidP="00075D72">
      <w:pPr>
        <w:pStyle w:val="NumberedParagraph"/>
        <w:rPr>
          <w:rFonts w:eastAsia="Verdana" w:cs="Verdana"/>
        </w:rPr>
      </w:pPr>
      <w:r w:rsidRPr="006B2CE5">
        <w:lastRenderedPageBreak/>
        <w:t>Before 2006, Norway had mandatory income</w:t>
      </w:r>
      <w:r w:rsidR="00D31299">
        <w:t>-</w:t>
      </w:r>
      <w:r w:rsidRPr="006B2CE5">
        <w:t>splitting rules for sole traders, partners and closely held companies with active owners to prevent labour income being converted to capital income.</w:t>
      </w:r>
    </w:p>
    <w:p w14:paraId="5DFEE5B4" w14:textId="5E0A3F21" w:rsidR="001B3AE0" w:rsidRPr="00075D72" w:rsidRDefault="001B3AE0" w:rsidP="00075D72">
      <w:pPr>
        <w:pStyle w:val="NumberedParagraph"/>
        <w:rPr>
          <w:rFonts w:eastAsia="Verdana" w:cs="Verdana"/>
        </w:rPr>
      </w:pPr>
      <w:r w:rsidRPr="006B2CE5">
        <w:t xml:space="preserve">Sørenson explains that these rules were not very effective. Taxpayers could structure their affairs to avoid being </w:t>
      </w:r>
      <w:r w:rsidR="00D31299">
        <w:t>‘</w:t>
      </w:r>
      <w:r w:rsidRPr="006B2CE5">
        <w:t>active owners</w:t>
      </w:r>
      <w:r w:rsidR="00D31299">
        <w:t>’</w:t>
      </w:r>
      <w:r w:rsidRPr="006B2CE5">
        <w:t xml:space="preserve"> and thereby avoid the income</w:t>
      </w:r>
      <w:r w:rsidR="00D31299">
        <w:t>-</w:t>
      </w:r>
      <w:r w:rsidRPr="006B2CE5">
        <w:t xml:space="preserve">splitting rules. Moreover, the </w:t>
      </w:r>
      <w:r w:rsidRPr="00075D72">
        <w:rPr>
          <w:rFonts w:eastAsia="Verdana" w:cs="Verdana"/>
        </w:rPr>
        <w:t>rules</w:t>
      </w:r>
      <w:r w:rsidRPr="006B2CE5">
        <w:t xml:space="preserve"> were frequently changed, usually to be more generous to taxpayers. The salary deduction adjustment is a good example as Sørenson notes </w:t>
      </w:r>
      <w:r w:rsidR="00586A21">
        <w:t>that</w:t>
      </w:r>
      <w:r w:rsidR="00586A21" w:rsidRPr="006B2CE5">
        <w:t>, by the late 1990s,</w:t>
      </w:r>
      <w:r w:rsidR="00A4035B">
        <w:t xml:space="preserve"> </w:t>
      </w:r>
      <w:r w:rsidRPr="006B2CE5">
        <w:t xml:space="preserve">almost 80% of active shareholders had </w:t>
      </w:r>
      <w:r w:rsidRPr="00075D72">
        <w:rPr>
          <w:i/>
          <w:iCs/>
        </w:rPr>
        <w:t xml:space="preserve">negative </w:t>
      </w:r>
      <w:r w:rsidRPr="006B2CE5">
        <w:t>labour income as a result of the deduction.</w:t>
      </w:r>
    </w:p>
    <w:p w14:paraId="16BF1B9C" w14:textId="698B9C19" w:rsidR="001B3AE0" w:rsidRPr="006B2CE5" w:rsidRDefault="001B3AE0" w:rsidP="00075D72">
      <w:pPr>
        <w:pStyle w:val="NumberedParagraph"/>
      </w:pPr>
      <w:r w:rsidRPr="006B2CE5">
        <w:t>To address the problems with income</w:t>
      </w:r>
      <w:r w:rsidR="00A4035B">
        <w:t>-</w:t>
      </w:r>
      <w:r w:rsidRPr="006B2CE5">
        <w:t xml:space="preserve">splitting rules for companies, Norway introduced a </w:t>
      </w:r>
      <w:r w:rsidR="00A4035B">
        <w:t>‘</w:t>
      </w:r>
      <w:r w:rsidRPr="006B2CE5">
        <w:t>shareholder model</w:t>
      </w:r>
      <w:r w:rsidR="00A4035B">
        <w:t>’</w:t>
      </w:r>
      <w:r w:rsidRPr="006B2CE5">
        <w:t xml:space="preserve"> in 2006, which is still used today. The key features are the RRA, which is calculated on capital invested, and the intentional double taxation of dividends and capital gains on shares.</w:t>
      </w:r>
    </w:p>
    <w:p w14:paraId="3C92F4C2" w14:textId="2BF0569B" w:rsidR="001B3AE0" w:rsidRPr="00075D72" w:rsidRDefault="001B3AE0" w:rsidP="00075D72">
      <w:pPr>
        <w:pStyle w:val="NumberedParagraph"/>
        <w:rPr>
          <w:rFonts w:eastAsia="Verdana" w:cs="Verdana"/>
        </w:rPr>
      </w:pPr>
      <w:r w:rsidRPr="006B2CE5">
        <w:t>The RRA is a deduction that provides relief against double taxation for the risk-free return. Returns above the risk-free rate are intentionally double taxed at a combined effective tax rate (around 46.7%) that is roughly in line with the top marginal tax rate on labour.</w:t>
      </w:r>
      <w:r w:rsidRPr="006B2CE5">
        <w:rPr>
          <w:vertAlign w:val="superscript"/>
        </w:rPr>
        <w:footnoteReference w:id="50"/>
      </w:r>
      <w:r w:rsidRPr="006B2CE5">
        <w:t xml:space="preserve"> The tax rate of 31.68% on dividends and capital gains on shares is set to achieve this result. It should be noted that this tax on capital gains is at quite a high rate and </w:t>
      </w:r>
      <w:r>
        <w:t>appears to be</w:t>
      </w:r>
      <w:r w:rsidRPr="006B2CE5">
        <w:t xml:space="preserve"> essential in making </w:t>
      </w:r>
      <w:r>
        <w:t>Norway’s</w:t>
      </w:r>
      <w:r w:rsidRPr="006B2CE5">
        <w:t xml:space="preserve"> shareholder model work. However, the tax on capital gains is designed to mitigate or eliminate the lock-in effects </w:t>
      </w:r>
      <w:r w:rsidR="00BD1651">
        <w:t>that</w:t>
      </w:r>
      <w:r w:rsidRPr="006B2CE5">
        <w:t xml:space="preserve"> are a standard problem with many capital gains taxes.</w:t>
      </w:r>
    </w:p>
    <w:p w14:paraId="6CC47C15" w14:textId="77777777" w:rsidR="001B3AE0" w:rsidRPr="006B2CE5" w:rsidRDefault="001B3AE0" w:rsidP="00075D72">
      <w:pPr>
        <w:pStyle w:val="NumberedParagraph"/>
      </w:pPr>
      <w:r w:rsidRPr="006B2CE5">
        <w:t>For companies, the RRA model applies at the individual shareholder level, rather than at the corporate level. It applies to both listed and unlisted shares held by residents of Norway (with some exceptions for European Economic Area (EEA) residents for EU law reasons). It applies whether the shareholders are active or passive.</w:t>
      </w:r>
    </w:p>
    <w:p w14:paraId="48D92804" w14:textId="695A845D" w:rsidR="001B3AE0" w:rsidRPr="006B2CE5" w:rsidRDefault="001B3AE0" w:rsidP="00075D72">
      <w:pPr>
        <w:pStyle w:val="NumberedParagraph"/>
      </w:pPr>
      <w:r w:rsidRPr="006B2CE5">
        <w:t xml:space="preserve">One reason the RRA model, including the double taxation of returns above the risk-free rate, applies at the shareholder level (rather than corporate level) is so that it does not affect the location decisions of </w:t>
      </w:r>
      <w:r w:rsidR="00ED1293">
        <w:t>multinational enterprises</w:t>
      </w:r>
      <w:r w:rsidRPr="006B2CE5">
        <w:t xml:space="preserve"> earning mobile rents. Another reason is that there is a lower revenue cost. This is because many shares may be owned by exempt entities or foreign residents who cannot use a deduction, but whose ownership share of corporate income (including the risk-free return) remains taxed at the corporate level.</w:t>
      </w:r>
    </w:p>
    <w:p w14:paraId="4DE0FAFE" w14:textId="1E1AB9AC" w:rsidR="001B3AE0" w:rsidRPr="006B2CE5" w:rsidRDefault="001B3AE0" w:rsidP="001B3AE0">
      <w:pPr>
        <w:pStyle w:val="Heading3"/>
        <w:rPr>
          <w:rFonts w:eastAsia="Calibri"/>
          <w:lang w:eastAsia="en-US"/>
        </w:rPr>
      </w:pPr>
      <w:r w:rsidRPr="006B2CE5">
        <w:rPr>
          <w:rFonts w:eastAsia="Calibri"/>
          <w:lang w:eastAsia="en-US"/>
        </w:rPr>
        <w:t>Taxing the capital income of domestic residents</w:t>
      </w:r>
      <w:r w:rsidR="009501E1">
        <w:rPr>
          <w:rFonts w:eastAsia="Calibri"/>
          <w:lang w:eastAsia="en-US"/>
        </w:rPr>
        <w:t xml:space="preserve"> and fairness considerations</w:t>
      </w:r>
    </w:p>
    <w:p w14:paraId="4B09BE6F" w14:textId="7AFE1273" w:rsidR="001B3AE0" w:rsidRPr="006B2CE5" w:rsidRDefault="001B3AE0" w:rsidP="00075D72">
      <w:pPr>
        <w:pStyle w:val="NumberedParagraph"/>
      </w:pPr>
      <w:r w:rsidRPr="006B2CE5">
        <w:t xml:space="preserve">As noted above, a key question is the fairness of reducing the taxation of the return to capital of New Zealand residents. On the one hand, this might be dismissed as a regressive measure </w:t>
      </w:r>
      <w:r w:rsidR="00C2033C">
        <w:t>that</w:t>
      </w:r>
      <w:r w:rsidRPr="006B2CE5">
        <w:t xml:space="preserve"> favours some of the </w:t>
      </w:r>
      <w:r w:rsidR="00C2033C">
        <w:t>wealthiest</w:t>
      </w:r>
      <w:r w:rsidRPr="006B2CE5">
        <w:t xml:space="preserve"> in society who have high capital incomes. For those earning business income</w:t>
      </w:r>
      <w:r w:rsidR="008A4BBF">
        <w:t>,</w:t>
      </w:r>
      <w:r w:rsidRPr="006B2CE5">
        <w:t xml:space="preserve"> or earning income through companies, the lower tax rate might be restricted to the risk-free return with any returns over and above these being taxed at labour income tax rates. However, depending on the balance of tax paid under a tax on share gains (required </w:t>
      </w:r>
      <w:r>
        <w:t>at least in Norway’s</w:t>
      </w:r>
      <w:r w:rsidRPr="006B2CE5">
        <w:t xml:space="preserve"> dual income tax), as compared with the lower rate on all currently taxable capital income, there might be a reduction in the tax paid by these people. On the other hand, these measures have been put in place by countries with quite progressive fiscal systems and have probably enabled the countries to have a considerably more progressive tax system on the categories of income that are taxed as labour income.</w:t>
      </w:r>
    </w:p>
    <w:p w14:paraId="4FDB9232" w14:textId="0E63D25D" w:rsidR="001B3AE0" w:rsidRPr="006B2CE5" w:rsidRDefault="001B3AE0" w:rsidP="00075D72">
      <w:pPr>
        <w:pStyle w:val="NumberedParagraph"/>
      </w:pPr>
      <w:r w:rsidRPr="006B2CE5">
        <w:lastRenderedPageBreak/>
        <w:t xml:space="preserve">For residents, a lower tax rate on the risk-free rate of return to capital would reduce distortions in intertemporal consumption/savings decisions (whether to consume now or save now and consume later) </w:t>
      </w:r>
      <w:r w:rsidR="0033250B">
        <w:t xml:space="preserve">and </w:t>
      </w:r>
      <w:r w:rsidRPr="006B2CE5">
        <w:t>on the forms of savings undertaken</w:t>
      </w:r>
      <w:r w:rsidR="00E223D6">
        <w:t>.</w:t>
      </w:r>
      <w:r w:rsidRPr="006B2CE5">
        <w:t xml:space="preserve"> </w:t>
      </w:r>
      <w:r w:rsidR="00E223D6">
        <w:t xml:space="preserve">It would also </w:t>
      </w:r>
      <w:r w:rsidRPr="006B2CE5">
        <w:t>reduce distortions caused by inflation and might alleviate the tax avoidance pressure that will arise if capital income is taxed at very high rates. A dual income tax system would be complex.</w:t>
      </w:r>
    </w:p>
    <w:p w14:paraId="35847B41" w14:textId="0E2A18BC" w:rsidR="001B3AE0" w:rsidRPr="006B2CE5" w:rsidRDefault="001B3AE0" w:rsidP="00075D72">
      <w:pPr>
        <w:pStyle w:val="NumberedParagraph"/>
      </w:pPr>
      <w:r w:rsidRPr="006B2CE5">
        <w:t>At the same time, it would provide one way of increasing higher personal marginal tax rates</w:t>
      </w:r>
      <w:r w:rsidR="00E273EF">
        <w:t>,</w:t>
      </w:r>
      <w:r w:rsidRPr="006B2CE5">
        <w:t xml:space="preserve"> should future governments wish to do so</w:t>
      </w:r>
      <w:r w:rsidR="00E273EF">
        <w:t>,</w:t>
      </w:r>
      <w:r w:rsidRPr="006B2CE5">
        <w:t xml:space="preserve"> without this leading to increases in costs of capital and EMTRs. Alternatively, it might provide a way of reducing costs of capital and EMTRs without changing higher marginal tax rates.</w:t>
      </w:r>
    </w:p>
    <w:p w14:paraId="36794674" w14:textId="308DAF3B" w:rsidR="001B3AE0" w:rsidRPr="006B2CE5" w:rsidRDefault="001B3AE0" w:rsidP="00075D72">
      <w:pPr>
        <w:pStyle w:val="NumberedParagraph"/>
      </w:pPr>
      <w:r w:rsidRPr="006B2CE5">
        <w:t>There are already elements of dual income taxes in New Zealand’s current tax rules</w:t>
      </w:r>
      <w:r w:rsidR="00702353">
        <w:t xml:space="preserve">. </w:t>
      </w:r>
      <w:r w:rsidRPr="006B2CE5">
        <w:t>For example, the top marginal tax rate is now 39%</w:t>
      </w:r>
      <w:r w:rsidR="00375BD2">
        <w:t>,</w:t>
      </w:r>
      <w:r w:rsidRPr="006B2CE5">
        <w:t xml:space="preserve"> but individuals on this tax rate are taxed only at a capped tax rate of 28% if they invest into PIEs. Also, income can often be taxed at less than their statutory personal marginal tax rates if people invest into trusts or companies. However, with trusts and companies there is scope for sheltering both capital and labour income. A dual income tax might be one way of increasing the coherence with which different forms of income are taxed.</w:t>
      </w:r>
    </w:p>
    <w:tbl>
      <w:tblPr>
        <w:tblStyle w:val="QuestionsBox"/>
        <w:tblW w:w="0" w:type="auto"/>
        <w:tblLook w:val="04A0" w:firstRow="1" w:lastRow="0" w:firstColumn="1" w:lastColumn="0" w:noHBand="0" w:noVBand="1"/>
      </w:tblPr>
      <w:tblGrid>
        <w:gridCol w:w="8768"/>
      </w:tblGrid>
      <w:tr w:rsidR="001B3AE0" w:rsidRPr="006B2CE5" w14:paraId="0CA0C0ED" w14:textId="77777777" w:rsidTr="001361AD">
        <w:tc>
          <w:tcPr>
            <w:tcW w:w="9016" w:type="dxa"/>
          </w:tcPr>
          <w:p w14:paraId="589E2413" w14:textId="19B4FE2D" w:rsidR="001361AD" w:rsidRPr="00D52E2E" w:rsidRDefault="001361AD" w:rsidP="00D52E2E">
            <w:pPr>
              <w:pStyle w:val="Heading2-Questions"/>
            </w:pPr>
            <w:r w:rsidRPr="00D52E2E">
              <w:t>Key questions to consider</w:t>
            </w:r>
          </w:p>
          <w:p w14:paraId="27323BDE" w14:textId="50794D7A" w:rsidR="001B3AE0" w:rsidRPr="006B2CE5" w:rsidRDefault="001B3AE0" w:rsidP="00D52E2E">
            <w:pPr>
              <w:pStyle w:val="Questionsparagraph"/>
            </w:pPr>
            <w:r w:rsidRPr="003C40E7">
              <w:rPr>
                <w:b/>
                <w:bCs/>
              </w:rPr>
              <w:t>Q12.1</w:t>
            </w:r>
            <w:r>
              <w:rPr>
                <w:b/>
                <w:bCs/>
              </w:rPr>
              <w:t>:</w:t>
            </w:r>
            <w:r>
              <w:tab/>
            </w:r>
            <w:r w:rsidRPr="006B2CE5">
              <w:t>Is a dual income tax worth considering further as a way of allowing costs of capital and EMTRs to be reduced?</w:t>
            </w:r>
          </w:p>
          <w:p w14:paraId="4D2F7F67" w14:textId="77777777" w:rsidR="001B3AE0" w:rsidRPr="006B2CE5" w:rsidRDefault="001B3AE0" w:rsidP="00D52E2E">
            <w:pPr>
              <w:pStyle w:val="Questionsparagraph"/>
            </w:pPr>
            <w:r w:rsidRPr="003C40E7">
              <w:rPr>
                <w:b/>
                <w:bCs/>
              </w:rPr>
              <w:t>Q12.2</w:t>
            </w:r>
            <w:r>
              <w:rPr>
                <w:b/>
                <w:bCs/>
              </w:rPr>
              <w:t>:</w:t>
            </w:r>
            <w:r>
              <w:tab/>
            </w:r>
            <w:r w:rsidRPr="006B2CE5">
              <w:t>Would a dual income tax be worth considering as a way of reducing distortions in the way that different forms of savings are taxed?</w:t>
            </w:r>
          </w:p>
          <w:p w14:paraId="32375E65" w14:textId="77777777" w:rsidR="001B3AE0" w:rsidRPr="006B2CE5" w:rsidRDefault="001B3AE0" w:rsidP="00D52E2E">
            <w:pPr>
              <w:pStyle w:val="Questionsparagraph"/>
            </w:pPr>
            <w:r w:rsidRPr="003C40E7">
              <w:rPr>
                <w:b/>
                <w:bCs/>
              </w:rPr>
              <w:t>Q12.3</w:t>
            </w:r>
            <w:r>
              <w:rPr>
                <w:b/>
                <w:bCs/>
              </w:rPr>
              <w:t>:</w:t>
            </w:r>
            <w:r>
              <w:tab/>
            </w:r>
            <w:r w:rsidRPr="006B2CE5">
              <w:t>Would a dual income tax be an attractive or unattractive measure on progressivity grounds?</w:t>
            </w:r>
          </w:p>
          <w:p w14:paraId="112D2994" w14:textId="443D6B23" w:rsidR="001B3AE0" w:rsidRPr="006B2CE5" w:rsidRDefault="001B3AE0" w:rsidP="00D52E2E">
            <w:pPr>
              <w:pStyle w:val="Questionsparagraph"/>
            </w:pPr>
            <w:r w:rsidRPr="003C40E7">
              <w:rPr>
                <w:b/>
                <w:bCs/>
              </w:rPr>
              <w:t>Q12.4</w:t>
            </w:r>
            <w:r>
              <w:rPr>
                <w:b/>
                <w:bCs/>
              </w:rPr>
              <w:t>:</w:t>
            </w:r>
            <w:r>
              <w:tab/>
            </w:r>
            <w:r w:rsidRPr="006B2CE5">
              <w:t xml:space="preserve">Is a dual income tax </w:t>
            </w:r>
            <w:r w:rsidR="00BB20C5">
              <w:t xml:space="preserve">only </w:t>
            </w:r>
            <w:r w:rsidRPr="006B2CE5">
              <w:t>worth considering in the future if it becomes harder to tax capital income at high marginal tax rates?</w:t>
            </w:r>
          </w:p>
        </w:tc>
      </w:tr>
    </w:tbl>
    <w:p w14:paraId="0E15F361" w14:textId="77777777" w:rsidR="001B3AE0" w:rsidRDefault="001B3AE0" w:rsidP="001B3AE0">
      <w:pPr>
        <w:spacing w:before="0"/>
        <w:jc w:val="left"/>
      </w:pPr>
    </w:p>
    <w:p w14:paraId="7C20E366" w14:textId="78B2AA4F" w:rsidR="009C5C56" w:rsidRPr="007F6362" w:rsidRDefault="00883360" w:rsidP="007F6362">
      <w:pPr>
        <w:pStyle w:val="Heading1-ExecutiveSummary"/>
      </w:pPr>
      <w:bookmarkStart w:id="76" w:name="_Toc96585578"/>
      <w:r w:rsidRPr="007F6362">
        <w:rPr>
          <w:caps w:val="0"/>
        </w:rPr>
        <w:lastRenderedPageBreak/>
        <w:t>REFERENCES</w:t>
      </w:r>
      <w:bookmarkEnd w:id="76"/>
    </w:p>
    <w:p w14:paraId="33A19CA1" w14:textId="6F0B4EF1" w:rsidR="00A62CE7" w:rsidRDefault="00A62CE7" w:rsidP="001B3AE0">
      <w:pPr>
        <w:spacing w:before="0"/>
        <w:jc w:val="left"/>
        <w:rPr>
          <w:lang w:val="en-US"/>
        </w:rPr>
      </w:pPr>
      <w:r w:rsidRPr="00E35955">
        <w:rPr>
          <w:szCs w:val="18"/>
        </w:rPr>
        <w:t>Atkinson, A. and Stiglitz, J. (1976)</w:t>
      </w:r>
      <w:r>
        <w:rPr>
          <w:szCs w:val="18"/>
        </w:rPr>
        <w:t>.</w:t>
      </w:r>
      <w:r w:rsidRPr="00E35955">
        <w:rPr>
          <w:szCs w:val="18"/>
        </w:rPr>
        <w:t xml:space="preserve"> The design of the tax structure: direct versus indirect taxation</w:t>
      </w:r>
      <w:r>
        <w:rPr>
          <w:szCs w:val="18"/>
        </w:rPr>
        <w:t>.</w:t>
      </w:r>
      <w:r w:rsidRPr="00E35955">
        <w:rPr>
          <w:szCs w:val="18"/>
        </w:rPr>
        <w:t xml:space="preserve"> </w:t>
      </w:r>
      <w:r w:rsidRPr="00E35955">
        <w:rPr>
          <w:i/>
          <w:iCs/>
          <w:szCs w:val="18"/>
        </w:rPr>
        <w:t>Journal of Public Economics</w:t>
      </w:r>
      <w:r w:rsidRPr="00E35955">
        <w:rPr>
          <w:szCs w:val="18"/>
        </w:rPr>
        <w:t>, 6, 55-75</w:t>
      </w:r>
      <w:r w:rsidR="00D50A36">
        <w:rPr>
          <w:szCs w:val="18"/>
        </w:rPr>
        <w:t>.</w:t>
      </w:r>
    </w:p>
    <w:p w14:paraId="2EC1F3A3" w14:textId="5A029EAF" w:rsidR="003F21E6" w:rsidRDefault="003F21E6" w:rsidP="001B3AE0">
      <w:pPr>
        <w:spacing w:before="0"/>
        <w:jc w:val="left"/>
        <w:rPr>
          <w:szCs w:val="18"/>
        </w:rPr>
      </w:pPr>
      <w:r>
        <w:rPr>
          <w:lang w:val="en-US"/>
        </w:rPr>
        <w:t xml:space="preserve">Bond, S.R. and Devereux, M. P. (1995) ‘On the design of a neutral business tax under uncertainty’, </w:t>
      </w:r>
      <w:r>
        <w:rPr>
          <w:i/>
          <w:iCs/>
          <w:lang w:val="en-US"/>
        </w:rPr>
        <w:t>Journal of Public Economics</w:t>
      </w:r>
      <w:r>
        <w:rPr>
          <w:lang w:val="en-US"/>
        </w:rPr>
        <w:t>, Vol. 58, 57-71.</w:t>
      </w:r>
    </w:p>
    <w:p w14:paraId="4506F3BA" w14:textId="61AC8E47" w:rsidR="009C5C56" w:rsidRDefault="000E4C48" w:rsidP="001B3AE0">
      <w:pPr>
        <w:spacing w:before="0"/>
        <w:jc w:val="left"/>
        <w:rPr>
          <w:szCs w:val="18"/>
        </w:rPr>
      </w:pPr>
      <w:r w:rsidRPr="00C9164E">
        <w:rPr>
          <w:szCs w:val="18"/>
        </w:rPr>
        <w:t>Buettner, T., Overesch, M., &amp; Wamser, G. (2014)</w:t>
      </w:r>
      <w:r>
        <w:rPr>
          <w:szCs w:val="18"/>
        </w:rPr>
        <w:t>.</w:t>
      </w:r>
      <w:r w:rsidRPr="00C9164E">
        <w:rPr>
          <w:szCs w:val="18"/>
        </w:rPr>
        <w:t xml:space="preserve"> </w:t>
      </w:r>
      <w:r w:rsidRPr="00C9164E">
        <w:rPr>
          <w:i/>
          <w:iCs/>
          <w:szCs w:val="18"/>
        </w:rPr>
        <w:t>Anti profit-shifting rules and foreign direct investment,</w:t>
      </w:r>
      <w:r w:rsidRPr="00C9164E">
        <w:rPr>
          <w:szCs w:val="18"/>
        </w:rPr>
        <w:t xml:space="preserve"> CESifo Working Paper, No. 4710, Center for Economic Studies and ifo Institute (CESifo), Munich.</w:t>
      </w:r>
    </w:p>
    <w:p w14:paraId="640932A9" w14:textId="2B29CDF5" w:rsidR="00D50A36" w:rsidRDefault="00D50A36" w:rsidP="001B3AE0">
      <w:pPr>
        <w:spacing w:before="0"/>
        <w:jc w:val="left"/>
      </w:pPr>
      <w:r w:rsidRPr="00E35955">
        <w:rPr>
          <w:szCs w:val="18"/>
        </w:rPr>
        <w:t>Chamley, C. (1986)</w:t>
      </w:r>
      <w:r>
        <w:rPr>
          <w:szCs w:val="18"/>
        </w:rPr>
        <w:t>.</w:t>
      </w:r>
      <w:r w:rsidRPr="00E35955">
        <w:rPr>
          <w:szCs w:val="18"/>
        </w:rPr>
        <w:t xml:space="preserve"> Optimal taxation of capital income in general equilibrium with infinite lives</w:t>
      </w:r>
      <w:r>
        <w:rPr>
          <w:szCs w:val="18"/>
        </w:rPr>
        <w:t>.</w:t>
      </w:r>
      <w:r w:rsidRPr="00E35955">
        <w:rPr>
          <w:szCs w:val="18"/>
        </w:rPr>
        <w:t xml:space="preserve"> </w:t>
      </w:r>
      <w:r w:rsidRPr="00E35955">
        <w:rPr>
          <w:i/>
          <w:iCs/>
          <w:szCs w:val="18"/>
        </w:rPr>
        <w:t>Econometrica</w:t>
      </w:r>
      <w:r w:rsidRPr="00E35955">
        <w:rPr>
          <w:szCs w:val="18"/>
        </w:rPr>
        <w:t>, 54, 607-622</w:t>
      </w:r>
      <w:r w:rsidR="00195925">
        <w:rPr>
          <w:szCs w:val="18"/>
        </w:rPr>
        <w:t>.</w:t>
      </w:r>
    </w:p>
    <w:p w14:paraId="31FE3C3E" w14:textId="09EE2A12" w:rsidR="00BA69C1" w:rsidRDefault="003F63DA" w:rsidP="001B3AE0">
      <w:pPr>
        <w:spacing w:before="0"/>
        <w:jc w:val="left"/>
      </w:pPr>
      <w:r w:rsidRPr="0016501C">
        <w:rPr>
          <w:szCs w:val="18"/>
          <w:lang w:val="en-US"/>
        </w:rPr>
        <w:t>Chen, D and J. Mintz</w:t>
      </w:r>
      <w:r>
        <w:rPr>
          <w:szCs w:val="18"/>
          <w:lang w:val="en-US"/>
        </w:rPr>
        <w:t>.</w:t>
      </w:r>
      <w:r w:rsidRPr="0016501C">
        <w:rPr>
          <w:szCs w:val="18"/>
          <w:lang w:val="en-US"/>
        </w:rPr>
        <w:t xml:space="preserve"> </w:t>
      </w:r>
      <w:r>
        <w:rPr>
          <w:szCs w:val="18"/>
          <w:lang w:val="en-US"/>
        </w:rPr>
        <w:t>(</w:t>
      </w:r>
      <w:r w:rsidRPr="0016501C">
        <w:rPr>
          <w:szCs w:val="18"/>
          <w:lang w:val="en-US"/>
        </w:rPr>
        <w:t>2009</w:t>
      </w:r>
      <w:r>
        <w:rPr>
          <w:szCs w:val="18"/>
          <w:lang w:val="en-US"/>
        </w:rPr>
        <w:t>).</w:t>
      </w:r>
      <w:r w:rsidRPr="0016501C">
        <w:rPr>
          <w:szCs w:val="18"/>
          <w:lang w:val="en-US"/>
        </w:rPr>
        <w:t xml:space="preserve"> </w:t>
      </w:r>
      <w:r w:rsidRPr="000E30EE">
        <w:rPr>
          <w:i/>
          <w:iCs/>
          <w:szCs w:val="18"/>
          <w:lang w:val="en-US"/>
        </w:rPr>
        <w:t>Capital taxation in New Zealand: a review from an international perspective</w:t>
      </w:r>
      <w:r>
        <w:rPr>
          <w:szCs w:val="18"/>
          <w:lang w:val="en-US"/>
        </w:rPr>
        <w:t>.</w:t>
      </w:r>
      <w:r>
        <w:rPr>
          <w:szCs w:val="18"/>
          <w:lang w:val="en-US"/>
        </w:rPr>
        <w:br/>
      </w:r>
      <w:hyperlink r:id="rId33" w:history="1">
        <w:r w:rsidRPr="0016501C">
          <w:rPr>
            <w:rStyle w:val="Hyperlink"/>
            <w:szCs w:val="18"/>
            <w:lang w:val="en-US"/>
          </w:rPr>
          <w:t>https://www.wgtn.ac.nz/cagtr/events/past-events/tax-working-group-2009/publications/4-capital-taxation-in-nz-intl-perspective.pdf</w:t>
        </w:r>
      </w:hyperlink>
    </w:p>
    <w:p w14:paraId="73107222" w14:textId="7C237B66" w:rsidR="00A11BCD" w:rsidRDefault="00A11BCD" w:rsidP="001B3AE0">
      <w:pPr>
        <w:spacing w:before="0"/>
        <w:jc w:val="left"/>
      </w:pPr>
      <w:r w:rsidRPr="001A7780">
        <w:rPr>
          <w:szCs w:val="18"/>
        </w:rPr>
        <w:t>De Mooij, R. &amp; Ederveen, S. (2003)</w:t>
      </w:r>
      <w:r>
        <w:rPr>
          <w:szCs w:val="18"/>
        </w:rPr>
        <w:t>.</w:t>
      </w:r>
      <w:r w:rsidRPr="001A7780">
        <w:rPr>
          <w:szCs w:val="18"/>
        </w:rPr>
        <w:t xml:space="preserve"> Taxation and foreign direct investment: a synthesis of empirical research</w:t>
      </w:r>
      <w:r>
        <w:rPr>
          <w:szCs w:val="18"/>
        </w:rPr>
        <w:t>.</w:t>
      </w:r>
      <w:r w:rsidRPr="001A7780">
        <w:rPr>
          <w:szCs w:val="18"/>
        </w:rPr>
        <w:t xml:space="preserve"> </w:t>
      </w:r>
      <w:r w:rsidRPr="001A7780">
        <w:rPr>
          <w:i/>
          <w:iCs/>
          <w:szCs w:val="18"/>
        </w:rPr>
        <w:t>International Tax and Public Finance</w:t>
      </w:r>
      <w:r w:rsidRPr="001A7780">
        <w:rPr>
          <w:szCs w:val="18"/>
        </w:rPr>
        <w:t>, Vol. 10, 673-693.</w:t>
      </w:r>
    </w:p>
    <w:p w14:paraId="59DB1F5F" w14:textId="12F9D3E7" w:rsidR="00DD2D5D" w:rsidRDefault="00DD2D5D" w:rsidP="001B3AE0">
      <w:pPr>
        <w:spacing w:before="0"/>
        <w:jc w:val="left"/>
      </w:pPr>
      <w:r w:rsidRPr="00C9164E">
        <w:rPr>
          <w:szCs w:val="18"/>
        </w:rPr>
        <w:t>De Mooij, R. &amp; Liu, L. (2021)</w:t>
      </w:r>
      <w:r>
        <w:rPr>
          <w:szCs w:val="18"/>
        </w:rPr>
        <w:t>.</w:t>
      </w:r>
      <w:r w:rsidRPr="00C9164E">
        <w:rPr>
          <w:szCs w:val="18"/>
        </w:rPr>
        <w:t xml:space="preserve"> </w:t>
      </w:r>
      <w:r w:rsidRPr="00C9164E">
        <w:rPr>
          <w:i/>
          <w:iCs/>
          <w:szCs w:val="18"/>
        </w:rPr>
        <w:t>At a cost: the real effects of thin capitalisation rules,</w:t>
      </w:r>
      <w:r w:rsidRPr="00C9164E">
        <w:rPr>
          <w:szCs w:val="18"/>
        </w:rPr>
        <w:t xml:space="preserve"> IMF Working Paper WP/21/23.</w:t>
      </w:r>
    </w:p>
    <w:p w14:paraId="4DAEB4DE" w14:textId="3DBFC61F" w:rsidR="009C5C56" w:rsidRDefault="003579D4" w:rsidP="001B3AE0">
      <w:pPr>
        <w:spacing w:before="0"/>
        <w:jc w:val="left"/>
      </w:pPr>
      <w:r w:rsidRPr="001A7780">
        <w:rPr>
          <w:szCs w:val="18"/>
        </w:rPr>
        <w:t>Doan, T., Maré, D. &amp; Iyer, K. (2015)</w:t>
      </w:r>
      <w:r>
        <w:rPr>
          <w:szCs w:val="18"/>
        </w:rPr>
        <w:t>.</w:t>
      </w:r>
      <w:r w:rsidRPr="001A7780">
        <w:rPr>
          <w:szCs w:val="18"/>
        </w:rPr>
        <w:t xml:space="preserve"> Productivity spillovers from foreign direct investment in New Zealand</w:t>
      </w:r>
      <w:r>
        <w:rPr>
          <w:szCs w:val="18"/>
        </w:rPr>
        <w:t>.</w:t>
      </w:r>
      <w:r w:rsidRPr="001A7780">
        <w:rPr>
          <w:szCs w:val="18"/>
        </w:rPr>
        <w:t xml:space="preserve"> </w:t>
      </w:r>
      <w:r w:rsidRPr="001A7780">
        <w:rPr>
          <w:i/>
          <w:iCs/>
          <w:szCs w:val="18"/>
        </w:rPr>
        <w:t>New Zealand Economic Papers</w:t>
      </w:r>
      <w:r w:rsidRPr="001A7780">
        <w:rPr>
          <w:szCs w:val="18"/>
        </w:rPr>
        <w:t>, Vol. 49, No. 3, 249-75.</w:t>
      </w:r>
    </w:p>
    <w:p w14:paraId="55A788D8" w14:textId="022D11A9" w:rsidR="00DF3A05" w:rsidRDefault="00DF3A05" w:rsidP="001B3AE0">
      <w:pPr>
        <w:spacing w:before="0"/>
        <w:jc w:val="left"/>
      </w:pPr>
      <w:r w:rsidRPr="001A7780">
        <w:rPr>
          <w:szCs w:val="18"/>
          <w:lang w:val="en-US"/>
        </w:rPr>
        <w:t>Fabling, R. &amp; Sanderson, L. (2014)</w:t>
      </w:r>
      <w:r>
        <w:rPr>
          <w:szCs w:val="18"/>
          <w:lang w:val="en-US"/>
        </w:rPr>
        <w:t>.</w:t>
      </w:r>
      <w:r w:rsidRPr="001A7780">
        <w:rPr>
          <w:szCs w:val="18"/>
          <w:lang w:val="en-US"/>
        </w:rPr>
        <w:t xml:space="preserve"> Foreign acquisition and the performance of New Zealand firms</w:t>
      </w:r>
      <w:r>
        <w:rPr>
          <w:szCs w:val="18"/>
          <w:lang w:val="en-US"/>
        </w:rPr>
        <w:t>.</w:t>
      </w:r>
      <w:r w:rsidRPr="001A7780">
        <w:rPr>
          <w:szCs w:val="18"/>
          <w:lang w:val="en-US"/>
        </w:rPr>
        <w:t xml:space="preserve"> </w:t>
      </w:r>
      <w:r w:rsidRPr="001A7780">
        <w:rPr>
          <w:i/>
          <w:iCs/>
          <w:szCs w:val="18"/>
          <w:lang w:val="en-US"/>
        </w:rPr>
        <w:t>New Zealand Economic Papers</w:t>
      </w:r>
      <w:r w:rsidRPr="001A7780">
        <w:rPr>
          <w:szCs w:val="18"/>
          <w:lang w:val="en-US"/>
        </w:rPr>
        <w:t>, Vol. 48, No. 1, 1-20.</w:t>
      </w:r>
    </w:p>
    <w:p w14:paraId="3E7D0E90" w14:textId="45E6B1D4" w:rsidR="007F2213" w:rsidRDefault="007F2213" w:rsidP="001B3AE0">
      <w:pPr>
        <w:spacing w:before="0"/>
        <w:jc w:val="left"/>
      </w:pPr>
      <w:r w:rsidRPr="00733082">
        <w:rPr>
          <w:szCs w:val="18"/>
          <w:lang w:val="en-US"/>
        </w:rPr>
        <w:t>Freebairn, J. (2015)</w:t>
      </w:r>
      <w:r>
        <w:rPr>
          <w:szCs w:val="18"/>
          <w:lang w:val="en-US"/>
        </w:rPr>
        <w:t>.</w:t>
      </w:r>
      <w:r w:rsidRPr="00733082">
        <w:rPr>
          <w:szCs w:val="18"/>
          <w:lang w:val="en-US"/>
        </w:rPr>
        <w:t xml:space="preserve"> Who pays the Australian corporate income tax? </w:t>
      </w:r>
      <w:r w:rsidRPr="00733082">
        <w:rPr>
          <w:i/>
          <w:iCs/>
          <w:szCs w:val="18"/>
          <w:lang w:val="en-US"/>
        </w:rPr>
        <w:t>The Australian Economic Review</w:t>
      </w:r>
      <w:r w:rsidRPr="00733082">
        <w:rPr>
          <w:szCs w:val="18"/>
          <w:lang w:val="en-US"/>
        </w:rPr>
        <w:t>, Vol. 48, No. 4, 357-68.</w:t>
      </w:r>
    </w:p>
    <w:p w14:paraId="20A7479A" w14:textId="23939037" w:rsidR="009C5C56" w:rsidRDefault="0038745D" w:rsidP="001B3AE0">
      <w:pPr>
        <w:spacing w:before="0"/>
        <w:jc w:val="left"/>
        <w:rPr>
          <w:szCs w:val="18"/>
          <w:lang w:val="en-US"/>
        </w:rPr>
      </w:pPr>
      <w:r w:rsidRPr="001A7780">
        <w:rPr>
          <w:szCs w:val="18"/>
          <w:lang w:val="en-US"/>
        </w:rPr>
        <w:t>Gordon, R.H. &amp; Hines Jr., J.R. (2002)</w:t>
      </w:r>
      <w:r>
        <w:rPr>
          <w:szCs w:val="18"/>
          <w:lang w:val="en-US"/>
        </w:rPr>
        <w:t>.</w:t>
      </w:r>
      <w:r w:rsidRPr="001A7780">
        <w:rPr>
          <w:szCs w:val="18"/>
          <w:lang w:val="en-US"/>
        </w:rPr>
        <w:t xml:space="preserve"> </w:t>
      </w:r>
      <w:r w:rsidRPr="000E30EE">
        <w:rPr>
          <w:i/>
          <w:iCs/>
          <w:szCs w:val="18"/>
          <w:lang w:val="en-US"/>
        </w:rPr>
        <w:t>Chapter 28 - International Taxation</w:t>
      </w:r>
      <w:r w:rsidRPr="001A7780">
        <w:rPr>
          <w:szCs w:val="18"/>
          <w:lang w:val="en-US"/>
        </w:rPr>
        <w:t xml:space="preserve">, in A.J. Auerbach &amp; M.S Feldstein (Eds.), </w:t>
      </w:r>
      <w:r w:rsidRPr="001A7780">
        <w:rPr>
          <w:i/>
          <w:iCs/>
          <w:szCs w:val="18"/>
          <w:lang w:val="en-US"/>
        </w:rPr>
        <w:t>Handbook of Public Economics: Volume 4</w:t>
      </w:r>
      <w:r w:rsidRPr="001A7780">
        <w:rPr>
          <w:szCs w:val="18"/>
          <w:lang w:val="en-US"/>
        </w:rPr>
        <w:t>, North Holland.</w:t>
      </w:r>
    </w:p>
    <w:p w14:paraId="5AE03AFF" w14:textId="7ED1906A" w:rsidR="00CB4460" w:rsidRDefault="003629B6" w:rsidP="001B3AE0">
      <w:pPr>
        <w:spacing w:before="0"/>
        <w:jc w:val="left"/>
        <w:rPr>
          <w:szCs w:val="18"/>
          <w:lang w:val="en-US"/>
        </w:rPr>
      </w:pPr>
      <w:r w:rsidRPr="00235969">
        <w:rPr>
          <w:szCs w:val="18"/>
        </w:rPr>
        <w:t xml:space="preserve">Griffith, R., Hines, J., and </w:t>
      </w:r>
      <w:r w:rsidR="00AA2412">
        <w:rPr>
          <w:szCs w:val="18"/>
        </w:rPr>
        <w:t>Sørensen</w:t>
      </w:r>
      <w:r w:rsidRPr="00235969">
        <w:rPr>
          <w:szCs w:val="18"/>
        </w:rPr>
        <w:t>, P. B. (2010)</w:t>
      </w:r>
      <w:r>
        <w:rPr>
          <w:szCs w:val="18"/>
        </w:rPr>
        <w:t>.</w:t>
      </w:r>
      <w:r w:rsidRPr="00235969">
        <w:rPr>
          <w:szCs w:val="18"/>
        </w:rPr>
        <w:t xml:space="preserve"> International Capital Taxation, in J. Mirrlees (ed.), </w:t>
      </w:r>
      <w:r w:rsidRPr="00235969">
        <w:rPr>
          <w:i/>
          <w:iCs/>
          <w:szCs w:val="18"/>
        </w:rPr>
        <w:t>Dimensions of tax design</w:t>
      </w:r>
      <w:r w:rsidRPr="00235969">
        <w:rPr>
          <w:szCs w:val="18"/>
        </w:rPr>
        <w:t xml:space="preserve"> (pp. 914-996), Oxford University Press.</w:t>
      </w:r>
    </w:p>
    <w:p w14:paraId="5C4901D0" w14:textId="77D7811E" w:rsidR="00594661" w:rsidRPr="00F67B7F" w:rsidRDefault="00594661" w:rsidP="001B3AE0">
      <w:pPr>
        <w:spacing w:before="0"/>
        <w:jc w:val="left"/>
        <w:rPr>
          <w:lang w:val="en-US"/>
        </w:rPr>
      </w:pPr>
      <w:r w:rsidRPr="008915C4">
        <w:rPr>
          <w:rStyle w:val="FooterChar"/>
          <w:sz w:val="20"/>
        </w:rPr>
        <w:t xml:space="preserve">Hanappi, T. (2018). Corporate effective tax rates: model description and results from 36 OECD and non-OECD countries. </w:t>
      </w:r>
      <w:r w:rsidRPr="008915C4">
        <w:rPr>
          <w:rStyle w:val="FooterChar"/>
          <w:i/>
          <w:iCs/>
          <w:sz w:val="20"/>
        </w:rPr>
        <w:t>OECD Taxation Working Papers No. 38</w:t>
      </w:r>
      <w:r w:rsidRPr="008915C4">
        <w:rPr>
          <w:rStyle w:val="FooterChar"/>
          <w:sz w:val="20"/>
        </w:rPr>
        <w:t xml:space="preserve">. </w:t>
      </w:r>
      <w:hyperlink r:id="rId34" w:history="1">
        <w:r w:rsidRPr="00E55636">
          <w:rPr>
            <w:rStyle w:val="Hyperlink"/>
          </w:rPr>
          <w:t>https://www.oecd-ilibra</w:t>
        </w:r>
        <w:r w:rsidRPr="00B11E65">
          <w:rPr>
            <w:rStyle w:val="Hyperlink"/>
          </w:rPr>
          <w:t>ry.org/taxation/corporate-effective-tax-rates_a07f9958-en</w:t>
        </w:r>
      </w:hyperlink>
    </w:p>
    <w:p w14:paraId="4E621A27" w14:textId="249229C7" w:rsidR="00283DF9" w:rsidRDefault="00283DF9" w:rsidP="001B3AE0">
      <w:pPr>
        <w:spacing w:before="0"/>
        <w:jc w:val="left"/>
        <w:rPr>
          <w:szCs w:val="18"/>
        </w:rPr>
      </w:pPr>
      <w:r w:rsidRPr="00733082">
        <w:rPr>
          <w:szCs w:val="18"/>
        </w:rPr>
        <w:t>Hassett, K.A. and Hubbard, R.G. (2002)</w:t>
      </w:r>
      <w:r>
        <w:rPr>
          <w:szCs w:val="18"/>
        </w:rPr>
        <w:t>.</w:t>
      </w:r>
      <w:r w:rsidRPr="00733082">
        <w:rPr>
          <w:szCs w:val="18"/>
        </w:rPr>
        <w:t xml:space="preserve"> Tax policy and investment behavior</w:t>
      </w:r>
      <w:r>
        <w:rPr>
          <w:szCs w:val="18"/>
        </w:rPr>
        <w:t>.</w:t>
      </w:r>
      <w:r w:rsidRPr="00733082">
        <w:rPr>
          <w:szCs w:val="18"/>
        </w:rPr>
        <w:t xml:space="preserve"> Chapter 20, in A.J. Auerbach and M.S. Feldstein (Eds.), </w:t>
      </w:r>
      <w:r w:rsidRPr="00733082">
        <w:rPr>
          <w:i/>
          <w:iCs/>
          <w:szCs w:val="18"/>
        </w:rPr>
        <w:t>Handbook of Public Economics</w:t>
      </w:r>
      <w:r w:rsidRPr="00733082">
        <w:rPr>
          <w:szCs w:val="18"/>
        </w:rPr>
        <w:t>, Vol. 3, North Holland.</w:t>
      </w:r>
    </w:p>
    <w:p w14:paraId="7117D18E" w14:textId="39CF1D90" w:rsidR="003540CB" w:rsidRDefault="003540CB" w:rsidP="001B3AE0">
      <w:pPr>
        <w:spacing w:before="0"/>
        <w:jc w:val="left"/>
        <w:rPr>
          <w:szCs w:val="18"/>
        </w:rPr>
      </w:pPr>
      <w:r w:rsidRPr="009D545F">
        <w:rPr>
          <w:szCs w:val="18"/>
        </w:rPr>
        <w:t>Hebous, S. and Klemm, A. (2019)</w:t>
      </w:r>
      <w:r>
        <w:rPr>
          <w:szCs w:val="18"/>
        </w:rPr>
        <w:t>.</w:t>
      </w:r>
      <w:r w:rsidRPr="009D545F">
        <w:rPr>
          <w:szCs w:val="18"/>
        </w:rPr>
        <w:t xml:space="preserve"> A destination-based allowance for corporate equity</w:t>
      </w:r>
      <w:r>
        <w:rPr>
          <w:szCs w:val="18"/>
        </w:rPr>
        <w:t>.</w:t>
      </w:r>
      <w:r w:rsidRPr="009D545F">
        <w:rPr>
          <w:szCs w:val="18"/>
        </w:rPr>
        <w:t xml:space="preserve"> </w:t>
      </w:r>
      <w:r w:rsidRPr="009D545F">
        <w:rPr>
          <w:i/>
          <w:iCs/>
          <w:szCs w:val="18"/>
        </w:rPr>
        <w:t xml:space="preserve">International Tax and Public Finance </w:t>
      </w:r>
      <w:r w:rsidRPr="009D545F">
        <w:rPr>
          <w:szCs w:val="18"/>
        </w:rPr>
        <w:t>(2020) 27:753-777.</w:t>
      </w:r>
    </w:p>
    <w:p w14:paraId="4FC0847E" w14:textId="27A7BED3" w:rsidR="00F11033" w:rsidRDefault="00F11033" w:rsidP="001B3AE0">
      <w:pPr>
        <w:spacing w:before="0"/>
        <w:jc w:val="left"/>
      </w:pPr>
      <w:r w:rsidRPr="004078DE">
        <w:rPr>
          <w:szCs w:val="18"/>
        </w:rPr>
        <w:t>Hebous, S. and Ruf, M. (2017)</w:t>
      </w:r>
      <w:r>
        <w:rPr>
          <w:szCs w:val="18"/>
        </w:rPr>
        <w:t>.</w:t>
      </w:r>
      <w:r w:rsidRPr="004078DE">
        <w:rPr>
          <w:szCs w:val="18"/>
        </w:rPr>
        <w:t xml:space="preserve"> Evaluating the effects of ACE systems on multinational debt financing and investment</w:t>
      </w:r>
      <w:r>
        <w:rPr>
          <w:szCs w:val="18"/>
        </w:rPr>
        <w:t>.</w:t>
      </w:r>
      <w:r w:rsidRPr="004078DE">
        <w:rPr>
          <w:szCs w:val="18"/>
        </w:rPr>
        <w:t xml:space="preserve"> </w:t>
      </w:r>
      <w:r w:rsidRPr="004078DE">
        <w:rPr>
          <w:i/>
          <w:iCs/>
          <w:szCs w:val="18"/>
        </w:rPr>
        <w:t>Journal of Public Economics, 156</w:t>
      </w:r>
      <w:r w:rsidRPr="004078DE">
        <w:rPr>
          <w:szCs w:val="18"/>
        </w:rPr>
        <w:t>, 131-149.</w:t>
      </w:r>
    </w:p>
    <w:p w14:paraId="27C1CF01" w14:textId="214AEE1C" w:rsidR="006A67F0" w:rsidRDefault="006A67F0" w:rsidP="001B3AE0">
      <w:pPr>
        <w:spacing w:before="0"/>
        <w:jc w:val="left"/>
      </w:pPr>
      <w:r w:rsidRPr="001A7780">
        <w:rPr>
          <w:szCs w:val="18"/>
          <w:lang w:val="en-US"/>
        </w:rPr>
        <w:t>Hines, J. (1999)</w:t>
      </w:r>
      <w:r>
        <w:rPr>
          <w:szCs w:val="18"/>
          <w:lang w:val="en-US"/>
        </w:rPr>
        <w:t>.</w:t>
      </w:r>
      <w:r w:rsidRPr="001A7780">
        <w:rPr>
          <w:szCs w:val="18"/>
          <w:lang w:val="en-US"/>
        </w:rPr>
        <w:t xml:space="preserve"> Lessons from behavioral responses to international taxation</w:t>
      </w:r>
      <w:r>
        <w:rPr>
          <w:szCs w:val="18"/>
          <w:lang w:val="en-US"/>
        </w:rPr>
        <w:t>.</w:t>
      </w:r>
      <w:r w:rsidRPr="001A7780">
        <w:rPr>
          <w:szCs w:val="18"/>
          <w:lang w:val="en-US"/>
        </w:rPr>
        <w:t xml:space="preserve"> </w:t>
      </w:r>
      <w:r w:rsidRPr="001A7780">
        <w:rPr>
          <w:i/>
          <w:iCs/>
          <w:szCs w:val="18"/>
          <w:lang w:val="en-US"/>
        </w:rPr>
        <w:t>National Tax Journal</w:t>
      </w:r>
      <w:r w:rsidRPr="001A7780">
        <w:rPr>
          <w:szCs w:val="18"/>
          <w:lang w:val="en-US"/>
        </w:rPr>
        <w:t>, Vol. 52, No. 2, 305-322.</w:t>
      </w:r>
    </w:p>
    <w:p w14:paraId="6C37BFC3" w14:textId="3CCBB420" w:rsidR="0074163D" w:rsidRDefault="00907EA0" w:rsidP="001B3AE0">
      <w:pPr>
        <w:spacing w:before="0"/>
        <w:jc w:val="left"/>
        <w:rPr>
          <w:szCs w:val="18"/>
        </w:rPr>
      </w:pPr>
      <w:r w:rsidRPr="00844E24">
        <w:rPr>
          <w:szCs w:val="18"/>
          <w:lang w:val="en-US"/>
        </w:rPr>
        <w:lastRenderedPageBreak/>
        <w:t>Inland Revenue and Treasury</w:t>
      </w:r>
      <w:r>
        <w:rPr>
          <w:szCs w:val="18"/>
          <w:lang w:val="en-US"/>
        </w:rPr>
        <w:t>.</w:t>
      </w:r>
      <w:r w:rsidRPr="00844E24">
        <w:rPr>
          <w:szCs w:val="18"/>
          <w:lang w:val="en-US"/>
        </w:rPr>
        <w:t xml:space="preserve"> (2009)</w:t>
      </w:r>
      <w:r>
        <w:rPr>
          <w:szCs w:val="18"/>
          <w:lang w:val="en-US"/>
        </w:rPr>
        <w:t>.</w:t>
      </w:r>
      <w:r w:rsidRPr="00844E24">
        <w:rPr>
          <w:szCs w:val="18"/>
          <w:lang w:val="en-US"/>
        </w:rPr>
        <w:t xml:space="preserve"> </w:t>
      </w:r>
      <w:r w:rsidRPr="000E30EE">
        <w:rPr>
          <w:i/>
          <w:iCs/>
          <w:szCs w:val="18"/>
          <w:lang w:val="en-US"/>
        </w:rPr>
        <w:t>Company tax issues facing New Zealand</w:t>
      </w:r>
      <w:r>
        <w:rPr>
          <w:szCs w:val="18"/>
          <w:lang w:val="en-US"/>
        </w:rPr>
        <w:t>.</w:t>
      </w:r>
      <w:r w:rsidRPr="00844E24">
        <w:rPr>
          <w:szCs w:val="18"/>
          <w:lang w:val="en-US"/>
        </w:rPr>
        <w:t xml:space="preserve"> Background paper for session 4 of the Victoria University of Wellington Tax Working Group </w:t>
      </w:r>
      <w:hyperlink r:id="rId35" w:history="1">
        <w:r w:rsidRPr="00844E24">
          <w:rPr>
            <w:rStyle w:val="Hyperlink"/>
            <w:szCs w:val="18"/>
            <w:lang w:val="en-US"/>
          </w:rPr>
          <w:t>https://www.wgtn.ac.nz/cagtr/events/past-events/tax-working-group-2009/publications/4-company-tax-issues-facing-nz.pdf</w:t>
        </w:r>
      </w:hyperlink>
    </w:p>
    <w:p w14:paraId="2D81FE47" w14:textId="258DBF13" w:rsidR="0066347B" w:rsidRDefault="0066347B" w:rsidP="001B3AE0">
      <w:pPr>
        <w:spacing w:before="0"/>
        <w:jc w:val="left"/>
      </w:pPr>
      <w:r w:rsidRPr="001A7780">
        <w:rPr>
          <w:szCs w:val="18"/>
        </w:rPr>
        <w:t>Inland Revenue and Treasury (2016)</w:t>
      </w:r>
      <w:r>
        <w:rPr>
          <w:szCs w:val="18"/>
        </w:rPr>
        <w:t>.</w:t>
      </w:r>
      <w:r w:rsidRPr="001A7780">
        <w:rPr>
          <w:szCs w:val="18"/>
        </w:rPr>
        <w:t xml:space="preserve"> </w:t>
      </w:r>
      <w:r w:rsidRPr="001A7780">
        <w:rPr>
          <w:i/>
          <w:iCs/>
          <w:szCs w:val="18"/>
        </w:rPr>
        <w:t>New Zealand’s taxation framework for inbound investment</w:t>
      </w:r>
      <w:r>
        <w:rPr>
          <w:szCs w:val="18"/>
        </w:rPr>
        <w:t>.</w:t>
      </w:r>
      <w:r w:rsidRPr="001A7780">
        <w:rPr>
          <w:szCs w:val="18"/>
        </w:rPr>
        <w:t xml:space="preserve"> </w:t>
      </w:r>
      <w:hyperlink r:id="rId36" w:history="1">
        <w:r w:rsidRPr="001A7780">
          <w:rPr>
            <w:rStyle w:val="Hyperlink"/>
            <w:szCs w:val="18"/>
          </w:rPr>
          <w:t>https://taxpolicy.ird.govt.nz/publications/2016/2016-other-nz-framework-inbound-investment</w:t>
        </w:r>
      </w:hyperlink>
    </w:p>
    <w:p w14:paraId="41278997" w14:textId="72FA5F47" w:rsidR="009C5C56" w:rsidRPr="00E7727C" w:rsidRDefault="009C5C56" w:rsidP="001B3AE0">
      <w:pPr>
        <w:spacing w:before="0"/>
        <w:jc w:val="left"/>
      </w:pPr>
      <w:r w:rsidRPr="001A7780">
        <w:rPr>
          <w:szCs w:val="18"/>
        </w:rPr>
        <w:t>Inland Revenue</w:t>
      </w:r>
      <w:r>
        <w:rPr>
          <w:szCs w:val="18"/>
        </w:rPr>
        <w:t>. (</w:t>
      </w:r>
      <w:r w:rsidRPr="001A7780">
        <w:rPr>
          <w:szCs w:val="18"/>
        </w:rPr>
        <w:t>2021</w:t>
      </w:r>
      <w:r>
        <w:rPr>
          <w:szCs w:val="18"/>
        </w:rPr>
        <w:t>).</w:t>
      </w:r>
      <w:r w:rsidRPr="001A7780">
        <w:rPr>
          <w:szCs w:val="18"/>
        </w:rPr>
        <w:t xml:space="preserve"> </w:t>
      </w:r>
      <w:r w:rsidRPr="000E30EE">
        <w:rPr>
          <w:i/>
          <w:iCs/>
          <w:szCs w:val="18"/>
        </w:rPr>
        <w:t>Tax, investment and productivity: consultation on the scope of Inland Revenue’s long-term insights briefing</w:t>
      </w:r>
      <w:r>
        <w:rPr>
          <w:szCs w:val="18"/>
        </w:rPr>
        <w:t>.</w:t>
      </w:r>
      <w:r w:rsidRPr="001A7780">
        <w:rPr>
          <w:szCs w:val="18"/>
        </w:rPr>
        <w:t xml:space="preserve"> </w:t>
      </w:r>
      <w:hyperlink r:id="rId37" w:history="1">
        <w:r w:rsidRPr="00663094">
          <w:rPr>
            <w:rStyle w:val="Hyperlink"/>
            <w:szCs w:val="18"/>
          </w:rPr>
          <w:t>https://taxpolicy.ird.govt.nz/publications/2021/2021-other-scope-ird-ltib-tax-liability-productivity</w:t>
        </w:r>
      </w:hyperlink>
    </w:p>
    <w:p w14:paraId="332FA6C0" w14:textId="22379450" w:rsidR="005C74F8" w:rsidRDefault="00B11E65" w:rsidP="0018019D">
      <w:pPr>
        <w:jc w:val="left"/>
      </w:pPr>
      <w:r w:rsidRPr="00B42AEE">
        <w:rPr>
          <w:szCs w:val="24"/>
        </w:rPr>
        <w:t>Inland Revenu</w:t>
      </w:r>
      <w:r w:rsidR="008A27FD" w:rsidRPr="00B42AEE">
        <w:rPr>
          <w:szCs w:val="24"/>
        </w:rPr>
        <w:t>e. (2022)</w:t>
      </w:r>
      <w:r w:rsidR="00DD53B9" w:rsidRPr="00B42AEE">
        <w:rPr>
          <w:szCs w:val="24"/>
        </w:rPr>
        <w:t xml:space="preserve">. </w:t>
      </w:r>
      <w:r w:rsidR="00A83FEB" w:rsidRPr="00B42AEE">
        <w:rPr>
          <w:rStyle w:val="Emphasis"/>
          <w:szCs w:val="24"/>
        </w:rPr>
        <w:t xml:space="preserve">Tax, </w:t>
      </w:r>
      <w:r w:rsidR="00AC1AD4">
        <w:rPr>
          <w:rStyle w:val="Emphasis"/>
          <w:szCs w:val="24"/>
        </w:rPr>
        <w:t>foreign</w:t>
      </w:r>
      <w:r w:rsidR="00A83FEB" w:rsidRPr="00B42AEE">
        <w:rPr>
          <w:rStyle w:val="Emphasis"/>
          <w:szCs w:val="24"/>
        </w:rPr>
        <w:t xml:space="preserve"> investment and productivity: technical appendices to support draft long-term insights briefing (LTIB)</w:t>
      </w:r>
      <w:r w:rsidR="00EE2258" w:rsidRPr="008F735E">
        <w:t xml:space="preserve">. </w:t>
      </w:r>
      <w:hyperlink r:id="rId38" w:history="1">
        <w:r w:rsidR="005C74F8" w:rsidRPr="00FF3BF9">
          <w:rPr>
            <w:rStyle w:val="Hyperlink"/>
          </w:rPr>
          <w:t>https://taxpolicy.ird.govt.nz/publications/2022/2022-other-draft-ltib</w:t>
        </w:r>
      </w:hyperlink>
    </w:p>
    <w:p w14:paraId="50CB806D" w14:textId="2A0AB9A1" w:rsidR="00E0524C" w:rsidRPr="00EE2258" w:rsidRDefault="00E0524C" w:rsidP="001B3AE0">
      <w:pPr>
        <w:spacing w:before="0"/>
        <w:jc w:val="left"/>
      </w:pPr>
      <w:r w:rsidRPr="005F07D8">
        <w:rPr>
          <w:szCs w:val="18"/>
        </w:rPr>
        <w:t xml:space="preserve">International Monetary Fund; OECD; United Nations; World Bank. 2015. </w:t>
      </w:r>
      <w:r w:rsidRPr="005F07D8">
        <w:rPr>
          <w:rStyle w:val="italic"/>
          <w:rFonts w:cs="Calibri"/>
          <w:i/>
          <w:iCs/>
          <w:color w:val="000000"/>
          <w:szCs w:val="18"/>
        </w:rPr>
        <w:t>Options for Low Income Countries’ Effective and Efficient Use of Tax Incentives for Investment: Tools for the Assessment of Tax Incentives</w:t>
      </w:r>
      <w:r w:rsidRPr="005F07D8">
        <w:rPr>
          <w:szCs w:val="18"/>
        </w:rPr>
        <w:t xml:space="preserve">. World Bank, Washington, DC. © IMF, OECD, UN, and World Bank. </w:t>
      </w:r>
      <w:hyperlink r:id="rId39" w:history="1">
        <w:r w:rsidRPr="00663094">
          <w:rPr>
            <w:rStyle w:val="Hyperlink"/>
            <w:szCs w:val="18"/>
          </w:rPr>
          <w:t>https://openknowledge.worldbank.org/handle/10986/22924</w:t>
        </w:r>
      </w:hyperlink>
      <w:r>
        <w:rPr>
          <w:szCs w:val="18"/>
        </w:rPr>
        <w:t xml:space="preserve"> </w:t>
      </w:r>
      <w:r w:rsidRPr="005F07D8">
        <w:rPr>
          <w:szCs w:val="18"/>
        </w:rPr>
        <w:t>License: CC BY 3.0 IGO</w:t>
      </w:r>
    </w:p>
    <w:p w14:paraId="058C50C4" w14:textId="3121817B" w:rsidR="00195925" w:rsidRDefault="00195925" w:rsidP="001B3AE0">
      <w:pPr>
        <w:spacing w:before="0"/>
        <w:jc w:val="left"/>
      </w:pPr>
      <w:r>
        <w:rPr>
          <w:szCs w:val="18"/>
        </w:rPr>
        <w:t>J</w:t>
      </w:r>
      <w:r w:rsidRPr="00E35955">
        <w:rPr>
          <w:szCs w:val="18"/>
        </w:rPr>
        <w:t>udd, K. (1985)</w:t>
      </w:r>
      <w:r>
        <w:rPr>
          <w:szCs w:val="18"/>
        </w:rPr>
        <w:t>.</w:t>
      </w:r>
      <w:r w:rsidRPr="00E35955">
        <w:rPr>
          <w:szCs w:val="18"/>
        </w:rPr>
        <w:t xml:space="preserve"> Redistributive taxation in a simple perfect foresight model</w:t>
      </w:r>
      <w:r>
        <w:rPr>
          <w:szCs w:val="18"/>
        </w:rPr>
        <w:t>.</w:t>
      </w:r>
      <w:r w:rsidRPr="00E35955">
        <w:rPr>
          <w:szCs w:val="18"/>
        </w:rPr>
        <w:t xml:space="preserve"> </w:t>
      </w:r>
      <w:r w:rsidRPr="00E35955">
        <w:rPr>
          <w:i/>
          <w:iCs/>
          <w:szCs w:val="18"/>
        </w:rPr>
        <w:t>Journal of Public Economics</w:t>
      </w:r>
      <w:r w:rsidRPr="00E35955">
        <w:rPr>
          <w:szCs w:val="18"/>
        </w:rPr>
        <w:t>, 28, 59-83.</w:t>
      </w:r>
    </w:p>
    <w:p w14:paraId="32ED0178" w14:textId="1E1EDAC1" w:rsidR="00B0045D" w:rsidRDefault="00B0045D" w:rsidP="001B3AE0">
      <w:pPr>
        <w:spacing w:before="0"/>
        <w:jc w:val="left"/>
      </w:pPr>
      <w:r w:rsidRPr="0046448C">
        <w:rPr>
          <w:rFonts w:cs="Calibri"/>
          <w:color w:val="333333"/>
          <w:szCs w:val="18"/>
        </w:rPr>
        <w:t>Klemm</w:t>
      </w:r>
      <w:r w:rsidR="005339E5">
        <w:rPr>
          <w:rFonts w:cs="Calibri"/>
          <w:color w:val="333333"/>
          <w:szCs w:val="18"/>
        </w:rPr>
        <w:t>, A</w:t>
      </w:r>
      <w:r>
        <w:rPr>
          <w:rFonts w:cs="Calibri"/>
          <w:color w:val="333333"/>
          <w:szCs w:val="18"/>
        </w:rPr>
        <w:t>.</w:t>
      </w:r>
      <w:r w:rsidRPr="0046448C">
        <w:rPr>
          <w:rFonts w:cs="Calibri"/>
          <w:color w:val="333333"/>
          <w:szCs w:val="18"/>
        </w:rPr>
        <w:t xml:space="preserve"> </w:t>
      </w:r>
      <w:r>
        <w:rPr>
          <w:rFonts w:cs="Calibri"/>
          <w:color w:val="333333"/>
          <w:szCs w:val="18"/>
        </w:rPr>
        <w:t>(</w:t>
      </w:r>
      <w:r w:rsidRPr="0046448C">
        <w:rPr>
          <w:rFonts w:cs="Calibri"/>
          <w:color w:val="333333"/>
          <w:szCs w:val="18"/>
        </w:rPr>
        <w:t>2010</w:t>
      </w:r>
      <w:r>
        <w:rPr>
          <w:rFonts w:cs="Calibri"/>
          <w:color w:val="333333"/>
          <w:szCs w:val="18"/>
        </w:rPr>
        <w:t>)</w:t>
      </w:r>
      <w:r w:rsidRPr="0046448C">
        <w:rPr>
          <w:rFonts w:cs="Calibri"/>
          <w:color w:val="333333"/>
          <w:szCs w:val="18"/>
        </w:rPr>
        <w:t xml:space="preserve">. </w:t>
      </w:r>
      <w:r w:rsidRPr="000E30EE">
        <w:t>Causes, benefits, and risks of business tax incentives</w:t>
      </w:r>
      <w:r w:rsidRPr="009C5006">
        <w:rPr>
          <w:rFonts w:cs="Calibri"/>
          <w:color w:val="333333"/>
          <w:szCs w:val="18"/>
        </w:rPr>
        <w:t>.</w:t>
      </w:r>
      <w:r w:rsidRPr="0046448C">
        <w:rPr>
          <w:rFonts w:cs="Calibri"/>
          <w:color w:val="333333"/>
          <w:szCs w:val="18"/>
        </w:rPr>
        <w:t xml:space="preserve"> </w:t>
      </w:r>
      <w:r w:rsidRPr="000E30EE">
        <w:rPr>
          <w:i/>
          <w:iCs/>
        </w:rPr>
        <w:t>International Tax and Public Finance</w:t>
      </w:r>
      <w:r w:rsidRPr="0046448C">
        <w:rPr>
          <w:rFonts w:cs="Calibri"/>
          <w:color w:val="333333"/>
          <w:szCs w:val="18"/>
        </w:rPr>
        <w:t>, Springer; International Institute of Public Finance, vol. 17(3), pages 315-336, June.</w:t>
      </w:r>
      <w:r>
        <w:rPr>
          <w:rFonts w:cs="Calibri"/>
          <w:color w:val="333333"/>
          <w:szCs w:val="18"/>
        </w:rPr>
        <w:t xml:space="preserve"> </w:t>
      </w:r>
      <w:hyperlink r:id="rId40" w:history="1">
        <w:r w:rsidRPr="00663094">
          <w:rPr>
            <w:rStyle w:val="Hyperlink"/>
            <w:rFonts w:cs="Calibri"/>
            <w:szCs w:val="18"/>
          </w:rPr>
          <w:t>https://ideas.repec.org/a/kap/itaxpf/v17y2010i3p315-336.html</w:t>
        </w:r>
      </w:hyperlink>
    </w:p>
    <w:p w14:paraId="1F21FEED" w14:textId="7944CF16" w:rsidR="004915C6" w:rsidRDefault="004915C6" w:rsidP="001B3AE0">
      <w:pPr>
        <w:spacing w:before="0"/>
        <w:jc w:val="left"/>
      </w:pPr>
      <w:r w:rsidRPr="001A7780">
        <w:rPr>
          <w:szCs w:val="18"/>
        </w:rPr>
        <w:t>Markusen, J.R. (1995)</w:t>
      </w:r>
      <w:r>
        <w:rPr>
          <w:szCs w:val="18"/>
        </w:rPr>
        <w:t xml:space="preserve">. </w:t>
      </w:r>
      <w:r w:rsidRPr="001A7780">
        <w:rPr>
          <w:szCs w:val="18"/>
        </w:rPr>
        <w:t>The boundaries of multinational enterprises and the theory of international trade</w:t>
      </w:r>
      <w:r>
        <w:rPr>
          <w:szCs w:val="18"/>
        </w:rPr>
        <w:t>.</w:t>
      </w:r>
      <w:r w:rsidRPr="001A7780">
        <w:rPr>
          <w:szCs w:val="18"/>
        </w:rPr>
        <w:t xml:space="preserve"> </w:t>
      </w:r>
      <w:r w:rsidRPr="001A7780">
        <w:rPr>
          <w:i/>
          <w:iCs/>
          <w:szCs w:val="18"/>
        </w:rPr>
        <w:t>Journal of Economic Perspectives</w:t>
      </w:r>
      <w:r w:rsidRPr="001A7780">
        <w:rPr>
          <w:szCs w:val="18"/>
        </w:rPr>
        <w:t>, Vol. 9, No. 2, 169-89.</w:t>
      </w:r>
    </w:p>
    <w:p w14:paraId="293731C3" w14:textId="5AB4B687" w:rsidR="00837E5A" w:rsidRDefault="00283172" w:rsidP="001B3AE0">
      <w:pPr>
        <w:spacing w:before="0"/>
        <w:jc w:val="left"/>
      </w:pPr>
      <w:r w:rsidRPr="001A7780">
        <w:rPr>
          <w:szCs w:val="18"/>
        </w:rPr>
        <w:t>McKeehan, M.K. &amp; Zodrow, G.R. (2017)</w:t>
      </w:r>
      <w:r>
        <w:rPr>
          <w:szCs w:val="18"/>
        </w:rPr>
        <w:t>.</w:t>
      </w:r>
      <w:r w:rsidRPr="001A7780">
        <w:rPr>
          <w:szCs w:val="18"/>
        </w:rPr>
        <w:t xml:space="preserve"> Balancing act: factors affecting the taxation of capital in a small open economy</w:t>
      </w:r>
      <w:r>
        <w:rPr>
          <w:szCs w:val="18"/>
        </w:rPr>
        <w:t>.</w:t>
      </w:r>
      <w:r w:rsidRPr="001A7780">
        <w:rPr>
          <w:szCs w:val="18"/>
        </w:rPr>
        <w:t xml:space="preserve"> </w:t>
      </w:r>
      <w:r w:rsidRPr="001A7780">
        <w:rPr>
          <w:i/>
          <w:iCs/>
          <w:szCs w:val="18"/>
        </w:rPr>
        <w:t>International Tax and Public Finance</w:t>
      </w:r>
      <w:r w:rsidRPr="001A7780">
        <w:rPr>
          <w:szCs w:val="18"/>
        </w:rPr>
        <w:t>, 24, 1, 1-35.</w:t>
      </w:r>
    </w:p>
    <w:p w14:paraId="13F2FF57" w14:textId="77777777" w:rsidR="00EA701D" w:rsidRPr="008915C4" w:rsidRDefault="00EA701D" w:rsidP="00EA701D">
      <w:pPr>
        <w:pStyle w:val="FootnoteText"/>
        <w:rPr>
          <w:sz w:val="20"/>
          <w:lang w:val="en-US"/>
        </w:rPr>
      </w:pPr>
      <w:r w:rsidRPr="008915C4">
        <w:rPr>
          <w:sz w:val="20"/>
        </w:rPr>
        <w:t xml:space="preserve">McKenzie, K.J. (2021). The taxation of capital income in Canada: analysis and directions for reform. </w:t>
      </w:r>
      <w:r w:rsidRPr="008915C4">
        <w:rPr>
          <w:i/>
          <w:iCs/>
          <w:sz w:val="20"/>
        </w:rPr>
        <w:t>National Tax Journal</w:t>
      </w:r>
      <w:r w:rsidRPr="008915C4">
        <w:rPr>
          <w:sz w:val="20"/>
        </w:rPr>
        <w:t>, Vol. 74, No. 2, 529-551.</w:t>
      </w:r>
    </w:p>
    <w:p w14:paraId="0F37DE50" w14:textId="57FFDBEE" w:rsidR="009236FE" w:rsidRDefault="001E0F88" w:rsidP="001B3AE0">
      <w:pPr>
        <w:spacing w:before="0"/>
        <w:jc w:val="left"/>
        <w:rPr>
          <w:rStyle w:val="Hyperlink"/>
          <w:szCs w:val="18"/>
        </w:rPr>
      </w:pPr>
      <w:r w:rsidRPr="001A7780">
        <w:rPr>
          <w:szCs w:val="18"/>
        </w:rPr>
        <w:t>McLeod Review</w:t>
      </w:r>
      <w:r>
        <w:rPr>
          <w:szCs w:val="18"/>
        </w:rPr>
        <w:t xml:space="preserve">. (2001). </w:t>
      </w:r>
      <w:r w:rsidRPr="000E30EE">
        <w:rPr>
          <w:i/>
          <w:iCs/>
          <w:szCs w:val="18"/>
        </w:rPr>
        <w:t>Tax Review 2001, Final Report</w:t>
      </w:r>
      <w:r>
        <w:rPr>
          <w:szCs w:val="18"/>
        </w:rPr>
        <w:t xml:space="preserve">. </w:t>
      </w:r>
      <w:hyperlink r:id="rId41" w:history="1">
        <w:r w:rsidRPr="001A7780">
          <w:rPr>
            <w:rStyle w:val="Hyperlink"/>
            <w:szCs w:val="18"/>
          </w:rPr>
          <w:t>https://www.treasury.govt.nz/sites/default/files/2007-11/taxreview2001-report.pdf</w:t>
        </w:r>
      </w:hyperlink>
      <w:r w:rsidR="007D1851">
        <w:rPr>
          <w:rStyle w:val="Hyperlink"/>
          <w:szCs w:val="18"/>
        </w:rPr>
        <w:t>.</w:t>
      </w:r>
    </w:p>
    <w:p w14:paraId="39ABDEA6" w14:textId="66E8BED6" w:rsidR="00C322E8" w:rsidRDefault="00AA351E" w:rsidP="001B3AE0">
      <w:pPr>
        <w:spacing w:before="0"/>
        <w:jc w:val="left"/>
      </w:pPr>
      <w:r w:rsidRPr="00733082">
        <w:rPr>
          <w:szCs w:val="18"/>
        </w:rPr>
        <w:t>Murphy, C. (2018)</w:t>
      </w:r>
      <w:r>
        <w:rPr>
          <w:szCs w:val="18"/>
        </w:rPr>
        <w:t>.</w:t>
      </w:r>
      <w:r w:rsidRPr="00733082">
        <w:rPr>
          <w:szCs w:val="18"/>
        </w:rPr>
        <w:t xml:space="preserve"> </w:t>
      </w:r>
      <w:r w:rsidRPr="000E30EE">
        <w:rPr>
          <w:i/>
          <w:iCs/>
          <w:szCs w:val="18"/>
        </w:rPr>
        <w:t>Modelling Australian Corporate Tax Reforms: Updated for the Recent US Corporate Tax Changes</w:t>
      </w:r>
      <w:r>
        <w:rPr>
          <w:i/>
          <w:iCs/>
          <w:szCs w:val="18"/>
        </w:rPr>
        <w:t>.</w:t>
      </w:r>
      <w:r w:rsidRPr="00733082">
        <w:rPr>
          <w:szCs w:val="18"/>
        </w:rPr>
        <w:t xml:space="preserve"> Working Paper, Tax and Transfer Policy Institute, ANU.</w:t>
      </w:r>
    </w:p>
    <w:p w14:paraId="61141999" w14:textId="003E8FFB" w:rsidR="00837E5A" w:rsidRDefault="00C7026B" w:rsidP="001B3AE0">
      <w:pPr>
        <w:spacing w:before="0"/>
        <w:jc w:val="left"/>
        <w:rPr>
          <w:szCs w:val="18"/>
        </w:rPr>
      </w:pPr>
      <w:r w:rsidRPr="00733082">
        <w:rPr>
          <w:szCs w:val="18"/>
        </w:rPr>
        <w:t>Nolan, G. &amp; Nolan, M. (2021)</w:t>
      </w:r>
      <w:r>
        <w:rPr>
          <w:szCs w:val="18"/>
        </w:rPr>
        <w:t>.</w:t>
      </w:r>
      <w:r w:rsidRPr="00733082">
        <w:rPr>
          <w:szCs w:val="18"/>
        </w:rPr>
        <w:t xml:space="preserve"> Taxation, user cost of capital and investment behaviour of New Zealand firms</w:t>
      </w:r>
      <w:r>
        <w:rPr>
          <w:szCs w:val="18"/>
        </w:rPr>
        <w:t>.</w:t>
      </w:r>
      <w:r w:rsidRPr="00733082">
        <w:rPr>
          <w:szCs w:val="18"/>
        </w:rPr>
        <w:t xml:space="preserve"> Working Papers in Public Finance, WP 01/2021, Victoria University of Wellington.</w:t>
      </w:r>
    </w:p>
    <w:p w14:paraId="1D49DFB9" w14:textId="1182F7A1" w:rsidR="00A92F24" w:rsidRDefault="00A92F24" w:rsidP="001B3AE0">
      <w:pPr>
        <w:spacing w:before="0"/>
        <w:jc w:val="left"/>
        <w:rPr>
          <w:szCs w:val="18"/>
        </w:rPr>
      </w:pPr>
      <w:r w:rsidRPr="00E35955">
        <w:rPr>
          <w:szCs w:val="18"/>
        </w:rPr>
        <w:t>Saez, E. and Zucman, G. (2019)</w:t>
      </w:r>
      <w:r>
        <w:rPr>
          <w:szCs w:val="18"/>
        </w:rPr>
        <w:t>.</w:t>
      </w:r>
      <w:r w:rsidRPr="00E35955">
        <w:rPr>
          <w:szCs w:val="18"/>
        </w:rPr>
        <w:t xml:space="preserve"> Progressive wealth taxation</w:t>
      </w:r>
      <w:r>
        <w:rPr>
          <w:szCs w:val="18"/>
        </w:rPr>
        <w:t>.</w:t>
      </w:r>
      <w:r w:rsidRPr="00E35955">
        <w:rPr>
          <w:szCs w:val="18"/>
        </w:rPr>
        <w:t xml:space="preserve"> Brookings Papers on Economic Activity</w:t>
      </w:r>
      <w:r w:rsidR="003B53BF">
        <w:rPr>
          <w:szCs w:val="18"/>
        </w:rPr>
        <w:t>.</w:t>
      </w:r>
    </w:p>
    <w:p w14:paraId="16896875" w14:textId="30790CAC" w:rsidR="003001A7" w:rsidRDefault="003001A7" w:rsidP="001B3AE0">
      <w:pPr>
        <w:spacing w:before="0"/>
        <w:jc w:val="left"/>
        <w:rPr>
          <w:szCs w:val="18"/>
        </w:rPr>
      </w:pPr>
      <w:r w:rsidRPr="00E35955">
        <w:rPr>
          <w:szCs w:val="18"/>
        </w:rPr>
        <w:t>Scheuer, F. and Slemrod, J. (2020)</w:t>
      </w:r>
      <w:r>
        <w:rPr>
          <w:szCs w:val="18"/>
        </w:rPr>
        <w:t>.</w:t>
      </w:r>
      <w:r w:rsidRPr="00E35955">
        <w:rPr>
          <w:szCs w:val="18"/>
        </w:rPr>
        <w:t xml:space="preserve"> Taxing our wealth</w:t>
      </w:r>
      <w:r>
        <w:rPr>
          <w:szCs w:val="18"/>
        </w:rPr>
        <w:t>.</w:t>
      </w:r>
      <w:r w:rsidRPr="00E35955">
        <w:rPr>
          <w:szCs w:val="18"/>
        </w:rPr>
        <w:t xml:space="preserve"> NBER Working Paper 28150.</w:t>
      </w:r>
    </w:p>
    <w:p w14:paraId="699DBFF5" w14:textId="63D9F976" w:rsidR="00BA179D" w:rsidRDefault="00BA179D" w:rsidP="001B3AE0">
      <w:pPr>
        <w:spacing w:before="0"/>
        <w:jc w:val="left"/>
        <w:rPr>
          <w:szCs w:val="18"/>
        </w:rPr>
      </w:pPr>
      <w:r w:rsidRPr="0016501C">
        <w:rPr>
          <w:szCs w:val="18"/>
        </w:rPr>
        <w:t xml:space="preserve">Smart, M. </w:t>
      </w:r>
      <w:r>
        <w:rPr>
          <w:szCs w:val="18"/>
        </w:rPr>
        <w:t>(</w:t>
      </w:r>
      <w:r w:rsidRPr="0016501C">
        <w:rPr>
          <w:szCs w:val="18"/>
        </w:rPr>
        <w:t>2021</w:t>
      </w:r>
      <w:r>
        <w:rPr>
          <w:szCs w:val="18"/>
        </w:rPr>
        <w:t>).</w:t>
      </w:r>
      <w:r w:rsidRPr="0016501C">
        <w:rPr>
          <w:szCs w:val="18"/>
        </w:rPr>
        <w:t xml:space="preserve"> Small business taxation and inequality: the view from Canada</w:t>
      </w:r>
      <w:r>
        <w:rPr>
          <w:szCs w:val="18"/>
        </w:rPr>
        <w:t>.</w:t>
      </w:r>
      <w:r w:rsidRPr="0016501C">
        <w:rPr>
          <w:szCs w:val="18"/>
        </w:rPr>
        <w:t xml:space="preserve"> </w:t>
      </w:r>
      <w:r w:rsidRPr="0016501C">
        <w:rPr>
          <w:i/>
          <w:iCs/>
          <w:szCs w:val="18"/>
        </w:rPr>
        <w:t>National Tax Journal</w:t>
      </w:r>
      <w:r w:rsidRPr="0016501C">
        <w:rPr>
          <w:szCs w:val="18"/>
        </w:rPr>
        <w:t>, Vol. 74, No. 2, 493-512.</w:t>
      </w:r>
    </w:p>
    <w:p w14:paraId="5B055F37" w14:textId="7822B3FE" w:rsidR="00152F13" w:rsidRDefault="00152F13" w:rsidP="001B3AE0">
      <w:pPr>
        <w:spacing w:before="0"/>
        <w:jc w:val="left"/>
        <w:rPr>
          <w:szCs w:val="18"/>
        </w:rPr>
      </w:pPr>
      <w:r w:rsidRPr="005F07D8">
        <w:rPr>
          <w:szCs w:val="18"/>
        </w:rPr>
        <w:t xml:space="preserve">Sørensen, P.B. </w:t>
      </w:r>
      <w:r>
        <w:rPr>
          <w:szCs w:val="18"/>
        </w:rPr>
        <w:t xml:space="preserve">(2005). </w:t>
      </w:r>
      <w:r w:rsidRPr="005F07D8">
        <w:rPr>
          <w:szCs w:val="18"/>
        </w:rPr>
        <w:t>Neutral Taxation of Shareholder Income</w:t>
      </w:r>
      <w:r>
        <w:rPr>
          <w:szCs w:val="18"/>
        </w:rPr>
        <w:t xml:space="preserve">. </w:t>
      </w:r>
      <w:r w:rsidRPr="005F07D8">
        <w:rPr>
          <w:i/>
          <w:iCs/>
          <w:szCs w:val="18"/>
        </w:rPr>
        <w:t>International Tax and Public Finance</w:t>
      </w:r>
      <w:r w:rsidRPr="005F07D8">
        <w:rPr>
          <w:szCs w:val="18"/>
        </w:rPr>
        <w:t xml:space="preserve"> 777.</w:t>
      </w:r>
    </w:p>
    <w:p w14:paraId="3393DE5F" w14:textId="4AC6ACD7" w:rsidR="00843024" w:rsidRDefault="00843024" w:rsidP="001B3AE0">
      <w:pPr>
        <w:spacing w:before="0"/>
        <w:jc w:val="left"/>
        <w:rPr>
          <w:szCs w:val="18"/>
        </w:rPr>
      </w:pPr>
      <w:r w:rsidRPr="00E35955">
        <w:rPr>
          <w:szCs w:val="18"/>
        </w:rPr>
        <w:lastRenderedPageBreak/>
        <w:t xml:space="preserve">Sørenson, P.B. </w:t>
      </w:r>
      <w:r>
        <w:rPr>
          <w:szCs w:val="18"/>
        </w:rPr>
        <w:t xml:space="preserve">(2007). </w:t>
      </w:r>
      <w:r w:rsidRPr="00E35955">
        <w:rPr>
          <w:szCs w:val="18"/>
        </w:rPr>
        <w:t>The Nordic Dual Income Tax: Principles, Practices and Relevance for Canada</w:t>
      </w:r>
      <w:r>
        <w:rPr>
          <w:szCs w:val="18"/>
        </w:rPr>
        <w:t>.</w:t>
      </w:r>
      <w:r w:rsidRPr="00E35955">
        <w:rPr>
          <w:szCs w:val="18"/>
        </w:rPr>
        <w:t xml:space="preserve"> </w:t>
      </w:r>
      <w:r w:rsidRPr="00E35955">
        <w:rPr>
          <w:i/>
          <w:iCs/>
          <w:szCs w:val="18"/>
        </w:rPr>
        <w:t>Canadian Tax Journal</w:t>
      </w:r>
      <w:r w:rsidRPr="00E35955">
        <w:rPr>
          <w:szCs w:val="18"/>
        </w:rPr>
        <w:t xml:space="preserve"> 557 at 565-566.</w:t>
      </w:r>
    </w:p>
    <w:p w14:paraId="4FA281B3" w14:textId="19980AF9" w:rsidR="00A92F24" w:rsidRDefault="00A92F24" w:rsidP="001B3AE0">
      <w:pPr>
        <w:spacing w:before="0"/>
        <w:jc w:val="left"/>
      </w:pPr>
      <w:r w:rsidRPr="00E35955">
        <w:rPr>
          <w:szCs w:val="18"/>
        </w:rPr>
        <w:t>Straub, L. and Werning, I</w:t>
      </w:r>
      <w:r>
        <w:rPr>
          <w:szCs w:val="18"/>
        </w:rPr>
        <w:t>.</w:t>
      </w:r>
      <w:r w:rsidRPr="00E35955">
        <w:rPr>
          <w:szCs w:val="18"/>
        </w:rPr>
        <w:t xml:space="preserve"> (2020)</w:t>
      </w:r>
      <w:r>
        <w:rPr>
          <w:szCs w:val="18"/>
        </w:rPr>
        <w:t>.</w:t>
      </w:r>
      <w:r w:rsidRPr="00E35955">
        <w:rPr>
          <w:szCs w:val="18"/>
        </w:rPr>
        <w:t xml:space="preserve"> Positive long-run capital taxation: Chamely-Judd revisited</w:t>
      </w:r>
      <w:r>
        <w:rPr>
          <w:szCs w:val="18"/>
        </w:rPr>
        <w:t>.</w:t>
      </w:r>
      <w:r w:rsidRPr="00E35955">
        <w:rPr>
          <w:szCs w:val="18"/>
        </w:rPr>
        <w:t xml:space="preserve"> Vol. 110, No. 1, 86-119</w:t>
      </w:r>
      <w:r>
        <w:rPr>
          <w:szCs w:val="18"/>
        </w:rPr>
        <w:t>.</w:t>
      </w:r>
    </w:p>
    <w:p w14:paraId="15F277F3" w14:textId="62C1825F" w:rsidR="00AA351E" w:rsidRDefault="00AA351E" w:rsidP="001B3AE0">
      <w:pPr>
        <w:spacing w:before="0"/>
        <w:jc w:val="left"/>
      </w:pPr>
      <w:r w:rsidRPr="00733082">
        <w:rPr>
          <w:szCs w:val="18"/>
        </w:rPr>
        <w:t>Swan, P. (2019)</w:t>
      </w:r>
      <w:r>
        <w:rPr>
          <w:szCs w:val="18"/>
        </w:rPr>
        <w:t>.</w:t>
      </w:r>
      <w:r w:rsidRPr="00733082">
        <w:rPr>
          <w:szCs w:val="18"/>
        </w:rPr>
        <w:t xml:space="preserve"> Investment, the Corporate Tax Rate, and the Pricing of Franking Credits</w:t>
      </w:r>
      <w:r>
        <w:rPr>
          <w:szCs w:val="18"/>
        </w:rPr>
        <w:t>.</w:t>
      </w:r>
      <w:r w:rsidRPr="00733082">
        <w:rPr>
          <w:szCs w:val="18"/>
        </w:rPr>
        <w:t xml:space="preserve"> </w:t>
      </w:r>
      <w:r w:rsidRPr="000E30EE">
        <w:rPr>
          <w:i/>
          <w:iCs/>
          <w:szCs w:val="18"/>
        </w:rPr>
        <w:t>Economic Record</w:t>
      </w:r>
      <w:r w:rsidRPr="00733082">
        <w:rPr>
          <w:szCs w:val="18"/>
        </w:rPr>
        <w:t>, August.</w:t>
      </w:r>
    </w:p>
    <w:p w14:paraId="6EC3F4C7" w14:textId="4F6140E7" w:rsidR="00C7026B" w:rsidRDefault="00283DF9" w:rsidP="00D86886">
      <w:pPr>
        <w:spacing w:before="0"/>
        <w:jc w:val="left"/>
      </w:pPr>
      <w:r w:rsidRPr="00733082">
        <w:rPr>
          <w:szCs w:val="18"/>
          <w:lang w:val="en-US"/>
        </w:rPr>
        <w:t>Szeto, K.L. &amp; Ryan, M. (2009)</w:t>
      </w:r>
      <w:r>
        <w:rPr>
          <w:szCs w:val="18"/>
          <w:lang w:val="en-US"/>
        </w:rPr>
        <w:t>.</w:t>
      </w:r>
      <w:r w:rsidRPr="00733082">
        <w:rPr>
          <w:szCs w:val="18"/>
          <w:lang w:val="en-US"/>
        </w:rPr>
        <w:t xml:space="preserve"> An introduction to the New Zealand Treasury model</w:t>
      </w:r>
      <w:r>
        <w:rPr>
          <w:szCs w:val="18"/>
          <w:lang w:val="en-US"/>
        </w:rPr>
        <w:t>.</w:t>
      </w:r>
      <w:r w:rsidRPr="00733082">
        <w:rPr>
          <w:szCs w:val="18"/>
          <w:lang w:val="en-US"/>
        </w:rPr>
        <w:t xml:space="preserve"> </w:t>
      </w:r>
      <w:r w:rsidRPr="00733082">
        <w:rPr>
          <w:i/>
          <w:iCs/>
          <w:szCs w:val="18"/>
          <w:lang w:val="en-US"/>
        </w:rPr>
        <w:t>Treasury Working Paper Series</w:t>
      </w:r>
      <w:r w:rsidRPr="00733082">
        <w:rPr>
          <w:szCs w:val="18"/>
          <w:lang w:val="en-US"/>
        </w:rPr>
        <w:t>, No. 09/02.</w:t>
      </w:r>
    </w:p>
    <w:sectPr w:rsidR="00C7026B" w:rsidSect="00C61E9C">
      <w:headerReference w:type="even" r:id="rId42"/>
      <w:headerReference w:type="default" r:id="rId43"/>
      <w:footerReference w:type="default" r:id="rId44"/>
      <w:headerReference w:type="first" r:id="rId45"/>
      <w:footerReference w:type="first" r:id="rId46"/>
      <w:type w:val="oddPage"/>
      <w:pgSz w:w="11906" w:h="16838" w:code="9"/>
      <w:pgMar w:top="1304" w:right="1559" w:bottom="1134" w:left="1559" w:header="720" w:footer="56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9CAC43" w14:textId="77777777" w:rsidR="007248B8" w:rsidRDefault="007248B8">
      <w:r>
        <w:separator/>
      </w:r>
    </w:p>
    <w:p w14:paraId="448985DE" w14:textId="77777777" w:rsidR="007248B8" w:rsidRDefault="007248B8"/>
  </w:endnote>
  <w:endnote w:type="continuationSeparator" w:id="0">
    <w:p w14:paraId="6664D5BC" w14:textId="77777777" w:rsidR="007248B8" w:rsidRDefault="007248B8">
      <w:r>
        <w:continuationSeparator/>
      </w:r>
    </w:p>
    <w:p w14:paraId="4568766C" w14:textId="77777777" w:rsidR="007248B8" w:rsidRDefault="007248B8"/>
  </w:endnote>
  <w:endnote w:type="continuationNotice" w:id="1">
    <w:p w14:paraId="6B2BC00C" w14:textId="77777777" w:rsidR="007248B8" w:rsidRDefault="007248B8">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71FD1" w14:textId="77777777" w:rsidR="001A3EBC" w:rsidRDefault="001A3EB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83AA8" w14:textId="77777777" w:rsidR="006F7C42" w:rsidRDefault="006F7C4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21E0E" w14:textId="77777777" w:rsidR="006F7C42" w:rsidRDefault="006F7C4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3E6C2" w14:textId="77777777" w:rsidR="001A3EBC" w:rsidRDefault="001A3EBC">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8368371"/>
      <w:docPartObj>
        <w:docPartGallery w:val="Page Numbers (Bottom of Page)"/>
        <w:docPartUnique/>
      </w:docPartObj>
    </w:sdtPr>
    <w:sdtEndPr>
      <w:rPr>
        <w:noProof/>
      </w:rPr>
    </w:sdtEndPr>
    <w:sdtContent>
      <w:p w14:paraId="59283C76" w14:textId="319F4DBA" w:rsidR="00AB7E9A" w:rsidRDefault="00AB7E9A" w:rsidP="00AB7E9A">
        <w:pPr>
          <w:pStyle w:val="Footer"/>
        </w:pPr>
        <w:r>
          <w:fldChar w:fldCharType="begin"/>
        </w:r>
        <w:r>
          <w:instrText xml:space="preserve"> PAGE   \* MERGEFORMAT </w:instrText>
        </w:r>
        <w:r>
          <w:fldChar w:fldCharType="separate"/>
        </w:r>
        <w:r>
          <w:rPr>
            <w:noProof/>
          </w:rPr>
          <w:t>2</w:t>
        </w:r>
        <w:r>
          <w:rPr>
            <w:noProof/>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7B702" w14:textId="77777777" w:rsidR="001A3EBC" w:rsidRDefault="001A3EBC">
    <w:pPr>
      <w:pStyle w:val="Footer"/>
      <w:jc w:val="right"/>
    </w:pPr>
    <w:r>
      <w:fldChar w:fldCharType="begin"/>
    </w:r>
    <w:r>
      <w:instrText xml:space="preserve"> PAGE </w:instrText>
    </w:r>
    <w:r>
      <w:fldChar w:fldCharType="separate"/>
    </w:r>
    <w:r>
      <w:rPr>
        <w:noProof/>
      </w:rPr>
      <w:t>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7BB5EE" w14:textId="77777777" w:rsidR="007248B8" w:rsidRDefault="007248B8" w:rsidP="0018019D">
      <w:pPr>
        <w:spacing w:after="0"/>
      </w:pPr>
      <w:r>
        <w:separator/>
      </w:r>
    </w:p>
  </w:footnote>
  <w:footnote w:type="continuationSeparator" w:id="0">
    <w:p w14:paraId="458BD541" w14:textId="77777777" w:rsidR="007248B8" w:rsidRDefault="007248B8">
      <w:r>
        <w:continuationSeparator/>
      </w:r>
    </w:p>
    <w:p w14:paraId="2080EDAA" w14:textId="77777777" w:rsidR="007248B8" w:rsidRDefault="007248B8"/>
  </w:footnote>
  <w:footnote w:type="continuationNotice" w:id="1">
    <w:p w14:paraId="2D75B3B3" w14:textId="77777777" w:rsidR="007248B8" w:rsidRDefault="007248B8">
      <w:pPr>
        <w:spacing w:before="0"/>
      </w:pPr>
    </w:p>
  </w:footnote>
  <w:footnote w:id="2">
    <w:p w14:paraId="2666F19E" w14:textId="56500015" w:rsidR="00C4467A" w:rsidRPr="00694310" w:rsidRDefault="00705648" w:rsidP="003272BC">
      <w:pPr>
        <w:pStyle w:val="FootnoteText"/>
      </w:pPr>
      <w:r w:rsidRPr="000B7839">
        <w:rPr>
          <w:rStyle w:val="FootnoteReference"/>
        </w:rPr>
        <w:footnoteRef/>
      </w:r>
      <w:r w:rsidRPr="000B7839">
        <w:t xml:space="preserve"> </w:t>
      </w:r>
      <w:hyperlink r:id="rId1" w:history="1">
        <w:r w:rsidR="00C4467A" w:rsidRPr="00FF3BF9">
          <w:rPr>
            <w:rStyle w:val="Hyperlink"/>
          </w:rPr>
          <w:t>https://taxpolicy.ird.govt.nz/publications/2022/2022-other-draft-ltib</w:t>
        </w:r>
      </w:hyperlink>
      <w:r w:rsidR="00C4467A">
        <w:t xml:space="preserve"> </w:t>
      </w:r>
    </w:p>
  </w:footnote>
  <w:footnote w:id="3">
    <w:p w14:paraId="5DECC5D6" w14:textId="11141CE0" w:rsidR="00916874" w:rsidRPr="000B7839" w:rsidRDefault="00916874" w:rsidP="00320B15">
      <w:pPr>
        <w:pStyle w:val="FootnoteText"/>
        <w:rPr>
          <w:szCs w:val="18"/>
        </w:rPr>
      </w:pPr>
      <w:r w:rsidRPr="000B7839">
        <w:rPr>
          <w:rStyle w:val="FootnoteReference"/>
        </w:rPr>
        <w:footnoteRef/>
      </w:r>
      <w:r w:rsidRPr="000B7839">
        <w:t xml:space="preserve"> </w:t>
      </w:r>
      <w:r w:rsidRPr="000B7839">
        <w:rPr>
          <w:szCs w:val="18"/>
        </w:rPr>
        <w:t>Inland Revenue</w:t>
      </w:r>
      <w:r w:rsidR="00792593" w:rsidRPr="000B7839">
        <w:rPr>
          <w:szCs w:val="18"/>
        </w:rPr>
        <w:t>. (</w:t>
      </w:r>
      <w:r w:rsidRPr="000B7839">
        <w:rPr>
          <w:szCs w:val="18"/>
        </w:rPr>
        <w:t>2021</w:t>
      </w:r>
      <w:r w:rsidR="00792593" w:rsidRPr="000B7839">
        <w:rPr>
          <w:szCs w:val="18"/>
        </w:rPr>
        <w:t>).</w:t>
      </w:r>
      <w:r w:rsidRPr="000B7839">
        <w:rPr>
          <w:szCs w:val="18"/>
        </w:rPr>
        <w:t xml:space="preserve"> </w:t>
      </w:r>
      <w:r w:rsidRPr="000B7839">
        <w:rPr>
          <w:i/>
          <w:iCs/>
          <w:szCs w:val="18"/>
        </w:rPr>
        <w:t>Tax, investment and productivity: consultation on the scope of Inland Revenue’s long-term insights briefing</w:t>
      </w:r>
      <w:r w:rsidR="00792593" w:rsidRPr="000B7839">
        <w:rPr>
          <w:szCs w:val="18"/>
        </w:rPr>
        <w:t>.</w:t>
      </w:r>
      <w:r w:rsidRPr="000B7839">
        <w:rPr>
          <w:szCs w:val="18"/>
        </w:rPr>
        <w:t xml:space="preserve"> </w:t>
      </w:r>
      <w:hyperlink r:id="rId2" w:history="1">
        <w:r w:rsidR="00C4467A" w:rsidRPr="00FF3BF9">
          <w:rPr>
            <w:rStyle w:val="Hyperlink"/>
            <w:szCs w:val="18"/>
          </w:rPr>
          <w:t>https://taxpolicy.ird.govt.nz/publications/2021/2021-other-scope-ird-ltib-tax-liability-productivity</w:t>
        </w:r>
      </w:hyperlink>
    </w:p>
  </w:footnote>
  <w:footnote w:id="4">
    <w:p w14:paraId="5F6E8A4B" w14:textId="38277136" w:rsidR="00916874" w:rsidRPr="000B7839" w:rsidRDefault="00916874" w:rsidP="00916874">
      <w:pPr>
        <w:pStyle w:val="FootnoteText"/>
        <w:rPr>
          <w:szCs w:val="18"/>
        </w:rPr>
      </w:pPr>
      <w:r w:rsidRPr="000B7839">
        <w:rPr>
          <w:rStyle w:val="FootnoteReference"/>
        </w:rPr>
        <w:footnoteRef/>
      </w:r>
      <w:r w:rsidRPr="000B7839">
        <w:t xml:space="preserve"> </w:t>
      </w:r>
      <w:r w:rsidRPr="000B7839">
        <w:rPr>
          <w:szCs w:val="18"/>
        </w:rPr>
        <w:t>Ministry of Business, Innovation and Employment</w:t>
      </w:r>
      <w:r w:rsidR="00792593" w:rsidRPr="000B7839">
        <w:rPr>
          <w:szCs w:val="18"/>
        </w:rPr>
        <w:t>.</w:t>
      </w:r>
      <w:r w:rsidRPr="000B7839">
        <w:rPr>
          <w:szCs w:val="18"/>
        </w:rPr>
        <w:t xml:space="preserve"> (2021)</w:t>
      </w:r>
      <w:r w:rsidR="00792593" w:rsidRPr="000B7839">
        <w:rPr>
          <w:szCs w:val="18"/>
        </w:rPr>
        <w:t>.</w:t>
      </w:r>
      <w:r w:rsidRPr="000B7839">
        <w:rPr>
          <w:szCs w:val="18"/>
        </w:rPr>
        <w:t xml:space="preserve"> </w:t>
      </w:r>
      <w:r w:rsidRPr="000B7839">
        <w:rPr>
          <w:rStyle w:val="Emphasis"/>
          <w:szCs w:val="18"/>
        </w:rPr>
        <w:t>The future of business for Aotearoa New Zealand: Opportunities and implications for productivity and wellbeing</w:t>
      </w:r>
      <w:r w:rsidR="00792593" w:rsidRPr="000B7839">
        <w:rPr>
          <w:szCs w:val="18"/>
        </w:rPr>
        <w:t>.</w:t>
      </w:r>
      <w:r w:rsidRPr="000B7839">
        <w:rPr>
          <w:szCs w:val="18"/>
        </w:rPr>
        <w:t xml:space="preserve"> </w:t>
      </w:r>
      <w:hyperlink r:id="rId3" w:history="1">
        <w:r w:rsidRPr="000B7839">
          <w:rPr>
            <w:rStyle w:val="Hyperlink"/>
            <w:szCs w:val="18"/>
          </w:rPr>
          <w:t>https://www.mbie.govt.nz/dmsdocument/15644-the-future-of-business-for-aotearoa-new-zealand-opportunities-and-implications-for-productivity-and-wellbeing</w:t>
        </w:r>
      </w:hyperlink>
    </w:p>
  </w:footnote>
  <w:footnote w:id="5">
    <w:p w14:paraId="2EBC5123" w14:textId="77777777" w:rsidR="00916874" w:rsidRPr="000B7839" w:rsidRDefault="00916874" w:rsidP="00916874">
      <w:pPr>
        <w:pStyle w:val="FootnoteText"/>
        <w:rPr>
          <w:szCs w:val="18"/>
        </w:rPr>
      </w:pPr>
      <w:r w:rsidRPr="000B7839">
        <w:rPr>
          <w:rStyle w:val="FootnoteReference"/>
        </w:rPr>
        <w:footnoteRef/>
      </w:r>
      <w:r w:rsidRPr="000B7839">
        <w:t xml:space="preserve"> </w:t>
      </w:r>
      <w:r w:rsidRPr="000B7839">
        <w:rPr>
          <w:szCs w:val="18"/>
        </w:rPr>
        <w:t>See schedule 6, clauses 8 and 9 of the Public Service Act 2020.</w:t>
      </w:r>
    </w:p>
  </w:footnote>
  <w:footnote w:id="6">
    <w:p w14:paraId="09818927" w14:textId="66F98433" w:rsidR="00916874" w:rsidRPr="00075D72" w:rsidRDefault="00916874" w:rsidP="00916874">
      <w:pPr>
        <w:pStyle w:val="FootnoteText"/>
        <w:rPr>
          <w:szCs w:val="18"/>
        </w:rPr>
      </w:pPr>
      <w:r w:rsidRPr="000B7839">
        <w:rPr>
          <w:rStyle w:val="FootnoteReference"/>
        </w:rPr>
        <w:footnoteRef/>
      </w:r>
      <w:r w:rsidRPr="000B7839">
        <w:t xml:space="preserve"> </w:t>
      </w:r>
      <w:r w:rsidRPr="000B7839">
        <w:rPr>
          <w:szCs w:val="18"/>
        </w:rPr>
        <w:t xml:space="preserve">Data for figures 1.1 to 1.4 </w:t>
      </w:r>
      <w:r w:rsidR="00155BE5" w:rsidRPr="000B7839">
        <w:rPr>
          <w:szCs w:val="18"/>
        </w:rPr>
        <w:t>is</w:t>
      </w:r>
      <w:r w:rsidRPr="000B7839">
        <w:rPr>
          <w:szCs w:val="18"/>
        </w:rPr>
        <w:t xml:space="preserve"> available on the OECD website at </w:t>
      </w:r>
      <w:hyperlink r:id="rId4" w:history="1">
        <w:r w:rsidRPr="000B7839">
          <w:rPr>
            <w:rStyle w:val="Hyperlink"/>
            <w:szCs w:val="18"/>
          </w:rPr>
          <w:t>https://stats.oecd.org/</w:t>
        </w:r>
      </w:hyperlink>
      <w:r w:rsidRPr="000B7839">
        <w:rPr>
          <w:szCs w:val="18"/>
        </w:rPr>
        <w:t>. Data for figure 1.1 was supplemented by some additional information for early years provided to us by the OECD but not yet available on their website.</w:t>
      </w:r>
    </w:p>
  </w:footnote>
  <w:footnote w:id="7">
    <w:p w14:paraId="49336FE0" w14:textId="1CBFFE4D" w:rsidR="00AE70CC" w:rsidRPr="000B7839" w:rsidRDefault="00AE70CC" w:rsidP="003272BC">
      <w:pPr>
        <w:pStyle w:val="FootnoteText"/>
      </w:pPr>
      <w:r w:rsidRPr="000B7839">
        <w:rPr>
          <w:rStyle w:val="FootnoteReference"/>
        </w:rPr>
        <w:footnoteRef/>
      </w:r>
      <w:r w:rsidRPr="000B7839">
        <w:t xml:space="preserve"> </w:t>
      </w:r>
      <w:r w:rsidR="00672539">
        <w:t xml:space="preserve">Inland Revenue. (2022). </w:t>
      </w:r>
      <w:r w:rsidR="003272BC" w:rsidRPr="00586800">
        <w:rPr>
          <w:rStyle w:val="Emphasis"/>
        </w:rPr>
        <w:t xml:space="preserve">Tax, foreign investment and productivity – </w:t>
      </w:r>
      <w:r w:rsidR="003272BC">
        <w:rPr>
          <w:rStyle w:val="Emphasis"/>
        </w:rPr>
        <w:t>T</w:t>
      </w:r>
      <w:r w:rsidR="003272BC" w:rsidRPr="00586800">
        <w:rPr>
          <w:rStyle w:val="Emphasis"/>
        </w:rPr>
        <w:t>echnical appendices to support Inland Revenue’s draft long-term insights briefing (LTIB).</w:t>
      </w:r>
      <w:r w:rsidR="003272BC">
        <w:t xml:space="preserve"> </w:t>
      </w:r>
      <w:hyperlink r:id="rId5" w:history="1">
        <w:r w:rsidR="00541FC2" w:rsidRPr="00FF3BF9">
          <w:rPr>
            <w:rStyle w:val="Hyperlink"/>
          </w:rPr>
          <w:t>https://taxpolicy.ird.govt.nz/publications/2022/2022-other-draft-ltib</w:t>
        </w:r>
      </w:hyperlink>
      <w:r w:rsidR="00541FC2">
        <w:t xml:space="preserve"> </w:t>
      </w:r>
    </w:p>
  </w:footnote>
  <w:footnote w:id="8">
    <w:p w14:paraId="73AF5F1C" w14:textId="64654204" w:rsidR="007272BC" w:rsidRPr="000B7839" w:rsidRDefault="007272BC" w:rsidP="00320B15">
      <w:pPr>
        <w:pStyle w:val="FootnoteText"/>
        <w:rPr>
          <w:szCs w:val="18"/>
        </w:rPr>
      </w:pPr>
      <w:r w:rsidRPr="000B7839">
        <w:rPr>
          <w:rStyle w:val="FootnoteReference"/>
        </w:rPr>
        <w:footnoteRef/>
      </w:r>
      <w:r w:rsidRPr="000B7839">
        <w:t xml:space="preserve"> </w:t>
      </w:r>
      <w:r w:rsidRPr="000B7839">
        <w:rPr>
          <w:szCs w:val="18"/>
        </w:rPr>
        <w:t>McLeod Review</w:t>
      </w:r>
      <w:r w:rsidR="00792593" w:rsidRPr="000B7839">
        <w:rPr>
          <w:szCs w:val="18"/>
        </w:rPr>
        <w:t xml:space="preserve">. </w:t>
      </w:r>
      <w:r w:rsidR="00464898" w:rsidRPr="000B7839">
        <w:rPr>
          <w:szCs w:val="18"/>
        </w:rPr>
        <w:t xml:space="preserve">(2001). </w:t>
      </w:r>
      <w:r w:rsidRPr="000B7839">
        <w:rPr>
          <w:i/>
          <w:iCs/>
          <w:szCs w:val="18"/>
        </w:rPr>
        <w:t>Tax Review 2001, Final Report</w:t>
      </w:r>
      <w:r w:rsidR="00464898" w:rsidRPr="000B7839">
        <w:rPr>
          <w:szCs w:val="18"/>
        </w:rPr>
        <w:t xml:space="preserve">. </w:t>
      </w:r>
      <w:hyperlink r:id="rId6" w:history="1">
        <w:r w:rsidRPr="000B7839">
          <w:rPr>
            <w:rStyle w:val="Hyperlink"/>
            <w:szCs w:val="18"/>
          </w:rPr>
          <w:t>https://www.treasury.govt.nz/sites/default/files/2007-11/taxreview2001-report.pdf</w:t>
        </w:r>
      </w:hyperlink>
    </w:p>
  </w:footnote>
  <w:footnote w:id="9">
    <w:p w14:paraId="29E0B5FA" w14:textId="1BA28EA3" w:rsidR="007272BC" w:rsidRPr="000B7839" w:rsidRDefault="007272BC" w:rsidP="007272BC">
      <w:pPr>
        <w:pStyle w:val="FootnoteText"/>
        <w:rPr>
          <w:szCs w:val="18"/>
        </w:rPr>
      </w:pPr>
      <w:r w:rsidRPr="000B7839">
        <w:rPr>
          <w:rStyle w:val="FootnoteReference"/>
          <w:szCs w:val="18"/>
        </w:rPr>
        <w:footnoteRef/>
      </w:r>
      <w:r w:rsidRPr="000B7839">
        <w:rPr>
          <w:szCs w:val="18"/>
        </w:rPr>
        <w:t xml:space="preserve"> Inland Revenue and Treasury (2016)</w:t>
      </w:r>
      <w:r w:rsidR="00464898" w:rsidRPr="000B7839">
        <w:rPr>
          <w:szCs w:val="18"/>
        </w:rPr>
        <w:t>.</w:t>
      </w:r>
      <w:r w:rsidRPr="000B7839">
        <w:rPr>
          <w:szCs w:val="18"/>
        </w:rPr>
        <w:t xml:space="preserve"> </w:t>
      </w:r>
      <w:r w:rsidRPr="000B7839">
        <w:rPr>
          <w:i/>
          <w:iCs/>
          <w:szCs w:val="18"/>
        </w:rPr>
        <w:t>New Zealand’s taxation framework for inbound investment</w:t>
      </w:r>
      <w:r w:rsidR="00464898" w:rsidRPr="000B7839">
        <w:rPr>
          <w:szCs w:val="18"/>
        </w:rPr>
        <w:t>.</w:t>
      </w:r>
      <w:r w:rsidRPr="000B7839">
        <w:rPr>
          <w:szCs w:val="18"/>
        </w:rPr>
        <w:t xml:space="preserve"> </w:t>
      </w:r>
      <w:hyperlink r:id="rId7" w:history="1">
        <w:r w:rsidRPr="000B7839">
          <w:rPr>
            <w:rStyle w:val="Hyperlink"/>
            <w:szCs w:val="18"/>
          </w:rPr>
          <w:t>https://taxpolicy.ird.govt.nz/publications/2016/2016-other-nz-framework-inbound-investment</w:t>
        </w:r>
      </w:hyperlink>
    </w:p>
  </w:footnote>
  <w:footnote w:id="10">
    <w:p w14:paraId="4201043F" w14:textId="2BADAB83" w:rsidR="007272BC" w:rsidRPr="00586800" w:rsidRDefault="007272BC" w:rsidP="007272BC">
      <w:pPr>
        <w:pStyle w:val="FootnoteText"/>
        <w:rPr>
          <w:szCs w:val="18"/>
        </w:rPr>
      </w:pPr>
      <w:r w:rsidRPr="000B7839">
        <w:rPr>
          <w:rStyle w:val="FootnoteReference"/>
        </w:rPr>
        <w:footnoteRef/>
      </w:r>
      <w:r w:rsidRPr="000B7839">
        <w:t xml:space="preserve"> </w:t>
      </w:r>
      <w:r w:rsidRPr="000B7839">
        <w:rPr>
          <w:szCs w:val="18"/>
        </w:rPr>
        <w:t>For the year to June 2021 net corporate tax revenue (inclusive of NRWT) was $18,405</w:t>
      </w:r>
      <w:r w:rsidR="00464898" w:rsidRPr="000B7839">
        <w:rPr>
          <w:szCs w:val="18"/>
        </w:rPr>
        <w:t xml:space="preserve"> </w:t>
      </w:r>
      <w:r w:rsidRPr="000B7839">
        <w:rPr>
          <w:szCs w:val="18"/>
        </w:rPr>
        <w:t>m</w:t>
      </w:r>
      <w:r w:rsidR="00464898" w:rsidRPr="000B7839">
        <w:rPr>
          <w:szCs w:val="18"/>
        </w:rPr>
        <w:t>illion</w:t>
      </w:r>
      <w:r w:rsidRPr="000B7839">
        <w:rPr>
          <w:szCs w:val="18"/>
        </w:rPr>
        <w:t>. This amounted to 16.6</w:t>
      </w:r>
      <w:r w:rsidR="00464898" w:rsidRPr="000B7839">
        <w:rPr>
          <w:szCs w:val="18"/>
        </w:rPr>
        <w:t xml:space="preserve"> percent</w:t>
      </w:r>
      <w:r w:rsidRPr="000B7839">
        <w:rPr>
          <w:szCs w:val="18"/>
        </w:rPr>
        <w:t xml:space="preserve"> of total tax of $110,753</w:t>
      </w:r>
      <w:r w:rsidR="00464898" w:rsidRPr="000B7839">
        <w:rPr>
          <w:szCs w:val="18"/>
        </w:rPr>
        <w:t xml:space="preserve"> </w:t>
      </w:r>
      <w:r w:rsidRPr="000B7839">
        <w:rPr>
          <w:szCs w:val="18"/>
        </w:rPr>
        <w:t>m</w:t>
      </w:r>
      <w:r w:rsidR="00464898" w:rsidRPr="000B7839">
        <w:rPr>
          <w:szCs w:val="18"/>
        </w:rPr>
        <w:t>illion</w:t>
      </w:r>
      <w:r w:rsidRPr="000B7839">
        <w:rPr>
          <w:szCs w:val="18"/>
        </w:rPr>
        <w:t xml:space="preserve">. See </w:t>
      </w:r>
      <w:r w:rsidR="00464898" w:rsidRPr="000B7839">
        <w:t>Tax Outturn Data - June 2021</w:t>
      </w:r>
      <w:r w:rsidR="00464898" w:rsidRPr="000B7839">
        <w:rPr>
          <w:szCs w:val="18"/>
        </w:rPr>
        <w:t xml:space="preserve">, </w:t>
      </w:r>
      <w:hyperlink r:id="rId8" w:history="1">
        <w:r w:rsidR="00464898" w:rsidRPr="000B7839">
          <w:rPr>
            <w:rStyle w:val="Hyperlink"/>
            <w:szCs w:val="18"/>
          </w:rPr>
          <w:t>https://www.treasury.govt.nz/publications/tax-outturn-data/tax-outturn-data-june-2021</w:t>
        </w:r>
      </w:hyperlink>
      <w:r w:rsidR="00464898" w:rsidRPr="000B7839">
        <w:rPr>
          <w:szCs w:val="18"/>
        </w:rPr>
        <w:t xml:space="preserve"> </w:t>
      </w:r>
      <w:r w:rsidRPr="000B7839">
        <w:rPr>
          <w:szCs w:val="18"/>
        </w:rPr>
        <w:t>Inland Revenue data reveals that roughly one-third of net corporate tax revenue is from foreign controlled companies.</w:t>
      </w:r>
    </w:p>
  </w:footnote>
  <w:footnote w:id="11">
    <w:p w14:paraId="063EAE3D" w14:textId="61299C2A" w:rsidR="00831BF0" w:rsidRDefault="00831BF0">
      <w:pPr>
        <w:pStyle w:val="FootnoteText"/>
      </w:pPr>
      <w:r>
        <w:rPr>
          <w:rStyle w:val="FootnoteReference"/>
        </w:rPr>
        <w:footnoteRef/>
      </w:r>
      <w:r>
        <w:t xml:space="preserve"> </w:t>
      </w:r>
      <w:r w:rsidRPr="00831BF0">
        <w:t xml:space="preserve">OECD. </w:t>
      </w:r>
      <w:r w:rsidRPr="00586800">
        <w:rPr>
          <w:rStyle w:val="Emphasis"/>
        </w:rPr>
        <w:t>OECD.Stat</w:t>
      </w:r>
      <w:r w:rsidRPr="00831BF0">
        <w:t xml:space="preserve">. Public Sector, Taxation and Market Regulation </w:t>
      </w:r>
      <w:r w:rsidR="00BA4E3E">
        <w:t>/</w:t>
      </w:r>
      <w:r w:rsidRPr="00831BF0">
        <w:t xml:space="preserve"> Taxation </w:t>
      </w:r>
      <w:r w:rsidR="00BA4E3E">
        <w:t>/</w:t>
      </w:r>
      <w:r w:rsidRPr="00831BF0">
        <w:t xml:space="preserve"> Corporate Tax Statistics </w:t>
      </w:r>
      <w:r w:rsidR="00BA4E3E">
        <w:t>/</w:t>
      </w:r>
      <w:r w:rsidRPr="00831BF0">
        <w:t xml:space="preserve"> Effective Tax Rates. </w:t>
      </w:r>
      <w:hyperlink r:id="rId9" w:history="1">
        <w:r w:rsidRPr="00EE48E0">
          <w:rPr>
            <w:rStyle w:val="Hyperlink"/>
          </w:rPr>
          <w:t>https://stats.oecd.org/</w:t>
        </w:r>
      </w:hyperlink>
    </w:p>
  </w:footnote>
  <w:footnote w:id="12">
    <w:p w14:paraId="20EF4F6E" w14:textId="6B08A32C" w:rsidR="00644621" w:rsidRPr="000B7839" w:rsidRDefault="00644621" w:rsidP="00644621">
      <w:pPr>
        <w:pStyle w:val="FootnoteText"/>
        <w:rPr>
          <w:szCs w:val="18"/>
        </w:rPr>
      </w:pPr>
      <w:r w:rsidRPr="000B7839">
        <w:rPr>
          <w:rStyle w:val="FootnoteReference"/>
        </w:rPr>
        <w:footnoteRef/>
      </w:r>
      <w:r w:rsidRPr="000B7839">
        <w:t xml:space="preserve"> </w:t>
      </w:r>
      <w:r w:rsidRPr="000B7839">
        <w:rPr>
          <w:szCs w:val="18"/>
        </w:rPr>
        <w:t>Support for this approach in the Australian context is provided by Murphy, C. (2018)</w:t>
      </w:r>
      <w:r w:rsidR="00320B15" w:rsidRPr="000B7839">
        <w:rPr>
          <w:szCs w:val="18"/>
        </w:rPr>
        <w:t>.</w:t>
      </w:r>
      <w:r w:rsidRPr="000B7839">
        <w:rPr>
          <w:szCs w:val="18"/>
        </w:rPr>
        <w:t xml:space="preserve"> Murphy provides an extensive review of academic literature on this issue. For a contrary approach, see Swan, P. (2019)</w:t>
      </w:r>
      <w:r w:rsidR="00320B15" w:rsidRPr="000B7839">
        <w:rPr>
          <w:szCs w:val="18"/>
        </w:rPr>
        <w:t>.</w:t>
      </w:r>
      <w:r w:rsidRPr="000B7839">
        <w:rPr>
          <w:szCs w:val="18"/>
        </w:rPr>
        <w:t xml:space="preserve"> Swan provides evidence suggesting marginal investment is supplied by residents who can make use of imputation credits and who can borrow on international capital markets to finance investment.</w:t>
      </w:r>
    </w:p>
  </w:footnote>
  <w:footnote w:id="13">
    <w:p w14:paraId="17C6FA7E" w14:textId="77777777" w:rsidR="00644621" w:rsidRPr="00586800" w:rsidRDefault="00644621" w:rsidP="00644621">
      <w:pPr>
        <w:pStyle w:val="FootnoteText"/>
        <w:rPr>
          <w:szCs w:val="18"/>
        </w:rPr>
      </w:pPr>
      <w:r w:rsidRPr="000B7839">
        <w:rPr>
          <w:rStyle w:val="FootnoteReference"/>
          <w:szCs w:val="18"/>
        </w:rPr>
        <w:footnoteRef/>
      </w:r>
      <w:r w:rsidRPr="000B7839">
        <w:rPr>
          <w:szCs w:val="18"/>
        </w:rPr>
        <w:t xml:space="preserve"> </w:t>
      </w:r>
      <w:r w:rsidRPr="00586800">
        <w:rPr>
          <w:szCs w:val="18"/>
        </w:rPr>
        <w:t>To understand the example, it is easiest to consider investment in an asset that maintains its value through time where no depreciation deductions are allowed. For assets that fall in value over time, economic income would be fully taxed if depreciation deductions mirrored economic depreciation (that is, the fall in the market value of assets).</w:t>
      </w:r>
    </w:p>
  </w:footnote>
  <w:footnote w:id="14">
    <w:p w14:paraId="47846AD8" w14:textId="2D148ECA" w:rsidR="00644621" w:rsidRPr="000B7839" w:rsidRDefault="00644621" w:rsidP="00644621">
      <w:pPr>
        <w:pStyle w:val="FootnoteText"/>
        <w:rPr>
          <w:rStyle w:val="FooterChar"/>
        </w:rPr>
      </w:pPr>
      <w:r w:rsidRPr="000B7839">
        <w:rPr>
          <w:rStyle w:val="FootnoteReference"/>
        </w:rPr>
        <w:footnoteRef/>
      </w:r>
      <w:r w:rsidRPr="000B7839">
        <w:t xml:space="preserve"> </w:t>
      </w:r>
      <w:r w:rsidRPr="000B7839">
        <w:rPr>
          <w:rStyle w:val="FooterChar"/>
        </w:rPr>
        <w:t xml:space="preserve">The OECD refers to this as the ‘low interest and inflation rates’ option, but it is now the only standardised interest rate and inflation option they report. Previously, they considered a real interest rate of 5% and an inflation rate of 2% as well. Note that the nominal interest rate </w:t>
      </w:r>
      <w:r w:rsidR="00FA1692" w:rsidRPr="000B7839">
        <w:rPr>
          <w:rStyle w:val="FooterChar"/>
        </w:rPr>
        <w:t>is</w:t>
      </w:r>
      <w:r w:rsidR="007248B8">
        <w:rPr>
          <w:rStyle w:val="FooterChar"/>
        </w:rPr>
        <w:pict w14:anchorId="33A1CE1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62.25pt;height:15.75pt" o:ole="">
            <v:imagedata r:id="rId10" o:title=""/>
          </v:shape>
        </w:pict>
      </w:r>
      <w:r w:rsidRPr="000B7839">
        <w:rPr>
          <w:rStyle w:val="FooterChar"/>
        </w:rPr>
        <w:t xml:space="preserve"> where r is the real interest rate and </w:t>
      </w:r>
      <w:r w:rsidR="007248B8">
        <w:rPr>
          <w:rStyle w:val="FooterChar"/>
        </w:rPr>
        <w:pict w14:anchorId="616CF87D">
          <v:shape id="_x0000_i1031" type="#_x0000_t75" style="width:11.25pt;height:11.25pt" o:ole="">
            <v:imagedata r:id="rId11" o:title=""/>
          </v:shape>
        </w:pict>
      </w:r>
      <w:r w:rsidRPr="000B7839">
        <w:rPr>
          <w:rStyle w:val="FooterChar"/>
        </w:rPr>
        <w:t xml:space="preserve"> is the inflation rate. To be able to purchase 3% more real goods and services, we need a nominal interest rate of 4.03% because 1.03 </w:t>
      </w:r>
      <w:r w:rsidR="00831BF0">
        <w:rPr>
          <w:rStyle w:val="FooterChar"/>
        </w:rPr>
        <w:t>×</w:t>
      </w:r>
      <w:r w:rsidRPr="000B7839">
        <w:rPr>
          <w:rStyle w:val="FooterChar"/>
        </w:rPr>
        <w:t xml:space="preserve"> 1.01 = 1.0403.</w:t>
      </w:r>
    </w:p>
  </w:footnote>
  <w:footnote w:id="15">
    <w:p w14:paraId="3E03CDB7" w14:textId="70BF62BD" w:rsidR="00644621" w:rsidRPr="000B7839" w:rsidRDefault="00644621" w:rsidP="00644621">
      <w:pPr>
        <w:pStyle w:val="FootnoteText"/>
        <w:rPr>
          <w:rStyle w:val="FooterChar"/>
        </w:rPr>
      </w:pPr>
      <w:r w:rsidRPr="000B7839">
        <w:rPr>
          <w:rStyle w:val="FootnoteReference"/>
        </w:rPr>
        <w:footnoteRef/>
      </w:r>
      <w:r w:rsidRPr="000B7839">
        <w:t xml:space="preserve"> </w:t>
      </w:r>
      <w:r w:rsidRPr="000B7839">
        <w:rPr>
          <w:rStyle w:val="FooterChar"/>
        </w:rPr>
        <w:t xml:space="preserve">Our model provides identical cost of capital estimates to the OECD model for the case </w:t>
      </w:r>
      <w:r w:rsidR="002910E4" w:rsidRPr="000B7839">
        <w:rPr>
          <w:rStyle w:val="FooterChar"/>
        </w:rPr>
        <w:t>that</w:t>
      </w:r>
      <w:r w:rsidRPr="000B7839">
        <w:rPr>
          <w:rStyle w:val="FooterChar"/>
        </w:rPr>
        <w:t xml:space="preserve"> underlies the OECD’s estimates of costs of capital reported on their website when non-residents are marginal investors in companies. The OECD model is more flexible and can be extended to consider other marginal investors as well, but this comes with additional complexity.</w:t>
      </w:r>
    </w:p>
  </w:footnote>
  <w:footnote w:id="16">
    <w:p w14:paraId="4E6A61F9" w14:textId="0334506C" w:rsidR="00A24486" w:rsidRPr="000B7839" w:rsidRDefault="00A24486" w:rsidP="004A7009">
      <w:pPr>
        <w:pStyle w:val="FootnoteText"/>
        <w:rPr>
          <w:rStyle w:val="FooterChar"/>
        </w:rPr>
      </w:pPr>
      <w:r w:rsidRPr="000B7839">
        <w:rPr>
          <w:rStyle w:val="FootnoteReference"/>
        </w:rPr>
        <w:footnoteRef/>
      </w:r>
      <w:r w:rsidRPr="00586800">
        <w:t xml:space="preserve"> </w:t>
      </w:r>
      <w:r w:rsidR="003C2278" w:rsidRPr="003C2278">
        <w:t xml:space="preserve">OECD. (2022). OECD Economic Surveys: New Zealand 2022. (p. 54) </w:t>
      </w:r>
      <w:hyperlink r:id="rId12" w:history="1">
        <w:r w:rsidR="003C2278" w:rsidRPr="00FF3BF9">
          <w:rPr>
            <w:rStyle w:val="Hyperlink"/>
          </w:rPr>
          <w:t>https://doi.org/10.1787/a4fd214c-en</w:t>
        </w:r>
      </w:hyperlink>
      <w:r w:rsidR="003C2278">
        <w:t xml:space="preserve"> </w:t>
      </w:r>
      <w:hyperlink r:id="rId13" w:history="1">
        <w:r w:rsidR="003C2278" w:rsidRPr="00FF3BF9">
          <w:rPr>
            <w:rStyle w:val="Hyperlink"/>
          </w:rPr>
          <w:t>https://stat.link/en6415</w:t>
        </w:r>
      </w:hyperlink>
      <w:r w:rsidR="003C2278">
        <w:t xml:space="preserve"> </w:t>
      </w:r>
    </w:p>
  </w:footnote>
  <w:footnote w:id="17">
    <w:p w14:paraId="02B4DD84" w14:textId="5BBB5ED9" w:rsidR="003F4BCB" w:rsidRPr="000B7839" w:rsidRDefault="003F4BCB">
      <w:pPr>
        <w:pStyle w:val="FootnoteText"/>
      </w:pPr>
      <w:r w:rsidRPr="000B7839">
        <w:rPr>
          <w:rStyle w:val="FootnoteReference"/>
        </w:rPr>
        <w:footnoteRef/>
      </w:r>
      <w:r w:rsidRPr="000B7839">
        <w:t xml:space="preserve"> </w:t>
      </w:r>
      <w:r w:rsidRPr="00586800">
        <w:t xml:space="preserve">See, for example, the discussion in </w:t>
      </w:r>
      <w:r w:rsidRPr="000B7839">
        <w:t xml:space="preserve">Inland Revenue and Treasury. (2004). </w:t>
      </w:r>
      <w:r w:rsidRPr="000B7839">
        <w:rPr>
          <w:i/>
          <w:iCs/>
        </w:rPr>
        <w:t>Repairs and maintenance to tax depreciation rules - an officials’ issues paper</w:t>
      </w:r>
      <w:r w:rsidRPr="000B7839">
        <w:t xml:space="preserve">. </w:t>
      </w:r>
      <w:hyperlink r:id="rId14" w:history="1">
        <w:r w:rsidRPr="000B7839">
          <w:rPr>
            <w:rStyle w:val="Hyperlink"/>
          </w:rPr>
          <w:t>https://taxpolicy.ird.govt.nz/publications/2004/2004-ip-depreciation</w:t>
        </w:r>
      </w:hyperlink>
    </w:p>
  </w:footnote>
  <w:footnote w:id="18">
    <w:p w14:paraId="117A5CA5" w14:textId="77ADDFE9" w:rsidR="00174E78" w:rsidRPr="00586800" w:rsidRDefault="00174E78">
      <w:pPr>
        <w:pStyle w:val="FootnoteText"/>
      </w:pPr>
      <w:r w:rsidRPr="000B7839">
        <w:rPr>
          <w:rStyle w:val="FootnoteReference"/>
        </w:rPr>
        <w:footnoteRef/>
      </w:r>
      <w:r w:rsidRPr="000B7839">
        <w:t xml:space="preserve"> Appendix </w:t>
      </w:r>
      <w:r w:rsidR="00992335" w:rsidRPr="000B7839">
        <w:t xml:space="preserve">4 of the </w:t>
      </w:r>
      <w:r w:rsidR="00661FA5">
        <w:rPr>
          <w:i/>
          <w:iCs/>
        </w:rPr>
        <w:t>T</w:t>
      </w:r>
      <w:r w:rsidR="00992335" w:rsidRPr="000B7839">
        <w:rPr>
          <w:i/>
          <w:iCs/>
        </w:rPr>
        <w:t>echnical appendices</w:t>
      </w:r>
      <w:r w:rsidR="00992335" w:rsidRPr="000B7839">
        <w:t xml:space="preserve"> provides a simple cash-flow example explaining how these negative EMTRs can arise.</w:t>
      </w:r>
    </w:p>
  </w:footnote>
  <w:footnote w:id="19">
    <w:p w14:paraId="6E5BB3A5" w14:textId="77777777" w:rsidR="009C1F81" w:rsidRPr="00586800" w:rsidRDefault="009C1F81" w:rsidP="009C1F81">
      <w:pPr>
        <w:pStyle w:val="FootnoteText"/>
        <w:rPr>
          <w:szCs w:val="18"/>
        </w:rPr>
      </w:pPr>
      <w:r w:rsidRPr="000B7839">
        <w:rPr>
          <w:rStyle w:val="FootnoteReference"/>
          <w:szCs w:val="18"/>
        </w:rPr>
        <w:footnoteRef/>
      </w:r>
      <w:r w:rsidRPr="000B7839">
        <w:rPr>
          <w:szCs w:val="18"/>
        </w:rPr>
        <w:t xml:space="preserve"> More precisely, with inflation at rate </w:t>
      </w:r>
      <w:r w:rsidRPr="000B7839">
        <w:rPr>
          <w:position w:val="-6"/>
          <w:szCs w:val="18"/>
        </w:rPr>
        <w:object w:dxaOrig="195" w:dyaOrig="195" w14:anchorId="5E9EE2A4">
          <v:shape id="_x0000_i1033" type="#_x0000_t75" style="width:9.75pt;height:9.75pt" o:ole="">
            <v:imagedata r:id="rId15" o:title=""/>
          </v:shape>
          <o:OLEObject Type="Embed" ProgID="Equation.DSMT4" ShapeID="_x0000_i1033" DrawAspect="Content" ObjectID="_1707199214" r:id="rId16"/>
        </w:object>
      </w:r>
      <w:r w:rsidRPr="000B7839">
        <w:rPr>
          <w:szCs w:val="18"/>
        </w:rPr>
        <w:t xml:space="preserve">, the domestic real interest rate will rise to </w:t>
      </w:r>
      <w:r w:rsidRPr="000B7839">
        <w:rPr>
          <w:position w:val="-10"/>
          <w:szCs w:val="18"/>
        </w:rPr>
        <w:object w:dxaOrig="2565" w:dyaOrig="315" w14:anchorId="1069A76A">
          <v:shape id="_x0000_i1035" type="#_x0000_t75" style="width:128.25pt;height:15.75pt">
            <v:imagedata r:id="rId17" o:title=""/>
          </v:shape>
          <o:OLEObject Type="Embed" ProgID="Equation.DSMT4" ShapeID="_x0000_i1035" DrawAspect="Content" ObjectID="_1707199215" r:id="rId18"/>
        </w:object>
      </w:r>
      <w:r w:rsidRPr="000B7839">
        <w:rPr>
          <w:szCs w:val="18"/>
        </w:rPr>
        <w:t>.</w:t>
      </w:r>
    </w:p>
  </w:footnote>
  <w:footnote w:id="20">
    <w:p w14:paraId="5E86EACB" w14:textId="77777777" w:rsidR="009C1F81" w:rsidRPr="000B7839" w:rsidRDefault="009C1F81" w:rsidP="009C1F81">
      <w:pPr>
        <w:pStyle w:val="FootnoteText"/>
        <w:rPr>
          <w:szCs w:val="18"/>
        </w:rPr>
      </w:pPr>
      <w:r w:rsidRPr="000B7839">
        <w:rPr>
          <w:rStyle w:val="FootnoteReference"/>
        </w:rPr>
        <w:footnoteRef/>
      </w:r>
      <w:r w:rsidRPr="000B7839">
        <w:t xml:space="preserve"> </w:t>
      </w:r>
      <w:r w:rsidRPr="000B7839">
        <w:rPr>
          <w:szCs w:val="18"/>
        </w:rPr>
        <w:t xml:space="preserve">The real interest rate rises to </w:t>
      </w:r>
      <w:r w:rsidRPr="000B7839">
        <w:rPr>
          <w:position w:val="-10"/>
          <w:szCs w:val="18"/>
        </w:rPr>
        <w:object w:dxaOrig="2685" w:dyaOrig="315" w14:anchorId="3B833F46">
          <v:shape id="_x0000_i1037" type="#_x0000_t75" style="width:134.25pt;height:15.75pt">
            <v:imagedata r:id="rId19" o:title=""/>
          </v:shape>
          <o:OLEObject Type="Embed" ProgID="Equation.DSMT4" ShapeID="_x0000_i1037" DrawAspect="Content" ObjectID="_1707199216" r:id="rId20"/>
        </w:object>
      </w:r>
      <w:r w:rsidRPr="000B7839">
        <w:rPr>
          <w:szCs w:val="18"/>
        </w:rPr>
        <w:t xml:space="preserve"> where </w:t>
      </w:r>
      <w:r w:rsidRPr="000B7839">
        <w:rPr>
          <w:position w:val="-10"/>
          <w:szCs w:val="18"/>
        </w:rPr>
        <w:object w:dxaOrig="240" w:dyaOrig="315" w14:anchorId="351F249E">
          <v:shape id="_x0000_i1039" type="#_x0000_t75" style="width:12pt;height:15.75pt">
            <v:imagedata r:id="rId21" o:title=""/>
          </v:shape>
          <o:OLEObject Type="Embed" ProgID="Equation.DSMT4" ShapeID="_x0000_i1039" DrawAspect="Content" ObjectID="_1707199217" r:id="rId22"/>
        </w:object>
      </w:r>
      <w:r w:rsidRPr="000B7839">
        <w:rPr>
          <w:szCs w:val="18"/>
        </w:rPr>
        <w:t xml:space="preserve"> is the rate of NRWT.</w:t>
      </w:r>
    </w:p>
  </w:footnote>
  <w:footnote w:id="21">
    <w:p w14:paraId="4E6E8BE3" w14:textId="30BD707B" w:rsidR="001B3AE0" w:rsidRPr="00586800" w:rsidRDefault="001B3AE0" w:rsidP="001B3AE0">
      <w:pPr>
        <w:pStyle w:val="FootnoteText"/>
        <w:rPr>
          <w:szCs w:val="18"/>
        </w:rPr>
      </w:pPr>
      <w:r w:rsidRPr="000B7839">
        <w:rPr>
          <w:rStyle w:val="FootnoteReference"/>
        </w:rPr>
        <w:footnoteRef/>
      </w:r>
      <w:r w:rsidRPr="000B7839">
        <w:t xml:space="preserve"> </w:t>
      </w:r>
      <w:r w:rsidRPr="00586800">
        <w:rPr>
          <w:szCs w:val="18"/>
        </w:rPr>
        <w:t>This option was discussed in Inland Revenue and Treasury (2009).</w:t>
      </w:r>
    </w:p>
  </w:footnote>
  <w:footnote w:id="22">
    <w:p w14:paraId="01F96BB2" w14:textId="7F46B19B" w:rsidR="001B3AE0" w:rsidRPr="00586800" w:rsidRDefault="001B3AE0" w:rsidP="001B3AE0">
      <w:pPr>
        <w:pStyle w:val="FootnoteText"/>
      </w:pPr>
      <w:r w:rsidRPr="000B7839">
        <w:rPr>
          <w:rStyle w:val="FootnoteReference"/>
        </w:rPr>
        <w:footnoteRef/>
      </w:r>
      <w:r w:rsidRPr="000B7839">
        <w:t xml:space="preserve"> </w:t>
      </w:r>
      <w:r w:rsidRPr="00586800">
        <w:t xml:space="preserve">At the same time, countries </w:t>
      </w:r>
      <w:r w:rsidR="001B0DF8" w:rsidRPr="00586800">
        <w:t>that</w:t>
      </w:r>
      <w:r w:rsidRPr="00586800">
        <w:t xml:space="preserve"> have introduced an allowance for corporate equity have most often restricted this allowance to new equity only</w:t>
      </w:r>
      <w:r w:rsidR="001B0DF8" w:rsidRPr="00586800">
        <w:t>,</w:t>
      </w:r>
      <w:r w:rsidRPr="00586800">
        <w:t xml:space="preserve"> which raises some of the same issues. This is discussed in chapter 10.</w:t>
      </w:r>
    </w:p>
  </w:footnote>
  <w:footnote w:id="23">
    <w:p w14:paraId="6C17CE94" w14:textId="67973D04" w:rsidR="00D94677" w:rsidRPr="00586800" w:rsidRDefault="00D94677">
      <w:pPr>
        <w:pStyle w:val="FootnoteText"/>
      </w:pPr>
      <w:r w:rsidRPr="000B7839">
        <w:rPr>
          <w:rStyle w:val="FootnoteReference"/>
        </w:rPr>
        <w:footnoteRef/>
      </w:r>
      <w:r w:rsidRPr="000B7839">
        <w:t xml:space="preserve"> </w:t>
      </w:r>
      <w:r w:rsidR="007A3079" w:rsidRPr="000B7839">
        <w:t xml:space="preserve">These are, of course, identical to the estimates provided in </w:t>
      </w:r>
      <w:r w:rsidR="004D6A09">
        <w:t xml:space="preserve">the fourth row of </w:t>
      </w:r>
      <w:r w:rsidR="003F5DCE" w:rsidRPr="00E474A9">
        <w:t>t</w:t>
      </w:r>
      <w:r w:rsidR="007A3079" w:rsidRPr="00E474A9">
        <w:t>able 4.</w:t>
      </w:r>
      <w:r w:rsidR="00535906" w:rsidRPr="00E474A9">
        <w:t>3</w:t>
      </w:r>
      <w:r w:rsidR="00535906" w:rsidRPr="000B7839">
        <w:t xml:space="preserve"> for domestic companies with marginal foreign shareholders</w:t>
      </w:r>
      <w:r w:rsidR="004834BE" w:rsidRPr="000B7839">
        <w:t>.</w:t>
      </w:r>
    </w:p>
  </w:footnote>
  <w:footnote w:id="24">
    <w:p w14:paraId="5482D020" w14:textId="6910AB55" w:rsidR="001B3AE0" w:rsidRPr="00586800" w:rsidRDefault="001B3AE0" w:rsidP="001B3AE0">
      <w:pPr>
        <w:pStyle w:val="FootnoteText"/>
        <w:rPr>
          <w:szCs w:val="18"/>
        </w:rPr>
      </w:pPr>
      <w:r w:rsidRPr="000B7839">
        <w:rPr>
          <w:rStyle w:val="FootnoteReference"/>
          <w:szCs w:val="18"/>
        </w:rPr>
        <w:footnoteRef/>
      </w:r>
      <w:r w:rsidRPr="000B7839">
        <w:rPr>
          <w:szCs w:val="18"/>
        </w:rPr>
        <w:t xml:space="preserve"> If $100 is earned as company income and this is taxed at the 28% company tax rate, this leaves $72 net of company tax. If this is taxed at 15.2% when shares are sold, this would mean a further $11 of tax, leaving a shareholder on the 39% marginal tax rate with approximately $61 of after-tax income. This tax on gains could be achieved by including 39% of the gain as taxable income because 39% × 39% is approximately 15.2%. This abstracts from timing issues. With a 39% tax on share gains</w:t>
      </w:r>
      <w:r w:rsidR="00A53D85" w:rsidRPr="000B7839">
        <w:rPr>
          <w:szCs w:val="18"/>
        </w:rPr>
        <w:t>,</w:t>
      </w:r>
      <w:r w:rsidRPr="000B7839">
        <w:rPr>
          <w:szCs w:val="18"/>
        </w:rPr>
        <w:t xml:space="preserve"> there could still be advantages in those on the top marginal tax rate accumulating profits in companies for lengthy periods before selling these to generate capital gains.</w:t>
      </w:r>
    </w:p>
  </w:footnote>
  <w:footnote w:id="25">
    <w:p w14:paraId="15E3C8B0" w14:textId="77777777" w:rsidR="001B3AE0" w:rsidRPr="00586800" w:rsidRDefault="001B3AE0" w:rsidP="001B3AE0">
      <w:pPr>
        <w:pStyle w:val="FootnoteText"/>
        <w:rPr>
          <w:szCs w:val="18"/>
        </w:rPr>
      </w:pPr>
      <w:r w:rsidRPr="000B7839">
        <w:rPr>
          <w:rStyle w:val="FootnoteReference"/>
          <w:szCs w:val="18"/>
        </w:rPr>
        <w:footnoteRef/>
      </w:r>
      <w:r w:rsidRPr="000B7839">
        <w:rPr>
          <w:szCs w:val="18"/>
        </w:rPr>
        <w:t xml:space="preserve"> </w:t>
      </w:r>
      <w:r w:rsidRPr="00586800">
        <w:t>Statistics NZ National Accounts Data for the year to 31 March 2021.</w:t>
      </w:r>
    </w:p>
  </w:footnote>
  <w:footnote w:id="26">
    <w:p w14:paraId="5E96D0C4" w14:textId="5E4524CA" w:rsidR="001B3AE0" w:rsidRPr="000B7839" w:rsidRDefault="001B3AE0" w:rsidP="001B3AE0">
      <w:pPr>
        <w:pStyle w:val="FootnoteText"/>
        <w:rPr>
          <w:szCs w:val="18"/>
        </w:rPr>
      </w:pPr>
      <w:r w:rsidRPr="000B7839">
        <w:rPr>
          <w:rStyle w:val="FootnoteReference"/>
        </w:rPr>
        <w:footnoteRef/>
      </w:r>
      <w:r w:rsidRPr="000B7839">
        <w:t xml:space="preserve"> </w:t>
      </w:r>
      <w:r w:rsidRPr="000B7839">
        <w:rPr>
          <w:szCs w:val="18"/>
        </w:rPr>
        <w:t>Tax Working Group</w:t>
      </w:r>
      <w:r w:rsidR="00E402A4">
        <w:rPr>
          <w:szCs w:val="18"/>
        </w:rPr>
        <w:t>.</w:t>
      </w:r>
      <w:r w:rsidRPr="000B7839">
        <w:rPr>
          <w:szCs w:val="18"/>
        </w:rPr>
        <w:t xml:space="preserve"> (2018)</w:t>
      </w:r>
      <w:r w:rsidR="00E402A4">
        <w:rPr>
          <w:szCs w:val="18"/>
        </w:rPr>
        <w:t>.</w:t>
      </w:r>
      <w:r w:rsidRPr="000B7839">
        <w:rPr>
          <w:szCs w:val="18"/>
        </w:rPr>
        <w:t xml:space="preserve"> Appendix E – Inflation indexing the tax system</w:t>
      </w:r>
      <w:r w:rsidR="006A2DA6">
        <w:rPr>
          <w:szCs w:val="18"/>
        </w:rPr>
        <w:t xml:space="preserve"> </w:t>
      </w:r>
      <w:hyperlink r:id="rId23" w:history="1">
        <w:r w:rsidR="006A2DA6" w:rsidRPr="0081687C">
          <w:rPr>
            <w:rStyle w:val="Hyperlink"/>
            <w:szCs w:val="18"/>
          </w:rPr>
          <w:t>https://taxworkinggroup.govt.nz/resources/twg-bg-3985472-appendix-e-inflation-indexing-the-tax-system</w:t>
        </w:r>
      </w:hyperlink>
    </w:p>
  </w:footnote>
  <w:footnote w:id="27">
    <w:p w14:paraId="5AD3DE52" w14:textId="4BC0EF44" w:rsidR="001B3AE0" w:rsidRPr="000B7839" w:rsidRDefault="001B3AE0" w:rsidP="001B3AE0">
      <w:pPr>
        <w:pStyle w:val="FootnoteText"/>
        <w:rPr>
          <w:szCs w:val="18"/>
        </w:rPr>
      </w:pPr>
      <w:r w:rsidRPr="000B7839">
        <w:rPr>
          <w:rStyle w:val="FootnoteReference"/>
          <w:szCs w:val="18"/>
        </w:rPr>
        <w:footnoteRef/>
      </w:r>
      <w:r w:rsidRPr="000B7839">
        <w:rPr>
          <w:szCs w:val="18"/>
        </w:rPr>
        <w:t xml:space="preserve"> Consultative Document on the Taxation of Income from Capital (December 1989)</w:t>
      </w:r>
      <w:r w:rsidR="00840957">
        <w:rPr>
          <w:szCs w:val="18"/>
        </w:rPr>
        <w:t xml:space="preserve"> </w:t>
      </w:r>
      <w:hyperlink r:id="rId24" w:history="1">
        <w:r w:rsidR="00840957" w:rsidRPr="00036C99">
          <w:rPr>
            <w:rStyle w:val="Hyperlink"/>
            <w:szCs w:val="18"/>
          </w:rPr>
          <w:t>https://taxpolicy.ird.govt.nz/-/media/project/ir/tp/publications/1989/1989-dd-taxation-income-capital/1989-dd-taxation-income-capital-pdf.pdf?modified=20200910102401&amp;modified=20200910102401</w:t>
        </w:r>
      </w:hyperlink>
      <w:r w:rsidRPr="000B7839">
        <w:rPr>
          <w:szCs w:val="18"/>
        </w:rPr>
        <w:t>.</w:t>
      </w:r>
    </w:p>
  </w:footnote>
  <w:footnote w:id="28">
    <w:p w14:paraId="0D04D7F1" w14:textId="09B7F613" w:rsidR="001B3AE0" w:rsidRPr="00586800" w:rsidRDefault="001B3AE0" w:rsidP="001B3AE0">
      <w:pPr>
        <w:pStyle w:val="FootnoteText"/>
        <w:rPr>
          <w:szCs w:val="18"/>
        </w:rPr>
      </w:pPr>
      <w:r w:rsidRPr="000B7839">
        <w:rPr>
          <w:rStyle w:val="FootnoteReference"/>
        </w:rPr>
        <w:footnoteRef/>
      </w:r>
      <w:r w:rsidRPr="000B7839">
        <w:t xml:space="preserve"> </w:t>
      </w:r>
      <w:r w:rsidRPr="00586800">
        <w:rPr>
          <w:szCs w:val="18"/>
        </w:rPr>
        <w:t>As discussed in chapter 4, costs of capital and EMTRs would be slightly lower for foreign</w:t>
      </w:r>
      <w:r w:rsidR="006A4EE2" w:rsidRPr="00586800">
        <w:rPr>
          <w:szCs w:val="18"/>
        </w:rPr>
        <w:t>-</w:t>
      </w:r>
      <w:r w:rsidRPr="00586800">
        <w:rPr>
          <w:szCs w:val="18"/>
        </w:rPr>
        <w:t xml:space="preserve">controlled companies </w:t>
      </w:r>
      <w:r w:rsidR="006A4EE2" w:rsidRPr="00586800">
        <w:rPr>
          <w:szCs w:val="18"/>
        </w:rPr>
        <w:t>that</w:t>
      </w:r>
      <w:r w:rsidRPr="00586800">
        <w:rPr>
          <w:szCs w:val="18"/>
        </w:rPr>
        <w:t xml:space="preserve"> are able to claim foreign tax credits for NRWT levied in New Zealand and somewhat higher for firms that are unable to claim foreign tax credits. </w:t>
      </w:r>
      <w:r w:rsidR="006A4EE2" w:rsidRPr="00586800">
        <w:rPr>
          <w:szCs w:val="18"/>
        </w:rPr>
        <w:t>However,</w:t>
      </w:r>
      <w:r w:rsidRPr="00586800">
        <w:rPr>
          <w:szCs w:val="18"/>
        </w:rPr>
        <w:t xml:space="preserve"> </w:t>
      </w:r>
      <w:r w:rsidR="006A4EE2" w:rsidRPr="00586800">
        <w:rPr>
          <w:szCs w:val="18"/>
        </w:rPr>
        <w:t xml:space="preserve">the </w:t>
      </w:r>
      <w:r w:rsidRPr="00586800">
        <w:rPr>
          <w:szCs w:val="18"/>
        </w:rPr>
        <w:t>differences are not very large.</w:t>
      </w:r>
    </w:p>
  </w:footnote>
  <w:footnote w:id="29">
    <w:p w14:paraId="0DDCFE76" w14:textId="7C32EE79" w:rsidR="001B3AE0" w:rsidRPr="00586800" w:rsidRDefault="001B3AE0" w:rsidP="00B609F0">
      <w:pPr>
        <w:pStyle w:val="FootnoteText"/>
        <w:rPr>
          <w:szCs w:val="18"/>
        </w:rPr>
      </w:pPr>
      <w:r w:rsidRPr="000B7839">
        <w:rPr>
          <w:rStyle w:val="FootnoteReference"/>
        </w:rPr>
        <w:footnoteRef/>
      </w:r>
      <w:r w:rsidRPr="000B7839">
        <w:t xml:space="preserve"> </w:t>
      </w:r>
      <w:r w:rsidRPr="000B7839">
        <w:rPr>
          <w:szCs w:val="18"/>
        </w:rPr>
        <w:t>See the OECD’s Effective Tax Rates Explanatory Index</w:t>
      </w:r>
      <w:r w:rsidR="004D0D26" w:rsidRPr="000B7839">
        <w:rPr>
          <w:szCs w:val="18"/>
        </w:rPr>
        <w:t>,</w:t>
      </w:r>
      <w:r w:rsidRPr="000B7839">
        <w:rPr>
          <w:szCs w:val="18"/>
        </w:rPr>
        <w:t xml:space="preserve"> </w:t>
      </w:r>
      <w:hyperlink r:id="rId25" w:history="1">
        <w:r w:rsidR="002511C1">
          <w:rPr>
            <w:rStyle w:val="Hyperlink"/>
          </w:rPr>
          <w:t>Corporate Effective Tax Rates Explanatory Annex (oecd.org)</w:t>
        </w:r>
      </w:hyperlink>
      <w:r w:rsidRPr="000B7839">
        <w:rPr>
          <w:szCs w:val="18"/>
        </w:rPr>
        <w:t xml:space="preserve"> </w:t>
      </w:r>
    </w:p>
  </w:footnote>
  <w:footnote w:id="30">
    <w:p w14:paraId="721ABA66" w14:textId="77777777" w:rsidR="001B3AE0" w:rsidRPr="000B7839" w:rsidRDefault="001B3AE0" w:rsidP="001B3AE0">
      <w:pPr>
        <w:pStyle w:val="FootnoteText"/>
      </w:pPr>
      <w:r w:rsidRPr="000B7839">
        <w:rPr>
          <w:rStyle w:val="FootnoteReference"/>
        </w:rPr>
        <w:footnoteRef/>
      </w:r>
      <w:r w:rsidRPr="000B7839">
        <w:t xml:space="preserve"> If taxed profits were fully distributed and taxed at the shareholders’ tax rates each year, there would be no debt-equity bias for firms owned by New Zealand residents. There can, however, be a timing tax bias favouring equity finance when the company tax rate is less than the tax rates of shareholders and profits are retained in a company for several years before being distributed as dividends.</w:t>
      </w:r>
    </w:p>
  </w:footnote>
  <w:footnote w:id="31">
    <w:p w14:paraId="066DCA7A" w14:textId="77777777" w:rsidR="001B3AE0" w:rsidRPr="000B7839" w:rsidRDefault="001B3AE0" w:rsidP="001B3AE0">
      <w:pPr>
        <w:pStyle w:val="FootnoteText"/>
        <w:rPr>
          <w:szCs w:val="18"/>
        </w:rPr>
      </w:pPr>
      <w:r w:rsidRPr="000B7839">
        <w:rPr>
          <w:rStyle w:val="FootnoteReference"/>
        </w:rPr>
        <w:footnoteRef/>
      </w:r>
      <w:r w:rsidRPr="000B7839">
        <w:t xml:space="preserve"> </w:t>
      </w:r>
      <w:r w:rsidRPr="000B7839">
        <w:rPr>
          <w:szCs w:val="18"/>
        </w:rPr>
        <w:t>Calculated as debt/(debt+equity).</w:t>
      </w:r>
    </w:p>
  </w:footnote>
  <w:footnote w:id="32">
    <w:p w14:paraId="3CFD61B1" w14:textId="77777777" w:rsidR="001B3AE0" w:rsidRPr="000B7839" w:rsidRDefault="001B3AE0" w:rsidP="001B3AE0">
      <w:pPr>
        <w:pStyle w:val="FootnoteText"/>
        <w:rPr>
          <w:szCs w:val="18"/>
        </w:rPr>
      </w:pPr>
      <w:r w:rsidRPr="000B7839">
        <w:rPr>
          <w:rStyle w:val="FootnoteReference"/>
          <w:szCs w:val="18"/>
        </w:rPr>
        <w:footnoteRef/>
      </w:r>
      <w:r w:rsidRPr="000B7839">
        <w:rPr>
          <w:szCs w:val="18"/>
        </w:rPr>
        <w:t xml:space="preserve"> There is also a separate 75% safe harbour ratio for outbound investment. We do not discuss this further given our focus on inbound investment.</w:t>
      </w:r>
    </w:p>
  </w:footnote>
  <w:footnote w:id="33">
    <w:p w14:paraId="5F99A60E" w14:textId="77777777" w:rsidR="001B3AE0" w:rsidRPr="000B7839" w:rsidRDefault="001B3AE0" w:rsidP="001B3AE0">
      <w:pPr>
        <w:pStyle w:val="FootnoteText"/>
        <w:rPr>
          <w:szCs w:val="18"/>
        </w:rPr>
      </w:pPr>
      <w:r w:rsidRPr="000B7839">
        <w:rPr>
          <w:rStyle w:val="FootnoteReference"/>
          <w:szCs w:val="18"/>
        </w:rPr>
        <w:footnoteRef/>
      </w:r>
      <w:r w:rsidRPr="000B7839">
        <w:rPr>
          <w:szCs w:val="18"/>
        </w:rPr>
        <w:t xml:space="preserve"> Debt percentage calculated using the multinational’s total group debt, total group assets, and total group non-debt liabilities in accordance with generally accepted accounting practice or the financial reporting standards of the country where the worldwide group’s consolidated financial accounts are prepared.</w:t>
      </w:r>
    </w:p>
  </w:footnote>
  <w:footnote w:id="34">
    <w:p w14:paraId="7416B56E" w14:textId="77777777" w:rsidR="001B3AE0" w:rsidRPr="00586800" w:rsidRDefault="001B3AE0" w:rsidP="001B3AE0">
      <w:pPr>
        <w:pStyle w:val="FootnoteText"/>
        <w:rPr>
          <w:szCs w:val="18"/>
        </w:rPr>
      </w:pPr>
      <w:r w:rsidRPr="000B7839">
        <w:rPr>
          <w:rStyle w:val="FootnoteReference"/>
        </w:rPr>
        <w:footnoteRef/>
      </w:r>
      <w:r w:rsidRPr="000B7839">
        <w:t xml:space="preserve"> </w:t>
      </w:r>
      <w:r w:rsidRPr="000B7839">
        <w:rPr>
          <w:szCs w:val="18"/>
        </w:rPr>
        <w:t>In presenting this data, we ignore a relatively small group of 40 firms with negative or zero levels of equity.</w:t>
      </w:r>
    </w:p>
  </w:footnote>
  <w:footnote w:id="35">
    <w:p w14:paraId="5F4F4B4F" w14:textId="125F0BB7" w:rsidR="001B3AE0" w:rsidRPr="00586800" w:rsidRDefault="001B3AE0" w:rsidP="001B3AE0">
      <w:pPr>
        <w:pStyle w:val="FootnoteText"/>
        <w:rPr>
          <w:szCs w:val="18"/>
        </w:rPr>
      </w:pPr>
      <w:r w:rsidRPr="000B7839">
        <w:rPr>
          <w:rStyle w:val="FootnoteReference"/>
          <w:szCs w:val="18"/>
        </w:rPr>
        <w:footnoteRef/>
      </w:r>
      <w:r w:rsidRPr="000B7839">
        <w:rPr>
          <w:szCs w:val="18"/>
        </w:rPr>
        <w:t xml:space="preserve"> </w:t>
      </w:r>
      <w:r w:rsidRPr="00586800">
        <w:rPr>
          <w:szCs w:val="18"/>
        </w:rPr>
        <w:t>This is because $28 x 0.05 = $1.40. Paying the tax bill in year 2</w:t>
      </w:r>
      <w:r w:rsidR="00AE7BE7" w:rsidRPr="00586800">
        <w:rPr>
          <w:szCs w:val="18"/>
        </w:rPr>
        <w:t>,</w:t>
      </w:r>
      <w:r w:rsidRPr="00586800">
        <w:rPr>
          <w:szCs w:val="18"/>
        </w:rPr>
        <w:t xml:space="preserve"> rather than year </w:t>
      </w:r>
      <w:r w:rsidR="00AE7BE7" w:rsidRPr="00586800">
        <w:rPr>
          <w:szCs w:val="18"/>
        </w:rPr>
        <w:t xml:space="preserve">1, </w:t>
      </w:r>
      <w:r w:rsidRPr="00586800">
        <w:rPr>
          <w:szCs w:val="18"/>
        </w:rPr>
        <w:t>has a future (year 2 value) of $1.40.</w:t>
      </w:r>
    </w:p>
  </w:footnote>
  <w:footnote w:id="36">
    <w:p w14:paraId="7A91BA36" w14:textId="0BF2C917" w:rsidR="001B3AE0" w:rsidRPr="00586800" w:rsidRDefault="001B3AE0" w:rsidP="001B3AE0">
      <w:pPr>
        <w:pStyle w:val="FootnoteText"/>
        <w:rPr>
          <w:szCs w:val="18"/>
        </w:rPr>
      </w:pPr>
      <w:r w:rsidRPr="000B7839">
        <w:rPr>
          <w:rStyle w:val="FootnoteReference"/>
        </w:rPr>
        <w:footnoteRef/>
      </w:r>
      <w:r w:rsidRPr="000B7839">
        <w:t xml:space="preserve"> See paragraph</w:t>
      </w:r>
      <w:r w:rsidRPr="000B7839">
        <w:rPr>
          <w:rStyle w:val="normaltextrun"/>
          <w:color w:val="000000"/>
          <w:szCs w:val="18"/>
        </w:rPr>
        <w:t xml:space="preserve"> 2.12 of </w:t>
      </w:r>
      <w:r w:rsidR="00E402A4">
        <w:rPr>
          <w:rStyle w:val="normaltextrun"/>
          <w:color w:val="000000"/>
          <w:szCs w:val="18"/>
        </w:rPr>
        <w:t xml:space="preserve">the </w:t>
      </w:r>
      <w:r w:rsidRPr="000B7839">
        <w:rPr>
          <w:rStyle w:val="normaltextrun"/>
          <w:color w:val="000000"/>
          <w:szCs w:val="18"/>
        </w:rPr>
        <w:t>final report</w:t>
      </w:r>
      <w:r w:rsidR="005D0382">
        <w:rPr>
          <w:rStyle w:val="normaltextrun"/>
          <w:color w:val="000000"/>
          <w:szCs w:val="18"/>
        </w:rPr>
        <w:t>, McLeod Review (2021)</w:t>
      </w:r>
      <w:r w:rsidR="00E402A4">
        <w:rPr>
          <w:rStyle w:val="normaltextrun"/>
          <w:color w:val="000000"/>
          <w:szCs w:val="18"/>
        </w:rPr>
        <w:t>.</w:t>
      </w:r>
    </w:p>
  </w:footnote>
  <w:footnote w:id="37">
    <w:p w14:paraId="43A1AA45" w14:textId="77777777" w:rsidR="001B3AE0" w:rsidRPr="00586800" w:rsidRDefault="001B3AE0" w:rsidP="001B3AE0">
      <w:pPr>
        <w:pStyle w:val="FootnoteText"/>
      </w:pPr>
      <w:r w:rsidRPr="000B7839">
        <w:rPr>
          <w:rStyle w:val="FootnoteReference"/>
          <w:szCs w:val="18"/>
        </w:rPr>
        <w:footnoteRef/>
      </w:r>
      <w:r w:rsidRPr="000B7839">
        <w:rPr>
          <w:szCs w:val="18"/>
        </w:rPr>
        <w:t xml:space="preserve"> Ministry of Petroleum and Energy, Norwegian Petroleum Directorate. </w:t>
      </w:r>
      <w:r w:rsidRPr="000B7839">
        <w:rPr>
          <w:rStyle w:val="normaltextrun"/>
          <w:i/>
          <w:iCs/>
          <w:color w:val="000000"/>
          <w:szCs w:val="18"/>
        </w:rPr>
        <w:t>The Petroleum Tax System</w:t>
      </w:r>
      <w:r w:rsidRPr="000B7839">
        <w:rPr>
          <w:rStyle w:val="normaltextrun"/>
          <w:color w:val="000000"/>
          <w:szCs w:val="18"/>
        </w:rPr>
        <w:t xml:space="preserve">. </w:t>
      </w:r>
      <w:hyperlink r:id="rId26" w:history="1">
        <w:r w:rsidRPr="000B7839">
          <w:rPr>
            <w:rStyle w:val="Hyperlink"/>
            <w:szCs w:val="18"/>
          </w:rPr>
          <w:t>https://www.norskpetroleum.no/en/economy/petroleum-tax</w:t>
        </w:r>
      </w:hyperlink>
    </w:p>
  </w:footnote>
  <w:footnote w:id="38">
    <w:p w14:paraId="2D7A47F9" w14:textId="77777777" w:rsidR="001B3AE0" w:rsidRPr="00586800" w:rsidRDefault="001B3AE0" w:rsidP="001B3AE0">
      <w:pPr>
        <w:pStyle w:val="FootnoteText"/>
        <w:rPr>
          <w:szCs w:val="18"/>
        </w:rPr>
      </w:pPr>
      <w:r w:rsidRPr="000B7839">
        <w:rPr>
          <w:rStyle w:val="FootnoteReference"/>
          <w:rFonts w:cs="Calibri"/>
          <w:color w:val="000000"/>
          <w:szCs w:val="18"/>
        </w:rPr>
        <w:footnoteRef/>
      </w:r>
      <w:r w:rsidRPr="000B7839">
        <w:rPr>
          <w:szCs w:val="18"/>
        </w:rPr>
        <w:t xml:space="preserve"> OECD. (2020). </w:t>
      </w:r>
      <w:r w:rsidRPr="000B7839">
        <w:rPr>
          <w:i/>
          <w:iCs/>
          <w:szCs w:val="18"/>
        </w:rPr>
        <w:t>Tax Policy Reforms 2020: OECD and Selected Partner Economies.</w:t>
      </w:r>
      <w:r w:rsidRPr="000B7839">
        <w:rPr>
          <w:szCs w:val="18"/>
        </w:rPr>
        <w:t xml:space="preserve"> OECD Publishing, Paris. </w:t>
      </w:r>
      <w:hyperlink r:id="rId27" w:history="1">
        <w:r w:rsidRPr="000B7839">
          <w:rPr>
            <w:rStyle w:val="Hyperlink"/>
            <w:szCs w:val="18"/>
          </w:rPr>
          <w:t>https://doi.org/10.1787/7af51916-en</w:t>
        </w:r>
      </w:hyperlink>
    </w:p>
  </w:footnote>
  <w:footnote w:id="39">
    <w:p w14:paraId="4727E7CF" w14:textId="706BB849" w:rsidR="001B3AE0" w:rsidRPr="00586800" w:rsidRDefault="001B3AE0" w:rsidP="001B3AE0">
      <w:pPr>
        <w:pStyle w:val="FootnoteText"/>
        <w:rPr>
          <w:szCs w:val="18"/>
        </w:rPr>
      </w:pPr>
      <w:r w:rsidRPr="000B7839">
        <w:rPr>
          <w:rStyle w:val="FootnoteReference"/>
          <w:rFonts w:cs="Calibri"/>
          <w:color w:val="000000"/>
        </w:rPr>
        <w:footnoteRef/>
      </w:r>
      <w:r w:rsidRPr="000B7839">
        <w:t xml:space="preserve"> </w:t>
      </w:r>
      <w:r w:rsidR="00F53AB4">
        <w:t>PwC. (2022).</w:t>
      </w:r>
      <w:r w:rsidR="002A071F" w:rsidRPr="002A071F">
        <w:t>Worldwide Tax Summaries Online</w:t>
      </w:r>
      <w:r w:rsidR="002A071F">
        <w:t>.</w:t>
      </w:r>
      <w:r w:rsidR="00F53AB4">
        <w:t xml:space="preserve"> </w:t>
      </w:r>
      <w:r w:rsidR="00F53AB4" w:rsidRPr="006129FC">
        <w:rPr>
          <w:rStyle w:val="Emphasis"/>
        </w:rPr>
        <w:t>Republic of Korea: Corporate tax credits and incentives</w:t>
      </w:r>
      <w:r w:rsidR="00F53AB4">
        <w:t xml:space="preserve">. </w:t>
      </w:r>
      <w:hyperlink r:id="rId28" w:history="1">
        <w:r w:rsidR="00F53AB4" w:rsidRPr="00F53AB4">
          <w:rPr>
            <w:rStyle w:val="Hyperlink"/>
            <w:szCs w:val="18"/>
          </w:rPr>
          <w:t>https://taxsummaries.pwc.com/republic-of-korea/corporate/tax-credits-and-incentives</w:t>
        </w:r>
      </w:hyperlink>
    </w:p>
  </w:footnote>
  <w:footnote w:id="40">
    <w:p w14:paraId="60F4CD8F" w14:textId="3BFA0D39" w:rsidR="001B3AE0" w:rsidRPr="00586800" w:rsidRDefault="001B3AE0" w:rsidP="001B3AE0">
      <w:pPr>
        <w:pStyle w:val="FootnoteText"/>
        <w:rPr>
          <w:szCs w:val="18"/>
        </w:rPr>
      </w:pPr>
      <w:r w:rsidRPr="000B7839">
        <w:rPr>
          <w:rStyle w:val="FootnoteReference"/>
          <w:rFonts w:cs="Calibri"/>
          <w:color w:val="000000"/>
          <w:szCs w:val="18"/>
        </w:rPr>
        <w:footnoteRef/>
      </w:r>
      <w:r w:rsidRPr="000B7839">
        <w:rPr>
          <w:szCs w:val="18"/>
        </w:rPr>
        <w:t xml:space="preserve"> </w:t>
      </w:r>
      <w:r w:rsidRPr="00586800">
        <w:rPr>
          <w:szCs w:val="18"/>
        </w:rPr>
        <w:t xml:space="preserve">For example, see </w:t>
      </w:r>
      <w:r w:rsidRPr="000B7839">
        <w:rPr>
          <w:szCs w:val="18"/>
        </w:rPr>
        <w:t>International Monetary Fund; OECD; United Nations; World Bank. 2015.</w:t>
      </w:r>
    </w:p>
  </w:footnote>
  <w:footnote w:id="41">
    <w:p w14:paraId="5D940196" w14:textId="77777777" w:rsidR="001B3AE0" w:rsidRPr="000B7839" w:rsidRDefault="001B3AE0" w:rsidP="001B3AE0">
      <w:pPr>
        <w:pStyle w:val="FootnoteText"/>
        <w:rPr>
          <w:szCs w:val="18"/>
        </w:rPr>
      </w:pPr>
      <w:r w:rsidRPr="000B7839">
        <w:rPr>
          <w:rStyle w:val="FootnoteReference"/>
        </w:rPr>
        <w:footnoteRef/>
      </w:r>
      <w:r w:rsidRPr="000B7839">
        <w:t xml:space="preserve"> </w:t>
      </w:r>
      <w:r w:rsidRPr="000B7839">
        <w:rPr>
          <w:szCs w:val="18"/>
        </w:rPr>
        <w:t>For example, Sweden’s and Iceland’s corporate tax rates differ from their capital income tax rates; Norway does not provide full double tax relief for corporate equity income; Finland and Denmark do not apply a flat tax to capital income.</w:t>
      </w:r>
    </w:p>
  </w:footnote>
  <w:footnote w:id="42">
    <w:p w14:paraId="120DB754" w14:textId="77777777" w:rsidR="001B3AE0" w:rsidRPr="000B7839" w:rsidRDefault="001B3AE0" w:rsidP="001B3AE0">
      <w:pPr>
        <w:pStyle w:val="FootnoteText"/>
        <w:rPr>
          <w:szCs w:val="18"/>
        </w:rPr>
      </w:pPr>
      <w:r w:rsidRPr="000B7839">
        <w:rPr>
          <w:rStyle w:val="FootnoteReference"/>
          <w:szCs w:val="18"/>
        </w:rPr>
        <w:footnoteRef/>
      </w:r>
      <w:r w:rsidRPr="000B7839">
        <w:rPr>
          <w:szCs w:val="18"/>
        </w:rPr>
        <w:t xml:space="preserve"> Apart from Norway, the Nordic countries’ corporate tax bases appear to be narrower than New Zealand’s (despite the larger differential between corporate and personal tax rates). New Zealand’s company tax collected 4.0% of GDP in 2019 and Norway’s collected 5.7% of GDP, while the other Nordic countries’ corporate tax only collected between 2.1% to 3.0% of GDP.</w:t>
      </w:r>
    </w:p>
  </w:footnote>
  <w:footnote w:id="43">
    <w:p w14:paraId="333ED135" w14:textId="77777777" w:rsidR="001B3AE0" w:rsidRPr="000B7839" w:rsidRDefault="001B3AE0" w:rsidP="001B3AE0">
      <w:pPr>
        <w:pStyle w:val="FootnoteText"/>
        <w:rPr>
          <w:szCs w:val="18"/>
        </w:rPr>
      </w:pPr>
      <w:r w:rsidRPr="000B7839">
        <w:rPr>
          <w:rStyle w:val="FootnoteReference"/>
        </w:rPr>
        <w:footnoteRef/>
      </w:r>
      <w:r w:rsidRPr="000B7839">
        <w:t xml:space="preserve"> </w:t>
      </w:r>
      <w:r w:rsidRPr="000B7839">
        <w:rPr>
          <w:szCs w:val="18"/>
        </w:rPr>
        <w:t>Fifty percent of rental income is taxed at 22%, with the remaining 50% exempt.</w:t>
      </w:r>
    </w:p>
  </w:footnote>
  <w:footnote w:id="44">
    <w:p w14:paraId="0BECA0DE" w14:textId="4CFC5330" w:rsidR="001B3AE0" w:rsidRPr="000B7839" w:rsidRDefault="001B3AE0" w:rsidP="001B3AE0">
      <w:pPr>
        <w:pStyle w:val="FootnoteText"/>
        <w:rPr>
          <w:szCs w:val="18"/>
        </w:rPr>
      </w:pPr>
      <w:r w:rsidRPr="000B7839">
        <w:rPr>
          <w:rStyle w:val="FootnoteReference"/>
          <w:szCs w:val="18"/>
        </w:rPr>
        <w:footnoteRef/>
      </w:r>
      <w:r w:rsidRPr="000B7839">
        <w:rPr>
          <w:szCs w:val="18"/>
        </w:rPr>
        <w:t xml:space="preserve"> See also Sørenson, P.B. (2007).</w:t>
      </w:r>
    </w:p>
  </w:footnote>
  <w:footnote w:id="45">
    <w:p w14:paraId="0FE42A7C" w14:textId="498E8690" w:rsidR="001B3AE0" w:rsidRPr="00586800" w:rsidRDefault="001B3AE0" w:rsidP="001B3AE0">
      <w:pPr>
        <w:pStyle w:val="FootnoteText"/>
        <w:rPr>
          <w:szCs w:val="18"/>
        </w:rPr>
      </w:pPr>
      <w:r w:rsidRPr="000B7839">
        <w:rPr>
          <w:rStyle w:val="FootnoteReference"/>
          <w:szCs w:val="18"/>
        </w:rPr>
        <w:footnoteRef/>
      </w:r>
      <w:r w:rsidRPr="000B7839">
        <w:rPr>
          <w:szCs w:val="18"/>
        </w:rPr>
        <w:t xml:space="preserve"> Key papers are Atkinson, A. and Stiglitz, J. (1976)</w:t>
      </w:r>
      <w:r w:rsidR="000326A3" w:rsidRPr="000B7839">
        <w:rPr>
          <w:szCs w:val="18"/>
        </w:rPr>
        <w:t>;</w:t>
      </w:r>
      <w:r w:rsidR="0089185F" w:rsidRPr="000B7839">
        <w:rPr>
          <w:szCs w:val="18"/>
        </w:rPr>
        <w:t xml:space="preserve"> </w:t>
      </w:r>
      <w:r w:rsidRPr="000B7839">
        <w:rPr>
          <w:szCs w:val="18"/>
        </w:rPr>
        <w:t xml:space="preserve">Chamley, C. (1986). Optimal taxation of capital income in general equilibrium with infinite lives. </w:t>
      </w:r>
      <w:r w:rsidRPr="000B7839">
        <w:rPr>
          <w:i/>
          <w:iCs/>
          <w:szCs w:val="18"/>
        </w:rPr>
        <w:t>Econometrica</w:t>
      </w:r>
      <w:r w:rsidRPr="000B7839">
        <w:rPr>
          <w:szCs w:val="18"/>
        </w:rPr>
        <w:t>, 54, 607-622</w:t>
      </w:r>
      <w:r w:rsidR="000326A3" w:rsidRPr="000B7839">
        <w:rPr>
          <w:szCs w:val="18"/>
        </w:rPr>
        <w:t>;</w:t>
      </w:r>
      <w:r w:rsidRPr="000B7839">
        <w:rPr>
          <w:szCs w:val="18"/>
        </w:rPr>
        <w:t xml:space="preserve"> and Judd, K. (1985). Redistributive taxation in a simple perfect foresight model. </w:t>
      </w:r>
      <w:r w:rsidRPr="000B7839">
        <w:rPr>
          <w:i/>
          <w:iCs/>
          <w:szCs w:val="18"/>
        </w:rPr>
        <w:t>Journal of Public Economics</w:t>
      </w:r>
      <w:r w:rsidRPr="000B7839">
        <w:rPr>
          <w:szCs w:val="18"/>
        </w:rPr>
        <w:t>, 28, 59-83.</w:t>
      </w:r>
    </w:p>
  </w:footnote>
  <w:footnote w:id="46">
    <w:p w14:paraId="3F3E959D" w14:textId="628F272A" w:rsidR="001B3AE0" w:rsidRPr="00586800" w:rsidRDefault="001B3AE0" w:rsidP="001B3AE0">
      <w:pPr>
        <w:pStyle w:val="FootnoteText"/>
        <w:rPr>
          <w:szCs w:val="18"/>
        </w:rPr>
      </w:pPr>
      <w:r w:rsidRPr="000B7839">
        <w:rPr>
          <w:rStyle w:val="FootnoteReference"/>
          <w:szCs w:val="18"/>
        </w:rPr>
        <w:footnoteRef/>
      </w:r>
      <w:r w:rsidRPr="000B7839">
        <w:rPr>
          <w:szCs w:val="18"/>
        </w:rPr>
        <w:t xml:space="preserve"> See, for example, Straub, L. and Werning, I. (2020), which argues that standard models did not establish what many claimed they establish</w:t>
      </w:r>
      <w:r w:rsidR="0019431F" w:rsidRPr="000B7839">
        <w:rPr>
          <w:szCs w:val="18"/>
        </w:rPr>
        <w:t>ed,</w:t>
      </w:r>
      <w:r w:rsidRPr="000B7839">
        <w:rPr>
          <w:szCs w:val="18"/>
        </w:rPr>
        <w:t xml:space="preserve"> and Saez, E. and Zucman, G. (2019). which argues for high and progressive taxes on wealth.</w:t>
      </w:r>
    </w:p>
  </w:footnote>
  <w:footnote w:id="47">
    <w:p w14:paraId="62E375E7" w14:textId="77777777" w:rsidR="001B3AE0" w:rsidRPr="000B7839" w:rsidRDefault="001B3AE0" w:rsidP="001B3AE0">
      <w:pPr>
        <w:pStyle w:val="FootnoteText"/>
        <w:rPr>
          <w:szCs w:val="18"/>
        </w:rPr>
      </w:pPr>
      <w:r w:rsidRPr="000B7839">
        <w:rPr>
          <w:rStyle w:val="FootnoteReference"/>
        </w:rPr>
        <w:footnoteRef/>
      </w:r>
      <w:r w:rsidRPr="000B7839">
        <w:t xml:space="preserve"> </w:t>
      </w:r>
      <w:r w:rsidRPr="000B7839">
        <w:rPr>
          <w:szCs w:val="18"/>
        </w:rPr>
        <w:t>OECD Revenue Statistics 2020.</w:t>
      </w:r>
    </w:p>
  </w:footnote>
  <w:footnote w:id="48">
    <w:p w14:paraId="4B2EFE3A" w14:textId="77777777" w:rsidR="001B3AE0" w:rsidRPr="000B7839" w:rsidRDefault="001B3AE0" w:rsidP="001B3AE0">
      <w:pPr>
        <w:pStyle w:val="FootnoteText"/>
        <w:rPr>
          <w:szCs w:val="18"/>
        </w:rPr>
      </w:pPr>
      <w:r w:rsidRPr="000B7839">
        <w:rPr>
          <w:rStyle w:val="FootnoteReference"/>
          <w:szCs w:val="18"/>
        </w:rPr>
        <w:footnoteRef/>
      </w:r>
      <w:r w:rsidRPr="000B7839">
        <w:rPr>
          <w:szCs w:val="18"/>
        </w:rPr>
        <w:t xml:space="preserve"> In the case of Norway, on economic rents as well.</w:t>
      </w:r>
    </w:p>
  </w:footnote>
  <w:footnote w:id="49">
    <w:p w14:paraId="64DBD2B5" w14:textId="77777777" w:rsidR="001B3AE0" w:rsidRPr="000B7839" w:rsidRDefault="001B3AE0" w:rsidP="001B3AE0">
      <w:pPr>
        <w:pStyle w:val="FootnoteText"/>
        <w:rPr>
          <w:szCs w:val="18"/>
        </w:rPr>
      </w:pPr>
      <w:r w:rsidRPr="000B7839">
        <w:rPr>
          <w:rStyle w:val="FootnoteReference"/>
        </w:rPr>
        <w:footnoteRef/>
      </w:r>
      <w:r w:rsidRPr="000B7839">
        <w:t xml:space="preserve"> </w:t>
      </w:r>
      <w:r w:rsidRPr="000B7839">
        <w:rPr>
          <w:szCs w:val="18"/>
        </w:rPr>
        <w:t xml:space="preserve">The RRA is based on the 3-month interest rate for Treasury Bills: </w:t>
      </w:r>
      <w:hyperlink r:id="rId29" w:history="1">
        <w:r w:rsidRPr="000B7839">
          <w:rPr>
            <w:rStyle w:val="Hyperlink"/>
            <w:szCs w:val="18"/>
          </w:rPr>
          <w:t>https://www.skatteetaten.no/en/person/taxes/get-the-taxes-right/shares-and-securities/about-shares-and-securities/the-shareholder-model/</w:t>
        </w:r>
      </w:hyperlink>
    </w:p>
  </w:footnote>
  <w:footnote w:id="50">
    <w:p w14:paraId="602F4936" w14:textId="1F292DED" w:rsidR="001B3AE0" w:rsidRPr="000B7839" w:rsidRDefault="001B3AE0" w:rsidP="001B3AE0">
      <w:pPr>
        <w:pStyle w:val="FootnoteText"/>
        <w:rPr>
          <w:szCs w:val="18"/>
        </w:rPr>
      </w:pPr>
      <w:r w:rsidRPr="000B7839">
        <w:rPr>
          <w:rStyle w:val="FootnoteReference"/>
        </w:rPr>
        <w:footnoteRef/>
      </w:r>
      <w:r w:rsidRPr="000B7839">
        <w:t xml:space="preserve"> $</w:t>
      </w:r>
      <w:r w:rsidRPr="000B7839">
        <w:rPr>
          <w:szCs w:val="18"/>
        </w:rPr>
        <w:t>100 profit − $22 tax = $78 available for distribution. $78 × 31.68% = $24.7</w:t>
      </w:r>
      <w:r w:rsidR="001E69E9" w:rsidRPr="000B7839">
        <w:rPr>
          <w:szCs w:val="18"/>
        </w:rPr>
        <w:t>0</w:t>
      </w:r>
      <w:r w:rsidRPr="000B7839">
        <w:rPr>
          <w:szCs w:val="18"/>
        </w:rPr>
        <w:t xml:space="preserve"> tax. Total tax = $22 + $24.7</w:t>
      </w:r>
      <w:r w:rsidR="001E69E9" w:rsidRPr="000B7839">
        <w:rPr>
          <w:szCs w:val="18"/>
        </w:rPr>
        <w:t>0</w:t>
      </w:r>
      <w:r w:rsidRPr="000B7839">
        <w:rPr>
          <w:szCs w:val="18"/>
        </w:rPr>
        <w:t xml:space="preserve"> = $46.7</w:t>
      </w:r>
      <w:r w:rsidR="001E69E9" w:rsidRPr="000B7839">
        <w:rPr>
          <w:szCs w:val="18"/>
        </w:rPr>
        <w:t>0</w:t>
      </w:r>
      <w:r w:rsidRPr="000B7839">
        <w:rPr>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0C6B1" w14:textId="5B1437C1" w:rsidR="006F7C42" w:rsidRDefault="006F7C42">
    <w:pPr>
      <w:pStyle w:val="Header"/>
    </w:pPr>
    <w:r>
      <w:rPr>
        <w:noProof/>
      </w:rPr>
      <mc:AlternateContent>
        <mc:Choice Requires="wps">
          <w:drawing>
            <wp:anchor distT="0" distB="0" distL="0" distR="0" simplePos="0" relativeHeight="251659264" behindDoc="0" locked="0" layoutInCell="1" allowOverlap="1" wp14:anchorId="31ABCB38" wp14:editId="3B97ACC2">
              <wp:simplePos x="635" y="635"/>
              <wp:positionH relativeFrom="column">
                <wp:align>center</wp:align>
              </wp:positionH>
              <wp:positionV relativeFrom="paragraph">
                <wp:posOffset>635</wp:posOffset>
              </wp:positionV>
              <wp:extent cx="443865" cy="443865"/>
              <wp:effectExtent l="0" t="0" r="0" b="10160"/>
              <wp:wrapSquare wrapText="bothSides"/>
              <wp:docPr id="2" name="Text Box 2" descr="[IN CONFIDENCE RELEASE EXTERN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A398C25" w14:textId="4CC24374" w:rsidR="006F7C42" w:rsidRPr="006F7C42" w:rsidRDefault="006F7C42">
                          <w:pPr>
                            <w:rPr>
                              <w:rFonts w:ascii="Calibri" w:eastAsia="Calibri" w:hAnsi="Calibri" w:cs="Calibri"/>
                              <w:color w:val="000000"/>
                            </w:rPr>
                          </w:pPr>
                          <w:r w:rsidRPr="006F7C42">
                            <w:rPr>
                              <w:rFonts w:ascii="Calibri" w:eastAsia="Calibri" w:hAnsi="Calibri" w:cs="Calibri"/>
                              <w:color w:val="000000"/>
                            </w:rPr>
                            <w:t>[IN CONFIDENCE RELEASE EXTERNAL]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31ABCB38" id="_x0000_t202" coordsize="21600,21600" o:spt="202" path="m,l,21600r21600,l21600,xe">
              <v:stroke joinstyle="miter"/>
              <v:path gradientshapeok="t" o:connecttype="rect"/>
            </v:shapetype>
            <v:shape id="Text Box 2" o:spid="_x0000_s1026" type="#_x0000_t202" alt="[IN CONFIDENCE RELEASE EXTERNAL]" style="position:absolute;left:0;text-align:left;margin-left:0;margin-top:.05pt;width:34.95pt;height:34.95pt;z-index:251659264;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" filled="f" stroked="f">
              <v:fill o:detectmouseclick="t"/>
              <v:textbox style="mso-fit-shape-to-text:t" inset="0,0,0,0">
                <w:txbxContent>
                  <w:p w14:paraId="3A398C25" w14:textId="4CC24374" w:rsidR="006F7C42" w:rsidRPr="006F7C42" w:rsidRDefault="006F7C42">
                    <w:pPr>
                      <w:rPr>
                        <w:rFonts w:ascii="Calibri" w:eastAsia="Calibri" w:hAnsi="Calibri" w:cs="Calibri"/>
                        <w:color w:val="000000"/>
                      </w:rPr>
                    </w:pPr>
                    <w:r w:rsidRPr="006F7C42">
                      <w:rPr>
                        <w:rFonts w:ascii="Calibri" w:eastAsia="Calibri" w:hAnsi="Calibri" w:cs="Calibri"/>
                        <w:color w:val="000000"/>
                      </w:rPr>
                      <w:t>[IN CONFIDENCE RELEASE EXTERNAL]</w:t>
                    </w: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59303" w14:textId="24F294D5" w:rsidR="006F7C42" w:rsidRDefault="006F7C4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3BEB7" w14:textId="6B38039B" w:rsidR="006F7C42" w:rsidRDefault="006F7C4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907E4" w14:textId="125428BB" w:rsidR="006F7C42" w:rsidRDefault="006F7C42">
    <w:pPr>
      <w:pStyle w:val="Header"/>
    </w:pPr>
    <w:r>
      <w:rPr>
        <w:noProof/>
      </w:rPr>
      <mc:AlternateContent>
        <mc:Choice Requires="wps">
          <w:drawing>
            <wp:anchor distT="0" distB="0" distL="0" distR="0" simplePos="0" relativeHeight="251662336" behindDoc="0" locked="0" layoutInCell="1" allowOverlap="1" wp14:anchorId="41AB5B69" wp14:editId="62E96F08">
              <wp:simplePos x="635" y="635"/>
              <wp:positionH relativeFrom="column">
                <wp:align>center</wp:align>
              </wp:positionH>
              <wp:positionV relativeFrom="paragraph">
                <wp:posOffset>635</wp:posOffset>
              </wp:positionV>
              <wp:extent cx="443865" cy="443865"/>
              <wp:effectExtent l="0" t="0" r="0" b="10160"/>
              <wp:wrapSquare wrapText="bothSides"/>
              <wp:docPr id="10" name="Text Box 10" descr="[IN CONFIDENCE RELEASE EXTERN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79B4103" w14:textId="5A19E176" w:rsidR="006F7C42" w:rsidRPr="006F7C42" w:rsidRDefault="006F7C42">
                          <w:pPr>
                            <w:rPr>
                              <w:rFonts w:ascii="Calibri" w:eastAsia="Calibri" w:hAnsi="Calibri" w:cs="Calibri"/>
                              <w:color w:val="000000"/>
                            </w:rPr>
                          </w:pPr>
                          <w:r w:rsidRPr="006F7C42">
                            <w:rPr>
                              <w:rFonts w:ascii="Calibri" w:eastAsia="Calibri" w:hAnsi="Calibri" w:cs="Calibri"/>
                              <w:color w:val="000000"/>
                            </w:rPr>
                            <w:t>[IN CONFIDENCE RELEASE EXTERNAL]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41AB5B69" id="_x0000_t202" coordsize="21600,21600" o:spt="202" path="m,l,21600r21600,l21600,xe">
              <v:stroke joinstyle="miter"/>
              <v:path gradientshapeok="t" o:connecttype="rect"/>
            </v:shapetype>
            <v:shape id="Text Box 10" o:spid="_x0000_s1027" type="#_x0000_t202" alt="[IN CONFIDENCE RELEASE EXTERNAL]" style="position:absolute;left:0;text-align:left;margin-left:0;margin-top:.05pt;width:34.95pt;height:34.95pt;z-index:251662336;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ETTyEc+AgAAZwQAAA4AAAAAAAAAAAAA&#10;AAAALgIAAGRycy9lMm9Eb2MueG1sUEsBAi0AFAAGAAgAAAAhAISw0yjWAAAAAwEAAA8AAAAAAAAA&#10;AAAAAAAAmAQAAGRycy9kb3ducmV2LnhtbFBLBQYAAAAABAAEAPMAAACbBQAAAAA=&#10;" filled="f" stroked="f">
              <v:fill o:detectmouseclick="t"/>
              <v:textbox style="mso-fit-shape-to-text:t" inset="0,0,0,0">
                <w:txbxContent>
                  <w:p w14:paraId="379B4103" w14:textId="5A19E176" w:rsidR="006F7C42" w:rsidRPr="006F7C42" w:rsidRDefault="006F7C42">
                    <w:pPr>
                      <w:rPr>
                        <w:rFonts w:ascii="Calibri" w:eastAsia="Calibri" w:hAnsi="Calibri" w:cs="Calibri"/>
                        <w:color w:val="000000"/>
                      </w:rPr>
                    </w:pPr>
                    <w:r w:rsidRPr="006F7C42">
                      <w:rPr>
                        <w:rFonts w:ascii="Calibri" w:eastAsia="Calibri" w:hAnsi="Calibri" w:cs="Calibri"/>
                        <w:color w:val="000000"/>
                      </w:rPr>
                      <w:t>[IN CONFIDENCE RELEASE EXTERNAL]</w:t>
                    </w:r>
                  </w:p>
                </w:txbxContent>
              </v:textbox>
              <w10:wrap type="squar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442E6" w14:textId="3DC7DD10" w:rsidR="00C61E9C" w:rsidRDefault="00C61E9C">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FD90C" w14:textId="40B60D4A" w:rsidR="006F7C42" w:rsidRDefault="006F7C42">
    <w:pPr>
      <w:pStyle w:val="Header"/>
    </w:pPr>
    <w:r>
      <w:rPr>
        <w:noProof/>
      </w:rPr>
      <mc:AlternateContent>
        <mc:Choice Requires="wps">
          <w:drawing>
            <wp:anchor distT="0" distB="0" distL="0" distR="0" simplePos="0" relativeHeight="251661312" behindDoc="0" locked="0" layoutInCell="1" allowOverlap="1" wp14:anchorId="2328B4D0" wp14:editId="561764B3">
              <wp:simplePos x="635" y="635"/>
              <wp:positionH relativeFrom="column">
                <wp:align>center</wp:align>
              </wp:positionH>
              <wp:positionV relativeFrom="paragraph">
                <wp:posOffset>635</wp:posOffset>
              </wp:positionV>
              <wp:extent cx="443865" cy="443865"/>
              <wp:effectExtent l="0" t="0" r="0" b="10160"/>
              <wp:wrapSquare wrapText="bothSides"/>
              <wp:docPr id="9" name="Text Box 9" descr="[IN CONFIDENCE RELEASE EXTERN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22A724C" w14:textId="716FB04A" w:rsidR="006F7C42" w:rsidRPr="006F7C42" w:rsidRDefault="006F7C42">
                          <w:pPr>
                            <w:rPr>
                              <w:rFonts w:ascii="Calibri" w:eastAsia="Calibri" w:hAnsi="Calibri" w:cs="Calibri"/>
                              <w:color w:val="000000"/>
                            </w:rPr>
                          </w:pPr>
                          <w:r w:rsidRPr="006F7C42">
                            <w:rPr>
                              <w:rFonts w:ascii="Calibri" w:eastAsia="Calibri" w:hAnsi="Calibri" w:cs="Calibri"/>
                              <w:color w:val="000000"/>
                            </w:rPr>
                            <w:t>[IN CONFIDENCE RELEASE EXTERNAL]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2328B4D0" id="_x0000_t202" coordsize="21600,21600" o:spt="202" path="m,l,21600r21600,l21600,xe">
              <v:stroke joinstyle="miter"/>
              <v:path gradientshapeok="t" o:connecttype="rect"/>
            </v:shapetype>
            <v:shape id="Text Box 9" o:spid="_x0000_s1028" type="#_x0000_t202" alt="[IN CONFIDENCE RELEASE EXTERNAL]" style="position:absolute;left:0;text-align:left;margin-left:0;margin-top:.05pt;width:34.95pt;height:34.95pt;z-index:251661312;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" filled="f" stroked="f">
              <v:fill o:detectmouseclick="t"/>
              <v:textbox style="mso-fit-shape-to-text:t" inset="0,0,0,0">
                <w:txbxContent>
                  <w:p w14:paraId="422A724C" w14:textId="716FB04A" w:rsidR="006F7C42" w:rsidRPr="006F7C42" w:rsidRDefault="006F7C42">
                    <w:pPr>
                      <w:rPr>
                        <w:rFonts w:ascii="Calibri" w:eastAsia="Calibri" w:hAnsi="Calibri" w:cs="Calibri"/>
                        <w:color w:val="000000"/>
                      </w:rPr>
                    </w:pPr>
                    <w:r w:rsidRPr="006F7C42">
                      <w:rPr>
                        <w:rFonts w:ascii="Calibri" w:eastAsia="Calibri" w:hAnsi="Calibri" w:cs="Calibri"/>
                        <w:color w:val="000000"/>
                      </w:rPr>
                      <w:t>[IN CONFIDENCE RELEASE EXTERNAL]</w:t>
                    </w:r>
                  </w:p>
                </w:txbxContent>
              </v:textbox>
              <w10:wrap type="square"/>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2CF05" w14:textId="44C75198" w:rsidR="006F7C42" w:rsidRDefault="006F7C42">
    <w:pPr>
      <w:pStyle w:val="Header"/>
    </w:pPr>
    <w:r>
      <w:rPr>
        <w:noProof/>
      </w:rPr>
      <mc:AlternateContent>
        <mc:Choice Requires="wps">
          <w:drawing>
            <wp:anchor distT="0" distB="0" distL="0" distR="0" simplePos="0" relativeHeight="251665408" behindDoc="0" locked="0" layoutInCell="1" allowOverlap="1" wp14:anchorId="2D920E22" wp14:editId="70974566">
              <wp:simplePos x="635" y="635"/>
              <wp:positionH relativeFrom="column">
                <wp:align>center</wp:align>
              </wp:positionH>
              <wp:positionV relativeFrom="paragraph">
                <wp:posOffset>635</wp:posOffset>
              </wp:positionV>
              <wp:extent cx="443865" cy="443865"/>
              <wp:effectExtent l="0" t="0" r="0" b="10160"/>
              <wp:wrapSquare wrapText="bothSides"/>
              <wp:docPr id="14" name="Text Box 14" descr="[IN CONFIDENCE RELEASE EXTERN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2AC8A19" w14:textId="503AA950" w:rsidR="006F7C42" w:rsidRPr="006F7C42" w:rsidRDefault="006F7C42">
                          <w:pPr>
                            <w:rPr>
                              <w:rFonts w:ascii="Calibri" w:eastAsia="Calibri" w:hAnsi="Calibri" w:cs="Calibri"/>
                              <w:color w:val="000000"/>
                            </w:rPr>
                          </w:pPr>
                          <w:r w:rsidRPr="006F7C42">
                            <w:rPr>
                              <w:rFonts w:ascii="Calibri" w:eastAsia="Calibri" w:hAnsi="Calibri" w:cs="Calibri"/>
                              <w:color w:val="000000"/>
                            </w:rPr>
                            <w:t>[IN CONFIDENCE RELEASE EXTERNAL]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2D920E22" id="_x0000_t202" coordsize="21600,21600" o:spt="202" path="m,l,21600r21600,l21600,xe">
              <v:stroke joinstyle="miter"/>
              <v:path gradientshapeok="t" o:connecttype="rect"/>
            </v:shapetype>
            <v:shape id="Text Box 14" o:spid="_x0000_s1029" type="#_x0000_t202" alt="[IN CONFIDENCE RELEASE EXTERNAL]" style="position:absolute;left:0;text-align:left;margin-left:0;margin-top:.05pt;width:34.95pt;height:34.95pt;z-index:251665408;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" filled="f" stroked="f">
              <v:fill o:detectmouseclick="t"/>
              <v:textbox style="mso-fit-shape-to-text:t" inset="0,0,0,0">
                <w:txbxContent>
                  <w:p w14:paraId="22AC8A19" w14:textId="503AA950" w:rsidR="006F7C42" w:rsidRPr="006F7C42" w:rsidRDefault="006F7C42">
                    <w:pPr>
                      <w:rPr>
                        <w:rFonts w:ascii="Calibri" w:eastAsia="Calibri" w:hAnsi="Calibri" w:cs="Calibri"/>
                        <w:color w:val="000000"/>
                      </w:rPr>
                    </w:pPr>
                    <w:r w:rsidRPr="006F7C42">
                      <w:rPr>
                        <w:rFonts w:ascii="Calibri" w:eastAsia="Calibri" w:hAnsi="Calibri" w:cs="Calibri"/>
                        <w:color w:val="000000"/>
                      </w:rPr>
                      <w:t>[IN CONFIDENCE RELEASE EXTERNAL]</w:t>
                    </w:r>
                  </w:p>
                </w:txbxContent>
              </v:textbox>
              <w10:wrap type="square"/>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3063F" w14:textId="44B01065" w:rsidR="006F7C42" w:rsidRDefault="006F7C42">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14595" w14:textId="3C41DCFB" w:rsidR="006F7C42" w:rsidRDefault="006F7C42">
    <w:pPr>
      <w:pStyle w:val="Header"/>
    </w:pPr>
    <w:r>
      <w:rPr>
        <w:noProof/>
      </w:rPr>
      <mc:AlternateContent>
        <mc:Choice Requires="wps">
          <w:drawing>
            <wp:anchor distT="0" distB="0" distL="0" distR="0" simplePos="0" relativeHeight="251664384" behindDoc="0" locked="0" layoutInCell="1" allowOverlap="1" wp14:anchorId="45C7638C" wp14:editId="7DD14664">
              <wp:simplePos x="635" y="635"/>
              <wp:positionH relativeFrom="column">
                <wp:align>center</wp:align>
              </wp:positionH>
              <wp:positionV relativeFrom="paragraph">
                <wp:posOffset>635</wp:posOffset>
              </wp:positionV>
              <wp:extent cx="443865" cy="443865"/>
              <wp:effectExtent l="0" t="0" r="0" b="10160"/>
              <wp:wrapSquare wrapText="bothSides"/>
              <wp:docPr id="13" name="Text Box 13" descr="[IN CONFIDENCE RELEASE EXTERN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5770C22" w14:textId="7319742D" w:rsidR="006F7C42" w:rsidRPr="006F7C42" w:rsidRDefault="006F7C42">
                          <w:pPr>
                            <w:rPr>
                              <w:rFonts w:ascii="Calibri" w:eastAsia="Calibri" w:hAnsi="Calibri" w:cs="Calibri"/>
                              <w:color w:val="000000"/>
                            </w:rPr>
                          </w:pPr>
                          <w:r w:rsidRPr="006F7C42">
                            <w:rPr>
                              <w:rFonts w:ascii="Calibri" w:eastAsia="Calibri" w:hAnsi="Calibri" w:cs="Calibri"/>
                              <w:color w:val="000000"/>
                            </w:rPr>
                            <w:t>[IN CONFIDENCE RELEASE EXTERNAL]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45C7638C" id="_x0000_t202" coordsize="21600,21600" o:spt="202" path="m,l,21600r21600,l21600,xe">
              <v:stroke joinstyle="miter"/>
              <v:path gradientshapeok="t" o:connecttype="rect"/>
            </v:shapetype>
            <v:shape id="Text Box 13" o:spid="_x0000_s1030" type="#_x0000_t202" alt="[IN CONFIDENCE RELEASE EXTERNAL]" style="position:absolute;left:0;text-align:left;margin-left:0;margin-top:.05pt;width:34.95pt;height:34.95pt;z-index:251664384;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" filled="f" stroked="f">
              <v:fill o:detectmouseclick="t"/>
              <v:textbox style="mso-fit-shape-to-text:t" inset="0,0,0,0">
                <w:txbxContent>
                  <w:p w14:paraId="75770C22" w14:textId="7319742D" w:rsidR="006F7C42" w:rsidRPr="006F7C42" w:rsidRDefault="006F7C42">
                    <w:pPr>
                      <w:rPr>
                        <w:rFonts w:ascii="Calibri" w:eastAsia="Calibri" w:hAnsi="Calibri" w:cs="Calibri"/>
                        <w:color w:val="000000"/>
                      </w:rPr>
                    </w:pPr>
                    <w:r w:rsidRPr="006F7C42">
                      <w:rPr>
                        <w:rFonts w:ascii="Calibri" w:eastAsia="Calibri" w:hAnsi="Calibri" w:cs="Calibri"/>
                        <w:color w:val="000000"/>
                      </w:rPr>
                      <w:t>[IN CONFIDENCE RELEASE EXTERNAL]</w:t>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054CF8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24A704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E2FAE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C16450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59AFCE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02A9AB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3"/>
    <w:multiLevelType w:val="singleLevel"/>
    <w:tmpl w:val="4238D9F4"/>
    <w:lvl w:ilvl="0">
      <w:start w:val="1"/>
      <w:numFmt w:val="bullet"/>
      <w:lvlText w:val=""/>
      <w:lvlJc w:val="left"/>
      <w:pPr>
        <w:tabs>
          <w:tab w:val="num" w:pos="643"/>
        </w:tabs>
        <w:ind w:left="643" w:hanging="360"/>
      </w:pPr>
      <w:rPr>
        <w:rFonts w:ascii="Symbol" w:hAnsi="Symbol" w:hint="default"/>
      </w:rPr>
    </w:lvl>
  </w:abstractNum>
  <w:abstractNum w:abstractNumId="7" w15:restartNumberingAfterBreak="0">
    <w:nsid w:val="FFFFFF88"/>
    <w:multiLevelType w:val="singleLevel"/>
    <w:tmpl w:val="9D729144"/>
    <w:lvl w:ilvl="0">
      <w:start w:val="1"/>
      <w:numFmt w:val="decimal"/>
      <w:lvlText w:val="%1."/>
      <w:lvlJc w:val="left"/>
      <w:pPr>
        <w:tabs>
          <w:tab w:val="num" w:pos="360"/>
        </w:tabs>
        <w:ind w:left="360" w:hanging="360"/>
      </w:pPr>
    </w:lvl>
  </w:abstractNum>
  <w:abstractNum w:abstractNumId="8" w15:restartNumberingAfterBreak="0">
    <w:nsid w:val="FFFFFF89"/>
    <w:multiLevelType w:val="singleLevel"/>
    <w:tmpl w:val="B5A4CAE8"/>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6384DBD"/>
    <w:multiLevelType w:val="multilevel"/>
    <w:tmpl w:val="760C358C"/>
    <w:styleLink w:val="Table-Bullet"/>
    <w:lvl w:ilvl="0">
      <w:start w:val="1"/>
      <w:numFmt w:val="bullet"/>
      <w:lvlText w:val=""/>
      <w:lvlJc w:val="left"/>
      <w:pPr>
        <w:ind w:left="360" w:hanging="360"/>
      </w:pPr>
      <w:rPr>
        <w:rFonts w:ascii="Symbol" w:hAnsi="Symbol"/>
        <w:sz w:val="20"/>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0" w15:restartNumberingAfterBreak="0">
    <w:nsid w:val="06EE136D"/>
    <w:multiLevelType w:val="multilevel"/>
    <w:tmpl w:val="DDD499D4"/>
    <w:lvl w:ilvl="0">
      <w:start w:val="1"/>
      <w:numFmt w:val="decimal"/>
      <w:suff w:val="nothing"/>
      <w:lvlText w:val="CHAPTER %1"/>
      <w:lvlJc w:val="left"/>
      <w:pPr>
        <w:ind w:left="3970" w:firstLine="0"/>
      </w:pPr>
      <w:rPr>
        <w:rFonts w:ascii="Verdana" w:hAnsi="Verdana" w:hint="default"/>
        <w:b/>
        <w:i w:val="0"/>
        <w:caps w:val="0"/>
        <w:strike w:val="0"/>
        <w:dstrike w:val="0"/>
        <w:vanish w:val="0"/>
        <w:sz w:val="24"/>
        <w:szCs w:val="24"/>
        <w:vertAlign w:val="baseline"/>
      </w:rPr>
    </w:lvl>
    <w:lvl w:ilvl="1">
      <w:start w:val="1"/>
      <w:numFmt w:val="decimal"/>
      <w:lvlText w:val="%1.%2"/>
      <w:lvlJc w:val="left"/>
      <w:pPr>
        <w:tabs>
          <w:tab w:val="num" w:pos="851"/>
        </w:tabs>
        <w:ind w:left="851" w:hanging="851"/>
      </w:pPr>
      <w:rPr>
        <w:rFonts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2">
      <w:start w:val="1"/>
      <w:numFmt w:val="bullet"/>
      <w:lvlText w:val=""/>
      <w:lvlJc w:val="left"/>
      <w:pPr>
        <w:tabs>
          <w:tab w:val="num" w:pos="1418"/>
        </w:tabs>
        <w:ind w:left="1418" w:hanging="567"/>
      </w:pPr>
      <w:rPr>
        <w:rFonts w:ascii="Symbol" w:hAnsi="Symbol" w:hint="default"/>
        <w:b w:val="0"/>
        <w:i w:val="0"/>
        <w:caps w:val="0"/>
        <w:strike w:val="0"/>
        <w:dstrike w:val="0"/>
        <w:sz w:val="24"/>
        <w:vertAlign w:val="baseline"/>
      </w:rPr>
    </w:lvl>
    <w:lvl w:ilvl="3">
      <w:start w:val="1"/>
      <w:numFmt w:val="bullet"/>
      <w:lvlText w:val="–"/>
      <w:lvlJc w:val="left"/>
      <w:pPr>
        <w:tabs>
          <w:tab w:val="num" w:pos="1985"/>
        </w:tabs>
        <w:ind w:left="1985" w:hanging="567"/>
      </w:pPr>
      <w:rPr>
        <w:rFonts w:ascii="Times New Roman" w:hAnsi="Times New Roman" w:cs="Times New Roman" w:hint="default"/>
      </w:rPr>
    </w:lvl>
    <w:lvl w:ilvl="4">
      <w:start w:val="1"/>
      <w:numFmt w:val="none"/>
      <w:lvlText w:val=""/>
      <w:lvlJc w:val="left"/>
      <w:pPr>
        <w:tabs>
          <w:tab w:val="num" w:pos="851"/>
        </w:tabs>
        <w:ind w:left="851" w:hanging="851"/>
      </w:pPr>
      <w:rPr>
        <w:rFonts w:hint="default"/>
      </w:rPr>
    </w:lvl>
    <w:lvl w:ilvl="5">
      <w:start w:val="1"/>
      <w:numFmt w:val="none"/>
      <w:lvlText w:val=""/>
      <w:lvlJc w:val="left"/>
      <w:pPr>
        <w:tabs>
          <w:tab w:val="num" w:pos="851"/>
        </w:tabs>
        <w:ind w:left="851" w:hanging="851"/>
      </w:pPr>
      <w:rPr>
        <w:rFonts w:hint="default"/>
      </w:rPr>
    </w:lvl>
    <w:lvl w:ilvl="6">
      <w:start w:val="1"/>
      <w:numFmt w:val="none"/>
      <w:lvlText w:val=""/>
      <w:lvlJc w:val="left"/>
      <w:pPr>
        <w:tabs>
          <w:tab w:val="num" w:pos="851"/>
        </w:tabs>
        <w:ind w:left="851" w:hanging="851"/>
      </w:pPr>
      <w:rPr>
        <w:rFonts w:hint="default"/>
      </w:rPr>
    </w:lvl>
    <w:lvl w:ilvl="7">
      <w:start w:val="1"/>
      <w:numFmt w:val="none"/>
      <w:lvlText w:val=""/>
      <w:lvlJc w:val="left"/>
      <w:pPr>
        <w:tabs>
          <w:tab w:val="num" w:pos="851"/>
        </w:tabs>
        <w:ind w:left="851" w:hanging="851"/>
      </w:pPr>
      <w:rPr>
        <w:rFonts w:hint="default"/>
      </w:rPr>
    </w:lvl>
    <w:lvl w:ilvl="8">
      <w:start w:val="1"/>
      <w:numFmt w:val="none"/>
      <w:lvlText w:val=""/>
      <w:lvlJc w:val="left"/>
      <w:pPr>
        <w:tabs>
          <w:tab w:val="num" w:pos="851"/>
        </w:tabs>
        <w:ind w:left="851" w:hanging="851"/>
      </w:pPr>
      <w:rPr>
        <w:rFonts w:hint="default"/>
      </w:rPr>
    </w:lvl>
  </w:abstractNum>
  <w:abstractNum w:abstractNumId="11" w15:restartNumberingAfterBreak="0">
    <w:nsid w:val="16CE2375"/>
    <w:multiLevelType w:val="hybridMultilevel"/>
    <w:tmpl w:val="DB10783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2" w15:restartNumberingAfterBreak="0">
    <w:nsid w:val="190935F8"/>
    <w:multiLevelType w:val="multilevel"/>
    <w:tmpl w:val="58AE67B0"/>
    <w:lvl w:ilvl="0">
      <w:start w:val="1"/>
      <w:numFmt w:val="decimal"/>
      <w:suff w:val="nothing"/>
      <w:lvlText w:val="CHAPTER %1"/>
      <w:lvlJc w:val="left"/>
      <w:pPr>
        <w:ind w:left="3970" w:firstLine="0"/>
      </w:pPr>
      <w:rPr>
        <w:rFonts w:ascii="Verdana" w:hAnsi="Verdana" w:hint="default"/>
        <w:b/>
        <w:i w:val="0"/>
        <w:caps w:val="0"/>
        <w:strike w:val="0"/>
        <w:dstrike w:val="0"/>
        <w:vanish w:val="0"/>
        <w:sz w:val="24"/>
        <w:szCs w:val="24"/>
        <w:vertAlign w:val="baseline"/>
      </w:rPr>
    </w:lvl>
    <w:lvl w:ilvl="1">
      <w:start w:val="1"/>
      <w:numFmt w:val="decimal"/>
      <w:lvlText w:val="%1.%2"/>
      <w:lvlJc w:val="left"/>
      <w:pPr>
        <w:tabs>
          <w:tab w:val="num" w:pos="851"/>
        </w:tabs>
        <w:ind w:left="851" w:hanging="851"/>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bullet"/>
      <w:lvlText w:val=""/>
      <w:lvlJc w:val="left"/>
      <w:pPr>
        <w:tabs>
          <w:tab w:val="num" w:pos="1418"/>
        </w:tabs>
        <w:ind w:left="1418" w:hanging="567"/>
      </w:pPr>
      <w:rPr>
        <w:rFonts w:ascii="Symbol" w:hAnsi="Symbol" w:hint="default"/>
        <w:b w:val="0"/>
        <w:i w:val="0"/>
        <w:caps w:val="0"/>
        <w:strike w:val="0"/>
        <w:dstrike w:val="0"/>
        <w:sz w:val="24"/>
        <w:vertAlign w:val="baseline"/>
      </w:rPr>
    </w:lvl>
    <w:lvl w:ilvl="3">
      <w:start w:val="1"/>
      <w:numFmt w:val="bullet"/>
      <w:lvlText w:val="–"/>
      <w:lvlJc w:val="left"/>
      <w:pPr>
        <w:tabs>
          <w:tab w:val="num" w:pos="1985"/>
        </w:tabs>
        <w:ind w:left="1985" w:hanging="567"/>
      </w:pPr>
      <w:rPr>
        <w:rFonts w:ascii="Times New Roman" w:hAnsi="Times New Roman" w:cs="Times New Roman" w:hint="default"/>
      </w:rPr>
    </w:lvl>
    <w:lvl w:ilvl="4">
      <w:start w:val="1"/>
      <w:numFmt w:val="none"/>
      <w:lvlText w:val=""/>
      <w:lvlJc w:val="left"/>
      <w:pPr>
        <w:tabs>
          <w:tab w:val="num" w:pos="851"/>
        </w:tabs>
        <w:ind w:left="851" w:hanging="851"/>
      </w:pPr>
      <w:rPr>
        <w:rFonts w:hint="default"/>
      </w:rPr>
    </w:lvl>
    <w:lvl w:ilvl="5">
      <w:start w:val="1"/>
      <w:numFmt w:val="none"/>
      <w:lvlText w:val=""/>
      <w:lvlJc w:val="left"/>
      <w:pPr>
        <w:tabs>
          <w:tab w:val="num" w:pos="851"/>
        </w:tabs>
        <w:ind w:left="851" w:hanging="851"/>
      </w:pPr>
      <w:rPr>
        <w:rFonts w:hint="default"/>
      </w:rPr>
    </w:lvl>
    <w:lvl w:ilvl="6">
      <w:start w:val="1"/>
      <w:numFmt w:val="none"/>
      <w:lvlText w:val=""/>
      <w:lvlJc w:val="left"/>
      <w:pPr>
        <w:tabs>
          <w:tab w:val="num" w:pos="851"/>
        </w:tabs>
        <w:ind w:left="851" w:hanging="851"/>
      </w:pPr>
      <w:rPr>
        <w:rFonts w:hint="default"/>
      </w:rPr>
    </w:lvl>
    <w:lvl w:ilvl="7">
      <w:start w:val="1"/>
      <w:numFmt w:val="none"/>
      <w:lvlText w:val=""/>
      <w:lvlJc w:val="left"/>
      <w:pPr>
        <w:tabs>
          <w:tab w:val="num" w:pos="851"/>
        </w:tabs>
        <w:ind w:left="851" w:hanging="851"/>
      </w:pPr>
      <w:rPr>
        <w:rFonts w:hint="default"/>
      </w:rPr>
    </w:lvl>
    <w:lvl w:ilvl="8">
      <w:start w:val="1"/>
      <w:numFmt w:val="none"/>
      <w:lvlText w:val=""/>
      <w:lvlJc w:val="left"/>
      <w:pPr>
        <w:tabs>
          <w:tab w:val="num" w:pos="851"/>
        </w:tabs>
        <w:ind w:left="851" w:hanging="851"/>
      </w:pPr>
      <w:rPr>
        <w:rFonts w:hint="default"/>
      </w:rPr>
    </w:lvl>
  </w:abstractNum>
  <w:abstractNum w:abstractNumId="13" w15:restartNumberingAfterBreak="0">
    <w:nsid w:val="194D4C3A"/>
    <w:multiLevelType w:val="multilevel"/>
    <w:tmpl w:val="760C358C"/>
    <w:styleLink w:val="Table-Bullet10pt"/>
    <w:lvl w:ilvl="0">
      <w:start w:val="1"/>
      <w:numFmt w:val="bullet"/>
      <w:lvlText w:val=""/>
      <w:lvlJc w:val="left"/>
      <w:pPr>
        <w:ind w:left="360" w:hanging="360"/>
      </w:pPr>
      <w:rPr>
        <w:rFonts w:ascii="Symbol" w:hAnsi="Symbol"/>
        <w:sz w:val="20"/>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4" w15:restartNumberingAfterBreak="0">
    <w:nsid w:val="205D4690"/>
    <w:multiLevelType w:val="hybridMultilevel"/>
    <w:tmpl w:val="96C2042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5" w15:restartNumberingAfterBreak="0">
    <w:nsid w:val="22A726AA"/>
    <w:multiLevelType w:val="multilevel"/>
    <w:tmpl w:val="5FA25E5C"/>
    <w:lvl w:ilvl="0">
      <w:start w:val="3"/>
      <w:numFmt w:val="decimal"/>
      <w:suff w:val="nothing"/>
      <w:lvlText w:val="APPENDIX 4.%1"/>
      <w:lvlJc w:val="left"/>
      <w:pPr>
        <w:ind w:left="0" w:firstLine="0"/>
      </w:pPr>
      <w:rPr>
        <w:rFonts w:ascii="Verdana" w:hAnsi="Verdana" w:hint="default"/>
        <w:b/>
        <w:i w:val="0"/>
        <w:caps w:val="0"/>
        <w:strike w:val="0"/>
        <w:dstrike w:val="0"/>
        <w:vanish w:val="0"/>
        <w:sz w:val="24"/>
        <w:vertAlign w:val="baseline"/>
      </w:rPr>
    </w:lvl>
    <w:lvl w:ilvl="1">
      <w:start w:val="1"/>
      <w:numFmt w:val="decimal"/>
      <w:lvlText w:val="4.%1.%2"/>
      <w:lvlJc w:val="left"/>
      <w:pPr>
        <w:tabs>
          <w:tab w:val="num" w:pos="851"/>
        </w:tabs>
        <w:ind w:left="851" w:hanging="851"/>
      </w:pPr>
      <w:rPr>
        <w:rFonts w:ascii="Verdana" w:hAnsi="Verdana" w:hint="default"/>
        <w:b w:val="0"/>
        <w:i w:val="0"/>
        <w:caps w:val="0"/>
        <w:strike w:val="0"/>
        <w:dstrike w:val="0"/>
        <w:vanish w:val="0"/>
        <w:sz w:val="20"/>
        <w:vertAlign w:val="baseline"/>
      </w:rPr>
    </w:lvl>
    <w:lvl w:ilvl="2">
      <w:start w:val="1"/>
      <w:numFmt w:val="bullet"/>
      <w:lvlText w:val=""/>
      <w:lvlJc w:val="left"/>
      <w:pPr>
        <w:tabs>
          <w:tab w:val="num" w:pos="1418"/>
        </w:tabs>
        <w:ind w:left="1418" w:hanging="567"/>
      </w:pPr>
      <w:rPr>
        <w:rFonts w:ascii="Symbol" w:hAnsi="Symbol" w:hint="default"/>
        <w:b w:val="0"/>
        <w:i w:val="0"/>
        <w:caps w:val="0"/>
        <w:strike w:val="0"/>
        <w:dstrike w:val="0"/>
        <w:sz w:val="24"/>
        <w:vertAlign w:val="baseline"/>
      </w:rPr>
    </w:lvl>
    <w:lvl w:ilvl="3">
      <w:start w:val="1"/>
      <w:numFmt w:val="bullet"/>
      <w:lvlText w:val="–"/>
      <w:lvlJc w:val="left"/>
      <w:pPr>
        <w:tabs>
          <w:tab w:val="num" w:pos="1985"/>
        </w:tabs>
        <w:ind w:left="1985" w:hanging="567"/>
      </w:pPr>
      <w:rPr>
        <w:rFonts w:ascii="Times New Roman" w:hAnsi="Times New Roman" w:cs="Times New Roman" w:hint="default"/>
      </w:rPr>
    </w:lvl>
    <w:lvl w:ilvl="4">
      <w:start w:val="1"/>
      <w:numFmt w:val="none"/>
      <w:lvlText w:val=""/>
      <w:lvlJc w:val="left"/>
      <w:pPr>
        <w:tabs>
          <w:tab w:val="num" w:pos="851"/>
        </w:tabs>
        <w:ind w:left="851" w:hanging="851"/>
      </w:pPr>
      <w:rPr>
        <w:rFonts w:hint="default"/>
      </w:rPr>
    </w:lvl>
    <w:lvl w:ilvl="5">
      <w:start w:val="1"/>
      <w:numFmt w:val="none"/>
      <w:lvlText w:val=""/>
      <w:lvlJc w:val="left"/>
      <w:pPr>
        <w:tabs>
          <w:tab w:val="num" w:pos="851"/>
        </w:tabs>
        <w:ind w:left="851" w:hanging="851"/>
      </w:pPr>
      <w:rPr>
        <w:rFonts w:hint="default"/>
      </w:rPr>
    </w:lvl>
    <w:lvl w:ilvl="6">
      <w:start w:val="1"/>
      <w:numFmt w:val="none"/>
      <w:lvlText w:val=""/>
      <w:lvlJc w:val="left"/>
      <w:pPr>
        <w:tabs>
          <w:tab w:val="num" w:pos="851"/>
        </w:tabs>
        <w:ind w:left="851" w:hanging="851"/>
      </w:pPr>
      <w:rPr>
        <w:rFonts w:hint="default"/>
      </w:rPr>
    </w:lvl>
    <w:lvl w:ilvl="7">
      <w:start w:val="1"/>
      <w:numFmt w:val="none"/>
      <w:lvlText w:val=""/>
      <w:lvlJc w:val="left"/>
      <w:pPr>
        <w:tabs>
          <w:tab w:val="num" w:pos="851"/>
        </w:tabs>
        <w:ind w:left="851" w:hanging="851"/>
      </w:pPr>
      <w:rPr>
        <w:rFonts w:hint="default"/>
      </w:rPr>
    </w:lvl>
    <w:lvl w:ilvl="8">
      <w:start w:val="1"/>
      <w:numFmt w:val="none"/>
      <w:lvlText w:val=""/>
      <w:lvlJc w:val="left"/>
      <w:pPr>
        <w:tabs>
          <w:tab w:val="num" w:pos="851"/>
        </w:tabs>
        <w:ind w:left="851" w:hanging="851"/>
      </w:pPr>
      <w:rPr>
        <w:rFonts w:hint="default"/>
      </w:rPr>
    </w:lvl>
  </w:abstractNum>
  <w:abstractNum w:abstractNumId="16" w15:restartNumberingAfterBreak="0">
    <w:nsid w:val="24F15A7B"/>
    <w:multiLevelType w:val="hybridMultilevel"/>
    <w:tmpl w:val="BA04A6F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7" w15:restartNumberingAfterBreak="0">
    <w:nsid w:val="3F6A7C68"/>
    <w:multiLevelType w:val="multilevel"/>
    <w:tmpl w:val="760C358C"/>
    <w:styleLink w:val="Table-BulletedList"/>
    <w:lvl w:ilvl="0">
      <w:start w:val="1"/>
      <w:numFmt w:val="bullet"/>
      <w:lvlText w:val=""/>
      <w:lvlJc w:val="left"/>
      <w:pPr>
        <w:ind w:left="360" w:hanging="360"/>
      </w:pPr>
      <w:rPr>
        <w:rFonts w:ascii="Symbol" w:hAnsi="Symbol"/>
        <w:sz w:val="20"/>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8" w15:restartNumberingAfterBreak="0">
    <w:nsid w:val="40333541"/>
    <w:multiLevelType w:val="hybridMultilevel"/>
    <w:tmpl w:val="6FB6370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424460CB"/>
    <w:multiLevelType w:val="multilevel"/>
    <w:tmpl w:val="41A028FC"/>
    <w:lvl w:ilvl="0">
      <w:start w:val="1"/>
      <w:numFmt w:val="decimal"/>
      <w:suff w:val="nothing"/>
      <w:lvlText w:val="CHAPTER %1"/>
      <w:lvlJc w:val="left"/>
      <w:pPr>
        <w:ind w:left="3970" w:firstLine="0"/>
      </w:pPr>
      <w:rPr>
        <w:rFonts w:ascii="Verdana" w:hAnsi="Verdana" w:hint="default"/>
        <w:b/>
        <w:i w:val="0"/>
        <w:caps w:val="0"/>
        <w:strike w:val="0"/>
        <w:dstrike w:val="0"/>
        <w:vanish w:val="0"/>
        <w:sz w:val="24"/>
        <w:szCs w:val="24"/>
        <w:vertAlign w:val="baseline"/>
      </w:rPr>
    </w:lvl>
    <w:lvl w:ilvl="1">
      <w:start w:val="1"/>
      <w:numFmt w:val="decimal"/>
      <w:lvlText w:val="%1.%2"/>
      <w:lvlJc w:val="left"/>
      <w:pPr>
        <w:tabs>
          <w:tab w:val="num" w:pos="851"/>
        </w:tabs>
        <w:ind w:left="851" w:hanging="851"/>
      </w:pPr>
      <w:rPr>
        <w:rFonts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2">
      <w:start w:val="1"/>
      <w:numFmt w:val="bullet"/>
      <w:lvlText w:val=""/>
      <w:lvlJc w:val="left"/>
      <w:pPr>
        <w:tabs>
          <w:tab w:val="num" w:pos="1418"/>
        </w:tabs>
        <w:ind w:left="1418" w:hanging="567"/>
      </w:pPr>
      <w:rPr>
        <w:rFonts w:ascii="Symbol" w:hAnsi="Symbol" w:hint="default"/>
        <w:b w:val="0"/>
        <w:i w:val="0"/>
        <w:caps w:val="0"/>
        <w:strike w:val="0"/>
        <w:dstrike w:val="0"/>
        <w:sz w:val="24"/>
        <w:vertAlign w:val="baseline"/>
      </w:rPr>
    </w:lvl>
    <w:lvl w:ilvl="3">
      <w:start w:val="1"/>
      <w:numFmt w:val="bullet"/>
      <w:lvlText w:val="–"/>
      <w:lvlJc w:val="left"/>
      <w:pPr>
        <w:tabs>
          <w:tab w:val="num" w:pos="1985"/>
        </w:tabs>
        <w:ind w:left="1985" w:hanging="567"/>
      </w:pPr>
      <w:rPr>
        <w:rFonts w:ascii="Times New Roman" w:hAnsi="Times New Roman" w:cs="Times New Roman" w:hint="default"/>
      </w:rPr>
    </w:lvl>
    <w:lvl w:ilvl="4">
      <w:start w:val="1"/>
      <w:numFmt w:val="none"/>
      <w:lvlText w:val=""/>
      <w:lvlJc w:val="left"/>
      <w:pPr>
        <w:tabs>
          <w:tab w:val="num" w:pos="851"/>
        </w:tabs>
        <w:ind w:left="851" w:hanging="851"/>
      </w:pPr>
      <w:rPr>
        <w:rFonts w:hint="default"/>
      </w:rPr>
    </w:lvl>
    <w:lvl w:ilvl="5">
      <w:start w:val="1"/>
      <w:numFmt w:val="none"/>
      <w:lvlText w:val=""/>
      <w:lvlJc w:val="left"/>
      <w:pPr>
        <w:tabs>
          <w:tab w:val="num" w:pos="851"/>
        </w:tabs>
        <w:ind w:left="851" w:hanging="851"/>
      </w:pPr>
      <w:rPr>
        <w:rFonts w:hint="default"/>
      </w:rPr>
    </w:lvl>
    <w:lvl w:ilvl="6">
      <w:start w:val="1"/>
      <w:numFmt w:val="none"/>
      <w:lvlText w:val=""/>
      <w:lvlJc w:val="left"/>
      <w:pPr>
        <w:tabs>
          <w:tab w:val="num" w:pos="851"/>
        </w:tabs>
        <w:ind w:left="851" w:hanging="851"/>
      </w:pPr>
      <w:rPr>
        <w:rFonts w:hint="default"/>
      </w:rPr>
    </w:lvl>
    <w:lvl w:ilvl="7">
      <w:start w:val="1"/>
      <w:numFmt w:val="none"/>
      <w:lvlText w:val=""/>
      <w:lvlJc w:val="left"/>
      <w:pPr>
        <w:tabs>
          <w:tab w:val="num" w:pos="851"/>
        </w:tabs>
        <w:ind w:left="851" w:hanging="851"/>
      </w:pPr>
      <w:rPr>
        <w:rFonts w:hint="default"/>
      </w:rPr>
    </w:lvl>
    <w:lvl w:ilvl="8">
      <w:start w:val="1"/>
      <w:numFmt w:val="none"/>
      <w:lvlText w:val=""/>
      <w:lvlJc w:val="left"/>
      <w:pPr>
        <w:tabs>
          <w:tab w:val="num" w:pos="851"/>
        </w:tabs>
        <w:ind w:left="851" w:hanging="851"/>
      </w:pPr>
      <w:rPr>
        <w:rFonts w:hint="default"/>
      </w:rPr>
    </w:lvl>
  </w:abstractNum>
  <w:abstractNum w:abstractNumId="20" w15:restartNumberingAfterBreak="0">
    <w:nsid w:val="430E3B15"/>
    <w:multiLevelType w:val="multilevel"/>
    <w:tmpl w:val="2354BF38"/>
    <w:lvl w:ilvl="0">
      <w:start w:val="2"/>
      <w:numFmt w:val="decimal"/>
      <w:suff w:val="nothing"/>
      <w:lvlText w:val="APPENDIX 4.%1"/>
      <w:lvlJc w:val="left"/>
      <w:pPr>
        <w:ind w:left="0" w:firstLine="0"/>
      </w:pPr>
      <w:rPr>
        <w:rFonts w:ascii="Verdana" w:hAnsi="Verdana" w:hint="default"/>
        <w:b/>
        <w:i w:val="0"/>
        <w:caps w:val="0"/>
        <w:strike w:val="0"/>
        <w:dstrike w:val="0"/>
        <w:vanish w:val="0"/>
        <w:sz w:val="24"/>
        <w:vertAlign w:val="baseline"/>
      </w:rPr>
    </w:lvl>
    <w:lvl w:ilvl="1">
      <w:start w:val="1"/>
      <w:numFmt w:val="decimal"/>
      <w:lvlText w:val="4.%1.%2"/>
      <w:lvlJc w:val="left"/>
      <w:pPr>
        <w:tabs>
          <w:tab w:val="num" w:pos="851"/>
        </w:tabs>
        <w:ind w:left="851" w:hanging="851"/>
      </w:pPr>
      <w:rPr>
        <w:rFonts w:ascii="Verdana" w:hAnsi="Verdana" w:hint="default"/>
        <w:b w:val="0"/>
        <w:i w:val="0"/>
        <w:caps w:val="0"/>
        <w:strike w:val="0"/>
        <w:dstrike w:val="0"/>
        <w:vanish w:val="0"/>
        <w:sz w:val="20"/>
        <w:vertAlign w:val="baseline"/>
      </w:rPr>
    </w:lvl>
    <w:lvl w:ilvl="2">
      <w:start w:val="1"/>
      <w:numFmt w:val="bullet"/>
      <w:lvlText w:val=""/>
      <w:lvlJc w:val="left"/>
      <w:pPr>
        <w:tabs>
          <w:tab w:val="num" w:pos="1418"/>
        </w:tabs>
        <w:ind w:left="1418" w:hanging="567"/>
      </w:pPr>
      <w:rPr>
        <w:rFonts w:ascii="Symbol" w:hAnsi="Symbol" w:hint="default"/>
        <w:b w:val="0"/>
        <w:i w:val="0"/>
        <w:caps w:val="0"/>
        <w:strike w:val="0"/>
        <w:dstrike w:val="0"/>
        <w:sz w:val="24"/>
        <w:vertAlign w:val="baseline"/>
      </w:rPr>
    </w:lvl>
    <w:lvl w:ilvl="3">
      <w:start w:val="1"/>
      <w:numFmt w:val="bullet"/>
      <w:lvlText w:val="–"/>
      <w:lvlJc w:val="left"/>
      <w:pPr>
        <w:tabs>
          <w:tab w:val="num" w:pos="1985"/>
        </w:tabs>
        <w:ind w:left="1985" w:hanging="567"/>
      </w:pPr>
      <w:rPr>
        <w:rFonts w:ascii="Times New Roman" w:hAnsi="Times New Roman" w:cs="Times New Roman" w:hint="default"/>
      </w:rPr>
    </w:lvl>
    <w:lvl w:ilvl="4">
      <w:start w:val="1"/>
      <w:numFmt w:val="none"/>
      <w:lvlText w:val=""/>
      <w:lvlJc w:val="left"/>
      <w:pPr>
        <w:tabs>
          <w:tab w:val="num" w:pos="851"/>
        </w:tabs>
        <w:ind w:left="851" w:hanging="851"/>
      </w:pPr>
      <w:rPr>
        <w:rFonts w:hint="default"/>
      </w:rPr>
    </w:lvl>
    <w:lvl w:ilvl="5">
      <w:start w:val="1"/>
      <w:numFmt w:val="none"/>
      <w:lvlText w:val=""/>
      <w:lvlJc w:val="left"/>
      <w:pPr>
        <w:tabs>
          <w:tab w:val="num" w:pos="851"/>
        </w:tabs>
        <w:ind w:left="851" w:hanging="851"/>
      </w:pPr>
      <w:rPr>
        <w:rFonts w:hint="default"/>
      </w:rPr>
    </w:lvl>
    <w:lvl w:ilvl="6">
      <w:start w:val="1"/>
      <w:numFmt w:val="none"/>
      <w:lvlText w:val=""/>
      <w:lvlJc w:val="left"/>
      <w:pPr>
        <w:tabs>
          <w:tab w:val="num" w:pos="851"/>
        </w:tabs>
        <w:ind w:left="851" w:hanging="851"/>
      </w:pPr>
      <w:rPr>
        <w:rFonts w:hint="default"/>
      </w:rPr>
    </w:lvl>
    <w:lvl w:ilvl="7">
      <w:start w:val="1"/>
      <w:numFmt w:val="none"/>
      <w:lvlText w:val=""/>
      <w:lvlJc w:val="left"/>
      <w:pPr>
        <w:tabs>
          <w:tab w:val="num" w:pos="851"/>
        </w:tabs>
        <w:ind w:left="851" w:hanging="851"/>
      </w:pPr>
      <w:rPr>
        <w:rFonts w:hint="default"/>
      </w:rPr>
    </w:lvl>
    <w:lvl w:ilvl="8">
      <w:start w:val="1"/>
      <w:numFmt w:val="none"/>
      <w:lvlText w:val=""/>
      <w:lvlJc w:val="left"/>
      <w:pPr>
        <w:tabs>
          <w:tab w:val="num" w:pos="851"/>
        </w:tabs>
        <w:ind w:left="851" w:hanging="851"/>
      </w:pPr>
      <w:rPr>
        <w:rFonts w:hint="default"/>
      </w:rPr>
    </w:lvl>
  </w:abstractNum>
  <w:abstractNum w:abstractNumId="21" w15:restartNumberingAfterBreak="0">
    <w:nsid w:val="44BB017B"/>
    <w:multiLevelType w:val="multilevel"/>
    <w:tmpl w:val="75FA6454"/>
    <w:lvl w:ilvl="0">
      <w:start w:val="1"/>
      <w:numFmt w:val="decimal"/>
      <w:suff w:val="nothing"/>
      <w:lvlText w:val="CHAPTER %1"/>
      <w:lvlJc w:val="left"/>
      <w:pPr>
        <w:ind w:left="3970" w:firstLine="0"/>
      </w:pPr>
      <w:rPr>
        <w:rFonts w:ascii="Verdana" w:hAnsi="Verdana" w:hint="default"/>
        <w:b/>
        <w:i w:val="0"/>
        <w:caps w:val="0"/>
        <w:strike w:val="0"/>
        <w:dstrike w:val="0"/>
        <w:vanish w:val="0"/>
        <w:sz w:val="24"/>
        <w:szCs w:val="24"/>
        <w:vertAlign w:val="baseline"/>
      </w:rPr>
    </w:lvl>
    <w:lvl w:ilvl="1">
      <w:start w:val="1"/>
      <w:numFmt w:val="decimal"/>
      <w:lvlText w:val="%1.%2"/>
      <w:lvlJc w:val="left"/>
      <w:pPr>
        <w:tabs>
          <w:tab w:val="num" w:pos="851"/>
        </w:tabs>
        <w:ind w:left="851" w:hanging="851"/>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bullet"/>
      <w:lvlText w:val=""/>
      <w:lvlJc w:val="left"/>
      <w:pPr>
        <w:tabs>
          <w:tab w:val="num" w:pos="1418"/>
        </w:tabs>
        <w:ind w:left="1418" w:hanging="567"/>
      </w:pPr>
      <w:rPr>
        <w:rFonts w:ascii="Symbol" w:hAnsi="Symbol" w:hint="default"/>
        <w:b w:val="0"/>
        <w:i w:val="0"/>
        <w:caps w:val="0"/>
        <w:strike w:val="0"/>
        <w:dstrike w:val="0"/>
        <w:sz w:val="24"/>
        <w:vertAlign w:val="baseline"/>
      </w:rPr>
    </w:lvl>
    <w:lvl w:ilvl="3">
      <w:start w:val="1"/>
      <w:numFmt w:val="bullet"/>
      <w:lvlText w:val="–"/>
      <w:lvlJc w:val="left"/>
      <w:pPr>
        <w:tabs>
          <w:tab w:val="num" w:pos="1985"/>
        </w:tabs>
        <w:ind w:left="1985" w:hanging="567"/>
      </w:pPr>
      <w:rPr>
        <w:rFonts w:ascii="Times New Roman" w:hAnsi="Times New Roman" w:cs="Times New Roman" w:hint="default"/>
      </w:rPr>
    </w:lvl>
    <w:lvl w:ilvl="4">
      <w:start w:val="1"/>
      <w:numFmt w:val="none"/>
      <w:lvlText w:val=""/>
      <w:lvlJc w:val="left"/>
      <w:pPr>
        <w:tabs>
          <w:tab w:val="num" w:pos="851"/>
        </w:tabs>
        <w:ind w:left="851" w:hanging="851"/>
      </w:pPr>
      <w:rPr>
        <w:rFonts w:hint="default"/>
      </w:rPr>
    </w:lvl>
    <w:lvl w:ilvl="5">
      <w:start w:val="1"/>
      <w:numFmt w:val="none"/>
      <w:lvlText w:val=""/>
      <w:lvlJc w:val="left"/>
      <w:pPr>
        <w:tabs>
          <w:tab w:val="num" w:pos="851"/>
        </w:tabs>
        <w:ind w:left="851" w:hanging="851"/>
      </w:pPr>
      <w:rPr>
        <w:rFonts w:hint="default"/>
      </w:rPr>
    </w:lvl>
    <w:lvl w:ilvl="6">
      <w:start w:val="1"/>
      <w:numFmt w:val="none"/>
      <w:lvlText w:val=""/>
      <w:lvlJc w:val="left"/>
      <w:pPr>
        <w:tabs>
          <w:tab w:val="num" w:pos="851"/>
        </w:tabs>
        <w:ind w:left="851" w:hanging="851"/>
      </w:pPr>
      <w:rPr>
        <w:rFonts w:hint="default"/>
      </w:rPr>
    </w:lvl>
    <w:lvl w:ilvl="7">
      <w:start w:val="1"/>
      <w:numFmt w:val="none"/>
      <w:lvlText w:val=""/>
      <w:lvlJc w:val="left"/>
      <w:pPr>
        <w:tabs>
          <w:tab w:val="num" w:pos="851"/>
        </w:tabs>
        <w:ind w:left="851" w:hanging="851"/>
      </w:pPr>
      <w:rPr>
        <w:rFonts w:hint="default"/>
      </w:rPr>
    </w:lvl>
    <w:lvl w:ilvl="8">
      <w:start w:val="1"/>
      <w:numFmt w:val="none"/>
      <w:lvlText w:val=""/>
      <w:lvlJc w:val="left"/>
      <w:pPr>
        <w:tabs>
          <w:tab w:val="num" w:pos="851"/>
        </w:tabs>
        <w:ind w:left="851" w:hanging="851"/>
      </w:pPr>
      <w:rPr>
        <w:rFonts w:hint="default"/>
      </w:rPr>
    </w:lvl>
  </w:abstractNum>
  <w:abstractNum w:abstractNumId="22" w15:restartNumberingAfterBreak="0">
    <w:nsid w:val="44D560B6"/>
    <w:multiLevelType w:val="hybridMultilevel"/>
    <w:tmpl w:val="BCA8EC40"/>
    <w:lvl w:ilvl="0" w:tplc="1C80C91E">
      <w:start w:val="1"/>
      <w:numFmt w:val="bullet"/>
      <w:lvlText w:val=""/>
      <w:lvlJc w:val="left"/>
      <w:pPr>
        <w:ind w:left="1080" w:hanging="360"/>
      </w:pPr>
      <w:rPr>
        <w:rFonts w:ascii="Symbol" w:hAnsi="Symbol" w:hint="default"/>
      </w:rPr>
    </w:lvl>
    <w:lvl w:ilvl="1" w:tplc="14090003" w:tentative="1">
      <w:start w:val="1"/>
      <w:numFmt w:val="bullet"/>
      <w:lvlText w:val="o"/>
      <w:lvlJc w:val="left"/>
      <w:pPr>
        <w:ind w:left="937" w:hanging="360"/>
      </w:pPr>
      <w:rPr>
        <w:rFonts w:ascii="Courier New" w:hAnsi="Courier New" w:cs="Courier New" w:hint="default"/>
      </w:rPr>
    </w:lvl>
    <w:lvl w:ilvl="2" w:tplc="14090005" w:tentative="1">
      <w:start w:val="1"/>
      <w:numFmt w:val="bullet"/>
      <w:lvlText w:val=""/>
      <w:lvlJc w:val="left"/>
      <w:pPr>
        <w:ind w:left="1657" w:hanging="360"/>
      </w:pPr>
      <w:rPr>
        <w:rFonts w:ascii="Wingdings" w:hAnsi="Wingdings" w:hint="default"/>
      </w:rPr>
    </w:lvl>
    <w:lvl w:ilvl="3" w:tplc="14090001" w:tentative="1">
      <w:start w:val="1"/>
      <w:numFmt w:val="bullet"/>
      <w:lvlText w:val=""/>
      <w:lvlJc w:val="left"/>
      <w:pPr>
        <w:ind w:left="2377" w:hanging="360"/>
      </w:pPr>
      <w:rPr>
        <w:rFonts w:ascii="Symbol" w:hAnsi="Symbol" w:hint="default"/>
      </w:rPr>
    </w:lvl>
    <w:lvl w:ilvl="4" w:tplc="14090003" w:tentative="1">
      <w:start w:val="1"/>
      <w:numFmt w:val="bullet"/>
      <w:lvlText w:val="o"/>
      <w:lvlJc w:val="left"/>
      <w:pPr>
        <w:ind w:left="3097" w:hanging="360"/>
      </w:pPr>
      <w:rPr>
        <w:rFonts w:ascii="Courier New" w:hAnsi="Courier New" w:cs="Courier New" w:hint="default"/>
      </w:rPr>
    </w:lvl>
    <w:lvl w:ilvl="5" w:tplc="14090005" w:tentative="1">
      <w:start w:val="1"/>
      <w:numFmt w:val="bullet"/>
      <w:lvlText w:val=""/>
      <w:lvlJc w:val="left"/>
      <w:pPr>
        <w:ind w:left="3817" w:hanging="360"/>
      </w:pPr>
      <w:rPr>
        <w:rFonts w:ascii="Wingdings" w:hAnsi="Wingdings" w:hint="default"/>
      </w:rPr>
    </w:lvl>
    <w:lvl w:ilvl="6" w:tplc="14090001" w:tentative="1">
      <w:start w:val="1"/>
      <w:numFmt w:val="bullet"/>
      <w:lvlText w:val=""/>
      <w:lvlJc w:val="left"/>
      <w:pPr>
        <w:ind w:left="4537" w:hanging="360"/>
      </w:pPr>
      <w:rPr>
        <w:rFonts w:ascii="Symbol" w:hAnsi="Symbol" w:hint="default"/>
      </w:rPr>
    </w:lvl>
    <w:lvl w:ilvl="7" w:tplc="14090003" w:tentative="1">
      <w:start w:val="1"/>
      <w:numFmt w:val="bullet"/>
      <w:lvlText w:val="o"/>
      <w:lvlJc w:val="left"/>
      <w:pPr>
        <w:ind w:left="5257" w:hanging="360"/>
      </w:pPr>
      <w:rPr>
        <w:rFonts w:ascii="Courier New" w:hAnsi="Courier New" w:cs="Courier New" w:hint="default"/>
      </w:rPr>
    </w:lvl>
    <w:lvl w:ilvl="8" w:tplc="14090005" w:tentative="1">
      <w:start w:val="1"/>
      <w:numFmt w:val="bullet"/>
      <w:lvlText w:val=""/>
      <w:lvlJc w:val="left"/>
      <w:pPr>
        <w:ind w:left="5977" w:hanging="360"/>
      </w:pPr>
      <w:rPr>
        <w:rFonts w:ascii="Wingdings" w:hAnsi="Wingdings" w:hint="default"/>
      </w:rPr>
    </w:lvl>
  </w:abstractNum>
  <w:abstractNum w:abstractNumId="23" w15:restartNumberingAfterBreak="0">
    <w:nsid w:val="47AE2DEE"/>
    <w:multiLevelType w:val="multilevel"/>
    <w:tmpl w:val="9AEA7340"/>
    <w:lvl w:ilvl="0">
      <w:start w:val="1"/>
      <w:numFmt w:val="decimal"/>
      <w:pStyle w:val="Heading1"/>
      <w:suff w:val="nothing"/>
      <w:lvlText w:val="CHAPTER %1"/>
      <w:lvlJc w:val="left"/>
      <w:pPr>
        <w:ind w:left="0" w:firstLine="0"/>
      </w:pPr>
      <w:rPr>
        <w:rFonts w:ascii="Verdana" w:hAnsi="Verdana" w:hint="default"/>
        <w:b/>
        <w:i w:val="0"/>
        <w:caps w:val="0"/>
        <w:strike w:val="0"/>
        <w:dstrike w:val="0"/>
        <w:vanish w:val="0"/>
        <w:sz w:val="24"/>
        <w:szCs w:val="24"/>
        <w:vertAlign w:val="baseline"/>
      </w:rPr>
    </w:lvl>
    <w:lvl w:ilvl="1">
      <w:start w:val="1"/>
      <w:numFmt w:val="decimal"/>
      <w:pStyle w:val="NumberedParagraph"/>
      <w:lvlText w:val="%1.%2"/>
      <w:lvlJc w:val="left"/>
      <w:pPr>
        <w:tabs>
          <w:tab w:val="num" w:pos="851"/>
        </w:tabs>
        <w:ind w:left="851" w:hanging="851"/>
      </w:pPr>
      <w:rPr>
        <w:rFonts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2">
      <w:start w:val="1"/>
      <w:numFmt w:val="bullet"/>
      <w:pStyle w:val="NumberedParagraph-BulletL1"/>
      <w:lvlText w:val=""/>
      <w:lvlJc w:val="left"/>
      <w:pPr>
        <w:tabs>
          <w:tab w:val="num" w:pos="1418"/>
        </w:tabs>
        <w:ind w:left="1418" w:hanging="567"/>
      </w:pPr>
      <w:rPr>
        <w:rFonts w:ascii="Symbol" w:hAnsi="Symbol" w:hint="default"/>
        <w:b w:val="0"/>
        <w:i w:val="0"/>
        <w:caps w:val="0"/>
        <w:strike w:val="0"/>
        <w:dstrike w:val="0"/>
        <w:sz w:val="24"/>
        <w:vertAlign w:val="baseline"/>
      </w:rPr>
    </w:lvl>
    <w:lvl w:ilvl="3">
      <w:start w:val="1"/>
      <w:numFmt w:val="bullet"/>
      <w:pStyle w:val="NumberedParagraph-BulletL2"/>
      <w:lvlText w:val="–"/>
      <w:lvlJc w:val="left"/>
      <w:pPr>
        <w:tabs>
          <w:tab w:val="num" w:pos="1985"/>
        </w:tabs>
        <w:ind w:left="1985" w:hanging="567"/>
      </w:pPr>
      <w:rPr>
        <w:rFonts w:ascii="Times New Roman" w:hAnsi="Times New Roman" w:cs="Times New Roman" w:hint="default"/>
      </w:rPr>
    </w:lvl>
    <w:lvl w:ilvl="4">
      <w:start w:val="1"/>
      <w:numFmt w:val="none"/>
      <w:lvlText w:val=""/>
      <w:lvlJc w:val="left"/>
      <w:pPr>
        <w:tabs>
          <w:tab w:val="num" w:pos="851"/>
        </w:tabs>
        <w:ind w:left="851" w:hanging="851"/>
      </w:pPr>
      <w:rPr>
        <w:rFonts w:hint="default"/>
      </w:rPr>
    </w:lvl>
    <w:lvl w:ilvl="5">
      <w:start w:val="1"/>
      <w:numFmt w:val="none"/>
      <w:lvlText w:val=""/>
      <w:lvlJc w:val="left"/>
      <w:pPr>
        <w:tabs>
          <w:tab w:val="num" w:pos="851"/>
        </w:tabs>
        <w:ind w:left="851" w:hanging="851"/>
      </w:pPr>
      <w:rPr>
        <w:rFonts w:hint="default"/>
      </w:rPr>
    </w:lvl>
    <w:lvl w:ilvl="6">
      <w:start w:val="1"/>
      <w:numFmt w:val="none"/>
      <w:lvlText w:val=""/>
      <w:lvlJc w:val="left"/>
      <w:pPr>
        <w:tabs>
          <w:tab w:val="num" w:pos="851"/>
        </w:tabs>
        <w:ind w:left="851" w:hanging="851"/>
      </w:pPr>
      <w:rPr>
        <w:rFonts w:hint="default"/>
      </w:rPr>
    </w:lvl>
    <w:lvl w:ilvl="7">
      <w:start w:val="1"/>
      <w:numFmt w:val="none"/>
      <w:lvlText w:val=""/>
      <w:lvlJc w:val="left"/>
      <w:pPr>
        <w:tabs>
          <w:tab w:val="num" w:pos="851"/>
        </w:tabs>
        <w:ind w:left="851" w:hanging="851"/>
      </w:pPr>
      <w:rPr>
        <w:rFonts w:hint="default"/>
      </w:rPr>
    </w:lvl>
    <w:lvl w:ilvl="8">
      <w:start w:val="1"/>
      <w:numFmt w:val="none"/>
      <w:lvlText w:val=""/>
      <w:lvlJc w:val="left"/>
      <w:pPr>
        <w:tabs>
          <w:tab w:val="num" w:pos="851"/>
        </w:tabs>
        <w:ind w:left="851" w:hanging="851"/>
      </w:pPr>
      <w:rPr>
        <w:rFonts w:hint="default"/>
      </w:rPr>
    </w:lvl>
  </w:abstractNum>
  <w:abstractNum w:abstractNumId="24" w15:restartNumberingAfterBreak="0">
    <w:nsid w:val="49296A6D"/>
    <w:multiLevelType w:val="hybridMultilevel"/>
    <w:tmpl w:val="2BDCDCC4"/>
    <w:lvl w:ilvl="0" w:tplc="E78A3D20">
      <w:start w:val="1"/>
      <w:numFmt w:val="bullet"/>
      <w:pStyle w:val="SummaryandQFS-BulletL1"/>
      <w:lvlText w:val=""/>
      <w:lvlJc w:val="left"/>
      <w:pPr>
        <w:ind w:left="862" w:hanging="360"/>
      </w:pPr>
      <w:rPr>
        <w:rFonts w:ascii="Symbol" w:hAnsi="Symbol" w:hint="default"/>
      </w:rPr>
    </w:lvl>
    <w:lvl w:ilvl="1" w:tplc="14090003" w:tentative="1">
      <w:start w:val="1"/>
      <w:numFmt w:val="bullet"/>
      <w:lvlText w:val="o"/>
      <w:lvlJc w:val="left"/>
      <w:pPr>
        <w:ind w:left="1582" w:hanging="360"/>
      </w:pPr>
      <w:rPr>
        <w:rFonts w:ascii="Courier New" w:hAnsi="Courier New" w:cs="Courier New" w:hint="default"/>
      </w:rPr>
    </w:lvl>
    <w:lvl w:ilvl="2" w:tplc="14090005" w:tentative="1">
      <w:start w:val="1"/>
      <w:numFmt w:val="bullet"/>
      <w:lvlText w:val=""/>
      <w:lvlJc w:val="left"/>
      <w:pPr>
        <w:ind w:left="2302" w:hanging="360"/>
      </w:pPr>
      <w:rPr>
        <w:rFonts w:ascii="Wingdings" w:hAnsi="Wingdings" w:hint="default"/>
      </w:rPr>
    </w:lvl>
    <w:lvl w:ilvl="3" w:tplc="14090001" w:tentative="1">
      <w:start w:val="1"/>
      <w:numFmt w:val="bullet"/>
      <w:lvlText w:val=""/>
      <w:lvlJc w:val="left"/>
      <w:pPr>
        <w:ind w:left="3022" w:hanging="360"/>
      </w:pPr>
      <w:rPr>
        <w:rFonts w:ascii="Symbol" w:hAnsi="Symbol" w:hint="default"/>
      </w:rPr>
    </w:lvl>
    <w:lvl w:ilvl="4" w:tplc="14090003" w:tentative="1">
      <w:start w:val="1"/>
      <w:numFmt w:val="bullet"/>
      <w:lvlText w:val="o"/>
      <w:lvlJc w:val="left"/>
      <w:pPr>
        <w:ind w:left="3742" w:hanging="360"/>
      </w:pPr>
      <w:rPr>
        <w:rFonts w:ascii="Courier New" w:hAnsi="Courier New" w:cs="Courier New" w:hint="default"/>
      </w:rPr>
    </w:lvl>
    <w:lvl w:ilvl="5" w:tplc="14090005" w:tentative="1">
      <w:start w:val="1"/>
      <w:numFmt w:val="bullet"/>
      <w:lvlText w:val=""/>
      <w:lvlJc w:val="left"/>
      <w:pPr>
        <w:ind w:left="4462" w:hanging="360"/>
      </w:pPr>
      <w:rPr>
        <w:rFonts w:ascii="Wingdings" w:hAnsi="Wingdings" w:hint="default"/>
      </w:rPr>
    </w:lvl>
    <w:lvl w:ilvl="6" w:tplc="14090001" w:tentative="1">
      <w:start w:val="1"/>
      <w:numFmt w:val="bullet"/>
      <w:lvlText w:val=""/>
      <w:lvlJc w:val="left"/>
      <w:pPr>
        <w:ind w:left="5182" w:hanging="360"/>
      </w:pPr>
      <w:rPr>
        <w:rFonts w:ascii="Symbol" w:hAnsi="Symbol" w:hint="default"/>
      </w:rPr>
    </w:lvl>
    <w:lvl w:ilvl="7" w:tplc="14090003" w:tentative="1">
      <w:start w:val="1"/>
      <w:numFmt w:val="bullet"/>
      <w:lvlText w:val="o"/>
      <w:lvlJc w:val="left"/>
      <w:pPr>
        <w:ind w:left="5902" w:hanging="360"/>
      </w:pPr>
      <w:rPr>
        <w:rFonts w:ascii="Courier New" w:hAnsi="Courier New" w:cs="Courier New" w:hint="default"/>
      </w:rPr>
    </w:lvl>
    <w:lvl w:ilvl="8" w:tplc="14090005" w:tentative="1">
      <w:start w:val="1"/>
      <w:numFmt w:val="bullet"/>
      <w:lvlText w:val=""/>
      <w:lvlJc w:val="left"/>
      <w:pPr>
        <w:ind w:left="6622" w:hanging="360"/>
      </w:pPr>
      <w:rPr>
        <w:rFonts w:ascii="Wingdings" w:hAnsi="Wingdings" w:hint="default"/>
      </w:rPr>
    </w:lvl>
  </w:abstractNum>
  <w:abstractNum w:abstractNumId="25" w15:restartNumberingAfterBreak="0">
    <w:nsid w:val="4AD16A41"/>
    <w:multiLevelType w:val="hybridMultilevel"/>
    <w:tmpl w:val="767AA858"/>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6" w15:restartNumberingAfterBreak="0">
    <w:nsid w:val="4CD706A0"/>
    <w:multiLevelType w:val="multilevel"/>
    <w:tmpl w:val="D8A86770"/>
    <w:numStyleLink w:val="NumberedList"/>
  </w:abstractNum>
  <w:abstractNum w:abstractNumId="27" w15:restartNumberingAfterBreak="0">
    <w:nsid w:val="4D201353"/>
    <w:multiLevelType w:val="multilevel"/>
    <w:tmpl w:val="F5B4A89A"/>
    <w:lvl w:ilvl="0">
      <w:start w:val="3"/>
      <w:numFmt w:val="decimal"/>
      <w:suff w:val="nothing"/>
      <w:lvlText w:val="APPENDIX %1.1"/>
      <w:lvlJc w:val="left"/>
      <w:pPr>
        <w:ind w:left="0" w:firstLine="0"/>
      </w:pPr>
      <w:rPr>
        <w:rFonts w:ascii="Verdana" w:hAnsi="Verdana" w:hint="default"/>
        <w:b/>
        <w:i w:val="0"/>
        <w:caps w:val="0"/>
        <w:strike w:val="0"/>
        <w:dstrike w:val="0"/>
        <w:vanish w:val="0"/>
        <w:sz w:val="24"/>
        <w:vertAlign w:val="baseline"/>
      </w:rPr>
    </w:lvl>
    <w:lvl w:ilvl="1">
      <w:start w:val="3"/>
      <w:numFmt w:val="decimal"/>
      <w:lvlText w:val="4.1.%2"/>
      <w:lvlJc w:val="left"/>
      <w:pPr>
        <w:ind w:left="360" w:hanging="360"/>
      </w:pPr>
      <w:rPr>
        <w:rFonts w:ascii="Verdana" w:hAnsi="Verdana" w:hint="default"/>
        <w:sz w:val="20"/>
      </w:rPr>
    </w:lvl>
    <w:lvl w:ilvl="2">
      <w:start w:val="1"/>
      <w:numFmt w:val="bullet"/>
      <w:lvlText w:val=""/>
      <w:lvlJc w:val="left"/>
      <w:pPr>
        <w:tabs>
          <w:tab w:val="num" w:pos="1418"/>
        </w:tabs>
        <w:ind w:left="1418" w:hanging="567"/>
      </w:pPr>
      <w:rPr>
        <w:rFonts w:ascii="Symbol" w:hAnsi="Symbol" w:hint="default"/>
        <w:b w:val="0"/>
        <w:i w:val="0"/>
        <w:caps w:val="0"/>
        <w:strike w:val="0"/>
        <w:dstrike w:val="0"/>
        <w:sz w:val="24"/>
        <w:vertAlign w:val="baseline"/>
      </w:rPr>
    </w:lvl>
    <w:lvl w:ilvl="3">
      <w:start w:val="1"/>
      <w:numFmt w:val="bullet"/>
      <w:lvlText w:val="–"/>
      <w:lvlJc w:val="left"/>
      <w:pPr>
        <w:tabs>
          <w:tab w:val="num" w:pos="1985"/>
        </w:tabs>
        <w:ind w:left="1985" w:hanging="567"/>
      </w:pPr>
      <w:rPr>
        <w:rFonts w:ascii="Times New Roman" w:hAnsi="Times New Roman" w:cs="Times New Roman" w:hint="default"/>
      </w:rPr>
    </w:lvl>
    <w:lvl w:ilvl="4">
      <w:start w:val="1"/>
      <w:numFmt w:val="none"/>
      <w:lvlText w:val=""/>
      <w:lvlJc w:val="left"/>
      <w:pPr>
        <w:tabs>
          <w:tab w:val="num" w:pos="851"/>
        </w:tabs>
        <w:ind w:left="851" w:hanging="851"/>
      </w:pPr>
      <w:rPr>
        <w:rFonts w:hint="default"/>
      </w:rPr>
    </w:lvl>
    <w:lvl w:ilvl="5">
      <w:start w:val="1"/>
      <w:numFmt w:val="none"/>
      <w:lvlText w:val=""/>
      <w:lvlJc w:val="left"/>
      <w:pPr>
        <w:tabs>
          <w:tab w:val="num" w:pos="851"/>
        </w:tabs>
        <w:ind w:left="851" w:hanging="851"/>
      </w:pPr>
      <w:rPr>
        <w:rFonts w:hint="default"/>
      </w:rPr>
    </w:lvl>
    <w:lvl w:ilvl="6">
      <w:start w:val="1"/>
      <w:numFmt w:val="none"/>
      <w:lvlText w:val=""/>
      <w:lvlJc w:val="left"/>
      <w:pPr>
        <w:tabs>
          <w:tab w:val="num" w:pos="851"/>
        </w:tabs>
        <w:ind w:left="851" w:hanging="851"/>
      </w:pPr>
      <w:rPr>
        <w:rFonts w:hint="default"/>
      </w:rPr>
    </w:lvl>
    <w:lvl w:ilvl="7">
      <w:start w:val="1"/>
      <w:numFmt w:val="none"/>
      <w:lvlText w:val=""/>
      <w:lvlJc w:val="left"/>
      <w:pPr>
        <w:tabs>
          <w:tab w:val="num" w:pos="851"/>
        </w:tabs>
        <w:ind w:left="851" w:hanging="851"/>
      </w:pPr>
      <w:rPr>
        <w:rFonts w:hint="default"/>
      </w:rPr>
    </w:lvl>
    <w:lvl w:ilvl="8">
      <w:start w:val="1"/>
      <w:numFmt w:val="none"/>
      <w:lvlText w:val=""/>
      <w:lvlJc w:val="left"/>
      <w:pPr>
        <w:tabs>
          <w:tab w:val="num" w:pos="851"/>
        </w:tabs>
        <w:ind w:left="851" w:hanging="851"/>
      </w:pPr>
      <w:rPr>
        <w:rFonts w:hint="default"/>
      </w:rPr>
    </w:lvl>
  </w:abstractNum>
  <w:abstractNum w:abstractNumId="28" w15:restartNumberingAfterBreak="0">
    <w:nsid w:val="4F872CE9"/>
    <w:multiLevelType w:val="hybridMultilevel"/>
    <w:tmpl w:val="957A161C"/>
    <w:lvl w:ilvl="0" w:tplc="B1744CDE">
      <w:start w:val="1"/>
      <w:numFmt w:val="decimal"/>
      <w:lvlText w:val="%1."/>
      <w:lvlJc w:val="left"/>
      <w:pPr>
        <w:ind w:left="1571" w:hanging="360"/>
      </w:pPr>
    </w:lvl>
    <w:lvl w:ilvl="1" w:tplc="14090019" w:tentative="1">
      <w:start w:val="1"/>
      <w:numFmt w:val="lowerLetter"/>
      <w:lvlText w:val="%2."/>
      <w:lvlJc w:val="left"/>
      <w:pPr>
        <w:ind w:left="2291" w:hanging="360"/>
      </w:pPr>
    </w:lvl>
    <w:lvl w:ilvl="2" w:tplc="1409001B" w:tentative="1">
      <w:start w:val="1"/>
      <w:numFmt w:val="lowerRoman"/>
      <w:lvlText w:val="%3."/>
      <w:lvlJc w:val="right"/>
      <w:pPr>
        <w:ind w:left="3011" w:hanging="180"/>
      </w:pPr>
    </w:lvl>
    <w:lvl w:ilvl="3" w:tplc="1409000F" w:tentative="1">
      <w:start w:val="1"/>
      <w:numFmt w:val="decimal"/>
      <w:lvlText w:val="%4."/>
      <w:lvlJc w:val="left"/>
      <w:pPr>
        <w:ind w:left="3731" w:hanging="360"/>
      </w:pPr>
    </w:lvl>
    <w:lvl w:ilvl="4" w:tplc="14090019" w:tentative="1">
      <w:start w:val="1"/>
      <w:numFmt w:val="lowerLetter"/>
      <w:lvlText w:val="%5."/>
      <w:lvlJc w:val="left"/>
      <w:pPr>
        <w:ind w:left="4451" w:hanging="360"/>
      </w:pPr>
    </w:lvl>
    <w:lvl w:ilvl="5" w:tplc="1409001B" w:tentative="1">
      <w:start w:val="1"/>
      <w:numFmt w:val="lowerRoman"/>
      <w:lvlText w:val="%6."/>
      <w:lvlJc w:val="right"/>
      <w:pPr>
        <w:ind w:left="5171" w:hanging="180"/>
      </w:pPr>
    </w:lvl>
    <w:lvl w:ilvl="6" w:tplc="1409000F" w:tentative="1">
      <w:start w:val="1"/>
      <w:numFmt w:val="decimal"/>
      <w:lvlText w:val="%7."/>
      <w:lvlJc w:val="left"/>
      <w:pPr>
        <w:ind w:left="5891" w:hanging="360"/>
      </w:pPr>
    </w:lvl>
    <w:lvl w:ilvl="7" w:tplc="14090019" w:tentative="1">
      <w:start w:val="1"/>
      <w:numFmt w:val="lowerLetter"/>
      <w:lvlText w:val="%8."/>
      <w:lvlJc w:val="left"/>
      <w:pPr>
        <w:ind w:left="6611" w:hanging="360"/>
      </w:pPr>
    </w:lvl>
    <w:lvl w:ilvl="8" w:tplc="1409001B" w:tentative="1">
      <w:start w:val="1"/>
      <w:numFmt w:val="lowerRoman"/>
      <w:lvlText w:val="%9."/>
      <w:lvlJc w:val="right"/>
      <w:pPr>
        <w:ind w:left="7331" w:hanging="180"/>
      </w:pPr>
    </w:lvl>
  </w:abstractNum>
  <w:abstractNum w:abstractNumId="29" w15:restartNumberingAfterBreak="0">
    <w:nsid w:val="54463F1E"/>
    <w:multiLevelType w:val="hybridMultilevel"/>
    <w:tmpl w:val="51082C7C"/>
    <w:lvl w:ilvl="0" w:tplc="9D729144">
      <w:start w:val="1"/>
      <w:numFmt w:val="decimal"/>
      <w:lvlText w:val="%1."/>
      <w:lvlJc w:val="left"/>
      <w:pPr>
        <w:ind w:left="1571" w:hanging="360"/>
      </w:pPr>
    </w:lvl>
    <w:lvl w:ilvl="1" w:tplc="14090019" w:tentative="1">
      <w:start w:val="1"/>
      <w:numFmt w:val="lowerLetter"/>
      <w:lvlText w:val="%2."/>
      <w:lvlJc w:val="left"/>
      <w:pPr>
        <w:ind w:left="2291" w:hanging="360"/>
      </w:pPr>
    </w:lvl>
    <w:lvl w:ilvl="2" w:tplc="1409001B" w:tentative="1">
      <w:start w:val="1"/>
      <w:numFmt w:val="lowerRoman"/>
      <w:lvlText w:val="%3."/>
      <w:lvlJc w:val="right"/>
      <w:pPr>
        <w:ind w:left="3011" w:hanging="180"/>
      </w:pPr>
    </w:lvl>
    <w:lvl w:ilvl="3" w:tplc="1409000F" w:tentative="1">
      <w:start w:val="1"/>
      <w:numFmt w:val="decimal"/>
      <w:lvlText w:val="%4."/>
      <w:lvlJc w:val="left"/>
      <w:pPr>
        <w:ind w:left="3731" w:hanging="360"/>
      </w:pPr>
    </w:lvl>
    <w:lvl w:ilvl="4" w:tplc="14090019" w:tentative="1">
      <w:start w:val="1"/>
      <w:numFmt w:val="lowerLetter"/>
      <w:lvlText w:val="%5."/>
      <w:lvlJc w:val="left"/>
      <w:pPr>
        <w:ind w:left="4451" w:hanging="360"/>
      </w:pPr>
    </w:lvl>
    <w:lvl w:ilvl="5" w:tplc="1409001B" w:tentative="1">
      <w:start w:val="1"/>
      <w:numFmt w:val="lowerRoman"/>
      <w:lvlText w:val="%6."/>
      <w:lvlJc w:val="right"/>
      <w:pPr>
        <w:ind w:left="5171" w:hanging="180"/>
      </w:pPr>
    </w:lvl>
    <w:lvl w:ilvl="6" w:tplc="1409000F" w:tentative="1">
      <w:start w:val="1"/>
      <w:numFmt w:val="decimal"/>
      <w:lvlText w:val="%7."/>
      <w:lvlJc w:val="left"/>
      <w:pPr>
        <w:ind w:left="5891" w:hanging="360"/>
      </w:pPr>
    </w:lvl>
    <w:lvl w:ilvl="7" w:tplc="14090019" w:tentative="1">
      <w:start w:val="1"/>
      <w:numFmt w:val="lowerLetter"/>
      <w:lvlText w:val="%8."/>
      <w:lvlJc w:val="left"/>
      <w:pPr>
        <w:ind w:left="6611" w:hanging="360"/>
      </w:pPr>
    </w:lvl>
    <w:lvl w:ilvl="8" w:tplc="1409001B" w:tentative="1">
      <w:start w:val="1"/>
      <w:numFmt w:val="lowerRoman"/>
      <w:lvlText w:val="%9."/>
      <w:lvlJc w:val="right"/>
      <w:pPr>
        <w:ind w:left="7331" w:hanging="180"/>
      </w:pPr>
    </w:lvl>
  </w:abstractNum>
  <w:abstractNum w:abstractNumId="30" w15:restartNumberingAfterBreak="0">
    <w:nsid w:val="579064A7"/>
    <w:multiLevelType w:val="multilevel"/>
    <w:tmpl w:val="ABDE0030"/>
    <w:lvl w:ilvl="0">
      <w:start w:val="1"/>
      <w:numFmt w:val="decimal"/>
      <w:lvlText w:val="%1."/>
      <w:lvlJc w:val="left"/>
      <w:pPr>
        <w:tabs>
          <w:tab w:val="num" w:pos="567"/>
        </w:tabs>
        <w:ind w:left="567" w:hanging="567"/>
      </w:pPr>
      <w:rPr>
        <w:rFonts w:hint="default"/>
        <w:i w:val="0"/>
        <w:iCs w:val="0"/>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ascii="Times New Roman" w:hAnsi="Times New Roman" w:hint="default"/>
        <w:b w:val="0"/>
        <w:i w:val="0"/>
        <w:sz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5AC57DF9"/>
    <w:multiLevelType w:val="multilevel"/>
    <w:tmpl w:val="21EE2864"/>
    <w:lvl w:ilvl="0">
      <w:start w:val="3"/>
      <w:numFmt w:val="decimal"/>
      <w:suff w:val="nothing"/>
      <w:lvlText w:val="APPENDIX %1.1"/>
      <w:lvlJc w:val="left"/>
      <w:pPr>
        <w:ind w:left="0" w:firstLine="0"/>
      </w:pPr>
      <w:rPr>
        <w:rFonts w:ascii="Verdana" w:hAnsi="Verdana" w:hint="default"/>
        <w:b/>
        <w:i w:val="0"/>
        <w:caps w:val="0"/>
        <w:strike w:val="0"/>
        <w:dstrike w:val="0"/>
        <w:vanish w:val="0"/>
        <w:sz w:val="24"/>
        <w:vertAlign w:val="baseline"/>
      </w:rPr>
    </w:lvl>
    <w:lvl w:ilvl="1">
      <w:start w:val="1"/>
      <w:numFmt w:val="decimal"/>
      <w:lvlText w:val="3.1.%2"/>
      <w:lvlJc w:val="left"/>
      <w:pPr>
        <w:ind w:left="360" w:hanging="360"/>
      </w:pPr>
      <w:rPr>
        <w:rFonts w:ascii="Verdana" w:hAnsi="Verdana" w:hint="default"/>
        <w:sz w:val="20"/>
      </w:rPr>
    </w:lvl>
    <w:lvl w:ilvl="2">
      <w:start w:val="1"/>
      <w:numFmt w:val="bullet"/>
      <w:lvlText w:val=""/>
      <w:lvlJc w:val="left"/>
      <w:pPr>
        <w:tabs>
          <w:tab w:val="num" w:pos="1418"/>
        </w:tabs>
        <w:ind w:left="1418" w:hanging="567"/>
      </w:pPr>
      <w:rPr>
        <w:rFonts w:ascii="Symbol" w:hAnsi="Symbol" w:hint="default"/>
        <w:b w:val="0"/>
        <w:i w:val="0"/>
        <w:caps w:val="0"/>
        <w:strike w:val="0"/>
        <w:dstrike w:val="0"/>
        <w:sz w:val="24"/>
        <w:vertAlign w:val="baseline"/>
      </w:rPr>
    </w:lvl>
    <w:lvl w:ilvl="3">
      <w:start w:val="1"/>
      <w:numFmt w:val="bullet"/>
      <w:lvlText w:val="–"/>
      <w:lvlJc w:val="left"/>
      <w:pPr>
        <w:tabs>
          <w:tab w:val="num" w:pos="1985"/>
        </w:tabs>
        <w:ind w:left="1985" w:hanging="567"/>
      </w:pPr>
      <w:rPr>
        <w:rFonts w:ascii="Times New Roman" w:hAnsi="Times New Roman" w:cs="Times New Roman" w:hint="default"/>
      </w:rPr>
    </w:lvl>
    <w:lvl w:ilvl="4">
      <w:start w:val="1"/>
      <w:numFmt w:val="none"/>
      <w:lvlText w:val=""/>
      <w:lvlJc w:val="left"/>
      <w:pPr>
        <w:tabs>
          <w:tab w:val="num" w:pos="851"/>
        </w:tabs>
        <w:ind w:left="851" w:hanging="851"/>
      </w:pPr>
      <w:rPr>
        <w:rFonts w:hint="default"/>
      </w:rPr>
    </w:lvl>
    <w:lvl w:ilvl="5">
      <w:start w:val="1"/>
      <w:numFmt w:val="none"/>
      <w:lvlText w:val=""/>
      <w:lvlJc w:val="left"/>
      <w:pPr>
        <w:tabs>
          <w:tab w:val="num" w:pos="851"/>
        </w:tabs>
        <w:ind w:left="851" w:hanging="851"/>
      </w:pPr>
      <w:rPr>
        <w:rFonts w:hint="default"/>
      </w:rPr>
    </w:lvl>
    <w:lvl w:ilvl="6">
      <w:start w:val="1"/>
      <w:numFmt w:val="none"/>
      <w:lvlText w:val=""/>
      <w:lvlJc w:val="left"/>
      <w:pPr>
        <w:tabs>
          <w:tab w:val="num" w:pos="851"/>
        </w:tabs>
        <w:ind w:left="851" w:hanging="851"/>
      </w:pPr>
      <w:rPr>
        <w:rFonts w:hint="default"/>
      </w:rPr>
    </w:lvl>
    <w:lvl w:ilvl="7">
      <w:start w:val="1"/>
      <w:numFmt w:val="none"/>
      <w:lvlText w:val=""/>
      <w:lvlJc w:val="left"/>
      <w:pPr>
        <w:tabs>
          <w:tab w:val="num" w:pos="851"/>
        </w:tabs>
        <w:ind w:left="851" w:hanging="851"/>
      </w:pPr>
      <w:rPr>
        <w:rFonts w:hint="default"/>
      </w:rPr>
    </w:lvl>
    <w:lvl w:ilvl="8">
      <w:start w:val="1"/>
      <w:numFmt w:val="none"/>
      <w:lvlText w:val=""/>
      <w:lvlJc w:val="left"/>
      <w:pPr>
        <w:tabs>
          <w:tab w:val="num" w:pos="851"/>
        </w:tabs>
        <w:ind w:left="851" w:hanging="851"/>
      </w:pPr>
      <w:rPr>
        <w:rFonts w:hint="default"/>
      </w:rPr>
    </w:lvl>
  </w:abstractNum>
  <w:abstractNum w:abstractNumId="32" w15:restartNumberingAfterBreak="0">
    <w:nsid w:val="5B587CB2"/>
    <w:multiLevelType w:val="multilevel"/>
    <w:tmpl w:val="4D900B60"/>
    <w:lvl w:ilvl="0">
      <w:start w:val="3"/>
      <w:numFmt w:val="decimal"/>
      <w:suff w:val="nothing"/>
      <w:lvlText w:val="APPENDIX %1.1"/>
      <w:lvlJc w:val="left"/>
      <w:pPr>
        <w:ind w:left="0" w:firstLine="0"/>
      </w:pPr>
      <w:rPr>
        <w:rFonts w:ascii="Verdana" w:hAnsi="Verdana" w:hint="default"/>
        <w:b/>
        <w:i w:val="0"/>
        <w:caps w:val="0"/>
        <w:strike w:val="0"/>
        <w:dstrike w:val="0"/>
        <w:vanish w:val="0"/>
        <w:sz w:val="24"/>
        <w:vertAlign w:val="baseline"/>
      </w:rPr>
    </w:lvl>
    <w:lvl w:ilvl="1">
      <w:start w:val="1"/>
      <w:numFmt w:val="decimal"/>
      <w:lvlText w:val="4.1.%2"/>
      <w:lvlJc w:val="left"/>
      <w:pPr>
        <w:ind w:left="360" w:hanging="360"/>
      </w:pPr>
      <w:rPr>
        <w:rFonts w:ascii="Verdana" w:hAnsi="Verdana" w:hint="default"/>
        <w:sz w:val="20"/>
      </w:rPr>
    </w:lvl>
    <w:lvl w:ilvl="2">
      <w:start w:val="1"/>
      <w:numFmt w:val="bullet"/>
      <w:lvlText w:val=""/>
      <w:lvlJc w:val="left"/>
      <w:pPr>
        <w:tabs>
          <w:tab w:val="num" w:pos="1418"/>
        </w:tabs>
        <w:ind w:left="1418" w:hanging="567"/>
      </w:pPr>
      <w:rPr>
        <w:rFonts w:ascii="Symbol" w:hAnsi="Symbol" w:hint="default"/>
        <w:b w:val="0"/>
        <w:i w:val="0"/>
        <w:caps w:val="0"/>
        <w:strike w:val="0"/>
        <w:dstrike w:val="0"/>
        <w:sz w:val="24"/>
        <w:vertAlign w:val="baseline"/>
      </w:rPr>
    </w:lvl>
    <w:lvl w:ilvl="3">
      <w:start w:val="1"/>
      <w:numFmt w:val="bullet"/>
      <w:lvlText w:val="–"/>
      <w:lvlJc w:val="left"/>
      <w:pPr>
        <w:tabs>
          <w:tab w:val="num" w:pos="1985"/>
        </w:tabs>
        <w:ind w:left="1985" w:hanging="567"/>
      </w:pPr>
      <w:rPr>
        <w:rFonts w:ascii="Times New Roman" w:hAnsi="Times New Roman" w:cs="Times New Roman" w:hint="default"/>
      </w:rPr>
    </w:lvl>
    <w:lvl w:ilvl="4">
      <w:start w:val="1"/>
      <w:numFmt w:val="none"/>
      <w:lvlText w:val=""/>
      <w:lvlJc w:val="left"/>
      <w:pPr>
        <w:tabs>
          <w:tab w:val="num" w:pos="851"/>
        </w:tabs>
        <w:ind w:left="851" w:hanging="851"/>
      </w:pPr>
      <w:rPr>
        <w:rFonts w:hint="default"/>
      </w:rPr>
    </w:lvl>
    <w:lvl w:ilvl="5">
      <w:start w:val="1"/>
      <w:numFmt w:val="none"/>
      <w:lvlText w:val=""/>
      <w:lvlJc w:val="left"/>
      <w:pPr>
        <w:tabs>
          <w:tab w:val="num" w:pos="851"/>
        </w:tabs>
        <w:ind w:left="851" w:hanging="851"/>
      </w:pPr>
      <w:rPr>
        <w:rFonts w:hint="default"/>
      </w:rPr>
    </w:lvl>
    <w:lvl w:ilvl="6">
      <w:start w:val="1"/>
      <w:numFmt w:val="none"/>
      <w:lvlText w:val=""/>
      <w:lvlJc w:val="left"/>
      <w:pPr>
        <w:tabs>
          <w:tab w:val="num" w:pos="851"/>
        </w:tabs>
        <w:ind w:left="851" w:hanging="851"/>
      </w:pPr>
      <w:rPr>
        <w:rFonts w:hint="default"/>
      </w:rPr>
    </w:lvl>
    <w:lvl w:ilvl="7">
      <w:start w:val="1"/>
      <w:numFmt w:val="none"/>
      <w:lvlText w:val=""/>
      <w:lvlJc w:val="left"/>
      <w:pPr>
        <w:tabs>
          <w:tab w:val="num" w:pos="851"/>
        </w:tabs>
        <w:ind w:left="851" w:hanging="851"/>
      </w:pPr>
      <w:rPr>
        <w:rFonts w:hint="default"/>
      </w:rPr>
    </w:lvl>
    <w:lvl w:ilvl="8">
      <w:start w:val="1"/>
      <w:numFmt w:val="none"/>
      <w:lvlText w:val=""/>
      <w:lvlJc w:val="left"/>
      <w:pPr>
        <w:tabs>
          <w:tab w:val="num" w:pos="851"/>
        </w:tabs>
        <w:ind w:left="851" w:hanging="851"/>
      </w:pPr>
      <w:rPr>
        <w:rFonts w:hint="default"/>
      </w:rPr>
    </w:lvl>
  </w:abstractNum>
  <w:abstractNum w:abstractNumId="33" w15:restartNumberingAfterBreak="0">
    <w:nsid w:val="6204755D"/>
    <w:multiLevelType w:val="multilevel"/>
    <w:tmpl w:val="D8A86770"/>
    <w:styleLink w:val="NumberedList"/>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ascii="Times New Roman" w:hAnsi="Times New Roman" w:hint="default"/>
        <w:b w:val="0"/>
        <w:i w:val="0"/>
        <w:sz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67DA665C"/>
    <w:multiLevelType w:val="multilevel"/>
    <w:tmpl w:val="787492D8"/>
    <w:lvl w:ilvl="0">
      <w:start w:val="1"/>
      <w:numFmt w:val="bullet"/>
      <w:pStyle w:val="ListBullet"/>
      <w:lvlText w:val=""/>
      <w:lvlJc w:val="left"/>
      <w:pPr>
        <w:tabs>
          <w:tab w:val="num" w:pos="567"/>
        </w:tabs>
        <w:ind w:left="567" w:hanging="567"/>
      </w:pPr>
      <w:rPr>
        <w:rFonts w:ascii="Symbol" w:hAnsi="Symbol" w:hint="default"/>
        <w:color w:val="auto"/>
      </w:rPr>
    </w:lvl>
    <w:lvl w:ilvl="1">
      <w:start w:val="1"/>
      <w:numFmt w:val="bullet"/>
      <w:pStyle w:val="ListBullet2"/>
      <w:lvlText w:val="–"/>
      <w:lvlJc w:val="left"/>
      <w:pPr>
        <w:tabs>
          <w:tab w:val="num" w:pos="1134"/>
        </w:tabs>
        <w:ind w:left="1134" w:hanging="567"/>
      </w:pPr>
      <w:rPr>
        <w:rFonts w:ascii="Times New Roman" w:hAnsi="Times New Roman" w:cs="Times New Roman" w:hint="default"/>
      </w:rPr>
    </w:lvl>
    <w:lvl w:ilvl="2">
      <w:start w:val="1"/>
      <w:numFmt w:val="bullet"/>
      <w:pStyle w:val="ListBullet3"/>
      <w:lvlText w:val="o"/>
      <w:lvlJc w:val="left"/>
      <w:pPr>
        <w:tabs>
          <w:tab w:val="num" w:pos="1701"/>
        </w:tabs>
        <w:ind w:left="1701" w:hanging="567"/>
      </w:pPr>
      <w:rPr>
        <w:rFonts w:ascii="Courier New" w:hAnsi="Courier New" w:hint="default"/>
      </w:rPr>
    </w:lvl>
    <w:lvl w:ilvl="3">
      <w:start w:val="1"/>
      <w:numFmt w:val="bullet"/>
      <w:lvlText w:val=""/>
      <w:lvlJc w:val="left"/>
      <w:pPr>
        <w:tabs>
          <w:tab w:val="num" w:pos="2268"/>
        </w:tabs>
        <w:ind w:left="2268" w:hanging="567"/>
      </w:pPr>
      <w:rPr>
        <w:rFonts w:ascii="Symbol" w:hAnsi="Symbol" w:hint="default"/>
      </w:rPr>
    </w:lvl>
    <w:lvl w:ilvl="4">
      <w:start w:val="1"/>
      <w:numFmt w:val="bullet"/>
      <w:lvlText w:val=""/>
      <w:lvlJc w:val="left"/>
      <w:pPr>
        <w:tabs>
          <w:tab w:val="num" w:pos="2835"/>
        </w:tabs>
        <w:ind w:left="2835" w:hanging="567"/>
      </w:pPr>
      <w:rPr>
        <w:rFonts w:ascii="Symbol" w:hAnsi="Symbol" w:hint="default"/>
      </w:rPr>
    </w:lvl>
    <w:lvl w:ilvl="5">
      <w:start w:val="1"/>
      <w:numFmt w:val="bullet"/>
      <w:lvlText w:val=""/>
      <w:lvlJc w:val="left"/>
      <w:pPr>
        <w:tabs>
          <w:tab w:val="num" w:pos="3402"/>
        </w:tabs>
        <w:ind w:left="3402" w:hanging="567"/>
      </w:pPr>
      <w:rPr>
        <w:rFonts w:ascii="Wingdings" w:hAnsi="Wingdings" w:hint="default"/>
      </w:rPr>
    </w:lvl>
    <w:lvl w:ilvl="6">
      <w:start w:val="1"/>
      <w:numFmt w:val="bullet"/>
      <w:lvlText w:val=""/>
      <w:lvlJc w:val="left"/>
      <w:pPr>
        <w:tabs>
          <w:tab w:val="num" w:pos="3969"/>
        </w:tabs>
        <w:ind w:left="3969" w:hanging="567"/>
      </w:pPr>
      <w:rPr>
        <w:rFonts w:ascii="Wingdings" w:hAnsi="Wingdings" w:hint="default"/>
      </w:rPr>
    </w:lvl>
    <w:lvl w:ilvl="7">
      <w:start w:val="1"/>
      <w:numFmt w:val="bullet"/>
      <w:lvlText w:val=""/>
      <w:lvlJc w:val="left"/>
      <w:pPr>
        <w:tabs>
          <w:tab w:val="num" w:pos="4536"/>
        </w:tabs>
        <w:ind w:left="4536" w:hanging="567"/>
      </w:pPr>
      <w:rPr>
        <w:rFonts w:ascii="Symbol" w:hAnsi="Symbol" w:hint="default"/>
      </w:rPr>
    </w:lvl>
    <w:lvl w:ilvl="8">
      <w:start w:val="1"/>
      <w:numFmt w:val="bullet"/>
      <w:lvlText w:val=""/>
      <w:lvlJc w:val="left"/>
      <w:pPr>
        <w:tabs>
          <w:tab w:val="num" w:pos="5103"/>
        </w:tabs>
        <w:ind w:left="5103" w:hanging="567"/>
      </w:pPr>
      <w:rPr>
        <w:rFonts w:ascii="Symbol" w:hAnsi="Symbol" w:hint="default"/>
      </w:rPr>
    </w:lvl>
  </w:abstractNum>
  <w:abstractNum w:abstractNumId="35" w15:restartNumberingAfterBreak="0">
    <w:nsid w:val="6A981CA4"/>
    <w:multiLevelType w:val="multilevel"/>
    <w:tmpl w:val="FC2A69F2"/>
    <w:lvl w:ilvl="0">
      <w:start w:val="3"/>
      <w:numFmt w:val="decimal"/>
      <w:suff w:val="nothing"/>
      <w:lvlText w:val="APPENDIX %1.1"/>
      <w:lvlJc w:val="left"/>
      <w:pPr>
        <w:ind w:left="0" w:firstLine="0"/>
      </w:pPr>
      <w:rPr>
        <w:rFonts w:ascii="Verdana" w:hAnsi="Verdana" w:hint="default"/>
        <w:b/>
        <w:i w:val="0"/>
        <w:caps w:val="0"/>
        <w:strike w:val="0"/>
        <w:dstrike w:val="0"/>
        <w:vanish w:val="0"/>
        <w:sz w:val="24"/>
        <w:vertAlign w:val="baseline"/>
      </w:rPr>
    </w:lvl>
    <w:lvl w:ilvl="1">
      <w:start w:val="1"/>
      <w:numFmt w:val="decimal"/>
      <w:lvlText w:val="%1.1.%2"/>
      <w:lvlJc w:val="left"/>
      <w:pPr>
        <w:tabs>
          <w:tab w:val="num" w:pos="851"/>
        </w:tabs>
        <w:ind w:left="851" w:hanging="851"/>
      </w:pPr>
      <w:rPr>
        <w:rFonts w:ascii="Verdana" w:hAnsi="Verdana" w:hint="default"/>
        <w:b w:val="0"/>
        <w:i w:val="0"/>
        <w:caps w:val="0"/>
        <w:strike w:val="0"/>
        <w:dstrike w:val="0"/>
        <w:vanish w:val="0"/>
        <w:sz w:val="20"/>
        <w:vertAlign w:val="baseline"/>
      </w:rPr>
    </w:lvl>
    <w:lvl w:ilvl="2">
      <w:start w:val="1"/>
      <w:numFmt w:val="bullet"/>
      <w:lvlText w:val=""/>
      <w:lvlJc w:val="left"/>
      <w:pPr>
        <w:tabs>
          <w:tab w:val="num" w:pos="1418"/>
        </w:tabs>
        <w:ind w:left="1418" w:hanging="567"/>
      </w:pPr>
      <w:rPr>
        <w:rFonts w:ascii="Symbol" w:hAnsi="Symbol" w:hint="default"/>
        <w:b w:val="0"/>
        <w:i w:val="0"/>
        <w:caps w:val="0"/>
        <w:strike w:val="0"/>
        <w:dstrike w:val="0"/>
        <w:sz w:val="24"/>
        <w:vertAlign w:val="baseline"/>
      </w:rPr>
    </w:lvl>
    <w:lvl w:ilvl="3">
      <w:start w:val="1"/>
      <w:numFmt w:val="bullet"/>
      <w:lvlText w:val="–"/>
      <w:lvlJc w:val="left"/>
      <w:pPr>
        <w:tabs>
          <w:tab w:val="num" w:pos="1985"/>
        </w:tabs>
        <w:ind w:left="1985" w:hanging="567"/>
      </w:pPr>
      <w:rPr>
        <w:rFonts w:ascii="Times New Roman" w:hAnsi="Times New Roman" w:cs="Times New Roman" w:hint="default"/>
      </w:rPr>
    </w:lvl>
    <w:lvl w:ilvl="4">
      <w:start w:val="1"/>
      <w:numFmt w:val="none"/>
      <w:lvlText w:val=""/>
      <w:lvlJc w:val="left"/>
      <w:pPr>
        <w:tabs>
          <w:tab w:val="num" w:pos="851"/>
        </w:tabs>
        <w:ind w:left="851" w:hanging="851"/>
      </w:pPr>
      <w:rPr>
        <w:rFonts w:hint="default"/>
      </w:rPr>
    </w:lvl>
    <w:lvl w:ilvl="5">
      <w:start w:val="1"/>
      <w:numFmt w:val="none"/>
      <w:lvlText w:val=""/>
      <w:lvlJc w:val="left"/>
      <w:pPr>
        <w:tabs>
          <w:tab w:val="num" w:pos="851"/>
        </w:tabs>
        <w:ind w:left="851" w:hanging="851"/>
      </w:pPr>
      <w:rPr>
        <w:rFonts w:hint="default"/>
      </w:rPr>
    </w:lvl>
    <w:lvl w:ilvl="6">
      <w:start w:val="1"/>
      <w:numFmt w:val="none"/>
      <w:lvlText w:val=""/>
      <w:lvlJc w:val="left"/>
      <w:pPr>
        <w:tabs>
          <w:tab w:val="num" w:pos="851"/>
        </w:tabs>
        <w:ind w:left="851" w:hanging="851"/>
      </w:pPr>
      <w:rPr>
        <w:rFonts w:hint="default"/>
      </w:rPr>
    </w:lvl>
    <w:lvl w:ilvl="7">
      <w:start w:val="1"/>
      <w:numFmt w:val="none"/>
      <w:lvlText w:val=""/>
      <w:lvlJc w:val="left"/>
      <w:pPr>
        <w:tabs>
          <w:tab w:val="num" w:pos="851"/>
        </w:tabs>
        <w:ind w:left="851" w:hanging="851"/>
      </w:pPr>
      <w:rPr>
        <w:rFonts w:hint="default"/>
      </w:rPr>
    </w:lvl>
    <w:lvl w:ilvl="8">
      <w:start w:val="1"/>
      <w:numFmt w:val="none"/>
      <w:lvlText w:val=""/>
      <w:lvlJc w:val="left"/>
      <w:pPr>
        <w:tabs>
          <w:tab w:val="num" w:pos="851"/>
        </w:tabs>
        <w:ind w:left="851" w:hanging="851"/>
      </w:pPr>
      <w:rPr>
        <w:rFonts w:hint="default"/>
      </w:rPr>
    </w:lvl>
  </w:abstractNum>
  <w:abstractNum w:abstractNumId="36" w15:restartNumberingAfterBreak="0">
    <w:nsid w:val="6C2210EE"/>
    <w:multiLevelType w:val="multilevel"/>
    <w:tmpl w:val="79309486"/>
    <w:lvl w:ilvl="0">
      <w:start w:val="1"/>
      <w:numFmt w:val="decimal"/>
      <w:suff w:val="nothing"/>
      <w:lvlText w:val="CHAPTER %1"/>
      <w:lvlJc w:val="left"/>
      <w:pPr>
        <w:ind w:left="3970" w:firstLine="0"/>
      </w:pPr>
      <w:rPr>
        <w:rFonts w:ascii="Verdana" w:hAnsi="Verdana" w:hint="default"/>
        <w:b/>
        <w:i w:val="0"/>
        <w:caps w:val="0"/>
        <w:strike w:val="0"/>
        <w:dstrike w:val="0"/>
        <w:vanish w:val="0"/>
        <w:sz w:val="24"/>
        <w:szCs w:val="24"/>
        <w:vertAlign w:val="baseline"/>
      </w:rPr>
    </w:lvl>
    <w:lvl w:ilvl="1">
      <w:start w:val="1"/>
      <w:numFmt w:val="decimal"/>
      <w:lvlText w:val="%1.%2"/>
      <w:lvlJc w:val="left"/>
      <w:pPr>
        <w:tabs>
          <w:tab w:val="num" w:pos="851"/>
        </w:tabs>
        <w:ind w:left="851" w:hanging="851"/>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bullet"/>
      <w:lvlText w:val=""/>
      <w:lvlJc w:val="left"/>
      <w:pPr>
        <w:tabs>
          <w:tab w:val="num" w:pos="1418"/>
        </w:tabs>
        <w:ind w:left="1418" w:hanging="567"/>
      </w:pPr>
      <w:rPr>
        <w:rFonts w:ascii="Symbol" w:hAnsi="Symbol" w:hint="default"/>
        <w:b w:val="0"/>
        <w:i w:val="0"/>
        <w:caps w:val="0"/>
        <w:strike w:val="0"/>
        <w:dstrike w:val="0"/>
        <w:sz w:val="24"/>
        <w:vertAlign w:val="baseline"/>
      </w:rPr>
    </w:lvl>
    <w:lvl w:ilvl="3">
      <w:start w:val="1"/>
      <w:numFmt w:val="bullet"/>
      <w:lvlText w:val="–"/>
      <w:lvlJc w:val="left"/>
      <w:pPr>
        <w:tabs>
          <w:tab w:val="num" w:pos="1985"/>
        </w:tabs>
        <w:ind w:left="1985" w:hanging="567"/>
      </w:pPr>
      <w:rPr>
        <w:rFonts w:ascii="Times New Roman" w:hAnsi="Times New Roman" w:cs="Times New Roman" w:hint="default"/>
      </w:rPr>
    </w:lvl>
    <w:lvl w:ilvl="4">
      <w:start w:val="1"/>
      <w:numFmt w:val="none"/>
      <w:lvlText w:val=""/>
      <w:lvlJc w:val="left"/>
      <w:pPr>
        <w:tabs>
          <w:tab w:val="num" w:pos="851"/>
        </w:tabs>
        <w:ind w:left="851" w:hanging="851"/>
      </w:pPr>
      <w:rPr>
        <w:rFonts w:hint="default"/>
      </w:rPr>
    </w:lvl>
    <w:lvl w:ilvl="5">
      <w:start w:val="1"/>
      <w:numFmt w:val="none"/>
      <w:lvlText w:val=""/>
      <w:lvlJc w:val="left"/>
      <w:pPr>
        <w:tabs>
          <w:tab w:val="num" w:pos="851"/>
        </w:tabs>
        <w:ind w:left="851" w:hanging="851"/>
      </w:pPr>
      <w:rPr>
        <w:rFonts w:hint="default"/>
      </w:rPr>
    </w:lvl>
    <w:lvl w:ilvl="6">
      <w:start w:val="1"/>
      <w:numFmt w:val="none"/>
      <w:lvlText w:val=""/>
      <w:lvlJc w:val="left"/>
      <w:pPr>
        <w:tabs>
          <w:tab w:val="num" w:pos="851"/>
        </w:tabs>
        <w:ind w:left="851" w:hanging="851"/>
      </w:pPr>
      <w:rPr>
        <w:rFonts w:hint="default"/>
      </w:rPr>
    </w:lvl>
    <w:lvl w:ilvl="7">
      <w:start w:val="1"/>
      <w:numFmt w:val="none"/>
      <w:lvlText w:val=""/>
      <w:lvlJc w:val="left"/>
      <w:pPr>
        <w:tabs>
          <w:tab w:val="num" w:pos="851"/>
        </w:tabs>
        <w:ind w:left="851" w:hanging="851"/>
      </w:pPr>
      <w:rPr>
        <w:rFonts w:hint="default"/>
      </w:rPr>
    </w:lvl>
    <w:lvl w:ilvl="8">
      <w:start w:val="1"/>
      <w:numFmt w:val="none"/>
      <w:lvlText w:val=""/>
      <w:lvlJc w:val="left"/>
      <w:pPr>
        <w:tabs>
          <w:tab w:val="num" w:pos="851"/>
        </w:tabs>
        <w:ind w:left="851" w:hanging="851"/>
      </w:pPr>
      <w:rPr>
        <w:rFonts w:hint="default"/>
      </w:rPr>
    </w:lvl>
  </w:abstractNum>
  <w:abstractNum w:abstractNumId="37" w15:restartNumberingAfterBreak="0">
    <w:nsid w:val="6E1A283E"/>
    <w:multiLevelType w:val="multilevel"/>
    <w:tmpl w:val="6CBC0200"/>
    <w:lvl w:ilvl="0">
      <w:start w:val="1"/>
      <w:numFmt w:val="bullet"/>
      <w:pStyle w:val="Example-ListBullet1"/>
      <w:lvlText w:val=""/>
      <w:lvlJc w:val="left"/>
      <w:pPr>
        <w:ind w:left="0" w:firstLine="284"/>
      </w:pPr>
      <w:rPr>
        <w:rFonts w:ascii="Symbol" w:hAnsi="Symbol" w:hint="default"/>
      </w:rPr>
    </w:lvl>
    <w:lvl w:ilvl="1">
      <w:start w:val="1"/>
      <w:numFmt w:val="bullet"/>
      <w:lvlText w:val="–"/>
      <w:lvlJc w:val="left"/>
      <w:pPr>
        <w:ind w:left="284" w:hanging="284"/>
      </w:pPr>
      <w:rPr>
        <w:rFonts w:ascii="Times New Roman" w:hAnsi="Times New Roman" w:cs="Times New Roman" w:hint="default"/>
      </w:rPr>
    </w:lvl>
    <w:lvl w:ilvl="2">
      <w:start w:val="1"/>
      <w:numFmt w:val="bullet"/>
      <w:lvlText w:val=""/>
      <w:lvlJc w:val="left"/>
      <w:pPr>
        <w:ind w:left="568" w:firstLine="284"/>
      </w:pPr>
      <w:rPr>
        <w:rFonts w:ascii="Wingdings" w:hAnsi="Wingdings" w:hint="default"/>
      </w:rPr>
    </w:lvl>
    <w:lvl w:ilvl="3">
      <w:start w:val="1"/>
      <w:numFmt w:val="bullet"/>
      <w:lvlText w:val=""/>
      <w:lvlJc w:val="left"/>
      <w:pPr>
        <w:ind w:left="852" w:firstLine="284"/>
      </w:pPr>
      <w:rPr>
        <w:rFonts w:ascii="Symbol" w:hAnsi="Symbol" w:hint="default"/>
      </w:rPr>
    </w:lvl>
    <w:lvl w:ilvl="4">
      <w:start w:val="1"/>
      <w:numFmt w:val="bullet"/>
      <w:lvlText w:val="o"/>
      <w:lvlJc w:val="left"/>
      <w:pPr>
        <w:ind w:left="1136" w:firstLine="284"/>
      </w:pPr>
      <w:rPr>
        <w:rFonts w:ascii="Courier New" w:hAnsi="Courier New" w:cs="Courier New" w:hint="default"/>
      </w:rPr>
    </w:lvl>
    <w:lvl w:ilvl="5">
      <w:start w:val="1"/>
      <w:numFmt w:val="bullet"/>
      <w:lvlText w:val=""/>
      <w:lvlJc w:val="left"/>
      <w:pPr>
        <w:ind w:left="1420" w:firstLine="284"/>
      </w:pPr>
      <w:rPr>
        <w:rFonts w:ascii="Wingdings" w:hAnsi="Wingdings" w:hint="default"/>
      </w:rPr>
    </w:lvl>
    <w:lvl w:ilvl="6">
      <w:start w:val="1"/>
      <w:numFmt w:val="bullet"/>
      <w:lvlText w:val=""/>
      <w:lvlJc w:val="left"/>
      <w:pPr>
        <w:ind w:left="1704" w:firstLine="284"/>
      </w:pPr>
      <w:rPr>
        <w:rFonts w:ascii="Symbol" w:hAnsi="Symbol" w:hint="default"/>
      </w:rPr>
    </w:lvl>
    <w:lvl w:ilvl="7">
      <w:start w:val="1"/>
      <w:numFmt w:val="bullet"/>
      <w:lvlText w:val="o"/>
      <w:lvlJc w:val="left"/>
      <w:pPr>
        <w:ind w:left="1988" w:firstLine="284"/>
      </w:pPr>
      <w:rPr>
        <w:rFonts w:ascii="Courier New" w:hAnsi="Courier New" w:cs="Courier New" w:hint="default"/>
      </w:rPr>
    </w:lvl>
    <w:lvl w:ilvl="8">
      <w:start w:val="1"/>
      <w:numFmt w:val="bullet"/>
      <w:lvlText w:val=""/>
      <w:lvlJc w:val="left"/>
      <w:pPr>
        <w:ind w:left="2272" w:firstLine="284"/>
      </w:pPr>
      <w:rPr>
        <w:rFonts w:ascii="Wingdings" w:hAnsi="Wingdings" w:hint="default"/>
      </w:rPr>
    </w:lvl>
  </w:abstractNum>
  <w:abstractNum w:abstractNumId="38" w15:restartNumberingAfterBreak="0">
    <w:nsid w:val="74436CC6"/>
    <w:multiLevelType w:val="hybridMultilevel"/>
    <w:tmpl w:val="6262AD4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39" w15:restartNumberingAfterBreak="0">
    <w:nsid w:val="77A24DBA"/>
    <w:multiLevelType w:val="hybridMultilevel"/>
    <w:tmpl w:val="3FA62BF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0" w15:restartNumberingAfterBreak="0">
    <w:nsid w:val="79F46A38"/>
    <w:multiLevelType w:val="multilevel"/>
    <w:tmpl w:val="0C6606AA"/>
    <w:lvl w:ilvl="0">
      <w:start w:val="1"/>
      <w:numFmt w:val="decimal"/>
      <w:pStyle w:val="NumberedParagraph-NumberedLists"/>
      <w:lvlText w:val="%1."/>
      <w:lvlJc w:val="left"/>
      <w:pPr>
        <w:tabs>
          <w:tab w:val="num" w:pos="1418"/>
        </w:tabs>
        <w:ind w:left="1418" w:hanging="567"/>
      </w:pPr>
      <w:rPr>
        <w:rFonts w:ascii="Times New Roman" w:hAnsi="Times New Roman" w:hint="default"/>
        <w:sz w:val="24"/>
      </w:rPr>
    </w:lvl>
    <w:lvl w:ilvl="1">
      <w:start w:val="1"/>
      <w:numFmt w:val="lowerLetter"/>
      <w:lvlText w:val="%2."/>
      <w:lvlJc w:val="left"/>
      <w:pPr>
        <w:tabs>
          <w:tab w:val="num" w:pos="1985"/>
        </w:tabs>
        <w:ind w:left="1985" w:hanging="567"/>
      </w:pPr>
      <w:rPr>
        <w:rFonts w:ascii="Verdana" w:hAnsi="Verdana" w:hint="default"/>
        <w:sz w:val="24"/>
      </w:rPr>
    </w:lvl>
    <w:lvl w:ilvl="2">
      <w:start w:val="1"/>
      <w:numFmt w:val="lowerRoman"/>
      <w:lvlText w:val="%3."/>
      <w:lvlJc w:val="right"/>
      <w:pPr>
        <w:tabs>
          <w:tab w:val="num" w:pos="2552"/>
        </w:tabs>
        <w:ind w:left="2552" w:hanging="426"/>
      </w:pPr>
      <w:rPr>
        <w:rFonts w:ascii="Times New Roman" w:hAnsi="Times New Roman" w:hint="default"/>
        <w:sz w:val="24"/>
      </w:rPr>
    </w:lvl>
    <w:lvl w:ilvl="3">
      <w:start w:val="1"/>
      <w:numFmt w:val="decimal"/>
      <w:lvlText w:val="%4."/>
      <w:lvlJc w:val="left"/>
      <w:pPr>
        <w:tabs>
          <w:tab w:val="num" w:pos="2977"/>
        </w:tabs>
        <w:ind w:left="3119" w:hanging="567"/>
      </w:pPr>
      <w:rPr>
        <w:rFonts w:hint="default"/>
      </w:rPr>
    </w:lvl>
    <w:lvl w:ilvl="4">
      <w:start w:val="1"/>
      <w:numFmt w:val="lowerLetter"/>
      <w:lvlText w:val="%5."/>
      <w:lvlJc w:val="left"/>
      <w:pPr>
        <w:tabs>
          <w:tab w:val="num" w:pos="3544"/>
        </w:tabs>
        <w:ind w:left="3686" w:hanging="567"/>
      </w:pPr>
      <w:rPr>
        <w:rFonts w:hint="default"/>
      </w:rPr>
    </w:lvl>
    <w:lvl w:ilvl="5">
      <w:start w:val="1"/>
      <w:numFmt w:val="lowerRoman"/>
      <w:lvlText w:val="%6."/>
      <w:lvlJc w:val="right"/>
      <w:pPr>
        <w:tabs>
          <w:tab w:val="num" w:pos="4111"/>
        </w:tabs>
        <w:ind w:left="4253" w:hanging="567"/>
      </w:pPr>
      <w:rPr>
        <w:rFonts w:hint="default"/>
      </w:rPr>
    </w:lvl>
    <w:lvl w:ilvl="6">
      <w:start w:val="1"/>
      <w:numFmt w:val="decimal"/>
      <w:lvlText w:val="%7."/>
      <w:lvlJc w:val="left"/>
      <w:pPr>
        <w:tabs>
          <w:tab w:val="num" w:pos="4678"/>
        </w:tabs>
        <w:ind w:left="4820" w:hanging="567"/>
      </w:pPr>
      <w:rPr>
        <w:rFonts w:hint="default"/>
      </w:rPr>
    </w:lvl>
    <w:lvl w:ilvl="7">
      <w:start w:val="1"/>
      <w:numFmt w:val="lowerLetter"/>
      <w:lvlText w:val="%8."/>
      <w:lvlJc w:val="left"/>
      <w:pPr>
        <w:tabs>
          <w:tab w:val="num" w:pos="5245"/>
        </w:tabs>
        <w:ind w:left="5387" w:hanging="567"/>
      </w:pPr>
      <w:rPr>
        <w:rFonts w:hint="default"/>
      </w:rPr>
    </w:lvl>
    <w:lvl w:ilvl="8">
      <w:start w:val="1"/>
      <w:numFmt w:val="lowerRoman"/>
      <w:lvlText w:val="%9."/>
      <w:lvlJc w:val="right"/>
      <w:pPr>
        <w:tabs>
          <w:tab w:val="num" w:pos="5812"/>
        </w:tabs>
        <w:ind w:left="5954" w:hanging="567"/>
      </w:pPr>
      <w:rPr>
        <w:rFonts w:hint="default"/>
      </w:rPr>
    </w:lvl>
  </w:abstractNum>
  <w:abstractNum w:abstractNumId="41" w15:restartNumberingAfterBreak="0">
    <w:nsid w:val="7E460C25"/>
    <w:multiLevelType w:val="multilevel"/>
    <w:tmpl w:val="1C3C83FA"/>
    <w:lvl w:ilvl="0">
      <w:start w:val="1"/>
      <w:numFmt w:val="decimal"/>
      <w:suff w:val="space"/>
      <w:lvlText w:val="Chapter %1"/>
      <w:lvlJc w:val="left"/>
      <w:pPr>
        <w:ind w:left="0" w:firstLine="0"/>
      </w:pPr>
    </w:lvl>
    <w:lvl w:ilvl="1">
      <w:start w:val="1"/>
      <w:numFmt w:val="none"/>
      <w:pStyle w:val="Heading2"/>
      <w:suff w:val="nothing"/>
      <w:lvlText w:val=""/>
      <w:lvlJc w:val="left"/>
      <w:pPr>
        <w:ind w:left="0" w:firstLine="0"/>
      </w:pPr>
    </w:lvl>
    <w:lvl w:ilvl="2">
      <w:start w:val="1"/>
      <w:numFmt w:val="none"/>
      <w:pStyle w:val="Heading3"/>
      <w:suff w:val="nothing"/>
      <w:lvlText w:val=""/>
      <w:lvlJc w:val="left"/>
      <w:pPr>
        <w:ind w:left="0" w:firstLine="0"/>
      </w:pPr>
    </w:lvl>
    <w:lvl w:ilvl="3">
      <w:start w:val="1"/>
      <w:numFmt w:val="none"/>
      <w:pStyle w:val="Heading4"/>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num w:numId="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4"/>
  </w:num>
  <w:num w:numId="3">
    <w:abstractNumId w:val="40"/>
  </w:num>
  <w:num w:numId="4">
    <w:abstractNumId w:val="37"/>
  </w:num>
  <w:num w:numId="5">
    <w:abstractNumId w:val="40"/>
  </w:num>
  <w:num w:numId="6">
    <w:abstractNumId w:val="9"/>
  </w:num>
  <w:num w:numId="7">
    <w:abstractNumId w:val="13"/>
  </w:num>
  <w:num w:numId="8">
    <w:abstractNumId w:val="17"/>
  </w:num>
  <w:num w:numId="9">
    <w:abstractNumId w:val="41"/>
  </w:num>
  <w:num w:numId="10">
    <w:abstractNumId w:val="21"/>
  </w:num>
  <w:num w:numId="11">
    <w:abstractNumId w:val="8"/>
  </w:num>
  <w:num w:numId="12">
    <w:abstractNumId w:val="24"/>
  </w:num>
  <w:num w:numId="13">
    <w:abstractNumId w:val="6"/>
  </w:num>
  <w:num w:numId="14">
    <w:abstractNumId w:val="39"/>
  </w:num>
  <w:num w:numId="15">
    <w:abstractNumId w:val="14"/>
  </w:num>
  <w:num w:numId="16">
    <w:abstractNumId w:val="16"/>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3"/>
  </w:num>
  <w:num w:numId="19">
    <w:abstractNumId w:val="26"/>
  </w:num>
  <w:num w:numId="20">
    <w:abstractNumId w:val="5"/>
  </w:num>
  <w:num w:numId="21">
    <w:abstractNumId w:val="4"/>
  </w:num>
  <w:num w:numId="22">
    <w:abstractNumId w:val="7"/>
  </w:num>
  <w:num w:numId="23">
    <w:abstractNumId w:val="3"/>
  </w:num>
  <w:num w:numId="24">
    <w:abstractNumId w:val="2"/>
  </w:num>
  <w:num w:numId="25">
    <w:abstractNumId w:val="1"/>
  </w:num>
  <w:num w:numId="26">
    <w:abstractNumId w:val="0"/>
  </w:num>
  <w:num w:numId="27">
    <w:abstractNumId w:val="30"/>
  </w:num>
  <w:num w:numId="2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num>
  <w:num w:numId="30">
    <w:abstractNumId w:val="22"/>
  </w:num>
  <w:num w:numId="31">
    <w:abstractNumId w:val="38"/>
  </w:num>
  <w:num w:numId="3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8"/>
  </w:num>
  <w:num w:numId="36">
    <w:abstractNumId w:val="25"/>
  </w:num>
  <w:num w:numId="3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1"/>
  </w:num>
  <w:num w:numId="42">
    <w:abstractNumId w:val="21"/>
  </w:num>
  <w:num w:numId="4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2"/>
  </w:num>
  <w:num w:numId="48">
    <w:abstractNumId w:val="12"/>
    <w:lvlOverride w:ilvl="0">
      <w:lvl w:ilvl="0">
        <w:start w:val="1"/>
        <w:numFmt w:val="decimal"/>
        <w:suff w:val="nothing"/>
        <w:lvlText w:val="CHAPTER %1"/>
        <w:lvlJc w:val="left"/>
        <w:pPr>
          <w:ind w:left="3970" w:firstLine="0"/>
        </w:pPr>
        <w:rPr>
          <w:rFonts w:ascii="Verdana" w:hAnsi="Verdana" w:hint="default"/>
          <w:b/>
          <w:i w:val="0"/>
          <w:caps w:val="0"/>
          <w:strike w:val="0"/>
          <w:dstrike w:val="0"/>
          <w:vanish w:val="0"/>
          <w:sz w:val="24"/>
          <w:szCs w:val="24"/>
          <w:vertAlign w:val="baseline"/>
        </w:rPr>
      </w:lvl>
    </w:lvlOverride>
    <w:lvlOverride w:ilvl="1">
      <w:lvl w:ilvl="1">
        <w:start w:val="1"/>
        <w:numFmt w:val="decimal"/>
        <w:lvlText w:val="%1.%2"/>
        <w:lvlJc w:val="left"/>
        <w:pPr>
          <w:tabs>
            <w:tab w:val="num" w:pos="851"/>
          </w:tabs>
          <w:ind w:left="851" w:hanging="851"/>
        </w:pPr>
        <w:rPr>
          <w:rFonts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bullet"/>
        <w:lvlText w:val=""/>
        <w:lvlJc w:val="left"/>
        <w:pPr>
          <w:tabs>
            <w:tab w:val="num" w:pos="1418"/>
          </w:tabs>
          <w:ind w:left="1418" w:hanging="567"/>
        </w:pPr>
        <w:rPr>
          <w:rFonts w:ascii="Symbol" w:hAnsi="Symbol" w:hint="default"/>
          <w:b w:val="0"/>
          <w:i w:val="0"/>
          <w:caps w:val="0"/>
          <w:strike w:val="0"/>
          <w:dstrike w:val="0"/>
          <w:sz w:val="24"/>
          <w:vertAlign w:val="baseline"/>
        </w:rPr>
      </w:lvl>
    </w:lvlOverride>
    <w:lvlOverride w:ilvl="3">
      <w:lvl w:ilvl="3">
        <w:start w:val="1"/>
        <w:numFmt w:val="bullet"/>
        <w:lvlText w:val="–"/>
        <w:lvlJc w:val="left"/>
        <w:pPr>
          <w:tabs>
            <w:tab w:val="num" w:pos="1985"/>
          </w:tabs>
          <w:ind w:left="1985" w:hanging="567"/>
        </w:pPr>
        <w:rPr>
          <w:rFonts w:ascii="Times New Roman" w:hAnsi="Times New Roman" w:cs="Times New Roman" w:hint="default"/>
        </w:rPr>
      </w:lvl>
    </w:lvlOverride>
    <w:lvlOverride w:ilvl="4">
      <w:lvl w:ilvl="4">
        <w:start w:val="1"/>
        <w:numFmt w:val="none"/>
        <w:lvlText w:val=""/>
        <w:lvlJc w:val="left"/>
        <w:pPr>
          <w:tabs>
            <w:tab w:val="num" w:pos="851"/>
          </w:tabs>
          <w:ind w:left="851" w:hanging="851"/>
        </w:pPr>
        <w:rPr>
          <w:rFonts w:hint="default"/>
        </w:rPr>
      </w:lvl>
    </w:lvlOverride>
    <w:lvlOverride w:ilvl="5">
      <w:lvl w:ilvl="5">
        <w:start w:val="1"/>
        <w:numFmt w:val="none"/>
        <w:lvlText w:val=""/>
        <w:lvlJc w:val="left"/>
        <w:pPr>
          <w:tabs>
            <w:tab w:val="num" w:pos="851"/>
          </w:tabs>
          <w:ind w:left="851" w:hanging="851"/>
        </w:pPr>
        <w:rPr>
          <w:rFonts w:hint="default"/>
        </w:rPr>
      </w:lvl>
    </w:lvlOverride>
    <w:lvlOverride w:ilvl="6">
      <w:lvl w:ilvl="6">
        <w:start w:val="1"/>
        <w:numFmt w:val="none"/>
        <w:lvlText w:val=""/>
        <w:lvlJc w:val="left"/>
        <w:pPr>
          <w:tabs>
            <w:tab w:val="num" w:pos="851"/>
          </w:tabs>
          <w:ind w:left="851" w:hanging="851"/>
        </w:pPr>
        <w:rPr>
          <w:rFonts w:hint="default"/>
        </w:rPr>
      </w:lvl>
    </w:lvlOverride>
    <w:lvlOverride w:ilvl="7">
      <w:lvl w:ilvl="7">
        <w:start w:val="1"/>
        <w:numFmt w:val="none"/>
        <w:lvlText w:val=""/>
        <w:lvlJc w:val="left"/>
        <w:pPr>
          <w:tabs>
            <w:tab w:val="num" w:pos="851"/>
          </w:tabs>
          <w:ind w:left="851" w:hanging="851"/>
        </w:pPr>
        <w:rPr>
          <w:rFonts w:hint="default"/>
        </w:rPr>
      </w:lvl>
    </w:lvlOverride>
    <w:lvlOverride w:ilvl="8">
      <w:lvl w:ilvl="8">
        <w:start w:val="1"/>
        <w:numFmt w:val="none"/>
        <w:lvlText w:val=""/>
        <w:lvlJc w:val="left"/>
        <w:pPr>
          <w:tabs>
            <w:tab w:val="num" w:pos="851"/>
          </w:tabs>
          <w:ind w:left="851" w:hanging="851"/>
        </w:pPr>
        <w:rPr>
          <w:rFonts w:hint="default"/>
        </w:rPr>
      </w:lvl>
    </w:lvlOverride>
  </w:num>
  <w:num w:numId="4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6"/>
  </w:num>
  <w:num w:numId="51">
    <w:abstractNumId w:val="10"/>
  </w:num>
  <w:num w:numId="52">
    <w:abstractNumId w:val="10"/>
  </w:num>
  <w:num w:numId="53">
    <w:abstractNumId w:val="19"/>
  </w:num>
  <w:num w:numId="54">
    <w:abstractNumId w:val="19"/>
  </w:num>
  <w:num w:numId="55">
    <w:abstractNumId w:val="19"/>
  </w:num>
  <w:num w:numId="56">
    <w:abstractNumId w:val="19"/>
  </w:num>
  <w:num w:numId="57">
    <w:abstractNumId w:val="19"/>
  </w:num>
  <w:num w:numId="58">
    <w:abstractNumId w:val="23"/>
  </w:num>
  <w:num w:numId="59">
    <w:abstractNumId w:val="23"/>
  </w:num>
  <w:num w:numId="60">
    <w:abstractNumId w:val="23"/>
  </w:num>
  <w:num w:numId="61">
    <w:abstractNumId w:val="23"/>
  </w:num>
  <w:num w:numId="6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23"/>
  </w:num>
  <w:num w:numId="6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23"/>
  </w:num>
  <w:num w:numId="66">
    <w:abstractNumId w:val="23"/>
  </w:num>
  <w:num w:numId="67">
    <w:abstractNumId w:val="23"/>
  </w:num>
  <w:num w:numId="68">
    <w:abstractNumId w:val="35"/>
  </w:num>
  <w:num w:numId="69">
    <w:abstractNumId w:val="23"/>
  </w:num>
  <w:num w:numId="70">
    <w:abstractNumId w:val="35"/>
  </w:num>
  <w:num w:numId="71">
    <w:abstractNumId w:val="35"/>
  </w:num>
  <w:num w:numId="72">
    <w:abstractNumId w:val="20"/>
  </w:num>
  <w:num w:numId="73">
    <w:abstractNumId w:val="15"/>
  </w:num>
  <w:num w:numId="74">
    <w:abstractNumId w:val="35"/>
  </w:num>
  <w:num w:numId="75">
    <w:abstractNumId w:val="35"/>
  </w:num>
  <w:num w:numId="76">
    <w:abstractNumId w:val="35"/>
  </w:num>
  <w:num w:numId="77">
    <w:abstractNumId w:val="35"/>
  </w:num>
  <w:num w:numId="78">
    <w:abstractNumId w:val="35"/>
  </w:num>
  <w:num w:numId="79">
    <w:abstractNumId w:val="35"/>
  </w:num>
  <w:num w:numId="80">
    <w:abstractNumId w:val="35"/>
  </w:num>
  <w:num w:numId="81">
    <w:abstractNumId w:val="35"/>
  </w:num>
  <w:num w:numId="82">
    <w:abstractNumId w:val="35"/>
  </w:num>
  <w:num w:numId="83">
    <w:abstractNumId w:val="35"/>
  </w:num>
  <w:num w:numId="84">
    <w:abstractNumId w:val="35"/>
  </w:num>
  <w:num w:numId="85">
    <w:abstractNumId w:val="35"/>
  </w:num>
  <w:num w:numId="86">
    <w:abstractNumId w:val="35"/>
  </w:num>
  <w:num w:numId="87">
    <w:abstractNumId w:val="35"/>
  </w:num>
  <w:num w:numId="88">
    <w:abstractNumId w:val="35"/>
  </w:num>
  <w:num w:numId="89">
    <w:abstractNumId w:val="35"/>
  </w:num>
  <w:num w:numId="90">
    <w:abstractNumId w:val="35"/>
  </w:num>
  <w:num w:numId="91">
    <w:abstractNumId w:val="35"/>
  </w:num>
  <w:num w:numId="92">
    <w:abstractNumId w:val="35"/>
  </w:num>
  <w:num w:numId="93">
    <w:abstractNumId w:val="35"/>
  </w:num>
  <w:num w:numId="94">
    <w:abstractNumId w:val="35"/>
  </w:num>
  <w:num w:numId="95">
    <w:abstractNumId w:val="35"/>
  </w:num>
  <w:num w:numId="96">
    <w:abstractNumId w:val="35"/>
  </w:num>
  <w:num w:numId="97">
    <w:abstractNumId w:val="27"/>
  </w:num>
  <w:num w:numId="98">
    <w:abstractNumId w:val="31"/>
  </w:num>
  <w:num w:numId="99">
    <w:abstractNumId w:val="31"/>
  </w:num>
  <w:num w:numId="100">
    <w:abstractNumId w:val="32"/>
  </w:num>
  <w:num w:numId="101">
    <w:abstractNumId w:val="28"/>
  </w:num>
  <w:num w:numId="102">
    <w:abstractNumId w:val="29"/>
  </w:num>
  <w:numIdMacAtCleanup w:val="10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567"/>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11DD"/>
    <w:rsid w:val="0000036F"/>
    <w:rsid w:val="000008DC"/>
    <w:rsid w:val="00000B6E"/>
    <w:rsid w:val="000022BC"/>
    <w:rsid w:val="00002B5E"/>
    <w:rsid w:val="00004370"/>
    <w:rsid w:val="0000511A"/>
    <w:rsid w:val="0000596E"/>
    <w:rsid w:val="00005D63"/>
    <w:rsid w:val="00012FAD"/>
    <w:rsid w:val="00013D54"/>
    <w:rsid w:val="00014181"/>
    <w:rsid w:val="000142F3"/>
    <w:rsid w:val="000150AE"/>
    <w:rsid w:val="000154E7"/>
    <w:rsid w:val="00015856"/>
    <w:rsid w:val="00016410"/>
    <w:rsid w:val="00017908"/>
    <w:rsid w:val="0002100F"/>
    <w:rsid w:val="00021019"/>
    <w:rsid w:val="00021385"/>
    <w:rsid w:val="00022727"/>
    <w:rsid w:val="00022A5E"/>
    <w:rsid w:val="00022F65"/>
    <w:rsid w:val="00023397"/>
    <w:rsid w:val="00023590"/>
    <w:rsid w:val="00025861"/>
    <w:rsid w:val="0002641D"/>
    <w:rsid w:val="00030475"/>
    <w:rsid w:val="00031484"/>
    <w:rsid w:val="000326A3"/>
    <w:rsid w:val="00032C78"/>
    <w:rsid w:val="000340AF"/>
    <w:rsid w:val="00035414"/>
    <w:rsid w:val="00036C99"/>
    <w:rsid w:val="00037026"/>
    <w:rsid w:val="000371EA"/>
    <w:rsid w:val="000377EA"/>
    <w:rsid w:val="00044C9D"/>
    <w:rsid w:val="000503D6"/>
    <w:rsid w:val="0005152B"/>
    <w:rsid w:val="000517AF"/>
    <w:rsid w:val="00051FB9"/>
    <w:rsid w:val="00053642"/>
    <w:rsid w:val="00053ED8"/>
    <w:rsid w:val="0005467B"/>
    <w:rsid w:val="00054696"/>
    <w:rsid w:val="00054865"/>
    <w:rsid w:val="00054C10"/>
    <w:rsid w:val="00054D47"/>
    <w:rsid w:val="000554B3"/>
    <w:rsid w:val="00055997"/>
    <w:rsid w:val="000567C4"/>
    <w:rsid w:val="00060BAC"/>
    <w:rsid w:val="00061002"/>
    <w:rsid w:val="00061A4F"/>
    <w:rsid w:val="00061F0C"/>
    <w:rsid w:val="00062E42"/>
    <w:rsid w:val="00063111"/>
    <w:rsid w:val="0006311E"/>
    <w:rsid w:val="000648D4"/>
    <w:rsid w:val="000663D1"/>
    <w:rsid w:val="00067010"/>
    <w:rsid w:val="0006740C"/>
    <w:rsid w:val="00067D35"/>
    <w:rsid w:val="00070E0E"/>
    <w:rsid w:val="00072567"/>
    <w:rsid w:val="00072DC1"/>
    <w:rsid w:val="000741A3"/>
    <w:rsid w:val="0007560B"/>
    <w:rsid w:val="00075AC4"/>
    <w:rsid w:val="00075D72"/>
    <w:rsid w:val="000779EC"/>
    <w:rsid w:val="00081022"/>
    <w:rsid w:val="00081715"/>
    <w:rsid w:val="000818E6"/>
    <w:rsid w:val="00081C0A"/>
    <w:rsid w:val="00082A83"/>
    <w:rsid w:val="00083AAB"/>
    <w:rsid w:val="00085D97"/>
    <w:rsid w:val="000867D1"/>
    <w:rsid w:val="0008682C"/>
    <w:rsid w:val="00086C01"/>
    <w:rsid w:val="000872D5"/>
    <w:rsid w:val="00090128"/>
    <w:rsid w:val="00091230"/>
    <w:rsid w:val="00091464"/>
    <w:rsid w:val="0009166B"/>
    <w:rsid w:val="00091EB0"/>
    <w:rsid w:val="0009415B"/>
    <w:rsid w:val="00095D78"/>
    <w:rsid w:val="000A268C"/>
    <w:rsid w:val="000A289A"/>
    <w:rsid w:val="000A4FBB"/>
    <w:rsid w:val="000A5089"/>
    <w:rsid w:val="000A6E3B"/>
    <w:rsid w:val="000A71D5"/>
    <w:rsid w:val="000A72D5"/>
    <w:rsid w:val="000A7CE8"/>
    <w:rsid w:val="000B0CFB"/>
    <w:rsid w:val="000B0FAC"/>
    <w:rsid w:val="000B298C"/>
    <w:rsid w:val="000B450A"/>
    <w:rsid w:val="000B602F"/>
    <w:rsid w:val="000B6B01"/>
    <w:rsid w:val="000B7839"/>
    <w:rsid w:val="000C0C83"/>
    <w:rsid w:val="000C0D52"/>
    <w:rsid w:val="000C10CE"/>
    <w:rsid w:val="000C140C"/>
    <w:rsid w:val="000C24F6"/>
    <w:rsid w:val="000C7A9B"/>
    <w:rsid w:val="000D0F7D"/>
    <w:rsid w:val="000D39C6"/>
    <w:rsid w:val="000D3DDE"/>
    <w:rsid w:val="000D3FB6"/>
    <w:rsid w:val="000D575D"/>
    <w:rsid w:val="000D57AE"/>
    <w:rsid w:val="000D6A58"/>
    <w:rsid w:val="000D72EC"/>
    <w:rsid w:val="000D7429"/>
    <w:rsid w:val="000D77AB"/>
    <w:rsid w:val="000E0455"/>
    <w:rsid w:val="000E30EE"/>
    <w:rsid w:val="000E3222"/>
    <w:rsid w:val="000E463F"/>
    <w:rsid w:val="000E465C"/>
    <w:rsid w:val="000E4BC4"/>
    <w:rsid w:val="000E4C48"/>
    <w:rsid w:val="000E5AA1"/>
    <w:rsid w:val="000F006E"/>
    <w:rsid w:val="000F19B3"/>
    <w:rsid w:val="000F1DEF"/>
    <w:rsid w:val="000F32DA"/>
    <w:rsid w:val="000F33D8"/>
    <w:rsid w:val="000F435B"/>
    <w:rsid w:val="000F49DB"/>
    <w:rsid w:val="000F4F58"/>
    <w:rsid w:val="00100943"/>
    <w:rsid w:val="00101924"/>
    <w:rsid w:val="00101B9E"/>
    <w:rsid w:val="001032FC"/>
    <w:rsid w:val="001037AC"/>
    <w:rsid w:val="00103D31"/>
    <w:rsid w:val="00103E13"/>
    <w:rsid w:val="00104531"/>
    <w:rsid w:val="00105162"/>
    <w:rsid w:val="00105601"/>
    <w:rsid w:val="001062F9"/>
    <w:rsid w:val="00107105"/>
    <w:rsid w:val="00107537"/>
    <w:rsid w:val="0011111E"/>
    <w:rsid w:val="00111AC9"/>
    <w:rsid w:val="0011214E"/>
    <w:rsid w:val="00113361"/>
    <w:rsid w:val="0011384C"/>
    <w:rsid w:val="00115CD2"/>
    <w:rsid w:val="00115E9D"/>
    <w:rsid w:val="00116E74"/>
    <w:rsid w:val="00117C76"/>
    <w:rsid w:val="001203C1"/>
    <w:rsid w:val="00120DF0"/>
    <w:rsid w:val="0012223C"/>
    <w:rsid w:val="00122989"/>
    <w:rsid w:val="001229B8"/>
    <w:rsid w:val="00122C70"/>
    <w:rsid w:val="001236EF"/>
    <w:rsid w:val="00124931"/>
    <w:rsid w:val="0012596F"/>
    <w:rsid w:val="001266C5"/>
    <w:rsid w:val="00130F81"/>
    <w:rsid w:val="001312B5"/>
    <w:rsid w:val="001320AA"/>
    <w:rsid w:val="001359E0"/>
    <w:rsid w:val="001361AD"/>
    <w:rsid w:val="00136774"/>
    <w:rsid w:val="00136973"/>
    <w:rsid w:val="00137166"/>
    <w:rsid w:val="001373E7"/>
    <w:rsid w:val="001374E9"/>
    <w:rsid w:val="00137AA6"/>
    <w:rsid w:val="00140BE8"/>
    <w:rsid w:val="001411B0"/>
    <w:rsid w:val="001421EB"/>
    <w:rsid w:val="00144445"/>
    <w:rsid w:val="001448F7"/>
    <w:rsid w:val="00145802"/>
    <w:rsid w:val="001467F6"/>
    <w:rsid w:val="00146AEF"/>
    <w:rsid w:val="00146D40"/>
    <w:rsid w:val="001511A1"/>
    <w:rsid w:val="00151296"/>
    <w:rsid w:val="0015225B"/>
    <w:rsid w:val="0015260C"/>
    <w:rsid w:val="00152F13"/>
    <w:rsid w:val="00153012"/>
    <w:rsid w:val="001532B6"/>
    <w:rsid w:val="0015373E"/>
    <w:rsid w:val="001539F3"/>
    <w:rsid w:val="0015489A"/>
    <w:rsid w:val="00155207"/>
    <w:rsid w:val="0015559B"/>
    <w:rsid w:val="00155BE5"/>
    <w:rsid w:val="00155EC3"/>
    <w:rsid w:val="0015632F"/>
    <w:rsid w:val="00156C22"/>
    <w:rsid w:val="00157119"/>
    <w:rsid w:val="00157E02"/>
    <w:rsid w:val="0016044B"/>
    <w:rsid w:val="001605FA"/>
    <w:rsid w:val="0016060A"/>
    <w:rsid w:val="00160ED3"/>
    <w:rsid w:val="001614D9"/>
    <w:rsid w:val="0016248F"/>
    <w:rsid w:val="00162585"/>
    <w:rsid w:val="00162834"/>
    <w:rsid w:val="00162ADA"/>
    <w:rsid w:val="00162CD7"/>
    <w:rsid w:val="0016448E"/>
    <w:rsid w:val="00164A27"/>
    <w:rsid w:val="00164AC9"/>
    <w:rsid w:val="0016501C"/>
    <w:rsid w:val="00165225"/>
    <w:rsid w:val="00165370"/>
    <w:rsid w:val="00165655"/>
    <w:rsid w:val="00165CE3"/>
    <w:rsid w:val="00165FF4"/>
    <w:rsid w:val="001669F7"/>
    <w:rsid w:val="00170106"/>
    <w:rsid w:val="00170E59"/>
    <w:rsid w:val="00173066"/>
    <w:rsid w:val="001737FC"/>
    <w:rsid w:val="0017473C"/>
    <w:rsid w:val="0017499F"/>
    <w:rsid w:val="00174CB9"/>
    <w:rsid w:val="00174E78"/>
    <w:rsid w:val="001758FB"/>
    <w:rsid w:val="001772C5"/>
    <w:rsid w:val="00177BD4"/>
    <w:rsid w:val="0018019D"/>
    <w:rsid w:val="00180C3D"/>
    <w:rsid w:val="0018180F"/>
    <w:rsid w:val="00182834"/>
    <w:rsid w:val="001828E8"/>
    <w:rsid w:val="00182D69"/>
    <w:rsid w:val="00183371"/>
    <w:rsid w:val="0018346C"/>
    <w:rsid w:val="00183780"/>
    <w:rsid w:val="00184159"/>
    <w:rsid w:val="00184413"/>
    <w:rsid w:val="00184AAE"/>
    <w:rsid w:val="001854C3"/>
    <w:rsid w:val="00185A8B"/>
    <w:rsid w:val="001861E4"/>
    <w:rsid w:val="00187016"/>
    <w:rsid w:val="001905BC"/>
    <w:rsid w:val="00190CC5"/>
    <w:rsid w:val="00191E06"/>
    <w:rsid w:val="00191E71"/>
    <w:rsid w:val="001922A9"/>
    <w:rsid w:val="00192C16"/>
    <w:rsid w:val="00193AC8"/>
    <w:rsid w:val="00194258"/>
    <w:rsid w:val="0019431F"/>
    <w:rsid w:val="0019475B"/>
    <w:rsid w:val="00194A31"/>
    <w:rsid w:val="00195925"/>
    <w:rsid w:val="00196D7A"/>
    <w:rsid w:val="00197573"/>
    <w:rsid w:val="00197C79"/>
    <w:rsid w:val="001A1987"/>
    <w:rsid w:val="001A1AC8"/>
    <w:rsid w:val="001A29BB"/>
    <w:rsid w:val="001A2C68"/>
    <w:rsid w:val="001A2F6B"/>
    <w:rsid w:val="001A3EBC"/>
    <w:rsid w:val="001A52A4"/>
    <w:rsid w:val="001A539E"/>
    <w:rsid w:val="001A545D"/>
    <w:rsid w:val="001A5619"/>
    <w:rsid w:val="001A6AA0"/>
    <w:rsid w:val="001A7780"/>
    <w:rsid w:val="001A7F84"/>
    <w:rsid w:val="001B0AFD"/>
    <w:rsid w:val="001B0B2E"/>
    <w:rsid w:val="001B0DF8"/>
    <w:rsid w:val="001B0E61"/>
    <w:rsid w:val="001B1228"/>
    <w:rsid w:val="001B122C"/>
    <w:rsid w:val="001B2433"/>
    <w:rsid w:val="001B383F"/>
    <w:rsid w:val="001B3AE0"/>
    <w:rsid w:val="001B41A7"/>
    <w:rsid w:val="001B44FD"/>
    <w:rsid w:val="001B5841"/>
    <w:rsid w:val="001B619A"/>
    <w:rsid w:val="001B75DA"/>
    <w:rsid w:val="001B7A26"/>
    <w:rsid w:val="001C027B"/>
    <w:rsid w:val="001C0F18"/>
    <w:rsid w:val="001C16EC"/>
    <w:rsid w:val="001C3C30"/>
    <w:rsid w:val="001C3F9F"/>
    <w:rsid w:val="001C7B23"/>
    <w:rsid w:val="001C7DF2"/>
    <w:rsid w:val="001D026B"/>
    <w:rsid w:val="001D05CC"/>
    <w:rsid w:val="001D10C3"/>
    <w:rsid w:val="001D1229"/>
    <w:rsid w:val="001D1339"/>
    <w:rsid w:val="001D1922"/>
    <w:rsid w:val="001D3CE8"/>
    <w:rsid w:val="001D4B00"/>
    <w:rsid w:val="001D4E16"/>
    <w:rsid w:val="001D5008"/>
    <w:rsid w:val="001D5EE0"/>
    <w:rsid w:val="001D64AB"/>
    <w:rsid w:val="001D6C3A"/>
    <w:rsid w:val="001D6EDB"/>
    <w:rsid w:val="001D76F7"/>
    <w:rsid w:val="001D77A6"/>
    <w:rsid w:val="001E0114"/>
    <w:rsid w:val="001E0F88"/>
    <w:rsid w:val="001E1318"/>
    <w:rsid w:val="001E1367"/>
    <w:rsid w:val="001E1B34"/>
    <w:rsid w:val="001E1D4B"/>
    <w:rsid w:val="001E4734"/>
    <w:rsid w:val="001E4A1B"/>
    <w:rsid w:val="001E547A"/>
    <w:rsid w:val="001E55B4"/>
    <w:rsid w:val="001E5E8B"/>
    <w:rsid w:val="001E6594"/>
    <w:rsid w:val="001E69E9"/>
    <w:rsid w:val="001E7682"/>
    <w:rsid w:val="001F0F59"/>
    <w:rsid w:val="001F2003"/>
    <w:rsid w:val="001F2AFA"/>
    <w:rsid w:val="001F2CAC"/>
    <w:rsid w:val="001F31A2"/>
    <w:rsid w:val="001F384D"/>
    <w:rsid w:val="001F58D9"/>
    <w:rsid w:val="001F5D27"/>
    <w:rsid w:val="001F6140"/>
    <w:rsid w:val="001F671D"/>
    <w:rsid w:val="001F743C"/>
    <w:rsid w:val="0020016A"/>
    <w:rsid w:val="002002F5"/>
    <w:rsid w:val="002003B5"/>
    <w:rsid w:val="0020047C"/>
    <w:rsid w:val="00200EE5"/>
    <w:rsid w:val="002019D5"/>
    <w:rsid w:val="002028EB"/>
    <w:rsid w:val="00203A76"/>
    <w:rsid w:val="00204712"/>
    <w:rsid w:val="00205088"/>
    <w:rsid w:val="002070D4"/>
    <w:rsid w:val="0020795D"/>
    <w:rsid w:val="002103C5"/>
    <w:rsid w:val="0021078D"/>
    <w:rsid w:val="00211835"/>
    <w:rsid w:val="00211A27"/>
    <w:rsid w:val="00215032"/>
    <w:rsid w:val="00216DEF"/>
    <w:rsid w:val="00217C2E"/>
    <w:rsid w:val="00220DE4"/>
    <w:rsid w:val="002214A9"/>
    <w:rsid w:val="00221C79"/>
    <w:rsid w:val="00221CD8"/>
    <w:rsid w:val="002227CF"/>
    <w:rsid w:val="00223305"/>
    <w:rsid w:val="00223DD2"/>
    <w:rsid w:val="00224B10"/>
    <w:rsid w:val="00224F36"/>
    <w:rsid w:val="00230781"/>
    <w:rsid w:val="002316BE"/>
    <w:rsid w:val="00231C5D"/>
    <w:rsid w:val="00232921"/>
    <w:rsid w:val="00234D39"/>
    <w:rsid w:val="00235577"/>
    <w:rsid w:val="00235969"/>
    <w:rsid w:val="00237E49"/>
    <w:rsid w:val="00240FC7"/>
    <w:rsid w:val="002411AB"/>
    <w:rsid w:val="00242119"/>
    <w:rsid w:val="00242731"/>
    <w:rsid w:val="00242EB1"/>
    <w:rsid w:val="00245D24"/>
    <w:rsid w:val="002467DC"/>
    <w:rsid w:val="0024736E"/>
    <w:rsid w:val="002508C9"/>
    <w:rsid w:val="00250B58"/>
    <w:rsid w:val="002511C1"/>
    <w:rsid w:val="002519B8"/>
    <w:rsid w:val="00253756"/>
    <w:rsid w:val="002542A8"/>
    <w:rsid w:val="00255778"/>
    <w:rsid w:val="00256229"/>
    <w:rsid w:val="002562A1"/>
    <w:rsid w:val="002569B8"/>
    <w:rsid w:val="002600D0"/>
    <w:rsid w:val="00261508"/>
    <w:rsid w:val="0026150F"/>
    <w:rsid w:val="0026209F"/>
    <w:rsid w:val="002623BA"/>
    <w:rsid w:val="00262769"/>
    <w:rsid w:val="0026287E"/>
    <w:rsid w:val="00263A19"/>
    <w:rsid w:val="002668DE"/>
    <w:rsid w:val="0027017E"/>
    <w:rsid w:val="002703A4"/>
    <w:rsid w:val="00270727"/>
    <w:rsid w:val="00271175"/>
    <w:rsid w:val="002714FB"/>
    <w:rsid w:val="00272395"/>
    <w:rsid w:val="00272F42"/>
    <w:rsid w:val="00275959"/>
    <w:rsid w:val="002759F9"/>
    <w:rsid w:val="00275CE9"/>
    <w:rsid w:val="002762A3"/>
    <w:rsid w:val="0028068D"/>
    <w:rsid w:val="00280DD5"/>
    <w:rsid w:val="00281962"/>
    <w:rsid w:val="002824B9"/>
    <w:rsid w:val="00282591"/>
    <w:rsid w:val="00282A3C"/>
    <w:rsid w:val="00283172"/>
    <w:rsid w:val="00283369"/>
    <w:rsid w:val="00283901"/>
    <w:rsid w:val="00283DF9"/>
    <w:rsid w:val="00284653"/>
    <w:rsid w:val="002853AF"/>
    <w:rsid w:val="00286106"/>
    <w:rsid w:val="00287551"/>
    <w:rsid w:val="002907C0"/>
    <w:rsid w:val="002910E4"/>
    <w:rsid w:val="0029171F"/>
    <w:rsid w:val="00292562"/>
    <w:rsid w:val="00293719"/>
    <w:rsid w:val="0029412F"/>
    <w:rsid w:val="002941FE"/>
    <w:rsid w:val="002948B6"/>
    <w:rsid w:val="00294DE1"/>
    <w:rsid w:val="00295006"/>
    <w:rsid w:val="00295640"/>
    <w:rsid w:val="0029729D"/>
    <w:rsid w:val="00297C9E"/>
    <w:rsid w:val="002A04FB"/>
    <w:rsid w:val="002A071F"/>
    <w:rsid w:val="002A0E78"/>
    <w:rsid w:val="002A1CA0"/>
    <w:rsid w:val="002A233D"/>
    <w:rsid w:val="002A3571"/>
    <w:rsid w:val="002A3602"/>
    <w:rsid w:val="002A3DD8"/>
    <w:rsid w:val="002A46AD"/>
    <w:rsid w:val="002A5174"/>
    <w:rsid w:val="002A6B5B"/>
    <w:rsid w:val="002A78C2"/>
    <w:rsid w:val="002B0D19"/>
    <w:rsid w:val="002B2E5E"/>
    <w:rsid w:val="002B3B1F"/>
    <w:rsid w:val="002B43F0"/>
    <w:rsid w:val="002B4E23"/>
    <w:rsid w:val="002B5395"/>
    <w:rsid w:val="002B768F"/>
    <w:rsid w:val="002C0174"/>
    <w:rsid w:val="002C0DAF"/>
    <w:rsid w:val="002C0E8D"/>
    <w:rsid w:val="002C1004"/>
    <w:rsid w:val="002C1945"/>
    <w:rsid w:val="002C2776"/>
    <w:rsid w:val="002C28C9"/>
    <w:rsid w:val="002C2C5B"/>
    <w:rsid w:val="002C45B2"/>
    <w:rsid w:val="002C5C25"/>
    <w:rsid w:val="002C7947"/>
    <w:rsid w:val="002D0405"/>
    <w:rsid w:val="002D1AF7"/>
    <w:rsid w:val="002D1D91"/>
    <w:rsid w:val="002D27F1"/>
    <w:rsid w:val="002D3223"/>
    <w:rsid w:val="002D40CB"/>
    <w:rsid w:val="002D4A9E"/>
    <w:rsid w:val="002D648E"/>
    <w:rsid w:val="002D6C4A"/>
    <w:rsid w:val="002E0676"/>
    <w:rsid w:val="002E23F9"/>
    <w:rsid w:val="002E2438"/>
    <w:rsid w:val="002E3659"/>
    <w:rsid w:val="002E5D46"/>
    <w:rsid w:val="002E5F87"/>
    <w:rsid w:val="002E6650"/>
    <w:rsid w:val="002E7168"/>
    <w:rsid w:val="002F0565"/>
    <w:rsid w:val="002F08C0"/>
    <w:rsid w:val="002F1B57"/>
    <w:rsid w:val="002F23F9"/>
    <w:rsid w:val="002F2A25"/>
    <w:rsid w:val="002F3F3E"/>
    <w:rsid w:val="002F447B"/>
    <w:rsid w:val="002F46DC"/>
    <w:rsid w:val="002F4854"/>
    <w:rsid w:val="002F51D7"/>
    <w:rsid w:val="002F593E"/>
    <w:rsid w:val="002F7824"/>
    <w:rsid w:val="002F788D"/>
    <w:rsid w:val="002F7BE0"/>
    <w:rsid w:val="003001A7"/>
    <w:rsid w:val="00300AA2"/>
    <w:rsid w:val="00300C79"/>
    <w:rsid w:val="0030131E"/>
    <w:rsid w:val="00301572"/>
    <w:rsid w:val="00301C85"/>
    <w:rsid w:val="003021DF"/>
    <w:rsid w:val="00302EE8"/>
    <w:rsid w:val="00302FAE"/>
    <w:rsid w:val="00303627"/>
    <w:rsid w:val="00303CC9"/>
    <w:rsid w:val="00304916"/>
    <w:rsid w:val="00305B1C"/>
    <w:rsid w:val="00305FCE"/>
    <w:rsid w:val="0030651C"/>
    <w:rsid w:val="00306817"/>
    <w:rsid w:val="00306893"/>
    <w:rsid w:val="0030735D"/>
    <w:rsid w:val="0030785B"/>
    <w:rsid w:val="00307EE4"/>
    <w:rsid w:val="00310B57"/>
    <w:rsid w:val="00310EAF"/>
    <w:rsid w:val="00312947"/>
    <w:rsid w:val="0031447A"/>
    <w:rsid w:val="00314850"/>
    <w:rsid w:val="003154F5"/>
    <w:rsid w:val="00315F47"/>
    <w:rsid w:val="00316691"/>
    <w:rsid w:val="003167CC"/>
    <w:rsid w:val="0031779D"/>
    <w:rsid w:val="003203CA"/>
    <w:rsid w:val="00320B15"/>
    <w:rsid w:val="00321038"/>
    <w:rsid w:val="0032259E"/>
    <w:rsid w:val="003234EC"/>
    <w:rsid w:val="003236BE"/>
    <w:rsid w:val="003237E1"/>
    <w:rsid w:val="00323D40"/>
    <w:rsid w:val="003242D4"/>
    <w:rsid w:val="00324A64"/>
    <w:rsid w:val="00325353"/>
    <w:rsid w:val="00325672"/>
    <w:rsid w:val="00325DB0"/>
    <w:rsid w:val="003267BA"/>
    <w:rsid w:val="0032700A"/>
    <w:rsid w:val="003272BC"/>
    <w:rsid w:val="003304F0"/>
    <w:rsid w:val="0033250B"/>
    <w:rsid w:val="00333C42"/>
    <w:rsid w:val="00334433"/>
    <w:rsid w:val="00334555"/>
    <w:rsid w:val="003352CE"/>
    <w:rsid w:val="00336043"/>
    <w:rsid w:val="0033679A"/>
    <w:rsid w:val="0033709F"/>
    <w:rsid w:val="00337C12"/>
    <w:rsid w:val="003410B3"/>
    <w:rsid w:val="00341AD4"/>
    <w:rsid w:val="0034279C"/>
    <w:rsid w:val="00344354"/>
    <w:rsid w:val="00344754"/>
    <w:rsid w:val="00344C36"/>
    <w:rsid w:val="003458A3"/>
    <w:rsid w:val="00345BD7"/>
    <w:rsid w:val="003464DF"/>
    <w:rsid w:val="00346FC8"/>
    <w:rsid w:val="00351013"/>
    <w:rsid w:val="003521CD"/>
    <w:rsid w:val="00352442"/>
    <w:rsid w:val="003532A7"/>
    <w:rsid w:val="00353E02"/>
    <w:rsid w:val="003540CB"/>
    <w:rsid w:val="00354314"/>
    <w:rsid w:val="00354A98"/>
    <w:rsid w:val="00354DDC"/>
    <w:rsid w:val="0035713D"/>
    <w:rsid w:val="0035749F"/>
    <w:rsid w:val="00357911"/>
    <w:rsid w:val="003579D4"/>
    <w:rsid w:val="00360C15"/>
    <w:rsid w:val="0036156B"/>
    <w:rsid w:val="0036210E"/>
    <w:rsid w:val="003629B6"/>
    <w:rsid w:val="003634D3"/>
    <w:rsid w:val="00363CF9"/>
    <w:rsid w:val="003652CC"/>
    <w:rsid w:val="003658BA"/>
    <w:rsid w:val="00366F3C"/>
    <w:rsid w:val="00367987"/>
    <w:rsid w:val="00372924"/>
    <w:rsid w:val="003737A2"/>
    <w:rsid w:val="00374434"/>
    <w:rsid w:val="003747C7"/>
    <w:rsid w:val="00374C42"/>
    <w:rsid w:val="003759DA"/>
    <w:rsid w:val="00375BD2"/>
    <w:rsid w:val="00376373"/>
    <w:rsid w:val="00376675"/>
    <w:rsid w:val="00376F5C"/>
    <w:rsid w:val="003770A1"/>
    <w:rsid w:val="00377773"/>
    <w:rsid w:val="003779AE"/>
    <w:rsid w:val="0038103D"/>
    <w:rsid w:val="003810C8"/>
    <w:rsid w:val="00383109"/>
    <w:rsid w:val="003833C9"/>
    <w:rsid w:val="00383F84"/>
    <w:rsid w:val="00383FEB"/>
    <w:rsid w:val="00385BDF"/>
    <w:rsid w:val="003861E3"/>
    <w:rsid w:val="00386DE4"/>
    <w:rsid w:val="003870E3"/>
    <w:rsid w:val="0038745D"/>
    <w:rsid w:val="00387A3B"/>
    <w:rsid w:val="00387EDA"/>
    <w:rsid w:val="003901DB"/>
    <w:rsid w:val="003905CD"/>
    <w:rsid w:val="00390D07"/>
    <w:rsid w:val="00390D9F"/>
    <w:rsid w:val="003911E9"/>
    <w:rsid w:val="003912A5"/>
    <w:rsid w:val="00391439"/>
    <w:rsid w:val="0039158C"/>
    <w:rsid w:val="00393B64"/>
    <w:rsid w:val="003949DA"/>
    <w:rsid w:val="00394E93"/>
    <w:rsid w:val="003959E1"/>
    <w:rsid w:val="00396BCE"/>
    <w:rsid w:val="003971A4"/>
    <w:rsid w:val="003A0255"/>
    <w:rsid w:val="003A04E1"/>
    <w:rsid w:val="003A1A68"/>
    <w:rsid w:val="003A1B14"/>
    <w:rsid w:val="003A1D5C"/>
    <w:rsid w:val="003A239B"/>
    <w:rsid w:val="003A30C6"/>
    <w:rsid w:val="003A3679"/>
    <w:rsid w:val="003A441F"/>
    <w:rsid w:val="003A4ABD"/>
    <w:rsid w:val="003A4B09"/>
    <w:rsid w:val="003A57E0"/>
    <w:rsid w:val="003A6F8E"/>
    <w:rsid w:val="003A72A8"/>
    <w:rsid w:val="003B1DD9"/>
    <w:rsid w:val="003B4A44"/>
    <w:rsid w:val="003B4F8C"/>
    <w:rsid w:val="003B53BF"/>
    <w:rsid w:val="003B5C38"/>
    <w:rsid w:val="003B6F2B"/>
    <w:rsid w:val="003C0A1F"/>
    <w:rsid w:val="003C1BA6"/>
    <w:rsid w:val="003C2278"/>
    <w:rsid w:val="003C23BE"/>
    <w:rsid w:val="003C37BD"/>
    <w:rsid w:val="003C4040"/>
    <w:rsid w:val="003C40E7"/>
    <w:rsid w:val="003C6CE6"/>
    <w:rsid w:val="003C70CE"/>
    <w:rsid w:val="003C7E6F"/>
    <w:rsid w:val="003D1865"/>
    <w:rsid w:val="003D21BE"/>
    <w:rsid w:val="003D48C8"/>
    <w:rsid w:val="003D5323"/>
    <w:rsid w:val="003D5960"/>
    <w:rsid w:val="003D6685"/>
    <w:rsid w:val="003D66CD"/>
    <w:rsid w:val="003D676C"/>
    <w:rsid w:val="003D769F"/>
    <w:rsid w:val="003E0AFD"/>
    <w:rsid w:val="003E0CB2"/>
    <w:rsid w:val="003E1661"/>
    <w:rsid w:val="003E2625"/>
    <w:rsid w:val="003E269B"/>
    <w:rsid w:val="003E33AE"/>
    <w:rsid w:val="003E3B74"/>
    <w:rsid w:val="003E3CFE"/>
    <w:rsid w:val="003E3DE8"/>
    <w:rsid w:val="003E53E0"/>
    <w:rsid w:val="003E5595"/>
    <w:rsid w:val="003E5A27"/>
    <w:rsid w:val="003E73AC"/>
    <w:rsid w:val="003E7D6A"/>
    <w:rsid w:val="003F1604"/>
    <w:rsid w:val="003F17DA"/>
    <w:rsid w:val="003F21E6"/>
    <w:rsid w:val="003F2D68"/>
    <w:rsid w:val="003F393E"/>
    <w:rsid w:val="003F3D1F"/>
    <w:rsid w:val="003F4966"/>
    <w:rsid w:val="003F4BCB"/>
    <w:rsid w:val="003F57C8"/>
    <w:rsid w:val="003F5DCE"/>
    <w:rsid w:val="003F63DA"/>
    <w:rsid w:val="003F6887"/>
    <w:rsid w:val="003F6DFB"/>
    <w:rsid w:val="003F752E"/>
    <w:rsid w:val="004003C7"/>
    <w:rsid w:val="00400753"/>
    <w:rsid w:val="00401CCC"/>
    <w:rsid w:val="00401E43"/>
    <w:rsid w:val="004038DA"/>
    <w:rsid w:val="004051C0"/>
    <w:rsid w:val="00405204"/>
    <w:rsid w:val="0040673C"/>
    <w:rsid w:val="00406791"/>
    <w:rsid w:val="004078DE"/>
    <w:rsid w:val="00407BC1"/>
    <w:rsid w:val="004108CA"/>
    <w:rsid w:val="00412028"/>
    <w:rsid w:val="004123A7"/>
    <w:rsid w:val="0041399F"/>
    <w:rsid w:val="00413E45"/>
    <w:rsid w:val="00415FEF"/>
    <w:rsid w:val="0041650C"/>
    <w:rsid w:val="00416958"/>
    <w:rsid w:val="00416AE7"/>
    <w:rsid w:val="004202BE"/>
    <w:rsid w:val="00420A92"/>
    <w:rsid w:val="004210BE"/>
    <w:rsid w:val="00422A27"/>
    <w:rsid w:val="00425331"/>
    <w:rsid w:val="00427B2C"/>
    <w:rsid w:val="00431996"/>
    <w:rsid w:val="00432534"/>
    <w:rsid w:val="00434CDB"/>
    <w:rsid w:val="0043508B"/>
    <w:rsid w:val="004352B5"/>
    <w:rsid w:val="00436B7E"/>
    <w:rsid w:val="00437374"/>
    <w:rsid w:val="00437433"/>
    <w:rsid w:val="0043751E"/>
    <w:rsid w:val="00437600"/>
    <w:rsid w:val="00444275"/>
    <w:rsid w:val="00444F72"/>
    <w:rsid w:val="00445E20"/>
    <w:rsid w:val="00446356"/>
    <w:rsid w:val="00446AFD"/>
    <w:rsid w:val="00446E1D"/>
    <w:rsid w:val="00447848"/>
    <w:rsid w:val="00447FD9"/>
    <w:rsid w:val="00450CB6"/>
    <w:rsid w:val="00451B0C"/>
    <w:rsid w:val="0045217E"/>
    <w:rsid w:val="004524E8"/>
    <w:rsid w:val="00452B10"/>
    <w:rsid w:val="00452E0C"/>
    <w:rsid w:val="00453A2D"/>
    <w:rsid w:val="00453B7E"/>
    <w:rsid w:val="00454879"/>
    <w:rsid w:val="00454BA9"/>
    <w:rsid w:val="00455437"/>
    <w:rsid w:val="004561F8"/>
    <w:rsid w:val="004578A4"/>
    <w:rsid w:val="0045DC1A"/>
    <w:rsid w:val="004607F3"/>
    <w:rsid w:val="00461465"/>
    <w:rsid w:val="00462225"/>
    <w:rsid w:val="00462588"/>
    <w:rsid w:val="00462E33"/>
    <w:rsid w:val="0046448C"/>
    <w:rsid w:val="0046470E"/>
    <w:rsid w:val="00464898"/>
    <w:rsid w:val="00464A08"/>
    <w:rsid w:val="00465377"/>
    <w:rsid w:val="004659D6"/>
    <w:rsid w:val="004663BF"/>
    <w:rsid w:val="004667A4"/>
    <w:rsid w:val="004700D6"/>
    <w:rsid w:val="00470154"/>
    <w:rsid w:val="00471615"/>
    <w:rsid w:val="00472FA2"/>
    <w:rsid w:val="004734FC"/>
    <w:rsid w:val="00473CED"/>
    <w:rsid w:val="00473E35"/>
    <w:rsid w:val="00473E75"/>
    <w:rsid w:val="00473ED6"/>
    <w:rsid w:val="004753C4"/>
    <w:rsid w:val="00475778"/>
    <w:rsid w:val="004777B7"/>
    <w:rsid w:val="00477A93"/>
    <w:rsid w:val="0048095E"/>
    <w:rsid w:val="00481032"/>
    <w:rsid w:val="004810A8"/>
    <w:rsid w:val="004812C9"/>
    <w:rsid w:val="00481E36"/>
    <w:rsid w:val="004834BE"/>
    <w:rsid w:val="004839E8"/>
    <w:rsid w:val="00486FD2"/>
    <w:rsid w:val="00487032"/>
    <w:rsid w:val="0048782B"/>
    <w:rsid w:val="00487B26"/>
    <w:rsid w:val="00490E5D"/>
    <w:rsid w:val="0049114F"/>
    <w:rsid w:val="00491168"/>
    <w:rsid w:val="00491530"/>
    <w:rsid w:val="004915C6"/>
    <w:rsid w:val="00492715"/>
    <w:rsid w:val="004950BE"/>
    <w:rsid w:val="00495395"/>
    <w:rsid w:val="004974B2"/>
    <w:rsid w:val="00497B60"/>
    <w:rsid w:val="00497C76"/>
    <w:rsid w:val="004A0002"/>
    <w:rsid w:val="004A15D7"/>
    <w:rsid w:val="004A1B29"/>
    <w:rsid w:val="004A1BB4"/>
    <w:rsid w:val="004A4326"/>
    <w:rsid w:val="004A53E7"/>
    <w:rsid w:val="004A54BD"/>
    <w:rsid w:val="004A6653"/>
    <w:rsid w:val="004A7009"/>
    <w:rsid w:val="004A7A11"/>
    <w:rsid w:val="004B0AA9"/>
    <w:rsid w:val="004B1738"/>
    <w:rsid w:val="004B1C56"/>
    <w:rsid w:val="004B21B9"/>
    <w:rsid w:val="004B27F4"/>
    <w:rsid w:val="004B6C3B"/>
    <w:rsid w:val="004B7538"/>
    <w:rsid w:val="004B7D33"/>
    <w:rsid w:val="004C05F3"/>
    <w:rsid w:val="004C0DE6"/>
    <w:rsid w:val="004C1915"/>
    <w:rsid w:val="004C5123"/>
    <w:rsid w:val="004C575E"/>
    <w:rsid w:val="004C69FE"/>
    <w:rsid w:val="004C6CBD"/>
    <w:rsid w:val="004C6DD8"/>
    <w:rsid w:val="004C7170"/>
    <w:rsid w:val="004C7436"/>
    <w:rsid w:val="004D0D26"/>
    <w:rsid w:val="004D0F9B"/>
    <w:rsid w:val="004D1B89"/>
    <w:rsid w:val="004D2586"/>
    <w:rsid w:val="004D26D5"/>
    <w:rsid w:val="004D3552"/>
    <w:rsid w:val="004D3B6B"/>
    <w:rsid w:val="004D401F"/>
    <w:rsid w:val="004D49A1"/>
    <w:rsid w:val="004D5BF6"/>
    <w:rsid w:val="004D6A09"/>
    <w:rsid w:val="004D6B23"/>
    <w:rsid w:val="004E0A92"/>
    <w:rsid w:val="004E18AC"/>
    <w:rsid w:val="004E2537"/>
    <w:rsid w:val="004E2976"/>
    <w:rsid w:val="004E2D26"/>
    <w:rsid w:val="004E3CC5"/>
    <w:rsid w:val="004E455E"/>
    <w:rsid w:val="004E51C7"/>
    <w:rsid w:val="004E56DE"/>
    <w:rsid w:val="004E60D6"/>
    <w:rsid w:val="004E627F"/>
    <w:rsid w:val="004E7082"/>
    <w:rsid w:val="004F00F4"/>
    <w:rsid w:val="004F0F97"/>
    <w:rsid w:val="004F1C29"/>
    <w:rsid w:val="004F2A9D"/>
    <w:rsid w:val="004F2FE5"/>
    <w:rsid w:val="004F35CE"/>
    <w:rsid w:val="004F3B01"/>
    <w:rsid w:val="004F58DF"/>
    <w:rsid w:val="004F7AC1"/>
    <w:rsid w:val="004F7ADE"/>
    <w:rsid w:val="00500174"/>
    <w:rsid w:val="00500F14"/>
    <w:rsid w:val="00501673"/>
    <w:rsid w:val="00501BF6"/>
    <w:rsid w:val="00501E84"/>
    <w:rsid w:val="005027EB"/>
    <w:rsid w:val="005034AF"/>
    <w:rsid w:val="00504169"/>
    <w:rsid w:val="005051ED"/>
    <w:rsid w:val="00505BFD"/>
    <w:rsid w:val="00505C64"/>
    <w:rsid w:val="00506F33"/>
    <w:rsid w:val="005119FF"/>
    <w:rsid w:val="00514EF3"/>
    <w:rsid w:val="00515619"/>
    <w:rsid w:val="00515712"/>
    <w:rsid w:val="0051643C"/>
    <w:rsid w:val="00520CEB"/>
    <w:rsid w:val="0052228F"/>
    <w:rsid w:val="00523906"/>
    <w:rsid w:val="00524342"/>
    <w:rsid w:val="00524E49"/>
    <w:rsid w:val="005251CE"/>
    <w:rsid w:val="005256F5"/>
    <w:rsid w:val="005258B7"/>
    <w:rsid w:val="00526034"/>
    <w:rsid w:val="00526CD9"/>
    <w:rsid w:val="0052728D"/>
    <w:rsid w:val="00530203"/>
    <w:rsid w:val="00530EE2"/>
    <w:rsid w:val="00530EED"/>
    <w:rsid w:val="00531AFD"/>
    <w:rsid w:val="0053223E"/>
    <w:rsid w:val="00532E0F"/>
    <w:rsid w:val="005331F3"/>
    <w:rsid w:val="005339E5"/>
    <w:rsid w:val="00535435"/>
    <w:rsid w:val="00535906"/>
    <w:rsid w:val="00536A94"/>
    <w:rsid w:val="00541C17"/>
    <w:rsid w:val="00541FC2"/>
    <w:rsid w:val="005421FA"/>
    <w:rsid w:val="00542941"/>
    <w:rsid w:val="00542EC7"/>
    <w:rsid w:val="005441F6"/>
    <w:rsid w:val="0054556A"/>
    <w:rsid w:val="00546231"/>
    <w:rsid w:val="0054625B"/>
    <w:rsid w:val="005464D0"/>
    <w:rsid w:val="005473FA"/>
    <w:rsid w:val="00550051"/>
    <w:rsid w:val="00550874"/>
    <w:rsid w:val="00550A66"/>
    <w:rsid w:val="00551578"/>
    <w:rsid w:val="0055182B"/>
    <w:rsid w:val="00554274"/>
    <w:rsid w:val="00554505"/>
    <w:rsid w:val="0055677E"/>
    <w:rsid w:val="00557229"/>
    <w:rsid w:val="00557C4F"/>
    <w:rsid w:val="00562937"/>
    <w:rsid w:val="00562ACA"/>
    <w:rsid w:val="00562F0D"/>
    <w:rsid w:val="0056330D"/>
    <w:rsid w:val="00564867"/>
    <w:rsid w:val="00564BD3"/>
    <w:rsid w:val="00565895"/>
    <w:rsid w:val="00565B96"/>
    <w:rsid w:val="005702E5"/>
    <w:rsid w:val="00570EEB"/>
    <w:rsid w:val="0057127B"/>
    <w:rsid w:val="0057161D"/>
    <w:rsid w:val="005726CB"/>
    <w:rsid w:val="00572DE8"/>
    <w:rsid w:val="00573342"/>
    <w:rsid w:val="00573521"/>
    <w:rsid w:val="00573A4C"/>
    <w:rsid w:val="00573DB0"/>
    <w:rsid w:val="00574600"/>
    <w:rsid w:val="00574E41"/>
    <w:rsid w:val="00575355"/>
    <w:rsid w:val="00575A43"/>
    <w:rsid w:val="0057629D"/>
    <w:rsid w:val="005771E7"/>
    <w:rsid w:val="00577A25"/>
    <w:rsid w:val="0058017D"/>
    <w:rsid w:val="00580226"/>
    <w:rsid w:val="00580809"/>
    <w:rsid w:val="005810FE"/>
    <w:rsid w:val="00582825"/>
    <w:rsid w:val="00582EAF"/>
    <w:rsid w:val="00582F1D"/>
    <w:rsid w:val="005840B2"/>
    <w:rsid w:val="0058473C"/>
    <w:rsid w:val="005850C1"/>
    <w:rsid w:val="0058649B"/>
    <w:rsid w:val="00586800"/>
    <w:rsid w:val="00586A21"/>
    <w:rsid w:val="00586A31"/>
    <w:rsid w:val="00587089"/>
    <w:rsid w:val="0058745A"/>
    <w:rsid w:val="0059107C"/>
    <w:rsid w:val="005926BD"/>
    <w:rsid w:val="00592BC3"/>
    <w:rsid w:val="00592DE7"/>
    <w:rsid w:val="005937D8"/>
    <w:rsid w:val="00593B88"/>
    <w:rsid w:val="00594318"/>
    <w:rsid w:val="00594661"/>
    <w:rsid w:val="00594D89"/>
    <w:rsid w:val="00594E8B"/>
    <w:rsid w:val="0059567C"/>
    <w:rsid w:val="005971E0"/>
    <w:rsid w:val="00597B6B"/>
    <w:rsid w:val="005A2BAD"/>
    <w:rsid w:val="005A3571"/>
    <w:rsid w:val="005A42C8"/>
    <w:rsid w:val="005A653F"/>
    <w:rsid w:val="005A6A9F"/>
    <w:rsid w:val="005A7441"/>
    <w:rsid w:val="005A7C1F"/>
    <w:rsid w:val="005B0714"/>
    <w:rsid w:val="005B0B6A"/>
    <w:rsid w:val="005B133E"/>
    <w:rsid w:val="005B20D0"/>
    <w:rsid w:val="005B2C92"/>
    <w:rsid w:val="005B3386"/>
    <w:rsid w:val="005B4162"/>
    <w:rsid w:val="005B5FFF"/>
    <w:rsid w:val="005B609B"/>
    <w:rsid w:val="005B67C6"/>
    <w:rsid w:val="005B68EB"/>
    <w:rsid w:val="005B777D"/>
    <w:rsid w:val="005B7F09"/>
    <w:rsid w:val="005C06A1"/>
    <w:rsid w:val="005C0C4F"/>
    <w:rsid w:val="005C2242"/>
    <w:rsid w:val="005C24C5"/>
    <w:rsid w:val="005C25D0"/>
    <w:rsid w:val="005C26CC"/>
    <w:rsid w:val="005C4E7E"/>
    <w:rsid w:val="005C65F1"/>
    <w:rsid w:val="005C6B4E"/>
    <w:rsid w:val="005C74F8"/>
    <w:rsid w:val="005C768D"/>
    <w:rsid w:val="005C783B"/>
    <w:rsid w:val="005D0382"/>
    <w:rsid w:val="005D13FD"/>
    <w:rsid w:val="005D1AC3"/>
    <w:rsid w:val="005D2A39"/>
    <w:rsid w:val="005D42DA"/>
    <w:rsid w:val="005D42DD"/>
    <w:rsid w:val="005D4D22"/>
    <w:rsid w:val="005D6400"/>
    <w:rsid w:val="005D6B26"/>
    <w:rsid w:val="005D720D"/>
    <w:rsid w:val="005E1520"/>
    <w:rsid w:val="005E1CE8"/>
    <w:rsid w:val="005E3845"/>
    <w:rsid w:val="005E454A"/>
    <w:rsid w:val="005E5F0B"/>
    <w:rsid w:val="005E6E51"/>
    <w:rsid w:val="005E75F1"/>
    <w:rsid w:val="005F07D8"/>
    <w:rsid w:val="005F08D8"/>
    <w:rsid w:val="005F0E06"/>
    <w:rsid w:val="005F143D"/>
    <w:rsid w:val="005F2953"/>
    <w:rsid w:val="005F3177"/>
    <w:rsid w:val="005F35DA"/>
    <w:rsid w:val="005F5CAB"/>
    <w:rsid w:val="005F5F0A"/>
    <w:rsid w:val="005F60B1"/>
    <w:rsid w:val="005F6129"/>
    <w:rsid w:val="005F6956"/>
    <w:rsid w:val="005F700A"/>
    <w:rsid w:val="006004A2"/>
    <w:rsid w:val="00600A33"/>
    <w:rsid w:val="00600FCD"/>
    <w:rsid w:val="00601A35"/>
    <w:rsid w:val="00602CBD"/>
    <w:rsid w:val="00603E11"/>
    <w:rsid w:val="00605BA6"/>
    <w:rsid w:val="00605BAF"/>
    <w:rsid w:val="00610B00"/>
    <w:rsid w:val="00610B6A"/>
    <w:rsid w:val="00610E41"/>
    <w:rsid w:val="00611210"/>
    <w:rsid w:val="006118DB"/>
    <w:rsid w:val="006120C3"/>
    <w:rsid w:val="006129FC"/>
    <w:rsid w:val="00612B05"/>
    <w:rsid w:val="006132C3"/>
    <w:rsid w:val="00613CBC"/>
    <w:rsid w:val="00614077"/>
    <w:rsid w:val="006160B5"/>
    <w:rsid w:val="0061627F"/>
    <w:rsid w:val="006168FC"/>
    <w:rsid w:val="0062079E"/>
    <w:rsid w:val="00622851"/>
    <w:rsid w:val="00622C4F"/>
    <w:rsid w:val="0062341E"/>
    <w:rsid w:val="006236EC"/>
    <w:rsid w:val="006248E4"/>
    <w:rsid w:val="00625674"/>
    <w:rsid w:val="00627134"/>
    <w:rsid w:val="006277D5"/>
    <w:rsid w:val="00627C17"/>
    <w:rsid w:val="00630DF8"/>
    <w:rsid w:val="00633255"/>
    <w:rsid w:val="006349D5"/>
    <w:rsid w:val="0063533D"/>
    <w:rsid w:val="00637276"/>
    <w:rsid w:val="00637D8F"/>
    <w:rsid w:val="00640284"/>
    <w:rsid w:val="00640446"/>
    <w:rsid w:val="006405CF"/>
    <w:rsid w:val="006416F1"/>
    <w:rsid w:val="006419DB"/>
    <w:rsid w:val="0064253D"/>
    <w:rsid w:val="00643D87"/>
    <w:rsid w:val="00644621"/>
    <w:rsid w:val="0064477D"/>
    <w:rsid w:val="0064513A"/>
    <w:rsid w:val="006451A0"/>
    <w:rsid w:val="006456AF"/>
    <w:rsid w:val="00645D32"/>
    <w:rsid w:val="0064750E"/>
    <w:rsid w:val="00650EC2"/>
    <w:rsid w:val="00653769"/>
    <w:rsid w:val="00653E79"/>
    <w:rsid w:val="006541F2"/>
    <w:rsid w:val="00654272"/>
    <w:rsid w:val="00654540"/>
    <w:rsid w:val="00654F17"/>
    <w:rsid w:val="00654F2E"/>
    <w:rsid w:val="00655190"/>
    <w:rsid w:val="00655A2E"/>
    <w:rsid w:val="00655CE8"/>
    <w:rsid w:val="00655DE7"/>
    <w:rsid w:val="00655E2F"/>
    <w:rsid w:val="00656097"/>
    <w:rsid w:val="006571FE"/>
    <w:rsid w:val="00657C57"/>
    <w:rsid w:val="00660ABF"/>
    <w:rsid w:val="006615A9"/>
    <w:rsid w:val="00661FA5"/>
    <w:rsid w:val="0066244E"/>
    <w:rsid w:val="006627CE"/>
    <w:rsid w:val="006629CB"/>
    <w:rsid w:val="00662EA6"/>
    <w:rsid w:val="0066347B"/>
    <w:rsid w:val="00663764"/>
    <w:rsid w:val="00663779"/>
    <w:rsid w:val="006648E0"/>
    <w:rsid w:val="00664A23"/>
    <w:rsid w:val="00665A9A"/>
    <w:rsid w:val="00666078"/>
    <w:rsid w:val="006661F1"/>
    <w:rsid w:val="0066649E"/>
    <w:rsid w:val="006668D4"/>
    <w:rsid w:val="00666DD2"/>
    <w:rsid w:val="00666E5E"/>
    <w:rsid w:val="0066734B"/>
    <w:rsid w:val="00667DD2"/>
    <w:rsid w:val="006700C5"/>
    <w:rsid w:val="0067053F"/>
    <w:rsid w:val="00670A5C"/>
    <w:rsid w:val="00672071"/>
    <w:rsid w:val="00672539"/>
    <w:rsid w:val="00672A71"/>
    <w:rsid w:val="00673956"/>
    <w:rsid w:val="00674E16"/>
    <w:rsid w:val="006755B1"/>
    <w:rsid w:val="0067611C"/>
    <w:rsid w:val="0067775E"/>
    <w:rsid w:val="00677876"/>
    <w:rsid w:val="00681A4D"/>
    <w:rsid w:val="00681C3B"/>
    <w:rsid w:val="00681F5A"/>
    <w:rsid w:val="00685E43"/>
    <w:rsid w:val="00686B57"/>
    <w:rsid w:val="00687940"/>
    <w:rsid w:val="00691974"/>
    <w:rsid w:val="00691A58"/>
    <w:rsid w:val="00692AF5"/>
    <w:rsid w:val="00693097"/>
    <w:rsid w:val="00694310"/>
    <w:rsid w:val="00694B5F"/>
    <w:rsid w:val="00694DAD"/>
    <w:rsid w:val="00695E6C"/>
    <w:rsid w:val="00695E79"/>
    <w:rsid w:val="00696321"/>
    <w:rsid w:val="00696416"/>
    <w:rsid w:val="006A14B0"/>
    <w:rsid w:val="006A1DE8"/>
    <w:rsid w:val="006A20A4"/>
    <w:rsid w:val="006A2DA6"/>
    <w:rsid w:val="006A333F"/>
    <w:rsid w:val="006A3E70"/>
    <w:rsid w:val="006A4EE2"/>
    <w:rsid w:val="006A67F0"/>
    <w:rsid w:val="006B00B8"/>
    <w:rsid w:val="006B11EA"/>
    <w:rsid w:val="006B1B8E"/>
    <w:rsid w:val="006B2CE5"/>
    <w:rsid w:val="006B3D7B"/>
    <w:rsid w:val="006B584D"/>
    <w:rsid w:val="006B6AAB"/>
    <w:rsid w:val="006B77C3"/>
    <w:rsid w:val="006B7A6B"/>
    <w:rsid w:val="006C075E"/>
    <w:rsid w:val="006C2539"/>
    <w:rsid w:val="006C34BA"/>
    <w:rsid w:val="006C4422"/>
    <w:rsid w:val="006C475C"/>
    <w:rsid w:val="006C6D58"/>
    <w:rsid w:val="006C6DFA"/>
    <w:rsid w:val="006C7FE1"/>
    <w:rsid w:val="006D0E6B"/>
    <w:rsid w:val="006D2090"/>
    <w:rsid w:val="006D4D01"/>
    <w:rsid w:val="006D517A"/>
    <w:rsid w:val="006D5B39"/>
    <w:rsid w:val="006D5FDA"/>
    <w:rsid w:val="006E0807"/>
    <w:rsid w:val="006E0C97"/>
    <w:rsid w:val="006E1C1B"/>
    <w:rsid w:val="006E1D0C"/>
    <w:rsid w:val="006E4207"/>
    <w:rsid w:val="006E5017"/>
    <w:rsid w:val="006E5145"/>
    <w:rsid w:val="006E5F42"/>
    <w:rsid w:val="006E6094"/>
    <w:rsid w:val="006E6575"/>
    <w:rsid w:val="006F1DC7"/>
    <w:rsid w:val="006F2765"/>
    <w:rsid w:val="006F2A53"/>
    <w:rsid w:val="006F6496"/>
    <w:rsid w:val="006F690E"/>
    <w:rsid w:val="006F7C42"/>
    <w:rsid w:val="00700C6A"/>
    <w:rsid w:val="00700FF2"/>
    <w:rsid w:val="00701DF1"/>
    <w:rsid w:val="00702353"/>
    <w:rsid w:val="00702B7E"/>
    <w:rsid w:val="00704468"/>
    <w:rsid w:val="00705648"/>
    <w:rsid w:val="007058C1"/>
    <w:rsid w:val="00706988"/>
    <w:rsid w:val="00710393"/>
    <w:rsid w:val="007107CE"/>
    <w:rsid w:val="007143ED"/>
    <w:rsid w:val="007169A0"/>
    <w:rsid w:val="0071725F"/>
    <w:rsid w:val="0072166C"/>
    <w:rsid w:val="00721BFF"/>
    <w:rsid w:val="00721C90"/>
    <w:rsid w:val="0072340E"/>
    <w:rsid w:val="00723639"/>
    <w:rsid w:val="00723776"/>
    <w:rsid w:val="007248B8"/>
    <w:rsid w:val="00725856"/>
    <w:rsid w:val="007261D4"/>
    <w:rsid w:val="0072639B"/>
    <w:rsid w:val="007272BC"/>
    <w:rsid w:val="00732271"/>
    <w:rsid w:val="00733082"/>
    <w:rsid w:val="0073338D"/>
    <w:rsid w:val="00733592"/>
    <w:rsid w:val="00733E1E"/>
    <w:rsid w:val="00734929"/>
    <w:rsid w:val="00735BE3"/>
    <w:rsid w:val="00736FB3"/>
    <w:rsid w:val="00737FE0"/>
    <w:rsid w:val="007406CE"/>
    <w:rsid w:val="00741558"/>
    <w:rsid w:val="0074163D"/>
    <w:rsid w:val="00741953"/>
    <w:rsid w:val="007427DB"/>
    <w:rsid w:val="00742A2A"/>
    <w:rsid w:val="00742B37"/>
    <w:rsid w:val="007433B9"/>
    <w:rsid w:val="00743EB9"/>
    <w:rsid w:val="007452CE"/>
    <w:rsid w:val="00745AC2"/>
    <w:rsid w:val="00745AD1"/>
    <w:rsid w:val="007460A6"/>
    <w:rsid w:val="00747563"/>
    <w:rsid w:val="00747E61"/>
    <w:rsid w:val="007515B6"/>
    <w:rsid w:val="0075276D"/>
    <w:rsid w:val="00752F2F"/>
    <w:rsid w:val="00754852"/>
    <w:rsid w:val="007557D6"/>
    <w:rsid w:val="0076197A"/>
    <w:rsid w:val="0076242F"/>
    <w:rsid w:val="00762603"/>
    <w:rsid w:val="0076263C"/>
    <w:rsid w:val="00763CAD"/>
    <w:rsid w:val="0076435A"/>
    <w:rsid w:val="00764A61"/>
    <w:rsid w:val="00765965"/>
    <w:rsid w:val="007661C9"/>
    <w:rsid w:val="0076653F"/>
    <w:rsid w:val="00766D64"/>
    <w:rsid w:val="00771F15"/>
    <w:rsid w:val="007728C5"/>
    <w:rsid w:val="00772F45"/>
    <w:rsid w:val="007739D7"/>
    <w:rsid w:val="00773C51"/>
    <w:rsid w:val="007743FB"/>
    <w:rsid w:val="00774612"/>
    <w:rsid w:val="00775080"/>
    <w:rsid w:val="007751E4"/>
    <w:rsid w:val="0077525F"/>
    <w:rsid w:val="00775AFE"/>
    <w:rsid w:val="00780DB1"/>
    <w:rsid w:val="00781385"/>
    <w:rsid w:val="007839A6"/>
    <w:rsid w:val="007843A2"/>
    <w:rsid w:val="00786021"/>
    <w:rsid w:val="0079065F"/>
    <w:rsid w:val="007907B8"/>
    <w:rsid w:val="007913C5"/>
    <w:rsid w:val="00792593"/>
    <w:rsid w:val="0079277F"/>
    <w:rsid w:val="0079300F"/>
    <w:rsid w:val="00793B5B"/>
    <w:rsid w:val="00793E75"/>
    <w:rsid w:val="007940ED"/>
    <w:rsid w:val="0079443F"/>
    <w:rsid w:val="007944CB"/>
    <w:rsid w:val="00794FE7"/>
    <w:rsid w:val="007959CB"/>
    <w:rsid w:val="00795E8E"/>
    <w:rsid w:val="00796269"/>
    <w:rsid w:val="007967A9"/>
    <w:rsid w:val="007A017B"/>
    <w:rsid w:val="007A0574"/>
    <w:rsid w:val="007A05F5"/>
    <w:rsid w:val="007A14DB"/>
    <w:rsid w:val="007A2462"/>
    <w:rsid w:val="007A27E8"/>
    <w:rsid w:val="007A2C4E"/>
    <w:rsid w:val="007A2D7D"/>
    <w:rsid w:val="007A3079"/>
    <w:rsid w:val="007A3104"/>
    <w:rsid w:val="007A34D7"/>
    <w:rsid w:val="007A3BB7"/>
    <w:rsid w:val="007A572A"/>
    <w:rsid w:val="007A5D40"/>
    <w:rsid w:val="007B08DC"/>
    <w:rsid w:val="007B15B7"/>
    <w:rsid w:val="007B2AB9"/>
    <w:rsid w:val="007B439D"/>
    <w:rsid w:val="007B45BA"/>
    <w:rsid w:val="007B57B5"/>
    <w:rsid w:val="007B5E75"/>
    <w:rsid w:val="007B6116"/>
    <w:rsid w:val="007B699F"/>
    <w:rsid w:val="007B6BC2"/>
    <w:rsid w:val="007B7796"/>
    <w:rsid w:val="007C1EA1"/>
    <w:rsid w:val="007C2C71"/>
    <w:rsid w:val="007C2D87"/>
    <w:rsid w:val="007C42CE"/>
    <w:rsid w:val="007C480D"/>
    <w:rsid w:val="007C48FC"/>
    <w:rsid w:val="007C587A"/>
    <w:rsid w:val="007C6246"/>
    <w:rsid w:val="007C74E5"/>
    <w:rsid w:val="007C7AF9"/>
    <w:rsid w:val="007D07BC"/>
    <w:rsid w:val="007D114B"/>
    <w:rsid w:val="007D1851"/>
    <w:rsid w:val="007D262D"/>
    <w:rsid w:val="007D2B5A"/>
    <w:rsid w:val="007D30EF"/>
    <w:rsid w:val="007D3388"/>
    <w:rsid w:val="007D3498"/>
    <w:rsid w:val="007D3803"/>
    <w:rsid w:val="007D3959"/>
    <w:rsid w:val="007D3F86"/>
    <w:rsid w:val="007D4259"/>
    <w:rsid w:val="007D5ABC"/>
    <w:rsid w:val="007D62E4"/>
    <w:rsid w:val="007D7071"/>
    <w:rsid w:val="007D749A"/>
    <w:rsid w:val="007D7E50"/>
    <w:rsid w:val="007E1814"/>
    <w:rsid w:val="007E23F7"/>
    <w:rsid w:val="007E3080"/>
    <w:rsid w:val="007E3E37"/>
    <w:rsid w:val="007E5163"/>
    <w:rsid w:val="007E5A62"/>
    <w:rsid w:val="007E5A65"/>
    <w:rsid w:val="007E7469"/>
    <w:rsid w:val="007E7A23"/>
    <w:rsid w:val="007E7F7E"/>
    <w:rsid w:val="007F0E7F"/>
    <w:rsid w:val="007F2213"/>
    <w:rsid w:val="007F6362"/>
    <w:rsid w:val="007F64C0"/>
    <w:rsid w:val="007F7224"/>
    <w:rsid w:val="007F74B9"/>
    <w:rsid w:val="007F7DD1"/>
    <w:rsid w:val="00800246"/>
    <w:rsid w:val="0080055F"/>
    <w:rsid w:val="00800B78"/>
    <w:rsid w:val="00801223"/>
    <w:rsid w:val="008015F1"/>
    <w:rsid w:val="00802FDF"/>
    <w:rsid w:val="008036A7"/>
    <w:rsid w:val="0080649F"/>
    <w:rsid w:val="0081057E"/>
    <w:rsid w:val="008113C4"/>
    <w:rsid w:val="0081192B"/>
    <w:rsid w:val="00811D9B"/>
    <w:rsid w:val="00812823"/>
    <w:rsid w:val="00812847"/>
    <w:rsid w:val="00812A05"/>
    <w:rsid w:val="00813DFB"/>
    <w:rsid w:val="00814501"/>
    <w:rsid w:val="0081451A"/>
    <w:rsid w:val="0081542D"/>
    <w:rsid w:val="00816783"/>
    <w:rsid w:val="0081687C"/>
    <w:rsid w:val="008168A5"/>
    <w:rsid w:val="00816A11"/>
    <w:rsid w:val="0081763A"/>
    <w:rsid w:val="00817C0E"/>
    <w:rsid w:val="00820554"/>
    <w:rsid w:val="00821704"/>
    <w:rsid w:val="00822D29"/>
    <w:rsid w:val="00825463"/>
    <w:rsid w:val="0082584E"/>
    <w:rsid w:val="008261FB"/>
    <w:rsid w:val="0082657E"/>
    <w:rsid w:val="00826CAE"/>
    <w:rsid w:val="008271CE"/>
    <w:rsid w:val="0083017F"/>
    <w:rsid w:val="00830AD4"/>
    <w:rsid w:val="0083141D"/>
    <w:rsid w:val="008315A8"/>
    <w:rsid w:val="00831BF0"/>
    <w:rsid w:val="008322A9"/>
    <w:rsid w:val="00832B29"/>
    <w:rsid w:val="00834748"/>
    <w:rsid w:val="00834E6A"/>
    <w:rsid w:val="00835A5C"/>
    <w:rsid w:val="00835E8D"/>
    <w:rsid w:val="00836005"/>
    <w:rsid w:val="00836DC9"/>
    <w:rsid w:val="00837E5A"/>
    <w:rsid w:val="008406EB"/>
    <w:rsid w:val="00840957"/>
    <w:rsid w:val="00841507"/>
    <w:rsid w:val="00841CEC"/>
    <w:rsid w:val="00841F48"/>
    <w:rsid w:val="00843024"/>
    <w:rsid w:val="00843D79"/>
    <w:rsid w:val="00844013"/>
    <w:rsid w:val="00844E24"/>
    <w:rsid w:val="00844EE1"/>
    <w:rsid w:val="008454A8"/>
    <w:rsid w:val="008465CB"/>
    <w:rsid w:val="008507E2"/>
    <w:rsid w:val="00850CEF"/>
    <w:rsid w:val="00850F8E"/>
    <w:rsid w:val="008523C9"/>
    <w:rsid w:val="00852622"/>
    <w:rsid w:val="00853C3E"/>
    <w:rsid w:val="008541CB"/>
    <w:rsid w:val="00854759"/>
    <w:rsid w:val="00854C5A"/>
    <w:rsid w:val="00855872"/>
    <w:rsid w:val="00856DDE"/>
    <w:rsid w:val="00860E8D"/>
    <w:rsid w:val="00861827"/>
    <w:rsid w:val="00862056"/>
    <w:rsid w:val="0086260C"/>
    <w:rsid w:val="00862ED8"/>
    <w:rsid w:val="00863168"/>
    <w:rsid w:val="008645B9"/>
    <w:rsid w:val="00865453"/>
    <w:rsid w:val="00866AB7"/>
    <w:rsid w:val="008705E8"/>
    <w:rsid w:val="00870A5F"/>
    <w:rsid w:val="00870D53"/>
    <w:rsid w:val="00871F04"/>
    <w:rsid w:val="00872F93"/>
    <w:rsid w:val="00873B2C"/>
    <w:rsid w:val="008747F8"/>
    <w:rsid w:val="00875C11"/>
    <w:rsid w:val="008766C0"/>
    <w:rsid w:val="00876C38"/>
    <w:rsid w:val="00877533"/>
    <w:rsid w:val="00877AE1"/>
    <w:rsid w:val="0088086E"/>
    <w:rsid w:val="008808B8"/>
    <w:rsid w:val="00880DAA"/>
    <w:rsid w:val="00881768"/>
    <w:rsid w:val="008823C5"/>
    <w:rsid w:val="00883360"/>
    <w:rsid w:val="00884C24"/>
    <w:rsid w:val="0088535B"/>
    <w:rsid w:val="00887D97"/>
    <w:rsid w:val="008915B5"/>
    <w:rsid w:val="008915C4"/>
    <w:rsid w:val="0089185F"/>
    <w:rsid w:val="00893E1B"/>
    <w:rsid w:val="00893E99"/>
    <w:rsid w:val="008940A6"/>
    <w:rsid w:val="00894900"/>
    <w:rsid w:val="00894ABD"/>
    <w:rsid w:val="00896460"/>
    <w:rsid w:val="00896469"/>
    <w:rsid w:val="00896D3B"/>
    <w:rsid w:val="00897E54"/>
    <w:rsid w:val="008A27FD"/>
    <w:rsid w:val="008A2CE3"/>
    <w:rsid w:val="008A2EC6"/>
    <w:rsid w:val="008A3A83"/>
    <w:rsid w:val="008A3C5C"/>
    <w:rsid w:val="008A4822"/>
    <w:rsid w:val="008A4A92"/>
    <w:rsid w:val="008A4BBF"/>
    <w:rsid w:val="008A6DF3"/>
    <w:rsid w:val="008A7685"/>
    <w:rsid w:val="008A79BF"/>
    <w:rsid w:val="008A7BE7"/>
    <w:rsid w:val="008B05A5"/>
    <w:rsid w:val="008B34D9"/>
    <w:rsid w:val="008C054C"/>
    <w:rsid w:val="008C0955"/>
    <w:rsid w:val="008C103E"/>
    <w:rsid w:val="008C10A3"/>
    <w:rsid w:val="008C214A"/>
    <w:rsid w:val="008C2E21"/>
    <w:rsid w:val="008C3F89"/>
    <w:rsid w:val="008C656B"/>
    <w:rsid w:val="008C70BB"/>
    <w:rsid w:val="008C7DAE"/>
    <w:rsid w:val="008C7E8D"/>
    <w:rsid w:val="008D0345"/>
    <w:rsid w:val="008D03D9"/>
    <w:rsid w:val="008D054B"/>
    <w:rsid w:val="008D072E"/>
    <w:rsid w:val="008D0B2E"/>
    <w:rsid w:val="008D11FE"/>
    <w:rsid w:val="008D18C1"/>
    <w:rsid w:val="008D1D2F"/>
    <w:rsid w:val="008D75BB"/>
    <w:rsid w:val="008D7A9B"/>
    <w:rsid w:val="008D7D7D"/>
    <w:rsid w:val="008D7EBC"/>
    <w:rsid w:val="008E1E8A"/>
    <w:rsid w:val="008E22D3"/>
    <w:rsid w:val="008E3273"/>
    <w:rsid w:val="008E332F"/>
    <w:rsid w:val="008E45F9"/>
    <w:rsid w:val="008E51C5"/>
    <w:rsid w:val="008E5986"/>
    <w:rsid w:val="008E60C2"/>
    <w:rsid w:val="008E6A61"/>
    <w:rsid w:val="008E72CA"/>
    <w:rsid w:val="008E73DC"/>
    <w:rsid w:val="008E755B"/>
    <w:rsid w:val="008E7B18"/>
    <w:rsid w:val="008F18A0"/>
    <w:rsid w:val="008F1A59"/>
    <w:rsid w:val="008F2FF6"/>
    <w:rsid w:val="008F4092"/>
    <w:rsid w:val="008F40F1"/>
    <w:rsid w:val="008F59AC"/>
    <w:rsid w:val="008F6269"/>
    <w:rsid w:val="008F64F0"/>
    <w:rsid w:val="008F6532"/>
    <w:rsid w:val="008F66A0"/>
    <w:rsid w:val="008F7179"/>
    <w:rsid w:val="008F735E"/>
    <w:rsid w:val="008F7C77"/>
    <w:rsid w:val="0090015E"/>
    <w:rsid w:val="00900351"/>
    <w:rsid w:val="00901C61"/>
    <w:rsid w:val="0090262C"/>
    <w:rsid w:val="0090403A"/>
    <w:rsid w:val="00904813"/>
    <w:rsid w:val="00904BAF"/>
    <w:rsid w:val="00907EA0"/>
    <w:rsid w:val="00907FC4"/>
    <w:rsid w:val="0091080D"/>
    <w:rsid w:val="00910836"/>
    <w:rsid w:val="009113FA"/>
    <w:rsid w:val="0091178C"/>
    <w:rsid w:val="00912E93"/>
    <w:rsid w:val="00913349"/>
    <w:rsid w:val="00914283"/>
    <w:rsid w:val="00915951"/>
    <w:rsid w:val="00915A79"/>
    <w:rsid w:val="00916834"/>
    <w:rsid w:val="00916874"/>
    <w:rsid w:val="00922749"/>
    <w:rsid w:val="00923046"/>
    <w:rsid w:val="009236FE"/>
    <w:rsid w:val="009240AE"/>
    <w:rsid w:val="00927EDB"/>
    <w:rsid w:val="00930B76"/>
    <w:rsid w:val="00930FFF"/>
    <w:rsid w:val="009316BE"/>
    <w:rsid w:val="0093264A"/>
    <w:rsid w:val="0093267A"/>
    <w:rsid w:val="00933012"/>
    <w:rsid w:val="00935A05"/>
    <w:rsid w:val="00935D68"/>
    <w:rsid w:val="0093641D"/>
    <w:rsid w:val="00936C85"/>
    <w:rsid w:val="00937151"/>
    <w:rsid w:val="009377A4"/>
    <w:rsid w:val="00937CBA"/>
    <w:rsid w:val="00944428"/>
    <w:rsid w:val="009444E1"/>
    <w:rsid w:val="00945322"/>
    <w:rsid w:val="00945382"/>
    <w:rsid w:val="00946E27"/>
    <w:rsid w:val="009501E1"/>
    <w:rsid w:val="00952372"/>
    <w:rsid w:val="009546E5"/>
    <w:rsid w:val="00955164"/>
    <w:rsid w:val="00955A32"/>
    <w:rsid w:val="00955B28"/>
    <w:rsid w:val="009565D0"/>
    <w:rsid w:val="0095686C"/>
    <w:rsid w:val="00956BD9"/>
    <w:rsid w:val="00957DD4"/>
    <w:rsid w:val="0096060B"/>
    <w:rsid w:val="0096201A"/>
    <w:rsid w:val="00963FB4"/>
    <w:rsid w:val="0096687A"/>
    <w:rsid w:val="0096767B"/>
    <w:rsid w:val="00971A15"/>
    <w:rsid w:val="00971C9F"/>
    <w:rsid w:val="009725B3"/>
    <w:rsid w:val="00972DBE"/>
    <w:rsid w:val="009731EF"/>
    <w:rsid w:val="00973678"/>
    <w:rsid w:val="00973817"/>
    <w:rsid w:val="00975332"/>
    <w:rsid w:val="00975729"/>
    <w:rsid w:val="00975D18"/>
    <w:rsid w:val="009803EF"/>
    <w:rsid w:val="00981D87"/>
    <w:rsid w:val="009823CD"/>
    <w:rsid w:val="009828C2"/>
    <w:rsid w:val="00985531"/>
    <w:rsid w:val="009855C3"/>
    <w:rsid w:val="00992011"/>
    <w:rsid w:val="00992335"/>
    <w:rsid w:val="009925F2"/>
    <w:rsid w:val="009926E3"/>
    <w:rsid w:val="009927C3"/>
    <w:rsid w:val="00992C15"/>
    <w:rsid w:val="00994E15"/>
    <w:rsid w:val="00995894"/>
    <w:rsid w:val="00997B24"/>
    <w:rsid w:val="009A0536"/>
    <w:rsid w:val="009A0D45"/>
    <w:rsid w:val="009A0ED9"/>
    <w:rsid w:val="009A3E06"/>
    <w:rsid w:val="009A4044"/>
    <w:rsid w:val="009A46E5"/>
    <w:rsid w:val="009A5A05"/>
    <w:rsid w:val="009A6552"/>
    <w:rsid w:val="009A65A8"/>
    <w:rsid w:val="009A6685"/>
    <w:rsid w:val="009B1119"/>
    <w:rsid w:val="009B250A"/>
    <w:rsid w:val="009B2AF8"/>
    <w:rsid w:val="009B2C63"/>
    <w:rsid w:val="009B33BD"/>
    <w:rsid w:val="009B46F1"/>
    <w:rsid w:val="009B4A2C"/>
    <w:rsid w:val="009B4C96"/>
    <w:rsid w:val="009B4F02"/>
    <w:rsid w:val="009B684A"/>
    <w:rsid w:val="009B6FB3"/>
    <w:rsid w:val="009B7299"/>
    <w:rsid w:val="009B72F6"/>
    <w:rsid w:val="009B73A2"/>
    <w:rsid w:val="009B7758"/>
    <w:rsid w:val="009C019B"/>
    <w:rsid w:val="009C0216"/>
    <w:rsid w:val="009C02C5"/>
    <w:rsid w:val="009C0A11"/>
    <w:rsid w:val="009C0FD8"/>
    <w:rsid w:val="009C119E"/>
    <w:rsid w:val="009C12D2"/>
    <w:rsid w:val="009C15D0"/>
    <w:rsid w:val="009C160D"/>
    <w:rsid w:val="009C1D02"/>
    <w:rsid w:val="009C1F81"/>
    <w:rsid w:val="009C2192"/>
    <w:rsid w:val="009C26F5"/>
    <w:rsid w:val="009C5006"/>
    <w:rsid w:val="009C550C"/>
    <w:rsid w:val="009C5C56"/>
    <w:rsid w:val="009C72B6"/>
    <w:rsid w:val="009C75E4"/>
    <w:rsid w:val="009D06BB"/>
    <w:rsid w:val="009D23E0"/>
    <w:rsid w:val="009D29B2"/>
    <w:rsid w:val="009D3523"/>
    <w:rsid w:val="009D537E"/>
    <w:rsid w:val="009D545F"/>
    <w:rsid w:val="009D5D52"/>
    <w:rsid w:val="009D5EA1"/>
    <w:rsid w:val="009D5F5F"/>
    <w:rsid w:val="009D6444"/>
    <w:rsid w:val="009D64B3"/>
    <w:rsid w:val="009D6FDA"/>
    <w:rsid w:val="009D7DE5"/>
    <w:rsid w:val="009D7EBD"/>
    <w:rsid w:val="009E1030"/>
    <w:rsid w:val="009E2BA8"/>
    <w:rsid w:val="009E3D52"/>
    <w:rsid w:val="009E50DF"/>
    <w:rsid w:val="009E5A96"/>
    <w:rsid w:val="009E5C15"/>
    <w:rsid w:val="009E6B89"/>
    <w:rsid w:val="009F0977"/>
    <w:rsid w:val="009F0E3E"/>
    <w:rsid w:val="009F19E6"/>
    <w:rsid w:val="009F3C5D"/>
    <w:rsid w:val="009F42CB"/>
    <w:rsid w:val="009F4DB4"/>
    <w:rsid w:val="009F58D2"/>
    <w:rsid w:val="009F5DEC"/>
    <w:rsid w:val="009F6AB0"/>
    <w:rsid w:val="009F6F65"/>
    <w:rsid w:val="009F703E"/>
    <w:rsid w:val="009F7D73"/>
    <w:rsid w:val="00A0051D"/>
    <w:rsid w:val="00A0084F"/>
    <w:rsid w:val="00A008F0"/>
    <w:rsid w:val="00A02E76"/>
    <w:rsid w:val="00A02FCB"/>
    <w:rsid w:val="00A03A87"/>
    <w:rsid w:val="00A03B1E"/>
    <w:rsid w:val="00A05F4B"/>
    <w:rsid w:val="00A064E4"/>
    <w:rsid w:val="00A06A06"/>
    <w:rsid w:val="00A07B92"/>
    <w:rsid w:val="00A11B82"/>
    <w:rsid w:val="00A11BCD"/>
    <w:rsid w:val="00A12608"/>
    <w:rsid w:val="00A12AFA"/>
    <w:rsid w:val="00A130B6"/>
    <w:rsid w:val="00A13BEC"/>
    <w:rsid w:val="00A14645"/>
    <w:rsid w:val="00A14694"/>
    <w:rsid w:val="00A1524C"/>
    <w:rsid w:val="00A15AAB"/>
    <w:rsid w:val="00A15E57"/>
    <w:rsid w:val="00A16443"/>
    <w:rsid w:val="00A167AE"/>
    <w:rsid w:val="00A17D0E"/>
    <w:rsid w:val="00A20798"/>
    <w:rsid w:val="00A20B77"/>
    <w:rsid w:val="00A2104F"/>
    <w:rsid w:val="00A214A5"/>
    <w:rsid w:val="00A217D0"/>
    <w:rsid w:val="00A22CA9"/>
    <w:rsid w:val="00A24167"/>
    <w:rsid w:val="00A24486"/>
    <w:rsid w:val="00A24665"/>
    <w:rsid w:val="00A246A0"/>
    <w:rsid w:val="00A25C63"/>
    <w:rsid w:val="00A26E29"/>
    <w:rsid w:val="00A26EB5"/>
    <w:rsid w:val="00A26F58"/>
    <w:rsid w:val="00A26F86"/>
    <w:rsid w:val="00A276EC"/>
    <w:rsid w:val="00A303F4"/>
    <w:rsid w:val="00A31458"/>
    <w:rsid w:val="00A31926"/>
    <w:rsid w:val="00A31B93"/>
    <w:rsid w:val="00A327E9"/>
    <w:rsid w:val="00A33F15"/>
    <w:rsid w:val="00A341BF"/>
    <w:rsid w:val="00A347E2"/>
    <w:rsid w:val="00A34EFF"/>
    <w:rsid w:val="00A36340"/>
    <w:rsid w:val="00A3774E"/>
    <w:rsid w:val="00A37A96"/>
    <w:rsid w:val="00A37D08"/>
    <w:rsid w:val="00A4035B"/>
    <w:rsid w:val="00A41621"/>
    <w:rsid w:val="00A41A0E"/>
    <w:rsid w:val="00A41B02"/>
    <w:rsid w:val="00A421D9"/>
    <w:rsid w:val="00A4289B"/>
    <w:rsid w:val="00A4338F"/>
    <w:rsid w:val="00A4490D"/>
    <w:rsid w:val="00A457B1"/>
    <w:rsid w:val="00A4725D"/>
    <w:rsid w:val="00A47C2D"/>
    <w:rsid w:val="00A51716"/>
    <w:rsid w:val="00A51887"/>
    <w:rsid w:val="00A52069"/>
    <w:rsid w:val="00A5296E"/>
    <w:rsid w:val="00A533B6"/>
    <w:rsid w:val="00A53D85"/>
    <w:rsid w:val="00A5457D"/>
    <w:rsid w:val="00A54D53"/>
    <w:rsid w:val="00A56891"/>
    <w:rsid w:val="00A568D5"/>
    <w:rsid w:val="00A569DB"/>
    <w:rsid w:val="00A56C66"/>
    <w:rsid w:val="00A56FEA"/>
    <w:rsid w:val="00A5726B"/>
    <w:rsid w:val="00A57633"/>
    <w:rsid w:val="00A60D47"/>
    <w:rsid w:val="00A61A77"/>
    <w:rsid w:val="00A62490"/>
    <w:rsid w:val="00A62CE7"/>
    <w:rsid w:val="00A63483"/>
    <w:rsid w:val="00A6421F"/>
    <w:rsid w:val="00A65087"/>
    <w:rsid w:val="00A675D2"/>
    <w:rsid w:val="00A7016D"/>
    <w:rsid w:val="00A707EA"/>
    <w:rsid w:val="00A70DD1"/>
    <w:rsid w:val="00A7123C"/>
    <w:rsid w:val="00A717C8"/>
    <w:rsid w:val="00A72AC8"/>
    <w:rsid w:val="00A72DF7"/>
    <w:rsid w:val="00A7353B"/>
    <w:rsid w:val="00A736B6"/>
    <w:rsid w:val="00A74278"/>
    <w:rsid w:val="00A75EFB"/>
    <w:rsid w:val="00A8093F"/>
    <w:rsid w:val="00A80F19"/>
    <w:rsid w:val="00A8228C"/>
    <w:rsid w:val="00A82A79"/>
    <w:rsid w:val="00A8396C"/>
    <w:rsid w:val="00A83FEB"/>
    <w:rsid w:val="00A84F18"/>
    <w:rsid w:val="00A85243"/>
    <w:rsid w:val="00A8563B"/>
    <w:rsid w:val="00A867E4"/>
    <w:rsid w:val="00A86BBD"/>
    <w:rsid w:val="00A86D4E"/>
    <w:rsid w:val="00A87E60"/>
    <w:rsid w:val="00A87E95"/>
    <w:rsid w:val="00A9139C"/>
    <w:rsid w:val="00A91E8B"/>
    <w:rsid w:val="00A92F24"/>
    <w:rsid w:val="00A9414B"/>
    <w:rsid w:val="00A97FA8"/>
    <w:rsid w:val="00AA04D1"/>
    <w:rsid w:val="00AA176A"/>
    <w:rsid w:val="00AA2412"/>
    <w:rsid w:val="00AA351E"/>
    <w:rsid w:val="00AA364B"/>
    <w:rsid w:val="00AA3A40"/>
    <w:rsid w:val="00AA3E8F"/>
    <w:rsid w:val="00AA4EF3"/>
    <w:rsid w:val="00AA57F7"/>
    <w:rsid w:val="00AA6095"/>
    <w:rsid w:val="00AA6305"/>
    <w:rsid w:val="00AA77DA"/>
    <w:rsid w:val="00AB19C0"/>
    <w:rsid w:val="00AB1AC3"/>
    <w:rsid w:val="00AB2A20"/>
    <w:rsid w:val="00AB2B11"/>
    <w:rsid w:val="00AB2E44"/>
    <w:rsid w:val="00AB321D"/>
    <w:rsid w:val="00AB46F6"/>
    <w:rsid w:val="00AB672E"/>
    <w:rsid w:val="00AB673B"/>
    <w:rsid w:val="00AB7289"/>
    <w:rsid w:val="00AB7B68"/>
    <w:rsid w:val="00AB7B8F"/>
    <w:rsid w:val="00AB7E9A"/>
    <w:rsid w:val="00AC1089"/>
    <w:rsid w:val="00AC11F5"/>
    <w:rsid w:val="00AC1625"/>
    <w:rsid w:val="00AC198E"/>
    <w:rsid w:val="00AC1AD4"/>
    <w:rsid w:val="00AC3536"/>
    <w:rsid w:val="00AC504F"/>
    <w:rsid w:val="00AC5764"/>
    <w:rsid w:val="00AC5FA0"/>
    <w:rsid w:val="00AC7178"/>
    <w:rsid w:val="00AC7585"/>
    <w:rsid w:val="00AC79B5"/>
    <w:rsid w:val="00AD2A2E"/>
    <w:rsid w:val="00AD58A9"/>
    <w:rsid w:val="00AD5AB3"/>
    <w:rsid w:val="00AD5EA8"/>
    <w:rsid w:val="00AD671F"/>
    <w:rsid w:val="00AD7155"/>
    <w:rsid w:val="00AD733C"/>
    <w:rsid w:val="00AE1CC5"/>
    <w:rsid w:val="00AE23F9"/>
    <w:rsid w:val="00AE260C"/>
    <w:rsid w:val="00AE2D1E"/>
    <w:rsid w:val="00AE2F4C"/>
    <w:rsid w:val="00AE41EF"/>
    <w:rsid w:val="00AE477C"/>
    <w:rsid w:val="00AE4EF5"/>
    <w:rsid w:val="00AE4F4F"/>
    <w:rsid w:val="00AE5BA9"/>
    <w:rsid w:val="00AE5C7C"/>
    <w:rsid w:val="00AE6FFD"/>
    <w:rsid w:val="00AE70CC"/>
    <w:rsid w:val="00AE79C8"/>
    <w:rsid w:val="00AE7BE7"/>
    <w:rsid w:val="00AF0510"/>
    <w:rsid w:val="00AF06FA"/>
    <w:rsid w:val="00AF0FFB"/>
    <w:rsid w:val="00AF1878"/>
    <w:rsid w:val="00AF37C7"/>
    <w:rsid w:val="00AF4C72"/>
    <w:rsid w:val="00AF596E"/>
    <w:rsid w:val="00AF6195"/>
    <w:rsid w:val="00AF694D"/>
    <w:rsid w:val="00AF69ED"/>
    <w:rsid w:val="00AF710F"/>
    <w:rsid w:val="00AF71A9"/>
    <w:rsid w:val="00AF7A9A"/>
    <w:rsid w:val="00B0045D"/>
    <w:rsid w:val="00B00AC6"/>
    <w:rsid w:val="00B010DB"/>
    <w:rsid w:val="00B04D84"/>
    <w:rsid w:val="00B052E2"/>
    <w:rsid w:val="00B05511"/>
    <w:rsid w:val="00B057F8"/>
    <w:rsid w:val="00B063AC"/>
    <w:rsid w:val="00B074A7"/>
    <w:rsid w:val="00B11E65"/>
    <w:rsid w:val="00B12505"/>
    <w:rsid w:val="00B1308F"/>
    <w:rsid w:val="00B136BF"/>
    <w:rsid w:val="00B1376B"/>
    <w:rsid w:val="00B13B96"/>
    <w:rsid w:val="00B146DA"/>
    <w:rsid w:val="00B15108"/>
    <w:rsid w:val="00B15914"/>
    <w:rsid w:val="00B172D3"/>
    <w:rsid w:val="00B17507"/>
    <w:rsid w:val="00B23C09"/>
    <w:rsid w:val="00B2424E"/>
    <w:rsid w:val="00B253F7"/>
    <w:rsid w:val="00B259A5"/>
    <w:rsid w:val="00B262F8"/>
    <w:rsid w:val="00B267B5"/>
    <w:rsid w:val="00B26B1A"/>
    <w:rsid w:val="00B270CF"/>
    <w:rsid w:val="00B30495"/>
    <w:rsid w:val="00B30D56"/>
    <w:rsid w:val="00B311D7"/>
    <w:rsid w:val="00B3320F"/>
    <w:rsid w:val="00B3483A"/>
    <w:rsid w:val="00B3584B"/>
    <w:rsid w:val="00B359CD"/>
    <w:rsid w:val="00B35CE1"/>
    <w:rsid w:val="00B3699F"/>
    <w:rsid w:val="00B36BEF"/>
    <w:rsid w:val="00B37571"/>
    <w:rsid w:val="00B40642"/>
    <w:rsid w:val="00B4101D"/>
    <w:rsid w:val="00B42AEE"/>
    <w:rsid w:val="00B42B49"/>
    <w:rsid w:val="00B42C53"/>
    <w:rsid w:val="00B43E9F"/>
    <w:rsid w:val="00B45911"/>
    <w:rsid w:val="00B46B1E"/>
    <w:rsid w:val="00B46D49"/>
    <w:rsid w:val="00B47250"/>
    <w:rsid w:val="00B5004F"/>
    <w:rsid w:val="00B50123"/>
    <w:rsid w:val="00B50823"/>
    <w:rsid w:val="00B50CE7"/>
    <w:rsid w:val="00B51C55"/>
    <w:rsid w:val="00B52C0F"/>
    <w:rsid w:val="00B5476B"/>
    <w:rsid w:val="00B54A69"/>
    <w:rsid w:val="00B54B75"/>
    <w:rsid w:val="00B54C35"/>
    <w:rsid w:val="00B54F63"/>
    <w:rsid w:val="00B55031"/>
    <w:rsid w:val="00B551B4"/>
    <w:rsid w:val="00B5534D"/>
    <w:rsid w:val="00B565EF"/>
    <w:rsid w:val="00B566F5"/>
    <w:rsid w:val="00B57AC9"/>
    <w:rsid w:val="00B60087"/>
    <w:rsid w:val="00B60798"/>
    <w:rsid w:val="00B609F0"/>
    <w:rsid w:val="00B60D1B"/>
    <w:rsid w:val="00B62CF9"/>
    <w:rsid w:val="00B62D51"/>
    <w:rsid w:val="00B638F1"/>
    <w:rsid w:val="00B65657"/>
    <w:rsid w:val="00B657D0"/>
    <w:rsid w:val="00B66316"/>
    <w:rsid w:val="00B66C84"/>
    <w:rsid w:val="00B67ADF"/>
    <w:rsid w:val="00B67FB0"/>
    <w:rsid w:val="00B67FC1"/>
    <w:rsid w:val="00B70157"/>
    <w:rsid w:val="00B70288"/>
    <w:rsid w:val="00B70CDE"/>
    <w:rsid w:val="00B70F42"/>
    <w:rsid w:val="00B7131C"/>
    <w:rsid w:val="00B7160F"/>
    <w:rsid w:val="00B716FF"/>
    <w:rsid w:val="00B718BF"/>
    <w:rsid w:val="00B731BE"/>
    <w:rsid w:val="00B732C8"/>
    <w:rsid w:val="00B75CB0"/>
    <w:rsid w:val="00B76F76"/>
    <w:rsid w:val="00B80502"/>
    <w:rsid w:val="00B80EDA"/>
    <w:rsid w:val="00B83336"/>
    <w:rsid w:val="00B83B2D"/>
    <w:rsid w:val="00B84D84"/>
    <w:rsid w:val="00B84E23"/>
    <w:rsid w:val="00B85BAF"/>
    <w:rsid w:val="00B85F69"/>
    <w:rsid w:val="00B87231"/>
    <w:rsid w:val="00B90CE2"/>
    <w:rsid w:val="00B91271"/>
    <w:rsid w:val="00B914E1"/>
    <w:rsid w:val="00B9166D"/>
    <w:rsid w:val="00B917E9"/>
    <w:rsid w:val="00B92159"/>
    <w:rsid w:val="00B9241C"/>
    <w:rsid w:val="00B92D03"/>
    <w:rsid w:val="00B92E84"/>
    <w:rsid w:val="00B9372A"/>
    <w:rsid w:val="00B93E38"/>
    <w:rsid w:val="00B95D1A"/>
    <w:rsid w:val="00B9744A"/>
    <w:rsid w:val="00B97BA0"/>
    <w:rsid w:val="00B97C02"/>
    <w:rsid w:val="00BA0503"/>
    <w:rsid w:val="00BA155E"/>
    <w:rsid w:val="00BA179D"/>
    <w:rsid w:val="00BA1821"/>
    <w:rsid w:val="00BA1CDF"/>
    <w:rsid w:val="00BA1D3A"/>
    <w:rsid w:val="00BA4E3E"/>
    <w:rsid w:val="00BA6817"/>
    <w:rsid w:val="00BA69C1"/>
    <w:rsid w:val="00BA6B53"/>
    <w:rsid w:val="00BA7CA2"/>
    <w:rsid w:val="00BB05EE"/>
    <w:rsid w:val="00BB20C5"/>
    <w:rsid w:val="00BB24B0"/>
    <w:rsid w:val="00BB39EC"/>
    <w:rsid w:val="00BB4716"/>
    <w:rsid w:val="00BB4D2D"/>
    <w:rsid w:val="00BB6C22"/>
    <w:rsid w:val="00BB7693"/>
    <w:rsid w:val="00BB7E19"/>
    <w:rsid w:val="00BC0007"/>
    <w:rsid w:val="00BC0DBE"/>
    <w:rsid w:val="00BC118B"/>
    <w:rsid w:val="00BC5ECC"/>
    <w:rsid w:val="00BC710F"/>
    <w:rsid w:val="00BD1651"/>
    <w:rsid w:val="00BD1B89"/>
    <w:rsid w:val="00BD2765"/>
    <w:rsid w:val="00BD2825"/>
    <w:rsid w:val="00BD2B32"/>
    <w:rsid w:val="00BD373E"/>
    <w:rsid w:val="00BD4543"/>
    <w:rsid w:val="00BD66A6"/>
    <w:rsid w:val="00BD7256"/>
    <w:rsid w:val="00BE05A4"/>
    <w:rsid w:val="00BE06A1"/>
    <w:rsid w:val="00BE14AB"/>
    <w:rsid w:val="00BE231C"/>
    <w:rsid w:val="00BE273A"/>
    <w:rsid w:val="00BE30BB"/>
    <w:rsid w:val="00BE4517"/>
    <w:rsid w:val="00BE7413"/>
    <w:rsid w:val="00BF05F2"/>
    <w:rsid w:val="00BF1F13"/>
    <w:rsid w:val="00BF2408"/>
    <w:rsid w:val="00BF2660"/>
    <w:rsid w:val="00BF291A"/>
    <w:rsid w:val="00BF2C12"/>
    <w:rsid w:val="00C02133"/>
    <w:rsid w:val="00C027D8"/>
    <w:rsid w:val="00C0281E"/>
    <w:rsid w:val="00C02A66"/>
    <w:rsid w:val="00C03544"/>
    <w:rsid w:val="00C038FF"/>
    <w:rsid w:val="00C0489E"/>
    <w:rsid w:val="00C048E3"/>
    <w:rsid w:val="00C069B6"/>
    <w:rsid w:val="00C0735E"/>
    <w:rsid w:val="00C07BDB"/>
    <w:rsid w:val="00C07CD5"/>
    <w:rsid w:val="00C121F2"/>
    <w:rsid w:val="00C12944"/>
    <w:rsid w:val="00C13103"/>
    <w:rsid w:val="00C132F5"/>
    <w:rsid w:val="00C161A6"/>
    <w:rsid w:val="00C2033C"/>
    <w:rsid w:val="00C203A1"/>
    <w:rsid w:val="00C20994"/>
    <w:rsid w:val="00C2173B"/>
    <w:rsid w:val="00C251BA"/>
    <w:rsid w:val="00C25F9F"/>
    <w:rsid w:val="00C262FF"/>
    <w:rsid w:val="00C27C11"/>
    <w:rsid w:val="00C305A2"/>
    <w:rsid w:val="00C30FF2"/>
    <w:rsid w:val="00C31466"/>
    <w:rsid w:val="00C3204E"/>
    <w:rsid w:val="00C322E8"/>
    <w:rsid w:val="00C32D54"/>
    <w:rsid w:val="00C337D9"/>
    <w:rsid w:val="00C33941"/>
    <w:rsid w:val="00C35129"/>
    <w:rsid w:val="00C35A0F"/>
    <w:rsid w:val="00C362B8"/>
    <w:rsid w:val="00C36D44"/>
    <w:rsid w:val="00C37813"/>
    <w:rsid w:val="00C40077"/>
    <w:rsid w:val="00C40BCC"/>
    <w:rsid w:val="00C40BE3"/>
    <w:rsid w:val="00C40E37"/>
    <w:rsid w:val="00C416CD"/>
    <w:rsid w:val="00C42550"/>
    <w:rsid w:val="00C428AE"/>
    <w:rsid w:val="00C42E71"/>
    <w:rsid w:val="00C4467A"/>
    <w:rsid w:val="00C4467E"/>
    <w:rsid w:val="00C44B13"/>
    <w:rsid w:val="00C4666C"/>
    <w:rsid w:val="00C46B85"/>
    <w:rsid w:val="00C50AEE"/>
    <w:rsid w:val="00C5172E"/>
    <w:rsid w:val="00C52BC1"/>
    <w:rsid w:val="00C5301B"/>
    <w:rsid w:val="00C533B6"/>
    <w:rsid w:val="00C53553"/>
    <w:rsid w:val="00C56727"/>
    <w:rsid w:val="00C56D7A"/>
    <w:rsid w:val="00C570BD"/>
    <w:rsid w:val="00C57538"/>
    <w:rsid w:val="00C57D98"/>
    <w:rsid w:val="00C61E9C"/>
    <w:rsid w:val="00C62C5D"/>
    <w:rsid w:val="00C6400F"/>
    <w:rsid w:val="00C64731"/>
    <w:rsid w:val="00C65C5B"/>
    <w:rsid w:val="00C670C2"/>
    <w:rsid w:val="00C7026B"/>
    <w:rsid w:val="00C702A0"/>
    <w:rsid w:val="00C70777"/>
    <w:rsid w:val="00C70E6A"/>
    <w:rsid w:val="00C71BDB"/>
    <w:rsid w:val="00C725E1"/>
    <w:rsid w:val="00C733BA"/>
    <w:rsid w:val="00C734D8"/>
    <w:rsid w:val="00C73909"/>
    <w:rsid w:val="00C739AC"/>
    <w:rsid w:val="00C772A7"/>
    <w:rsid w:val="00C8084C"/>
    <w:rsid w:val="00C83917"/>
    <w:rsid w:val="00C839FC"/>
    <w:rsid w:val="00C83FD3"/>
    <w:rsid w:val="00C8448F"/>
    <w:rsid w:val="00C84BC8"/>
    <w:rsid w:val="00C84CA9"/>
    <w:rsid w:val="00C84CD4"/>
    <w:rsid w:val="00C8588A"/>
    <w:rsid w:val="00C90382"/>
    <w:rsid w:val="00C90804"/>
    <w:rsid w:val="00C90CDB"/>
    <w:rsid w:val="00C9164E"/>
    <w:rsid w:val="00C91F59"/>
    <w:rsid w:val="00C92768"/>
    <w:rsid w:val="00C93D70"/>
    <w:rsid w:val="00C94348"/>
    <w:rsid w:val="00C95CBB"/>
    <w:rsid w:val="00C966AF"/>
    <w:rsid w:val="00C9787C"/>
    <w:rsid w:val="00CA001B"/>
    <w:rsid w:val="00CA0443"/>
    <w:rsid w:val="00CA10B3"/>
    <w:rsid w:val="00CA133B"/>
    <w:rsid w:val="00CA2712"/>
    <w:rsid w:val="00CA3D85"/>
    <w:rsid w:val="00CA5D8B"/>
    <w:rsid w:val="00CA72CD"/>
    <w:rsid w:val="00CA7886"/>
    <w:rsid w:val="00CA7E7C"/>
    <w:rsid w:val="00CB0679"/>
    <w:rsid w:val="00CB0C73"/>
    <w:rsid w:val="00CB1135"/>
    <w:rsid w:val="00CB3504"/>
    <w:rsid w:val="00CB3E24"/>
    <w:rsid w:val="00CB4460"/>
    <w:rsid w:val="00CB4814"/>
    <w:rsid w:val="00CC1021"/>
    <w:rsid w:val="00CC15DB"/>
    <w:rsid w:val="00CC2A61"/>
    <w:rsid w:val="00CC2D79"/>
    <w:rsid w:val="00CC353D"/>
    <w:rsid w:val="00CC3EA8"/>
    <w:rsid w:val="00CC417B"/>
    <w:rsid w:val="00CC43B8"/>
    <w:rsid w:val="00CC694F"/>
    <w:rsid w:val="00CC7AA6"/>
    <w:rsid w:val="00CD05C4"/>
    <w:rsid w:val="00CD2C2E"/>
    <w:rsid w:val="00CD4EFF"/>
    <w:rsid w:val="00CD6BB3"/>
    <w:rsid w:val="00CD7E27"/>
    <w:rsid w:val="00CE111D"/>
    <w:rsid w:val="00CE1E2D"/>
    <w:rsid w:val="00CE2390"/>
    <w:rsid w:val="00CE23D6"/>
    <w:rsid w:val="00CE265D"/>
    <w:rsid w:val="00CE3506"/>
    <w:rsid w:val="00CE3A28"/>
    <w:rsid w:val="00CE3C97"/>
    <w:rsid w:val="00CE4F6E"/>
    <w:rsid w:val="00CE6C78"/>
    <w:rsid w:val="00CE7364"/>
    <w:rsid w:val="00CE742B"/>
    <w:rsid w:val="00CE7498"/>
    <w:rsid w:val="00CE79B0"/>
    <w:rsid w:val="00CE7D83"/>
    <w:rsid w:val="00CF1BEB"/>
    <w:rsid w:val="00CF1EE5"/>
    <w:rsid w:val="00CF2C4C"/>
    <w:rsid w:val="00CF3344"/>
    <w:rsid w:val="00CF4D1E"/>
    <w:rsid w:val="00CF515F"/>
    <w:rsid w:val="00CF51F6"/>
    <w:rsid w:val="00CF778C"/>
    <w:rsid w:val="00D00B5C"/>
    <w:rsid w:val="00D01AA9"/>
    <w:rsid w:val="00D01D3C"/>
    <w:rsid w:val="00D062C5"/>
    <w:rsid w:val="00D100BD"/>
    <w:rsid w:val="00D1215D"/>
    <w:rsid w:val="00D12227"/>
    <w:rsid w:val="00D1250F"/>
    <w:rsid w:val="00D14DA3"/>
    <w:rsid w:val="00D14F8D"/>
    <w:rsid w:val="00D15311"/>
    <w:rsid w:val="00D16992"/>
    <w:rsid w:val="00D16C4B"/>
    <w:rsid w:val="00D16DF9"/>
    <w:rsid w:val="00D16E6C"/>
    <w:rsid w:val="00D17E77"/>
    <w:rsid w:val="00D17FFC"/>
    <w:rsid w:val="00D20083"/>
    <w:rsid w:val="00D20A37"/>
    <w:rsid w:val="00D21024"/>
    <w:rsid w:val="00D225F9"/>
    <w:rsid w:val="00D23BB8"/>
    <w:rsid w:val="00D23F31"/>
    <w:rsid w:val="00D26273"/>
    <w:rsid w:val="00D265C2"/>
    <w:rsid w:val="00D27BDE"/>
    <w:rsid w:val="00D30595"/>
    <w:rsid w:val="00D3100C"/>
    <w:rsid w:val="00D31299"/>
    <w:rsid w:val="00D32255"/>
    <w:rsid w:val="00D32B7B"/>
    <w:rsid w:val="00D37CA3"/>
    <w:rsid w:val="00D40293"/>
    <w:rsid w:val="00D4070C"/>
    <w:rsid w:val="00D40B91"/>
    <w:rsid w:val="00D41C5D"/>
    <w:rsid w:val="00D42B4B"/>
    <w:rsid w:val="00D42C8B"/>
    <w:rsid w:val="00D432CE"/>
    <w:rsid w:val="00D43E46"/>
    <w:rsid w:val="00D449B6"/>
    <w:rsid w:val="00D4587E"/>
    <w:rsid w:val="00D46332"/>
    <w:rsid w:val="00D47073"/>
    <w:rsid w:val="00D50145"/>
    <w:rsid w:val="00D50A36"/>
    <w:rsid w:val="00D52E2E"/>
    <w:rsid w:val="00D53443"/>
    <w:rsid w:val="00D55A58"/>
    <w:rsid w:val="00D56919"/>
    <w:rsid w:val="00D571C9"/>
    <w:rsid w:val="00D60EF0"/>
    <w:rsid w:val="00D61229"/>
    <w:rsid w:val="00D61DAE"/>
    <w:rsid w:val="00D63651"/>
    <w:rsid w:val="00D6443D"/>
    <w:rsid w:val="00D65638"/>
    <w:rsid w:val="00D65FD6"/>
    <w:rsid w:val="00D66718"/>
    <w:rsid w:val="00D66841"/>
    <w:rsid w:val="00D71B97"/>
    <w:rsid w:val="00D72CC2"/>
    <w:rsid w:val="00D72E44"/>
    <w:rsid w:val="00D74684"/>
    <w:rsid w:val="00D748F9"/>
    <w:rsid w:val="00D74F1B"/>
    <w:rsid w:val="00D753E7"/>
    <w:rsid w:val="00D7577D"/>
    <w:rsid w:val="00D75EBB"/>
    <w:rsid w:val="00D76280"/>
    <w:rsid w:val="00D77010"/>
    <w:rsid w:val="00D77262"/>
    <w:rsid w:val="00D7785D"/>
    <w:rsid w:val="00D80131"/>
    <w:rsid w:val="00D80343"/>
    <w:rsid w:val="00D84931"/>
    <w:rsid w:val="00D86886"/>
    <w:rsid w:val="00D87BA8"/>
    <w:rsid w:val="00D90BAA"/>
    <w:rsid w:val="00D90C2F"/>
    <w:rsid w:val="00D91145"/>
    <w:rsid w:val="00D91759"/>
    <w:rsid w:val="00D91B47"/>
    <w:rsid w:val="00D929C1"/>
    <w:rsid w:val="00D9392A"/>
    <w:rsid w:val="00D93C79"/>
    <w:rsid w:val="00D9443B"/>
    <w:rsid w:val="00D94677"/>
    <w:rsid w:val="00D94817"/>
    <w:rsid w:val="00DA0461"/>
    <w:rsid w:val="00DA11DD"/>
    <w:rsid w:val="00DA15B8"/>
    <w:rsid w:val="00DA1903"/>
    <w:rsid w:val="00DA2AB8"/>
    <w:rsid w:val="00DA2EFC"/>
    <w:rsid w:val="00DA3080"/>
    <w:rsid w:val="00DA3564"/>
    <w:rsid w:val="00DA3A12"/>
    <w:rsid w:val="00DA3DF4"/>
    <w:rsid w:val="00DA5D3C"/>
    <w:rsid w:val="00DA61DF"/>
    <w:rsid w:val="00DB050E"/>
    <w:rsid w:val="00DB0C95"/>
    <w:rsid w:val="00DB1797"/>
    <w:rsid w:val="00DB205A"/>
    <w:rsid w:val="00DB2A1C"/>
    <w:rsid w:val="00DB4900"/>
    <w:rsid w:val="00DB5593"/>
    <w:rsid w:val="00DB6067"/>
    <w:rsid w:val="00DB62B3"/>
    <w:rsid w:val="00DB6D5B"/>
    <w:rsid w:val="00DB7DE1"/>
    <w:rsid w:val="00DC22D0"/>
    <w:rsid w:val="00DC3D4E"/>
    <w:rsid w:val="00DC48B7"/>
    <w:rsid w:val="00DC4DF8"/>
    <w:rsid w:val="00DC51AC"/>
    <w:rsid w:val="00DC61D3"/>
    <w:rsid w:val="00DD17DF"/>
    <w:rsid w:val="00DD2D5D"/>
    <w:rsid w:val="00DD2E1C"/>
    <w:rsid w:val="00DD4890"/>
    <w:rsid w:val="00DD53B9"/>
    <w:rsid w:val="00DD5EC6"/>
    <w:rsid w:val="00DD659F"/>
    <w:rsid w:val="00DD6E95"/>
    <w:rsid w:val="00DD7B46"/>
    <w:rsid w:val="00DD7C6E"/>
    <w:rsid w:val="00DE1C22"/>
    <w:rsid w:val="00DE2ED8"/>
    <w:rsid w:val="00DE30EE"/>
    <w:rsid w:val="00DE3EF5"/>
    <w:rsid w:val="00DE4B87"/>
    <w:rsid w:val="00DE5839"/>
    <w:rsid w:val="00DE59D5"/>
    <w:rsid w:val="00DE5CF2"/>
    <w:rsid w:val="00DE6A45"/>
    <w:rsid w:val="00DE7258"/>
    <w:rsid w:val="00DE743C"/>
    <w:rsid w:val="00DE76F2"/>
    <w:rsid w:val="00DF00C5"/>
    <w:rsid w:val="00DF0CBA"/>
    <w:rsid w:val="00DF25CA"/>
    <w:rsid w:val="00DF269B"/>
    <w:rsid w:val="00DF37D7"/>
    <w:rsid w:val="00DF3A05"/>
    <w:rsid w:val="00DF622C"/>
    <w:rsid w:val="00DF7873"/>
    <w:rsid w:val="00E007AB"/>
    <w:rsid w:val="00E00F20"/>
    <w:rsid w:val="00E02EA8"/>
    <w:rsid w:val="00E031F0"/>
    <w:rsid w:val="00E03CE5"/>
    <w:rsid w:val="00E03D1C"/>
    <w:rsid w:val="00E04185"/>
    <w:rsid w:val="00E0524C"/>
    <w:rsid w:val="00E0698C"/>
    <w:rsid w:val="00E06BFD"/>
    <w:rsid w:val="00E07B80"/>
    <w:rsid w:val="00E11167"/>
    <w:rsid w:val="00E11C4A"/>
    <w:rsid w:val="00E135CD"/>
    <w:rsid w:val="00E13D3B"/>
    <w:rsid w:val="00E1409A"/>
    <w:rsid w:val="00E143FA"/>
    <w:rsid w:val="00E14485"/>
    <w:rsid w:val="00E14AFC"/>
    <w:rsid w:val="00E14C1E"/>
    <w:rsid w:val="00E14C45"/>
    <w:rsid w:val="00E1571B"/>
    <w:rsid w:val="00E17363"/>
    <w:rsid w:val="00E17468"/>
    <w:rsid w:val="00E21CF3"/>
    <w:rsid w:val="00E223D6"/>
    <w:rsid w:val="00E2297F"/>
    <w:rsid w:val="00E22D08"/>
    <w:rsid w:val="00E2341E"/>
    <w:rsid w:val="00E244D1"/>
    <w:rsid w:val="00E2487F"/>
    <w:rsid w:val="00E24AB3"/>
    <w:rsid w:val="00E25038"/>
    <w:rsid w:val="00E273EF"/>
    <w:rsid w:val="00E332B0"/>
    <w:rsid w:val="00E33EA2"/>
    <w:rsid w:val="00E34E6A"/>
    <w:rsid w:val="00E35842"/>
    <w:rsid w:val="00E35955"/>
    <w:rsid w:val="00E3713A"/>
    <w:rsid w:val="00E3771E"/>
    <w:rsid w:val="00E37F67"/>
    <w:rsid w:val="00E402A4"/>
    <w:rsid w:val="00E41835"/>
    <w:rsid w:val="00E420A0"/>
    <w:rsid w:val="00E42890"/>
    <w:rsid w:val="00E43EE7"/>
    <w:rsid w:val="00E440D0"/>
    <w:rsid w:val="00E45969"/>
    <w:rsid w:val="00E4700E"/>
    <w:rsid w:val="00E474A9"/>
    <w:rsid w:val="00E47C2C"/>
    <w:rsid w:val="00E47EC9"/>
    <w:rsid w:val="00E50CBB"/>
    <w:rsid w:val="00E51038"/>
    <w:rsid w:val="00E5331C"/>
    <w:rsid w:val="00E53E3B"/>
    <w:rsid w:val="00E55636"/>
    <w:rsid w:val="00E560D8"/>
    <w:rsid w:val="00E5681E"/>
    <w:rsid w:val="00E57026"/>
    <w:rsid w:val="00E57A19"/>
    <w:rsid w:val="00E61B6C"/>
    <w:rsid w:val="00E61F2B"/>
    <w:rsid w:val="00E629AB"/>
    <w:rsid w:val="00E635C9"/>
    <w:rsid w:val="00E639BB"/>
    <w:rsid w:val="00E644A6"/>
    <w:rsid w:val="00E649B1"/>
    <w:rsid w:val="00E64B49"/>
    <w:rsid w:val="00E65E02"/>
    <w:rsid w:val="00E667AE"/>
    <w:rsid w:val="00E67C0E"/>
    <w:rsid w:val="00E706BE"/>
    <w:rsid w:val="00E719DE"/>
    <w:rsid w:val="00E72B53"/>
    <w:rsid w:val="00E73243"/>
    <w:rsid w:val="00E735C8"/>
    <w:rsid w:val="00E75272"/>
    <w:rsid w:val="00E75E4D"/>
    <w:rsid w:val="00E7663E"/>
    <w:rsid w:val="00E7727C"/>
    <w:rsid w:val="00E77822"/>
    <w:rsid w:val="00E77C51"/>
    <w:rsid w:val="00E801F9"/>
    <w:rsid w:val="00E808D2"/>
    <w:rsid w:val="00E819C5"/>
    <w:rsid w:val="00E822CF"/>
    <w:rsid w:val="00E828A2"/>
    <w:rsid w:val="00E8474D"/>
    <w:rsid w:val="00E853EF"/>
    <w:rsid w:val="00E86014"/>
    <w:rsid w:val="00E864C9"/>
    <w:rsid w:val="00E87D30"/>
    <w:rsid w:val="00E91492"/>
    <w:rsid w:val="00E91D2E"/>
    <w:rsid w:val="00E949C5"/>
    <w:rsid w:val="00E95315"/>
    <w:rsid w:val="00E95391"/>
    <w:rsid w:val="00E95427"/>
    <w:rsid w:val="00E96B27"/>
    <w:rsid w:val="00EA1205"/>
    <w:rsid w:val="00EA1366"/>
    <w:rsid w:val="00EA138B"/>
    <w:rsid w:val="00EA224B"/>
    <w:rsid w:val="00EA5200"/>
    <w:rsid w:val="00EA6BFF"/>
    <w:rsid w:val="00EA701D"/>
    <w:rsid w:val="00EA70DF"/>
    <w:rsid w:val="00EA7D9C"/>
    <w:rsid w:val="00EA7E59"/>
    <w:rsid w:val="00EB08C3"/>
    <w:rsid w:val="00EB0AE6"/>
    <w:rsid w:val="00EB67D1"/>
    <w:rsid w:val="00EB683F"/>
    <w:rsid w:val="00EB74EC"/>
    <w:rsid w:val="00EB76BF"/>
    <w:rsid w:val="00EC0B74"/>
    <w:rsid w:val="00EC1B03"/>
    <w:rsid w:val="00EC3130"/>
    <w:rsid w:val="00EC3A10"/>
    <w:rsid w:val="00EC3F6D"/>
    <w:rsid w:val="00EC492B"/>
    <w:rsid w:val="00EC4DC2"/>
    <w:rsid w:val="00EC5AD4"/>
    <w:rsid w:val="00EC7056"/>
    <w:rsid w:val="00EC7A39"/>
    <w:rsid w:val="00ED1031"/>
    <w:rsid w:val="00ED1293"/>
    <w:rsid w:val="00ED1B34"/>
    <w:rsid w:val="00ED1CAA"/>
    <w:rsid w:val="00ED22A6"/>
    <w:rsid w:val="00ED4247"/>
    <w:rsid w:val="00ED5865"/>
    <w:rsid w:val="00ED61AD"/>
    <w:rsid w:val="00ED650F"/>
    <w:rsid w:val="00ED6DAD"/>
    <w:rsid w:val="00ED7E84"/>
    <w:rsid w:val="00ED7EBF"/>
    <w:rsid w:val="00EE013C"/>
    <w:rsid w:val="00EE2258"/>
    <w:rsid w:val="00EE4BC2"/>
    <w:rsid w:val="00EE531B"/>
    <w:rsid w:val="00EE6388"/>
    <w:rsid w:val="00EF175B"/>
    <w:rsid w:val="00EF35FB"/>
    <w:rsid w:val="00EF3B5A"/>
    <w:rsid w:val="00EF3C2E"/>
    <w:rsid w:val="00EF3E06"/>
    <w:rsid w:val="00EF42AB"/>
    <w:rsid w:val="00EF44A7"/>
    <w:rsid w:val="00EF4A92"/>
    <w:rsid w:val="00EF54B3"/>
    <w:rsid w:val="00EF5FA3"/>
    <w:rsid w:val="00EF611C"/>
    <w:rsid w:val="00EF6764"/>
    <w:rsid w:val="00EF7BAB"/>
    <w:rsid w:val="00F0100D"/>
    <w:rsid w:val="00F013F0"/>
    <w:rsid w:val="00F01C7E"/>
    <w:rsid w:val="00F0205C"/>
    <w:rsid w:val="00F026C5"/>
    <w:rsid w:val="00F02BB5"/>
    <w:rsid w:val="00F02D72"/>
    <w:rsid w:val="00F04413"/>
    <w:rsid w:val="00F047D1"/>
    <w:rsid w:val="00F05020"/>
    <w:rsid w:val="00F05024"/>
    <w:rsid w:val="00F05EC5"/>
    <w:rsid w:val="00F0692D"/>
    <w:rsid w:val="00F0756D"/>
    <w:rsid w:val="00F0771B"/>
    <w:rsid w:val="00F077CB"/>
    <w:rsid w:val="00F07F2E"/>
    <w:rsid w:val="00F10634"/>
    <w:rsid w:val="00F108E5"/>
    <w:rsid w:val="00F10CA1"/>
    <w:rsid w:val="00F11033"/>
    <w:rsid w:val="00F133F7"/>
    <w:rsid w:val="00F134FE"/>
    <w:rsid w:val="00F13ACA"/>
    <w:rsid w:val="00F15664"/>
    <w:rsid w:val="00F15FFB"/>
    <w:rsid w:val="00F16487"/>
    <w:rsid w:val="00F1668E"/>
    <w:rsid w:val="00F17BA9"/>
    <w:rsid w:val="00F2001A"/>
    <w:rsid w:val="00F210A7"/>
    <w:rsid w:val="00F21AB6"/>
    <w:rsid w:val="00F24165"/>
    <w:rsid w:val="00F248B1"/>
    <w:rsid w:val="00F26092"/>
    <w:rsid w:val="00F2671D"/>
    <w:rsid w:val="00F2677D"/>
    <w:rsid w:val="00F26BF5"/>
    <w:rsid w:val="00F310D8"/>
    <w:rsid w:val="00F32A60"/>
    <w:rsid w:val="00F37295"/>
    <w:rsid w:val="00F4061C"/>
    <w:rsid w:val="00F4121B"/>
    <w:rsid w:val="00F41A5C"/>
    <w:rsid w:val="00F42754"/>
    <w:rsid w:val="00F45A05"/>
    <w:rsid w:val="00F50AC8"/>
    <w:rsid w:val="00F50B83"/>
    <w:rsid w:val="00F52546"/>
    <w:rsid w:val="00F5291A"/>
    <w:rsid w:val="00F53383"/>
    <w:rsid w:val="00F5347F"/>
    <w:rsid w:val="00F53AB4"/>
    <w:rsid w:val="00F53B7C"/>
    <w:rsid w:val="00F55720"/>
    <w:rsid w:val="00F55B95"/>
    <w:rsid w:val="00F55BA0"/>
    <w:rsid w:val="00F55E8F"/>
    <w:rsid w:val="00F574CE"/>
    <w:rsid w:val="00F6168B"/>
    <w:rsid w:val="00F6180B"/>
    <w:rsid w:val="00F646F5"/>
    <w:rsid w:val="00F65CEA"/>
    <w:rsid w:val="00F67B7F"/>
    <w:rsid w:val="00F705C8"/>
    <w:rsid w:val="00F706F3"/>
    <w:rsid w:val="00F71DBC"/>
    <w:rsid w:val="00F72A91"/>
    <w:rsid w:val="00F72FC9"/>
    <w:rsid w:val="00F742FB"/>
    <w:rsid w:val="00F8010D"/>
    <w:rsid w:val="00F80952"/>
    <w:rsid w:val="00F80E8A"/>
    <w:rsid w:val="00F8131F"/>
    <w:rsid w:val="00F81838"/>
    <w:rsid w:val="00F81A89"/>
    <w:rsid w:val="00F82F50"/>
    <w:rsid w:val="00F8320B"/>
    <w:rsid w:val="00F85376"/>
    <w:rsid w:val="00F856E4"/>
    <w:rsid w:val="00F87853"/>
    <w:rsid w:val="00F8798A"/>
    <w:rsid w:val="00F87CB6"/>
    <w:rsid w:val="00F903C8"/>
    <w:rsid w:val="00F905A9"/>
    <w:rsid w:val="00F90F28"/>
    <w:rsid w:val="00F91B46"/>
    <w:rsid w:val="00F91CE5"/>
    <w:rsid w:val="00F930FC"/>
    <w:rsid w:val="00F94C76"/>
    <w:rsid w:val="00F956FF"/>
    <w:rsid w:val="00F95ACC"/>
    <w:rsid w:val="00F95BCE"/>
    <w:rsid w:val="00F9605B"/>
    <w:rsid w:val="00F9616F"/>
    <w:rsid w:val="00F968D5"/>
    <w:rsid w:val="00F96DEF"/>
    <w:rsid w:val="00F96F7B"/>
    <w:rsid w:val="00FA0AA0"/>
    <w:rsid w:val="00FA1692"/>
    <w:rsid w:val="00FA3E40"/>
    <w:rsid w:val="00FA592D"/>
    <w:rsid w:val="00FA6352"/>
    <w:rsid w:val="00FA63E7"/>
    <w:rsid w:val="00FA6D00"/>
    <w:rsid w:val="00FB0DB9"/>
    <w:rsid w:val="00FB0FF9"/>
    <w:rsid w:val="00FB1390"/>
    <w:rsid w:val="00FB319D"/>
    <w:rsid w:val="00FB3A38"/>
    <w:rsid w:val="00FB3AA2"/>
    <w:rsid w:val="00FB560F"/>
    <w:rsid w:val="00FB5A82"/>
    <w:rsid w:val="00FB5B13"/>
    <w:rsid w:val="00FB639F"/>
    <w:rsid w:val="00FC30FC"/>
    <w:rsid w:val="00FC3127"/>
    <w:rsid w:val="00FC3791"/>
    <w:rsid w:val="00FC3EE5"/>
    <w:rsid w:val="00FC6617"/>
    <w:rsid w:val="00FC7E3A"/>
    <w:rsid w:val="00FD2999"/>
    <w:rsid w:val="00FD31FE"/>
    <w:rsid w:val="00FD3D91"/>
    <w:rsid w:val="00FD4B87"/>
    <w:rsid w:val="00FD67A9"/>
    <w:rsid w:val="00FD7D26"/>
    <w:rsid w:val="00FE012D"/>
    <w:rsid w:val="00FE13DD"/>
    <w:rsid w:val="00FE186B"/>
    <w:rsid w:val="00FE1AA9"/>
    <w:rsid w:val="00FE2195"/>
    <w:rsid w:val="00FE3D14"/>
    <w:rsid w:val="00FE639B"/>
    <w:rsid w:val="00FE6716"/>
    <w:rsid w:val="00FE78B4"/>
    <w:rsid w:val="00FF25F3"/>
    <w:rsid w:val="00FF27AF"/>
    <w:rsid w:val="00FF27CF"/>
    <w:rsid w:val="00FF3B3D"/>
    <w:rsid w:val="00FF4D8B"/>
    <w:rsid w:val="00FF61A9"/>
    <w:rsid w:val="00FF629A"/>
    <w:rsid w:val="00FF6526"/>
    <w:rsid w:val="00FF6BA3"/>
    <w:rsid w:val="00FF768A"/>
    <w:rsid w:val="02440896"/>
    <w:rsid w:val="02B02E83"/>
    <w:rsid w:val="03DB578A"/>
    <w:rsid w:val="04E8D08F"/>
    <w:rsid w:val="071B2240"/>
    <w:rsid w:val="091CC368"/>
    <w:rsid w:val="09BC560D"/>
    <w:rsid w:val="0AD007A9"/>
    <w:rsid w:val="0C304945"/>
    <w:rsid w:val="0CFE08FB"/>
    <w:rsid w:val="10DEAB49"/>
    <w:rsid w:val="1553A316"/>
    <w:rsid w:val="15CF9905"/>
    <w:rsid w:val="16AD8ADD"/>
    <w:rsid w:val="16B24582"/>
    <w:rsid w:val="16C08853"/>
    <w:rsid w:val="1714C144"/>
    <w:rsid w:val="1BF07661"/>
    <w:rsid w:val="1D5FA9B0"/>
    <w:rsid w:val="1D960CA9"/>
    <w:rsid w:val="1DD064FA"/>
    <w:rsid w:val="1E0F1FB3"/>
    <w:rsid w:val="1E10FC6B"/>
    <w:rsid w:val="1E47DAAA"/>
    <w:rsid w:val="1E72F830"/>
    <w:rsid w:val="1FD41059"/>
    <w:rsid w:val="1FFECDBD"/>
    <w:rsid w:val="22123BEE"/>
    <w:rsid w:val="249A3305"/>
    <w:rsid w:val="24B6369C"/>
    <w:rsid w:val="255CCD76"/>
    <w:rsid w:val="25A73E82"/>
    <w:rsid w:val="26013CBB"/>
    <w:rsid w:val="28C07067"/>
    <w:rsid w:val="28C0DD48"/>
    <w:rsid w:val="2A079D05"/>
    <w:rsid w:val="2DAD3DCD"/>
    <w:rsid w:val="2FD37D16"/>
    <w:rsid w:val="2FDFB9F4"/>
    <w:rsid w:val="32B99662"/>
    <w:rsid w:val="33EE31CB"/>
    <w:rsid w:val="34FFB960"/>
    <w:rsid w:val="35EFACA5"/>
    <w:rsid w:val="37553093"/>
    <w:rsid w:val="3B151123"/>
    <w:rsid w:val="3B33441C"/>
    <w:rsid w:val="3DD827B0"/>
    <w:rsid w:val="3FBEAD4D"/>
    <w:rsid w:val="423DDFF6"/>
    <w:rsid w:val="42F4140A"/>
    <w:rsid w:val="437916CA"/>
    <w:rsid w:val="4401D45C"/>
    <w:rsid w:val="4419E4C7"/>
    <w:rsid w:val="44516515"/>
    <w:rsid w:val="45CD66D9"/>
    <w:rsid w:val="45F1A77D"/>
    <w:rsid w:val="469334C8"/>
    <w:rsid w:val="476858D0"/>
    <w:rsid w:val="4AA6DC49"/>
    <w:rsid w:val="4D307116"/>
    <w:rsid w:val="4ED8EB5B"/>
    <w:rsid w:val="4F3224E0"/>
    <w:rsid w:val="503849F6"/>
    <w:rsid w:val="51452822"/>
    <w:rsid w:val="562D82E8"/>
    <w:rsid w:val="562E1952"/>
    <w:rsid w:val="57D2418D"/>
    <w:rsid w:val="5932BF92"/>
    <w:rsid w:val="5A751EDA"/>
    <w:rsid w:val="5AC3B93E"/>
    <w:rsid w:val="5BC176D9"/>
    <w:rsid w:val="5D51C5C4"/>
    <w:rsid w:val="5F3B08EE"/>
    <w:rsid w:val="5F4348D8"/>
    <w:rsid w:val="60258306"/>
    <w:rsid w:val="60FD716D"/>
    <w:rsid w:val="63EFA62E"/>
    <w:rsid w:val="647AD3F2"/>
    <w:rsid w:val="6586B63F"/>
    <w:rsid w:val="66E53A76"/>
    <w:rsid w:val="66FD605D"/>
    <w:rsid w:val="67EAE128"/>
    <w:rsid w:val="69A0AC0D"/>
    <w:rsid w:val="6D918823"/>
    <w:rsid w:val="70B500D9"/>
    <w:rsid w:val="726F5572"/>
    <w:rsid w:val="73C47804"/>
    <w:rsid w:val="751B862B"/>
    <w:rsid w:val="75E6E302"/>
    <w:rsid w:val="772A5432"/>
    <w:rsid w:val="778DE68B"/>
    <w:rsid w:val="7845B02D"/>
    <w:rsid w:val="791357C3"/>
    <w:rsid w:val="791489AF"/>
    <w:rsid w:val="79E794E7"/>
    <w:rsid w:val="7A019BAD"/>
    <w:rsid w:val="7A158F96"/>
    <w:rsid w:val="7A5C4E9B"/>
    <w:rsid w:val="7CDD94C5"/>
    <w:rsid w:val="7EA98398"/>
    <w:rsid w:val="7F60F5D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921E7C0"/>
  <w15:docId w15:val="{E7C0B206-8ACF-45A9-94F7-C3C5E72AC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imes New Roman" w:hAnsi="Verdana" w:cs="Times New Roman"/>
        <w:lang w:val="en-NZ" w:eastAsia="en-NZ" w:bidi="ar-SA"/>
      </w:rPr>
    </w:rPrDefault>
    <w:pPrDefault/>
  </w:docDefaults>
  <w:latentStyles w:defLockedState="0" w:defUIPriority="99" w:defSemiHidden="0" w:defUnhideWhenUsed="0" w:defQFormat="0" w:count="376">
    <w:lsdException w:name="Normal" w:uiPriority="0"/>
    <w:lsdException w:name="heading 1" w:uiPriority="0" w:qFormat="1"/>
    <w:lsdException w:name="heading 2" w:uiPriority="9" w:qFormat="1"/>
    <w:lsdException w:name="heading 3" w:uiPriority="0" w:qFormat="1"/>
    <w:lsdException w:name="heading 4" w:uiPriority="9" w:qFormat="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uiPriority="21"/>
    <w:lsdException w:name="Subtle Reference" w:uiPriority="31"/>
    <w:lsdException w:name="Intense Reference" w:uiPriority="32"/>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230781"/>
    <w:pPr>
      <w:spacing w:before="200" w:after="200"/>
      <w:jc w:val="both"/>
    </w:pPr>
  </w:style>
  <w:style w:type="paragraph" w:styleId="Heading1">
    <w:name w:val="heading 1"/>
    <w:basedOn w:val="Normal"/>
    <w:next w:val="NumberedParagraph"/>
    <w:qFormat/>
    <w:rsid w:val="00E7727C"/>
    <w:pPr>
      <w:pageBreakBefore/>
      <w:numPr>
        <w:numId w:val="59"/>
      </w:numPr>
      <w:spacing w:before="0" w:after="560"/>
      <w:jc w:val="center"/>
      <w:outlineLvl w:val="0"/>
    </w:pPr>
    <w:rPr>
      <w:b/>
      <w:color w:val="1F85A3"/>
      <w:sz w:val="24"/>
      <w:szCs w:val="60"/>
    </w:rPr>
  </w:style>
  <w:style w:type="paragraph" w:styleId="Heading2">
    <w:name w:val="heading 2"/>
    <w:basedOn w:val="Normal"/>
    <w:next w:val="NumberedParagraph"/>
    <w:qFormat/>
    <w:rsid w:val="00F8131F"/>
    <w:pPr>
      <w:keepNext/>
      <w:numPr>
        <w:ilvl w:val="1"/>
        <w:numId w:val="9"/>
      </w:numPr>
      <w:spacing w:before="480"/>
      <w:jc w:val="left"/>
      <w:outlineLvl w:val="1"/>
    </w:pPr>
    <w:rPr>
      <w:b/>
      <w:szCs w:val="26"/>
    </w:rPr>
  </w:style>
  <w:style w:type="paragraph" w:styleId="Heading3">
    <w:name w:val="heading 3"/>
    <w:basedOn w:val="Normal"/>
    <w:next w:val="NumberedParagraph"/>
    <w:link w:val="Heading3Char"/>
    <w:qFormat/>
    <w:rsid w:val="003B6F2B"/>
    <w:pPr>
      <w:keepNext/>
      <w:keepLines/>
      <w:numPr>
        <w:ilvl w:val="2"/>
        <w:numId w:val="9"/>
      </w:numPr>
      <w:jc w:val="left"/>
      <w:outlineLvl w:val="2"/>
    </w:pPr>
    <w:rPr>
      <w:b/>
      <w:i/>
    </w:rPr>
  </w:style>
  <w:style w:type="paragraph" w:styleId="Heading4">
    <w:name w:val="heading 4"/>
    <w:basedOn w:val="Normal"/>
    <w:next w:val="Normal"/>
    <w:qFormat/>
    <w:rsid w:val="002C0E8D"/>
    <w:pPr>
      <w:keepNext/>
      <w:numPr>
        <w:ilvl w:val="3"/>
        <w:numId w:val="9"/>
      </w:numPr>
      <w:jc w:val="left"/>
      <w:outlineLvl w:val="3"/>
    </w:pPr>
    <w:rPr>
      <w:i/>
    </w:rPr>
  </w:style>
  <w:style w:type="paragraph" w:styleId="Heading5">
    <w:name w:val="heading 5"/>
    <w:basedOn w:val="Heading4"/>
    <w:next w:val="Normal"/>
    <w:rsid w:val="00B917E9"/>
    <w:pPr>
      <w:numPr>
        <w:ilvl w:val="4"/>
      </w:numPr>
      <w:outlineLvl w:val="4"/>
    </w:pPr>
    <w:rPr>
      <w:b/>
    </w:rPr>
  </w:style>
  <w:style w:type="paragraph" w:styleId="Heading6">
    <w:name w:val="heading 6"/>
    <w:basedOn w:val="Normal"/>
    <w:next w:val="Normal"/>
    <w:semiHidden/>
    <w:pPr>
      <w:keepNext/>
      <w:numPr>
        <w:ilvl w:val="5"/>
        <w:numId w:val="9"/>
      </w:numPr>
      <w:outlineLvl w:val="5"/>
    </w:pPr>
    <w:rPr>
      <w:i/>
      <w:sz w:val="32"/>
    </w:rPr>
  </w:style>
  <w:style w:type="paragraph" w:styleId="Heading7">
    <w:name w:val="heading 7"/>
    <w:basedOn w:val="Normal"/>
    <w:next w:val="Normal"/>
    <w:semiHidden/>
    <w:pPr>
      <w:keepNext/>
      <w:numPr>
        <w:ilvl w:val="6"/>
        <w:numId w:val="9"/>
      </w:numPr>
      <w:outlineLvl w:val="6"/>
    </w:pPr>
    <w:rPr>
      <w:b/>
      <w:sz w:val="28"/>
    </w:rPr>
  </w:style>
  <w:style w:type="paragraph" w:styleId="Heading8">
    <w:name w:val="heading 8"/>
    <w:aliases w:val="Table heading"/>
    <w:basedOn w:val="Normal"/>
    <w:next w:val="Normal"/>
    <w:semiHidden/>
    <w:pPr>
      <w:keepNext/>
      <w:numPr>
        <w:ilvl w:val="7"/>
        <w:numId w:val="9"/>
      </w:numPr>
      <w:outlineLvl w:val="7"/>
    </w:pPr>
    <w:rPr>
      <w:sz w:val="28"/>
    </w:rPr>
  </w:style>
  <w:style w:type="paragraph" w:styleId="Heading9">
    <w:name w:val="heading 9"/>
    <w:basedOn w:val="Normal"/>
    <w:next w:val="Normal"/>
    <w:semiHidden/>
    <w:pPr>
      <w:keepNext/>
      <w:numPr>
        <w:ilvl w:val="8"/>
        <w:numId w:val="9"/>
      </w:numPr>
      <w:jc w:val="center"/>
      <w:outlineLvl w:val="8"/>
    </w:pPr>
    <w:rPr>
      <w:b/>
      <w:snapToGrid w:val="0"/>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erChar">
    <w:name w:val="Footer Char"/>
    <w:basedOn w:val="DefaultParagraphFont"/>
    <w:link w:val="Footer"/>
    <w:uiPriority w:val="99"/>
    <w:rsid w:val="00130F81"/>
    <w:rPr>
      <w:rFonts w:ascii="Verdana" w:hAnsi="Verdana"/>
      <w:sz w:val="18"/>
    </w:rPr>
  </w:style>
  <w:style w:type="paragraph" w:styleId="Footer">
    <w:name w:val="footer"/>
    <w:basedOn w:val="Normal"/>
    <w:link w:val="FooterChar"/>
    <w:uiPriority w:val="99"/>
    <w:rsid w:val="00130F81"/>
    <w:pPr>
      <w:jc w:val="center"/>
    </w:pPr>
    <w:rPr>
      <w:sz w:val="18"/>
    </w:rPr>
  </w:style>
  <w:style w:type="paragraph" w:customStyle="1" w:styleId="Example-Text">
    <w:name w:val="Example - Text"/>
    <w:basedOn w:val="Normal"/>
    <w:qFormat/>
    <w:rsid w:val="006118DB"/>
    <w:pPr>
      <w:pBdr>
        <w:top w:val="single" w:sz="4" w:space="10" w:color="auto"/>
        <w:left w:val="single" w:sz="4" w:space="4" w:color="auto"/>
        <w:bottom w:val="single" w:sz="4" w:space="10" w:color="auto"/>
        <w:right w:val="single" w:sz="4" w:space="4" w:color="auto"/>
      </w:pBdr>
      <w:spacing w:before="100"/>
      <w:ind w:left="993"/>
    </w:pPr>
  </w:style>
  <w:style w:type="paragraph" w:styleId="FootnoteText">
    <w:name w:val="footnote text"/>
    <w:basedOn w:val="Normal"/>
    <w:rsid w:val="0018019D"/>
    <w:pPr>
      <w:spacing w:before="40" w:after="0"/>
      <w:jc w:val="left"/>
    </w:pPr>
    <w:rPr>
      <w:sz w:val="18"/>
    </w:rPr>
  </w:style>
  <w:style w:type="character" w:styleId="FootnoteReference">
    <w:name w:val="footnote reference"/>
    <w:basedOn w:val="DefaultParagraphFont"/>
    <w:semiHidden/>
    <w:rsid w:val="00672539"/>
    <w:rPr>
      <w:rFonts w:ascii="Verdana" w:hAnsi="Verdana"/>
      <w:vertAlign w:val="superscript"/>
    </w:rPr>
  </w:style>
  <w:style w:type="paragraph" w:styleId="Header">
    <w:name w:val="header"/>
    <w:basedOn w:val="Normal"/>
    <w:pPr>
      <w:tabs>
        <w:tab w:val="center" w:pos="4153"/>
        <w:tab w:val="right" w:pos="8306"/>
      </w:tabs>
    </w:pPr>
  </w:style>
  <w:style w:type="paragraph" w:styleId="TOC1">
    <w:name w:val="toc 1"/>
    <w:basedOn w:val="Normal"/>
    <w:next w:val="Normal"/>
    <w:uiPriority w:val="39"/>
    <w:rsid w:val="00230781"/>
    <w:pPr>
      <w:keepNext/>
      <w:keepLines/>
      <w:tabs>
        <w:tab w:val="left" w:pos="1701"/>
        <w:tab w:val="right" w:leader="dot" w:pos="8789"/>
      </w:tabs>
      <w:spacing w:before="300" w:after="100"/>
      <w:ind w:left="1701" w:right="567" w:hanging="1701"/>
      <w:jc w:val="left"/>
    </w:pPr>
    <w:rPr>
      <w:b/>
      <w:noProof/>
    </w:rPr>
  </w:style>
  <w:style w:type="paragraph" w:styleId="TOC2">
    <w:name w:val="toc 2"/>
    <w:basedOn w:val="Normal"/>
    <w:next w:val="Normal"/>
    <w:uiPriority w:val="39"/>
    <w:rsid w:val="00E73243"/>
    <w:pPr>
      <w:tabs>
        <w:tab w:val="right" w:leader="dot" w:pos="8789"/>
      </w:tabs>
      <w:spacing w:before="40" w:after="40"/>
      <w:ind w:left="1701" w:right="567"/>
      <w:jc w:val="left"/>
    </w:pPr>
    <w:rPr>
      <w:noProof/>
    </w:rPr>
  </w:style>
  <w:style w:type="paragraph" w:styleId="TOC3">
    <w:name w:val="toc 3"/>
    <w:basedOn w:val="Normal"/>
    <w:next w:val="Normal"/>
    <w:uiPriority w:val="39"/>
    <w:rsid w:val="00230781"/>
    <w:pPr>
      <w:tabs>
        <w:tab w:val="right" w:pos="8789"/>
      </w:tabs>
      <w:spacing w:before="40" w:after="40"/>
      <w:ind w:left="2268" w:right="567"/>
      <w:jc w:val="left"/>
    </w:pPr>
  </w:style>
  <w:style w:type="paragraph" w:styleId="TOC4">
    <w:name w:val="toc 4"/>
    <w:basedOn w:val="Normal"/>
    <w:next w:val="Normal"/>
    <w:autoRedefine/>
    <w:uiPriority w:val="39"/>
    <w:pPr>
      <w:ind w:left="720"/>
    </w:pPr>
    <w:rPr>
      <w:sz w:val="18"/>
    </w:rPr>
  </w:style>
  <w:style w:type="paragraph" w:styleId="TOC5">
    <w:name w:val="toc 5"/>
    <w:basedOn w:val="Normal"/>
    <w:next w:val="Normal"/>
    <w:autoRedefine/>
    <w:uiPriority w:val="39"/>
    <w:pPr>
      <w:ind w:left="960"/>
    </w:pPr>
    <w:rPr>
      <w:sz w:val="18"/>
    </w:rPr>
  </w:style>
  <w:style w:type="paragraph" w:styleId="TOC6">
    <w:name w:val="toc 6"/>
    <w:basedOn w:val="Normal"/>
    <w:next w:val="Normal"/>
    <w:autoRedefine/>
    <w:uiPriority w:val="39"/>
    <w:pPr>
      <w:ind w:left="1200"/>
    </w:pPr>
    <w:rPr>
      <w:sz w:val="18"/>
    </w:rPr>
  </w:style>
  <w:style w:type="paragraph" w:styleId="TOC7">
    <w:name w:val="toc 7"/>
    <w:basedOn w:val="Normal"/>
    <w:next w:val="Normal"/>
    <w:autoRedefine/>
    <w:uiPriority w:val="39"/>
    <w:pPr>
      <w:ind w:left="1440"/>
    </w:pPr>
    <w:rPr>
      <w:sz w:val="18"/>
    </w:rPr>
  </w:style>
  <w:style w:type="paragraph" w:styleId="TOC8">
    <w:name w:val="toc 8"/>
    <w:basedOn w:val="Normal"/>
    <w:next w:val="Normal"/>
    <w:autoRedefine/>
    <w:uiPriority w:val="39"/>
    <w:pPr>
      <w:ind w:left="1680"/>
    </w:pPr>
    <w:rPr>
      <w:sz w:val="18"/>
    </w:rPr>
  </w:style>
  <w:style w:type="paragraph" w:styleId="TOC9">
    <w:name w:val="toc 9"/>
    <w:basedOn w:val="Normal"/>
    <w:next w:val="Normal"/>
    <w:autoRedefine/>
    <w:uiPriority w:val="39"/>
    <w:pPr>
      <w:ind w:left="1920"/>
    </w:pPr>
    <w:rPr>
      <w:sz w:val="18"/>
    </w:rPr>
  </w:style>
  <w:style w:type="paragraph" w:styleId="Quote">
    <w:name w:val="Quote"/>
    <w:basedOn w:val="Normal"/>
    <w:next w:val="Normal"/>
    <w:link w:val="QuoteChar"/>
    <w:uiPriority w:val="29"/>
    <w:rsid w:val="00F53AB4"/>
    <w:pPr>
      <w:spacing w:before="100"/>
      <w:ind w:left="1418" w:right="567"/>
    </w:pPr>
    <w:rPr>
      <w:iCs/>
    </w:rPr>
  </w:style>
  <w:style w:type="paragraph" w:styleId="DocumentMap">
    <w:name w:val="Document Map"/>
    <w:basedOn w:val="Normal"/>
    <w:semiHidden/>
    <w:pPr>
      <w:shd w:val="clear" w:color="auto" w:fill="000080"/>
    </w:pPr>
    <w:rPr>
      <w:rFonts w:ascii="Tahoma" w:hAnsi="Tahoma"/>
    </w:rPr>
  </w:style>
  <w:style w:type="paragraph" w:styleId="Title">
    <w:name w:val="Title"/>
    <w:next w:val="Subtitle"/>
    <w:link w:val="TitleChar"/>
    <w:rsid w:val="00E7727C"/>
    <w:pPr>
      <w:pBdr>
        <w:bottom w:val="single" w:sz="4" w:space="6" w:color="auto"/>
      </w:pBdr>
      <w:spacing w:before="2400"/>
      <w:jc w:val="center"/>
    </w:pPr>
    <w:rPr>
      <w:color w:val="1F85A3"/>
      <w:sz w:val="56"/>
      <w:lang w:eastAsia="en-AU"/>
    </w:rPr>
  </w:style>
  <w:style w:type="character" w:styleId="CommentReference">
    <w:name w:val="annotation reference"/>
    <w:basedOn w:val="DefaultParagraphFont"/>
    <w:uiPriority w:val="99"/>
    <w:semiHidden/>
    <w:rPr>
      <w:sz w:val="16"/>
    </w:rPr>
  </w:style>
  <w:style w:type="paragraph" w:styleId="CommentText">
    <w:name w:val="annotation text"/>
    <w:basedOn w:val="Normal"/>
    <w:link w:val="CommentTextChar"/>
    <w:uiPriority w:val="99"/>
    <w:rsid w:val="0061627F"/>
    <w:pPr>
      <w:jc w:val="left"/>
    </w:pPr>
    <w:rPr>
      <w:bCs/>
      <w:lang w:val="en-US"/>
    </w:rPr>
  </w:style>
  <w:style w:type="paragraph" w:customStyle="1" w:styleId="Example-Heading1">
    <w:name w:val="Example - Heading 1"/>
    <w:basedOn w:val="Example-Text"/>
    <w:next w:val="Example-Text"/>
    <w:qFormat/>
    <w:rsid w:val="006118DB"/>
    <w:pPr>
      <w:spacing w:before="240"/>
      <w:jc w:val="left"/>
    </w:pPr>
    <w:rPr>
      <w:b/>
    </w:rPr>
  </w:style>
  <w:style w:type="character" w:customStyle="1" w:styleId="QuoteChar">
    <w:name w:val="Quote Char"/>
    <w:basedOn w:val="DefaultParagraphFont"/>
    <w:link w:val="Quote"/>
    <w:uiPriority w:val="29"/>
    <w:rsid w:val="00F53AB4"/>
    <w:rPr>
      <w:rFonts w:ascii="Verdana" w:hAnsi="Verdana"/>
      <w:iCs/>
      <w:sz w:val="20"/>
    </w:rPr>
  </w:style>
  <w:style w:type="character" w:customStyle="1" w:styleId="CommentTextChar">
    <w:name w:val="Comment Text Char"/>
    <w:basedOn w:val="DefaultParagraphFont"/>
    <w:link w:val="CommentText"/>
    <w:uiPriority w:val="99"/>
    <w:rsid w:val="0061627F"/>
    <w:rPr>
      <w:rFonts w:ascii="Verdana" w:hAnsi="Verdana"/>
      <w:bCs/>
      <w:sz w:val="20"/>
      <w:szCs w:val="20"/>
      <w:lang w:val="en-US"/>
    </w:rPr>
  </w:style>
  <w:style w:type="paragraph" w:styleId="IntenseQuote">
    <w:name w:val="Intense Quote"/>
    <w:basedOn w:val="Normal"/>
    <w:next w:val="Normal"/>
    <w:link w:val="IntenseQuoteChar"/>
    <w:autoRedefine/>
    <w:uiPriority w:val="30"/>
    <w:qFormat/>
    <w:rsid w:val="00E949C5"/>
    <w:pPr>
      <w:spacing w:before="120"/>
      <w:ind w:left="1418" w:right="567"/>
    </w:pPr>
    <w:rPr>
      <w:i/>
      <w:iCs/>
      <w:sz w:val="18"/>
    </w:rPr>
  </w:style>
  <w:style w:type="character" w:customStyle="1" w:styleId="Heading3Char">
    <w:name w:val="Heading 3 Char"/>
    <w:basedOn w:val="DefaultParagraphFont"/>
    <w:link w:val="Heading3"/>
    <w:rsid w:val="003B6F2B"/>
    <w:rPr>
      <w:b/>
      <w:i/>
    </w:rPr>
  </w:style>
  <w:style w:type="paragraph" w:styleId="BalloonText">
    <w:name w:val="Balloon Text"/>
    <w:basedOn w:val="Normal"/>
    <w:link w:val="BalloonTextChar"/>
    <w:uiPriority w:val="99"/>
    <w:semiHidden/>
    <w:unhideWhenUsed/>
    <w:rsid w:val="00952372"/>
    <w:rPr>
      <w:rFonts w:ascii="Tahoma" w:hAnsi="Tahoma" w:cs="Tahoma"/>
      <w:sz w:val="16"/>
      <w:szCs w:val="16"/>
    </w:rPr>
  </w:style>
  <w:style w:type="character" w:customStyle="1" w:styleId="BalloonTextChar">
    <w:name w:val="Balloon Text Char"/>
    <w:basedOn w:val="DefaultParagraphFont"/>
    <w:link w:val="BalloonText"/>
    <w:uiPriority w:val="99"/>
    <w:semiHidden/>
    <w:rsid w:val="00952372"/>
    <w:rPr>
      <w:rFonts w:ascii="Tahoma" w:hAnsi="Tahoma" w:cs="Tahoma"/>
      <w:sz w:val="16"/>
      <w:szCs w:val="16"/>
      <w:lang w:val="en-GB" w:eastAsia="en-AU"/>
    </w:rPr>
  </w:style>
  <w:style w:type="paragraph" w:styleId="ListParagraph">
    <w:name w:val="List Paragraph"/>
    <w:basedOn w:val="Normal"/>
    <w:uiPriority w:val="34"/>
    <w:rsid w:val="001758FB"/>
    <w:pPr>
      <w:ind w:left="851"/>
    </w:pPr>
    <w:rPr>
      <w:rFonts w:eastAsia="Calibri"/>
      <w:lang w:eastAsia="en-US"/>
    </w:rPr>
  </w:style>
  <w:style w:type="table" w:styleId="TableGrid">
    <w:name w:val="Table Grid"/>
    <w:basedOn w:val="TableNormal"/>
    <w:rsid w:val="00C670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CE111D"/>
    <w:pPr>
      <w:jc w:val="both"/>
    </w:pPr>
    <w:rPr>
      <w:bCs w:val="0"/>
      <w:lang w:val="en-GB"/>
    </w:rPr>
  </w:style>
  <w:style w:type="character" w:customStyle="1" w:styleId="CommentSubjectChar">
    <w:name w:val="Comment Subject Char"/>
    <w:basedOn w:val="CommentTextChar"/>
    <w:link w:val="CommentSubject"/>
    <w:uiPriority w:val="99"/>
    <w:semiHidden/>
    <w:rsid w:val="00CE111D"/>
    <w:rPr>
      <w:rFonts w:ascii="Verdana" w:hAnsi="Verdana"/>
      <w:b w:val="0"/>
      <w:bCs w:val="0"/>
      <w:sz w:val="26"/>
      <w:szCs w:val="20"/>
      <w:lang w:val="en-GB" w:eastAsia="en-AU"/>
    </w:rPr>
  </w:style>
  <w:style w:type="paragraph" w:styleId="Subtitle">
    <w:name w:val="Subtitle"/>
    <w:basedOn w:val="Normal"/>
    <w:next w:val="Normal"/>
    <w:link w:val="SubtitleChar"/>
    <w:autoRedefine/>
    <w:uiPriority w:val="11"/>
    <w:rsid w:val="004777B7"/>
    <w:pPr>
      <w:jc w:val="center"/>
    </w:pPr>
    <w:rPr>
      <w:i/>
      <w:sz w:val="24"/>
      <w:szCs w:val="36"/>
    </w:rPr>
  </w:style>
  <w:style w:type="character" w:customStyle="1" w:styleId="SubtitleChar">
    <w:name w:val="Subtitle Char"/>
    <w:basedOn w:val="DefaultParagraphFont"/>
    <w:link w:val="Subtitle"/>
    <w:uiPriority w:val="11"/>
    <w:rsid w:val="004777B7"/>
    <w:rPr>
      <w:rFonts w:ascii="Verdana" w:hAnsi="Verdana"/>
      <w:i/>
      <w:szCs w:val="36"/>
    </w:rPr>
  </w:style>
  <w:style w:type="paragraph" w:customStyle="1" w:styleId="SummaryandQFS-Text">
    <w:name w:val="Summary and QFS - Text"/>
    <w:basedOn w:val="Normal"/>
    <w:qFormat/>
    <w:rsid w:val="00605BAF"/>
    <w:pPr>
      <w:pBdr>
        <w:top w:val="single" w:sz="4" w:space="10" w:color="auto"/>
        <w:left w:val="single" w:sz="4" w:space="10" w:color="auto"/>
        <w:bottom w:val="single" w:sz="4" w:space="10" w:color="auto"/>
        <w:right w:val="single" w:sz="4" w:space="10" w:color="auto"/>
      </w:pBdr>
      <w:ind w:left="142"/>
    </w:pPr>
  </w:style>
  <w:style w:type="paragraph" w:customStyle="1" w:styleId="Authorname-Minister">
    <w:name w:val="Author name - Minister"/>
    <w:basedOn w:val="Normal"/>
    <w:next w:val="Normal"/>
    <w:rsid w:val="00702B7E"/>
    <w:pPr>
      <w:jc w:val="left"/>
    </w:pPr>
    <w:rPr>
      <w:b/>
      <w:sz w:val="28"/>
      <w:szCs w:val="28"/>
    </w:rPr>
  </w:style>
  <w:style w:type="paragraph" w:customStyle="1" w:styleId="Authortitle-Minister">
    <w:name w:val="Author title - Minister"/>
    <w:basedOn w:val="Normal"/>
    <w:rsid w:val="003A57E0"/>
    <w:pPr>
      <w:spacing w:before="0"/>
      <w:jc w:val="left"/>
    </w:pPr>
    <w:rPr>
      <w:i/>
      <w:szCs w:val="28"/>
    </w:rPr>
  </w:style>
  <w:style w:type="paragraph" w:customStyle="1" w:styleId="InsideCover">
    <w:name w:val="Inside Cover"/>
    <w:basedOn w:val="Normal"/>
    <w:rsid w:val="000B7839"/>
    <w:pPr>
      <w:jc w:val="left"/>
    </w:pPr>
  </w:style>
  <w:style w:type="character" w:styleId="Hyperlink">
    <w:name w:val="Hyperlink"/>
    <w:basedOn w:val="DefaultParagraphFont"/>
    <w:uiPriority w:val="99"/>
    <w:unhideWhenUsed/>
    <w:rsid w:val="00821704"/>
    <w:rPr>
      <w:color w:val="0000FF" w:themeColor="hyperlink"/>
      <w:u w:val="single"/>
    </w:rPr>
  </w:style>
  <w:style w:type="character" w:styleId="UnresolvedMention">
    <w:name w:val="Unresolved Mention"/>
    <w:basedOn w:val="DefaultParagraphFont"/>
    <w:uiPriority w:val="99"/>
    <w:semiHidden/>
    <w:unhideWhenUsed/>
    <w:rsid w:val="00821704"/>
    <w:rPr>
      <w:color w:val="605E5C"/>
      <w:shd w:val="clear" w:color="auto" w:fill="E1DFDD"/>
    </w:rPr>
  </w:style>
  <w:style w:type="paragraph" w:styleId="ListBullet">
    <w:name w:val="List Bullet"/>
    <w:basedOn w:val="ListParagraph"/>
    <w:uiPriority w:val="99"/>
    <w:unhideWhenUsed/>
    <w:qFormat/>
    <w:rsid w:val="00597B6B"/>
    <w:pPr>
      <w:numPr>
        <w:numId w:val="2"/>
      </w:numPr>
    </w:pPr>
  </w:style>
  <w:style w:type="paragraph" w:customStyle="1" w:styleId="Example-Heading2">
    <w:name w:val="Example - Heading 2"/>
    <w:basedOn w:val="Example-Text"/>
    <w:next w:val="Example-Text"/>
    <w:rsid w:val="002B0D19"/>
    <w:pPr>
      <w:jc w:val="left"/>
    </w:pPr>
    <w:rPr>
      <w:b/>
      <w:i/>
    </w:rPr>
  </w:style>
  <w:style w:type="paragraph" w:customStyle="1" w:styleId="Example-Heading3">
    <w:name w:val="Example - Heading 3"/>
    <w:basedOn w:val="Example-Text"/>
    <w:next w:val="Example-Text"/>
    <w:rsid w:val="002B0D19"/>
    <w:pPr>
      <w:jc w:val="left"/>
    </w:pPr>
    <w:rPr>
      <w:i/>
    </w:rPr>
  </w:style>
  <w:style w:type="paragraph" w:styleId="Caption">
    <w:name w:val="caption"/>
    <w:basedOn w:val="Normal"/>
    <w:next w:val="Normal"/>
    <w:uiPriority w:val="35"/>
    <w:unhideWhenUsed/>
    <w:qFormat/>
    <w:rsid w:val="00075D72"/>
    <w:pPr>
      <w:keepNext/>
      <w:ind w:left="851"/>
      <w:jc w:val="center"/>
    </w:pPr>
    <w:rPr>
      <w:b/>
      <w:szCs w:val="22"/>
    </w:rPr>
  </w:style>
  <w:style w:type="paragraph" w:customStyle="1" w:styleId="Figure">
    <w:name w:val="Figure"/>
    <w:basedOn w:val="Normal"/>
    <w:next w:val="Normal"/>
    <w:rsid w:val="00075D72"/>
    <w:pPr>
      <w:ind w:left="851"/>
      <w:jc w:val="center"/>
    </w:pPr>
  </w:style>
  <w:style w:type="numbering" w:customStyle="1" w:styleId="Table-BulletedList">
    <w:name w:val="Table - Bulleted List"/>
    <w:basedOn w:val="NoList"/>
    <w:rsid w:val="00836DC9"/>
    <w:pPr>
      <w:numPr>
        <w:numId w:val="8"/>
      </w:numPr>
    </w:pPr>
  </w:style>
  <w:style w:type="paragraph" w:customStyle="1" w:styleId="Example-ListBullet1">
    <w:name w:val="Example - List Bullet 1"/>
    <w:basedOn w:val="Example-Text"/>
    <w:qFormat/>
    <w:rsid w:val="006118DB"/>
    <w:pPr>
      <w:numPr>
        <w:numId w:val="4"/>
      </w:numPr>
      <w:tabs>
        <w:tab w:val="left" w:pos="1276"/>
      </w:tabs>
      <w:ind w:left="1276" w:hanging="283"/>
    </w:pPr>
    <w:rPr>
      <w:lang w:eastAsia="en-AU"/>
    </w:rPr>
  </w:style>
  <w:style w:type="character" w:customStyle="1" w:styleId="IntenseQuoteChar">
    <w:name w:val="Intense Quote Char"/>
    <w:basedOn w:val="DefaultParagraphFont"/>
    <w:link w:val="IntenseQuote"/>
    <w:uiPriority w:val="30"/>
    <w:rsid w:val="00E949C5"/>
    <w:rPr>
      <w:rFonts w:ascii="Verdana" w:hAnsi="Verdana"/>
      <w:i/>
      <w:iCs/>
      <w:sz w:val="18"/>
    </w:rPr>
  </w:style>
  <w:style w:type="character" w:styleId="Strong">
    <w:name w:val="Strong"/>
    <w:basedOn w:val="DefaultParagraphFont"/>
    <w:uiPriority w:val="22"/>
    <w:qFormat/>
    <w:rsid w:val="00481032"/>
    <w:rPr>
      <w:b/>
      <w:bCs/>
    </w:rPr>
  </w:style>
  <w:style w:type="character" w:styleId="Emphasis">
    <w:name w:val="Emphasis"/>
    <w:basedOn w:val="DefaultParagraphFont"/>
    <w:uiPriority w:val="20"/>
    <w:qFormat/>
    <w:rsid w:val="00481032"/>
    <w:rPr>
      <w:i/>
      <w:iCs/>
    </w:rPr>
  </w:style>
  <w:style w:type="paragraph" w:styleId="ListBullet2">
    <w:name w:val="List Bullet 2"/>
    <w:basedOn w:val="Normal"/>
    <w:uiPriority w:val="99"/>
    <w:unhideWhenUsed/>
    <w:rsid w:val="00DE5CF2"/>
    <w:pPr>
      <w:numPr>
        <w:ilvl w:val="1"/>
        <w:numId w:val="2"/>
      </w:numPr>
      <w:spacing w:before="120"/>
    </w:pPr>
  </w:style>
  <w:style w:type="paragraph" w:styleId="ListBullet3">
    <w:name w:val="List Bullet 3"/>
    <w:basedOn w:val="Normal"/>
    <w:uiPriority w:val="99"/>
    <w:unhideWhenUsed/>
    <w:rsid w:val="00DE5CF2"/>
    <w:pPr>
      <w:numPr>
        <w:ilvl w:val="2"/>
        <w:numId w:val="2"/>
      </w:numPr>
      <w:spacing w:before="120"/>
    </w:pPr>
  </w:style>
  <w:style w:type="paragraph" w:customStyle="1" w:styleId="Table-Text">
    <w:name w:val="Table - Text"/>
    <w:basedOn w:val="Normal"/>
    <w:qFormat/>
    <w:rsid w:val="00E949C5"/>
    <w:pPr>
      <w:spacing w:before="80" w:after="80"/>
      <w:jc w:val="left"/>
    </w:pPr>
    <w:rPr>
      <w:sz w:val="18"/>
      <w:szCs w:val="22"/>
    </w:rPr>
  </w:style>
  <w:style w:type="paragraph" w:customStyle="1" w:styleId="Table-HeaderRow">
    <w:name w:val="Table - Header Row"/>
    <w:basedOn w:val="Normal"/>
    <w:qFormat/>
    <w:rsid w:val="00363CF9"/>
    <w:pPr>
      <w:spacing w:before="100" w:after="100"/>
      <w:jc w:val="left"/>
    </w:pPr>
    <w:rPr>
      <w:b/>
      <w:sz w:val="18"/>
      <w:szCs w:val="22"/>
    </w:rPr>
  </w:style>
  <w:style w:type="paragraph" w:styleId="TableofFigures">
    <w:name w:val="table of figures"/>
    <w:basedOn w:val="Normal"/>
    <w:next w:val="Normal"/>
    <w:uiPriority w:val="99"/>
    <w:unhideWhenUsed/>
    <w:rsid w:val="00DD659F"/>
  </w:style>
  <w:style w:type="paragraph" w:customStyle="1" w:styleId="Example-Figure">
    <w:name w:val="Example - Figure"/>
    <w:basedOn w:val="Figure"/>
    <w:next w:val="Example-Text"/>
    <w:rsid w:val="0000036F"/>
    <w:pPr>
      <w:pBdr>
        <w:top w:val="single" w:sz="4" w:space="10" w:color="auto"/>
        <w:left w:val="single" w:sz="4" w:space="4" w:color="auto"/>
        <w:bottom w:val="single" w:sz="4" w:space="10" w:color="auto"/>
        <w:right w:val="single" w:sz="4" w:space="4" w:color="auto"/>
      </w:pBdr>
      <w:tabs>
        <w:tab w:val="center" w:pos="4820"/>
      </w:tabs>
      <w:ind w:left="993"/>
    </w:pPr>
  </w:style>
  <w:style w:type="numbering" w:customStyle="1" w:styleId="Table-Bullet">
    <w:name w:val="Table - Bullet"/>
    <w:basedOn w:val="NoList"/>
    <w:rsid w:val="00E87D30"/>
    <w:pPr>
      <w:numPr>
        <w:numId w:val="6"/>
      </w:numPr>
    </w:pPr>
  </w:style>
  <w:style w:type="paragraph" w:customStyle="1" w:styleId="Example-Caption">
    <w:name w:val="Example - Caption"/>
    <w:basedOn w:val="Example-Text"/>
    <w:next w:val="Example-Text"/>
    <w:rsid w:val="0000036F"/>
    <w:pPr>
      <w:jc w:val="center"/>
    </w:pPr>
    <w:rPr>
      <w:b/>
      <w:bCs/>
    </w:rPr>
  </w:style>
  <w:style w:type="numbering" w:customStyle="1" w:styleId="Table-Bullet10pt">
    <w:name w:val="Table - Bullet 10pt"/>
    <w:basedOn w:val="NoList"/>
    <w:rsid w:val="00D9392A"/>
    <w:pPr>
      <w:numPr>
        <w:numId w:val="7"/>
      </w:numPr>
    </w:pPr>
  </w:style>
  <w:style w:type="paragraph" w:customStyle="1" w:styleId="NumberedParagraph">
    <w:name w:val="Numbered Paragraph"/>
    <w:basedOn w:val="Normal"/>
    <w:qFormat/>
    <w:rsid w:val="00075D72"/>
    <w:pPr>
      <w:numPr>
        <w:ilvl w:val="1"/>
        <w:numId w:val="59"/>
      </w:numPr>
    </w:pPr>
    <w:rPr>
      <w:rFonts w:eastAsia="Calibri"/>
      <w:lang w:eastAsia="en-US"/>
    </w:rPr>
  </w:style>
  <w:style w:type="paragraph" w:customStyle="1" w:styleId="NumberedParagraph-BulletL1">
    <w:name w:val="Numbered Paragraph - Bullet L1"/>
    <w:basedOn w:val="NumberedParagraph"/>
    <w:rsid w:val="003532A7"/>
    <w:pPr>
      <w:numPr>
        <w:ilvl w:val="2"/>
      </w:numPr>
    </w:pPr>
  </w:style>
  <w:style w:type="paragraph" w:customStyle="1" w:styleId="NumberedParagraph-BulletL2">
    <w:name w:val="Numbered Paragraph - Bullet L2"/>
    <w:basedOn w:val="NumberedParagraph"/>
    <w:rsid w:val="003532A7"/>
    <w:pPr>
      <w:numPr>
        <w:ilvl w:val="3"/>
      </w:numPr>
    </w:pPr>
  </w:style>
  <w:style w:type="paragraph" w:customStyle="1" w:styleId="SummaryandQFS-Heading1">
    <w:name w:val="Summary and QFS - Heading 1"/>
    <w:basedOn w:val="SummaryandQFS-Text"/>
    <w:next w:val="SummaryandQFS-Text"/>
    <w:rsid w:val="00E949C5"/>
    <w:pPr>
      <w:spacing w:before="360"/>
      <w:jc w:val="left"/>
    </w:pPr>
    <w:rPr>
      <w:b/>
      <w:bCs/>
    </w:rPr>
  </w:style>
  <w:style w:type="paragraph" w:customStyle="1" w:styleId="SummaryandQFS-BulletL1">
    <w:name w:val="Summary and QFS - Bullet L1"/>
    <w:basedOn w:val="SummaryandQFS-Text"/>
    <w:rsid w:val="00EA6BFF"/>
    <w:pPr>
      <w:numPr>
        <w:numId w:val="12"/>
      </w:numPr>
      <w:tabs>
        <w:tab w:val="center" w:pos="709"/>
      </w:tabs>
      <w:ind w:left="709" w:hanging="567"/>
    </w:pPr>
  </w:style>
  <w:style w:type="paragraph" w:customStyle="1" w:styleId="SummaryandQFS-Heading3">
    <w:name w:val="Summary and QFS - Heading 3"/>
    <w:basedOn w:val="SummaryandQFS-Text"/>
    <w:next w:val="SummaryandQFS-Text"/>
    <w:rsid w:val="00605BAF"/>
    <w:rPr>
      <w:i/>
      <w:iCs/>
    </w:rPr>
  </w:style>
  <w:style w:type="paragraph" w:customStyle="1" w:styleId="SummaryandQFS-Heading2">
    <w:name w:val="Summary and QFS - Heading 2"/>
    <w:basedOn w:val="SummaryandQFS-Text"/>
    <w:next w:val="SummaryandQFS-Text"/>
    <w:rsid w:val="00605BAF"/>
    <w:pPr>
      <w:jc w:val="left"/>
    </w:pPr>
    <w:rPr>
      <w:b/>
      <w:i/>
    </w:rPr>
  </w:style>
  <w:style w:type="paragraph" w:customStyle="1" w:styleId="Heading1-Appendix">
    <w:name w:val="Heading 1 - Appendix"/>
    <w:basedOn w:val="Normal"/>
    <w:next w:val="Normal"/>
    <w:rsid w:val="00640446"/>
    <w:pPr>
      <w:spacing w:before="0" w:after="400"/>
      <w:jc w:val="center"/>
      <w:outlineLvl w:val="0"/>
    </w:pPr>
    <w:rPr>
      <w:b/>
      <w:bCs/>
      <w:sz w:val="24"/>
      <w:szCs w:val="28"/>
    </w:rPr>
  </w:style>
  <w:style w:type="paragraph" w:customStyle="1" w:styleId="Publicationdate-Cover">
    <w:name w:val="Publication date - Cover"/>
    <w:basedOn w:val="Normal"/>
    <w:qFormat/>
    <w:rsid w:val="004777B7"/>
    <w:rPr>
      <w:sz w:val="28"/>
    </w:rPr>
  </w:style>
  <w:style w:type="paragraph" w:customStyle="1" w:styleId="Authorname-Agency">
    <w:name w:val="Author name - Agency"/>
    <w:basedOn w:val="Normal"/>
    <w:autoRedefine/>
    <w:rsid w:val="004777B7"/>
    <w:pPr>
      <w:spacing w:before="480"/>
      <w:jc w:val="left"/>
    </w:pPr>
    <w:rPr>
      <w:i/>
      <w:iCs/>
    </w:rPr>
  </w:style>
  <w:style w:type="paragraph" w:customStyle="1" w:styleId="Formula">
    <w:name w:val="Formula"/>
    <w:basedOn w:val="Normal"/>
    <w:autoRedefine/>
    <w:rsid w:val="00E949C5"/>
    <w:pPr>
      <w:ind w:left="851"/>
      <w:jc w:val="center"/>
    </w:pPr>
    <w:rPr>
      <w:iCs/>
      <w:sz w:val="18"/>
    </w:rPr>
  </w:style>
  <w:style w:type="paragraph" w:customStyle="1" w:styleId="Example-Forumla">
    <w:name w:val="Example - Forumla"/>
    <w:basedOn w:val="Example-Text"/>
    <w:next w:val="Example-Text"/>
    <w:rsid w:val="005C24C5"/>
    <w:pPr>
      <w:jc w:val="center"/>
    </w:pPr>
    <w:rPr>
      <w:i/>
      <w:iCs/>
    </w:rPr>
  </w:style>
  <w:style w:type="paragraph" w:customStyle="1" w:styleId="Legislation-Text">
    <w:name w:val="Legislation - Text"/>
    <w:basedOn w:val="Normal"/>
    <w:rsid w:val="00282591"/>
    <w:pPr>
      <w:pBdr>
        <w:top w:val="single" w:sz="4" w:space="10" w:color="auto"/>
        <w:left w:val="single" w:sz="4" w:space="6" w:color="auto"/>
        <w:bottom w:val="single" w:sz="4" w:space="10" w:color="auto"/>
        <w:right w:val="single" w:sz="4" w:space="6" w:color="auto"/>
      </w:pBdr>
      <w:ind w:left="993"/>
    </w:pPr>
  </w:style>
  <w:style w:type="paragraph" w:customStyle="1" w:styleId="Legislation">
    <w:name w:val="Legislation"/>
    <w:basedOn w:val="Normal"/>
    <w:rsid w:val="00520CEB"/>
    <w:pPr>
      <w:pBdr>
        <w:top w:val="single" w:sz="4" w:space="10" w:color="auto"/>
        <w:left w:val="single" w:sz="4" w:space="6" w:color="auto"/>
        <w:bottom w:val="single" w:sz="4" w:space="10" w:color="auto"/>
        <w:right w:val="single" w:sz="4" w:space="6" w:color="auto"/>
      </w:pBdr>
      <w:tabs>
        <w:tab w:val="left" w:pos="1560"/>
        <w:tab w:val="left" w:pos="2127"/>
        <w:tab w:val="left" w:pos="2694"/>
        <w:tab w:val="left" w:pos="3261"/>
      </w:tabs>
      <w:ind w:left="993"/>
    </w:pPr>
  </w:style>
  <w:style w:type="paragraph" w:customStyle="1" w:styleId="NumberedParagraph-NumberedLists">
    <w:name w:val="Numbered Paragraph - Numbered Lists"/>
    <w:basedOn w:val="Normal"/>
    <w:rsid w:val="00021019"/>
    <w:pPr>
      <w:numPr>
        <w:numId w:val="5"/>
      </w:numPr>
      <w:spacing w:before="120"/>
    </w:pPr>
  </w:style>
  <w:style w:type="numbering" w:customStyle="1" w:styleId="NumberedList">
    <w:name w:val="Numbered List"/>
    <w:uiPriority w:val="99"/>
    <w:rsid w:val="00D14F8D"/>
    <w:pPr>
      <w:numPr>
        <w:numId w:val="18"/>
      </w:numPr>
    </w:pPr>
  </w:style>
  <w:style w:type="character" w:customStyle="1" w:styleId="TitleChar">
    <w:name w:val="Title Char"/>
    <w:basedOn w:val="DefaultParagraphFont"/>
    <w:link w:val="Title"/>
    <w:rsid w:val="00E7727C"/>
    <w:rPr>
      <w:rFonts w:ascii="Verdana" w:hAnsi="Verdana"/>
      <w:color w:val="1F85A3"/>
      <w:sz w:val="56"/>
      <w:lang w:eastAsia="en-AU"/>
    </w:rPr>
  </w:style>
  <w:style w:type="paragraph" w:customStyle="1" w:styleId="Example-Separator">
    <w:name w:val="Example - Separator"/>
    <w:basedOn w:val="Normal"/>
    <w:rsid w:val="005F6956"/>
    <w:pPr>
      <w:spacing w:before="0"/>
    </w:pPr>
    <w:rPr>
      <w:sz w:val="8"/>
      <w:szCs w:val="8"/>
    </w:rPr>
  </w:style>
  <w:style w:type="table" w:customStyle="1" w:styleId="TableGrid1">
    <w:name w:val="Table Grid1"/>
    <w:basedOn w:val="TableNormal"/>
    <w:next w:val="TableGrid"/>
    <w:rsid w:val="00916874"/>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7272BC"/>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644621"/>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0C0C83"/>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F72A91"/>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rsid w:val="00754852"/>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rsid w:val="00FC3791"/>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rsid w:val="009E2BA8"/>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rsid w:val="00221CD8"/>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rsid w:val="0009166B"/>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rsid w:val="006E0C97"/>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rsid w:val="007C42CE"/>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rsid w:val="00E244D1"/>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rsid w:val="00614077"/>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614077"/>
  </w:style>
  <w:style w:type="character" w:customStyle="1" w:styleId="italic">
    <w:name w:val="italic"/>
    <w:basedOn w:val="DefaultParagraphFont"/>
    <w:rsid w:val="00614077"/>
  </w:style>
  <w:style w:type="table" w:customStyle="1" w:styleId="TableGrid15">
    <w:name w:val="Table Grid15"/>
    <w:basedOn w:val="TableNormal"/>
    <w:next w:val="TableGrid"/>
    <w:rsid w:val="0011214E"/>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rsid w:val="006B2CE5"/>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ExecutiveSummary">
    <w:name w:val="Heading 1 - Executive Summary"/>
    <w:basedOn w:val="Normal"/>
    <w:next w:val="Normal"/>
    <w:qFormat/>
    <w:rsid w:val="007F6362"/>
    <w:pPr>
      <w:pageBreakBefore/>
      <w:spacing w:before="0" w:after="560"/>
      <w:jc w:val="center"/>
      <w:outlineLvl w:val="0"/>
    </w:pPr>
    <w:rPr>
      <w:rFonts w:eastAsia="Calibri"/>
      <w:b/>
      <w:caps/>
      <w:color w:val="1F85A3"/>
      <w:sz w:val="24"/>
      <w:lang w:eastAsia="en-US"/>
    </w:rPr>
  </w:style>
  <w:style w:type="paragraph" w:styleId="Revision">
    <w:name w:val="Revision"/>
    <w:hidden/>
    <w:uiPriority w:val="99"/>
    <w:semiHidden/>
    <w:rsid w:val="00B80502"/>
  </w:style>
  <w:style w:type="paragraph" w:customStyle="1" w:styleId="NumberedParagraph-Appendix">
    <w:name w:val="Numbered Paragraph - Appendix"/>
    <w:basedOn w:val="Normal"/>
    <w:qFormat/>
    <w:rsid w:val="00D87BA8"/>
    <w:pPr>
      <w:tabs>
        <w:tab w:val="left" w:pos="851"/>
      </w:tabs>
    </w:pPr>
    <w:rPr>
      <w:rFonts w:eastAsia="Calibri"/>
      <w:lang w:eastAsia="en-US"/>
    </w:rPr>
  </w:style>
  <w:style w:type="character" w:styleId="FollowedHyperlink">
    <w:name w:val="FollowedHyperlink"/>
    <w:basedOn w:val="DefaultParagraphFont"/>
    <w:uiPriority w:val="99"/>
    <w:semiHidden/>
    <w:unhideWhenUsed/>
    <w:rsid w:val="00464898"/>
    <w:rPr>
      <w:color w:val="800080" w:themeColor="followedHyperlink"/>
      <w:u w:val="single"/>
    </w:rPr>
  </w:style>
  <w:style w:type="table" w:customStyle="1" w:styleId="SummaryBox">
    <w:name w:val="Summary Box"/>
    <w:basedOn w:val="TableNormal"/>
    <w:uiPriority w:val="99"/>
    <w:rsid w:val="007D07BC"/>
    <w:pPr>
      <w:spacing w:before="200" w:after="200"/>
    </w:pPr>
    <w:tblPr>
      <w:tblBorders>
        <w:top w:val="single" w:sz="8" w:space="0" w:color="95B3D7" w:themeColor="accent1" w:themeTint="99"/>
        <w:left w:val="single" w:sz="8" w:space="0" w:color="95B3D7" w:themeColor="accent1" w:themeTint="99"/>
        <w:bottom w:val="single" w:sz="8" w:space="0" w:color="95B3D7" w:themeColor="accent1" w:themeTint="99"/>
        <w:right w:val="single" w:sz="8" w:space="0" w:color="95B3D7" w:themeColor="accent1" w:themeTint="99"/>
        <w:insideH w:val="single" w:sz="8" w:space="0" w:color="95B3D7" w:themeColor="accent1" w:themeTint="99"/>
        <w:insideV w:val="single" w:sz="8" w:space="0" w:color="95B3D7" w:themeColor="accent1" w:themeTint="99"/>
      </w:tblBorders>
      <w:tblCellMar>
        <w:left w:w="170" w:type="dxa"/>
        <w:right w:w="284" w:type="dxa"/>
      </w:tblCellMar>
    </w:tblPr>
    <w:trPr>
      <w:cantSplit/>
    </w:trPr>
    <w:tcPr>
      <w:shd w:val="clear" w:color="auto" w:fill="D9E2F3"/>
    </w:tcPr>
  </w:style>
  <w:style w:type="table" w:customStyle="1" w:styleId="ExampleBox">
    <w:name w:val="Example Box"/>
    <w:basedOn w:val="TableNormal"/>
    <w:uiPriority w:val="99"/>
    <w:rsid w:val="003532A7"/>
    <w:tblPr>
      <w:tblInd w:w="851" w:type="dxa"/>
      <w:tblBorders>
        <w:top w:val="single" w:sz="8" w:space="0" w:color="C2D69B" w:themeColor="accent3" w:themeTint="99"/>
        <w:left w:val="single" w:sz="8" w:space="0" w:color="C2D69B" w:themeColor="accent3" w:themeTint="99"/>
        <w:bottom w:val="single" w:sz="8" w:space="0" w:color="C2D69B" w:themeColor="accent3" w:themeTint="99"/>
        <w:right w:val="single" w:sz="8" w:space="0" w:color="C2D69B" w:themeColor="accent3" w:themeTint="99"/>
        <w:insideH w:val="single" w:sz="8" w:space="0" w:color="C2D69B" w:themeColor="accent3" w:themeTint="99"/>
        <w:insideV w:val="single" w:sz="8" w:space="0" w:color="C2D69B" w:themeColor="accent3" w:themeTint="99"/>
      </w:tblBorders>
      <w:tblCellMar>
        <w:left w:w="170" w:type="dxa"/>
        <w:right w:w="284" w:type="dxa"/>
      </w:tblCellMar>
    </w:tblPr>
    <w:trPr>
      <w:cantSplit/>
    </w:trPr>
    <w:tcPr>
      <w:shd w:val="clear" w:color="auto" w:fill="EAF1DD" w:themeFill="accent3" w:themeFillTint="33"/>
    </w:tcPr>
  </w:style>
  <w:style w:type="table" w:customStyle="1" w:styleId="QuestionsBox">
    <w:name w:val="Questions Box"/>
    <w:basedOn w:val="TableNormal"/>
    <w:uiPriority w:val="99"/>
    <w:rsid w:val="003532A7"/>
    <w:tblPr>
      <w:tblBorders>
        <w:top w:val="single" w:sz="8" w:space="0" w:color="92CDDC" w:themeColor="accent5" w:themeTint="99"/>
        <w:left w:val="single" w:sz="8" w:space="0" w:color="92CDDC" w:themeColor="accent5" w:themeTint="99"/>
        <w:bottom w:val="single" w:sz="8" w:space="0" w:color="92CDDC" w:themeColor="accent5" w:themeTint="99"/>
        <w:right w:val="single" w:sz="8" w:space="0" w:color="92CDDC" w:themeColor="accent5" w:themeTint="99"/>
        <w:insideH w:val="single" w:sz="8" w:space="0" w:color="92CDDC" w:themeColor="accent5" w:themeTint="99"/>
        <w:insideV w:val="single" w:sz="8" w:space="0" w:color="92CDDC" w:themeColor="accent5" w:themeTint="99"/>
      </w:tblBorders>
      <w:tblCellMar>
        <w:left w:w="170" w:type="dxa"/>
        <w:right w:w="284" w:type="dxa"/>
      </w:tblCellMar>
    </w:tblPr>
    <w:trPr>
      <w:cantSplit/>
    </w:trPr>
    <w:tcPr>
      <w:shd w:val="clear" w:color="auto" w:fill="DAEEF3" w:themeFill="accent5" w:themeFillTint="33"/>
    </w:tcPr>
  </w:style>
  <w:style w:type="paragraph" w:customStyle="1" w:styleId="Heading2-Questions">
    <w:name w:val="Heading 2 - Questions"/>
    <w:basedOn w:val="Heading2"/>
    <w:next w:val="Normal"/>
    <w:rsid w:val="00437600"/>
    <w:pPr>
      <w:spacing w:before="200" w:after="300"/>
      <w:outlineLvl w:val="9"/>
    </w:pPr>
  </w:style>
  <w:style w:type="paragraph" w:customStyle="1" w:styleId="Questionsparagraph">
    <w:name w:val="Questions paragraph"/>
    <w:basedOn w:val="Normal"/>
    <w:rsid w:val="00D52E2E"/>
    <w:pPr>
      <w:tabs>
        <w:tab w:val="left" w:pos="992"/>
      </w:tabs>
      <w:ind w:left="992" w:hanging="992"/>
    </w:pPr>
  </w:style>
  <w:style w:type="paragraph" w:styleId="TOCHeading">
    <w:name w:val="TOC Heading"/>
    <w:basedOn w:val="Heading1"/>
    <w:next w:val="Normal"/>
    <w:uiPriority w:val="39"/>
    <w:semiHidden/>
    <w:unhideWhenUsed/>
    <w:qFormat/>
    <w:rsid w:val="00230781"/>
    <w:pPr>
      <w:keepNext/>
      <w:keepLines/>
      <w:pageBreakBefore w:val="0"/>
      <w:numPr>
        <w:numId w:val="0"/>
      </w:numPr>
      <w:outlineLvl w:val="9"/>
    </w:pPr>
    <w:rPr>
      <w:rFonts w:eastAsiaTheme="majorEastAsia" w:cstheme="majorBidi"/>
      <w:b w:val="0"/>
      <w:szCs w:val="32"/>
    </w:rPr>
  </w:style>
  <w:style w:type="paragraph" w:styleId="EndnoteText">
    <w:name w:val="endnote text"/>
    <w:basedOn w:val="Normal"/>
    <w:link w:val="EndnoteTextChar"/>
    <w:uiPriority w:val="99"/>
    <w:semiHidden/>
    <w:unhideWhenUsed/>
    <w:rsid w:val="00354314"/>
    <w:pPr>
      <w:spacing w:before="0" w:after="0"/>
    </w:pPr>
  </w:style>
  <w:style w:type="character" w:customStyle="1" w:styleId="EndnoteTextChar">
    <w:name w:val="Endnote Text Char"/>
    <w:basedOn w:val="DefaultParagraphFont"/>
    <w:link w:val="EndnoteText"/>
    <w:uiPriority w:val="99"/>
    <w:semiHidden/>
    <w:rsid w:val="00354314"/>
  </w:style>
  <w:style w:type="character" w:styleId="EndnoteReference">
    <w:name w:val="endnote reference"/>
    <w:basedOn w:val="DefaultParagraphFont"/>
    <w:uiPriority w:val="99"/>
    <w:semiHidden/>
    <w:unhideWhenUsed/>
    <w:rsid w:val="0035431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9866904">
      <w:bodyDiv w:val="1"/>
      <w:marLeft w:val="0"/>
      <w:marRight w:val="0"/>
      <w:marTop w:val="0"/>
      <w:marBottom w:val="0"/>
      <w:divBdr>
        <w:top w:val="none" w:sz="0" w:space="0" w:color="auto"/>
        <w:left w:val="none" w:sz="0" w:space="0" w:color="auto"/>
        <w:bottom w:val="none" w:sz="0" w:space="0" w:color="auto"/>
        <w:right w:val="none" w:sz="0" w:space="0" w:color="auto"/>
      </w:divBdr>
    </w:div>
    <w:div w:id="1339500897">
      <w:bodyDiv w:val="1"/>
      <w:marLeft w:val="0"/>
      <w:marRight w:val="0"/>
      <w:marTop w:val="0"/>
      <w:marBottom w:val="0"/>
      <w:divBdr>
        <w:top w:val="none" w:sz="0" w:space="0" w:color="auto"/>
        <w:left w:val="none" w:sz="0" w:space="0" w:color="auto"/>
        <w:bottom w:val="none" w:sz="0" w:space="0" w:color="auto"/>
        <w:right w:val="none" w:sz="0" w:space="0" w:color="auto"/>
      </w:divBdr>
    </w:div>
    <w:div w:id="1749420168">
      <w:bodyDiv w:val="1"/>
      <w:marLeft w:val="0"/>
      <w:marRight w:val="0"/>
      <w:marTop w:val="0"/>
      <w:marBottom w:val="0"/>
      <w:divBdr>
        <w:top w:val="none" w:sz="0" w:space="0" w:color="auto"/>
        <w:left w:val="none" w:sz="0" w:space="0" w:color="auto"/>
        <w:bottom w:val="none" w:sz="0" w:space="0" w:color="auto"/>
        <w:right w:val="none" w:sz="0" w:space="0" w:color="auto"/>
      </w:divBdr>
    </w:div>
    <w:div w:id="1913616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oleObject" Target="embeddings/oleObject1.bin"/><Relationship Id="rId39" Type="http://schemas.openxmlformats.org/officeDocument/2006/relationships/hyperlink" Target="https://openknowledge.worldbank.org/handle/10986/22924" TargetMode="External"/><Relationship Id="rId21" Type="http://schemas.openxmlformats.org/officeDocument/2006/relationships/chart" Target="charts/chart1.xml"/><Relationship Id="rId34" Type="http://schemas.openxmlformats.org/officeDocument/2006/relationships/hyperlink" Target="https://www.oecd-ilibrary.org/taxation/corporate-effective-tax-rates_a07f9958-en" TargetMode="External"/><Relationship Id="rId42" Type="http://schemas.openxmlformats.org/officeDocument/2006/relationships/header" Target="header7.xml"/><Relationship Id="rId47" Type="http://schemas.openxmlformats.org/officeDocument/2006/relationships/fontTable" Target="fontTable.xml"/><Relationship Id="rId50" Type="http://schemas.openxmlformats.org/officeDocument/2006/relationships/customXml" Target="../customXml/item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3.xml"/><Relationship Id="rId29" Type="http://schemas.openxmlformats.org/officeDocument/2006/relationships/image" Target="media/image11.wmf"/><Relationship Id="rId11" Type="http://schemas.openxmlformats.org/officeDocument/2006/relationships/header" Target="header1.xml"/><Relationship Id="rId24" Type="http://schemas.openxmlformats.org/officeDocument/2006/relationships/chart" Target="charts/chart4.xml"/><Relationship Id="rId32" Type="http://schemas.openxmlformats.org/officeDocument/2006/relationships/oleObject" Target="embeddings/oleObject7.bin"/><Relationship Id="rId37" Type="http://schemas.openxmlformats.org/officeDocument/2006/relationships/hyperlink" Target="https://taxpolicy.ird.govt.nz/publications/2021/2021-other-scope-ird-ltib-tax-liability-productivity" TargetMode="External"/><Relationship Id="rId40" Type="http://schemas.openxmlformats.org/officeDocument/2006/relationships/hyperlink" Target="https://ideas.repec.org/a/kap/itaxpf/v17y2010i3p315-336.html" TargetMode="External"/><Relationship Id="rId45"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chart" Target="charts/chart3.xml"/><Relationship Id="rId28" Type="http://schemas.openxmlformats.org/officeDocument/2006/relationships/image" Target="file:///S:\Units\CS3\New%20Zealand\New%20Zealand%202021\Figures\EMF_files_KPI\fig_1_31.emf" TargetMode="External"/><Relationship Id="rId36" Type="http://schemas.openxmlformats.org/officeDocument/2006/relationships/hyperlink" Target="https://taxpolicy.ird.govt.nz/publications/2016/2016-other-nz-framework-inbound-investment" TargetMode="External"/><Relationship Id="rId49" Type="http://schemas.openxmlformats.org/officeDocument/2006/relationships/customXml" Target="../customXml/item2.xml"/><Relationship Id="rId10" Type="http://schemas.openxmlformats.org/officeDocument/2006/relationships/hyperlink" Target="https://taxpolicy.ird.govt.nz/publications/2022/2022-other-draft-ltib" TargetMode="External"/><Relationship Id="rId19" Type="http://schemas.openxmlformats.org/officeDocument/2006/relationships/header" Target="header6.xml"/><Relationship Id="rId31" Type="http://schemas.openxmlformats.org/officeDocument/2006/relationships/image" Target="media/image12.wmf"/><Relationship Id="rId44" Type="http://schemas.openxmlformats.org/officeDocument/2006/relationships/footer" Target="footer5.xml"/><Relationship Id="rId4" Type="http://schemas.openxmlformats.org/officeDocument/2006/relationships/settings" Target="settings.xml"/><Relationship Id="rId9" Type="http://schemas.openxmlformats.org/officeDocument/2006/relationships/image" Target="media/image2.svg"/><Relationship Id="rId14" Type="http://schemas.openxmlformats.org/officeDocument/2006/relationships/footer" Target="footer2.xml"/><Relationship Id="rId22" Type="http://schemas.openxmlformats.org/officeDocument/2006/relationships/chart" Target="charts/chart2.xml"/><Relationship Id="rId27" Type="http://schemas.openxmlformats.org/officeDocument/2006/relationships/image" Target="media/image6.emf"/><Relationship Id="rId30" Type="http://schemas.openxmlformats.org/officeDocument/2006/relationships/oleObject" Target="embeddings/oleObject6.bin"/><Relationship Id="rId35" Type="http://schemas.openxmlformats.org/officeDocument/2006/relationships/hyperlink" Target="https://www.wgtn.ac.nz/cagtr/events/past-events/tax-working-group-2009/publications/4-company-tax-issues-facing-nz.pdf" TargetMode="External"/><Relationship Id="rId43" Type="http://schemas.openxmlformats.org/officeDocument/2006/relationships/header" Target="header8.xml"/><Relationship Id="rId48"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customXml" Target="../customXml/item4.xm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image" Target="media/image5.wmf"/><Relationship Id="rId33" Type="http://schemas.openxmlformats.org/officeDocument/2006/relationships/hyperlink" Target="https://www.wgtn.ac.nz/cagtr/events/past-events/tax-working-group-2009/publications/4-capital-taxation-in-nz-intl-perspective.pdf" TargetMode="External"/><Relationship Id="rId38" Type="http://schemas.openxmlformats.org/officeDocument/2006/relationships/hyperlink" Target="https://taxpolicy.ird.govt.nz/publications/2022/2022-other-draft-ltib" TargetMode="External"/><Relationship Id="rId46" Type="http://schemas.openxmlformats.org/officeDocument/2006/relationships/footer" Target="footer6.xml"/><Relationship Id="rId20" Type="http://schemas.openxmlformats.org/officeDocument/2006/relationships/footer" Target="footer4.xml"/><Relationship Id="rId41" Type="http://schemas.openxmlformats.org/officeDocument/2006/relationships/hyperlink" Target="https://www.treasury.govt.nz/sites/default/files/2007-11/taxreview2001-report.pdf" TargetMode="External"/><Relationship Id="rId1" Type="http://schemas.openxmlformats.org/officeDocument/2006/relationships/customXml" Target="../customXml/item1.xml"/><Relationship Id="rId6" Type="http://schemas.openxmlformats.org/officeDocument/2006/relationships/footnotes" Target="footnotes.xml"/></Relationships>
</file>

<file path=word/_rels/footnotes.xml.rels><?xml version="1.0" encoding="UTF-8" standalone="yes"?>
<Relationships xmlns="http://schemas.openxmlformats.org/package/2006/relationships"><Relationship Id="rId8" Type="http://schemas.openxmlformats.org/officeDocument/2006/relationships/hyperlink" Target="https://www.treasury.govt.nz/publications/tax-outturn-data/tax-outturn-data-june-2021" TargetMode="External"/><Relationship Id="rId13" Type="http://schemas.openxmlformats.org/officeDocument/2006/relationships/hyperlink" Target="https://stat.link/en6415" TargetMode="External"/><Relationship Id="rId18" Type="http://schemas.openxmlformats.org/officeDocument/2006/relationships/oleObject" Target="embeddings/oleObject3.bin"/><Relationship Id="rId26" Type="http://schemas.openxmlformats.org/officeDocument/2006/relationships/hyperlink" Target="https://www.norskpetroleum.no/en/economy/petroleum-tax" TargetMode="External"/><Relationship Id="rId3" Type="http://schemas.openxmlformats.org/officeDocument/2006/relationships/hyperlink" Target="https://www.mbie.govt.nz/dmsdocument/15644-the-future-of-business-for-aotearoa-new-zealand-opportunities-and-implications-for-productivity-and-wellbeing" TargetMode="External"/><Relationship Id="rId21" Type="http://schemas.openxmlformats.org/officeDocument/2006/relationships/image" Target="media/image10.wmf"/><Relationship Id="rId7" Type="http://schemas.openxmlformats.org/officeDocument/2006/relationships/hyperlink" Target="https://taxpolicy.ird.govt.nz/publications/2016/2016-other-nz-framework-inbound-investment" TargetMode="External"/><Relationship Id="rId12" Type="http://schemas.openxmlformats.org/officeDocument/2006/relationships/hyperlink" Target="https://doi.org/10.1787/a4fd214c-en" TargetMode="External"/><Relationship Id="rId17" Type="http://schemas.openxmlformats.org/officeDocument/2006/relationships/image" Target="media/image8.wmf"/><Relationship Id="rId25" Type="http://schemas.openxmlformats.org/officeDocument/2006/relationships/hyperlink" Target="https://aus01.safelinks.protection.outlook.com/?url=https%3A%2F%2Fwww.oecd.org%2Ftax%2Ftax-policy%2Fexplanatory-annex-corporate-effective-tax-rates.pdf&amp;data=04%7C01%7CMatt.Benge%40ird.govt.nz%7C3ea86ec685c741da37af08d9f443ea98%7Cfb39e3e923a9404e93a2b42a87d94f35%7C1%7C0%7C637809394803746406%7CUnknown%7CTWFpbGZsb3d8eyJWIjoiMC4wLjAwMDAiLCJQIjoiV2luMzIiLCJBTiI6Ik1haWwiLCJXVCI6Mn0%3D%7C3000&amp;sdata=YCIvMlQd36YogeLFGwDw%2BjvBvPMSEW9XTanLYjIytZI%3D&amp;reserved=0" TargetMode="External"/><Relationship Id="rId2" Type="http://schemas.openxmlformats.org/officeDocument/2006/relationships/hyperlink" Target="https://taxpolicy.ird.govt.nz/publications/2021/2021-other-scope-ird-ltib-tax-liability-productivity" TargetMode="External"/><Relationship Id="rId16" Type="http://schemas.openxmlformats.org/officeDocument/2006/relationships/oleObject" Target="embeddings/oleObject2.bin"/><Relationship Id="rId20" Type="http://schemas.openxmlformats.org/officeDocument/2006/relationships/oleObject" Target="embeddings/oleObject4.bin"/><Relationship Id="rId29" Type="http://schemas.openxmlformats.org/officeDocument/2006/relationships/hyperlink" Target="https://www.skatteetaten.no/en/person/taxes/get-the-taxes-right/shares-and-securities/about-shares-and-securities/the-shareholder-model/" TargetMode="External"/><Relationship Id="rId1" Type="http://schemas.openxmlformats.org/officeDocument/2006/relationships/hyperlink" Target="https://taxpolicy.ird.govt.nz/publications/2022/2022-other-draft-ltib" TargetMode="External"/><Relationship Id="rId6" Type="http://schemas.openxmlformats.org/officeDocument/2006/relationships/hyperlink" Target="https://www.treasury.govt.nz/sites/default/files/2007-11/taxreview2001-report.pdf" TargetMode="External"/><Relationship Id="rId11" Type="http://schemas.openxmlformats.org/officeDocument/2006/relationships/image" Target="media/image4.wmf"/><Relationship Id="rId24" Type="http://schemas.openxmlformats.org/officeDocument/2006/relationships/hyperlink" Target="https://taxpolicy.ird.govt.nz/-/media/project/ir/tp/publications/1989/1989-dd-taxation-income-capital/1989-dd-taxation-income-capital-pdf.pdf?modified=20200910102401&amp;modified=20200910102401" TargetMode="External"/><Relationship Id="rId5" Type="http://schemas.openxmlformats.org/officeDocument/2006/relationships/hyperlink" Target="https://taxpolicy.ird.govt.nz/publications/2022/2022-other-draft-ltib" TargetMode="External"/><Relationship Id="rId15" Type="http://schemas.openxmlformats.org/officeDocument/2006/relationships/image" Target="media/image7.wmf"/><Relationship Id="rId23" Type="http://schemas.openxmlformats.org/officeDocument/2006/relationships/hyperlink" Target="https://taxworkinggroup.govt.nz/resources/twg-bg-3985472-appendix-e-inflation-indexing-the-tax-system" TargetMode="External"/><Relationship Id="rId28" Type="http://schemas.openxmlformats.org/officeDocument/2006/relationships/hyperlink" Target="https://taxsummaries.pwc.com/republic-of-korea/corporate/tax-credits-and-incentives" TargetMode="External"/><Relationship Id="rId10" Type="http://schemas.openxmlformats.org/officeDocument/2006/relationships/image" Target="media/image3.wmf"/><Relationship Id="rId19" Type="http://schemas.openxmlformats.org/officeDocument/2006/relationships/image" Target="media/image9.wmf"/><Relationship Id="rId4" Type="http://schemas.openxmlformats.org/officeDocument/2006/relationships/hyperlink" Target="https://stats.oecd.org/" TargetMode="External"/><Relationship Id="rId9" Type="http://schemas.openxmlformats.org/officeDocument/2006/relationships/hyperlink" Target="https://stats.oecd.org/" TargetMode="External"/><Relationship Id="rId14" Type="http://schemas.openxmlformats.org/officeDocument/2006/relationships/hyperlink" Target="https://taxpolicy.ird.govt.nz/publications/2004/2004-ip-depreciation" TargetMode="External"/><Relationship Id="rId22" Type="http://schemas.openxmlformats.org/officeDocument/2006/relationships/oleObject" Target="embeddings/oleObject5.bin"/><Relationship Id="rId27" Type="http://schemas.openxmlformats.org/officeDocument/2006/relationships/hyperlink" Target="https://doi.org/10.1787/7af51916-en"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NULL"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NULL"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NULL"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NULL" TargetMode="External"/><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working!$A$3</c:f>
              <c:strCache>
                <c:ptCount val="1"/>
                <c:pt idx="0">
                  <c:v>Australia</c:v>
                </c:pt>
              </c:strCache>
            </c:strRef>
          </c:tx>
          <c:spPr>
            <a:ln w="28575" cap="rnd">
              <a:solidFill>
                <a:schemeClr val="accent6"/>
              </a:solidFill>
              <a:round/>
            </a:ln>
            <a:effectLst/>
          </c:spPr>
          <c:marker>
            <c:symbol val="none"/>
          </c:marker>
          <c:cat>
            <c:numRef>
              <c:f>working!$B$2:$AO$2</c:f>
              <c:numCache>
                <c:formatCode>General</c:formatCode>
                <c:ptCount val="40"/>
                <c:pt idx="0">
                  <c:v>1981</c:v>
                </c:pt>
                <c:pt idx="1">
                  <c:v>1982</c:v>
                </c:pt>
                <c:pt idx="2">
                  <c:v>1983</c:v>
                </c:pt>
                <c:pt idx="3">
                  <c:v>1984</c:v>
                </c:pt>
                <c:pt idx="4">
                  <c:v>1985</c:v>
                </c:pt>
                <c:pt idx="5">
                  <c:v>1986</c:v>
                </c:pt>
                <c:pt idx="6">
                  <c:v>1987</c:v>
                </c:pt>
                <c:pt idx="7">
                  <c:v>1988</c:v>
                </c:pt>
                <c:pt idx="8">
                  <c:v>1989</c:v>
                </c:pt>
                <c:pt idx="9">
                  <c:v>1990</c:v>
                </c:pt>
                <c:pt idx="10">
                  <c:v>1991</c:v>
                </c:pt>
                <c:pt idx="11">
                  <c:v>1992</c:v>
                </c:pt>
                <c:pt idx="12">
                  <c:v>1993</c:v>
                </c:pt>
                <c:pt idx="13">
                  <c:v>1994</c:v>
                </c:pt>
                <c:pt idx="14">
                  <c:v>1995</c:v>
                </c:pt>
                <c:pt idx="15">
                  <c:v>1996</c:v>
                </c:pt>
                <c:pt idx="16">
                  <c:v>1997</c:v>
                </c:pt>
                <c:pt idx="17">
                  <c:v>1998</c:v>
                </c:pt>
                <c:pt idx="18">
                  <c:v>1999</c:v>
                </c:pt>
                <c:pt idx="19">
                  <c:v>2000</c:v>
                </c:pt>
                <c:pt idx="20">
                  <c:v>2001</c:v>
                </c:pt>
                <c:pt idx="21">
                  <c:v>2002</c:v>
                </c:pt>
                <c:pt idx="22">
                  <c:v>2003</c:v>
                </c:pt>
                <c:pt idx="23">
                  <c:v>2004</c:v>
                </c:pt>
                <c:pt idx="24">
                  <c:v>2005</c:v>
                </c:pt>
                <c:pt idx="25">
                  <c:v>2006</c:v>
                </c:pt>
                <c:pt idx="26">
                  <c:v>2007</c:v>
                </c:pt>
                <c:pt idx="27">
                  <c:v>2008</c:v>
                </c:pt>
                <c:pt idx="28">
                  <c:v>2009</c:v>
                </c:pt>
                <c:pt idx="29">
                  <c:v>2010</c:v>
                </c:pt>
                <c:pt idx="30">
                  <c:v>2011</c:v>
                </c:pt>
                <c:pt idx="31">
                  <c:v>2012</c:v>
                </c:pt>
                <c:pt idx="32">
                  <c:v>2013</c:v>
                </c:pt>
                <c:pt idx="33">
                  <c:v>2014</c:v>
                </c:pt>
                <c:pt idx="34">
                  <c:v>2015</c:v>
                </c:pt>
                <c:pt idx="35">
                  <c:v>2016</c:v>
                </c:pt>
                <c:pt idx="36">
                  <c:v>2017</c:v>
                </c:pt>
                <c:pt idx="37">
                  <c:v>2018</c:v>
                </c:pt>
                <c:pt idx="38">
                  <c:v>2019</c:v>
                </c:pt>
                <c:pt idx="39">
                  <c:v>2020</c:v>
                </c:pt>
              </c:numCache>
            </c:numRef>
          </c:cat>
          <c:val>
            <c:numRef>
              <c:f>working!$B$3:$AO$3</c:f>
              <c:numCache>
                <c:formatCode>0.0</c:formatCode>
                <c:ptCount val="40"/>
                <c:pt idx="0">
                  <c:v>46</c:v>
                </c:pt>
                <c:pt idx="1">
                  <c:v>46</c:v>
                </c:pt>
                <c:pt idx="2">
                  <c:v>46</c:v>
                </c:pt>
                <c:pt idx="3">
                  <c:v>46</c:v>
                </c:pt>
                <c:pt idx="4">
                  <c:v>46</c:v>
                </c:pt>
                <c:pt idx="5">
                  <c:v>49</c:v>
                </c:pt>
                <c:pt idx="6">
                  <c:v>49</c:v>
                </c:pt>
                <c:pt idx="7">
                  <c:v>39</c:v>
                </c:pt>
                <c:pt idx="8">
                  <c:v>39</c:v>
                </c:pt>
                <c:pt idx="9">
                  <c:v>39</c:v>
                </c:pt>
                <c:pt idx="10">
                  <c:v>39</c:v>
                </c:pt>
                <c:pt idx="11">
                  <c:v>39</c:v>
                </c:pt>
                <c:pt idx="12">
                  <c:v>33</c:v>
                </c:pt>
                <c:pt idx="13">
                  <c:v>33</c:v>
                </c:pt>
                <c:pt idx="14">
                  <c:v>36</c:v>
                </c:pt>
                <c:pt idx="15">
                  <c:v>36</c:v>
                </c:pt>
                <c:pt idx="16">
                  <c:v>36</c:v>
                </c:pt>
                <c:pt idx="17">
                  <c:v>36</c:v>
                </c:pt>
                <c:pt idx="18">
                  <c:v>36</c:v>
                </c:pt>
                <c:pt idx="19">
                  <c:v>34</c:v>
                </c:pt>
                <c:pt idx="20">
                  <c:v>30</c:v>
                </c:pt>
                <c:pt idx="21">
                  <c:v>30</c:v>
                </c:pt>
                <c:pt idx="22">
                  <c:v>30</c:v>
                </c:pt>
                <c:pt idx="23">
                  <c:v>30</c:v>
                </c:pt>
                <c:pt idx="24">
                  <c:v>30</c:v>
                </c:pt>
                <c:pt idx="25">
                  <c:v>30</c:v>
                </c:pt>
                <c:pt idx="26">
                  <c:v>30</c:v>
                </c:pt>
                <c:pt idx="27">
                  <c:v>30</c:v>
                </c:pt>
                <c:pt idx="28">
                  <c:v>30</c:v>
                </c:pt>
                <c:pt idx="29">
                  <c:v>30</c:v>
                </c:pt>
                <c:pt idx="30">
                  <c:v>30</c:v>
                </c:pt>
                <c:pt idx="31">
                  <c:v>30</c:v>
                </c:pt>
                <c:pt idx="32">
                  <c:v>30</c:v>
                </c:pt>
                <c:pt idx="33">
                  <c:v>30</c:v>
                </c:pt>
                <c:pt idx="34">
                  <c:v>30</c:v>
                </c:pt>
                <c:pt idx="35">
                  <c:v>30</c:v>
                </c:pt>
                <c:pt idx="36">
                  <c:v>30</c:v>
                </c:pt>
                <c:pt idx="37">
                  <c:v>30</c:v>
                </c:pt>
                <c:pt idx="38">
                  <c:v>30</c:v>
                </c:pt>
                <c:pt idx="39">
                  <c:v>30</c:v>
                </c:pt>
              </c:numCache>
            </c:numRef>
          </c:val>
          <c:smooth val="0"/>
          <c:extLst>
            <c:ext xmlns:c16="http://schemas.microsoft.com/office/drawing/2014/chart" uri="{C3380CC4-5D6E-409C-BE32-E72D297353CC}">
              <c16:uniqueId val="{00000000-F217-43BB-B982-0D0C2CF1A963}"/>
            </c:ext>
          </c:extLst>
        </c:ser>
        <c:ser>
          <c:idx val="1"/>
          <c:order val="1"/>
          <c:tx>
            <c:strRef>
              <c:f>working!$A$4</c:f>
              <c:strCache>
                <c:ptCount val="1"/>
                <c:pt idx="0">
                  <c:v>Canada</c:v>
                </c:pt>
              </c:strCache>
            </c:strRef>
          </c:tx>
          <c:spPr>
            <a:ln w="28575" cap="rnd">
              <a:solidFill>
                <a:schemeClr val="accent5"/>
              </a:solidFill>
              <a:round/>
            </a:ln>
            <a:effectLst/>
          </c:spPr>
          <c:marker>
            <c:symbol val="none"/>
          </c:marker>
          <c:cat>
            <c:numRef>
              <c:f>working!$B$2:$AO$2</c:f>
              <c:numCache>
                <c:formatCode>General</c:formatCode>
                <c:ptCount val="40"/>
                <c:pt idx="0">
                  <c:v>1981</c:v>
                </c:pt>
                <c:pt idx="1">
                  <c:v>1982</c:v>
                </c:pt>
                <c:pt idx="2">
                  <c:v>1983</c:v>
                </c:pt>
                <c:pt idx="3">
                  <c:v>1984</c:v>
                </c:pt>
                <c:pt idx="4">
                  <c:v>1985</c:v>
                </c:pt>
                <c:pt idx="5">
                  <c:v>1986</c:v>
                </c:pt>
                <c:pt idx="6">
                  <c:v>1987</c:v>
                </c:pt>
                <c:pt idx="7">
                  <c:v>1988</c:v>
                </c:pt>
                <c:pt idx="8">
                  <c:v>1989</c:v>
                </c:pt>
                <c:pt idx="9">
                  <c:v>1990</c:v>
                </c:pt>
                <c:pt idx="10">
                  <c:v>1991</c:v>
                </c:pt>
                <c:pt idx="11">
                  <c:v>1992</c:v>
                </c:pt>
                <c:pt idx="12">
                  <c:v>1993</c:v>
                </c:pt>
                <c:pt idx="13">
                  <c:v>1994</c:v>
                </c:pt>
                <c:pt idx="14">
                  <c:v>1995</c:v>
                </c:pt>
                <c:pt idx="15">
                  <c:v>1996</c:v>
                </c:pt>
                <c:pt idx="16">
                  <c:v>1997</c:v>
                </c:pt>
                <c:pt idx="17">
                  <c:v>1998</c:v>
                </c:pt>
                <c:pt idx="18">
                  <c:v>1999</c:v>
                </c:pt>
                <c:pt idx="19">
                  <c:v>2000</c:v>
                </c:pt>
                <c:pt idx="20">
                  <c:v>2001</c:v>
                </c:pt>
                <c:pt idx="21">
                  <c:v>2002</c:v>
                </c:pt>
                <c:pt idx="22">
                  <c:v>2003</c:v>
                </c:pt>
                <c:pt idx="23">
                  <c:v>2004</c:v>
                </c:pt>
                <c:pt idx="24">
                  <c:v>2005</c:v>
                </c:pt>
                <c:pt idx="25">
                  <c:v>2006</c:v>
                </c:pt>
                <c:pt idx="26">
                  <c:v>2007</c:v>
                </c:pt>
                <c:pt idx="27">
                  <c:v>2008</c:v>
                </c:pt>
                <c:pt idx="28">
                  <c:v>2009</c:v>
                </c:pt>
                <c:pt idx="29">
                  <c:v>2010</c:v>
                </c:pt>
                <c:pt idx="30">
                  <c:v>2011</c:v>
                </c:pt>
                <c:pt idx="31">
                  <c:v>2012</c:v>
                </c:pt>
                <c:pt idx="32">
                  <c:v>2013</c:v>
                </c:pt>
                <c:pt idx="33">
                  <c:v>2014</c:v>
                </c:pt>
                <c:pt idx="34">
                  <c:v>2015</c:v>
                </c:pt>
                <c:pt idx="35">
                  <c:v>2016</c:v>
                </c:pt>
                <c:pt idx="36">
                  <c:v>2017</c:v>
                </c:pt>
                <c:pt idx="37">
                  <c:v>2018</c:v>
                </c:pt>
                <c:pt idx="38">
                  <c:v>2019</c:v>
                </c:pt>
                <c:pt idx="39">
                  <c:v>2020</c:v>
                </c:pt>
              </c:numCache>
            </c:numRef>
          </c:cat>
          <c:val>
            <c:numRef>
              <c:f>working!$B$4:$AO$4</c:f>
              <c:numCache>
                <c:formatCode>0.0</c:formatCode>
                <c:ptCount val="40"/>
                <c:pt idx="0">
                  <c:v>50.919999999999995</c:v>
                </c:pt>
                <c:pt idx="1">
                  <c:v>49.53</c:v>
                </c:pt>
                <c:pt idx="2">
                  <c:v>48.269999999999996</c:v>
                </c:pt>
                <c:pt idx="3">
                  <c:v>47.63</c:v>
                </c:pt>
                <c:pt idx="4">
                  <c:v>49.43</c:v>
                </c:pt>
                <c:pt idx="5">
                  <c:v>49.76</c:v>
                </c:pt>
                <c:pt idx="6">
                  <c:v>48.58</c:v>
                </c:pt>
                <c:pt idx="7">
                  <c:v>41.29</c:v>
                </c:pt>
                <c:pt idx="8">
                  <c:v>41.34</c:v>
                </c:pt>
                <c:pt idx="9">
                  <c:v>41.45</c:v>
                </c:pt>
                <c:pt idx="10">
                  <c:v>41.81</c:v>
                </c:pt>
                <c:pt idx="11">
                  <c:v>42.519999999999996</c:v>
                </c:pt>
                <c:pt idx="12">
                  <c:v>42.56</c:v>
                </c:pt>
                <c:pt idx="13">
                  <c:v>42.58</c:v>
                </c:pt>
                <c:pt idx="14">
                  <c:v>42.86</c:v>
                </c:pt>
                <c:pt idx="15">
                  <c:v>42.94</c:v>
                </c:pt>
                <c:pt idx="16">
                  <c:v>42.94</c:v>
                </c:pt>
                <c:pt idx="17">
                  <c:v>42.94</c:v>
                </c:pt>
                <c:pt idx="18">
                  <c:v>42.870000000000005</c:v>
                </c:pt>
                <c:pt idx="19">
                  <c:v>42.43</c:v>
                </c:pt>
                <c:pt idx="20">
                  <c:v>40.479999999999997</c:v>
                </c:pt>
                <c:pt idx="21">
                  <c:v>38.020000000000003</c:v>
                </c:pt>
                <c:pt idx="22">
                  <c:v>35.869999999999997</c:v>
                </c:pt>
                <c:pt idx="23">
                  <c:v>34.380000000000003</c:v>
                </c:pt>
                <c:pt idx="24">
                  <c:v>34.18</c:v>
                </c:pt>
                <c:pt idx="25">
                  <c:v>33.93</c:v>
                </c:pt>
                <c:pt idx="26">
                  <c:v>33.950000000000003</c:v>
                </c:pt>
                <c:pt idx="27">
                  <c:v>31.4</c:v>
                </c:pt>
                <c:pt idx="28">
                  <c:v>30.9</c:v>
                </c:pt>
                <c:pt idx="29">
                  <c:v>29.4</c:v>
                </c:pt>
                <c:pt idx="30">
                  <c:v>27.7</c:v>
                </c:pt>
                <c:pt idx="31">
                  <c:v>26.1</c:v>
                </c:pt>
                <c:pt idx="32">
                  <c:v>26.2</c:v>
                </c:pt>
                <c:pt idx="33">
                  <c:v>26.2</c:v>
                </c:pt>
                <c:pt idx="34">
                  <c:v>26.7</c:v>
                </c:pt>
                <c:pt idx="35">
                  <c:v>26.7</c:v>
                </c:pt>
                <c:pt idx="36">
                  <c:v>26.65</c:v>
                </c:pt>
                <c:pt idx="37">
                  <c:v>26.78</c:v>
                </c:pt>
                <c:pt idx="38">
                  <c:v>26.62</c:v>
                </c:pt>
                <c:pt idx="39">
                  <c:v>26.47</c:v>
                </c:pt>
              </c:numCache>
            </c:numRef>
          </c:val>
          <c:smooth val="0"/>
          <c:extLst>
            <c:ext xmlns:c16="http://schemas.microsoft.com/office/drawing/2014/chart" uri="{C3380CC4-5D6E-409C-BE32-E72D297353CC}">
              <c16:uniqueId val="{00000001-F217-43BB-B982-0D0C2CF1A963}"/>
            </c:ext>
          </c:extLst>
        </c:ser>
        <c:ser>
          <c:idx val="2"/>
          <c:order val="2"/>
          <c:tx>
            <c:strRef>
              <c:f>working!$A$5</c:f>
              <c:strCache>
                <c:ptCount val="1"/>
                <c:pt idx="0">
                  <c:v>New Zealand</c:v>
                </c:pt>
              </c:strCache>
            </c:strRef>
          </c:tx>
          <c:spPr>
            <a:ln w="28575" cap="rnd">
              <a:solidFill>
                <a:schemeClr val="accent4"/>
              </a:solidFill>
              <a:round/>
            </a:ln>
            <a:effectLst/>
          </c:spPr>
          <c:marker>
            <c:symbol val="none"/>
          </c:marker>
          <c:cat>
            <c:numRef>
              <c:f>working!$B$2:$AO$2</c:f>
              <c:numCache>
                <c:formatCode>General</c:formatCode>
                <c:ptCount val="40"/>
                <c:pt idx="0">
                  <c:v>1981</c:v>
                </c:pt>
                <c:pt idx="1">
                  <c:v>1982</c:v>
                </c:pt>
                <c:pt idx="2">
                  <c:v>1983</c:v>
                </c:pt>
                <c:pt idx="3">
                  <c:v>1984</c:v>
                </c:pt>
                <c:pt idx="4">
                  <c:v>1985</c:v>
                </c:pt>
                <c:pt idx="5">
                  <c:v>1986</c:v>
                </c:pt>
                <c:pt idx="6">
                  <c:v>1987</c:v>
                </c:pt>
                <c:pt idx="7">
                  <c:v>1988</c:v>
                </c:pt>
                <c:pt idx="8">
                  <c:v>1989</c:v>
                </c:pt>
                <c:pt idx="9">
                  <c:v>1990</c:v>
                </c:pt>
                <c:pt idx="10">
                  <c:v>1991</c:v>
                </c:pt>
                <c:pt idx="11">
                  <c:v>1992</c:v>
                </c:pt>
                <c:pt idx="12">
                  <c:v>1993</c:v>
                </c:pt>
                <c:pt idx="13">
                  <c:v>1994</c:v>
                </c:pt>
                <c:pt idx="14">
                  <c:v>1995</c:v>
                </c:pt>
                <c:pt idx="15">
                  <c:v>1996</c:v>
                </c:pt>
                <c:pt idx="16">
                  <c:v>1997</c:v>
                </c:pt>
                <c:pt idx="17">
                  <c:v>1998</c:v>
                </c:pt>
                <c:pt idx="18">
                  <c:v>1999</c:v>
                </c:pt>
                <c:pt idx="19">
                  <c:v>2000</c:v>
                </c:pt>
                <c:pt idx="20">
                  <c:v>2001</c:v>
                </c:pt>
                <c:pt idx="21">
                  <c:v>2002</c:v>
                </c:pt>
                <c:pt idx="22">
                  <c:v>2003</c:v>
                </c:pt>
                <c:pt idx="23">
                  <c:v>2004</c:v>
                </c:pt>
                <c:pt idx="24">
                  <c:v>2005</c:v>
                </c:pt>
                <c:pt idx="25">
                  <c:v>2006</c:v>
                </c:pt>
                <c:pt idx="26">
                  <c:v>2007</c:v>
                </c:pt>
                <c:pt idx="27">
                  <c:v>2008</c:v>
                </c:pt>
                <c:pt idx="28">
                  <c:v>2009</c:v>
                </c:pt>
                <c:pt idx="29">
                  <c:v>2010</c:v>
                </c:pt>
                <c:pt idx="30">
                  <c:v>2011</c:v>
                </c:pt>
                <c:pt idx="31">
                  <c:v>2012</c:v>
                </c:pt>
                <c:pt idx="32">
                  <c:v>2013</c:v>
                </c:pt>
                <c:pt idx="33">
                  <c:v>2014</c:v>
                </c:pt>
                <c:pt idx="34">
                  <c:v>2015</c:v>
                </c:pt>
                <c:pt idx="35">
                  <c:v>2016</c:v>
                </c:pt>
                <c:pt idx="36">
                  <c:v>2017</c:v>
                </c:pt>
                <c:pt idx="37">
                  <c:v>2018</c:v>
                </c:pt>
                <c:pt idx="38">
                  <c:v>2019</c:v>
                </c:pt>
                <c:pt idx="39">
                  <c:v>2020</c:v>
                </c:pt>
              </c:numCache>
            </c:numRef>
          </c:cat>
          <c:val>
            <c:numRef>
              <c:f>working!$B$5:$AO$5</c:f>
              <c:numCache>
                <c:formatCode>0.0</c:formatCode>
                <c:ptCount val="40"/>
                <c:pt idx="0">
                  <c:v>45</c:v>
                </c:pt>
                <c:pt idx="1">
                  <c:v>45</c:v>
                </c:pt>
                <c:pt idx="2">
                  <c:v>45</c:v>
                </c:pt>
                <c:pt idx="3">
                  <c:v>45</c:v>
                </c:pt>
                <c:pt idx="4">
                  <c:v>45</c:v>
                </c:pt>
                <c:pt idx="5">
                  <c:v>48</c:v>
                </c:pt>
                <c:pt idx="6">
                  <c:v>48</c:v>
                </c:pt>
                <c:pt idx="7">
                  <c:v>28</c:v>
                </c:pt>
                <c:pt idx="8">
                  <c:v>33</c:v>
                </c:pt>
                <c:pt idx="9">
                  <c:v>33</c:v>
                </c:pt>
                <c:pt idx="10">
                  <c:v>33</c:v>
                </c:pt>
                <c:pt idx="11">
                  <c:v>33</c:v>
                </c:pt>
                <c:pt idx="12">
                  <c:v>33</c:v>
                </c:pt>
                <c:pt idx="13">
                  <c:v>33</c:v>
                </c:pt>
                <c:pt idx="14">
                  <c:v>33</c:v>
                </c:pt>
                <c:pt idx="15">
                  <c:v>33</c:v>
                </c:pt>
                <c:pt idx="16">
                  <c:v>33</c:v>
                </c:pt>
                <c:pt idx="17">
                  <c:v>33</c:v>
                </c:pt>
                <c:pt idx="18">
                  <c:v>33</c:v>
                </c:pt>
                <c:pt idx="19">
                  <c:v>33</c:v>
                </c:pt>
                <c:pt idx="20">
                  <c:v>33</c:v>
                </c:pt>
                <c:pt idx="21">
                  <c:v>33</c:v>
                </c:pt>
                <c:pt idx="22">
                  <c:v>33</c:v>
                </c:pt>
                <c:pt idx="23">
                  <c:v>33</c:v>
                </c:pt>
                <c:pt idx="24">
                  <c:v>33</c:v>
                </c:pt>
                <c:pt idx="25">
                  <c:v>33</c:v>
                </c:pt>
                <c:pt idx="26">
                  <c:v>33</c:v>
                </c:pt>
                <c:pt idx="27">
                  <c:v>30</c:v>
                </c:pt>
                <c:pt idx="28">
                  <c:v>30</c:v>
                </c:pt>
                <c:pt idx="29">
                  <c:v>30</c:v>
                </c:pt>
                <c:pt idx="30">
                  <c:v>28</c:v>
                </c:pt>
                <c:pt idx="31">
                  <c:v>28</c:v>
                </c:pt>
                <c:pt idx="32">
                  <c:v>28</c:v>
                </c:pt>
                <c:pt idx="33">
                  <c:v>28</c:v>
                </c:pt>
                <c:pt idx="34">
                  <c:v>28</c:v>
                </c:pt>
                <c:pt idx="35">
                  <c:v>28</c:v>
                </c:pt>
                <c:pt idx="36">
                  <c:v>28</c:v>
                </c:pt>
                <c:pt idx="37">
                  <c:v>28</c:v>
                </c:pt>
                <c:pt idx="38">
                  <c:v>28</c:v>
                </c:pt>
                <c:pt idx="39">
                  <c:v>28</c:v>
                </c:pt>
              </c:numCache>
            </c:numRef>
          </c:val>
          <c:smooth val="0"/>
          <c:extLst>
            <c:ext xmlns:c16="http://schemas.microsoft.com/office/drawing/2014/chart" uri="{C3380CC4-5D6E-409C-BE32-E72D297353CC}">
              <c16:uniqueId val="{00000002-F217-43BB-B982-0D0C2CF1A963}"/>
            </c:ext>
          </c:extLst>
        </c:ser>
        <c:ser>
          <c:idx val="3"/>
          <c:order val="3"/>
          <c:tx>
            <c:strRef>
              <c:f>working!$A$6</c:f>
              <c:strCache>
                <c:ptCount val="1"/>
                <c:pt idx="0">
                  <c:v>United Kingdom</c:v>
                </c:pt>
              </c:strCache>
            </c:strRef>
          </c:tx>
          <c:spPr>
            <a:ln w="28575" cap="rnd">
              <a:solidFill>
                <a:schemeClr val="accent6">
                  <a:lumMod val="60000"/>
                </a:schemeClr>
              </a:solidFill>
              <a:round/>
            </a:ln>
            <a:effectLst/>
          </c:spPr>
          <c:marker>
            <c:symbol val="none"/>
          </c:marker>
          <c:cat>
            <c:numRef>
              <c:f>working!$B$2:$AO$2</c:f>
              <c:numCache>
                <c:formatCode>General</c:formatCode>
                <c:ptCount val="40"/>
                <c:pt idx="0">
                  <c:v>1981</c:v>
                </c:pt>
                <c:pt idx="1">
                  <c:v>1982</c:v>
                </c:pt>
                <c:pt idx="2">
                  <c:v>1983</c:v>
                </c:pt>
                <c:pt idx="3">
                  <c:v>1984</c:v>
                </c:pt>
                <c:pt idx="4">
                  <c:v>1985</c:v>
                </c:pt>
                <c:pt idx="5">
                  <c:v>1986</c:v>
                </c:pt>
                <c:pt idx="6">
                  <c:v>1987</c:v>
                </c:pt>
                <c:pt idx="7">
                  <c:v>1988</c:v>
                </c:pt>
                <c:pt idx="8">
                  <c:v>1989</c:v>
                </c:pt>
                <c:pt idx="9">
                  <c:v>1990</c:v>
                </c:pt>
                <c:pt idx="10">
                  <c:v>1991</c:v>
                </c:pt>
                <c:pt idx="11">
                  <c:v>1992</c:v>
                </c:pt>
                <c:pt idx="12">
                  <c:v>1993</c:v>
                </c:pt>
                <c:pt idx="13">
                  <c:v>1994</c:v>
                </c:pt>
                <c:pt idx="14">
                  <c:v>1995</c:v>
                </c:pt>
                <c:pt idx="15">
                  <c:v>1996</c:v>
                </c:pt>
                <c:pt idx="16">
                  <c:v>1997</c:v>
                </c:pt>
                <c:pt idx="17">
                  <c:v>1998</c:v>
                </c:pt>
                <c:pt idx="18">
                  <c:v>1999</c:v>
                </c:pt>
                <c:pt idx="19">
                  <c:v>2000</c:v>
                </c:pt>
                <c:pt idx="20">
                  <c:v>2001</c:v>
                </c:pt>
                <c:pt idx="21">
                  <c:v>2002</c:v>
                </c:pt>
                <c:pt idx="22">
                  <c:v>2003</c:v>
                </c:pt>
                <c:pt idx="23">
                  <c:v>2004</c:v>
                </c:pt>
                <c:pt idx="24">
                  <c:v>2005</c:v>
                </c:pt>
                <c:pt idx="25">
                  <c:v>2006</c:v>
                </c:pt>
                <c:pt idx="26">
                  <c:v>2007</c:v>
                </c:pt>
                <c:pt idx="27">
                  <c:v>2008</c:v>
                </c:pt>
                <c:pt idx="28">
                  <c:v>2009</c:v>
                </c:pt>
                <c:pt idx="29">
                  <c:v>2010</c:v>
                </c:pt>
                <c:pt idx="30">
                  <c:v>2011</c:v>
                </c:pt>
                <c:pt idx="31">
                  <c:v>2012</c:v>
                </c:pt>
                <c:pt idx="32">
                  <c:v>2013</c:v>
                </c:pt>
                <c:pt idx="33">
                  <c:v>2014</c:v>
                </c:pt>
                <c:pt idx="34">
                  <c:v>2015</c:v>
                </c:pt>
                <c:pt idx="35">
                  <c:v>2016</c:v>
                </c:pt>
                <c:pt idx="36">
                  <c:v>2017</c:v>
                </c:pt>
                <c:pt idx="37">
                  <c:v>2018</c:v>
                </c:pt>
                <c:pt idx="38">
                  <c:v>2019</c:v>
                </c:pt>
                <c:pt idx="39">
                  <c:v>2020</c:v>
                </c:pt>
              </c:numCache>
            </c:numRef>
          </c:cat>
          <c:val>
            <c:numRef>
              <c:f>working!$B$6:$AO$6</c:f>
              <c:numCache>
                <c:formatCode>0.0</c:formatCode>
                <c:ptCount val="40"/>
                <c:pt idx="0">
                  <c:v>52</c:v>
                </c:pt>
                <c:pt idx="1">
                  <c:v>52</c:v>
                </c:pt>
                <c:pt idx="2">
                  <c:v>50</c:v>
                </c:pt>
                <c:pt idx="3">
                  <c:v>45</c:v>
                </c:pt>
                <c:pt idx="4">
                  <c:v>40</c:v>
                </c:pt>
                <c:pt idx="5">
                  <c:v>35</c:v>
                </c:pt>
                <c:pt idx="6">
                  <c:v>35</c:v>
                </c:pt>
                <c:pt idx="7">
                  <c:v>35</c:v>
                </c:pt>
                <c:pt idx="8">
                  <c:v>35</c:v>
                </c:pt>
                <c:pt idx="9">
                  <c:v>34</c:v>
                </c:pt>
                <c:pt idx="10">
                  <c:v>33</c:v>
                </c:pt>
                <c:pt idx="11">
                  <c:v>33</c:v>
                </c:pt>
                <c:pt idx="12">
                  <c:v>33</c:v>
                </c:pt>
                <c:pt idx="13">
                  <c:v>33</c:v>
                </c:pt>
                <c:pt idx="14">
                  <c:v>33</c:v>
                </c:pt>
                <c:pt idx="15">
                  <c:v>33</c:v>
                </c:pt>
                <c:pt idx="16">
                  <c:v>31</c:v>
                </c:pt>
                <c:pt idx="17">
                  <c:v>31</c:v>
                </c:pt>
                <c:pt idx="18">
                  <c:v>30</c:v>
                </c:pt>
                <c:pt idx="19">
                  <c:v>30</c:v>
                </c:pt>
                <c:pt idx="20">
                  <c:v>30</c:v>
                </c:pt>
                <c:pt idx="21">
                  <c:v>30</c:v>
                </c:pt>
                <c:pt idx="22">
                  <c:v>30</c:v>
                </c:pt>
                <c:pt idx="23">
                  <c:v>30</c:v>
                </c:pt>
                <c:pt idx="24">
                  <c:v>30</c:v>
                </c:pt>
                <c:pt idx="25">
                  <c:v>30</c:v>
                </c:pt>
                <c:pt idx="26">
                  <c:v>30</c:v>
                </c:pt>
                <c:pt idx="27">
                  <c:v>28</c:v>
                </c:pt>
                <c:pt idx="28">
                  <c:v>28</c:v>
                </c:pt>
                <c:pt idx="29">
                  <c:v>28</c:v>
                </c:pt>
                <c:pt idx="30">
                  <c:v>26</c:v>
                </c:pt>
                <c:pt idx="31">
                  <c:v>24</c:v>
                </c:pt>
                <c:pt idx="32">
                  <c:v>23</c:v>
                </c:pt>
                <c:pt idx="33">
                  <c:v>21</c:v>
                </c:pt>
                <c:pt idx="34">
                  <c:v>20</c:v>
                </c:pt>
                <c:pt idx="35">
                  <c:v>20</c:v>
                </c:pt>
                <c:pt idx="36">
                  <c:v>19</c:v>
                </c:pt>
                <c:pt idx="37">
                  <c:v>19</c:v>
                </c:pt>
                <c:pt idx="38">
                  <c:v>19</c:v>
                </c:pt>
                <c:pt idx="39">
                  <c:v>19</c:v>
                </c:pt>
              </c:numCache>
            </c:numRef>
          </c:val>
          <c:smooth val="0"/>
          <c:extLst>
            <c:ext xmlns:c16="http://schemas.microsoft.com/office/drawing/2014/chart" uri="{C3380CC4-5D6E-409C-BE32-E72D297353CC}">
              <c16:uniqueId val="{00000003-F217-43BB-B982-0D0C2CF1A963}"/>
            </c:ext>
          </c:extLst>
        </c:ser>
        <c:ser>
          <c:idx val="4"/>
          <c:order val="4"/>
          <c:tx>
            <c:strRef>
              <c:f>working!$A$7</c:f>
              <c:strCache>
                <c:ptCount val="1"/>
                <c:pt idx="0">
                  <c:v>United States</c:v>
                </c:pt>
              </c:strCache>
            </c:strRef>
          </c:tx>
          <c:spPr>
            <a:ln w="28575" cap="rnd">
              <a:solidFill>
                <a:schemeClr val="accent5">
                  <a:lumMod val="60000"/>
                </a:schemeClr>
              </a:solidFill>
              <a:round/>
            </a:ln>
            <a:effectLst/>
          </c:spPr>
          <c:marker>
            <c:symbol val="none"/>
          </c:marker>
          <c:cat>
            <c:numRef>
              <c:f>working!$B$2:$AO$2</c:f>
              <c:numCache>
                <c:formatCode>General</c:formatCode>
                <c:ptCount val="40"/>
                <c:pt idx="0">
                  <c:v>1981</c:v>
                </c:pt>
                <c:pt idx="1">
                  <c:v>1982</c:v>
                </c:pt>
                <c:pt idx="2">
                  <c:v>1983</c:v>
                </c:pt>
                <c:pt idx="3">
                  <c:v>1984</c:v>
                </c:pt>
                <c:pt idx="4">
                  <c:v>1985</c:v>
                </c:pt>
                <c:pt idx="5">
                  <c:v>1986</c:v>
                </c:pt>
                <c:pt idx="6">
                  <c:v>1987</c:v>
                </c:pt>
                <c:pt idx="7">
                  <c:v>1988</c:v>
                </c:pt>
                <c:pt idx="8">
                  <c:v>1989</c:v>
                </c:pt>
                <c:pt idx="9">
                  <c:v>1990</c:v>
                </c:pt>
                <c:pt idx="10">
                  <c:v>1991</c:v>
                </c:pt>
                <c:pt idx="11">
                  <c:v>1992</c:v>
                </c:pt>
                <c:pt idx="12">
                  <c:v>1993</c:v>
                </c:pt>
                <c:pt idx="13">
                  <c:v>1994</c:v>
                </c:pt>
                <c:pt idx="14">
                  <c:v>1995</c:v>
                </c:pt>
                <c:pt idx="15">
                  <c:v>1996</c:v>
                </c:pt>
                <c:pt idx="16">
                  <c:v>1997</c:v>
                </c:pt>
                <c:pt idx="17">
                  <c:v>1998</c:v>
                </c:pt>
                <c:pt idx="18">
                  <c:v>1999</c:v>
                </c:pt>
                <c:pt idx="19">
                  <c:v>2000</c:v>
                </c:pt>
                <c:pt idx="20">
                  <c:v>2001</c:v>
                </c:pt>
                <c:pt idx="21">
                  <c:v>2002</c:v>
                </c:pt>
                <c:pt idx="22">
                  <c:v>2003</c:v>
                </c:pt>
                <c:pt idx="23">
                  <c:v>2004</c:v>
                </c:pt>
                <c:pt idx="24">
                  <c:v>2005</c:v>
                </c:pt>
                <c:pt idx="25">
                  <c:v>2006</c:v>
                </c:pt>
                <c:pt idx="26">
                  <c:v>2007</c:v>
                </c:pt>
                <c:pt idx="27">
                  <c:v>2008</c:v>
                </c:pt>
                <c:pt idx="28">
                  <c:v>2009</c:v>
                </c:pt>
                <c:pt idx="29">
                  <c:v>2010</c:v>
                </c:pt>
                <c:pt idx="30">
                  <c:v>2011</c:v>
                </c:pt>
                <c:pt idx="31">
                  <c:v>2012</c:v>
                </c:pt>
                <c:pt idx="32">
                  <c:v>2013</c:v>
                </c:pt>
                <c:pt idx="33">
                  <c:v>2014</c:v>
                </c:pt>
                <c:pt idx="34">
                  <c:v>2015</c:v>
                </c:pt>
                <c:pt idx="35">
                  <c:v>2016</c:v>
                </c:pt>
                <c:pt idx="36">
                  <c:v>2017</c:v>
                </c:pt>
                <c:pt idx="37">
                  <c:v>2018</c:v>
                </c:pt>
                <c:pt idx="38">
                  <c:v>2019</c:v>
                </c:pt>
                <c:pt idx="39">
                  <c:v>2020</c:v>
                </c:pt>
              </c:numCache>
            </c:numRef>
          </c:cat>
          <c:val>
            <c:numRef>
              <c:f>working!$B$7:$AO$7</c:f>
              <c:numCache>
                <c:formatCode>0.0</c:formatCode>
                <c:ptCount val="40"/>
                <c:pt idx="0">
                  <c:v>49.699000000000005</c:v>
                </c:pt>
                <c:pt idx="1">
                  <c:v>49.699000000000005</c:v>
                </c:pt>
                <c:pt idx="2">
                  <c:v>49.834000000000003</c:v>
                </c:pt>
                <c:pt idx="3">
                  <c:v>49.785399999999996</c:v>
                </c:pt>
                <c:pt idx="4">
                  <c:v>49.785399999999996</c:v>
                </c:pt>
                <c:pt idx="5">
                  <c:v>49.8232</c:v>
                </c:pt>
                <c:pt idx="6">
                  <c:v>44.176000000000002</c:v>
                </c:pt>
                <c:pt idx="7">
                  <c:v>38.593600000000002</c:v>
                </c:pt>
                <c:pt idx="8">
                  <c:v>38.666200000000003</c:v>
                </c:pt>
                <c:pt idx="9">
                  <c:v>38.652999999999999</c:v>
                </c:pt>
                <c:pt idx="10">
                  <c:v>38.850999999999999</c:v>
                </c:pt>
                <c:pt idx="11">
                  <c:v>38.864199999999997</c:v>
                </c:pt>
                <c:pt idx="12">
                  <c:v>39.7515</c:v>
                </c:pt>
                <c:pt idx="13">
                  <c:v>39.686500000000002</c:v>
                </c:pt>
                <c:pt idx="14">
                  <c:v>39.608500000000006</c:v>
                </c:pt>
                <c:pt idx="15">
                  <c:v>39.530499999999996</c:v>
                </c:pt>
                <c:pt idx="16">
                  <c:v>39.452500000000001</c:v>
                </c:pt>
                <c:pt idx="17">
                  <c:v>39.439499999999995</c:v>
                </c:pt>
                <c:pt idx="18">
                  <c:v>39.393999999999998</c:v>
                </c:pt>
                <c:pt idx="19">
                  <c:v>39.340000000000003</c:v>
                </c:pt>
                <c:pt idx="20">
                  <c:v>39.271000000000001</c:v>
                </c:pt>
                <c:pt idx="21">
                  <c:v>39.296999999999997</c:v>
                </c:pt>
                <c:pt idx="22">
                  <c:v>39.323</c:v>
                </c:pt>
                <c:pt idx="23">
                  <c:v>39.316000000000003</c:v>
                </c:pt>
                <c:pt idx="24">
                  <c:v>39.29</c:v>
                </c:pt>
                <c:pt idx="25">
                  <c:v>39.302999999999997</c:v>
                </c:pt>
                <c:pt idx="26">
                  <c:v>39.271000000000001</c:v>
                </c:pt>
                <c:pt idx="27">
                  <c:v>39.250999999999998</c:v>
                </c:pt>
                <c:pt idx="28">
                  <c:v>39.159999999999997</c:v>
                </c:pt>
                <c:pt idx="29">
                  <c:v>39.206000000000003</c:v>
                </c:pt>
                <c:pt idx="30">
                  <c:v>39.192999999999998</c:v>
                </c:pt>
                <c:pt idx="31">
                  <c:v>39.134</c:v>
                </c:pt>
                <c:pt idx="32">
                  <c:v>39.049999999999997</c:v>
                </c:pt>
                <c:pt idx="33">
                  <c:v>39.076000000000001</c:v>
                </c:pt>
                <c:pt idx="34">
                  <c:v>38.997999999999998</c:v>
                </c:pt>
                <c:pt idx="35">
                  <c:v>38.923999999999999</c:v>
                </c:pt>
                <c:pt idx="36">
                  <c:v>38.905999999999999</c:v>
                </c:pt>
                <c:pt idx="37">
                  <c:v>25.838999999999999</c:v>
                </c:pt>
                <c:pt idx="38">
                  <c:v>25.885999999999999</c:v>
                </c:pt>
                <c:pt idx="39">
                  <c:v>25.766999999999999</c:v>
                </c:pt>
              </c:numCache>
            </c:numRef>
          </c:val>
          <c:smooth val="0"/>
          <c:extLst>
            <c:ext xmlns:c16="http://schemas.microsoft.com/office/drawing/2014/chart" uri="{C3380CC4-5D6E-409C-BE32-E72D297353CC}">
              <c16:uniqueId val="{00000004-F217-43BB-B982-0D0C2CF1A963}"/>
            </c:ext>
          </c:extLst>
        </c:ser>
        <c:ser>
          <c:idx val="5"/>
          <c:order val="5"/>
          <c:tx>
            <c:strRef>
              <c:f>working!$A$8</c:f>
              <c:strCache>
                <c:ptCount val="1"/>
                <c:pt idx="0">
                  <c:v>OECD unweighted average</c:v>
                </c:pt>
              </c:strCache>
            </c:strRef>
          </c:tx>
          <c:spPr>
            <a:ln w="28575" cap="rnd">
              <a:solidFill>
                <a:schemeClr val="accent4">
                  <a:lumMod val="60000"/>
                </a:schemeClr>
              </a:solidFill>
              <a:prstDash val="sysDash"/>
              <a:round/>
            </a:ln>
            <a:effectLst/>
          </c:spPr>
          <c:marker>
            <c:symbol val="none"/>
          </c:marker>
          <c:cat>
            <c:numRef>
              <c:f>working!$B$2:$AO$2</c:f>
              <c:numCache>
                <c:formatCode>General</c:formatCode>
                <c:ptCount val="40"/>
                <c:pt idx="0">
                  <c:v>1981</c:v>
                </c:pt>
                <c:pt idx="1">
                  <c:v>1982</c:v>
                </c:pt>
                <c:pt idx="2">
                  <c:v>1983</c:v>
                </c:pt>
                <c:pt idx="3">
                  <c:v>1984</c:v>
                </c:pt>
                <c:pt idx="4">
                  <c:v>1985</c:v>
                </c:pt>
                <c:pt idx="5">
                  <c:v>1986</c:v>
                </c:pt>
                <c:pt idx="6">
                  <c:v>1987</c:v>
                </c:pt>
                <c:pt idx="7">
                  <c:v>1988</c:v>
                </c:pt>
                <c:pt idx="8">
                  <c:v>1989</c:v>
                </c:pt>
                <c:pt idx="9">
                  <c:v>1990</c:v>
                </c:pt>
                <c:pt idx="10">
                  <c:v>1991</c:v>
                </c:pt>
                <c:pt idx="11">
                  <c:v>1992</c:v>
                </c:pt>
                <c:pt idx="12">
                  <c:v>1993</c:v>
                </c:pt>
                <c:pt idx="13">
                  <c:v>1994</c:v>
                </c:pt>
                <c:pt idx="14">
                  <c:v>1995</c:v>
                </c:pt>
                <c:pt idx="15">
                  <c:v>1996</c:v>
                </c:pt>
                <c:pt idx="16">
                  <c:v>1997</c:v>
                </c:pt>
                <c:pt idx="17">
                  <c:v>1998</c:v>
                </c:pt>
                <c:pt idx="18">
                  <c:v>1999</c:v>
                </c:pt>
                <c:pt idx="19">
                  <c:v>2000</c:v>
                </c:pt>
                <c:pt idx="20">
                  <c:v>2001</c:v>
                </c:pt>
                <c:pt idx="21">
                  <c:v>2002</c:v>
                </c:pt>
                <c:pt idx="22">
                  <c:v>2003</c:v>
                </c:pt>
                <c:pt idx="23">
                  <c:v>2004</c:v>
                </c:pt>
                <c:pt idx="24">
                  <c:v>2005</c:v>
                </c:pt>
                <c:pt idx="25">
                  <c:v>2006</c:v>
                </c:pt>
                <c:pt idx="26">
                  <c:v>2007</c:v>
                </c:pt>
                <c:pt idx="27">
                  <c:v>2008</c:v>
                </c:pt>
                <c:pt idx="28">
                  <c:v>2009</c:v>
                </c:pt>
                <c:pt idx="29">
                  <c:v>2010</c:v>
                </c:pt>
                <c:pt idx="30">
                  <c:v>2011</c:v>
                </c:pt>
                <c:pt idx="31">
                  <c:v>2012</c:v>
                </c:pt>
                <c:pt idx="32">
                  <c:v>2013</c:v>
                </c:pt>
                <c:pt idx="33">
                  <c:v>2014</c:v>
                </c:pt>
                <c:pt idx="34">
                  <c:v>2015</c:v>
                </c:pt>
                <c:pt idx="35">
                  <c:v>2016</c:v>
                </c:pt>
                <c:pt idx="36">
                  <c:v>2017</c:v>
                </c:pt>
                <c:pt idx="37">
                  <c:v>2018</c:v>
                </c:pt>
                <c:pt idx="38">
                  <c:v>2019</c:v>
                </c:pt>
                <c:pt idx="39">
                  <c:v>2020</c:v>
                </c:pt>
              </c:numCache>
            </c:numRef>
          </c:cat>
          <c:val>
            <c:numRef>
              <c:f>working!$B$8:$AO$8</c:f>
              <c:numCache>
                <c:formatCode>0.0</c:formatCode>
                <c:ptCount val="40"/>
                <c:pt idx="0">
                  <c:v>47.450863479052813</c:v>
                </c:pt>
                <c:pt idx="1">
                  <c:v>48.032727122907446</c:v>
                </c:pt>
                <c:pt idx="2">
                  <c:v>47.847613479052825</c:v>
                </c:pt>
                <c:pt idx="3">
                  <c:v>47.711977153265671</c:v>
                </c:pt>
                <c:pt idx="4">
                  <c:v>48.178643819932347</c:v>
                </c:pt>
                <c:pt idx="5">
                  <c:v>47.230817659814377</c:v>
                </c:pt>
                <c:pt idx="6">
                  <c:v>46.567180692167582</c:v>
                </c:pt>
                <c:pt idx="7">
                  <c:v>43.998915883424402</c:v>
                </c:pt>
                <c:pt idx="8">
                  <c:v>42.661488143732406</c:v>
                </c:pt>
                <c:pt idx="9">
                  <c:v>41.046738856850759</c:v>
                </c:pt>
                <c:pt idx="10">
                  <c:v>39.557044116578588</c:v>
                </c:pt>
                <c:pt idx="11">
                  <c:v>38.05628054952296</c:v>
                </c:pt>
                <c:pt idx="12">
                  <c:v>37.630000954937309</c:v>
                </c:pt>
                <c:pt idx="13">
                  <c:v>37.084123028515904</c:v>
                </c:pt>
                <c:pt idx="14">
                  <c:v>36.237729908076318</c:v>
                </c:pt>
                <c:pt idx="15">
                  <c:v>36.193778933929686</c:v>
                </c:pt>
                <c:pt idx="16">
                  <c:v>36.181103748352825</c:v>
                </c:pt>
                <c:pt idx="17">
                  <c:v>35.243356593304803</c:v>
                </c:pt>
                <c:pt idx="18">
                  <c:v>34.458263895418845</c:v>
                </c:pt>
                <c:pt idx="19">
                  <c:v>32.319189189189188</c:v>
                </c:pt>
                <c:pt idx="20">
                  <c:v>31.4427027027027</c:v>
                </c:pt>
                <c:pt idx="21">
                  <c:v>30.143729729729728</c:v>
                </c:pt>
                <c:pt idx="22">
                  <c:v>29.643270270270275</c:v>
                </c:pt>
                <c:pt idx="23">
                  <c:v>28.822270270270277</c:v>
                </c:pt>
                <c:pt idx="24">
                  <c:v>27.831702702702707</c:v>
                </c:pt>
                <c:pt idx="25">
                  <c:v>27.398054054054057</c:v>
                </c:pt>
                <c:pt idx="26">
                  <c:v>26.709378378378378</c:v>
                </c:pt>
                <c:pt idx="27">
                  <c:v>25.654594594594592</c:v>
                </c:pt>
                <c:pt idx="28">
                  <c:v>25.528486486486486</c:v>
                </c:pt>
                <c:pt idx="29">
                  <c:v>25.357216216216216</c:v>
                </c:pt>
                <c:pt idx="30">
                  <c:v>25.295783783783779</c:v>
                </c:pt>
                <c:pt idx="31">
                  <c:v>25.208297297297296</c:v>
                </c:pt>
                <c:pt idx="32">
                  <c:v>25.330621621621621</c:v>
                </c:pt>
                <c:pt idx="33">
                  <c:v>25.157324324324325</c:v>
                </c:pt>
                <c:pt idx="34">
                  <c:v>25.106378378378384</c:v>
                </c:pt>
                <c:pt idx="35">
                  <c:v>24.802567567567568</c:v>
                </c:pt>
                <c:pt idx="36">
                  <c:v>24.623486486486485</c:v>
                </c:pt>
                <c:pt idx="37">
                  <c:v>24.046783783783784</c:v>
                </c:pt>
                <c:pt idx="38">
                  <c:v>23.728324324324323</c:v>
                </c:pt>
                <c:pt idx="39">
                  <c:v>23.505216216216219</c:v>
                </c:pt>
              </c:numCache>
            </c:numRef>
          </c:val>
          <c:smooth val="0"/>
          <c:extLst>
            <c:ext xmlns:c16="http://schemas.microsoft.com/office/drawing/2014/chart" uri="{C3380CC4-5D6E-409C-BE32-E72D297353CC}">
              <c16:uniqueId val="{00000005-F217-43BB-B982-0D0C2CF1A963}"/>
            </c:ext>
          </c:extLst>
        </c:ser>
        <c:ser>
          <c:idx val="6"/>
          <c:order val="6"/>
          <c:tx>
            <c:strRef>
              <c:f>working!$A$9</c:f>
              <c:strCache>
                <c:ptCount val="1"/>
                <c:pt idx="0">
                  <c:v>OECD weighted average</c:v>
                </c:pt>
              </c:strCache>
            </c:strRef>
          </c:tx>
          <c:spPr>
            <a:ln w="28575" cap="rnd">
              <a:solidFill>
                <a:schemeClr val="accent6">
                  <a:lumMod val="80000"/>
                  <a:lumOff val="20000"/>
                </a:schemeClr>
              </a:solidFill>
              <a:prstDash val="sysDash"/>
              <a:round/>
            </a:ln>
            <a:effectLst/>
          </c:spPr>
          <c:marker>
            <c:symbol val="none"/>
          </c:marker>
          <c:cat>
            <c:numRef>
              <c:f>working!$B$2:$AO$2</c:f>
              <c:numCache>
                <c:formatCode>General</c:formatCode>
                <c:ptCount val="40"/>
                <c:pt idx="0">
                  <c:v>1981</c:v>
                </c:pt>
                <c:pt idx="1">
                  <c:v>1982</c:v>
                </c:pt>
                <c:pt idx="2">
                  <c:v>1983</c:v>
                </c:pt>
                <c:pt idx="3">
                  <c:v>1984</c:v>
                </c:pt>
                <c:pt idx="4">
                  <c:v>1985</c:v>
                </c:pt>
                <c:pt idx="5">
                  <c:v>1986</c:v>
                </c:pt>
                <c:pt idx="6">
                  <c:v>1987</c:v>
                </c:pt>
                <c:pt idx="7">
                  <c:v>1988</c:v>
                </c:pt>
                <c:pt idx="8">
                  <c:v>1989</c:v>
                </c:pt>
                <c:pt idx="9">
                  <c:v>1990</c:v>
                </c:pt>
                <c:pt idx="10">
                  <c:v>1991</c:v>
                </c:pt>
                <c:pt idx="11">
                  <c:v>1992</c:v>
                </c:pt>
                <c:pt idx="12">
                  <c:v>1993</c:v>
                </c:pt>
                <c:pt idx="13">
                  <c:v>1994</c:v>
                </c:pt>
                <c:pt idx="14">
                  <c:v>1995</c:v>
                </c:pt>
                <c:pt idx="15">
                  <c:v>1996</c:v>
                </c:pt>
                <c:pt idx="16">
                  <c:v>1997</c:v>
                </c:pt>
                <c:pt idx="17">
                  <c:v>1998</c:v>
                </c:pt>
                <c:pt idx="18">
                  <c:v>1999</c:v>
                </c:pt>
                <c:pt idx="19">
                  <c:v>2000</c:v>
                </c:pt>
                <c:pt idx="20">
                  <c:v>2001</c:v>
                </c:pt>
                <c:pt idx="21">
                  <c:v>2002</c:v>
                </c:pt>
                <c:pt idx="22">
                  <c:v>2003</c:v>
                </c:pt>
                <c:pt idx="23">
                  <c:v>2004</c:v>
                </c:pt>
                <c:pt idx="24">
                  <c:v>2005</c:v>
                </c:pt>
                <c:pt idx="25">
                  <c:v>2006</c:v>
                </c:pt>
                <c:pt idx="26">
                  <c:v>2007</c:v>
                </c:pt>
                <c:pt idx="27">
                  <c:v>2008</c:v>
                </c:pt>
                <c:pt idx="28">
                  <c:v>2009</c:v>
                </c:pt>
                <c:pt idx="29">
                  <c:v>2010</c:v>
                </c:pt>
                <c:pt idx="30">
                  <c:v>2011</c:v>
                </c:pt>
                <c:pt idx="31">
                  <c:v>2012</c:v>
                </c:pt>
                <c:pt idx="32">
                  <c:v>2013</c:v>
                </c:pt>
                <c:pt idx="33">
                  <c:v>2014</c:v>
                </c:pt>
                <c:pt idx="34">
                  <c:v>2015</c:v>
                </c:pt>
                <c:pt idx="35">
                  <c:v>2016</c:v>
                </c:pt>
                <c:pt idx="36">
                  <c:v>2017</c:v>
                </c:pt>
                <c:pt idx="37">
                  <c:v>2018</c:v>
                </c:pt>
                <c:pt idx="38">
                  <c:v>2019</c:v>
                </c:pt>
                <c:pt idx="39">
                  <c:v>2020</c:v>
                </c:pt>
              </c:numCache>
            </c:numRef>
          </c:cat>
          <c:val>
            <c:numRef>
              <c:f>working!$B$9:$AO$9</c:f>
              <c:numCache>
                <c:formatCode>0.0</c:formatCode>
                <c:ptCount val="40"/>
                <c:pt idx="0">
                  <c:v>40.249582071288849</c:v>
                </c:pt>
                <c:pt idx="1">
                  <c:v>40.591151272103374</c:v>
                </c:pt>
                <c:pt idx="2">
                  <c:v>40.356743387659598</c:v>
                </c:pt>
                <c:pt idx="3">
                  <c:v>40.33049992567075</c:v>
                </c:pt>
                <c:pt idx="4">
                  <c:v>40.068954833452139</c:v>
                </c:pt>
                <c:pt idx="5">
                  <c:v>39.240020067732416</c:v>
                </c:pt>
                <c:pt idx="6">
                  <c:v>36.642390538101964</c:v>
                </c:pt>
                <c:pt idx="7">
                  <c:v>33.833447566151925</c:v>
                </c:pt>
                <c:pt idx="8">
                  <c:v>33.693132095547796</c:v>
                </c:pt>
                <c:pt idx="9">
                  <c:v>38.651296074812869</c:v>
                </c:pt>
                <c:pt idx="10">
                  <c:v>38.645230683270853</c:v>
                </c:pt>
                <c:pt idx="11">
                  <c:v>38.755506295741306</c:v>
                </c:pt>
                <c:pt idx="12">
                  <c:v>38.810226160477114</c:v>
                </c:pt>
                <c:pt idx="13">
                  <c:v>38.358354172340974</c:v>
                </c:pt>
                <c:pt idx="14">
                  <c:v>38.759379829809099</c:v>
                </c:pt>
                <c:pt idx="15">
                  <c:v>38.6497004445405</c:v>
                </c:pt>
                <c:pt idx="16">
                  <c:v>38.644882056852147</c:v>
                </c:pt>
                <c:pt idx="17">
                  <c:v>37.539792974727703</c:v>
                </c:pt>
                <c:pt idx="18">
                  <c:v>36.364423090325147</c:v>
                </c:pt>
                <c:pt idx="19">
                  <c:v>38.189484923296959</c:v>
                </c:pt>
                <c:pt idx="20">
                  <c:v>36.793065333775473</c:v>
                </c:pt>
                <c:pt idx="21">
                  <c:v>36.510060156620398</c:v>
                </c:pt>
                <c:pt idx="22">
                  <c:v>36.275698088606852</c:v>
                </c:pt>
                <c:pt idx="23">
                  <c:v>35.748089753613982</c:v>
                </c:pt>
                <c:pt idx="24">
                  <c:v>35.253340198028049</c:v>
                </c:pt>
                <c:pt idx="25">
                  <c:v>34.810818012981542</c:v>
                </c:pt>
                <c:pt idx="26">
                  <c:v>34.413466534896415</c:v>
                </c:pt>
                <c:pt idx="27">
                  <c:v>33.060576232108232</c:v>
                </c:pt>
                <c:pt idx="28">
                  <c:v>32.853729796343316</c:v>
                </c:pt>
                <c:pt idx="29">
                  <c:v>32.821549681205703</c:v>
                </c:pt>
                <c:pt idx="30">
                  <c:v>32.661455765222073</c:v>
                </c:pt>
                <c:pt idx="31">
                  <c:v>32.516784401970099</c:v>
                </c:pt>
                <c:pt idx="32">
                  <c:v>32.278089775523767</c:v>
                </c:pt>
                <c:pt idx="33">
                  <c:v>32.146085105791911</c:v>
                </c:pt>
                <c:pt idx="34">
                  <c:v>31.586185235486603</c:v>
                </c:pt>
                <c:pt idx="35">
                  <c:v>31.032859673841102</c:v>
                </c:pt>
                <c:pt idx="36">
                  <c:v>31.248773038756706</c:v>
                </c:pt>
                <c:pt idx="37">
                  <c:v>26.459608893795654</c:v>
                </c:pt>
                <c:pt idx="38">
                  <c:v>26.376631522001102</c:v>
                </c:pt>
                <c:pt idx="39">
                  <c:v>26.158397278772249</c:v>
                </c:pt>
              </c:numCache>
            </c:numRef>
          </c:val>
          <c:smooth val="0"/>
          <c:extLst>
            <c:ext xmlns:c16="http://schemas.microsoft.com/office/drawing/2014/chart" uri="{C3380CC4-5D6E-409C-BE32-E72D297353CC}">
              <c16:uniqueId val="{00000006-F217-43BB-B982-0D0C2CF1A963}"/>
            </c:ext>
          </c:extLst>
        </c:ser>
        <c:dLbls>
          <c:showLegendKey val="0"/>
          <c:showVal val="0"/>
          <c:showCatName val="0"/>
          <c:showSerName val="0"/>
          <c:showPercent val="0"/>
          <c:showBubbleSize val="0"/>
        </c:dLbls>
        <c:smooth val="0"/>
        <c:axId val="1664119839"/>
        <c:axId val="451741167"/>
      </c:lineChart>
      <c:catAx>
        <c:axId val="1664119839"/>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5400000" spcFirstLastPara="1" vertOverflow="ellipsis" wrap="square" anchor="ctr" anchorCtr="1"/>
          <a:lstStyle/>
          <a:p>
            <a:pPr>
              <a:defRPr sz="800" b="0" i="0" u="none" strike="noStrike" kern="1200" baseline="0">
                <a:solidFill>
                  <a:schemeClr val="tx1">
                    <a:lumMod val="65000"/>
                    <a:lumOff val="35000"/>
                  </a:schemeClr>
                </a:solidFill>
                <a:latin typeface="Verdana" panose="020B0604030504040204" pitchFamily="34" charset="0"/>
                <a:ea typeface="+mn-ea"/>
                <a:cs typeface="Times New Roman" panose="02020603050405020304" pitchFamily="18" charset="0"/>
              </a:defRPr>
            </a:pPr>
            <a:endParaRPr lang="en-US"/>
          </a:p>
        </c:txPr>
        <c:crossAx val="451741167"/>
        <c:crosses val="autoZero"/>
        <c:auto val="1"/>
        <c:lblAlgn val="l"/>
        <c:lblOffset val="100"/>
        <c:noMultiLvlLbl val="0"/>
      </c:catAx>
      <c:valAx>
        <c:axId val="451741167"/>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out"/>
        <c:minorTickMark val="none"/>
        <c:tickLblPos val="nextTo"/>
        <c:spPr>
          <a:noFill/>
          <a:ln>
            <a:solidFill>
              <a:schemeClr val="bg1">
                <a:lumMod val="85000"/>
              </a:schemeClr>
            </a:solid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Verdana" panose="020B0604030504040204" pitchFamily="34" charset="0"/>
                <a:ea typeface="+mn-ea"/>
                <a:cs typeface="Times New Roman" panose="02020603050405020304" pitchFamily="18" charset="0"/>
              </a:defRPr>
            </a:pPr>
            <a:endParaRPr lang="en-US"/>
          </a:p>
        </c:txPr>
        <c:crossAx val="1664119839"/>
        <c:crosses val="autoZero"/>
        <c:crossBetween val="midCat"/>
      </c:valAx>
      <c:spPr>
        <a:noFill/>
        <a:ln>
          <a:noFill/>
        </a:ln>
        <a:effectLst/>
      </c:spPr>
    </c:plotArea>
    <c:legend>
      <c:legendPos val="b"/>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Verdana" panose="020B0604030504040204" pitchFamily="34" charset="0"/>
              <a:ea typeface="+mn-ea"/>
              <a:cs typeface="Times New Roman" panose="02020603050405020304" pitchFamily="18"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800" baseline="0">
          <a:latin typeface="Verdana" panose="020B0604030504040204" pitchFamily="34" charset="0"/>
          <a:cs typeface="Times New Roman" panose="02020603050405020304" pitchFamily="18" charset="0"/>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Working!$A$170</c:f>
              <c:strCache>
                <c:ptCount val="1"/>
                <c:pt idx="0">
                  <c:v>Australia</c:v>
                </c:pt>
              </c:strCache>
            </c:strRef>
          </c:tx>
          <c:spPr>
            <a:ln w="28575" cap="rnd">
              <a:solidFill>
                <a:schemeClr val="accent1"/>
              </a:solidFill>
              <a:round/>
            </a:ln>
            <a:effectLst/>
          </c:spPr>
          <c:marker>
            <c:symbol val="none"/>
          </c:marker>
          <c:cat>
            <c:numRef>
              <c:f>Working!$B$168:$N$168</c:f>
              <c:numCache>
                <c:formatCode>General</c:formatCode>
                <c:ptCount val="13"/>
                <c:pt idx="0">
                  <c:v>2007</c:v>
                </c:pt>
                <c:pt idx="1">
                  <c:v>2008</c:v>
                </c:pt>
                <c:pt idx="2">
                  <c:v>2009</c:v>
                </c:pt>
                <c:pt idx="3">
                  <c:v>2010</c:v>
                </c:pt>
                <c:pt idx="4">
                  <c:v>2011</c:v>
                </c:pt>
                <c:pt idx="5">
                  <c:v>2012</c:v>
                </c:pt>
                <c:pt idx="6">
                  <c:v>2013</c:v>
                </c:pt>
                <c:pt idx="7">
                  <c:v>2014</c:v>
                </c:pt>
                <c:pt idx="8">
                  <c:v>2015</c:v>
                </c:pt>
                <c:pt idx="9">
                  <c:v>2016</c:v>
                </c:pt>
                <c:pt idx="10">
                  <c:v>2017</c:v>
                </c:pt>
                <c:pt idx="11">
                  <c:v>2018</c:v>
                </c:pt>
                <c:pt idx="12">
                  <c:v>2019</c:v>
                </c:pt>
              </c:numCache>
            </c:numRef>
          </c:cat>
          <c:val>
            <c:numRef>
              <c:f>Working!$B$169:$N$169</c:f>
              <c:numCache>
                <c:formatCode>#,##0_ ;\-#,##0\ </c:formatCode>
                <c:ptCount val="13"/>
                <c:pt idx="0">
                  <c:v>39.788063774587002</c:v>
                </c:pt>
                <c:pt idx="1">
                  <c:v>29.123704054086001</c:v>
                </c:pt>
                <c:pt idx="2">
                  <c:v>43.302146394104</c:v>
                </c:pt>
                <c:pt idx="3">
                  <c:v>40.562617716414003</c:v>
                </c:pt>
                <c:pt idx="4">
                  <c:v>35.878639616595002</c:v>
                </c:pt>
                <c:pt idx="5">
                  <c:v>38.669332622908001</c:v>
                </c:pt>
                <c:pt idx="6">
                  <c:v>36.861625290574999</c:v>
                </c:pt>
                <c:pt idx="7">
                  <c:v>39.778918920362997</c:v>
                </c:pt>
                <c:pt idx="8">
                  <c:v>45.400861407261999</c:v>
                </c:pt>
                <c:pt idx="9">
                  <c:v>46.642247394149003</c:v>
                </c:pt>
                <c:pt idx="10">
                  <c:v>49.375477522696997</c:v>
                </c:pt>
                <c:pt idx="11">
                  <c:v>48.103616122110999</c:v>
                </c:pt>
                <c:pt idx="12">
                  <c:v>51.751178604068002</c:v>
                </c:pt>
              </c:numCache>
            </c:numRef>
          </c:val>
          <c:smooth val="0"/>
          <c:extLst>
            <c:ext xmlns:c16="http://schemas.microsoft.com/office/drawing/2014/chart" uri="{C3380CC4-5D6E-409C-BE32-E72D297353CC}">
              <c16:uniqueId val="{00000000-2037-4FDD-8C41-995D5B492669}"/>
            </c:ext>
          </c:extLst>
        </c:ser>
        <c:ser>
          <c:idx val="1"/>
          <c:order val="1"/>
          <c:tx>
            <c:strRef>
              <c:f>Working!$A$171</c:f>
              <c:strCache>
                <c:ptCount val="1"/>
                <c:pt idx="0">
                  <c:v>New Zealand</c:v>
                </c:pt>
              </c:strCache>
            </c:strRef>
          </c:tx>
          <c:spPr>
            <a:ln w="28575" cap="rnd">
              <a:solidFill>
                <a:schemeClr val="accent2"/>
              </a:solidFill>
              <a:round/>
            </a:ln>
            <a:effectLst/>
          </c:spPr>
          <c:marker>
            <c:symbol val="none"/>
          </c:marker>
          <c:cat>
            <c:numRef>
              <c:f>Working!$B$168:$N$168</c:f>
              <c:numCache>
                <c:formatCode>General</c:formatCode>
                <c:ptCount val="13"/>
                <c:pt idx="0">
                  <c:v>2007</c:v>
                </c:pt>
                <c:pt idx="1">
                  <c:v>2008</c:v>
                </c:pt>
                <c:pt idx="2">
                  <c:v>2009</c:v>
                </c:pt>
                <c:pt idx="3">
                  <c:v>2010</c:v>
                </c:pt>
                <c:pt idx="4">
                  <c:v>2011</c:v>
                </c:pt>
                <c:pt idx="5">
                  <c:v>2012</c:v>
                </c:pt>
                <c:pt idx="6">
                  <c:v>2013</c:v>
                </c:pt>
                <c:pt idx="7">
                  <c:v>2014</c:v>
                </c:pt>
                <c:pt idx="8">
                  <c:v>2015</c:v>
                </c:pt>
                <c:pt idx="9">
                  <c:v>2016</c:v>
                </c:pt>
                <c:pt idx="10">
                  <c:v>2017</c:v>
                </c:pt>
                <c:pt idx="11">
                  <c:v>2018</c:v>
                </c:pt>
                <c:pt idx="12">
                  <c:v>2019</c:v>
                </c:pt>
              </c:numCache>
            </c:numRef>
          </c:cat>
          <c:val>
            <c:numRef>
              <c:f>Working!$B$170:$N$170</c:f>
              <c:numCache>
                <c:formatCode>#,##0_ ;\-#,##0\ </c:formatCode>
                <c:ptCount val="13"/>
                <c:pt idx="0">
                  <c:v>42.981351794830999</c:v>
                </c:pt>
                <c:pt idx="1">
                  <c:v>33.136106177767999</c:v>
                </c:pt>
                <c:pt idx="2">
                  <c:v>46.516527424586002</c:v>
                </c:pt>
                <c:pt idx="3">
                  <c:v>39.151783840336002</c:v>
                </c:pt>
                <c:pt idx="4">
                  <c:v>38.286391005314997</c:v>
                </c:pt>
                <c:pt idx="5">
                  <c:v>40.622197517685002</c:v>
                </c:pt>
                <c:pt idx="6">
                  <c:v>39.466411171898997</c:v>
                </c:pt>
                <c:pt idx="7">
                  <c:v>38.060925033769998</c:v>
                </c:pt>
                <c:pt idx="8">
                  <c:v>37.334499866984999</c:v>
                </c:pt>
                <c:pt idx="9">
                  <c:v>37.027090909972003</c:v>
                </c:pt>
                <c:pt idx="10">
                  <c:v>36.381482459324999</c:v>
                </c:pt>
                <c:pt idx="11">
                  <c:v>35.795558121199001</c:v>
                </c:pt>
                <c:pt idx="12">
                  <c:v>38.292912211143999</c:v>
                </c:pt>
              </c:numCache>
            </c:numRef>
          </c:val>
          <c:smooth val="0"/>
          <c:extLst>
            <c:ext xmlns:c16="http://schemas.microsoft.com/office/drawing/2014/chart" uri="{C3380CC4-5D6E-409C-BE32-E72D297353CC}">
              <c16:uniqueId val="{00000001-2037-4FDD-8C41-995D5B492669}"/>
            </c:ext>
          </c:extLst>
        </c:ser>
        <c:ser>
          <c:idx val="2"/>
          <c:order val="2"/>
          <c:tx>
            <c:strRef>
              <c:f>Working!$A$172</c:f>
              <c:strCache>
                <c:ptCount val="1"/>
                <c:pt idx="0">
                  <c:v>United Kingdom</c:v>
                </c:pt>
              </c:strCache>
            </c:strRef>
          </c:tx>
          <c:spPr>
            <a:ln w="28575" cap="rnd">
              <a:solidFill>
                <a:schemeClr val="accent3"/>
              </a:solidFill>
              <a:round/>
            </a:ln>
            <a:effectLst/>
          </c:spPr>
          <c:marker>
            <c:symbol val="none"/>
          </c:marker>
          <c:cat>
            <c:numRef>
              <c:f>Working!$B$168:$N$168</c:f>
              <c:numCache>
                <c:formatCode>General</c:formatCode>
                <c:ptCount val="13"/>
                <c:pt idx="0">
                  <c:v>2007</c:v>
                </c:pt>
                <c:pt idx="1">
                  <c:v>2008</c:v>
                </c:pt>
                <c:pt idx="2">
                  <c:v>2009</c:v>
                </c:pt>
                <c:pt idx="3">
                  <c:v>2010</c:v>
                </c:pt>
                <c:pt idx="4">
                  <c:v>2011</c:v>
                </c:pt>
                <c:pt idx="5">
                  <c:v>2012</c:v>
                </c:pt>
                <c:pt idx="6">
                  <c:v>2013</c:v>
                </c:pt>
                <c:pt idx="7">
                  <c:v>2014</c:v>
                </c:pt>
                <c:pt idx="8">
                  <c:v>2015</c:v>
                </c:pt>
                <c:pt idx="9">
                  <c:v>2016</c:v>
                </c:pt>
                <c:pt idx="10">
                  <c:v>2017</c:v>
                </c:pt>
                <c:pt idx="11">
                  <c:v>2018</c:v>
                </c:pt>
                <c:pt idx="12">
                  <c:v>2019</c:v>
                </c:pt>
              </c:numCache>
            </c:numRef>
          </c:cat>
          <c:val>
            <c:numRef>
              <c:f>Working!$B$171:$N$171</c:f>
              <c:numCache>
                <c:formatCode>#,##0_ ;\-#,##0\ </c:formatCode>
                <c:ptCount val="13"/>
                <c:pt idx="0">
                  <c:v>36.357992829388003</c:v>
                </c:pt>
                <c:pt idx="1">
                  <c:v>31.185345149380002</c:v>
                </c:pt>
                <c:pt idx="2">
                  <c:v>42.546259710462998</c:v>
                </c:pt>
                <c:pt idx="3">
                  <c:v>43.042884334896002</c:v>
                </c:pt>
                <c:pt idx="4">
                  <c:v>43.516386789725999</c:v>
                </c:pt>
                <c:pt idx="5">
                  <c:v>53.273530655495001</c:v>
                </c:pt>
                <c:pt idx="6">
                  <c:v>54.348248397131997</c:v>
                </c:pt>
                <c:pt idx="7">
                  <c:v>51.589717610777001</c:v>
                </c:pt>
                <c:pt idx="8">
                  <c:v>52.191079449484</c:v>
                </c:pt>
                <c:pt idx="9">
                  <c:v>54.231114023735003</c:v>
                </c:pt>
                <c:pt idx="10">
                  <c:v>70.664777635128004</c:v>
                </c:pt>
                <c:pt idx="11">
                  <c:v>67.556618660366993</c:v>
                </c:pt>
                <c:pt idx="12">
                  <c:v>72.243476080060006</c:v>
                </c:pt>
              </c:numCache>
            </c:numRef>
          </c:val>
          <c:smooth val="0"/>
          <c:extLst>
            <c:ext xmlns:c16="http://schemas.microsoft.com/office/drawing/2014/chart" uri="{C3380CC4-5D6E-409C-BE32-E72D297353CC}">
              <c16:uniqueId val="{00000002-2037-4FDD-8C41-995D5B492669}"/>
            </c:ext>
          </c:extLst>
        </c:ser>
        <c:ser>
          <c:idx val="3"/>
          <c:order val="3"/>
          <c:tx>
            <c:strRef>
              <c:f>Working!$A$173</c:f>
              <c:strCache>
                <c:ptCount val="1"/>
                <c:pt idx="0">
                  <c:v>OECD</c:v>
                </c:pt>
              </c:strCache>
            </c:strRef>
          </c:tx>
          <c:spPr>
            <a:ln w="28575" cap="rnd">
              <a:solidFill>
                <a:schemeClr val="accent4"/>
              </a:solidFill>
              <a:round/>
            </a:ln>
            <a:effectLst/>
          </c:spPr>
          <c:marker>
            <c:symbol val="none"/>
          </c:marker>
          <c:cat>
            <c:numRef>
              <c:f>Working!$B$168:$N$168</c:f>
              <c:numCache>
                <c:formatCode>General</c:formatCode>
                <c:ptCount val="13"/>
                <c:pt idx="0">
                  <c:v>2007</c:v>
                </c:pt>
                <c:pt idx="1">
                  <c:v>2008</c:v>
                </c:pt>
                <c:pt idx="2">
                  <c:v>2009</c:v>
                </c:pt>
                <c:pt idx="3">
                  <c:v>2010</c:v>
                </c:pt>
                <c:pt idx="4">
                  <c:v>2011</c:v>
                </c:pt>
                <c:pt idx="5">
                  <c:v>2012</c:v>
                </c:pt>
                <c:pt idx="6">
                  <c:v>2013</c:v>
                </c:pt>
                <c:pt idx="7">
                  <c:v>2014</c:v>
                </c:pt>
                <c:pt idx="8">
                  <c:v>2015</c:v>
                </c:pt>
                <c:pt idx="9">
                  <c:v>2016</c:v>
                </c:pt>
                <c:pt idx="10">
                  <c:v>2017</c:v>
                </c:pt>
                <c:pt idx="11">
                  <c:v>2018</c:v>
                </c:pt>
                <c:pt idx="12">
                  <c:v>2019</c:v>
                </c:pt>
              </c:numCache>
            </c:numRef>
          </c:cat>
          <c:val>
            <c:numRef>
              <c:f>Working!$B$172:$N$172</c:f>
              <c:numCache>
                <c:formatCode>#,##0_ ;\-#,##0\ </c:formatCode>
                <c:ptCount val="13"/>
                <c:pt idx="0">
                  <c:v>30.424364455460999</c:v>
                </c:pt>
                <c:pt idx="1">
                  <c:v>23.194183502657001</c:v>
                </c:pt>
                <c:pt idx="2">
                  <c:v>28.749846945276001</c:v>
                </c:pt>
                <c:pt idx="3">
                  <c:v>29.392649230008999</c:v>
                </c:pt>
                <c:pt idx="4">
                  <c:v>27.881138750493999</c:v>
                </c:pt>
                <c:pt idx="5">
                  <c:v>30.676063612631999</c:v>
                </c:pt>
                <c:pt idx="6">
                  <c:v>33.687899177280002</c:v>
                </c:pt>
                <c:pt idx="7">
                  <c:v>34.194491315274</c:v>
                </c:pt>
                <c:pt idx="8">
                  <c:v>37.945730428840001</c:v>
                </c:pt>
                <c:pt idx="9">
                  <c:v>39.487127785633</c:v>
                </c:pt>
                <c:pt idx="10">
                  <c:v>44.669439167802999</c:v>
                </c:pt>
                <c:pt idx="11">
                  <c:v>40.910397342643002</c:v>
                </c:pt>
                <c:pt idx="12">
                  <c:v>46.247037712942998</c:v>
                </c:pt>
              </c:numCache>
            </c:numRef>
          </c:val>
          <c:smooth val="0"/>
          <c:extLst>
            <c:ext xmlns:c16="http://schemas.microsoft.com/office/drawing/2014/chart" uri="{C3380CC4-5D6E-409C-BE32-E72D297353CC}">
              <c16:uniqueId val="{00000003-2037-4FDD-8C41-995D5B492669}"/>
            </c:ext>
          </c:extLst>
        </c:ser>
        <c:dLbls>
          <c:showLegendKey val="0"/>
          <c:showVal val="0"/>
          <c:showCatName val="0"/>
          <c:showSerName val="0"/>
          <c:showPercent val="0"/>
          <c:showBubbleSize val="0"/>
        </c:dLbls>
        <c:smooth val="0"/>
        <c:axId val="399463096"/>
        <c:axId val="399464408"/>
      </c:lineChart>
      <c:catAx>
        <c:axId val="3994630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Verdana" panose="020B0604030504040204" pitchFamily="34" charset="0"/>
                <a:ea typeface="+mn-ea"/>
                <a:cs typeface="Times New Roman" panose="02020603050405020304" pitchFamily="18" charset="0"/>
              </a:defRPr>
            </a:pPr>
            <a:endParaRPr lang="en-US"/>
          </a:p>
        </c:txPr>
        <c:crossAx val="399464408"/>
        <c:crosses val="autoZero"/>
        <c:auto val="1"/>
        <c:lblAlgn val="ctr"/>
        <c:lblOffset val="100"/>
        <c:noMultiLvlLbl val="0"/>
      </c:catAx>
      <c:valAx>
        <c:axId val="399464408"/>
        <c:scaling>
          <c:orientation val="minMax"/>
        </c:scaling>
        <c:delete val="0"/>
        <c:axPos val="l"/>
        <c:majorGridlines>
          <c:spPr>
            <a:ln w="9525" cap="flat" cmpd="sng" algn="ctr">
              <a:solidFill>
                <a:schemeClr val="tx1">
                  <a:lumMod val="15000"/>
                  <a:lumOff val="85000"/>
                </a:schemeClr>
              </a:solidFill>
              <a:round/>
            </a:ln>
            <a:effectLst/>
          </c:spPr>
        </c:majorGridlines>
        <c:numFmt formatCode="#,##0_ ;\-#,##0\ "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Verdana" panose="020B0604030504040204" pitchFamily="34" charset="0"/>
                <a:ea typeface="+mn-ea"/>
                <a:cs typeface="Times New Roman" panose="02020603050405020304" pitchFamily="18" charset="0"/>
              </a:defRPr>
            </a:pPr>
            <a:endParaRPr lang="en-US"/>
          </a:p>
        </c:txPr>
        <c:crossAx val="39946309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Verdana" panose="020B0604030504040204" pitchFamily="34"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800" baseline="0">
          <a:latin typeface="Verdana" panose="020B0604030504040204" pitchFamily="34" charset="0"/>
          <a:cs typeface="Times New Roman" panose="02020603050405020304" pitchFamily="18" charset="0"/>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Working!$A$242</c:f>
              <c:strCache>
                <c:ptCount val="1"/>
                <c:pt idx="0">
                  <c:v>Australia</c:v>
                </c:pt>
              </c:strCache>
            </c:strRef>
          </c:tx>
          <c:spPr>
            <a:ln w="28575" cap="rnd">
              <a:solidFill>
                <a:schemeClr val="accent1"/>
              </a:solidFill>
              <a:round/>
            </a:ln>
            <a:effectLst/>
          </c:spPr>
          <c:marker>
            <c:symbol val="none"/>
          </c:marker>
          <c:cat>
            <c:numRef>
              <c:f>Working!$B$240:$N$240</c:f>
              <c:numCache>
                <c:formatCode>General</c:formatCode>
                <c:ptCount val="13"/>
                <c:pt idx="0">
                  <c:v>2007</c:v>
                </c:pt>
                <c:pt idx="1">
                  <c:v>2008</c:v>
                </c:pt>
                <c:pt idx="2">
                  <c:v>2009</c:v>
                </c:pt>
                <c:pt idx="3">
                  <c:v>2010</c:v>
                </c:pt>
                <c:pt idx="4">
                  <c:v>2011</c:v>
                </c:pt>
                <c:pt idx="5">
                  <c:v>2012</c:v>
                </c:pt>
                <c:pt idx="6">
                  <c:v>2013</c:v>
                </c:pt>
                <c:pt idx="7">
                  <c:v>2014</c:v>
                </c:pt>
                <c:pt idx="8">
                  <c:v>2015</c:v>
                </c:pt>
                <c:pt idx="9">
                  <c:v>2016</c:v>
                </c:pt>
                <c:pt idx="10">
                  <c:v>2017</c:v>
                </c:pt>
                <c:pt idx="11">
                  <c:v>2018</c:v>
                </c:pt>
                <c:pt idx="12">
                  <c:v>2019</c:v>
                </c:pt>
              </c:numCache>
            </c:numRef>
          </c:cat>
          <c:val>
            <c:numRef>
              <c:f>Working!$B$241:$N$241</c:f>
              <c:numCache>
                <c:formatCode>#,##0_ ;\-#,##0\ </c:formatCode>
                <c:ptCount val="13"/>
                <c:pt idx="0">
                  <c:v>34.639846077531999</c:v>
                </c:pt>
                <c:pt idx="1">
                  <c:v>23.112556431761998</c:v>
                </c:pt>
                <c:pt idx="2">
                  <c:v>35.925134559082998</c:v>
                </c:pt>
                <c:pt idx="3">
                  <c:v>34.611853859724</c:v>
                </c:pt>
                <c:pt idx="4">
                  <c:v>27.078084769636</c:v>
                </c:pt>
                <c:pt idx="5">
                  <c:v>29.957829013144</c:v>
                </c:pt>
                <c:pt idx="6">
                  <c:v>29.61198312606</c:v>
                </c:pt>
                <c:pt idx="7">
                  <c:v>31.901020231253</c:v>
                </c:pt>
                <c:pt idx="8">
                  <c:v>33.391636051543003</c:v>
                </c:pt>
                <c:pt idx="9">
                  <c:v>33.262000938057</c:v>
                </c:pt>
                <c:pt idx="10">
                  <c:v>35.517356548039999</c:v>
                </c:pt>
                <c:pt idx="11">
                  <c:v>34.067051153884996</c:v>
                </c:pt>
                <c:pt idx="12">
                  <c:v>41.970372703182001</c:v>
                </c:pt>
              </c:numCache>
            </c:numRef>
          </c:val>
          <c:smooth val="0"/>
          <c:extLst>
            <c:ext xmlns:c16="http://schemas.microsoft.com/office/drawing/2014/chart" uri="{C3380CC4-5D6E-409C-BE32-E72D297353CC}">
              <c16:uniqueId val="{00000000-DF2E-494B-8722-0B17A5E47E68}"/>
            </c:ext>
          </c:extLst>
        </c:ser>
        <c:ser>
          <c:idx val="1"/>
          <c:order val="1"/>
          <c:tx>
            <c:strRef>
              <c:f>Working!$A$243</c:f>
              <c:strCache>
                <c:ptCount val="1"/>
                <c:pt idx="0">
                  <c:v>New Zealand</c:v>
                </c:pt>
              </c:strCache>
            </c:strRef>
          </c:tx>
          <c:spPr>
            <a:ln w="28575" cap="rnd">
              <a:solidFill>
                <a:schemeClr val="accent2"/>
              </a:solidFill>
              <a:round/>
            </a:ln>
            <a:effectLst/>
          </c:spPr>
          <c:marker>
            <c:symbol val="none"/>
          </c:marker>
          <c:cat>
            <c:numRef>
              <c:f>Working!$B$240:$N$240</c:f>
              <c:numCache>
                <c:formatCode>General</c:formatCode>
                <c:ptCount val="13"/>
                <c:pt idx="0">
                  <c:v>2007</c:v>
                </c:pt>
                <c:pt idx="1">
                  <c:v>2008</c:v>
                </c:pt>
                <c:pt idx="2">
                  <c:v>2009</c:v>
                </c:pt>
                <c:pt idx="3">
                  <c:v>2010</c:v>
                </c:pt>
                <c:pt idx="4">
                  <c:v>2011</c:v>
                </c:pt>
                <c:pt idx="5">
                  <c:v>2012</c:v>
                </c:pt>
                <c:pt idx="6">
                  <c:v>2013</c:v>
                </c:pt>
                <c:pt idx="7">
                  <c:v>2014</c:v>
                </c:pt>
                <c:pt idx="8">
                  <c:v>2015</c:v>
                </c:pt>
                <c:pt idx="9">
                  <c:v>2016</c:v>
                </c:pt>
                <c:pt idx="10">
                  <c:v>2017</c:v>
                </c:pt>
                <c:pt idx="11">
                  <c:v>2018</c:v>
                </c:pt>
                <c:pt idx="12">
                  <c:v>2019</c:v>
                </c:pt>
              </c:numCache>
            </c:numRef>
          </c:cat>
          <c:val>
            <c:numRef>
              <c:f>Working!$B$242:$N$242</c:f>
              <c:numCache>
                <c:formatCode>#,##0_ ;\-#,##0\ </c:formatCode>
                <c:ptCount val="13"/>
                <c:pt idx="0">
                  <c:v>10.930244925813</c:v>
                </c:pt>
                <c:pt idx="1">
                  <c:v>10.419046853639999</c:v>
                </c:pt>
                <c:pt idx="2">
                  <c:v>11.370772771831</c:v>
                </c:pt>
                <c:pt idx="3">
                  <c:v>10.956358177449999</c:v>
                </c:pt>
                <c:pt idx="4">
                  <c:v>11.349293133158</c:v>
                </c:pt>
                <c:pt idx="5">
                  <c:v>10.856389588938001</c:v>
                </c:pt>
                <c:pt idx="6">
                  <c:v>9.6304075421909996</c:v>
                </c:pt>
                <c:pt idx="7">
                  <c:v>8.9391781138686994</c:v>
                </c:pt>
                <c:pt idx="8">
                  <c:v>9.5616776904908001</c:v>
                </c:pt>
                <c:pt idx="9">
                  <c:v>8.9381332200605002</c:v>
                </c:pt>
                <c:pt idx="10">
                  <c:v>8.6010178541922997</c:v>
                </c:pt>
                <c:pt idx="11">
                  <c:v>8.1418675204491997</c:v>
                </c:pt>
                <c:pt idx="12">
                  <c:v>8.0346480339563993</c:v>
                </c:pt>
              </c:numCache>
            </c:numRef>
          </c:val>
          <c:smooth val="0"/>
          <c:extLst>
            <c:ext xmlns:c16="http://schemas.microsoft.com/office/drawing/2014/chart" uri="{C3380CC4-5D6E-409C-BE32-E72D297353CC}">
              <c16:uniqueId val="{00000001-DF2E-494B-8722-0B17A5E47E68}"/>
            </c:ext>
          </c:extLst>
        </c:ser>
        <c:ser>
          <c:idx val="2"/>
          <c:order val="2"/>
          <c:tx>
            <c:strRef>
              <c:f>Working!$A$244</c:f>
              <c:strCache>
                <c:ptCount val="1"/>
                <c:pt idx="0">
                  <c:v>United Kingdom</c:v>
                </c:pt>
              </c:strCache>
            </c:strRef>
          </c:tx>
          <c:spPr>
            <a:ln w="28575" cap="rnd">
              <a:solidFill>
                <a:schemeClr val="accent3"/>
              </a:solidFill>
              <a:round/>
            </a:ln>
            <a:effectLst/>
          </c:spPr>
          <c:marker>
            <c:symbol val="none"/>
          </c:marker>
          <c:cat>
            <c:numRef>
              <c:f>Working!$B$240:$N$240</c:f>
              <c:numCache>
                <c:formatCode>General</c:formatCode>
                <c:ptCount val="13"/>
                <c:pt idx="0">
                  <c:v>2007</c:v>
                </c:pt>
                <c:pt idx="1">
                  <c:v>2008</c:v>
                </c:pt>
                <c:pt idx="2">
                  <c:v>2009</c:v>
                </c:pt>
                <c:pt idx="3">
                  <c:v>2010</c:v>
                </c:pt>
                <c:pt idx="4">
                  <c:v>2011</c:v>
                </c:pt>
                <c:pt idx="5">
                  <c:v>2012</c:v>
                </c:pt>
                <c:pt idx="6">
                  <c:v>2013</c:v>
                </c:pt>
                <c:pt idx="7">
                  <c:v>2014</c:v>
                </c:pt>
                <c:pt idx="8">
                  <c:v>2015</c:v>
                </c:pt>
                <c:pt idx="9">
                  <c:v>2016</c:v>
                </c:pt>
                <c:pt idx="10">
                  <c:v>2017</c:v>
                </c:pt>
                <c:pt idx="11">
                  <c:v>2018</c:v>
                </c:pt>
                <c:pt idx="12">
                  <c:v>2019</c:v>
                </c:pt>
              </c:numCache>
            </c:numRef>
          </c:cat>
          <c:val>
            <c:numRef>
              <c:f>Working!$B$243:$N$243</c:f>
              <c:numCache>
                <c:formatCode>#,##0_ ;\-#,##0\ </c:formatCode>
                <c:ptCount val="13"/>
                <c:pt idx="0">
                  <c:v>59.703804777435003</c:v>
                </c:pt>
                <c:pt idx="1">
                  <c:v>55.844582103329003</c:v>
                </c:pt>
                <c:pt idx="2">
                  <c:v>68.109507178094006</c:v>
                </c:pt>
                <c:pt idx="3">
                  <c:v>67.948308574449996</c:v>
                </c:pt>
                <c:pt idx="4">
                  <c:v>64.986189907737</c:v>
                </c:pt>
                <c:pt idx="5">
                  <c:v>62.645847444371</c:v>
                </c:pt>
                <c:pt idx="6">
                  <c:v>64.534757967087003</c:v>
                </c:pt>
                <c:pt idx="7">
                  <c:v>54.844932293879999</c:v>
                </c:pt>
                <c:pt idx="8">
                  <c:v>54.74135224962</c:v>
                </c:pt>
                <c:pt idx="9">
                  <c:v>58.219254794649999</c:v>
                </c:pt>
                <c:pt idx="10">
                  <c:v>69.473447286050003</c:v>
                </c:pt>
                <c:pt idx="11">
                  <c:v>62.578296293735001</c:v>
                </c:pt>
                <c:pt idx="12">
                  <c:v>69.447516341948997</c:v>
                </c:pt>
              </c:numCache>
            </c:numRef>
          </c:val>
          <c:smooth val="0"/>
          <c:extLst>
            <c:ext xmlns:c16="http://schemas.microsoft.com/office/drawing/2014/chart" uri="{C3380CC4-5D6E-409C-BE32-E72D297353CC}">
              <c16:uniqueId val="{00000002-DF2E-494B-8722-0B17A5E47E68}"/>
            </c:ext>
          </c:extLst>
        </c:ser>
        <c:ser>
          <c:idx val="3"/>
          <c:order val="3"/>
          <c:tx>
            <c:strRef>
              <c:f>Working!$A$245</c:f>
              <c:strCache>
                <c:ptCount val="1"/>
                <c:pt idx="0">
                  <c:v>OECD</c:v>
                </c:pt>
              </c:strCache>
            </c:strRef>
          </c:tx>
          <c:spPr>
            <a:ln w="28575" cap="rnd">
              <a:solidFill>
                <a:schemeClr val="accent4"/>
              </a:solidFill>
              <a:round/>
            </a:ln>
            <a:effectLst/>
          </c:spPr>
          <c:marker>
            <c:symbol val="none"/>
          </c:marker>
          <c:cat>
            <c:numRef>
              <c:f>Working!$B$240:$N$240</c:f>
              <c:numCache>
                <c:formatCode>General</c:formatCode>
                <c:ptCount val="13"/>
                <c:pt idx="0">
                  <c:v>2007</c:v>
                </c:pt>
                <c:pt idx="1">
                  <c:v>2008</c:v>
                </c:pt>
                <c:pt idx="2">
                  <c:v>2009</c:v>
                </c:pt>
                <c:pt idx="3">
                  <c:v>2010</c:v>
                </c:pt>
                <c:pt idx="4">
                  <c:v>2011</c:v>
                </c:pt>
                <c:pt idx="5">
                  <c:v>2012</c:v>
                </c:pt>
                <c:pt idx="6">
                  <c:v>2013</c:v>
                </c:pt>
                <c:pt idx="7">
                  <c:v>2014</c:v>
                </c:pt>
                <c:pt idx="8">
                  <c:v>2015</c:v>
                </c:pt>
                <c:pt idx="9">
                  <c:v>2016</c:v>
                </c:pt>
                <c:pt idx="10">
                  <c:v>2017</c:v>
                </c:pt>
                <c:pt idx="11">
                  <c:v>2018</c:v>
                </c:pt>
                <c:pt idx="12">
                  <c:v>2019</c:v>
                </c:pt>
              </c:numCache>
            </c:numRef>
          </c:cat>
          <c:val>
            <c:numRef>
              <c:f>Working!$B$244:$N$244</c:f>
              <c:numCache>
                <c:formatCode>#,##0_ ;\-#,##0\ </c:formatCode>
                <c:ptCount val="13"/>
                <c:pt idx="0">
                  <c:v>36.857830041196003</c:v>
                </c:pt>
                <c:pt idx="1">
                  <c:v>28.462382889261001</c:v>
                </c:pt>
                <c:pt idx="2">
                  <c:v>36.494377800628001</c:v>
                </c:pt>
                <c:pt idx="3">
                  <c:v>37.627075079138997</c:v>
                </c:pt>
                <c:pt idx="4">
                  <c:v>35.131547087072001</c:v>
                </c:pt>
                <c:pt idx="5">
                  <c:v>37.806097437334998</c:v>
                </c:pt>
                <c:pt idx="6">
                  <c:v>41.234257427807997</c:v>
                </c:pt>
                <c:pt idx="7">
                  <c:v>40.590824684918999</c:v>
                </c:pt>
                <c:pt idx="8">
                  <c:v>44.272330103186</c:v>
                </c:pt>
                <c:pt idx="9">
                  <c:v>45.204944325221</c:v>
                </c:pt>
                <c:pt idx="10">
                  <c:v>50.899064148495</c:v>
                </c:pt>
                <c:pt idx="11">
                  <c:v>44.595316504803002</c:v>
                </c:pt>
                <c:pt idx="12">
                  <c:v>49.680914095909003</c:v>
                </c:pt>
              </c:numCache>
            </c:numRef>
          </c:val>
          <c:smooth val="0"/>
          <c:extLst>
            <c:ext xmlns:c16="http://schemas.microsoft.com/office/drawing/2014/chart" uri="{C3380CC4-5D6E-409C-BE32-E72D297353CC}">
              <c16:uniqueId val="{00000003-DF2E-494B-8722-0B17A5E47E68}"/>
            </c:ext>
          </c:extLst>
        </c:ser>
        <c:dLbls>
          <c:showLegendKey val="0"/>
          <c:showVal val="0"/>
          <c:showCatName val="0"/>
          <c:showSerName val="0"/>
          <c:showPercent val="0"/>
          <c:showBubbleSize val="0"/>
        </c:dLbls>
        <c:smooth val="0"/>
        <c:axId val="672148816"/>
        <c:axId val="672150128"/>
      </c:lineChart>
      <c:catAx>
        <c:axId val="6721488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Verdana" panose="020B0604030504040204" pitchFamily="34" charset="0"/>
                <a:ea typeface="+mn-ea"/>
                <a:cs typeface="Times New Roman" panose="02020603050405020304" pitchFamily="18" charset="0"/>
              </a:defRPr>
            </a:pPr>
            <a:endParaRPr lang="en-US"/>
          </a:p>
        </c:txPr>
        <c:crossAx val="672150128"/>
        <c:crosses val="autoZero"/>
        <c:auto val="1"/>
        <c:lblAlgn val="ctr"/>
        <c:lblOffset val="100"/>
        <c:noMultiLvlLbl val="0"/>
      </c:catAx>
      <c:valAx>
        <c:axId val="672150128"/>
        <c:scaling>
          <c:orientation val="minMax"/>
        </c:scaling>
        <c:delete val="0"/>
        <c:axPos val="l"/>
        <c:majorGridlines>
          <c:spPr>
            <a:ln w="9525" cap="flat" cmpd="sng" algn="ctr">
              <a:solidFill>
                <a:schemeClr val="tx1">
                  <a:lumMod val="15000"/>
                  <a:lumOff val="85000"/>
                </a:schemeClr>
              </a:solidFill>
              <a:round/>
            </a:ln>
            <a:effectLst/>
          </c:spPr>
        </c:majorGridlines>
        <c:numFmt formatCode="#,##0_ ;\-#,##0\ "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Verdana" panose="020B0604030504040204" pitchFamily="34" charset="0"/>
                <a:ea typeface="+mn-ea"/>
                <a:cs typeface="Times New Roman" panose="02020603050405020304" pitchFamily="18" charset="0"/>
              </a:defRPr>
            </a:pPr>
            <a:endParaRPr lang="en-US"/>
          </a:p>
        </c:txPr>
        <c:crossAx val="67214881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Verdana" panose="020B0604030504040204" pitchFamily="34"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800" baseline="0">
          <a:latin typeface="Verdana" panose="020B0604030504040204" pitchFamily="34" charset="0"/>
          <a:cs typeface="Times New Roman" panose="02020603050405020304" pitchFamily="18" charset="0"/>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Working!$A$12</c:f>
              <c:strCache>
                <c:ptCount val="1"/>
                <c:pt idx="0">
                  <c:v>United States</c:v>
                </c:pt>
              </c:strCache>
            </c:strRef>
          </c:tx>
          <c:spPr>
            <a:ln w="28575" cap="rnd">
              <a:solidFill>
                <a:schemeClr val="accent1"/>
              </a:solidFill>
              <a:round/>
            </a:ln>
            <a:effectLst/>
          </c:spPr>
          <c:marker>
            <c:symbol val="none"/>
          </c:marker>
          <c:cat>
            <c:numRef>
              <c:f>Working!$B$11:$AY$11</c:f>
              <c:numCache>
                <c:formatCode>General</c:formatCode>
                <c:ptCount val="50"/>
                <c:pt idx="0">
                  <c:v>1970</c:v>
                </c:pt>
                <c:pt idx="1">
                  <c:v>1971</c:v>
                </c:pt>
                <c:pt idx="2">
                  <c:v>1972</c:v>
                </c:pt>
                <c:pt idx="3">
                  <c:v>1973</c:v>
                </c:pt>
                <c:pt idx="4">
                  <c:v>1974</c:v>
                </c:pt>
                <c:pt idx="5">
                  <c:v>1975</c:v>
                </c:pt>
                <c:pt idx="6">
                  <c:v>1976</c:v>
                </c:pt>
                <c:pt idx="7">
                  <c:v>1977</c:v>
                </c:pt>
                <c:pt idx="8">
                  <c:v>1978</c:v>
                </c:pt>
                <c:pt idx="9">
                  <c:v>1979</c:v>
                </c:pt>
                <c:pt idx="10">
                  <c:v>1980</c:v>
                </c:pt>
                <c:pt idx="11">
                  <c:v>1981</c:v>
                </c:pt>
                <c:pt idx="12">
                  <c:v>1982</c:v>
                </c:pt>
                <c:pt idx="13">
                  <c:v>1983</c:v>
                </c:pt>
                <c:pt idx="14">
                  <c:v>1984</c:v>
                </c:pt>
                <c:pt idx="15">
                  <c:v>1985</c:v>
                </c:pt>
                <c:pt idx="16">
                  <c:v>1986</c:v>
                </c:pt>
                <c:pt idx="17">
                  <c:v>1987</c:v>
                </c:pt>
                <c:pt idx="18">
                  <c:v>1988</c:v>
                </c:pt>
                <c:pt idx="19">
                  <c:v>1989</c:v>
                </c:pt>
                <c:pt idx="20">
                  <c:v>1990</c:v>
                </c:pt>
                <c:pt idx="21">
                  <c:v>1991</c:v>
                </c:pt>
                <c:pt idx="22">
                  <c:v>1992</c:v>
                </c:pt>
                <c:pt idx="23">
                  <c:v>1993</c:v>
                </c:pt>
                <c:pt idx="24">
                  <c:v>1994</c:v>
                </c:pt>
                <c:pt idx="25">
                  <c:v>1995</c:v>
                </c:pt>
                <c:pt idx="26">
                  <c:v>1996</c:v>
                </c:pt>
                <c:pt idx="27">
                  <c:v>1997</c:v>
                </c:pt>
                <c:pt idx="28">
                  <c:v>1998</c:v>
                </c:pt>
                <c:pt idx="29">
                  <c:v>1999</c:v>
                </c:pt>
                <c:pt idx="30">
                  <c:v>2000</c:v>
                </c:pt>
                <c:pt idx="31">
                  <c:v>2001</c:v>
                </c:pt>
                <c:pt idx="32">
                  <c:v>2002</c:v>
                </c:pt>
                <c:pt idx="33">
                  <c:v>2003</c:v>
                </c:pt>
                <c:pt idx="34">
                  <c:v>2004</c:v>
                </c:pt>
                <c:pt idx="35">
                  <c:v>2005</c:v>
                </c:pt>
                <c:pt idx="36">
                  <c:v>2006</c:v>
                </c:pt>
                <c:pt idx="37">
                  <c:v>2007</c:v>
                </c:pt>
                <c:pt idx="38">
                  <c:v>2008</c:v>
                </c:pt>
                <c:pt idx="39">
                  <c:v>2009</c:v>
                </c:pt>
                <c:pt idx="40">
                  <c:v>2010</c:v>
                </c:pt>
                <c:pt idx="41">
                  <c:v>2011</c:v>
                </c:pt>
                <c:pt idx="42">
                  <c:v>2012</c:v>
                </c:pt>
                <c:pt idx="43">
                  <c:v>2013</c:v>
                </c:pt>
                <c:pt idx="44">
                  <c:v>2014</c:v>
                </c:pt>
                <c:pt idx="45">
                  <c:v>2015</c:v>
                </c:pt>
                <c:pt idx="46">
                  <c:v>2016</c:v>
                </c:pt>
                <c:pt idx="47">
                  <c:v>2017</c:v>
                </c:pt>
                <c:pt idx="48">
                  <c:v>2018</c:v>
                </c:pt>
                <c:pt idx="49">
                  <c:v>2019</c:v>
                </c:pt>
              </c:numCache>
            </c:numRef>
          </c:cat>
          <c:val>
            <c:numRef>
              <c:f>Working!$B$12:$AY$12</c:f>
              <c:numCache>
                <c:formatCode>0.0</c:formatCode>
                <c:ptCount val="50"/>
                <c:pt idx="0">
                  <c:v>100</c:v>
                </c:pt>
                <c:pt idx="1">
                  <c:v>100</c:v>
                </c:pt>
                <c:pt idx="2">
                  <c:v>100</c:v>
                </c:pt>
                <c:pt idx="3">
                  <c:v>100</c:v>
                </c:pt>
                <c:pt idx="4">
                  <c:v>100</c:v>
                </c:pt>
                <c:pt idx="5">
                  <c:v>100</c:v>
                </c:pt>
                <c:pt idx="6">
                  <c:v>100</c:v>
                </c:pt>
                <c:pt idx="7">
                  <c:v>100</c:v>
                </c:pt>
                <c:pt idx="8">
                  <c:v>100</c:v>
                </c:pt>
                <c:pt idx="9">
                  <c:v>100</c:v>
                </c:pt>
                <c:pt idx="10">
                  <c:v>100</c:v>
                </c:pt>
                <c:pt idx="11">
                  <c:v>100</c:v>
                </c:pt>
                <c:pt idx="12">
                  <c:v>100</c:v>
                </c:pt>
                <c:pt idx="13">
                  <c:v>100</c:v>
                </c:pt>
                <c:pt idx="14">
                  <c:v>100</c:v>
                </c:pt>
                <c:pt idx="15">
                  <c:v>100</c:v>
                </c:pt>
                <c:pt idx="16">
                  <c:v>100</c:v>
                </c:pt>
                <c:pt idx="17">
                  <c:v>100</c:v>
                </c:pt>
                <c:pt idx="18">
                  <c:v>100</c:v>
                </c:pt>
                <c:pt idx="19">
                  <c:v>100</c:v>
                </c:pt>
                <c:pt idx="20">
                  <c:v>100</c:v>
                </c:pt>
                <c:pt idx="21">
                  <c:v>100</c:v>
                </c:pt>
                <c:pt idx="22">
                  <c:v>100</c:v>
                </c:pt>
                <c:pt idx="23">
                  <c:v>100</c:v>
                </c:pt>
                <c:pt idx="24">
                  <c:v>100</c:v>
                </c:pt>
                <c:pt idx="25">
                  <c:v>100</c:v>
                </c:pt>
                <c:pt idx="26">
                  <c:v>100</c:v>
                </c:pt>
                <c:pt idx="27">
                  <c:v>100</c:v>
                </c:pt>
                <c:pt idx="28">
                  <c:v>100</c:v>
                </c:pt>
                <c:pt idx="29">
                  <c:v>100</c:v>
                </c:pt>
                <c:pt idx="30">
                  <c:v>100</c:v>
                </c:pt>
                <c:pt idx="31">
                  <c:v>100</c:v>
                </c:pt>
                <c:pt idx="32">
                  <c:v>100</c:v>
                </c:pt>
                <c:pt idx="33">
                  <c:v>100</c:v>
                </c:pt>
                <c:pt idx="34">
                  <c:v>100</c:v>
                </c:pt>
                <c:pt idx="35">
                  <c:v>100</c:v>
                </c:pt>
                <c:pt idx="36">
                  <c:v>100</c:v>
                </c:pt>
                <c:pt idx="37">
                  <c:v>100</c:v>
                </c:pt>
                <c:pt idx="38">
                  <c:v>100</c:v>
                </c:pt>
                <c:pt idx="39">
                  <c:v>100</c:v>
                </c:pt>
                <c:pt idx="40">
                  <c:v>100</c:v>
                </c:pt>
                <c:pt idx="41">
                  <c:v>100</c:v>
                </c:pt>
                <c:pt idx="42">
                  <c:v>100</c:v>
                </c:pt>
                <c:pt idx="43">
                  <c:v>100</c:v>
                </c:pt>
                <c:pt idx="44">
                  <c:v>100</c:v>
                </c:pt>
                <c:pt idx="45">
                  <c:v>100</c:v>
                </c:pt>
                <c:pt idx="46">
                  <c:v>100</c:v>
                </c:pt>
                <c:pt idx="47">
                  <c:v>100</c:v>
                </c:pt>
                <c:pt idx="48">
                  <c:v>100</c:v>
                </c:pt>
                <c:pt idx="49">
                  <c:v>100</c:v>
                </c:pt>
              </c:numCache>
            </c:numRef>
          </c:val>
          <c:smooth val="0"/>
          <c:extLst>
            <c:ext xmlns:c16="http://schemas.microsoft.com/office/drawing/2014/chart" uri="{C3380CC4-5D6E-409C-BE32-E72D297353CC}">
              <c16:uniqueId val="{00000000-31BD-44BE-8200-AD0487A2FDF0}"/>
            </c:ext>
          </c:extLst>
        </c:ser>
        <c:ser>
          <c:idx val="1"/>
          <c:order val="1"/>
          <c:tx>
            <c:strRef>
              <c:f>Working!$A$13</c:f>
              <c:strCache>
                <c:ptCount val="1"/>
                <c:pt idx="0">
                  <c:v>Australia</c:v>
                </c:pt>
              </c:strCache>
            </c:strRef>
          </c:tx>
          <c:spPr>
            <a:ln w="28575" cap="rnd">
              <a:solidFill>
                <a:schemeClr val="accent2"/>
              </a:solidFill>
              <a:round/>
            </a:ln>
            <a:effectLst/>
          </c:spPr>
          <c:marker>
            <c:symbol val="none"/>
          </c:marker>
          <c:cat>
            <c:numRef>
              <c:f>Working!$B$11:$AY$11</c:f>
              <c:numCache>
                <c:formatCode>General</c:formatCode>
                <c:ptCount val="50"/>
                <c:pt idx="0">
                  <c:v>1970</c:v>
                </c:pt>
                <c:pt idx="1">
                  <c:v>1971</c:v>
                </c:pt>
                <c:pt idx="2">
                  <c:v>1972</c:v>
                </c:pt>
                <c:pt idx="3">
                  <c:v>1973</c:v>
                </c:pt>
                <c:pt idx="4">
                  <c:v>1974</c:v>
                </c:pt>
                <c:pt idx="5">
                  <c:v>1975</c:v>
                </c:pt>
                <c:pt idx="6">
                  <c:v>1976</c:v>
                </c:pt>
                <c:pt idx="7">
                  <c:v>1977</c:v>
                </c:pt>
                <c:pt idx="8">
                  <c:v>1978</c:v>
                </c:pt>
                <c:pt idx="9">
                  <c:v>1979</c:v>
                </c:pt>
                <c:pt idx="10">
                  <c:v>1980</c:v>
                </c:pt>
                <c:pt idx="11">
                  <c:v>1981</c:v>
                </c:pt>
                <c:pt idx="12">
                  <c:v>1982</c:v>
                </c:pt>
                <c:pt idx="13">
                  <c:v>1983</c:v>
                </c:pt>
                <c:pt idx="14">
                  <c:v>1984</c:v>
                </c:pt>
                <c:pt idx="15">
                  <c:v>1985</c:v>
                </c:pt>
                <c:pt idx="16">
                  <c:v>1986</c:v>
                </c:pt>
                <c:pt idx="17">
                  <c:v>1987</c:v>
                </c:pt>
                <c:pt idx="18">
                  <c:v>1988</c:v>
                </c:pt>
                <c:pt idx="19">
                  <c:v>1989</c:v>
                </c:pt>
                <c:pt idx="20">
                  <c:v>1990</c:v>
                </c:pt>
                <c:pt idx="21">
                  <c:v>1991</c:v>
                </c:pt>
                <c:pt idx="22">
                  <c:v>1992</c:v>
                </c:pt>
                <c:pt idx="23">
                  <c:v>1993</c:v>
                </c:pt>
                <c:pt idx="24">
                  <c:v>1994</c:v>
                </c:pt>
                <c:pt idx="25">
                  <c:v>1995</c:v>
                </c:pt>
                <c:pt idx="26">
                  <c:v>1996</c:v>
                </c:pt>
                <c:pt idx="27">
                  <c:v>1997</c:v>
                </c:pt>
                <c:pt idx="28">
                  <c:v>1998</c:v>
                </c:pt>
                <c:pt idx="29">
                  <c:v>1999</c:v>
                </c:pt>
                <c:pt idx="30">
                  <c:v>2000</c:v>
                </c:pt>
                <c:pt idx="31">
                  <c:v>2001</c:v>
                </c:pt>
                <c:pt idx="32">
                  <c:v>2002</c:v>
                </c:pt>
                <c:pt idx="33">
                  <c:v>2003</c:v>
                </c:pt>
                <c:pt idx="34">
                  <c:v>2004</c:v>
                </c:pt>
                <c:pt idx="35">
                  <c:v>2005</c:v>
                </c:pt>
                <c:pt idx="36">
                  <c:v>2006</c:v>
                </c:pt>
                <c:pt idx="37">
                  <c:v>2007</c:v>
                </c:pt>
                <c:pt idx="38">
                  <c:v>2008</c:v>
                </c:pt>
                <c:pt idx="39">
                  <c:v>2009</c:v>
                </c:pt>
                <c:pt idx="40">
                  <c:v>2010</c:v>
                </c:pt>
                <c:pt idx="41">
                  <c:v>2011</c:v>
                </c:pt>
                <c:pt idx="42">
                  <c:v>2012</c:v>
                </c:pt>
                <c:pt idx="43">
                  <c:v>2013</c:v>
                </c:pt>
                <c:pt idx="44">
                  <c:v>2014</c:v>
                </c:pt>
                <c:pt idx="45">
                  <c:v>2015</c:v>
                </c:pt>
                <c:pt idx="46">
                  <c:v>2016</c:v>
                </c:pt>
                <c:pt idx="47">
                  <c:v>2017</c:v>
                </c:pt>
                <c:pt idx="48">
                  <c:v>2018</c:v>
                </c:pt>
                <c:pt idx="49">
                  <c:v>2019</c:v>
                </c:pt>
              </c:numCache>
            </c:numRef>
          </c:cat>
          <c:val>
            <c:numRef>
              <c:f>Working!$B$13:$AY$13</c:f>
              <c:numCache>
                <c:formatCode>#,##0.0_ ;\-#,##0.0\ </c:formatCode>
                <c:ptCount val="50"/>
                <c:pt idx="0">
                  <c:v>88.640867</c:v>
                </c:pt>
                <c:pt idx="1">
                  <c:v>86.473749999999995</c:v>
                </c:pt>
                <c:pt idx="2">
                  <c:v>85.266046000000003</c:v>
                </c:pt>
                <c:pt idx="3">
                  <c:v>85.935567000000006</c:v>
                </c:pt>
                <c:pt idx="4">
                  <c:v>86.216705000000005</c:v>
                </c:pt>
                <c:pt idx="5">
                  <c:v>88.700279999999992</c:v>
                </c:pt>
                <c:pt idx="6">
                  <c:v>85.867531999999997</c:v>
                </c:pt>
                <c:pt idx="7">
                  <c:v>81.543514000000002</c:v>
                </c:pt>
                <c:pt idx="8">
                  <c:v>80.752876999999998</c:v>
                </c:pt>
                <c:pt idx="9">
                  <c:v>80.794235999999998</c:v>
                </c:pt>
                <c:pt idx="10">
                  <c:v>83.273766999999992</c:v>
                </c:pt>
                <c:pt idx="11">
                  <c:v>85.509782000000001</c:v>
                </c:pt>
                <c:pt idx="12">
                  <c:v>83.040334999999999</c:v>
                </c:pt>
                <c:pt idx="13">
                  <c:v>82.150914</c:v>
                </c:pt>
                <c:pt idx="14">
                  <c:v>79.410021999999998</c:v>
                </c:pt>
                <c:pt idx="15">
                  <c:v>79.530926999999991</c:v>
                </c:pt>
                <c:pt idx="16">
                  <c:v>78.58081</c:v>
                </c:pt>
                <c:pt idx="17">
                  <c:v>80.08184</c:v>
                </c:pt>
                <c:pt idx="18">
                  <c:v>79.929690999999991</c:v>
                </c:pt>
                <c:pt idx="19">
                  <c:v>77.976064000000008</c:v>
                </c:pt>
                <c:pt idx="20">
                  <c:v>74.624459999999999</c:v>
                </c:pt>
                <c:pt idx="21">
                  <c:v>74.625259999999997</c:v>
                </c:pt>
                <c:pt idx="22">
                  <c:v>75.238500999999999</c:v>
                </c:pt>
                <c:pt idx="23">
                  <c:v>76.349541000000002</c:v>
                </c:pt>
                <c:pt idx="24">
                  <c:v>77.184954000000005</c:v>
                </c:pt>
                <c:pt idx="25">
                  <c:v>78.003958999999995</c:v>
                </c:pt>
                <c:pt idx="26">
                  <c:v>77.575733</c:v>
                </c:pt>
                <c:pt idx="27">
                  <c:v>77.656188999999998</c:v>
                </c:pt>
                <c:pt idx="28">
                  <c:v>78.098856999999995</c:v>
                </c:pt>
                <c:pt idx="29">
                  <c:v>78.595751000000007</c:v>
                </c:pt>
                <c:pt idx="30">
                  <c:v>77.821069999999992</c:v>
                </c:pt>
                <c:pt idx="31">
                  <c:v>79.496728000000004</c:v>
                </c:pt>
                <c:pt idx="32">
                  <c:v>80.940706000000006</c:v>
                </c:pt>
                <c:pt idx="33">
                  <c:v>81.794207999999998</c:v>
                </c:pt>
                <c:pt idx="34">
                  <c:v>81.314909</c:v>
                </c:pt>
                <c:pt idx="35">
                  <c:v>80.762471000000005</c:v>
                </c:pt>
                <c:pt idx="36">
                  <c:v>81.856459999999998</c:v>
                </c:pt>
                <c:pt idx="37">
                  <c:v>82.660410999999996</c:v>
                </c:pt>
                <c:pt idx="38">
                  <c:v>82.992792000000009</c:v>
                </c:pt>
                <c:pt idx="39">
                  <c:v>88.487600999999998</c:v>
                </c:pt>
                <c:pt idx="40">
                  <c:v>88.408981999999995</c:v>
                </c:pt>
                <c:pt idx="41">
                  <c:v>89.169668000000001</c:v>
                </c:pt>
                <c:pt idx="42">
                  <c:v>85.122917999999999</c:v>
                </c:pt>
                <c:pt idx="43">
                  <c:v>90.019234999999995</c:v>
                </c:pt>
                <c:pt idx="44">
                  <c:v>86.614222999999996</c:v>
                </c:pt>
                <c:pt idx="45">
                  <c:v>83.258618999999996</c:v>
                </c:pt>
                <c:pt idx="46">
                  <c:v>86.615561</c:v>
                </c:pt>
                <c:pt idx="47">
                  <c:v>84.626873000000003</c:v>
                </c:pt>
                <c:pt idx="48">
                  <c:v>84.201670000000007</c:v>
                </c:pt>
                <c:pt idx="49">
                  <c:v>81.359070000000003</c:v>
                </c:pt>
              </c:numCache>
            </c:numRef>
          </c:val>
          <c:smooth val="0"/>
          <c:extLst>
            <c:ext xmlns:c16="http://schemas.microsoft.com/office/drawing/2014/chart" uri="{C3380CC4-5D6E-409C-BE32-E72D297353CC}">
              <c16:uniqueId val="{00000001-31BD-44BE-8200-AD0487A2FDF0}"/>
            </c:ext>
          </c:extLst>
        </c:ser>
        <c:ser>
          <c:idx val="2"/>
          <c:order val="2"/>
          <c:tx>
            <c:strRef>
              <c:f>Working!$A$14</c:f>
              <c:strCache>
                <c:ptCount val="1"/>
                <c:pt idx="0">
                  <c:v>New Zealand</c:v>
                </c:pt>
              </c:strCache>
            </c:strRef>
          </c:tx>
          <c:spPr>
            <a:ln w="28575" cap="rnd">
              <a:solidFill>
                <a:schemeClr val="accent3"/>
              </a:solidFill>
              <a:round/>
            </a:ln>
            <a:effectLst/>
          </c:spPr>
          <c:marker>
            <c:symbol val="none"/>
          </c:marker>
          <c:cat>
            <c:numRef>
              <c:f>Working!$B$11:$AY$11</c:f>
              <c:numCache>
                <c:formatCode>General</c:formatCode>
                <c:ptCount val="50"/>
                <c:pt idx="0">
                  <c:v>1970</c:v>
                </c:pt>
                <c:pt idx="1">
                  <c:v>1971</c:v>
                </c:pt>
                <c:pt idx="2">
                  <c:v>1972</c:v>
                </c:pt>
                <c:pt idx="3">
                  <c:v>1973</c:v>
                </c:pt>
                <c:pt idx="4">
                  <c:v>1974</c:v>
                </c:pt>
                <c:pt idx="5">
                  <c:v>1975</c:v>
                </c:pt>
                <c:pt idx="6">
                  <c:v>1976</c:v>
                </c:pt>
                <c:pt idx="7">
                  <c:v>1977</c:v>
                </c:pt>
                <c:pt idx="8">
                  <c:v>1978</c:v>
                </c:pt>
                <c:pt idx="9">
                  <c:v>1979</c:v>
                </c:pt>
                <c:pt idx="10">
                  <c:v>1980</c:v>
                </c:pt>
                <c:pt idx="11">
                  <c:v>1981</c:v>
                </c:pt>
                <c:pt idx="12">
                  <c:v>1982</c:v>
                </c:pt>
                <c:pt idx="13">
                  <c:v>1983</c:v>
                </c:pt>
                <c:pt idx="14">
                  <c:v>1984</c:v>
                </c:pt>
                <c:pt idx="15">
                  <c:v>1985</c:v>
                </c:pt>
                <c:pt idx="16">
                  <c:v>1986</c:v>
                </c:pt>
                <c:pt idx="17">
                  <c:v>1987</c:v>
                </c:pt>
                <c:pt idx="18">
                  <c:v>1988</c:v>
                </c:pt>
                <c:pt idx="19">
                  <c:v>1989</c:v>
                </c:pt>
                <c:pt idx="20">
                  <c:v>1990</c:v>
                </c:pt>
                <c:pt idx="21">
                  <c:v>1991</c:v>
                </c:pt>
                <c:pt idx="22">
                  <c:v>1992</c:v>
                </c:pt>
                <c:pt idx="23">
                  <c:v>1993</c:v>
                </c:pt>
                <c:pt idx="24">
                  <c:v>1994</c:v>
                </c:pt>
                <c:pt idx="25">
                  <c:v>1995</c:v>
                </c:pt>
                <c:pt idx="26">
                  <c:v>1996</c:v>
                </c:pt>
                <c:pt idx="27">
                  <c:v>1997</c:v>
                </c:pt>
                <c:pt idx="28">
                  <c:v>1998</c:v>
                </c:pt>
                <c:pt idx="29">
                  <c:v>1999</c:v>
                </c:pt>
                <c:pt idx="30">
                  <c:v>2000</c:v>
                </c:pt>
                <c:pt idx="31">
                  <c:v>2001</c:v>
                </c:pt>
                <c:pt idx="32">
                  <c:v>2002</c:v>
                </c:pt>
                <c:pt idx="33">
                  <c:v>2003</c:v>
                </c:pt>
                <c:pt idx="34">
                  <c:v>2004</c:v>
                </c:pt>
                <c:pt idx="35">
                  <c:v>2005</c:v>
                </c:pt>
                <c:pt idx="36">
                  <c:v>2006</c:v>
                </c:pt>
                <c:pt idx="37">
                  <c:v>2007</c:v>
                </c:pt>
                <c:pt idx="38">
                  <c:v>2008</c:v>
                </c:pt>
                <c:pt idx="39">
                  <c:v>2009</c:v>
                </c:pt>
                <c:pt idx="40">
                  <c:v>2010</c:v>
                </c:pt>
                <c:pt idx="41">
                  <c:v>2011</c:v>
                </c:pt>
                <c:pt idx="42">
                  <c:v>2012</c:v>
                </c:pt>
                <c:pt idx="43">
                  <c:v>2013</c:v>
                </c:pt>
                <c:pt idx="44">
                  <c:v>2014</c:v>
                </c:pt>
                <c:pt idx="45">
                  <c:v>2015</c:v>
                </c:pt>
                <c:pt idx="46">
                  <c:v>2016</c:v>
                </c:pt>
                <c:pt idx="47">
                  <c:v>2017</c:v>
                </c:pt>
                <c:pt idx="48">
                  <c:v>2018</c:v>
                </c:pt>
                <c:pt idx="49">
                  <c:v>2019</c:v>
                </c:pt>
              </c:numCache>
            </c:numRef>
          </c:cat>
          <c:val>
            <c:numRef>
              <c:f>Working!$B$14:$AY$14</c:f>
              <c:numCache>
                <c:formatCode>#,##0.0_ ;\-#,##0.0\ </c:formatCode>
                <c:ptCount val="50"/>
                <c:pt idx="0">
                  <c:v>74.919716999999991</c:v>
                </c:pt>
                <c:pt idx="1">
                  <c:v>76.695889999999991</c:v>
                </c:pt>
                <c:pt idx="2">
                  <c:v>77.350127000000001</c:v>
                </c:pt>
                <c:pt idx="3">
                  <c:v>75.487645000000001</c:v>
                </c:pt>
                <c:pt idx="4">
                  <c:v>78.539851999999996</c:v>
                </c:pt>
                <c:pt idx="5">
                  <c:v>80.591437999999997</c:v>
                </c:pt>
                <c:pt idx="6">
                  <c:v>76.100366000000008</c:v>
                </c:pt>
                <c:pt idx="7">
                  <c:v>68.397637000000003</c:v>
                </c:pt>
                <c:pt idx="8">
                  <c:v>68.550512999999995</c:v>
                </c:pt>
                <c:pt idx="9">
                  <c:v>65.620677999999998</c:v>
                </c:pt>
                <c:pt idx="10">
                  <c:v>67.265536999999995</c:v>
                </c:pt>
                <c:pt idx="11">
                  <c:v>67.661271999999997</c:v>
                </c:pt>
                <c:pt idx="12">
                  <c:v>72.467416</c:v>
                </c:pt>
                <c:pt idx="13">
                  <c:v>72.235931999999991</c:v>
                </c:pt>
                <c:pt idx="14">
                  <c:v>71.943506999999997</c:v>
                </c:pt>
                <c:pt idx="15">
                  <c:v>69.441992999999997</c:v>
                </c:pt>
                <c:pt idx="16">
                  <c:v>69.579840000000004</c:v>
                </c:pt>
                <c:pt idx="17">
                  <c:v>66.879959999999997</c:v>
                </c:pt>
                <c:pt idx="18">
                  <c:v>64.808711000000002</c:v>
                </c:pt>
                <c:pt idx="19">
                  <c:v>63.276922999999996</c:v>
                </c:pt>
                <c:pt idx="20">
                  <c:v>61.575293000000002</c:v>
                </c:pt>
                <c:pt idx="21">
                  <c:v>59.795842</c:v>
                </c:pt>
                <c:pt idx="22">
                  <c:v>58.583801000000001</c:v>
                </c:pt>
                <c:pt idx="23">
                  <c:v>60.269812000000002</c:v>
                </c:pt>
                <c:pt idx="24">
                  <c:v>61.374943000000002</c:v>
                </c:pt>
                <c:pt idx="25">
                  <c:v>62.201179000000003</c:v>
                </c:pt>
                <c:pt idx="26">
                  <c:v>61.433574</c:v>
                </c:pt>
                <c:pt idx="27">
                  <c:v>60.724735000000003</c:v>
                </c:pt>
                <c:pt idx="28">
                  <c:v>58.828978999999997</c:v>
                </c:pt>
                <c:pt idx="29">
                  <c:v>59.567295999999999</c:v>
                </c:pt>
                <c:pt idx="30">
                  <c:v>59.142963999999999</c:v>
                </c:pt>
                <c:pt idx="31">
                  <c:v>60.342860999999999</c:v>
                </c:pt>
                <c:pt idx="32">
                  <c:v>61.032922999999997</c:v>
                </c:pt>
                <c:pt idx="33">
                  <c:v>60.509594</c:v>
                </c:pt>
                <c:pt idx="34">
                  <c:v>60.016663999999999</c:v>
                </c:pt>
                <c:pt idx="35">
                  <c:v>58.10163</c:v>
                </c:pt>
                <c:pt idx="36">
                  <c:v>59.840448000000002</c:v>
                </c:pt>
                <c:pt idx="37">
                  <c:v>61.116273</c:v>
                </c:pt>
                <c:pt idx="38">
                  <c:v>61.577682000000003</c:v>
                </c:pt>
                <c:pt idx="39">
                  <c:v>65.049582000000001</c:v>
                </c:pt>
                <c:pt idx="40">
                  <c:v>64.369117000000003</c:v>
                </c:pt>
                <c:pt idx="41">
                  <c:v>65.519452000000001</c:v>
                </c:pt>
                <c:pt idx="42">
                  <c:v>63.856791999999999</c:v>
                </c:pt>
                <c:pt idx="43">
                  <c:v>68.011922999999996</c:v>
                </c:pt>
                <c:pt idx="44">
                  <c:v>67.417077000000006</c:v>
                </c:pt>
                <c:pt idx="45">
                  <c:v>65.539093000000008</c:v>
                </c:pt>
                <c:pt idx="46">
                  <c:v>68.480060000000009</c:v>
                </c:pt>
                <c:pt idx="47">
                  <c:v>70.017577000000003</c:v>
                </c:pt>
                <c:pt idx="48">
                  <c:v>69.378174000000001</c:v>
                </c:pt>
                <c:pt idx="49">
                  <c:v>68.381392000000005</c:v>
                </c:pt>
              </c:numCache>
            </c:numRef>
          </c:val>
          <c:smooth val="0"/>
          <c:extLst>
            <c:ext xmlns:c16="http://schemas.microsoft.com/office/drawing/2014/chart" uri="{C3380CC4-5D6E-409C-BE32-E72D297353CC}">
              <c16:uniqueId val="{00000002-31BD-44BE-8200-AD0487A2FDF0}"/>
            </c:ext>
          </c:extLst>
        </c:ser>
        <c:ser>
          <c:idx val="3"/>
          <c:order val="3"/>
          <c:tx>
            <c:strRef>
              <c:f>Working!$A$15</c:f>
              <c:strCache>
                <c:ptCount val="1"/>
                <c:pt idx="0">
                  <c:v>United Kingdom</c:v>
                </c:pt>
              </c:strCache>
            </c:strRef>
          </c:tx>
          <c:spPr>
            <a:ln w="28575" cap="rnd">
              <a:solidFill>
                <a:schemeClr val="accent4"/>
              </a:solidFill>
              <a:round/>
            </a:ln>
            <a:effectLst/>
          </c:spPr>
          <c:marker>
            <c:symbol val="none"/>
          </c:marker>
          <c:cat>
            <c:numRef>
              <c:f>Working!$B$11:$AY$11</c:f>
              <c:numCache>
                <c:formatCode>General</c:formatCode>
                <c:ptCount val="50"/>
                <c:pt idx="0">
                  <c:v>1970</c:v>
                </c:pt>
                <c:pt idx="1">
                  <c:v>1971</c:v>
                </c:pt>
                <c:pt idx="2">
                  <c:v>1972</c:v>
                </c:pt>
                <c:pt idx="3">
                  <c:v>1973</c:v>
                </c:pt>
                <c:pt idx="4">
                  <c:v>1974</c:v>
                </c:pt>
                <c:pt idx="5">
                  <c:v>1975</c:v>
                </c:pt>
                <c:pt idx="6">
                  <c:v>1976</c:v>
                </c:pt>
                <c:pt idx="7">
                  <c:v>1977</c:v>
                </c:pt>
                <c:pt idx="8">
                  <c:v>1978</c:v>
                </c:pt>
                <c:pt idx="9">
                  <c:v>1979</c:v>
                </c:pt>
                <c:pt idx="10">
                  <c:v>1980</c:v>
                </c:pt>
                <c:pt idx="11">
                  <c:v>1981</c:v>
                </c:pt>
                <c:pt idx="12">
                  <c:v>1982</c:v>
                </c:pt>
                <c:pt idx="13">
                  <c:v>1983</c:v>
                </c:pt>
                <c:pt idx="14">
                  <c:v>1984</c:v>
                </c:pt>
                <c:pt idx="15">
                  <c:v>1985</c:v>
                </c:pt>
                <c:pt idx="16">
                  <c:v>1986</c:v>
                </c:pt>
                <c:pt idx="17">
                  <c:v>1987</c:v>
                </c:pt>
                <c:pt idx="18">
                  <c:v>1988</c:v>
                </c:pt>
                <c:pt idx="19">
                  <c:v>1989</c:v>
                </c:pt>
                <c:pt idx="20">
                  <c:v>1990</c:v>
                </c:pt>
                <c:pt idx="21">
                  <c:v>1991</c:v>
                </c:pt>
                <c:pt idx="22">
                  <c:v>1992</c:v>
                </c:pt>
                <c:pt idx="23">
                  <c:v>1993</c:v>
                </c:pt>
                <c:pt idx="24">
                  <c:v>1994</c:v>
                </c:pt>
                <c:pt idx="25">
                  <c:v>1995</c:v>
                </c:pt>
                <c:pt idx="26">
                  <c:v>1996</c:v>
                </c:pt>
                <c:pt idx="27">
                  <c:v>1997</c:v>
                </c:pt>
                <c:pt idx="28">
                  <c:v>1998</c:v>
                </c:pt>
                <c:pt idx="29">
                  <c:v>1999</c:v>
                </c:pt>
                <c:pt idx="30">
                  <c:v>2000</c:v>
                </c:pt>
                <c:pt idx="31">
                  <c:v>2001</c:v>
                </c:pt>
                <c:pt idx="32">
                  <c:v>2002</c:v>
                </c:pt>
                <c:pt idx="33">
                  <c:v>2003</c:v>
                </c:pt>
                <c:pt idx="34">
                  <c:v>2004</c:v>
                </c:pt>
                <c:pt idx="35">
                  <c:v>2005</c:v>
                </c:pt>
                <c:pt idx="36">
                  <c:v>2006</c:v>
                </c:pt>
                <c:pt idx="37">
                  <c:v>2007</c:v>
                </c:pt>
                <c:pt idx="38">
                  <c:v>2008</c:v>
                </c:pt>
                <c:pt idx="39">
                  <c:v>2009</c:v>
                </c:pt>
                <c:pt idx="40">
                  <c:v>2010</c:v>
                </c:pt>
                <c:pt idx="41">
                  <c:v>2011</c:v>
                </c:pt>
                <c:pt idx="42">
                  <c:v>2012</c:v>
                </c:pt>
                <c:pt idx="43">
                  <c:v>2013</c:v>
                </c:pt>
                <c:pt idx="44">
                  <c:v>2014</c:v>
                </c:pt>
                <c:pt idx="45">
                  <c:v>2015</c:v>
                </c:pt>
                <c:pt idx="46">
                  <c:v>2016</c:v>
                </c:pt>
                <c:pt idx="47">
                  <c:v>2017</c:v>
                </c:pt>
                <c:pt idx="48">
                  <c:v>2018</c:v>
                </c:pt>
                <c:pt idx="49">
                  <c:v>2019</c:v>
                </c:pt>
              </c:numCache>
            </c:numRef>
          </c:cat>
          <c:val>
            <c:numRef>
              <c:f>Working!$B$15:$AY$15</c:f>
              <c:numCache>
                <c:formatCode>#,##0.0_ ;\-#,##0.0\ </c:formatCode>
                <c:ptCount val="50"/>
                <c:pt idx="0">
                  <c:v>69.082445000000007</c:v>
                </c:pt>
                <c:pt idx="1">
                  <c:v>69.731370999999996</c:v>
                </c:pt>
                <c:pt idx="2">
                  <c:v>69.642753999999996</c:v>
                </c:pt>
                <c:pt idx="3">
                  <c:v>70.736772999999999</c:v>
                </c:pt>
                <c:pt idx="4">
                  <c:v>69.979154999999992</c:v>
                </c:pt>
                <c:pt idx="5">
                  <c:v>69.775092000000001</c:v>
                </c:pt>
                <c:pt idx="6">
                  <c:v>68.810839999999999</c:v>
                </c:pt>
                <c:pt idx="7">
                  <c:v>68.098196000000002</c:v>
                </c:pt>
                <c:pt idx="8">
                  <c:v>67.968084000000005</c:v>
                </c:pt>
                <c:pt idx="9">
                  <c:v>69.036393000000004</c:v>
                </c:pt>
                <c:pt idx="10">
                  <c:v>68.487723000000003</c:v>
                </c:pt>
                <c:pt idx="11">
                  <c:v>66.897347999999994</c:v>
                </c:pt>
                <c:pt idx="12">
                  <c:v>70.235731000000001</c:v>
                </c:pt>
                <c:pt idx="13">
                  <c:v>70.598697999999999</c:v>
                </c:pt>
                <c:pt idx="14">
                  <c:v>67.808543999999998</c:v>
                </c:pt>
                <c:pt idx="15">
                  <c:v>68.224384000000001</c:v>
                </c:pt>
                <c:pt idx="16">
                  <c:v>68.481873000000007</c:v>
                </c:pt>
                <c:pt idx="17">
                  <c:v>70.238849000000002</c:v>
                </c:pt>
                <c:pt idx="18">
                  <c:v>71.797059000000004</c:v>
                </c:pt>
                <c:pt idx="19">
                  <c:v>71.510672999999997</c:v>
                </c:pt>
                <c:pt idx="20">
                  <c:v>71.299369999999996</c:v>
                </c:pt>
                <c:pt idx="21">
                  <c:v>71.283875999999992</c:v>
                </c:pt>
                <c:pt idx="22">
                  <c:v>69.881887000000006</c:v>
                </c:pt>
                <c:pt idx="23">
                  <c:v>70.456747000000007</c:v>
                </c:pt>
                <c:pt idx="24">
                  <c:v>71.008229999999998</c:v>
                </c:pt>
                <c:pt idx="25">
                  <c:v>71.544321999999994</c:v>
                </c:pt>
                <c:pt idx="26">
                  <c:v>72.923642000000001</c:v>
                </c:pt>
                <c:pt idx="27">
                  <c:v>73.263165999999998</c:v>
                </c:pt>
                <c:pt idx="28">
                  <c:v>72.100878999999992</c:v>
                </c:pt>
                <c:pt idx="29">
                  <c:v>70.801113999999998</c:v>
                </c:pt>
                <c:pt idx="30">
                  <c:v>72.784026999999995</c:v>
                </c:pt>
                <c:pt idx="31">
                  <c:v>74.753413999999992</c:v>
                </c:pt>
                <c:pt idx="32">
                  <c:v>76.354826000000003</c:v>
                </c:pt>
                <c:pt idx="33">
                  <c:v>76.696270999999996</c:v>
                </c:pt>
                <c:pt idx="34">
                  <c:v>76.649336000000005</c:v>
                </c:pt>
                <c:pt idx="35">
                  <c:v>73.985894999999999</c:v>
                </c:pt>
                <c:pt idx="36">
                  <c:v>74.990633000000003</c:v>
                </c:pt>
                <c:pt idx="37">
                  <c:v>74.124939999999995</c:v>
                </c:pt>
                <c:pt idx="38">
                  <c:v>75.830433999999997</c:v>
                </c:pt>
                <c:pt idx="39">
                  <c:v>74.534437999999994</c:v>
                </c:pt>
                <c:pt idx="40">
                  <c:v>75.352537999999996</c:v>
                </c:pt>
                <c:pt idx="41">
                  <c:v>74.585228999999998</c:v>
                </c:pt>
                <c:pt idx="42">
                  <c:v>74.293250999999998</c:v>
                </c:pt>
                <c:pt idx="43">
                  <c:v>75.287611999999996</c:v>
                </c:pt>
                <c:pt idx="44">
                  <c:v>75.066321000000002</c:v>
                </c:pt>
                <c:pt idx="45">
                  <c:v>74.908346999999992</c:v>
                </c:pt>
                <c:pt idx="46">
                  <c:v>76.077343999999997</c:v>
                </c:pt>
                <c:pt idx="47">
                  <c:v>76.146751999999992</c:v>
                </c:pt>
                <c:pt idx="48">
                  <c:v>74.811059</c:v>
                </c:pt>
                <c:pt idx="49">
                  <c:v>74.404983000000001</c:v>
                </c:pt>
              </c:numCache>
            </c:numRef>
          </c:val>
          <c:smooth val="0"/>
          <c:extLst>
            <c:ext xmlns:c16="http://schemas.microsoft.com/office/drawing/2014/chart" uri="{C3380CC4-5D6E-409C-BE32-E72D297353CC}">
              <c16:uniqueId val="{00000003-31BD-44BE-8200-AD0487A2FDF0}"/>
            </c:ext>
          </c:extLst>
        </c:ser>
        <c:ser>
          <c:idx val="4"/>
          <c:order val="4"/>
          <c:tx>
            <c:strRef>
              <c:f>Working!$A$16</c:f>
              <c:strCache>
                <c:ptCount val="1"/>
                <c:pt idx="0">
                  <c:v>OECD - Total</c:v>
                </c:pt>
              </c:strCache>
            </c:strRef>
          </c:tx>
          <c:spPr>
            <a:ln w="28575" cap="rnd">
              <a:solidFill>
                <a:schemeClr val="accent5"/>
              </a:solidFill>
              <a:round/>
            </a:ln>
            <a:effectLst/>
          </c:spPr>
          <c:marker>
            <c:symbol val="none"/>
          </c:marker>
          <c:cat>
            <c:numRef>
              <c:f>Working!$B$11:$AY$11</c:f>
              <c:numCache>
                <c:formatCode>General</c:formatCode>
                <c:ptCount val="50"/>
                <c:pt idx="0">
                  <c:v>1970</c:v>
                </c:pt>
                <c:pt idx="1">
                  <c:v>1971</c:v>
                </c:pt>
                <c:pt idx="2">
                  <c:v>1972</c:v>
                </c:pt>
                <c:pt idx="3">
                  <c:v>1973</c:v>
                </c:pt>
                <c:pt idx="4">
                  <c:v>1974</c:v>
                </c:pt>
                <c:pt idx="5">
                  <c:v>1975</c:v>
                </c:pt>
                <c:pt idx="6">
                  <c:v>1976</c:v>
                </c:pt>
                <c:pt idx="7">
                  <c:v>1977</c:v>
                </c:pt>
                <c:pt idx="8">
                  <c:v>1978</c:v>
                </c:pt>
                <c:pt idx="9">
                  <c:v>1979</c:v>
                </c:pt>
                <c:pt idx="10">
                  <c:v>1980</c:v>
                </c:pt>
                <c:pt idx="11">
                  <c:v>1981</c:v>
                </c:pt>
                <c:pt idx="12">
                  <c:v>1982</c:v>
                </c:pt>
                <c:pt idx="13">
                  <c:v>1983</c:v>
                </c:pt>
                <c:pt idx="14">
                  <c:v>1984</c:v>
                </c:pt>
                <c:pt idx="15">
                  <c:v>1985</c:v>
                </c:pt>
                <c:pt idx="16">
                  <c:v>1986</c:v>
                </c:pt>
                <c:pt idx="17">
                  <c:v>1987</c:v>
                </c:pt>
                <c:pt idx="18">
                  <c:v>1988</c:v>
                </c:pt>
                <c:pt idx="19">
                  <c:v>1989</c:v>
                </c:pt>
                <c:pt idx="20">
                  <c:v>1990</c:v>
                </c:pt>
                <c:pt idx="21">
                  <c:v>1991</c:v>
                </c:pt>
                <c:pt idx="22">
                  <c:v>1992</c:v>
                </c:pt>
                <c:pt idx="23">
                  <c:v>1993</c:v>
                </c:pt>
                <c:pt idx="24">
                  <c:v>1994</c:v>
                </c:pt>
                <c:pt idx="25">
                  <c:v>1995</c:v>
                </c:pt>
                <c:pt idx="26">
                  <c:v>1996</c:v>
                </c:pt>
                <c:pt idx="27">
                  <c:v>1997</c:v>
                </c:pt>
                <c:pt idx="28">
                  <c:v>1998</c:v>
                </c:pt>
                <c:pt idx="29">
                  <c:v>1999</c:v>
                </c:pt>
                <c:pt idx="30">
                  <c:v>2000</c:v>
                </c:pt>
                <c:pt idx="31">
                  <c:v>2001</c:v>
                </c:pt>
                <c:pt idx="32">
                  <c:v>2002</c:v>
                </c:pt>
                <c:pt idx="33">
                  <c:v>2003</c:v>
                </c:pt>
                <c:pt idx="34">
                  <c:v>2004</c:v>
                </c:pt>
                <c:pt idx="35">
                  <c:v>2005</c:v>
                </c:pt>
                <c:pt idx="36">
                  <c:v>2006</c:v>
                </c:pt>
                <c:pt idx="37">
                  <c:v>2007</c:v>
                </c:pt>
                <c:pt idx="38">
                  <c:v>2008</c:v>
                </c:pt>
                <c:pt idx="39">
                  <c:v>2009</c:v>
                </c:pt>
                <c:pt idx="40">
                  <c:v>2010</c:v>
                </c:pt>
                <c:pt idx="41">
                  <c:v>2011</c:v>
                </c:pt>
                <c:pt idx="42">
                  <c:v>2012</c:v>
                </c:pt>
                <c:pt idx="43">
                  <c:v>2013</c:v>
                </c:pt>
                <c:pt idx="44">
                  <c:v>2014</c:v>
                </c:pt>
                <c:pt idx="45">
                  <c:v>2015</c:v>
                </c:pt>
                <c:pt idx="46">
                  <c:v>2016</c:v>
                </c:pt>
                <c:pt idx="47">
                  <c:v>2017</c:v>
                </c:pt>
                <c:pt idx="48">
                  <c:v>2018</c:v>
                </c:pt>
                <c:pt idx="49">
                  <c:v>2019</c:v>
                </c:pt>
              </c:numCache>
            </c:numRef>
          </c:cat>
          <c:val>
            <c:numRef>
              <c:f>Working!$B$16:$AY$16</c:f>
              <c:numCache>
                <c:formatCode>General</c:formatCode>
                <c:ptCount val="50"/>
                <c:pt idx="30" formatCode="#,##0.0_ ;\-#,##0.0\ ">
                  <c:v>67.731832999999995</c:v>
                </c:pt>
                <c:pt idx="31" formatCode="#,##0.0_ ;\-#,##0.0\ ">
                  <c:v>68.361556000000007</c:v>
                </c:pt>
                <c:pt idx="32" formatCode="#,##0.0_ ;\-#,##0.0\ ">
                  <c:v>68.878292999999999</c:v>
                </c:pt>
                <c:pt idx="33" formatCode="#,##0.0_ ;\-#,##0.0\ ">
                  <c:v>68.306142999999992</c:v>
                </c:pt>
                <c:pt idx="34" formatCode="#,##0.0_ ;\-#,##0.0\ ">
                  <c:v>68.110517999999999</c:v>
                </c:pt>
                <c:pt idx="35" formatCode="#,##0.0_ ;\-#,##0.0\ ">
                  <c:v>67.487040000000007</c:v>
                </c:pt>
                <c:pt idx="36" formatCode="#,##0.0_ ;\-#,##0.0\ ">
                  <c:v>68.568287999999995</c:v>
                </c:pt>
                <c:pt idx="37" formatCode="#,##0.0_ ;\-#,##0.0\ ">
                  <c:v>69.378349</c:v>
                </c:pt>
                <c:pt idx="38" formatCode="#,##0.0_ ;\-#,##0.0\ ">
                  <c:v>70.556543000000005</c:v>
                </c:pt>
                <c:pt idx="39" formatCode="#,##0.0_ ;\-#,##0.0\ ">
                  <c:v>70.548878999999999</c:v>
                </c:pt>
                <c:pt idx="40" formatCode="#,##0.0_ ;\-#,##0.0\ ">
                  <c:v>71.207639999999998</c:v>
                </c:pt>
                <c:pt idx="41" formatCode="#,##0.0_ ;\-#,##0.0\ ">
                  <c:v>71.905347000000006</c:v>
                </c:pt>
                <c:pt idx="42" formatCode="#,##0.0_ ;\-#,##0.0\ ">
                  <c:v>71.349011000000004</c:v>
                </c:pt>
                <c:pt idx="43" formatCode="#,##0.0_ ;\-#,##0.0\ ">
                  <c:v>71.841343999999992</c:v>
                </c:pt>
                <c:pt idx="44" formatCode="#,##0.0_ ;\-#,##0.0\ ">
                  <c:v>71.369590000000002</c:v>
                </c:pt>
                <c:pt idx="45" formatCode="#,##0.0_ ;\-#,##0.0\ ">
                  <c:v>71.105659000000003</c:v>
                </c:pt>
                <c:pt idx="46" formatCode="#,##0.0_ ;\-#,##0.0\ ">
                  <c:v>72.104977000000005</c:v>
                </c:pt>
                <c:pt idx="47" formatCode="#,##0.0_ ;\-#,##0.0\ ">
                  <c:v>72.277053999999993</c:v>
                </c:pt>
                <c:pt idx="48" formatCode="#,##0.0_ ;\-#,##0.0\ ">
                  <c:v>71.623677000000001</c:v>
                </c:pt>
                <c:pt idx="49" formatCode="#,##0.0_ ;\-#,##0.0\ ">
                  <c:v>71.085701999999998</c:v>
                </c:pt>
              </c:numCache>
            </c:numRef>
          </c:val>
          <c:smooth val="0"/>
          <c:extLst>
            <c:ext xmlns:c16="http://schemas.microsoft.com/office/drawing/2014/chart" uri="{C3380CC4-5D6E-409C-BE32-E72D297353CC}">
              <c16:uniqueId val="{00000004-31BD-44BE-8200-AD0487A2FDF0}"/>
            </c:ext>
          </c:extLst>
        </c:ser>
        <c:dLbls>
          <c:showLegendKey val="0"/>
          <c:showVal val="0"/>
          <c:showCatName val="0"/>
          <c:showSerName val="0"/>
          <c:showPercent val="0"/>
          <c:showBubbleSize val="0"/>
        </c:dLbls>
        <c:smooth val="0"/>
        <c:axId val="861899608"/>
        <c:axId val="750684632"/>
      </c:lineChart>
      <c:catAx>
        <c:axId val="8618996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Verdana" panose="020B0604030504040204" pitchFamily="34" charset="0"/>
                <a:ea typeface="+mn-ea"/>
                <a:cs typeface="+mn-cs"/>
              </a:defRPr>
            </a:pPr>
            <a:endParaRPr lang="en-US"/>
          </a:p>
        </c:txPr>
        <c:crossAx val="750684632"/>
        <c:crosses val="autoZero"/>
        <c:auto val="1"/>
        <c:lblAlgn val="ctr"/>
        <c:lblOffset val="100"/>
        <c:noMultiLvlLbl val="0"/>
      </c:catAx>
      <c:valAx>
        <c:axId val="75068463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Verdana" panose="020B0604030504040204" pitchFamily="34" charset="0"/>
                <a:ea typeface="+mn-ea"/>
                <a:cs typeface="+mn-cs"/>
              </a:defRPr>
            </a:pPr>
            <a:endParaRPr lang="en-US"/>
          </a:p>
        </c:txPr>
        <c:crossAx val="86189960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Verdana" panose="020B0604030504040204" pitchFamily="34" charset="0"/>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800" baseline="0">
          <a:latin typeface="Verdana" panose="020B0604030504040204" pitchFamily="34" charset="0"/>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51FB5A4D8CB3714A90B797AC39F80CD6" ma:contentTypeVersion="15" ma:contentTypeDescription="Create a new document." ma:contentTypeScope="" ma:versionID="e9a7485cbd385d8c34370ba02bfcefbe">
  <xsd:schema xmlns:xsd="http://www.w3.org/2001/XMLSchema" xmlns:xs="http://www.w3.org/2001/XMLSchema" xmlns:p="http://schemas.microsoft.com/office/2006/metadata/properties" xmlns:ns2="a59dc1bb-5b0e-47fe-abe2-b7e0ea38cbdb" xmlns:ns3="c5a873d1-aea3-4488-bc86-b3aeb44b66f3" targetNamespace="http://schemas.microsoft.com/office/2006/metadata/properties" ma:root="true" ma:fieldsID="d9981558763dda40a860034b19259762" ns2:_="" ns3:_="">
    <xsd:import namespace="a59dc1bb-5b0e-47fe-abe2-b7e0ea38cbdb"/>
    <xsd:import namespace="c5a873d1-aea3-4488-bc86-b3aeb44b66f3"/>
    <xsd:element name="properties">
      <xsd:complexType>
        <xsd:sequence>
          <xsd:element name="documentManagement">
            <xsd:complexType>
              <xsd:all>
                <xsd:element ref="ns2:TaxKeywordTaxHTField" minOccurs="0"/>
                <xsd:element ref="ns2:TaxCatchAll" minOccurs="0"/>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9dc1bb-5b0e-47fe-abe2-b7e0ea38cbdb"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5927ce2a-d703-4d88-aeb0-762fc977e677"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b14fdf27-13f2-4bcc-908f-ba071c849fe8}" ma:internalName="TaxCatchAll" ma:showField="CatchAllData" ma:web="a59dc1bb-5b0e-47fe-abe2-b7e0ea38cbdb">
      <xsd:complexType>
        <xsd:complexContent>
          <xsd:extension base="dms:MultiChoiceLookup">
            <xsd:sequence>
              <xsd:element name="Value" type="dms:Lookup" maxOccurs="unbounded" minOccurs="0" nillable="true"/>
            </xsd:sequence>
          </xsd:extension>
        </xsd:complexContent>
      </xsd:complex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5a873d1-aea3-4488-bc86-b3aeb44b66f3"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a59dc1bb-5b0e-47fe-abe2-b7e0ea38cbdb" xsi:nil="true"/>
    <TaxKeywordTaxHTField xmlns="a59dc1bb-5b0e-47fe-abe2-b7e0ea38cbdb">
      <Terms xmlns="http://schemas.microsoft.com/office/infopath/2007/PartnerControls"/>
    </TaxKeywordTaxHTField>
  </documentManagement>
</p:properties>
</file>

<file path=customXml/itemProps1.xml><?xml version="1.0" encoding="utf-8"?>
<ds:datastoreItem xmlns:ds="http://schemas.openxmlformats.org/officeDocument/2006/customXml" ds:itemID="{B40E682D-63B9-466E-AEAD-C0B585EBD9D1}">
  <ds:schemaRefs>
    <ds:schemaRef ds:uri="http://schemas.openxmlformats.org/officeDocument/2006/bibliography"/>
  </ds:schemaRefs>
</ds:datastoreItem>
</file>

<file path=customXml/itemProps2.xml><?xml version="1.0" encoding="utf-8"?>
<ds:datastoreItem xmlns:ds="http://schemas.openxmlformats.org/officeDocument/2006/customXml" ds:itemID="{03012225-A797-440B-9D46-0EBA4E95B67E}"/>
</file>

<file path=customXml/itemProps3.xml><?xml version="1.0" encoding="utf-8"?>
<ds:datastoreItem xmlns:ds="http://schemas.openxmlformats.org/officeDocument/2006/customXml" ds:itemID="{D9FB04CA-EE8D-4953-BC99-51B299632446}"/>
</file>

<file path=customXml/itemProps4.xml><?xml version="1.0" encoding="utf-8"?>
<ds:datastoreItem xmlns:ds="http://schemas.openxmlformats.org/officeDocument/2006/customXml" ds:itemID="{738CF44E-B323-480F-811E-0378F85BB5BD}"/>
</file>

<file path=docProps/app.xml><?xml version="1.0" encoding="utf-8"?>
<Properties xmlns="http://schemas.openxmlformats.org/officeDocument/2006/extended-properties" xmlns:vt="http://schemas.openxmlformats.org/officeDocument/2006/docPropsVTypes">
  <Template>Normal</Template>
  <TotalTime>3</TotalTime>
  <Pages>96</Pages>
  <Words>35244</Words>
  <Characters>200892</Characters>
  <Application>Microsoft Office Word</Application>
  <DocSecurity>0</DocSecurity>
  <Lines>1674</Lines>
  <Paragraphs>471</Paragraphs>
  <ScaleCrop>false</ScaleCrop>
  <HeadingPairs>
    <vt:vector size="2" baseType="variant">
      <vt:variant>
        <vt:lpstr>Title</vt:lpstr>
      </vt:variant>
      <vt:variant>
        <vt:i4>1</vt:i4>
      </vt:variant>
    </vt:vector>
  </HeadingPairs>
  <TitlesOfParts>
    <vt:vector size="1" baseType="lpstr">
      <vt:lpstr>Tax, foreign investment and productivity - draft long-term insights briefing - February 2022</vt:lpstr>
    </vt:vector>
  </TitlesOfParts>
  <Company>Inland Revenue</Company>
  <LinksUpToDate>false</LinksUpToDate>
  <CharactersWithSpaces>235665</CharactersWithSpaces>
  <SharedDoc>false</SharedDoc>
  <HLinks>
    <vt:vector size="666" baseType="variant">
      <vt:variant>
        <vt:i4>720902</vt:i4>
      </vt:variant>
      <vt:variant>
        <vt:i4>573</vt:i4>
      </vt:variant>
      <vt:variant>
        <vt:i4>0</vt:i4>
      </vt:variant>
      <vt:variant>
        <vt:i4>5</vt:i4>
      </vt:variant>
      <vt:variant>
        <vt:lpwstr>https://www.mbie.govt.nz/dmsdocument/15644-the-future-of-business-for-aotearoa-new-zealand-opportunities-and-implications-for-productivity-and-wellbeing</vt:lpwstr>
      </vt:variant>
      <vt:variant>
        <vt:lpwstr/>
      </vt:variant>
      <vt:variant>
        <vt:i4>5111899</vt:i4>
      </vt:variant>
      <vt:variant>
        <vt:i4>570</vt:i4>
      </vt:variant>
      <vt:variant>
        <vt:i4>0</vt:i4>
      </vt:variant>
      <vt:variant>
        <vt:i4>5</vt:i4>
      </vt:variant>
      <vt:variant>
        <vt:lpwstr>https://www.treasury.govt.nz/sites/default/files/2007-11/taxreview2001-report.pdf</vt:lpwstr>
      </vt:variant>
      <vt:variant>
        <vt:lpwstr/>
      </vt:variant>
      <vt:variant>
        <vt:i4>6</vt:i4>
      </vt:variant>
      <vt:variant>
        <vt:i4>567</vt:i4>
      </vt:variant>
      <vt:variant>
        <vt:i4>0</vt:i4>
      </vt:variant>
      <vt:variant>
        <vt:i4>5</vt:i4>
      </vt:variant>
      <vt:variant>
        <vt:lpwstr>https://ideas.repec.org/a/kap/itaxpf/v17y2010i3p315-336.html</vt:lpwstr>
      </vt:variant>
      <vt:variant>
        <vt:lpwstr/>
      </vt:variant>
      <vt:variant>
        <vt:i4>2555938</vt:i4>
      </vt:variant>
      <vt:variant>
        <vt:i4>564</vt:i4>
      </vt:variant>
      <vt:variant>
        <vt:i4>0</vt:i4>
      </vt:variant>
      <vt:variant>
        <vt:i4>5</vt:i4>
      </vt:variant>
      <vt:variant>
        <vt:lpwstr>https://openknowledge.worldbank.org/handle/10986/22924</vt:lpwstr>
      </vt:variant>
      <vt:variant>
        <vt:lpwstr/>
      </vt:variant>
      <vt:variant>
        <vt:i4>4980810</vt:i4>
      </vt:variant>
      <vt:variant>
        <vt:i4>561</vt:i4>
      </vt:variant>
      <vt:variant>
        <vt:i4>0</vt:i4>
      </vt:variant>
      <vt:variant>
        <vt:i4>5</vt:i4>
      </vt:variant>
      <vt:variant>
        <vt:lpwstr>https://taxpolicy.ird.govt.nz/publications/2021/2021-other-scope-ird-ltib-tax-liability-productivity</vt:lpwstr>
      </vt:variant>
      <vt:variant>
        <vt:lpwstr/>
      </vt:variant>
      <vt:variant>
        <vt:i4>3276852</vt:i4>
      </vt:variant>
      <vt:variant>
        <vt:i4>558</vt:i4>
      </vt:variant>
      <vt:variant>
        <vt:i4>0</vt:i4>
      </vt:variant>
      <vt:variant>
        <vt:i4>5</vt:i4>
      </vt:variant>
      <vt:variant>
        <vt:lpwstr>https://taxpolicy.ird.govt.nz/publications/2016/2016-other-nz-framework-inbound-investment</vt:lpwstr>
      </vt:variant>
      <vt:variant>
        <vt:lpwstr/>
      </vt:variant>
      <vt:variant>
        <vt:i4>7274540</vt:i4>
      </vt:variant>
      <vt:variant>
        <vt:i4>555</vt:i4>
      </vt:variant>
      <vt:variant>
        <vt:i4>0</vt:i4>
      </vt:variant>
      <vt:variant>
        <vt:i4>5</vt:i4>
      </vt:variant>
      <vt:variant>
        <vt:lpwstr>https://www.wgtn.ac.nz/cagtr/events/past-events/tax-working-group-2009/publications/4-company-tax-issues-facing-nz.pdf</vt:lpwstr>
      </vt:variant>
      <vt:variant>
        <vt:lpwstr/>
      </vt:variant>
      <vt:variant>
        <vt:i4>4915322</vt:i4>
      </vt:variant>
      <vt:variant>
        <vt:i4>552</vt:i4>
      </vt:variant>
      <vt:variant>
        <vt:i4>0</vt:i4>
      </vt:variant>
      <vt:variant>
        <vt:i4>5</vt:i4>
      </vt:variant>
      <vt:variant>
        <vt:lpwstr>https://www.oecd-ilibrary.org/taxation/corporate-effective-tax-rates_a07f9958-en</vt:lpwstr>
      </vt:variant>
      <vt:variant>
        <vt:lpwstr/>
      </vt:variant>
      <vt:variant>
        <vt:i4>5636188</vt:i4>
      </vt:variant>
      <vt:variant>
        <vt:i4>549</vt:i4>
      </vt:variant>
      <vt:variant>
        <vt:i4>0</vt:i4>
      </vt:variant>
      <vt:variant>
        <vt:i4>5</vt:i4>
      </vt:variant>
      <vt:variant>
        <vt:lpwstr>https://www.wgtn.ac.nz/cagtr/events/past-events/tax-working-group-2009/publications/4-capital-taxation-in-nz-intl-perspective.pdf</vt:lpwstr>
      </vt:variant>
      <vt:variant>
        <vt:lpwstr/>
      </vt:variant>
      <vt:variant>
        <vt:i4>5373960</vt:i4>
      </vt:variant>
      <vt:variant>
        <vt:i4>537</vt:i4>
      </vt:variant>
      <vt:variant>
        <vt:i4>0</vt:i4>
      </vt:variant>
      <vt:variant>
        <vt:i4>5</vt:i4>
      </vt:variant>
      <vt:variant>
        <vt:lpwstr>https://stats.oecd.org/Index.aspx</vt:lpwstr>
      </vt:variant>
      <vt:variant>
        <vt:lpwstr/>
      </vt:variant>
      <vt:variant>
        <vt:i4>1507391</vt:i4>
      </vt:variant>
      <vt:variant>
        <vt:i4>530</vt:i4>
      </vt:variant>
      <vt:variant>
        <vt:i4>0</vt:i4>
      </vt:variant>
      <vt:variant>
        <vt:i4>5</vt:i4>
      </vt:variant>
      <vt:variant>
        <vt:lpwstr/>
      </vt:variant>
      <vt:variant>
        <vt:lpwstr>_Toc94838364</vt:lpwstr>
      </vt:variant>
      <vt:variant>
        <vt:i4>1048639</vt:i4>
      </vt:variant>
      <vt:variant>
        <vt:i4>524</vt:i4>
      </vt:variant>
      <vt:variant>
        <vt:i4>0</vt:i4>
      </vt:variant>
      <vt:variant>
        <vt:i4>5</vt:i4>
      </vt:variant>
      <vt:variant>
        <vt:lpwstr/>
      </vt:variant>
      <vt:variant>
        <vt:lpwstr>_Toc94838363</vt:lpwstr>
      </vt:variant>
      <vt:variant>
        <vt:i4>1114175</vt:i4>
      </vt:variant>
      <vt:variant>
        <vt:i4>518</vt:i4>
      </vt:variant>
      <vt:variant>
        <vt:i4>0</vt:i4>
      </vt:variant>
      <vt:variant>
        <vt:i4>5</vt:i4>
      </vt:variant>
      <vt:variant>
        <vt:lpwstr/>
      </vt:variant>
      <vt:variant>
        <vt:lpwstr>_Toc94838362</vt:lpwstr>
      </vt:variant>
      <vt:variant>
        <vt:i4>1179711</vt:i4>
      </vt:variant>
      <vt:variant>
        <vt:i4>512</vt:i4>
      </vt:variant>
      <vt:variant>
        <vt:i4>0</vt:i4>
      </vt:variant>
      <vt:variant>
        <vt:i4>5</vt:i4>
      </vt:variant>
      <vt:variant>
        <vt:lpwstr/>
      </vt:variant>
      <vt:variant>
        <vt:lpwstr>_Toc94838361</vt:lpwstr>
      </vt:variant>
      <vt:variant>
        <vt:i4>1245247</vt:i4>
      </vt:variant>
      <vt:variant>
        <vt:i4>506</vt:i4>
      </vt:variant>
      <vt:variant>
        <vt:i4>0</vt:i4>
      </vt:variant>
      <vt:variant>
        <vt:i4>5</vt:i4>
      </vt:variant>
      <vt:variant>
        <vt:lpwstr/>
      </vt:variant>
      <vt:variant>
        <vt:lpwstr>_Toc94838360</vt:lpwstr>
      </vt:variant>
      <vt:variant>
        <vt:i4>1703996</vt:i4>
      </vt:variant>
      <vt:variant>
        <vt:i4>500</vt:i4>
      </vt:variant>
      <vt:variant>
        <vt:i4>0</vt:i4>
      </vt:variant>
      <vt:variant>
        <vt:i4>5</vt:i4>
      </vt:variant>
      <vt:variant>
        <vt:lpwstr/>
      </vt:variant>
      <vt:variant>
        <vt:lpwstr>_Toc94838359</vt:lpwstr>
      </vt:variant>
      <vt:variant>
        <vt:i4>1769532</vt:i4>
      </vt:variant>
      <vt:variant>
        <vt:i4>494</vt:i4>
      </vt:variant>
      <vt:variant>
        <vt:i4>0</vt:i4>
      </vt:variant>
      <vt:variant>
        <vt:i4>5</vt:i4>
      </vt:variant>
      <vt:variant>
        <vt:lpwstr/>
      </vt:variant>
      <vt:variant>
        <vt:lpwstr>_Toc94838358</vt:lpwstr>
      </vt:variant>
      <vt:variant>
        <vt:i4>1310780</vt:i4>
      </vt:variant>
      <vt:variant>
        <vt:i4>488</vt:i4>
      </vt:variant>
      <vt:variant>
        <vt:i4>0</vt:i4>
      </vt:variant>
      <vt:variant>
        <vt:i4>5</vt:i4>
      </vt:variant>
      <vt:variant>
        <vt:lpwstr/>
      </vt:variant>
      <vt:variant>
        <vt:lpwstr>_Toc94838357</vt:lpwstr>
      </vt:variant>
      <vt:variant>
        <vt:i4>1376316</vt:i4>
      </vt:variant>
      <vt:variant>
        <vt:i4>482</vt:i4>
      </vt:variant>
      <vt:variant>
        <vt:i4>0</vt:i4>
      </vt:variant>
      <vt:variant>
        <vt:i4>5</vt:i4>
      </vt:variant>
      <vt:variant>
        <vt:lpwstr/>
      </vt:variant>
      <vt:variant>
        <vt:lpwstr>_Toc94838356</vt:lpwstr>
      </vt:variant>
      <vt:variant>
        <vt:i4>1441852</vt:i4>
      </vt:variant>
      <vt:variant>
        <vt:i4>476</vt:i4>
      </vt:variant>
      <vt:variant>
        <vt:i4>0</vt:i4>
      </vt:variant>
      <vt:variant>
        <vt:i4>5</vt:i4>
      </vt:variant>
      <vt:variant>
        <vt:lpwstr/>
      </vt:variant>
      <vt:variant>
        <vt:lpwstr>_Toc94838355</vt:lpwstr>
      </vt:variant>
      <vt:variant>
        <vt:i4>1507388</vt:i4>
      </vt:variant>
      <vt:variant>
        <vt:i4>470</vt:i4>
      </vt:variant>
      <vt:variant>
        <vt:i4>0</vt:i4>
      </vt:variant>
      <vt:variant>
        <vt:i4>5</vt:i4>
      </vt:variant>
      <vt:variant>
        <vt:lpwstr/>
      </vt:variant>
      <vt:variant>
        <vt:lpwstr>_Toc94838354</vt:lpwstr>
      </vt:variant>
      <vt:variant>
        <vt:i4>1048636</vt:i4>
      </vt:variant>
      <vt:variant>
        <vt:i4>464</vt:i4>
      </vt:variant>
      <vt:variant>
        <vt:i4>0</vt:i4>
      </vt:variant>
      <vt:variant>
        <vt:i4>5</vt:i4>
      </vt:variant>
      <vt:variant>
        <vt:lpwstr/>
      </vt:variant>
      <vt:variant>
        <vt:lpwstr>_Toc94838353</vt:lpwstr>
      </vt:variant>
      <vt:variant>
        <vt:i4>1114172</vt:i4>
      </vt:variant>
      <vt:variant>
        <vt:i4>458</vt:i4>
      </vt:variant>
      <vt:variant>
        <vt:i4>0</vt:i4>
      </vt:variant>
      <vt:variant>
        <vt:i4>5</vt:i4>
      </vt:variant>
      <vt:variant>
        <vt:lpwstr/>
      </vt:variant>
      <vt:variant>
        <vt:lpwstr>_Toc94838352</vt:lpwstr>
      </vt:variant>
      <vt:variant>
        <vt:i4>1179708</vt:i4>
      </vt:variant>
      <vt:variant>
        <vt:i4>452</vt:i4>
      </vt:variant>
      <vt:variant>
        <vt:i4>0</vt:i4>
      </vt:variant>
      <vt:variant>
        <vt:i4>5</vt:i4>
      </vt:variant>
      <vt:variant>
        <vt:lpwstr/>
      </vt:variant>
      <vt:variant>
        <vt:lpwstr>_Toc94838351</vt:lpwstr>
      </vt:variant>
      <vt:variant>
        <vt:i4>1245244</vt:i4>
      </vt:variant>
      <vt:variant>
        <vt:i4>446</vt:i4>
      </vt:variant>
      <vt:variant>
        <vt:i4>0</vt:i4>
      </vt:variant>
      <vt:variant>
        <vt:i4>5</vt:i4>
      </vt:variant>
      <vt:variant>
        <vt:lpwstr/>
      </vt:variant>
      <vt:variant>
        <vt:lpwstr>_Toc94838350</vt:lpwstr>
      </vt:variant>
      <vt:variant>
        <vt:i4>1703997</vt:i4>
      </vt:variant>
      <vt:variant>
        <vt:i4>440</vt:i4>
      </vt:variant>
      <vt:variant>
        <vt:i4>0</vt:i4>
      </vt:variant>
      <vt:variant>
        <vt:i4>5</vt:i4>
      </vt:variant>
      <vt:variant>
        <vt:lpwstr/>
      </vt:variant>
      <vt:variant>
        <vt:lpwstr>_Toc94838349</vt:lpwstr>
      </vt:variant>
      <vt:variant>
        <vt:i4>1769533</vt:i4>
      </vt:variant>
      <vt:variant>
        <vt:i4>434</vt:i4>
      </vt:variant>
      <vt:variant>
        <vt:i4>0</vt:i4>
      </vt:variant>
      <vt:variant>
        <vt:i4>5</vt:i4>
      </vt:variant>
      <vt:variant>
        <vt:lpwstr/>
      </vt:variant>
      <vt:variant>
        <vt:lpwstr>_Toc94838348</vt:lpwstr>
      </vt:variant>
      <vt:variant>
        <vt:i4>1310781</vt:i4>
      </vt:variant>
      <vt:variant>
        <vt:i4>428</vt:i4>
      </vt:variant>
      <vt:variant>
        <vt:i4>0</vt:i4>
      </vt:variant>
      <vt:variant>
        <vt:i4>5</vt:i4>
      </vt:variant>
      <vt:variant>
        <vt:lpwstr/>
      </vt:variant>
      <vt:variant>
        <vt:lpwstr>_Toc94838347</vt:lpwstr>
      </vt:variant>
      <vt:variant>
        <vt:i4>1376317</vt:i4>
      </vt:variant>
      <vt:variant>
        <vt:i4>422</vt:i4>
      </vt:variant>
      <vt:variant>
        <vt:i4>0</vt:i4>
      </vt:variant>
      <vt:variant>
        <vt:i4>5</vt:i4>
      </vt:variant>
      <vt:variant>
        <vt:lpwstr/>
      </vt:variant>
      <vt:variant>
        <vt:lpwstr>_Toc94838346</vt:lpwstr>
      </vt:variant>
      <vt:variant>
        <vt:i4>1441853</vt:i4>
      </vt:variant>
      <vt:variant>
        <vt:i4>416</vt:i4>
      </vt:variant>
      <vt:variant>
        <vt:i4>0</vt:i4>
      </vt:variant>
      <vt:variant>
        <vt:i4>5</vt:i4>
      </vt:variant>
      <vt:variant>
        <vt:lpwstr/>
      </vt:variant>
      <vt:variant>
        <vt:lpwstr>_Toc94838345</vt:lpwstr>
      </vt:variant>
      <vt:variant>
        <vt:i4>1507389</vt:i4>
      </vt:variant>
      <vt:variant>
        <vt:i4>410</vt:i4>
      </vt:variant>
      <vt:variant>
        <vt:i4>0</vt:i4>
      </vt:variant>
      <vt:variant>
        <vt:i4>5</vt:i4>
      </vt:variant>
      <vt:variant>
        <vt:lpwstr/>
      </vt:variant>
      <vt:variant>
        <vt:lpwstr>_Toc94838344</vt:lpwstr>
      </vt:variant>
      <vt:variant>
        <vt:i4>1048637</vt:i4>
      </vt:variant>
      <vt:variant>
        <vt:i4>404</vt:i4>
      </vt:variant>
      <vt:variant>
        <vt:i4>0</vt:i4>
      </vt:variant>
      <vt:variant>
        <vt:i4>5</vt:i4>
      </vt:variant>
      <vt:variant>
        <vt:lpwstr/>
      </vt:variant>
      <vt:variant>
        <vt:lpwstr>_Toc94838343</vt:lpwstr>
      </vt:variant>
      <vt:variant>
        <vt:i4>1114173</vt:i4>
      </vt:variant>
      <vt:variant>
        <vt:i4>398</vt:i4>
      </vt:variant>
      <vt:variant>
        <vt:i4>0</vt:i4>
      </vt:variant>
      <vt:variant>
        <vt:i4>5</vt:i4>
      </vt:variant>
      <vt:variant>
        <vt:lpwstr/>
      </vt:variant>
      <vt:variant>
        <vt:lpwstr>_Toc94838342</vt:lpwstr>
      </vt:variant>
      <vt:variant>
        <vt:i4>1179709</vt:i4>
      </vt:variant>
      <vt:variant>
        <vt:i4>392</vt:i4>
      </vt:variant>
      <vt:variant>
        <vt:i4>0</vt:i4>
      </vt:variant>
      <vt:variant>
        <vt:i4>5</vt:i4>
      </vt:variant>
      <vt:variant>
        <vt:lpwstr/>
      </vt:variant>
      <vt:variant>
        <vt:lpwstr>_Toc94838341</vt:lpwstr>
      </vt:variant>
      <vt:variant>
        <vt:i4>1245245</vt:i4>
      </vt:variant>
      <vt:variant>
        <vt:i4>386</vt:i4>
      </vt:variant>
      <vt:variant>
        <vt:i4>0</vt:i4>
      </vt:variant>
      <vt:variant>
        <vt:i4>5</vt:i4>
      </vt:variant>
      <vt:variant>
        <vt:lpwstr/>
      </vt:variant>
      <vt:variant>
        <vt:lpwstr>_Toc94838340</vt:lpwstr>
      </vt:variant>
      <vt:variant>
        <vt:i4>1703994</vt:i4>
      </vt:variant>
      <vt:variant>
        <vt:i4>380</vt:i4>
      </vt:variant>
      <vt:variant>
        <vt:i4>0</vt:i4>
      </vt:variant>
      <vt:variant>
        <vt:i4>5</vt:i4>
      </vt:variant>
      <vt:variant>
        <vt:lpwstr/>
      </vt:variant>
      <vt:variant>
        <vt:lpwstr>_Toc94838339</vt:lpwstr>
      </vt:variant>
      <vt:variant>
        <vt:i4>1769530</vt:i4>
      </vt:variant>
      <vt:variant>
        <vt:i4>374</vt:i4>
      </vt:variant>
      <vt:variant>
        <vt:i4>0</vt:i4>
      </vt:variant>
      <vt:variant>
        <vt:i4>5</vt:i4>
      </vt:variant>
      <vt:variant>
        <vt:lpwstr/>
      </vt:variant>
      <vt:variant>
        <vt:lpwstr>_Toc94838338</vt:lpwstr>
      </vt:variant>
      <vt:variant>
        <vt:i4>1310778</vt:i4>
      </vt:variant>
      <vt:variant>
        <vt:i4>368</vt:i4>
      </vt:variant>
      <vt:variant>
        <vt:i4>0</vt:i4>
      </vt:variant>
      <vt:variant>
        <vt:i4>5</vt:i4>
      </vt:variant>
      <vt:variant>
        <vt:lpwstr/>
      </vt:variant>
      <vt:variant>
        <vt:lpwstr>_Toc94838337</vt:lpwstr>
      </vt:variant>
      <vt:variant>
        <vt:i4>1376314</vt:i4>
      </vt:variant>
      <vt:variant>
        <vt:i4>362</vt:i4>
      </vt:variant>
      <vt:variant>
        <vt:i4>0</vt:i4>
      </vt:variant>
      <vt:variant>
        <vt:i4>5</vt:i4>
      </vt:variant>
      <vt:variant>
        <vt:lpwstr/>
      </vt:variant>
      <vt:variant>
        <vt:lpwstr>_Toc94838336</vt:lpwstr>
      </vt:variant>
      <vt:variant>
        <vt:i4>1441850</vt:i4>
      </vt:variant>
      <vt:variant>
        <vt:i4>356</vt:i4>
      </vt:variant>
      <vt:variant>
        <vt:i4>0</vt:i4>
      </vt:variant>
      <vt:variant>
        <vt:i4>5</vt:i4>
      </vt:variant>
      <vt:variant>
        <vt:lpwstr/>
      </vt:variant>
      <vt:variant>
        <vt:lpwstr>_Toc94838335</vt:lpwstr>
      </vt:variant>
      <vt:variant>
        <vt:i4>1507386</vt:i4>
      </vt:variant>
      <vt:variant>
        <vt:i4>350</vt:i4>
      </vt:variant>
      <vt:variant>
        <vt:i4>0</vt:i4>
      </vt:variant>
      <vt:variant>
        <vt:i4>5</vt:i4>
      </vt:variant>
      <vt:variant>
        <vt:lpwstr/>
      </vt:variant>
      <vt:variant>
        <vt:lpwstr>_Toc94838334</vt:lpwstr>
      </vt:variant>
      <vt:variant>
        <vt:i4>1048634</vt:i4>
      </vt:variant>
      <vt:variant>
        <vt:i4>344</vt:i4>
      </vt:variant>
      <vt:variant>
        <vt:i4>0</vt:i4>
      </vt:variant>
      <vt:variant>
        <vt:i4>5</vt:i4>
      </vt:variant>
      <vt:variant>
        <vt:lpwstr/>
      </vt:variant>
      <vt:variant>
        <vt:lpwstr>_Toc94838333</vt:lpwstr>
      </vt:variant>
      <vt:variant>
        <vt:i4>1114170</vt:i4>
      </vt:variant>
      <vt:variant>
        <vt:i4>338</vt:i4>
      </vt:variant>
      <vt:variant>
        <vt:i4>0</vt:i4>
      </vt:variant>
      <vt:variant>
        <vt:i4>5</vt:i4>
      </vt:variant>
      <vt:variant>
        <vt:lpwstr/>
      </vt:variant>
      <vt:variant>
        <vt:lpwstr>_Toc94838332</vt:lpwstr>
      </vt:variant>
      <vt:variant>
        <vt:i4>1179706</vt:i4>
      </vt:variant>
      <vt:variant>
        <vt:i4>332</vt:i4>
      </vt:variant>
      <vt:variant>
        <vt:i4>0</vt:i4>
      </vt:variant>
      <vt:variant>
        <vt:i4>5</vt:i4>
      </vt:variant>
      <vt:variant>
        <vt:lpwstr/>
      </vt:variant>
      <vt:variant>
        <vt:lpwstr>_Toc94838331</vt:lpwstr>
      </vt:variant>
      <vt:variant>
        <vt:i4>1245242</vt:i4>
      </vt:variant>
      <vt:variant>
        <vt:i4>326</vt:i4>
      </vt:variant>
      <vt:variant>
        <vt:i4>0</vt:i4>
      </vt:variant>
      <vt:variant>
        <vt:i4>5</vt:i4>
      </vt:variant>
      <vt:variant>
        <vt:lpwstr/>
      </vt:variant>
      <vt:variant>
        <vt:lpwstr>_Toc94838330</vt:lpwstr>
      </vt:variant>
      <vt:variant>
        <vt:i4>1703995</vt:i4>
      </vt:variant>
      <vt:variant>
        <vt:i4>320</vt:i4>
      </vt:variant>
      <vt:variant>
        <vt:i4>0</vt:i4>
      </vt:variant>
      <vt:variant>
        <vt:i4>5</vt:i4>
      </vt:variant>
      <vt:variant>
        <vt:lpwstr/>
      </vt:variant>
      <vt:variant>
        <vt:lpwstr>_Toc94838329</vt:lpwstr>
      </vt:variant>
      <vt:variant>
        <vt:i4>1769531</vt:i4>
      </vt:variant>
      <vt:variant>
        <vt:i4>314</vt:i4>
      </vt:variant>
      <vt:variant>
        <vt:i4>0</vt:i4>
      </vt:variant>
      <vt:variant>
        <vt:i4>5</vt:i4>
      </vt:variant>
      <vt:variant>
        <vt:lpwstr/>
      </vt:variant>
      <vt:variant>
        <vt:lpwstr>_Toc94838328</vt:lpwstr>
      </vt:variant>
      <vt:variant>
        <vt:i4>1310779</vt:i4>
      </vt:variant>
      <vt:variant>
        <vt:i4>308</vt:i4>
      </vt:variant>
      <vt:variant>
        <vt:i4>0</vt:i4>
      </vt:variant>
      <vt:variant>
        <vt:i4>5</vt:i4>
      </vt:variant>
      <vt:variant>
        <vt:lpwstr/>
      </vt:variant>
      <vt:variant>
        <vt:lpwstr>_Toc94838327</vt:lpwstr>
      </vt:variant>
      <vt:variant>
        <vt:i4>1376315</vt:i4>
      </vt:variant>
      <vt:variant>
        <vt:i4>302</vt:i4>
      </vt:variant>
      <vt:variant>
        <vt:i4>0</vt:i4>
      </vt:variant>
      <vt:variant>
        <vt:i4>5</vt:i4>
      </vt:variant>
      <vt:variant>
        <vt:lpwstr/>
      </vt:variant>
      <vt:variant>
        <vt:lpwstr>_Toc94838326</vt:lpwstr>
      </vt:variant>
      <vt:variant>
        <vt:i4>1441851</vt:i4>
      </vt:variant>
      <vt:variant>
        <vt:i4>296</vt:i4>
      </vt:variant>
      <vt:variant>
        <vt:i4>0</vt:i4>
      </vt:variant>
      <vt:variant>
        <vt:i4>5</vt:i4>
      </vt:variant>
      <vt:variant>
        <vt:lpwstr/>
      </vt:variant>
      <vt:variant>
        <vt:lpwstr>_Toc94838325</vt:lpwstr>
      </vt:variant>
      <vt:variant>
        <vt:i4>1507387</vt:i4>
      </vt:variant>
      <vt:variant>
        <vt:i4>290</vt:i4>
      </vt:variant>
      <vt:variant>
        <vt:i4>0</vt:i4>
      </vt:variant>
      <vt:variant>
        <vt:i4>5</vt:i4>
      </vt:variant>
      <vt:variant>
        <vt:lpwstr/>
      </vt:variant>
      <vt:variant>
        <vt:lpwstr>_Toc94838324</vt:lpwstr>
      </vt:variant>
      <vt:variant>
        <vt:i4>1048635</vt:i4>
      </vt:variant>
      <vt:variant>
        <vt:i4>284</vt:i4>
      </vt:variant>
      <vt:variant>
        <vt:i4>0</vt:i4>
      </vt:variant>
      <vt:variant>
        <vt:i4>5</vt:i4>
      </vt:variant>
      <vt:variant>
        <vt:lpwstr/>
      </vt:variant>
      <vt:variant>
        <vt:lpwstr>_Toc94838323</vt:lpwstr>
      </vt:variant>
      <vt:variant>
        <vt:i4>1114171</vt:i4>
      </vt:variant>
      <vt:variant>
        <vt:i4>278</vt:i4>
      </vt:variant>
      <vt:variant>
        <vt:i4>0</vt:i4>
      </vt:variant>
      <vt:variant>
        <vt:i4>5</vt:i4>
      </vt:variant>
      <vt:variant>
        <vt:lpwstr/>
      </vt:variant>
      <vt:variant>
        <vt:lpwstr>_Toc94838322</vt:lpwstr>
      </vt:variant>
      <vt:variant>
        <vt:i4>1179707</vt:i4>
      </vt:variant>
      <vt:variant>
        <vt:i4>272</vt:i4>
      </vt:variant>
      <vt:variant>
        <vt:i4>0</vt:i4>
      </vt:variant>
      <vt:variant>
        <vt:i4>5</vt:i4>
      </vt:variant>
      <vt:variant>
        <vt:lpwstr/>
      </vt:variant>
      <vt:variant>
        <vt:lpwstr>_Toc94838321</vt:lpwstr>
      </vt:variant>
      <vt:variant>
        <vt:i4>1245243</vt:i4>
      </vt:variant>
      <vt:variant>
        <vt:i4>266</vt:i4>
      </vt:variant>
      <vt:variant>
        <vt:i4>0</vt:i4>
      </vt:variant>
      <vt:variant>
        <vt:i4>5</vt:i4>
      </vt:variant>
      <vt:variant>
        <vt:lpwstr/>
      </vt:variant>
      <vt:variant>
        <vt:lpwstr>_Toc94838320</vt:lpwstr>
      </vt:variant>
      <vt:variant>
        <vt:i4>1703992</vt:i4>
      </vt:variant>
      <vt:variant>
        <vt:i4>260</vt:i4>
      </vt:variant>
      <vt:variant>
        <vt:i4>0</vt:i4>
      </vt:variant>
      <vt:variant>
        <vt:i4>5</vt:i4>
      </vt:variant>
      <vt:variant>
        <vt:lpwstr/>
      </vt:variant>
      <vt:variant>
        <vt:lpwstr>_Toc94838319</vt:lpwstr>
      </vt:variant>
      <vt:variant>
        <vt:i4>1769528</vt:i4>
      </vt:variant>
      <vt:variant>
        <vt:i4>254</vt:i4>
      </vt:variant>
      <vt:variant>
        <vt:i4>0</vt:i4>
      </vt:variant>
      <vt:variant>
        <vt:i4>5</vt:i4>
      </vt:variant>
      <vt:variant>
        <vt:lpwstr/>
      </vt:variant>
      <vt:variant>
        <vt:lpwstr>_Toc94838318</vt:lpwstr>
      </vt:variant>
      <vt:variant>
        <vt:i4>1310776</vt:i4>
      </vt:variant>
      <vt:variant>
        <vt:i4>248</vt:i4>
      </vt:variant>
      <vt:variant>
        <vt:i4>0</vt:i4>
      </vt:variant>
      <vt:variant>
        <vt:i4>5</vt:i4>
      </vt:variant>
      <vt:variant>
        <vt:lpwstr/>
      </vt:variant>
      <vt:variant>
        <vt:lpwstr>_Toc94838317</vt:lpwstr>
      </vt:variant>
      <vt:variant>
        <vt:i4>1376312</vt:i4>
      </vt:variant>
      <vt:variant>
        <vt:i4>242</vt:i4>
      </vt:variant>
      <vt:variant>
        <vt:i4>0</vt:i4>
      </vt:variant>
      <vt:variant>
        <vt:i4>5</vt:i4>
      </vt:variant>
      <vt:variant>
        <vt:lpwstr/>
      </vt:variant>
      <vt:variant>
        <vt:lpwstr>_Toc94838316</vt:lpwstr>
      </vt:variant>
      <vt:variant>
        <vt:i4>1441848</vt:i4>
      </vt:variant>
      <vt:variant>
        <vt:i4>236</vt:i4>
      </vt:variant>
      <vt:variant>
        <vt:i4>0</vt:i4>
      </vt:variant>
      <vt:variant>
        <vt:i4>5</vt:i4>
      </vt:variant>
      <vt:variant>
        <vt:lpwstr/>
      </vt:variant>
      <vt:variant>
        <vt:lpwstr>_Toc94838315</vt:lpwstr>
      </vt:variant>
      <vt:variant>
        <vt:i4>1507384</vt:i4>
      </vt:variant>
      <vt:variant>
        <vt:i4>230</vt:i4>
      </vt:variant>
      <vt:variant>
        <vt:i4>0</vt:i4>
      </vt:variant>
      <vt:variant>
        <vt:i4>5</vt:i4>
      </vt:variant>
      <vt:variant>
        <vt:lpwstr/>
      </vt:variant>
      <vt:variant>
        <vt:lpwstr>_Toc94838314</vt:lpwstr>
      </vt:variant>
      <vt:variant>
        <vt:i4>1048632</vt:i4>
      </vt:variant>
      <vt:variant>
        <vt:i4>224</vt:i4>
      </vt:variant>
      <vt:variant>
        <vt:i4>0</vt:i4>
      </vt:variant>
      <vt:variant>
        <vt:i4>5</vt:i4>
      </vt:variant>
      <vt:variant>
        <vt:lpwstr/>
      </vt:variant>
      <vt:variant>
        <vt:lpwstr>_Toc94838313</vt:lpwstr>
      </vt:variant>
      <vt:variant>
        <vt:i4>1114168</vt:i4>
      </vt:variant>
      <vt:variant>
        <vt:i4>218</vt:i4>
      </vt:variant>
      <vt:variant>
        <vt:i4>0</vt:i4>
      </vt:variant>
      <vt:variant>
        <vt:i4>5</vt:i4>
      </vt:variant>
      <vt:variant>
        <vt:lpwstr/>
      </vt:variant>
      <vt:variant>
        <vt:lpwstr>_Toc94838312</vt:lpwstr>
      </vt:variant>
      <vt:variant>
        <vt:i4>1179704</vt:i4>
      </vt:variant>
      <vt:variant>
        <vt:i4>212</vt:i4>
      </vt:variant>
      <vt:variant>
        <vt:i4>0</vt:i4>
      </vt:variant>
      <vt:variant>
        <vt:i4>5</vt:i4>
      </vt:variant>
      <vt:variant>
        <vt:lpwstr/>
      </vt:variant>
      <vt:variant>
        <vt:lpwstr>_Toc94838311</vt:lpwstr>
      </vt:variant>
      <vt:variant>
        <vt:i4>1245240</vt:i4>
      </vt:variant>
      <vt:variant>
        <vt:i4>206</vt:i4>
      </vt:variant>
      <vt:variant>
        <vt:i4>0</vt:i4>
      </vt:variant>
      <vt:variant>
        <vt:i4>5</vt:i4>
      </vt:variant>
      <vt:variant>
        <vt:lpwstr/>
      </vt:variant>
      <vt:variant>
        <vt:lpwstr>_Toc94838310</vt:lpwstr>
      </vt:variant>
      <vt:variant>
        <vt:i4>1703993</vt:i4>
      </vt:variant>
      <vt:variant>
        <vt:i4>200</vt:i4>
      </vt:variant>
      <vt:variant>
        <vt:i4>0</vt:i4>
      </vt:variant>
      <vt:variant>
        <vt:i4>5</vt:i4>
      </vt:variant>
      <vt:variant>
        <vt:lpwstr/>
      </vt:variant>
      <vt:variant>
        <vt:lpwstr>_Toc94838309</vt:lpwstr>
      </vt:variant>
      <vt:variant>
        <vt:i4>1769529</vt:i4>
      </vt:variant>
      <vt:variant>
        <vt:i4>194</vt:i4>
      </vt:variant>
      <vt:variant>
        <vt:i4>0</vt:i4>
      </vt:variant>
      <vt:variant>
        <vt:i4>5</vt:i4>
      </vt:variant>
      <vt:variant>
        <vt:lpwstr/>
      </vt:variant>
      <vt:variant>
        <vt:lpwstr>_Toc94838308</vt:lpwstr>
      </vt:variant>
      <vt:variant>
        <vt:i4>1310777</vt:i4>
      </vt:variant>
      <vt:variant>
        <vt:i4>188</vt:i4>
      </vt:variant>
      <vt:variant>
        <vt:i4>0</vt:i4>
      </vt:variant>
      <vt:variant>
        <vt:i4>5</vt:i4>
      </vt:variant>
      <vt:variant>
        <vt:lpwstr/>
      </vt:variant>
      <vt:variant>
        <vt:lpwstr>_Toc94838307</vt:lpwstr>
      </vt:variant>
      <vt:variant>
        <vt:i4>1376313</vt:i4>
      </vt:variant>
      <vt:variant>
        <vt:i4>182</vt:i4>
      </vt:variant>
      <vt:variant>
        <vt:i4>0</vt:i4>
      </vt:variant>
      <vt:variant>
        <vt:i4>5</vt:i4>
      </vt:variant>
      <vt:variant>
        <vt:lpwstr/>
      </vt:variant>
      <vt:variant>
        <vt:lpwstr>_Toc94838306</vt:lpwstr>
      </vt:variant>
      <vt:variant>
        <vt:i4>1441849</vt:i4>
      </vt:variant>
      <vt:variant>
        <vt:i4>176</vt:i4>
      </vt:variant>
      <vt:variant>
        <vt:i4>0</vt:i4>
      </vt:variant>
      <vt:variant>
        <vt:i4>5</vt:i4>
      </vt:variant>
      <vt:variant>
        <vt:lpwstr/>
      </vt:variant>
      <vt:variant>
        <vt:lpwstr>_Toc94838305</vt:lpwstr>
      </vt:variant>
      <vt:variant>
        <vt:i4>1507385</vt:i4>
      </vt:variant>
      <vt:variant>
        <vt:i4>170</vt:i4>
      </vt:variant>
      <vt:variant>
        <vt:i4>0</vt:i4>
      </vt:variant>
      <vt:variant>
        <vt:i4>5</vt:i4>
      </vt:variant>
      <vt:variant>
        <vt:lpwstr/>
      </vt:variant>
      <vt:variant>
        <vt:lpwstr>_Toc94838304</vt:lpwstr>
      </vt:variant>
      <vt:variant>
        <vt:i4>1048633</vt:i4>
      </vt:variant>
      <vt:variant>
        <vt:i4>164</vt:i4>
      </vt:variant>
      <vt:variant>
        <vt:i4>0</vt:i4>
      </vt:variant>
      <vt:variant>
        <vt:i4>5</vt:i4>
      </vt:variant>
      <vt:variant>
        <vt:lpwstr/>
      </vt:variant>
      <vt:variant>
        <vt:lpwstr>_Toc94838303</vt:lpwstr>
      </vt:variant>
      <vt:variant>
        <vt:i4>1114169</vt:i4>
      </vt:variant>
      <vt:variant>
        <vt:i4>158</vt:i4>
      </vt:variant>
      <vt:variant>
        <vt:i4>0</vt:i4>
      </vt:variant>
      <vt:variant>
        <vt:i4>5</vt:i4>
      </vt:variant>
      <vt:variant>
        <vt:lpwstr/>
      </vt:variant>
      <vt:variant>
        <vt:lpwstr>_Toc94838302</vt:lpwstr>
      </vt:variant>
      <vt:variant>
        <vt:i4>1179705</vt:i4>
      </vt:variant>
      <vt:variant>
        <vt:i4>152</vt:i4>
      </vt:variant>
      <vt:variant>
        <vt:i4>0</vt:i4>
      </vt:variant>
      <vt:variant>
        <vt:i4>5</vt:i4>
      </vt:variant>
      <vt:variant>
        <vt:lpwstr/>
      </vt:variant>
      <vt:variant>
        <vt:lpwstr>_Toc94838301</vt:lpwstr>
      </vt:variant>
      <vt:variant>
        <vt:i4>1245241</vt:i4>
      </vt:variant>
      <vt:variant>
        <vt:i4>146</vt:i4>
      </vt:variant>
      <vt:variant>
        <vt:i4>0</vt:i4>
      </vt:variant>
      <vt:variant>
        <vt:i4>5</vt:i4>
      </vt:variant>
      <vt:variant>
        <vt:lpwstr/>
      </vt:variant>
      <vt:variant>
        <vt:lpwstr>_Toc94838300</vt:lpwstr>
      </vt:variant>
      <vt:variant>
        <vt:i4>1769520</vt:i4>
      </vt:variant>
      <vt:variant>
        <vt:i4>140</vt:i4>
      </vt:variant>
      <vt:variant>
        <vt:i4>0</vt:i4>
      </vt:variant>
      <vt:variant>
        <vt:i4>5</vt:i4>
      </vt:variant>
      <vt:variant>
        <vt:lpwstr/>
      </vt:variant>
      <vt:variant>
        <vt:lpwstr>_Toc94838299</vt:lpwstr>
      </vt:variant>
      <vt:variant>
        <vt:i4>1703984</vt:i4>
      </vt:variant>
      <vt:variant>
        <vt:i4>134</vt:i4>
      </vt:variant>
      <vt:variant>
        <vt:i4>0</vt:i4>
      </vt:variant>
      <vt:variant>
        <vt:i4>5</vt:i4>
      </vt:variant>
      <vt:variant>
        <vt:lpwstr/>
      </vt:variant>
      <vt:variant>
        <vt:lpwstr>_Toc94838298</vt:lpwstr>
      </vt:variant>
      <vt:variant>
        <vt:i4>1376304</vt:i4>
      </vt:variant>
      <vt:variant>
        <vt:i4>128</vt:i4>
      </vt:variant>
      <vt:variant>
        <vt:i4>0</vt:i4>
      </vt:variant>
      <vt:variant>
        <vt:i4>5</vt:i4>
      </vt:variant>
      <vt:variant>
        <vt:lpwstr/>
      </vt:variant>
      <vt:variant>
        <vt:lpwstr>_Toc94838297</vt:lpwstr>
      </vt:variant>
      <vt:variant>
        <vt:i4>1310768</vt:i4>
      </vt:variant>
      <vt:variant>
        <vt:i4>122</vt:i4>
      </vt:variant>
      <vt:variant>
        <vt:i4>0</vt:i4>
      </vt:variant>
      <vt:variant>
        <vt:i4>5</vt:i4>
      </vt:variant>
      <vt:variant>
        <vt:lpwstr/>
      </vt:variant>
      <vt:variant>
        <vt:lpwstr>_Toc94838296</vt:lpwstr>
      </vt:variant>
      <vt:variant>
        <vt:i4>1507376</vt:i4>
      </vt:variant>
      <vt:variant>
        <vt:i4>116</vt:i4>
      </vt:variant>
      <vt:variant>
        <vt:i4>0</vt:i4>
      </vt:variant>
      <vt:variant>
        <vt:i4>5</vt:i4>
      </vt:variant>
      <vt:variant>
        <vt:lpwstr/>
      </vt:variant>
      <vt:variant>
        <vt:lpwstr>_Toc94838295</vt:lpwstr>
      </vt:variant>
      <vt:variant>
        <vt:i4>1441840</vt:i4>
      </vt:variant>
      <vt:variant>
        <vt:i4>110</vt:i4>
      </vt:variant>
      <vt:variant>
        <vt:i4>0</vt:i4>
      </vt:variant>
      <vt:variant>
        <vt:i4>5</vt:i4>
      </vt:variant>
      <vt:variant>
        <vt:lpwstr/>
      </vt:variant>
      <vt:variant>
        <vt:lpwstr>_Toc94838294</vt:lpwstr>
      </vt:variant>
      <vt:variant>
        <vt:i4>1114160</vt:i4>
      </vt:variant>
      <vt:variant>
        <vt:i4>104</vt:i4>
      </vt:variant>
      <vt:variant>
        <vt:i4>0</vt:i4>
      </vt:variant>
      <vt:variant>
        <vt:i4>5</vt:i4>
      </vt:variant>
      <vt:variant>
        <vt:lpwstr/>
      </vt:variant>
      <vt:variant>
        <vt:lpwstr>_Toc94838293</vt:lpwstr>
      </vt:variant>
      <vt:variant>
        <vt:i4>1048624</vt:i4>
      </vt:variant>
      <vt:variant>
        <vt:i4>98</vt:i4>
      </vt:variant>
      <vt:variant>
        <vt:i4>0</vt:i4>
      </vt:variant>
      <vt:variant>
        <vt:i4>5</vt:i4>
      </vt:variant>
      <vt:variant>
        <vt:lpwstr/>
      </vt:variant>
      <vt:variant>
        <vt:lpwstr>_Toc94838292</vt:lpwstr>
      </vt:variant>
      <vt:variant>
        <vt:i4>1245232</vt:i4>
      </vt:variant>
      <vt:variant>
        <vt:i4>92</vt:i4>
      </vt:variant>
      <vt:variant>
        <vt:i4>0</vt:i4>
      </vt:variant>
      <vt:variant>
        <vt:i4>5</vt:i4>
      </vt:variant>
      <vt:variant>
        <vt:lpwstr/>
      </vt:variant>
      <vt:variant>
        <vt:lpwstr>_Toc94838291</vt:lpwstr>
      </vt:variant>
      <vt:variant>
        <vt:i4>1179696</vt:i4>
      </vt:variant>
      <vt:variant>
        <vt:i4>86</vt:i4>
      </vt:variant>
      <vt:variant>
        <vt:i4>0</vt:i4>
      </vt:variant>
      <vt:variant>
        <vt:i4>5</vt:i4>
      </vt:variant>
      <vt:variant>
        <vt:lpwstr/>
      </vt:variant>
      <vt:variant>
        <vt:lpwstr>_Toc94838290</vt:lpwstr>
      </vt:variant>
      <vt:variant>
        <vt:i4>1769521</vt:i4>
      </vt:variant>
      <vt:variant>
        <vt:i4>80</vt:i4>
      </vt:variant>
      <vt:variant>
        <vt:i4>0</vt:i4>
      </vt:variant>
      <vt:variant>
        <vt:i4>5</vt:i4>
      </vt:variant>
      <vt:variant>
        <vt:lpwstr/>
      </vt:variant>
      <vt:variant>
        <vt:lpwstr>_Toc94838289</vt:lpwstr>
      </vt:variant>
      <vt:variant>
        <vt:i4>1703985</vt:i4>
      </vt:variant>
      <vt:variant>
        <vt:i4>74</vt:i4>
      </vt:variant>
      <vt:variant>
        <vt:i4>0</vt:i4>
      </vt:variant>
      <vt:variant>
        <vt:i4>5</vt:i4>
      </vt:variant>
      <vt:variant>
        <vt:lpwstr/>
      </vt:variant>
      <vt:variant>
        <vt:lpwstr>_Toc94838288</vt:lpwstr>
      </vt:variant>
      <vt:variant>
        <vt:i4>1376305</vt:i4>
      </vt:variant>
      <vt:variant>
        <vt:i4>68</vt:i4>
      </vt:variant>
      <vt:variant>
        <vt:i4>0</vt:i4>
      </vt:variant>
      <vt:variant>
        <vt:i4>5</vt:i4>
      </vt:variant>
      <vt:variant>
        <vt:lpwstr/>
      </vt:variant>
      <vt:variant>
        <vt:lpwstr>_Toc94838287</vt:lpwstr>
      </vt:variant>
      <vt:variant>
        <vt:i4>1310769</vt:i4>
      </vt:variant>
      <vt:variant>
        <vt:i4>62</vt:i4>
      </vt:variant>
      <vt:variant>
        <vt:i4>0</vt:i4>
      </vt:variant>
      <vt:variant>
        <vt:i4>5</vt:i4>
      </vt:variant>
      <vt:variant>
        <vt:lpwstr/>
      </vt:variant>
      <vt:variant>
        <vt:lpwstr>_Toc94838286</vt:lpwstr>
      </vt:variant>
      <vt:variant>
        <vt:i4>1507377</vt:i4>
      </vt:variant>
      <vt:variant>
        <vt:i4>56</vt:i4>
      </vt:variant>
      <vt:variant>
        <vt:i4>0</vt:i4>
      </vt:variant>
      <vt:variant>
        <vt:i4>5</vt:i4>
      </vt:variant>
      <vt:variant>
        <vt:lpwstr/>
      </vt:variant>
      <vt:variant>
        <vt:lpwstr>_Toc94838285</vt:lpwstr>
      </vt:variant>
      <vt:variant>
        <vt:i4>1441841</vt:i4>
      </vt:variant>
      <vt:variant>
        <vt:i4>50</vt:i4>
      </vt:variant>
      <vt:variant>
        <vt:i4>0</vt:i4>
      </vt:variant>
      <vt:variant>
        <vt:i4>5</vt:i4>
      </vt:variant>
      <vt:variant>
        <vt:lpwstr/>
      </vt:variant>
      <vt:variant>
        <vt:lpwstr>_Toc94838284</vt:lpwstr>
      </vt:variant>
      <vt:variant>
        <vt:i4>1114161</vt:i4>
      </vt:variant>
      <vt:variant>
        <vt:i4>44</vt:i4>
      </vt:variant>
      <vt:variant>
        <vt:i4>0</vt:i4>
      </vt:variant>
      <vt:variant>
        <vt:i4>5</vt:i4>
      </vt:variant>
      <vt:variant>
        <vt:lpwstr/>
      </vt:variant>
      <vt:variant>
        <vt:lpwstr>_Toc94838283</vt:lpwstr>
      </vt:variant>
      <vt:variant>
        <vt:i4>1048625</vt:i4>
      </vt:variant>
      <vt:variant>
        <vt:i4>38</vt:i4>
      </vt:variant>
      <vt:variant>
        <vt:i4>0</vt:i4>
      </vt:variant>
      <vt:variant>
        <vt:i4>5</vt:i4>
      </vt:variant>
      <vt:variant>
        <vt:lpwstr/>
      </vt:variant>
      <vt:variant>
        <vt:lpwstr>_Toc94838282</vt:lpwstr>
      </vt:variant>
      <vt:variant>
        <vt:i4>1245233</vt:i4>
      </vt:variant>
      <vt:variant>
        <vt:i4>32</vt:i4>
      </vt:variant>
      <vt:variant>
        <vt:i4>0</vt:i4>
      </vt:variant>
      <vt:variant>
        <vt:i4>5</vt:i4>
      </vt:variant>
      <vt:variant>
        <vt:lpwstr/>
      </vt:variant>
      <vt:variant>
        <vt:lpwstr>_Toc94838281</vt:lpwstr>
      </vt:variant>
      <vt:variant>
        <vt:i4>1179697</vt:i4>
      </vt:variant>
      <vt:variant>
        <vt:i4>26</vt:i4>
      </vt:variant>
      <vt:variant>
        <vt:i4>0</vt:i4>
      </vt:variant>
      <vt:variant>
        <vt:i4>5</vt:i4>
      </vt:variant>
      <vt:variant>
        <vt:lpwstr/>
      </vt:variant>
      <vt:variant>
        <vt:lpwstr>_Toc94838280</vt:lpwstr>
      </vt:variant>
      <vt:variant>
        <vt:i4>1769534</vt:i4>
      </vt:variant>
      <vt:variant>
        <vt:i4>20</vt:i4>
      </vt:variant>
      <vt:variant>
        <vt:i4>0</vt:i4>
      </vt:variant>
      <vt:variant>
        <vt:i4>5</vt:i4>
      </vt:variant>
      <vt:variant>
        <vt:lpwstr/>
      </vt:variant>
      <vt:variant>
        <vt:lpwstr>_Toc94838279</vt:lpwstr>
      </vt:variant>
      <vt:variant>
        <vt:i4>1703998</vt:i4>
      </vt:variant>
      <vt:variant>
        <vt:i4>14</vt:i4>
      </vt:variant>
      <vt:variant>
        <vt:i4>0</vt:i4>
      </vt:variant>
      <vt:variant>
        <vt:i4>5</vt:i4>
      </vt:variant>
      <vt:variant>
        <vt:lpwstr/>
      </vt:variant>
      <vt:variant>
        <vt:lpwstr>_Toc94838278</vt:lpwstr>
      </vt:variant>
      <vt:variant>
        <vt:i4>1376318</vt:i4>
      </vt:variant>
      <vt:variant>
        <vt:i4>8</vt:i4>
      </vt:variant>
      <vt:variant>
        <vt:i4>0</vt:i4>
      </vt:variant>
      <vt:variant>
        <vt:i4>5</vt:i4>
      </vt:variant>
      <vt:variant>
        <vt:lpwstr/>
      </vt:variant>
      <vt:variant>
        <vt:lpwstr>_Toc94838277</vt:lpwstr>
      </vt:variant>
      <vt:variant>
        <vt:i4>1310782</vt:i4>
      </vt:variant>
      <vt:variant>
        <vt:i4>2</vt:i4>
      </vt:variant>
      <vt:variant>
        <vt:i4>0</vt:i4>
      </vt:variant>
      <vt:variant>
        <vt:i4>5</vt:i4>
      </vt:variant>
      <vt:variant>
        <vt:lpwstr/>
      </vt:variant>
      <vt:variant>
        <vt:lpwstr>_Toc94838276</vt:lpwstr>
      </vt:variant>
      <vt:variant>
        <vt:i4>1835095</vt:i4>
      </vt:variant>
      <vt:variant>
        <vt:i4>45</vt:i4>
      </vt:variant>
      <vt:variant>
        <vt:i4>0</vt:i4>
      </vt:variant>
      <vt:variant>
        <vt:i4>5</vt:i4>
      </vt:variant>
      <vt:variant>
        <vt:lpwstr>https://www.skatteetaten.no/en/person/taxes/get-the-taxes-right/shares-and-securities/about-shares-and-securities/the-shareholder-model/</vt:lpwstr>
      </vt:variant>
      <vt:variant>
        <vt:lpwstr/>
      </vt:variant>
      <vt:variant>
        <vt:i4>3473523</vt:i4>
      </vt:variant>
      <vt:variant>
        <vt:i4>42</vt:i4>
      </vt:variant>
      <vt:variant>
        <vt:i4>0</vt:i4>
      </vt:variant>
      <vt:variant>
        <vt:i4>5</vt:i4>
      </vt:variant>
      <vt:variant>
        <vt:lpwstr>https://taxsummaries.pwc.com/republic-of-korea/corporate/tax-credits-and-incentives</vt:lpwstr>
      </vt:variant>
      <vt:variant>
        <vt:lpwstr/>
      </vt:variant>
      <vt:variant>
        <vt:i4>2424870</vt:i4>
      </vt:variant>
      <vt:variant>
        <vt:i4>39</vt:i4>
      </vt:variant>
      <vt:variant>
        <vt:i4>0</vt:i4>
      </vt:variant>
      <vt:variant>
        <vt:i4>5</vt:i4>
      </vt:variant>
      <vt:variant>
        <vt:lpwstr>https://doi.org/10.1787/7af51916-en</vt:lpwstr>
      </vt:variant>
      <vt:variant>
        <vt:lpwstr/>
      </vt:variant>
      <vt:variant>
        <vt:i4>7012415</vt:i4>
      </vt:variant>
      <vt:variant>
        <vt:i4>36</vt:i4>
      </vt:variant>
      <vt:variant>
        <vt:i4>0</vt:i4>
      </vt:variant>
      <vt:variant>
        <vt:i4>5</vt:i4>
      </vt:variant>
      <vt:variant>
        <vt:lpwstr>https://www.norskpetroleum.no/en/economy/petroleum-tax</vt:lpwstr>
      </vt:variant>
      <vt:variant>
        <vt:lpwstr/>
      </vt:variant>
      <vt:variant>
        <vt:i4>4849681</vt:i4>
      </vt:variant>
      <vt:variant>
        <vt:i4>21</vt:i4>
      </vt:variant>
      <vt:variant>
        <vt:i4>0</vt:i4>
      </vt:variant>
      <vt:variant>
        <vt:i4>5</vt:i4>
      </vt:variant>
      <vt:variant>
        <vt:lpwstr>https://taxpolicy.ird.govt.nz/publications/2004/2004-ip-depreciation</vt:lpwstr>
      </vt:variant>
      <vt:variant>
        <vt:lpwstr/>
      </vt:variant>
      <vt:variant>
        <vt:i4>1179708</vt:i4>
      </vt:variant>
      <vt:variant>
        <vt:i4>18</vt:i4>
      </vt:variant>
      <vt:variant>
        <vt:i4>0</vt:i4>
      </vt:variant>
      <vt:variant>
        <vt:i4>5</vt:i4>
      </vt:variant>
      <vt:variant>
        <vt:lpwstr>https://www.oecd-ilibrary.org/economics/oecd-economic-surveys-new-zealand_19990162</vt:lpwstr>
      </vt:variant>
      <vt:variant>
        <vt:lpwstr/>
      </vt:variant>
      <vt:variant>
        <vt:i4>1245198</vt:i4>
      </vt:variant>
      <vt:variant>
        <vt:i4>15</vt:i4>
      </vt:variant>
      <vt:variant>
        <vt:i4>0</vt:i4>
      </vt:variant>
      <vt:variant>
        <vt:i4>5</vt:i4>
      </vt:variant>
      <vt:variant>
        <vt:lpwstr>https://www.treasury.govt.nz/publications/tax-outturn-data/tax-outturn-data-june-2021</vt:lpwstr>
      </vt:variant>
      <vt:variant>
        <vt:lpwstr/>
      </vt:variant>
      <vt:variant>
        <vt:i4>3276852</vt:i4>
      </vt:variant>
      <vt:variant>
        <vt:i4>12</vt:i4>
      </vt:variant>
      <vt:variant>
        <vt:i4>0</vt:i4>
      </vt:variant>
      <vt:variant>
        <vt:i4>5</vt:i4>
      </vt:variant>
      <vt:variant>
        <vt:lpwstr>https://taxpolicy.ird.govt.nz/publications/2016/2016-other-nz-framework-inbound-investment</vt:lpwstr>
      </vt:variant>
      <vt:variant>
        <vt:lpwstr/>
      </vt:variant>
      <vt:variant>
        <vt:i4>5111899</vt:i4>
      </vt:variant>
      <vt:variant>
        <vt:i4>9</vt:i4>
      </vt:variant>
      <vt:variant>
        <vt:i4>0</vt:i4>
      </vt:variant>
      <vt:variant>
        <vt:i4>5</vt:i4>
      </vt:variant>
      <vt:variant>
        <vt:lpwstr>https://www.treasury.govt.nz/sites/default/files/2007-11/taxreview2001-report.pdf</vt:lpwstr>
      </vt:variant>
      <vt:variant>
        <vt:lpwstr/>
      </vt:variant>
      <vt:variant>
        <vt:i4>3539057</vt:i4>
      </vt:variant>
      <vt:variant>
        <vt:i4>6</vt:i4>
      </vt:variant>
      <vt:variant>
        <vt:i4>0</vt:i4>
      </vt:variant>
      <vt:variant>
        <vt:i4>5</vt:i4>
      </vt:variant>
      <vt:variant>
        <vt:lpwstr>https://stats.oecd.org/</vt:lpwstr>
      </vt:variant>
      <vt:variant>
        <vt:lpwstr/>
      </vt:variant>
      <vt:variant>
        <vt:i4>720902</vt:i4>
      </vt:variant>
      <vt:variant>
        <vt:i4>3</vt:i4>
      </vt:variant>
      <vt:variant>
        <vt:i4>0</vt:i4>
      </vt:variant>
      <vt:variant>
        <vt:i4>5</vt:i4>
      </vt:variant>
      <vt:variant>
        <vt:lpwstr>https://www.mbie.govt.nz/dmsdocument/15644-the-future-of-business-for-aotearoa-new-zealand-opportunities-and-implications-for-productivity-and-wellbeing</vt:lpwstr>
      </vt:variant>
      <vt:variant>
        <vt:lpwstr/>
      </vt:variant>
      <vt:variant>
        <vt:i4>4980810</vt:i4>
      </vt:variant>
      <vt:variant>
        <vt:i4>0</vt:i4>
      </vt:variant>
      <vt:variant>
        <vt:i4>0</vt:i4>
      </vt:variant>
      <vt:variant>
        <vt:i4>5</vt:i4>
      </vt:variant>
      <vt:variant>
        <vt:lpwstr>https://taxpolicy.ird.govt.nz/publications/2021/2021-other-scope-ird-ltib-tax-liability-productivity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Tax, foreign investment and productivity - draft long-term insights briefing - February 2022</dc:title>
  <dc:subject/>
  <dc:creator>Policy and Regulatory Stewardship</dc:creator>
  <cp:keywords/>
  <dc:description/>
  <dcterms:created xsi:type="dcterms:W3CDTF">2022-02-23T20:10:00Z</dcterms:created>
  <dcterms:modified xsi:type="dcterms:W3CDTF">2022-02-23T20:11:00Z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1,2,7,9,a,c,d,e,f</vt:lpwstr>
  </property>
  <property fmtid="{D5CDD505-2E9C-101B-9397-08002B2CF9AE}" pid="3" name="ClassificationContentMarkingHeaderFontProps">
    <vt:lpwstr>#000000,10,Calibri</vt:lpwstr>
  </property>
  <property fmtid="{D5CDD505-2E9C-101B-9397-08002B2CF9AE}" pid="4" name="ClassificationContentMarkingHeaderText">
    <vt:lpwstr>[IN CONFIDENCE RELEASE EXTERNAL]</vt:lpwstr>
  </property>
  <property fmtid="{D5CDD505-2E9C-101B-9397-08002B2CF9AE}" pid="5" name="MSIP_Label_64f9a836-ebe9-47d4-a5f2-4f849d9a8815_Enabled">
    <vt:lpwstr>true</vt:lpwstr>
  </property>
  <property fmtid="{D5CDD505-2E9C-101B-9397-08002B2CF9AE}" pid="6" name="MSIP_Label_64f9a836-ebe9-47d4-a5f2-4f849d9a8815_SetDate">
    <vt:lpwstr>2022-02-23T20:09:53Z</vt:lpwstr>
  </property>
  <property fmtid="{D5CDD505-2E9C-101B-9397-08002B2CF9AE}" pid="7" name="MSIP_Label_64f9a836-ebe9-47d4-a5f2-4f849d9a8815_Method">
    <vt:lpwstr>Privileged</vt:lpwstr>
  </property>
  <property fmtid="{D5CDD505-2E9C-101B-9397-08002B2CF9AE}" pid="8" name="MSIP_Label_64f9a836-ebe9-47d4-a5f2-4f849d9a8815_Name">
    <vt:lpwstr>64f9a836-ebe9-47d4-a5f2-4f849d9a8815</vt:lpwstr>
  </property>
  <property fmtid="{D5CDD505-2E9C-101B-9397-08002B2CF9AE}" pid="9" name="MSIP_Label_64f9a836-ebe9-47d4-a5f2-4f849d9a8815_SiteId">
    <vt:lpwstr>fb39e3e9-23a9-404e-93a2-b42a87d94f35</vt:lpwstr>
  </property>
  <property fmtid="{D5CDD505-2E9C-101B-9397-08002B2CF9AE}" pid="10" name="MSIP_Label_64f9a836-ebe9-47d4-a5f2-4f849d9a8815_ActionId">
    <vt:lpwstr>3ba3c008-db71-4bfa-8a1c-5ae15a22ad78</vt:lpwstr>
  </property>
  <property fmtid="{D5CDD505-2E9C-101B-9397-08002B2CF9AE}" pid="11" name="MSIP_Label_64f9a836-ebe9-47d4-a5f2-4f849d9a8815_ContentBits">
    <vt:lpwstr>1</vt:lpwstr>
  </property>
  <property fmtid="{D5CDD505-2E9C-101B-9397-08002B2CF9AE}" pid="12" name="InformationType">
    <vt:lpwstr/>
  </property>
  <property fmtid="{D5CDD505-2E9C-101B-9397-08002B2CF9AE}" pid="13" name="MSIP_Label_993bc26a-ca06-4f83-a49a-54da0c892e4f_ContentBits">
    <vt:lpwstr>0</vt:lpwstr>
  </property>
  <property fmtid="{D5CDD505-2E9C-101B-9397-08002B2CF9AE}" pid="14" name="TaxKeyword">
    <vt:lpwstr/>
  </property>
  <property fmtid="{D5CDD505-2E9C-101B-9397-08002B2CF9AE}" pid="15" name="MSIP_Label_993bc26a-ca06-4f83-a49a-54da0c892e4f_Method">
    <vt:lpwstr>Privileged</vt:lpwstr>
  </property>
  <property fmtid="{D5CDD505-2E9C-101B-9397-08002B2CF9AE}" pid="16" name="MSIP_Label_993bc26a-ca06-4f83-a49a-54da0c892e4f_SiteId">
    <vt:lpwstr>fb39e3e9-23a9-404e-93a2-b42a87d94f35</vt:lpwstr>
  </property>
  <property fmtid="{D5CDD505-2E9C-101B-9397-08002B2CF9AE}" pid="17" name="MSIP_Label_993bc26a-ca06-4f83-a49a-54da0c892e4f_SetDate">
    <vt:lpwstr>2021-09-08T21:02:46Z</vt:lpwstr>
  </property>
  <property fmtid="{D5CDD505-2E9C-101B-9397-08002B2CF9AE}" pid="18" name="MSIP_Label_993bc26a-ca06-4f83-a49a-54da0c892e4f_ActionId">
    <vt:lpwstr>64af6e7b-e7d5-4aa5-b572-1622be16e230</vt:lpwstr>
  </property>
  <property fmtid="{D5CDD505-2E9C-101B-9397-08002B2CF9AE}" pid="19" name="BusinessUnit">
    <vt:lpwstr/>
  </property>
  <property fmtid="{D5CDD505-2E9C-101B-9397-08002B2CF9AE}" pid="20" name="ContentTypeId">
    <vt:lpwstr>0x01010051FB5A4D8CB3714A90B797AC39F80CD6</vt:lpwstr>
  </property>
  <property fmtid="{D5CDD505-2E9C-101B-9397-08002B2CF9AE}" pid="21" name="SecurityClassification">
    <vt:lpwstr/>
  </property>
  <property fmtid="{D5CDD505-2E9C-101B-9397-08002B2CF9AE}" pid="22" name="MSIP_Label_993bc26a-ca06-4f83-a49a-54da0c892e4f_Name">
    <vt:lpwstr>993bc26a-ca06-4f83-a49a-54da0c892e4f</vt:lpwstr>
  </property>
  <property fmtid="{D5CDD505-2E9C-101B-9397-08002B2CF9AE}" pid="23" name="MSIP_Label_993bc26a-ca06-4f83-a49a-54da0c892e4f_Enabled">
    <vt:lpwstr>true</vt:lpwstr>
  </property>
  <property fmtid="{D5CDD505-2E9C-101B-9397-08002B2CF9AE}" pid="24" name="BusinessActivity">
    <vt:lpwstr/>
  </property>
  <property fmtid="{D5CDD505-2E9C-101B-9397-08002B2CF9AE}" pid="25" name="DocumentStatus">
    <vt:lpwstr/>
  </property>
</Properties>
</file>