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CF09" w14:textId="77777777" w:rsidR="00E94525" w:rsidRDefault="00E94525" w:rsidP="00DD623A">
      <w:pPr>
        <w:jc w:val="center"/>
      </w:pPr>
      <w:r w:rsidRPr="00A768F4">
        <w:rPr>
          <w:noProof/>
        </w:rPr>
        <w:drawing>
          <wp:inline distT="0" distB="0" distL="0" distR="0" wp14:anchorId="5720D367" wp14:editId="215AF86D">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6E836CB3" w14:textId="77777777" w:rsidR="00E94525" w:rsidRPr="00221AAE" w:rsidRDefault="00E94525" w:rsidP="00B73500">
      <w:pPr>
        <w:pStyle w:val="PAS-Groupname"/>
      </w:pPr>
      <w:r w:rsidRPr="00221AAE">
        <w:t xml:space="preserve">POLICY AND </w:t>
      </w:r>
      <w:r w:rsidR="00C54638">
        <w:t xml:space="preserve">REGULATORY </w:t>
      </w:r>
      <w:r w:rsidRPr="00221AAE">
        <w:t>S</w:t>
      </w:r>
      <w:r w:rsidR="00C54638">
        <w:t>TEWARDSHIP</w:t>
      </w:r>
    </w:p>
    <w:p w14:paraId="42EE0677" w14:textId="189792BD" w:rsidR="00DD623A" w:rsidRPr="001D0013" w:rsidRDefault="00DD623A" w:rsidP="001D0013">
      <w:pPr>
        <w:pStyle w:val="ReportCover-Title"/>
      </w:pPr>
      <w:r w:rsidRPr="001D0013">
        <w:t>Tax policy report:</w:t>
      </w:r>
      <w:r w:rsidRPr="001D0013">
        <w:tab/>
      </w:r>
      <w:bookmarkStart w:id="0" w:name="Subject"/>
      <w:bookmarkEnd w:id="0"/>
      <w:r w:rsidR="000639CC">
        <w:t xml:space="preserve">Public release of an officials’ issues paper </w:t>
      </w:r>
      <w:r w:rsidR="007F378F">
        <w:t>on the</w:t>
      </w:r>
      <w:r w:rsidR="005D5632">
        <w:t xml:space="preserve"> GST apportionment and adjustment rules</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728E7D4F" w14:textId="77777777" w:rsidTr="000B2ED1">
        <w:tc>
          <w:tcPr>
            <w:tcW w:w="2689" w:type="dxa"/>
          </w:tcPr>
          <w:p w14:paraId="407ACB63" w14:textId="77777777" w:rsidR="00DD623A" w:rsidRPr="000B2ED1" w:rsidRDefault="00DD623A" w:rsidP="000B2ED1">
            <w:pPr>
              <w:pStyle w:val="Table-Heading"/>
            </w:pPr>
            <w:r w:rsidRPr="000B2ED1">
              <w:t>Date:</w:t>
            </w:r>
          </w:p>
        </w:tc>
        <w:tc>
          <w:tcPr>
            <w:tcW w:w="2551" w:type="dxa"/>
          </w:tcPr>
          <w:p w14:paraId="41D96BBB" w14:textId="0CC15B0D" w:rsidR="00DD623A" w:rsidRPr="00705DC2" w:rsidRDefault="00273729" w:rsidP="00216409">
            <w:pPr>
              <w:pStyle w:val="Table-Text"/>
            </w:pPr>
            <w:bookmarkStart w:id="1" w:name="Date"/>
            <w:bookmarkEnd w:id="1"/>
            <w:r w:rsidRPr="00DC0340">
              <w:t xml:space="preserve">2 December </w:t>
            </w:r>
            <w:r w:rsidR="00705DC2">
              <w:t>20</w:t>
            </w:r>
            <w:r w:rsidR="00414D29">
              <w:t>21</w:t>
            </w:r>
          </w:p>
        </w:tc>
        <w:tc>
          <w:tcPr>
            <w:tcW w:w="1985" w:type="dxa"/>
          </w:tcPr>
          <w:p w14:paraId="4D06CBCF" w14:textId="77777777" w:rsidR="00DD623A" w:rsidRPr="000B2ED1" w:rsidRDefault="00DD623A" w:rsidP="000B2ED1">
            <w:pPr>
              <w:pStyle w:val="Table-Heading"/>
            </w:pPr>
            <w:r w:rsidRPr="000B2ED1">
              <w:t>Priority:</w:t>
            </w:r>
          </w:p>
        </w:tc>
        <w:tc>
          <w:tcPr>
            <w:tcW w:w="2485" w:type="dxa"/>
          </w:tcPr>
          <w:bookmarkStart w:id="2" w:name="Priority" w:displacedByCustomXml="next"/>
          <w:bookmarkEnd w:id="2" w:displacedByCustomXml="next"/>
          <w:sdt>
            <w:sdtPr>
              <w:alias w:val="Report Priority"/>
              <w:tag w:val="Report Priority"/>
              <w:id w:val="-277869482"/>
              <w:placeholder>
                <w:docPart w:val="DB1C357AF1D34D3485029A914FDA90D6"/>
              </w:placeholder>
              <w:dropDownList>
                <w:listItem w:value="[Choose a report priority]"/>
                <w:listItem w:displayText="Low" w:value="Low"/>
                <w:listItem w:displayText="Medium" w:value="Medium"/>
                <w:listItem w:displayText="High" w:value="High"/>
              </w:dropDownList>
            </w:sdtPr>
            <w:sdtEndPr/>
            <w:sdtContent>
              <w:p w14:paraId="18C5AD1A" w14:textId="71FD02D9" w:rsidR="00DD623A" w:rsidRPr="00705DC2" w:rsidRDefault="00414D29" w:rsidP="00C44EDE">
                <w:pPr>
                  <w:pStyle w:val="Table-Text"/>
                </w:pPr>
                <w:r>
                  <w:t>Medium</w:t>
                </w:r>
              </w:p>
            </w:sdtContent>
          </w:sdt>
        </w:tc>
      </w:tr>
      <w:tr w:rsidR="00DD623A" w:rsidRPr="00DD623A" w14:paraId="649D16AC" w14:textId="77777777" w:rsidTr="000B2ED1">
        <w:tc>
          <w:tcPr>
            <w:tcW w:w="2689" w:type="dxa"/>
          </w:tcPr>
          <w:p w14:paraId="5F6A28BF" w14:textId="77777777" w:rsidR="00DD623A" w:rsidRPr="000B2ED1" w:rsidRDefault="00DD623A" w:rsidP="000B2ED1">
            <w:pPr>
              <w:pStyle w:val="Table-Heading"/>
            </w:pPr>
            <w:r w:rsidRPr="000B2ED1">
              <w:t>Security level:</w:t>
            </w:r>
          </w:p>
        </w:tc>
        <w:bookmarkStart w:id="3" w:name="Security"/>
        <w:bookmarkEnd w:id="3"/>
        <w:tc>
          <w:tcPr>
            <w:tcW w:w="2551" w:type="dxa"/>
          </w:tcPr>
          <w:p w14:paraId="06AA1AB5" w14:textId="73767D11" w:rsidR="009B5A86" w:rsidRPr="00DD623A" w:rsidRDefault="00261E95" w:rsidP="00C44EDE">
            <w:pPr>
              <w:pStyle w:val="Table-Text"/>
            </w:pPr>
            <w:sdt>
              <w:sdtPr>
                <w:alias w:val="Security Classification"/>
                <w:tag w:val="Security Classification"/>
                <w:id w:val="1617165177"/>
                <w:placeholder>
                  <w:docPart w:val="B518D9FC8F8A43BF92E6F3CB2F47F832"/>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414D29">
                  <w:t>In Confidence</w:t>
                </w:r>
              </w:sdtContent>
            </w:sdt>
          </w:p>
        </w:tc>
        <w:tc>
          <w:tcPr>
            <w:tcW w:w="1985" w:type="dxa"/>
          </w:tcPr>
          <w:p w14:paraId="46CF33C5" w14:textId="77777777" w:rsidR="00DD623A" w:rsidRPr="000B2ED1" w:rsidRDefault="00DD623A" w:rsidP="000B2ED1">
            <w:pPr>
              <w:pStyle w:val="Table-Heading"/>
            </w:pPr>
            <w:r w:rsidRPr="000B2ED1">
              <w:t>Report number:</w:t>
            </w:r>
          </w:p>
        </w:tc>
        <w:tc>
          <w:tcPr>
            <w:tcW w:w="2485" w:type="dxa"/>
          </w:tcPr>
          <w:p w14:paraId="1601F83E" w14:textId="2DF14BA5" w:rsidR="00B3357D" w:rsidRPr="00705DC2" w:rsidRDefault="00DD623A" w:rsidP="0098280F">
            <w:pPr>
              <w:pStyle w:val="Table-Text"/>
            </w:pPr>
            <w:bookmarkStart w:id="4" w:name="ReportPad"/>
            <w:bookmarkEnd w:id="4"/>
            <w:r w:rsidRPr="00705DC2">
              <w:t>IR20</w:t>
            </w:r>
            <w:r w:rsidR="00414D29">
              <w:t>21</w:t>
            </w:r>
            <w:r w:rsidRPr="00705DC2">
              <w:t>/</w:t>
            </w:r>
            <w:r w:rsidR="00F10039">
              <w:t>510</w:t>
            </w:r>
          </w:p>
        </w:tc>
      </w:tr>
    </w:tbl>
    <w:p w14:paraId="797BAE81"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3B1680F2" w14:textId="77777777" w:rsidTr="000B2ED1">
        <w:tc>
          <w:tcPr>
            <w:tcW w:w="2694" w:type="dxa"/>
          </w:tcPr>
          <w:p w14:paraId="18E28BE4" w14:textId="77777777" w:rsidR="00DD623A" w:rsidRPr="000B2ED1" w:rsidRDefault="00DD623A" w:rsidP="000B2ED1">
            <w:pPr>
              <w:pStyle w:val="Table-Heading"/>
            </w:pPr>
          </w:p>
        </w:tc>
        <w:tc>
          <w:tcPr>
            <w:tcW w:w="4536" w:type="dxa"/>
            <w:tcBorders>
              <w:left w:val="nil"/>
            </w:tcBorders>
          </w:tcPr>
          <w:p w14:paraId="461D7B93" w14:textId="77777777" w:rsidR="00DD623A" w:rsidRPr="000B2ED1" w:rsidRDefault="00DD623A" w:rsidP="000B2ED1">
            <w:pPr>
              <w:pStyle w:val="Table-Heading"/>
            </w:pPr>
            <w:r w:rsidRPr="000B2ED1">
              <w:t>Action sought</w:t>
            </w:r>
          </w:p>
        </w:tc>
        <w:tc>
          <w:tcPr>
            <w:tcW w:w="2480" w:type="dxa"/>
          </w:tcPr>
          <w:p w14:paraId="741A96C2" w14:textId="77777777" w:rsidR="00DD623A" w:rsidRPr="000B2ED1" w:rsidRDefault="00DD623A" w:rsidP="000B2ED1">
            <w:pPr>
              <w:pStyle w:val="Table-Heading"/>
            </w:pPr>
            <w:r w:rsidRPr="000B2ED1">
              <w:t>Deadline</w:t>
            </w:r>
          </w:p>
        </w:tc>
      </w:tr>
      <w:tr w:rsidR="00DD623A" w:rsidRPr="00D6363A" w14:paraId="6A5B2BB5"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0FC97769" w14:textId="77777777" w:rsidR="004D546B" w:rsidRDefault="004D546B" w:rsidP="00D6363A">
            <w:pPr>
              <w:pStyle w:val="Table-Text"/>
            </w:pPr>
            <w:r>
              <w:t>Minister of Finance</w:t>
            </w:r>
          </w:p>
          <w:p w14:paraId="695D901D" w14:textId="7744D9B2" w:rsidR="004D546B" w:rsidRPr="00D6363A" w:rsidRDefault="004D546B" w:rsidP="00D6363A">
            <w:pPr>
              <w:pStyle w:val="Table-Text"/>
            </w:pPr>
          </w:p>
        </w:tc>
        <w:tc>
          <w:tcPr>
            <w:tcW w:w="4536" w:type="dxa"/>
            <w:tcBorders>
              <w:top w:val="single" w:sz="4" w:space="0" w:color="808080"/>
              <w:left w:val="single" w:sz="4" w:space="0" w:color="808080"/>
              <w:bottom w:val="single" w:sz="4" w:space="0" w:color="808080"/>
              <w:right w:val="single" w:sz="4" w:space="0" w:color="808080"/>
            </w:tcBorders>
          </w:tcPr>
          <w:p w14:paraId="42121377" w14:textId="10010A37" w:rsidR="00DD623A" w:rsidRPr="00D6363A" w:rsidRDefault="00705DC2" w:rsidP="00D6363A">
            <w:pPr>
              <w:pStyle w:val="Table-Text"/>
            </w:pPr>
            <w:r w:rsidRPr="00705DC2">
              <w:rPr>
                <w:rStyle w:val="Strong"/>
              </w:rPr>
              <w:t>Agree</w:t>
            </w:r>
            <w:r w:rsidRPr="00D6363A">
              <w:t xml:space="preserve"> to recommendation</w:t>
            </w:r>
          </w:p>
        </w:tc>
        <w:tc>
          <w:tcPr>
            <w:tcW w:w="2480" w:type="dxa"/>
            <w:tcBorders>
              <w:top w:val="single" w:sz="4" w:space="0" w:color="808080"/>
              <w:left w:val="single" w:sz="4" w:space="0" w:color="808080"/>
              <w:bottom w:val="single" w:sz="4" w:space="0" w:color="808080"/>
              <w:right w:val="single" w:sz="4" w:space="0" w:color="808080"/>
            </w:tcBorders>
          </w:tcPr>
          <w:p w14:paraId="073F2FEC" w14:textId="350ACD2B" w:rsidR="0086213C" w:rsidRPr="00DC0340" w:rsidRDefault="004C3DE3" w:rsidP="0086213C">
            <w:pPr>
              <w:pStyle w:val="Table-Text"/>
            </w:pPr>
            <w:r>
              <w:t>20</w:t>
            </w:r>
            <w:r w:rsidR="0086213C" w:rsidRPr="00DC0340">
              <w:t xml:space="preserve"> December 2021</w:t>
            </w:r>
          </w:p>
          <w:p w14:paraId="4A81A31B" w14:textId="21E97441" w:rsidR="00DD623A" w:rsidRPr="00D6363A" w:rsidRDefault="00DD623A" w:rsidP="00D6363A">
            <w:pPr>
              <w:pStyle w:val="Table-Text"/>
            </w:pPr>
          </w:p>
        </w:tc>
      </w:tr>
      <w:tr w:rsidR="00105FF2" w:rsidRPr="00D6363A" w14:paraId="3FF2AF53"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6FE9C9F2" w14:textId="27608AA3" w:rsidR="00105FF2" w:rsidRDefault="00105FF2" w:rsidP="00105FF2">
            <w:pPr>
              <w:pStyle w:val="Table-Text"/>
            </w:pPr>
            <w:r w:rsidRPr="00D6363A">
              <w:t>Minister of Revenue</w:t>
            </w:r>
          </w:p>
        </w:tc>
        <w:tc>
          <w:tcPr>
            <w:tcW w:w="4536" w:type="dxa"/>
            <w:tcBorders>
              <w:top w:val="single" w:sz="4" w:space="0" w:color="808080"/>
              <w:left w:val="single" w:sz="4" w:space="0" w:color="808080"/>
              <w:bottom w:val="single" w:sz="4" w:space="0" w:color="808080"/>
              <w:right w:val="single" w:sz="4" w:space="0" w:color="808080"/>
            </w:tcBorders>
          </w:tcPr>
          <w:p w14:paraId="6320D3C8" w14:textId="33562E25" w:rsidR="0086213C" w:rsidRDefault="0086213C" w:rsidP="0086213C">
            <w:pPr>
              <w:pStyle w:val="Table-Text"/>
            </w:pPr>
            <w:r>
              <w:rPr>
                <w:rStyle w:val="Strong"/>
              </w:rPr>
              <w:t>Agree</w:t>
            </w:r>
            <w:r>
              <w:t xml:space="preserve"> to recommendation</w:t>
            </w:r>
          </w:p>
          <w:p w14:paraId="37C0EFEB" w14:textId="77777777" w:rsidR="002C447A" w:rsidRDefault="002C447A" w:rsidP="0086213C">
            <w:pPr>
              <w:pStyle w:val="Table-Text"/>
            </w:pPr>
          </w:p>
          <w:p w14:paraId="4F3F335A" w14:textId="7D6978D1" w:rsidR="00105FF2" w:rsidRDefault="0086213C" w:rsidP="0086213C">
            <w:pPr>
              <w:pStyle w:val="Table-Text"/>
            </w:pPr>
            <w:r>
              <w:rPr>
                <w:b/>
                <w:bCs/>
              </w:rPr>
              <w:t>Approve and lodge</w:t>
            </w:r>
            <w:r>
              <w:t xml:space="preserve"> the attached Cabinet paper and draft officials’ issues paper</w:t>
            </w:r>
          </w:p>
          <w:p w14:paraId="76F53CE6" w14:textId="77777777" w:rsidR="00105FF2" w:rsidRPr="00705DC2" w:rsidRDefault="00105FF2" w:rsidP="00105FF2">
            <w:pPr>
              <w:pStyle w:val="Table-Text"/>
              <w:rPr>
                <w:rStyle w:val="Strong"/>
              </w:rPr>
            </w:pPr>
          </w:p>
        </w:tc>
        <w:tc>
          <w:tcPr>
            <w:tcW w:w="2480" w:type="dxa"/>
            <w:tcBorders>
              <w:top w:val="single" w:sz="4" w:space="0" w:color="808080"/>
              <w:left w:val="single" w:sz="4" w:space="0" w:color="808080"/>
              <w:bottom w:val="single" w:sz="4" w:space="0" w:color="808080"/>
              <w:right w:val="single" w:sz="4" w:space="0" w:color="808080"/>
            </w:tcBorders>
          </w:tcPr>
          <w:p w14:paraId="2FC672C0" w14:textId="2E43B046" w:rsidR="00105FF2" w:rsidRPr="00DC0340" w:rsidRDefault="004C3DE3" w:rsidP="00105FF2">
            <w:pPr>
              <w:pStyle w:val="Table-Text"/>
            </w:pPr>
            <w:r>
              <w:t>20</w:t>
            </w:r>
            <w:r w:rsidR="0086213C" w:rsidRPr="00DC0340">
              <w:t xml:space="preserve"> December 2021</w:t>
            </w:r>
          </w:p>
          <w:p w14:paraId="289822E7" w14:textId="77777777" w:rsidR="002C447A" w:rsidRPr="00DC0340" w:rsidRDefault="002C447A" w:rsidP="00105FF2">
            <w:pPr>
              <w:pStyle w:val="Table-Text"/>
            </w:pPr>
          </w:p>
          <w:p w14:paraId="392E4AA7" w14:textId="6D26A46B" w:rsidR="0086213C" w:rsidRPr="00DC0340" w:rsidRDefault="0086213C" w:rsidP="00105FF2">
            <w:pPr>
              <w:pStyle w:val="Table-Text"/>
            </w:pPr>
            <w:r w:rsidRPr="00DC0340">
              <w:t xml:space="preserve">10am Thursday </w:t>
            </w:r>
            <w:r w:rsidR="000E650D">
              <w:t>3</w:t>
            </w:r>
            <w:r w:rsidRPr="00DC0340">
              <w:t xml:space="preserve"> February 2022</w:t>
            </w:r>
          </w:p>
        </w:tc>
      </w:tr>
    </w:tbl>
    <w:p w14:paraId="46A8A3FB"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33DDEAE1" w14:textId="77777777" w:rsidTr="00D70032">
        <w:trPr>
          <w:cantSplit/>
        </w:trPr>
        <w:tc>
          <w:tcPr>
            <w:tcW w:w="2694" w:type="dxa"/>
            <w:tcBorders>
              <w:top w:val="nil"/>
              <w:left w:val="nil"/>
              <w:bottom w:val="nil"/>
              <w:right w:val="nil"/>
            </w:tcBorders>
          </w:tcPr>
          <w:p w14:paraId="4EA7BD3C" w14:textId="77777777" w:rsidR="00DD623A" w:rsidRPr="000B2ED1" w:rsidRDefault="00DD623A" w:rsidP="000B2ED1">
            <w:pPr>
              <w:pStyle w:val="Table-Heading"/>
            </w:pPr>
            <w:r w:rsidRPr="000B2ED1">
              <w:t>Name</w:t>
            </w:r>
          </w:p>
        </w:tc>
        <w:tc>
          <w:tcPr>
            <w:tcW w:w="4536" w:type="dxa"/>
            <w:tcBorders>
              <w:top w:val="nil"/>
              <w:left w:val="nil"/>
              <w:bottom w:val="nil"/>
              <w:right w:val="nil"/>
            </w:tcBorders>
          </w:tcPr>
          <w:p w14:paraId="1413739A" w14:textId="77777777" w:rsidR="00DD623A" w:rsidRPr="000B2ED1" w:rsidRDefault="00DD623A" w:rsidP="000B2ED1">
            <w:pPr>
              <w:pStyle w:val="Table-Heading"/>
            </w:pPr>
            <w:r w:rsidRPr="000B2ED1">
              <w:t>Position</w:t>
            </w:r>
          </w:p>
        </w:tc>
        <w:tc>
          <w:tcPr>
            <w:tcW w:w="2480" w:type="dxa"/>
            <w:tcBorders>
              <w:top w:val="nil"/>
              <w:left w:val="nil"/>
              <w:bottom w:val="single" w:sz="4" w:space="0" w:color="808080"/>
              <w:right w:val="nil"/>
            </w:tcBorders>
          </w:tcPr>
          <w:p w14:paraId="49469564" w14:textId="77777777" w:rsidR="00DD623A" w:rsidRPr="000B2ED1" w:rsidRDefault="00DD623A" w:rsidP="000B2ED1">
            <w:pPr>
              <w:pStyle w:val="Table-Heading"/>
            </w:pPr>
            <w:r w:rsidRPr="000B2ED1">
              <w:t>Telephone</w:t>
            </w:r>
          </w:p>
        </w:tc>
      </w:tr>
      <w:tr w:rsidR="00DD623A" w:rsidRPr="009B5A86" w14:paraId="6C147F28" w14:textId="77777777" w:rsidTr="00D70032">
        <w:tc>
          <w:tcPr>
            <w:tcW w:w="2694" w:type="dxa"/>
            <w:tcBorders>
              <w:top w:val="single" w:sz="4" w:space="0" w:color="808080"/>
              <w:left w:val="single" w:sz="4" w:space="0" w:color="808080"/>
              <w:bottom w:val="single" w:sz="4" w:space="0" w:color="808080"/>
              <w:right w:val="single" w:sz="4" w:space="0" w:color="808080"/>
            </w:tcBorders>
          </w:tcPr>
          <w:p w14:paraId="63889380" w14:textId="20644C10" w:rsidR="00DD623A" w:rsidRPr="009B5A86" w:rsidRDefault="001853F8" w:rsidP="009B5A86">
            <w:pPr>
              <w:pStyle w:val="Table-Text"/>
            </w:pPr>
            <w:bookmarkStart w:id="5" w:name="Name1"/>
            <w:bookmarkEnd w:id="5"/>
            <w:r>
              <w:t>Graeme Morrison</w:t>
            </w:r>
          </w:p>
        </w:tc>
        <w:tc>
          <w:tcPr>
            <w:tcW w:w="4536" w:type="dxa"/>
            <w:tcBorders>
              <w:top w:val="single" w:sz="4" w:space="0" w:color="808080"/>
              <w:left w:val="single" w:sz="4" w:space="0" w:color="808080"/>
              <w:bottom w:val="single" w:sz="4" w:space="0" w:color="808080"/>
              <w:right w:val="single" w:sz="4" w:space="0" w:color="808080"/>
            </w:tcBorders>
          </w:tcPr>
          <w:p w14:paraId="098F8692" w14:textId="3F128087" w:rsidR="00DD623A" w:rsidRPr="009B5A86" w:rsidRDefault="001853F8" w:rsidP="009B5A86">
            <w:pPr>
              <w:pStyle w:val="Table-Text"/>
            </w:pPr>
            <w:bookmarkStart w:id="6" w:name="Pos1"/>
            <w:bookmarkEnd w:id="6"/>
            <w:r>
              <w:t>Policy Lead, Inland Revenue</w:t>
            </w:r>
          </w:p>
        </w:tc>
        <w:tc>
          <w:tcPr>
            <w:tcW w:w="2480" w:type="dxa"/>
            <w:tcBorders>
              <w:top w:val="single" w:sz="4" w:space="0" w:color="808080"/>
              <w:left w:val="single" w:sz="4" w:space="0" w:color="808080"/>
              <w:bottom w:val="nil"/>
              <w:right w:val="single" w:sz="4" w:space="0" w:color="808080"/>
            </w:tcBorders>
            <w:shd w:val="clear" w:color="auto" w:fill="BFBFBF" w:themeFill="background1" w:themeFillShade="BF"/>
          </w:tcPr>
          <w:p w14:paraId="0AD36D4B" w14:textId="6FFB3AE7" w:rsidR="00DD623A" w:rsidRPr="009B5A86" w:rsidRDefault="00D70032" w:rsidP="009B5A86">
            <w:pPr>
              <w:pStyle w:val="Table-Text"/>
            </w:pPr>
            <w:bookmarkStart w:id="7" w:name="Direct1"/>
            <w:bookmarkStart w:id="8" w:name="Mobile1"/>
            <w:bookmarkEnd w:id="7"/>
            <w:bookmarkEnd w:id="8"/>
            <w:r>
              <w:t>s 9(2)(a)</w:t>
            </w:r>
          </w:p>
        </w:tc>
      </w:tr>
      <w:tr w:rsidR="00445D19" w:rsidRPr="009B5A86" w14:paraId="393AC7AB" w14:textId="77777777" w:rsidTr="00D70032">
        <w:tc>
          <w:tcPr>
            <w:tcW w:w="2694" w:type="dxa"/>
            <w:tcBorders>
              <w:top w:val="single" w:sz="4" w:space="0" w:color="808080"/>
              <w:left w:val="single" w:sz="4" w:space="0" w:color="808080"/>
              <w:bottom w:val="single" w:sz="4" w:space="0" w:color="808080"/>
              <w:right w:val="single" w:sz="4" w:space="0" w:color="808080"/>
            </w:tcBorders>
          </w:tcPr>
          <w:p w14:paraId="695F021D" w14:textId="3CD6EFB3" w:rsidR="00445D19" w:rsidRPr="009B5A86" w:rsidRDefault="004E6E37" w:rsidP="00445D19">
            <w:pPr>
              <w:pStyle w:val="Table-Text"/>
            </w:pPr>
            <w:bookmarkStart w:id="9" w:name="Name2"/>
            <w:bookmarkEnd w:id="9"/>
            <w:r>
              <w:t>Gordon Witte</w:t>
            </w:r>
          </w:p>
        </w:tc>
        <w:tc>
          <w:tcPr>
            <w:tcW w:w="4536" w:type="dxa"/>
            <w:tcBorders>
              <w:top w:val="single" w:sz="4" w:space="0" w:color="808080"/>
              <w:left w:val="single" w:sz="4" w:space="0" w:color="808080"/>
              <w:bottom w:val="single" w:sz="4" w:space="0" w:color="808080"/>
              <w:right w:val="single" w:sz="4" w:space="0" w:color="808080"/>
            </w:tcBorders>
          </w:tcPr>
          <w:p w14:paraId="7CE0F19E" w14:textId="0643C5FF" w:rsidR="00445D19" w:rsidRPr="009B5A86" w:rsidRDefault="004E6E37" w:rsidP="00445D19">
            <w:pPr>
              <w:pStyle w:val="Table-Text"/>
            </w:pPr>
            <w:bookmarkStart w:id="10" w:name="Pos2"/>
            <w:bookmarkEnd w:id="10"/>
            <w:r>
              <w:t xml:space="preserve">Principal </w:t>
            </w:r>
            <w:r w:rsidR="00A81E85">
              <w:t>Policy Advisor, Inland Revenue</w:t>
            </w:r>
          </w:p>
        </w:tc>
        <w:tc>
          <w:tcPr>
            <w:tcW w:w="2480" w:type="dxa"/>
            <w:tcBorders>
              <w:top w:val="nil"/>
              <w:left w:val="single" w:sz="4" w:space="0" w:color="808080"/>
              <w:bottom w:val="single" w:sz="4" w:space="0" w:color="808080"/>
              <w:right w:val="single" w:sz="4" w:space="0" w:color="808080"/>
            </w:tcBorders>
            <w:shd w:val="clear" w:color="auto" w:fill="BFBFBF" w:themeFill="background1" w:themeFillShade="BF"/>
          </w:tcPr>
          <w:p w14:paraId="53D1F898" w14:textId="4E9DDB46" w:rsidR="00445D19" w:rsidRPr="009B5A86" w:rsidRDefault="00445D19" w:rsidP="00445D19">
            <w:pPr>
              <w:pStyle w:val="Table-Text"/>
            </w:pPr>
            <w:bookmarkStart w:id="11" w:name="Direct2"/>
            <w:bookmarkEnd w:id="11"/>
          </w:p>
        </w:tc>
      </w:tr>
    </w:tbl>
    <w:p w14:paraId="1F0ACCE8" w14:textId="77777777" w:rsidR="00D6363A" w:rsidRPr="00891517" w:rsidRDefault="00D6363A" w:rsidP="00891517">
      <w:pPr>
        <w:sectPr w:rsidR="00D6363A" w:rsidRPr="00891517" w:rsidSect="00A364AA">
          <w:headerReference w:type="even" r:id="rId8"/>
          <w:headerReference w:type="default" r:id="rId9"/>
          <w:headerReference w:type="first" r:id="rId10"/>
          <w:pgSz w:w="11906" w:h="16838"/>
          <w:pgMar w:top="1134" w:right="1134" w:bottom="1134" w:left="1134" w:header="709" w:footer="709" w:gutter="0"/>
          <w:cols w:space="708"/>
          <w:docGrid w:linePitch="360"/>
        </w:sectPr>
      </w:pPr>
    </w:p>
    <w:p w14:paraId="7C639554" w14:textId="42C83AA9" w:rsidR="005B202F" w:rsidRDefault="003E5F13">
      <w:r w:rsidRPr="00DC0340">
        <w:lastRenderedPageBreak/>
        <w:t>2 December</w:t>
      </w:r>
      <w:r w:rsidR="00A81E85" w:rsidRPr="00DC0340">
        <w:t xml:space="preserve"> </w:t>
      </w:r>
      <w:r w:rsidR="00811AC6" w:rsidRPr="00DC0340">
        <w:t>2</w:t>
      </w:r>
      <w:r w:rsidR="00A81E85" w:rsidRPr="00DC0340">
        <w:t>021</w:t>
      </w:r>
    </w:p>
    <w:p w14:paraId="1364A870" w14:textId="77777777" w:rsidR="00811AC6" w:rsidRDefault="00811AC6"/>
    <w:p w14:paraId="73C07BC9" w14:textId="77777777" w:rsidR="004D546B" w:rsidRDefault="004D546B">
      <w:r>
        <w:t>Minister of Finance</w:t>
      </w:r>
    </w:p>
    <w:p w14:paraId="35BA2285" w14:textId="6A8B0EB7" w:rsidR="00811AC6" w:rsidRDefault="00811AC6">
      <w:r>
        <w:t>Minister of Revenue</w:t>
      </w:r>
    </w:p>
    <w:p w14:paraId="40CB12B8" w14:textId="3E8CDA91" w:rsidR="00811AC6" w:rsidRPr="00526C06" w:rsidRDefault="007F378F" w:rsidP="00526C06">
      <w:pPr>
        <w:pStyle w:val="Report-Title"/>
      </w:pPr>
      <w:r>
        <w:t xml:space="preserve">Public release of </w:t>
      </w:r>
      <w:r w:rsidR="00387F98">
        <w:t xml:space="preserve">an officials’ issues paper on the </w:t>
      </w:r>
      <w:r w:rsidR="00A81E85">
        <w:t xml:space="preserve">GST apportionment and adjustment </w:t>
      </w:r>
      <w:r w:rsidR="00E4503F">
        <w:t>rules</w:t>
      </w:r>
    </w:p>
    <w:p w14:paraId="15D185DA" w14:textId="77777777" w:rsidR="00811AC6" w:rsidRPr="003C2FA4" w:rsidRDefault="00811AC6" w:rsidP="003C2FA4">
      <w:pPr>
        <w:pStyle w:val="Heading1"/>
      </w:pPr>
      <w:r w:rsidRPr="003C2FA4">
        <w:t>Executive summary</w:t>
      </w:r>
    </w:p>
    <w:p w14:paraId="1E9BE2CA" w14:textId="3D53E55F" w:rsidR="00E4503F" w:rsidRDefault="00E4503F" w:rsidP="005531B0">
      <w:pPr>
        <w:pStyle w:val="NumberedParagraph"/>
      </w:pPr>
      <w:r>
        <w:t xml:space="preserve">This report seeks </w:t>
      </w:r>
      <w:r w:rsidR="005803AF">
        <w:t>your approval</w:t>
      </w:r>
      <w:r w:rsidR="008A6B0E">
        <w:t xml:space="preserve"> to release</w:t>
      </w:r>
      <w:r w:rsidR="00CB3E54">
        <w:t xml:space="preserve"> the</w:t>
      </w:r>
      <w:r w:rsidR="008A6B0E">
        <w:t xml:space="preserve"> </w:t>
      </w:r>
      <w:r w:rsidR="008A6B0E" w:rsidRPr="008A6B0E">
        <w:rPr>
          <w:i/>
          <w:iCs/>
        </w:rPr>
        <w:t>GST apportionment and adjustment rules</w:t>
      </w:r>
      <w:r w:rsidR="008A6B0E">
        <w:t xml:space="preserve"> officials’ issues paper</w:t>
      </w:r>
      <w:r w:rsidR="00CB3E54">
        <w:t>,</w:t>
      </w:r>
      <w:r w:rsidR="008A6B0E">
        <w:t xml:space="preserve"> for public consultation. </w:t>
      </w:r>
      <w:r w:rsidR="008B1405" w:rsidRPr="008B1405">
        <w:t>These rules apply when a GST registered business purchases an asset which is used for both business and for private or exempt us</w:t>
      </w:r>
      <w:r w:rsidR="008B1405">
        <w:t>e.</w:t>
      </w:r>
      <w:r w:rsidR="008A6B0E">
        <w:t xml:space="preserve"> A draft officials’ issues paper and draft cabinet paper are attached to this report, for your consideration. </w:t>
      </w:r>
    </w:p>
    <w:p w14:paraId="57760832" w14:textId="74170F7B" w:rsidR="001A4F97" w:rsidRDefault="001A4F97" w:rsidP="00B5184C">
      <w:pPr>
        <w:pStyle w:val="NumberedParagraph"/>
      </w:pPr>
      <w:r>
        <w:t>As outlined in our earlier report to you in February 2021 (</w:t>
      </w:r>
      <w:r w:rsidRPr="00463471">
        <w:rPr>
          <w:i/>
          <w:iCs/>
        </w:rPr>
        <w:t>IR2021/060</w:t>
      </w:r>
      <w:r>
        <w:t xml:space="preserve"> refers), the GST apportionment and adjustment rules </w:t>
      </w:r>
      <w:r w:rsidR="00615EAE">
        <w:t>have been a</w:t>
      </w:r>
      <w:r w:rsidR="00A557EE">
        <w:t xml:space="preserve">n issue of high priority </w:t>
      </w:r>
      <w:r w:rsidR="00BB4154">
        <w:t xml:space="preserve">for </w:t>
      </w:r>
      <w:r w:rsidR="006019E4">
        <w:t xml:space="preserve">stakeholders for </w:t>
      </w:r>
      <w:r w:rsidR="00BB4154">
        <w:t xml:space="preserve">some time, with </w:t>
      </w:r>
      <w:r w:rsidR="00AB2475">
        <w:t>reform of the</w:t>
      </w:r>
      <w:r w:rsidR="006019E4">
        <w:t xml:space="preserve"> apportionment rules </w:t>
      </w:r>
      <w:r w:rsidR="00BB4154">
        <w:t xml:space="preserve">being </w:t>
      </w:r>
      <w:r w:rsidR="00E56B71">
        <w:t xml:space="preserve">ranked </w:t>
      </w:r>
      <w:r w:rsidR="00947369">
        <w:t>the</w:t>
      </w:r>
      <w:r w:rsidR="00E56B71">
        <w:t xml:space="preserve"> highest priority </w:t>
      </w:r>
      <w:r w:rsidR="000206A4">
        <w:t>in the recent GST stewardship review</w:t>
      </w:r>
      <w:r w:rsidR="007C4209">
        <w:t>,</w:t>
      </w:r>
      <w:r w:rsidR="000206A4">
        <w:t xml:space="preserve"> as well as </w:t>
      </w:r>
      <w:r w:rsidR="007C4209">
        <w:t xml:space="preserve">in </w:t>
      </w:r>
      <w:r w:rsidR="000206A4">
        <w:t xml:space="preserve">submissions received in the February 2020 GST issues paper.  </w:t>
      </w:r>
      <w:r w:rsidR="00E56B71">
        <w:t xml:space="preserve"> </w:t>
      </w:r>
    </w:p>
    <w:p w14:paraId="0206F28A" w14:textId="7CF914C3" w:rsidR="00EB6DC3" w:rsidRDefault="005D395E" w:rsidP="00282250">
      <w:pPr>
        <w:pStyle w:val="NumberedParagraph"/>
      </w:pPr>
      <w:r>
        <w:t xml:space="preserve">In recent months, we have been engaging with external stakeholders (including private sector GST advisors) </w:t>
      </w:r>
      <w:r w:rsidR="006B1212">
        <w:t xml:space="preserve">in </w:t>
      </w:r>
      <w:r>
        <w:t xml:space="preserve">developing several policy proposals </w:t>
      </w:r>
      <w:r w:rsidR="00277A7E">
        <w:t>and technical amendments</w:t>
      </w:r>
      <w:r w:rsidR="00F420F3">
        <w:t>, with a view of making the rules simpler and easier for taxpayers to comply with,</w:t>
      </w:r>
      <w:r w:rsidR="00277A7E">
        <w:t xml:space="preserve"> </w:t>
      </w:r>
      <w:r>
        <w:t>that now should be subject to public consultation.</w:t>
      </w:r>
      <w:r w:rsidR="00730515">
        <w:t xml:space="preserve"> </w:t>
      </w:r>
    </w:p>
    <w:p w14:paraId="5F33BBC3" w14:textId="038AE1D9" w:rsidR="00F9090B" w:rsidRDefault="00E121FC" w:rsidP="00282250">
      <w:pPr>
        <w:pStyle w:val="NumberedParagraph"/>
      </w:pPr>
      <w:r>
        <w:t>We seek your approval to publicly consult on these proposals.</w:t>
      </w:r>
    </w:p>
    <w:p w14:paraId="3E88B59F" w14:textId="320C6CD6" w:rsidR="00F9090B" w:rsidRDefault="00F9090B" w:rsidP="005531B0">
      <w:pPr>
        <w:pStyle w:val="NumberedParagraph"/>
      </w:pPr>
      <w:r>
        <w:t xml:space="preserve">The </w:t>
      </w:r>
      <w:r w:rsidR="007F38EB">
        <w:t xml:space="preserve">draft </w:t>
      </w:r>
      <w:r>
        <w:t xml:space="preserve">officials’ issues paper </w:t>
      </w:r>
      <w:r w:rsidR="00926624">
        <w:t>seek</w:t>
      </w:r>
      <w:r w:rsidR="005446D8">
        <w:t>s submissions</w:t>
      </w:r>
      <w:r w:rsidR="00926624">
        <w:t xml:space="preserve"> </w:t>
      </w:r>
      <w:r w:rsidR="005446D8">
        <w:t>on</w:t>
      </w:r>
      <w:r>
        <w:t>:</w:t>
      </w:r>
    </w:p>
    <w:p w14:paraId="0D146404" w14:textId="659AE76D" w:rsidR="006D433E" w:rsidRDefault="006D433E" w:rsidP="00F9090B">
      <w:pPr>
        <w:pStyle w:val="NumberedParagraph"/>
        <w:numPr>
          <w:ilvl w:val="1"/>
          <w:numId w:val="11"/>
        </w:numPr>
      </w:pPr>
      <w:r>
        <w:t>Allow</w:t>
      </w:r>
      <w:r w:rsidR="005446D8">
        <w:t>ing</w:t>
      </w:r>
      <w:r>
        <w:t xml:space="preserve"> GST-registered </w:t>
      </w:r>
      <w:r w:rsidR="00907739">
        <w:t>persons</w:t>
      </w:r>
      <w:r>
        <w:t xml:space="preserve"> to elect capital assets </w:t>
      </w:r>
      <w:r w:rsidR="00D83A98">
        <w:t xml:space="preserve">not </w:t>
      </w:r>
      <w:r w:rsidR="00C67608">
        <w:t xml:space="preserve">to be </w:t>
      </w:r>
      <w:r w:rsidR="00D83A98">
        <w:t xml:space="preserve">subject to </w:t>
      </w:r>
      <w:r>
        <w:t>GST</w:t>
      </w:r>
      <w:r w:rsidR="004C737B">
        <w:t>.</w:t>
      </w:r>
    </w:p>
    <w:p w14:paraId="2DDA15F7" w14:textId="29260D88" w:rsidR="00563D43" w:rsidRDefault="00FC5ABB" w:rsidP="00F9090B">
      <w:pPr>
        <w:pStyle w:val="NumberedParagraph"/>
        <w:numPr>
          <w:ilvl w:val="1"/>
          <w:numId w:val="11"/>
        </w:numPr>
      </w:pPr>
      <w:r>
        <w:t>Introduc</w:t>
      </w:r>
      <w:r w:rsidR="005446D8">
        <w:t>ing</w:t>
      </w:r>
      <w:r>
        <w:t xml:space="preserve"> </w:t>
      </w:r>
      <w:r w:rsidR="00C23639">
        <w:t xml:space="preserve">a principal purpose test for assets </w:t>
      </w:r>
      <w:r w:rsidR="00AD4FDB">
        <w:t xml:space="preserve">worth less </w:t>
      </w:r>
      <w:r w:rsidR="00563D43">
        <w:t>than $5,000</w:t>
      </w:r>
      <w:r w:rsidR="00AD4FDB">
        <w:t>, where</w:t>
      </w:r>
      <w:r w:rsidR="00EA1F2A">
        <w:t>by</w:t>
      </w:r>
      <w:r w:rsidR="0006041F">
        <w:t xml:space="preserve"> an asset </w:t>
      </w:r>
      <w:r w:rsidR="00D62EFB">
        <w:t xml:space="preserve">purchased </w:t>
      </w:r>
      <w:r w:rsidR="0006041F">
        <w:t>for predominant business use will receive full input deduction</w:t>
      </w:r>
      <w:r w:rsidR="004C737B">
        <w:t>.</w:t>
      </w:r>
    </w:p>
    <w:p w14:paraId="25DA8C38" w14:textId="3BA88267" w:rsidR="004D7D5A" w:rsidRDefault="004D7D5A" w:rsidP="004D7D5A">
      <w:pPr>
        <w:pStyle w:val="NumberedParagraph"/>
        <w:numPr>
          <w:ilvl w:val="1"/>
          <w:numId w:val="11"/>
        </w:numPr>
      </w:pPr>
      <w:r>
        <w:t>Establish</w:t>
      </w:r>
      <w:r w:rsidR="00EA35D9">
        <w:t>ing</w:t>
      </w:r>
      <w:r>
        <w:t xml:space="preserve"> a 20% margin rule for assets worth more than $5,000, whereby businesses would not be required to </w:t>
      </w:r>
      <w:r w:rsidR="00892829">
        <w:t xml:space="preserve">make annual </w:t>
      </w:r>
      <w:r>
        <w:t xml:space="preserve">apportionment </w:t>
      </w:r>
      <w:r w:rsidR="00892829">
        <w:t xml:space="preserve">adjustments </w:t>
      </w:r>
      <w:r>
        <w:t>unless their business use of the asset has significantly changed</w:t>
      </w:r>
      <w:r w:rsidR="004C737B">
        <w:t>.</w:t>
      </w:r>
    </w:p>
    <w:p w14:paraId="363AE899" w14:textId="5A880F01" w:rsidR="00D25669" w:rsidRDefault="00926624" w:rsidP="00F9090B">
      <w:pPr>
        <w:pStyle w:val="NumberedParagraph"/>
        <w:numPr>
          <w:ilvl w:val="1"/>
          <w:numId w:val="11"/>
        </w:numPr>
      </w:pPr>
      <w:r>
        <w:t>Introduc</w:t>
      </w:r>
      <w:r w:rsidR="00EA35D9">
        <w:t>ing</w:t>
      </w:r>
      <w:r>
        <w:t xml:space="preserve"> n</w:t>
      </w:r>
      <w:r w:rsidR="00563D43">
        <w:t xml:space="preserve">ew rounding-based rules </w:t>
      </w:r>
      <w:r w:rsidR="00576549">
        <w:t>for assets</w:t>
      </w:r>
      <w:r w:rsidR="00763077">
        <w:t xml:space="preserve"> </w:t>
      </w:r>
      <w:r w:rsidR="00576549">
        <w:t>tha</w:t>
      </w:r>
      <w:r w:rsidR="004277A2">
        <w:t>t</w:t>
      </w:r>
      <w:r w:rsidR="00576549">
        <w:t xml:space="preserve"> have less than 20% or more than 80% of taxable use</w:t>
      </w:r>
      <w:r w:rsidR="00B058C3">
        <w:t xml:space="preserve">, so they are effectively </w:t>
      </w:r>
      <w:r w:rsidR="0026393A">
        <w:t xml:space="preserve">not subject to </w:t>
      </w:r>
      <w:r w:rsidR="00892829">
        <w:t>the apportionment rules</w:t>
      </w:r>
      <w:r w:rsidR="004C737B">
        <w:t>.</w:t>
      </w:r>
    </w:p>
    <w:p w14:paraId="6760C976" w14:textId="7728D5EA" w:rsidR="00A52D74" w:rsidRDefault="00687603" w:rsidP="00F9090B">
      <w:pPr>
        <w:pStyle w:val="NumberedParagraph"/>
        <w:numPr>
          <w:ilvl w:val="1"/>
          <w:numId w:val="11"/>
        </w:numPr>
      </w:pPr>
      <w:r>
        <w:t>Propos</w:t>
      </w:r>
      <w:r w:rsidR="00EA35D9">
        <w:t>ing</w:t>
      </w:r>
      <w:r>
        <w:t xml:space="preserve"> </w:t>
      </w:r>
      <w:r w:rsidR="008B4C98">
        <w:t>t</w:t>
      </w:r>
      <w:r w:rsidR="00CE6C52">
        <w:t>echnical changes to the definitions of residential and commercial accommodation services</w:t>
      </w:r>
      <w:r w:rsidR="00D03E15">
        <w:t>, to provide more certainty to various commercial situatio</w:t>
      </w:r>
      <w:r w:rsidR="00455E0B">
        <w:t>ns</w:t>
      </w:r>
      <w:r w:rsidR="004C737B">
        <w:t>.</w:t>
      </w:r>
    </w:p>
    <w:p w14:paraId="563DBA8B" w14:textId="0B3F2B5C" w:rsidR="00CE6C52" w:rsidRDefault="00D01E72" w:rsidP="00F9090B">
      <w:pPr>
        <w:pStyle w:val="NumberedParagraph"/>
        <w:numPr>
          <w:ilvl w:val="1"/>
          <w:numId w:val="11"/>
        </w:numPr>
      </w:pPr>
      <w:r>
        <w:t>Explor</w:t>
      </w:r>
      <w:r w:rsidR="00EA35D9">
        <w:t>ing</w:t>
      </w:r>
      <w:r w:rsidR="00BE60BB">
        <w:t xml:space="preserve"> </w:t>
      </w:r>
      <w:r w:rsidR="00CC4B84">
        <w:t xml:space="preserve">potentially </w:t>
      </w:r>
      <w:r w:rsidR="00BF664D">
        <w:t>treat</w:t>
      </w:r>
      <w:r w:rsidR="00CC4B84">
        <w:t xml:space="preserve">ing houses as </w:t>
      </w:r>
      <w:r w:rsidR="00BF664D">
        <w:t>fully private assets and GST exempt on sale</w:t>
      </w:r>
      <w:r w:rsidR="004C737B">
        <w:t>.</w:t>
      </w:r>
    </w:p>
    <w:p w14:paraId="00B5AA19" w14:textId="21900E69" w:rsidR="00F452EE" w:rsidRDefault="00F452EE" w:rsidP="00F9090B">
      <w:pPr>
        <w:pStyle w:val="NumberedParagraph"/>
        <w:numPr>
          <w:ilvl w:val="1"/>
          <w:numId w:val="11"/>
        </w:numPr>
      </w:pPr>
      <w:r>
        <w:t>Simplify</w:t>
      </w:r>
      <w:r w:rsidR="00EA35D9">
        <w:t>ing</w:t>
      </w:r>
      <w:r>
        <w:t xml:space="preserve"> the r</w:t>
      </w:r>
      <w:r w:rsidR="00EF51BB">
        <w:t xml:space="preserve">ules </w:t>
      </w:r>
      <w:r>
        <w:t>for residential property developers</w:t>
      </w:r>
      <w:r w:rsidR="008109D8">
        <w:t>, while encouraging</w:t>
      </w:r>
      <w:r w:rsidR="00E03B48">
        <w:t xml:space="preserve"> land to be developed </w:t>
      </w:r>
      <w:r w:rsidR="00E1523F">
        <w:t>within a reasonable timeframe</w:t>
      </w:r>
      <w:r w:rsidR="007F38EB">
        <w:t>.</w:t>
      </w:r>
    </w:p>
    <w:p w14:paraId="5A696F50" w14:textId="7D6377AE" w:rsidR="00130046" w:rsidRDefault="008F0BA7" w:rsidP="00463471">
      <w:pPr>
        <w:pStyle w:val="NumberedParagraph"/>
        <w:numPr>
          <w:ilvl w:val="1"/>
          <w:numId w:val="11"/>
        </w:numPr>
      </w:pPr>
      <w:r>
        <w:t>A</w:t>
      </w:r>
      <w:r w:rsidR="00345412">
        <w:t xml:space="preserve"> number of </w:t>
      </w:r>
      <w:r>
        <w:t xml:space="preserve">other </w:t>
      </w:r>
      <w:r w:rsidR="00345412">
        <w:t xml:space="preserve">technical </w:t>
      </w:r>
      <w:r w:rsidR="0056228D">
        <w:t xml:space="preserve">improvements </w:t>
      </w:r>
      <w:r w:rsidR="00256F6C">
        <w:t xml:space="preserve">that </w:t>
      </w:r>
      <w:r w:rsidR="00502D2A">
        <w:t>will</w:t>
      </w:r>
      <w:r w:rsidR="00256F6C">
        <w:t xml:space="preserve"> reduce compliance costs.</w:t>
      </w:r>
    </w:p>
    <w:p w14:paraId="427001B5" w14:textId="0EFFFBE9" w:rsidR="00DF2FF9" w:rsidRDefault="00DF2FF9" w:rsidP="008B4C98">
      <w:pPr>
        <w:pStyle w:val="NumberedParagraph"/>
      </w:pPr>
      <w:r>
        <w:t xml:space="preserve">If you agree to the recommendations in this report, the next step is to obtain Cabinet’s approval to release the </w:t>
      </w:r>
      <w:r w:rsidR="00B71724">
        <w:t>officials’ issues paper for public consultation. A draft Cabinet paper is attached for lodgement with the Cabinet Office by 10.00am Thursday</w:t>
      </w:r>
      <w:r w:rsidR="007F7E89">
        <w:t xml:space="preserve"> </w:t>
      </w:r>
      <w:r w:rsidR="002877B6">
        <w:t>3</w:t>
      </w:r>
      <w:r w:rsidR="007F7E89">
        <w:t xml:space="preserve"> February</w:t>
      </w:r>
      <w:r w:rsidR="000650B3">
        <w:t xml:space="preserve"> 2022</w:t>
      </w:r>
      <w:r w:rsidR="00B71724">
        <w:t>, for consideration by the Economic Development Committee the following Wednesday</w:t>
      </w:r>
      <w:r w:rsidR="00C56BD5">
        <w:t xml:space="preserve"> </w:t>
      </w:r>
      <w:r w:rsidR="002877B6">
        <w:t>9</w:t>
      </w:r>
      <w:r w:rsidR="00697B46">
        <w:t xml:space="preserve"> Febr</w:t>
      </w:r>
      <w:r w:rsidR="000650B3">
        <w:t>uary 2022</w:t>
      </w:r>
      <w:r w:rsidR="00B71724">
        <w:t xml:space="preserve">. </w:t>
      </w:r>
    </w:p>
    <w:p w14:paraId="5961DA4C" w14:textId="5F93D0D9" w:rsidR="00D0588F" w:rsidRDefault="00D0588F" w:rsidP="00D0588F">
      <w:pPr>
        <w:shd w:val="clear" w:color="auto" w:fill="D9D9D9" w:themeFill="background1" w:themeFillShade="D9"/>
      </w:pPr>
      <w:r>
        <w:t>s 9(2)(f)(iv)</w:t>
      </w:r>
    </w:p>
    <w:p w14:paraId="08C277C8" w14:textId="185FCFE2" w:rsidR="00D0588F" w:rsidRDefault="00D0588F" w:rsidP="00D0588F">
      <w:pPr>
        <w:shd w:val="clear" w:color="auto" w:fill="D9D9D9" w:themeFill="background1" w:themeFillShade="D9"/>
      </w:pPr>
    </w:p>
    <w:p w14:paraId="2EB6D896" w14:textId="398107AB" w:rsidR="00D0588F" w:rsidRDefault="00D0588F" w:rsidP="00D0588F">
      <w:pPr>
        <w:shd w:val="clear" w:color="auto" w:fill="D9D9D9" w:themeFill="background1" w:themeFillShade="D9"/>
      </w:pPr>
    </w:p>
    <w:p w14:paraId="260FFBD2" w14:textId="6C5F5F11" w:rsidR="00D0588F" w:rsidRDefault="00D0588F" w:rsidP="00D0588F">
      <w:pPr>
        <w:shd w:val="clear" w:color="auto" w:fill="D9D9D9" w:themeFill="background1" w:themeFillShade="D9"/>
      </w:pPr>
    </w:p>
    <w:p w14:paraId="21CEF4B5" w14:textId="6FCB316C" w:rsidR="00D0588F" w:rsidRDefault="00D0588F" w:rsidP="00D0588F">
      <w:pPr>
        <w:shd w:val="clear" w:color="auto" w:fill="D9D9D9" w:themeFill="background1" w:themeFillShade="D9"/>
      </w:pPr>
    </w:p>
    <w:p w14:paraId="6133EC7A" w14:textId="08391249" w:rsidR="00D0588F" w:rsidRDefault="00D0588F" w:rsidP="00D0588F">
      <w:pPr>
        <w:shd w:val="clear" w:color="auto" w:fill="D9D9D9" w:themeFill="background1" w:themeFillShade="D9"/>
      </w:pPr>
    </w:p>
    <w:p w14:paraId="107F2DD9" w14:textId="3A9221D9" w:rsidR="00D0588F" w:rsidRDefault="00D0588F" w:rsidP="00D0588F">
      <w:pPr>
        <w:shd w:val="clear" w:color="auto" w:fill="D9D9D9" w:themeFill="background1" w:themeFillShade="D9"/>
      </w:pPr>
    </w:p>
    <w:p w14:paraId="1329511C" w14:textId="3D48D890" w:rsidR="00D0588F" w:rsidRDefault="00D0588F" w:rsidP="00D0588F">
      <w:pPr>
        <w:shd w:val="clear" w:color="auto" w:fill="D9D9D9" w:themeFill="background1" w:themeFillShade="D9"/>
      </w:pPr>
    </w:p>
    <w:p w14:paraId="2EA8D179" w14:textId="326AA8D4" w:rsidR="00D0588F" w:rsidRDefault="00D0588F" w:rsidP="00D0588F">
      <w:pPr>
        <w:shd w:val="clear" w:color="auto" w:fill="D9D9D9" w:themeFill="background1" w:themeFillShade="D9"/>
      </w:pPr>
    </w:p>
    <w:p w14:paraId="40DBAAC0" w14:textId="298A28E1" w:rsidR="00D0588F" w:rsidRDefault="00D0588F" w:rsidP="00D0588F">
      <w:pPr>
        <w:shd w:val="clear" w:color="auto" w:fill="D9D9D9" w:themeFill="background1" w:themeFillShade="D9"/>
      </w:pPr>
    </w:p>
    <w:p w14:paraId="344F111D" w14:textId="69669E3C" w:rsidR="00D0588F" w:rsidRDefault="00D0588F" w:rsidP="00D0588F">
      <w:pPr>
        <w:shd w:val="clear" w:color="auto" w:fill="D9D9D9" w:themeFill="background1" w:themeFillShade="D9"/>
      </w:pPr>
    </w:p>
    <w:p w14:paraId="20D14B6D" w14:textId="3B54CF10" w:rsidR="00D0588F" w:rsidRDefault="00D0588F" w:rsidP="00D0588F">
      <w:pPr>
        <w:shd w:val="clear" w:color="auto" w:fill="D9D9D9" w:themeFill="background1" w:themeFillShade="D9"/>
      </w:pPr>
    </w:p>
    <w:p w14:paraId="3F9868FC" w14:textId="5C6CFB06" w:rsidR="00D0588F" w:rsidRDefault="00D0588F" w:rsidP="00D0588F">
      <w:pPr>
        <w:shd w:val="clear" w:color="auto" w:fill="D9D9D9" w:themeFill="background1" w:themeFillShade="D9"/>
      </w:pPr>
    </w:p>
    <w:p w14:paraId="5BE6FB88" w14:textId="4AEAF5E8" w:rsidR="00D0588F" w:rsidRDefault="00D0588F" w:rsidP="00D0588F">
      <w:pPr>
        <w:shd w:val="clear" w:color="auto" w:fill="D9D9D9" w:themeFill="background1" w:themeFillShade="D9"/>
      </w:pPr>
    </w:p>
    <w:p w14:paraId="32E896F4" w14:textId="7306A6BD" w:rsidR="00D0588F" w:rsidRDefault="00D0588F" w:rsidP="00D0588F">
      <w:pPr>
        <w:shd w:val="clear" w:color="auto" w:fill="D9D9D9" w:themeFill="background1" w:themeFillShade="D9"/>
      </w:pPr>
    </w:p>
    <w:p w14:paraId="61378A62" w14:textId="77777777" w:rsidR="00D0588F" w:rsidRPr="00D0588F" w:rsidRDefault="00D0588F" w:rsidP="00D0588F"/>
    <w:p w14:paraId="2F016E2F" w14:textId="74CF8D04" w:rsidR="006366D0" w:rsidRDefault="006366D0" w:rsidP="00D0588F">
      <w:pPr>
        <w:pStyle w:val="NumberedParagraph"/>
        <w:numPr>
          <w:ilvl w:val="0"/>
          <w:numId w:val="43"/>
        </w:numPr>
      </w:pPr>
      <w:r>
        <w:t>The Treasury has been consulted in the preparation of this report.</w:t>
      </w:r>
    </w:p>
    <w:p w14:paraId="5CC6B997" w14:textId="77777777" w:rsidR="00635E2A" w:rsidRDefault="00635E2A">
      <w:pPr>
        <w:spacing w:after="160" w:line="259" w:lineRule="auto"/>
        <w:jc w:val="left"/>
        <w:rPr>
          <w:b/>
        </w:rPr>
      </w:pPr>
      <w:r>
        <w:br w:type="page"/>
      </w:r>
    </w:p>
    <w:p w14:paraId="4D50FEA1" w14:textId="77777777" w:rsidR="00811AC6" w:rsidRDefault="00811AC6" w:rsidP="00A2547F">
      <w:pPr>
        <w:pStyle w:val="Heading1"/>
      </w:pPr>
      <w:r>
        <w:t>Recommended action</w:t>
      </w:r>
    </w:p>
    <w:p w14:paraId="26DEE6E5" w14:textId="1D455D2F" w:rsidR="00811AC6" w:rsidRDefault="00811AC6" w:rsidP="007934B6">
      <w:pPr>
        <w:pStyle w:val="NumberedParagraph"/>
        <w:numPr>
          <w:ilvl w:val="0"/>
          <w:numId w:val="0"/>
        </w:numPr>
        <w:ind w:left="709" w:hanging="709"/>
      </w:pPr>
      <w:r>
        <w:t>We recommend that you:</w:t>
      </w:r>
    </w:p>
    <w:tbl>
      <w:tblPr>
        <w:tblStyle w:val="TableGrid"/>
        <w:tblW w:w="9214" w:type="dxa"/>
        <w:tblLook w:val="04A0" w:firstRow="1" w:lastRow="0" w:firstColumn="1" w:lastColumn="0" w:noHBand="0" w:noVBand="1"/>
      </w:tblPr>
      <w:tblGrid>
        <w:gridCol w:w="709"/>
        <w:gridCol w:w="5753"/>
        <w:gridCol w:w="1376"/>
        <w:gridCol w:w="1376"/>
      </w:tblGrid>
      <w:tr w:rsidR="00C23DB1" w14:paraId="468BE51B" w14:textId="77777777" w:rsidTr="00D0588F">
        <w:tc>
          <w:tcPr>
            <w:tcW w:w="6462" w:type="dxa"/>
            <w:gridSpan w:val="2"/>
            <w:tcBorders>
              <w:top w:val="single" w:sz="4" w:space="0" w:color="auto"/>
              <w:left w:val="nil"/>
              <w:bottom w:val="single" w:sz="4" w:space="0" w:color="auto"/>
              <w:right w:val="single" w:sz="4" w:space="0" w:color="auto"/>
            </w:tcBorders>
            <w:hideMark/>
          </w:tcPr>
          <w:p w14:paraId="02204A9F" w14:textId="77777777" w:rsidR="00C23DB1" w:rsidRDefault="00C23DB1">
            <w:pPr>
              <w:pStyle w:val="Table-Heading"/>
            </w:pPr>
            <w:r>
              <w:t>Recommendations</w:t>
            </w:r>
          </w:p>
        </w:tc>
        <w:tc>
          <w:tcPr>
            <w:tcW w:w="1376" w:type="dxa"/>
            <w:tcBorders>
              <w:top w:val="single" w:sz="4" w:space="0" w:color="auto"/>
              <w:left w:val="single" w:sz="4" w:space="0" w:color="auto"/>
              <w:bottom w:val="single" w:sz="4" w:space="0" w:color="auto"/>
              <w:right w:val="single" w:sz="4" w:space="0" w:color="auto"/>
            </w:tcBorders>
            <w:hideMark/>
          </w:tcPr>
          <w:p w14:paraId="2BDB5682" w14:textId="77777777" w:rsidR="00C23DB1" w:rsidRDefault="00C23DB1">
            <w:pPr>
              <w:pStyle w:val="Table-Heading"/>
            </w:pPr>
            <w:r>
              <w:t>Minister of Finance</w:t>
            </w:r>
          </w:p>
        </w:tc>
        <w:tc>
          <w:tcPr>
            <w:tcW w:w="1376" w:type="dxa"/>
            <w:tcBorders>
              <w:top w:val="single" w:sz="4" w:space="0" w:color="auto"/>
              <w:left w:val="single" w:sz="4" w:space="0" w:color="auto"/>
              <w:bottom w:val="single" w:sz="4" w:space="0" w:color="auto"/>
              <w:right w:val="single" w:sz="4" w:space="0" w:color="auto"/>
            </w:tcBorders>
            <w:hideMark/>
          </w:tcPr>
          <w:p w14:paraId="18927B2B" w14:textId="77777777" w:rsidR="00C23DB1" w:rsidRDefault="00C23DB1">
            <w:pPr>
              <w:pStyle w:val="Table-Heading"/>
            </w:pPr>
            <w:r>
              <w:t>Minister of Revenue</w:t>
            </w:r>
          </w:p>
        </w:tc>
      </w:tr>
      <w:tr w:rsidR="00C23DB1" w14:paraId="2BA1DBA0" w14:textId="77777777" w:rsidTr="00D0588F">
        <w:tc>
          <w:tcPr>
            <w:tcW w:w="6462" w:type="dxa"/>
            <w:gridSpan w:val="2"/>
            <w:tcBorders>
              <w:top w:val="single" w:sz="4" w:space="0" w:color="auto"/>
              <w:left w:val="nil"/>
              <w:bottom w:val="single" w:sz="4" w:space="0" w:color="auto"/>
              <w:right w:val="single" w:sz="4" w:space="0" w:color="auto"/>
            </w:tcBorders>
            <w:hideMark/>
          </w:tcPr>
          <w:p w14:paraId="7FE11765" w14:textId="19CB56E9" w:rsidR="00C23DB1" w:rsidRDefault="00C23DB1" w:rsidP="00D0588F">
            <w:pPr>
              <w:pStyle w:val="NumberedParagraph"/>
              <w:numPr>
                <w:ilvl w:val="4"/>
                <w:numId w:val="15"/>
              </w:numPr>
              <w:tabs>
                <w:tab w:val="num" w:pos="709"/>
              </w:tabs>
              <w:ind w:left="709"/>
            </w:pPr>
            <w:r w:rsidRPr="000F0CAA">
              <w:rPr>
                <w:b/>
                <w:bCs/>
              </w:rPr>
              <w:t>note</w:t>
            </w:r>
            <w:r>
              <w:t xml:space="preserve"> the contents of the attached draft </w:t>
            </w:r>
            <w:r w:rsidR="00507165">
              <w:t xml:space="preserve">Cabinet paper and draft </w:t>
            </w:r>
            <w:r>
              <w:t>GST apportionment and adjustment rules officials’ issues paper</w:t>
            </w:r>
          </w:p>
        </w:tc>
        <w:tc>
          <w:tcPr>
            <w:tcW w:w="1376" w:type="dxa"/>
            <w:tcBorders>
              <w:top w:val="single" w:sz="4" w:space="0" w:color="auto"/>
              <w:left w:val="single" w:sz="4" w:space="0" w:color="auto"/>
              <w:bottom w:val="single" w:sz="4" w:space="0" w:color="auto"/>
              <w:right w:val="single" w:sz="4" w:space="0" w:color="auto"/>
            </w:tcBorders>
            <w:hideMark/>
          </w:tcPr>
          <w:p w14:paraId="43117EF2" w14:textId="77777777" w:rsidR="00C23DB1" w:rsidRDefault="00C23DB1">
            <w:pPr>
              <w:pStyle w:val="Table-Text"/>
            </w:pPr>
            <w:r>
              <w:t>Noted</w:t>
            </w:r>
          </w:p>
        </w:tc>
        <w:tc>
          <w:tcPr>
            <w:tcW w:w="1376" w:type="dxa"/>
            <w:tcBorders>
              <w:top w:val="single" w:sz="4" w:space="0" w:color="auto"/>
              <w:left w:val="single" w:sz="4" w:space="0" w:color="auto"/>
              <w:bottom w:val="single" w:sz="4" w:space="0" w:color="auto"/>
              <w:right w:val="single" w:sz="4" w:space="0" w:color="auto"/>
            </w:tcBorders>
            <w:hideMark/>
          </w:tcPr>
          <w:p w14:paraId="698EF034" w14:textId="77777777" w:rsidR="00C23DB1" w:rsidRDefault="00C23DB1">
            <w:pPr>
              <w:pStyle w:val="Table-Text"/>
            </w:pPr>
            <w:r>
              <w:t>Noted</w:t>
            </w:r>
          </w:p>
        </w:tc>
      </w:tr>
      <w:tr w:rsidR="00C23DB1" w14:paraId="43CD77E0" w14:textId="77777777" w:rsidTr="00D0588F">
        <w:tc>
          <w:tcPr>
            <w:tcW w:w="6462" w:type="dxa"/>
            <w:gridSpan w:val="2"/>
            <w:tcBorders>
              <w:top w:val="single" w:sz="4" w:space="0" w:color="auto"/>
              <w:left w:val="nil"/>
              <w:bottom w:val="single" w:sz="4" w:space="0" w:color="auto"/>
              <w:right w:val="single" w:sz="4" w:space="0" w:color="auto"/>
            </w:tcBorders>
            <w:hideMark/>
          </w:tcPr>
          <w:p w14:paraId="11C5B0A4" w14:textId="17FA9951" w:rsidR="00C23DB1" w:rsidRDefault="00C23DB1" w:rsidP="00D0588F">
            <w:pPr>
              <w:pStyle w:val="NumberedParagraph"/>
              <w:numPr>
                <w:ilvl w:val="4"/>
                <w:numId w:val="15"/>
              </w:numPr>
              <w:tabs>
                <w:tab w:val="num" w:pos="709"/>
              </w:tabs>
              <w:ind w:left="709"/>
            </w:pPr>
            <w:r w:rsidRPr="00593893">
              <w:rPr>
                <w:b/>
                <w:bCs/>
              </w:rPr>
              <w:t>note</w:t>
            </w:r>
            <w:r>
              <w:t xml:space="preserve"> the draft officials’ issues paper is subject to minor technical and editorial changes</w:t>
            </w:r>
          </w:p>
        </w:tc>
        <w:tc>
          <w:tcPr>
            <w:tcW w:w="1376" w:type="dxa"/>
            <w:tcBorders>
              <w:top w:val="single" w:sz="4" w:space="0" w:color="auto"/>
              <w:left w:val="single" w:sz="4" w:space="0" w:color="auto"/>
              <w:bottom w:val="single" w:sz="4" w:space="0" w:color="auto"/>
              <w:right w:val="single" w:sz="4" w:space="0" w:color="auto"/>
            </w:tcBorders>
            <w:hideMark/>
          </w:tcPr>
          <w:p w14:paraId="1F87AF69" w14:textId="77777777" w:rsidR="00C23DB1" w:rsidRDefault="00C23DB1">
            <w:pPr>
              <w:pStyle w:val="Table-Text"/>
            </w:pPr>
            <w:r>
              <w:t>Noted</w:t>
            </w:r>
          </w:p>
        </w:tc>
        <w:tc>
          <w:tcPr>
            <w:tcW w:w="1376" w:type="dxa"/>
            <w:tcBorders>
              <w:top w:val="single" w:sz="4" w:space="0" w:color="auto"/>
              <w:left w:val="single" w:sz="4" w:space="0" w:color="auto"/>
              <w:bottom w:val="single" w:sz="4" w:space="0" w:color="auto"/>
              <w:right w:val="single" w:sz="4" w:space="0" w:color="auto"/>
            </w:tcBorders>
            <w:hideMark/>
          </w:tcPr>
          <w:p w14:paraId="0E1B2E57" w14:textId="77777777" w:rsidR="00C23DB1" w:rsidRDefault="00C23DB1">
            <w:pPr>
              <w:pStyle w:val="Table-Text"/>
            </w:pPr>
            <w:r>
              <w:t>Noted</w:t>
            </w:r>
          </w:p>
        </w:tc>
      </w:tr>
      <w:tr w:rsidR="00826995" w:rsidRPr="00D0588F" w14:paraId="7807BD92" w14:textId="77777777" w:rsidTr="00F548F0">
        <w:tc>
          <w:tcPr>
            <w:tcW w:w="709" w:type="dxa"/>
            <w:tcBorders>
              <w:top w:val="single" w:sz="4" w:space="0" w:color="auto"/>
              <w:left w:val="nil"/>
              <w:bottom w:val="single" w:sz="4" w:space="0" w:color="auto"/>
              <w:right w:val="nil"/>
            </w:tcBorders>
          </w:tcPr>
          <w:p w14:paraId="720967DA" w14:textId="6AD5F0A3" w:rsidR="00826995" w:rsidRPr="00D0588F" w:rsidRDefault="00826995" w:rsidP="00D0588F">
            <w:pPr>
              <w:pStyle w:val="NumberedParagraph"/>
              <w:numPr>
                <w:ilvl w:val="4"/>
                <w:numId w:val="15"/>
              </w:numPr>
              <w:tabs>
                <w:tab w:val="num" w:pos="709"/>
              </w:tabs>
              <w:ind w:left="0" w:firstLine="0"/>
            </w:pPr>
          </w:p>
        </w:tc>
        <w:tc>
          <w:tcPr>
            <w:tcW w:w="8505" w:type="dxa"/>
            <w:gridSpan w:val="3"/>
            <w:tcBorders>
              <w:top w:val="single" w:sz="4" w:space="0" w:color="auto"/>
              <w:left w:val="nil"/>
              <w:bottom w:val="nil"/>
              <w:right w:val="single" w:sz="4" w:space="0" w:color="auto"/>
            </w:tcBorders>
            <w:shd w:val="clear" w:color="auto" w:fill="D9D9D9" w:themeFill="background1" w:themeFillShade="D9"/>
          </w:tcPr>
          <w:p w14:paraId="7243B261" w14:textId="77777777" w:rsidR="00826995" w:rsidRDefault="00826995" w:rsidP="00D0588F">
            <w:pPr>
              <w:pStyle w:val="NumberedParagraph"/>
              <w:numPr>
                <w:ilvl w:val="0"/>
                <w:numId w:val="0"/>
              </w:numPr>
              <w:tabs>
                <w:tab w:val="num" w:pos="709"/>
              </w:tabs>
              <w:spacing w:after="0"/>
            </w:pPr>
            <w:r>
              <w:t>s 9(2)(f)(iv)</w:t>
            </w:r>
          </w:p>
          <w:p w14:paraId="2A1F17F2" w14:textId="77777777" w:rsidR="00826995" w:rsidRDefault="00826995" w:rsidP="00D0588F">
            <w:pPr>
              <w:pStyle w:val="NumberedParagraph"/>
              <w:numPr>
                <w:ilvl w:val="0"/>
                <w:numId w:val="0"/>
              </w:numPr>
              <w:tabs>
                <w:tab w:val="num" w:pos="709"/>
              </w:tabs>
              <w:spacing w:after="0"/>
            </w:pPr>
          </w:p>
          <w:p w14:paraId="05E65730" w14:textId="3DDC92DF" w:rsidR="00826995" w:rsidRDefault="00826995" w:rsidP="00D0588F">
            <w:pPr>
              <w:pStyle w:val="NumberedParagraph"/>
              <w:numPr>
                <w:ilvl w:val="0"/>
                <w:numId w:val="0"/>
              </w:numPr>
              <w:tabs>
                <w:tab w:val="num" w:pos="709"/>
              </w:tabs>
              <w:spacing w:after="0"/>
            </w:pPr>
          </w:p>
          <w:p w14:paraId="70AB8FB8" w14:textId="77777777" w:rsidR="00826995" w:rsidRDefault="00826995" w:rsidP="00D0588F">
            <w:pPr>
              <w:pStyle w:val="NumberedParagraph"/>
              <w:numPr>
                <w:ilvl w:val="0"/>
                <w:numId w:val="0"/>
              </w:numPr>
              <w:tabs>
                <w:tab w:val="num" w:pos="709"/>
              </w:tabs>
              <w:spacing w:after="0"/>
            </w:pPr>
          </w:p>
          <w:p w14:paraId="15A1B775" w14:textId="242AD096" w:rsidR="00826995" w:rsidRPr="00D0588F" w:rsidRDefault="00826995" w:rsidP="00921A1E">
            <w:pPr>
              <w:pStyle w:val="Table-Text"/>
            </w:pPr>
          </w:p>
        </w:tc>
      </w:tr>
      <w:tr w:rsidR="00826995" w14:paraId="0E1FA2C0" w14:textId="77777777" w:rsidTr="00F548F0">
        <w:tc>
          <w:tcPr>
            <w:tcW w:w="709" w:type="dxa"/>
            <w:tcBorders>
              <w:top w:val="nil"/>
              <w:left w:val="nil"/>
              <w:bottom w:val="single" w:sz="4" w:space="0" w:color="auto"/>
              <w:right w:val="nil"/>
            </w:tcBorders>
          </w:tcPr>
          <w:p w14:paraId="78C7D7D0" w14:textId="1D08FAD6" w:rsidR="00826995" w:rsidRPr="00D0588F" w:rsidRDefault="00826995" w:rsidP="00921A1E">
            <w:pPr>
              <w:pStyle w:val="NumberedParagraph"/>
              <w:numPr>
                <w:ilvl w:val="4"/>
                <w:numId w:val="15"/>
              </w:numPr>
              <w:tabs>
                <w:tab w:val="num" w:pos="709"/>
              </w:tabs>
              <w:ind w:left="709"/>
            </w:pPr>
          </w:p>
        </w:tc>
        <w:tc>
          <w:tcPr>
            <w:tcW w:w="8505" w:type="dxa"/>
            <w:gridSpan w:val="3"/>
            <w:tcBorders>
              <w:top w:val="nil"/>
              <w:left w:val="nil"/>
              <w:bottom w:val="single" w:sz="4" w:space="0" w:color="auto"/>
              <w:right w:val="single" w:sz="4" w:space="0" w:color="auto"/>
            </w:tcBorders>
            <w:shd w:val="clear" w:color="auto" w:fill="D9D9D9" w:themeFill="background1" w:themeFillShade="D9"/>
          </w:tcPr>
          <w:p w14:paraId="6C4E4442" w14:textId="77777777" w:rsidR="00826995" w:rsidRDefault="00826995" w:rsidP="00D0588F">
            <w:pPr>
              <w:pStyle w:val="NumberedParagraph"/>
              <w:numPr>
                <w:ilvl w:val="0"/>
                <w:numId w:val="0"/>
              </w:numPr>
              <w:tabs>
                <w:tab w:val="num" w:pos="850"/>
              </w:tabs>
              <w:ind w:left="709" w:hanging="709"/>
            </w:pPr>
          </w:p>
          <w:p w14:paraId="4CB9C74D" w14:textId="61C05A29" w:rsidR="00826995" w:rsidRPr="00D0588F" w:rsidRDefault="00826995" w:rsidP="00921A1E">
            <w:pPr>
              <w:pStyle w:val="Table-Text"/>
            </w:pPr>
          </w:p>
        </w:tc>
      </w:tr>
      <w:tr w:rsidR="00921A1E" w14:paraId="11B91253" w14:textId="77777777" w:rsidTr="00D0588F">
        <w:tc>
          <w:tcPr>
            <w:tcW w:w="6462" w:type="dxa"/>
            <w:gridSpan w:val="2"/>
            <w:tcBorders>
              <w:top w:val="single" w:sz="4" w:space="0" w:color="auto"/>
              <w:left w:val="nil"/>
              <w:bottom w:val="single" w:sz="4" w:space="0" w:color="auto"/>
              <w:right w:val="single" w:sz="4" w:space="0" w:color="auto"/>
            </w:tcBorders>
          </w:tcPr>
          <w:p w14:paraId="13CC851C" w14:textId="7A9E6849" w:rsidR="00921A1E" w:rsidRPr="00593893" w:rsidRDefault="001526A3" w:rsidP="00921A1E">
            <w:pPr>
              <w:pStyle w:val="NumberedParagraph"/>
              <w:numPr>
                <w:ilvl w:val="4"/>
                <w:numId w:val="15"/>
              </w:numPr>
              <w:tabs>
                <w:tab w:val="num" w:pos="709"/>
              </w:tabs>
              <w:ind w:left="709"/>
              <w:rPr>
                <w:b/>
                <w:bCs/>
              </w:rPr>
            </w:pPr>
            <w:r>
              <w:rPr>
                <w:b/>
                <w:bCs/>
              </w:rPr>
              <w:t>approve and lodge</w:t>
            </w:r>
            <w:r w:rsidR="00921A1E">
              <w:t xml:space="preserve"> the attached </w:t>
            </w:r>
            <w:r w:rsidR="00595028">
              <w:t>C</w:t>
            </w:r>
            <w:r w:rsidR="00921A1E">
              <w:t>abinet paper and draft officials’ issues paper to the Cabinet Office, for consideration by the Cabinet Economic Development Committee</w:t>
            </w:r>
          </w:p>
        </w:tc>
        <w:tc>
          <w:tcPr>
            <w:tcW w:w="1376" w:type="dxa"/>
            <w:tcBorders>
              <w:top w:val="single" w:sz="4" w:space="0" w:color="auto"/>
              <w:left w:val="single" w:sz="4" w:space="0" w:color="auto"/>
              <w:bottom w:val="single" w:sz="4" w:space="0" w:color="auto"/>
              <w:right w:val="single" w:sz="4" w:space="0" w:color="auto"/>
            </w:tcBorders>
          </w:tcPr>
          <w:p w14:paraId="281B3B5F" w14:textId="1695724D" w:rsidR="00921A1E" w:rsidRDefault="00921A1E" w:rsidP="00921A1E">
            <w:pPr>
              <w:pStyle w:val="Table-Text"/>
            </w:pPr>
            <w:r>
              <w:t>N/A</w:t>
            </w:r>
          </w:p>
        </w:tc>
        <w:tc>
          <w:tcPr>
            <w:tcW w:w="1376" w:type="dxa"/>
            <w:tcBorders>
              <w:top w:val="single" w:sz="4" w:space="0" w:color="auto"/>
              <w:left w:val="single" w:sz="4" w:space="0" w:color="auto"/>
              <w:bottom w:val="single" w:sz="4" w:space="0" w:color="auto"/>
              <w:right w:val="single" w:sz="4" w:space="0" w:color="auto"/>
            </w:tcBorders>
          </w:tcPr>
          <w:p w14:paraId="37C167D4" w14:textId="33EC8FD8" w:rsidR="00921A1E" w:rsidRDefault="00342E80" w:rsidP="00921A1E">
            <w:pPr>
              <w:pStyle w:val="Table-Text"/>
            </w:pPr>
            <w:r w:rsidRPr="00342E80">
              <w:t>Approve</w:t>
            </w:r>
            <w:r>
              <w:t>d</w:t>
            </w:r>
            <w:r w:rsidRPr="00342E80">
              <w:t xml:space="preserve"> and lodge</w:t>
            </w:r>
            <w:r>
              <w:t>d</w:t>
            </w:r>
          </w:p>
        </w:tc>
      </w:tr>
    </w:tbl>
    <w:p w14:paraId="02D8A1B2" w14:textId="77777777" w:rsidR="00D53675" w:rsidRDefault="00D53675" w:rsidP="00463471">
      <w:pPr>
        <w:keepNext/>
      </w:pPr>
    </w:p>
    <w:p w14:paraId="77DECF35" w14:textId="4FCABEB3" w:rsidR="008877F3" w:rsidRDefault="008877F3" w:rsidP="00463471">
      <w:pPr>
        <w:keepNext/>
      </w:pPr>
    </w:p>
    <w:p w14:paraId="256259B3" w14:textId="1015ABBE" w:rsidR="00BA0DCF" w:rsidRPr="00BA0DCF" w:rsidRDefault="00BA0DCF" w:rsidP="00BA0DCF">
      <w:pPr>
        <w:shd w:val="clear" w:color="auto" w:fill="BFBFBF" w:themeFill="background1" w:themeFillShade="BF"/>
        <w:ind w:left="4395" w:right="1273"/>
      </w:pPr>
      <w:r>
        <w:t>s 9(2)(a)</w:t>
      </w:r>
    </w:p>
    <w:p w14:paraId="35315B91" w14:textId="77777777" w:rsidR="00BA0DCF" w:rsidRPr="00BA0DCF" w:rsidRDefault="00BA0DCF" w:rsidP="00BA0DCF">
      <w:pPr>
        <w:shd w:val="clear" w:color="auto" w:fill="BFBFBF" w:themeFill="background1" w:themeFillShade="BF"/>
        <w:ind w:left="4395" w:right="1273"/>
      </w:pPr>
    </w:p>
    <w:p w14:paraId="1C7D85E0" w14:textId="77777777" w:rsidR="00BA0DCF" w:rsidRPr="00BA0DCF" w:rsidRDefault="00BA0DCF" w:rsidP="00BA0DCF">
      <w:pPr>
        <w:shd w:val="clear" w:color="auto" w:fill="BFBFBF" w:themeFill="background1" w:themeFillShade="BF"/>
        <w:ind w:left="4395" w:right="1273"/>
      </w:pPr>
    </w:p>
    <w:p w14:paraId="05690DF3" w14:textId="77777777" w:rsidR="00BA0DCF" w:rsidRPr="00BA0DCF" w:rsidRDefault="00BA0DCF" w:rsidP="00BA0DCF">
      <w:pPr>
        <w:shd w:val="clear" w:color="auto" w:fill="BFBFBF" w:themeFill="background1" w:themeFillShade="BF"/>
        <w:ind w:left="4395" w:right="1273"/>
      </w:pPr>
    </w:p>
    <w:p w14:paraId="3002B5DD" w14:textId="63777AEF" w:rsidR="006157D2" w:rsidRPr="00BA0DCF" w:rsidRDefault="006157D2" w:rsidP="00BA0DCF">
      <w:pPr>
        <w:shd w:val="clear" w:color="auto" w:fill="BFBFBF" w:themeFill="background1" w:themeFillShade="BF"/>
        <w:ind w:left="4395" w:right="1273"/>
      </w:pPr>
    </w:p>
    <w:p w14:paraId="39C7FF83" w14:textId="77777777" w:rsidR="00635E2A" w:rsidRPr="008331C2" w:rsidRDefault="00635E2A" w:rsidP="00463471">
      <w:pPr>
        <w:keepNext/>
      </w:pPr>
    </w:p>
    <w:p w14:paraId="34BAFA3D" w14:textId="3E395B8B" w:rsidR="00811AC6" w:rsidRDefault="00E5291F" w:rsidP="00463471">
      <w:pPr>
        <w:keepNext/>
        <w:tabs>
          <w:tab w:val="left" w:pos="4536"/>
        </w:tabs>
      </w:pPr>
      <w:r>
        <w:rPr>
          <w:rStyle w:val="Strong"/>
        </w:rPr>
        <w:tab/>
      </w:r>
      <w:r w:rsidR="002576EB">
        <w:rPr>
          <w:rStyle w:val="Strong"/>
        </w:rPr>
        <w:t>Graeme Morrison</w:t>
      </w:r>
    </w:p>
    <w:p w14:paraId="041EC7E9" w14:textId="1D9B3FCD" w:rsidR="00811AC6" w:rsidRDefault="00E5291F" w:rsidP="006222B9">
      <w:pPr>
        <w:tabs>
          <w:tab w:val="left" w:pos="4536"/>
        </w:tabs>
      </w:pPr>
      <w:r>
        <w:tab/>
      </w:r>
      <w:r w:rsidR="002576EB">
        <w:t>Policy Lead</w:t>
      </w:r>
      <w:r w:rsidR="00ED3707">
        <w:t>, Indirect Tax</w:t>
      </w:r>
    </w:p>
    <w:p w14:paraId="2BE7EFA4" w14:textId="695B1A51" w:rsidR="00811AC6" w:rsidRDefault="00E5291F" w:rsidP="00E94525">
      <w:pPr>
        <w:tabs>
          <w:tab w:val="left" w:pos="4536"/>
        </w:tabs>
      </w:pPr>
      <w:r>
        <w:tab/>
      </w:r>
      <w:r w:rsidR="00811AC6">
        <w:t xml:space="preserve">Policy and </w:t>
      </w:r>
      <w:r w:rsidR="00C54638">
        <w:t>Regulatory Stewardship</w:t>
      </w:r>
    </w:p>
    <w:p w14:paraId="7BE130AE" w14:textId="6F6F5F89" w:rsidR="00E94525" w:rsidRDefault="00E94525" w:rsidP="00E94525">
      <w:pPr>
        <w:tabs>
          <w:tab w:val="left" w:pos="4536"/>
        </w:tabs>
      </w:pPr>
    </w:p>
    <w:p w14:paraId="69A7AFBB" w14:textId="77777777" w:rsidR="00734CA7" w:rsidRDefault="00734CA7" w:rsidP="00E94525">
      <w:pPr>
        <w:tabs>
          <w:tab w:val="left" w:pos="4536"/>
        </w:tabs>
      </w:pPr>
    </w:p>
    <w:p w14:paraId="3F144791" w14:textId="77777777" w:rsidR="008331C2" w:rsidRDefault="008331C2" w:rsidP="00811AC6"/>
    <w:p w14:paraId="3310ED50" w14:textId="77777777" w:rsidR="00635E2A" w:rsidRDefault="00635E2A" w:rsidP="00811AC6"/>
    <w:p w14:paraId="6A230DB2" w14:textId="3EA2C574" w:rsidR="00E5291F" w:rsidRDefault="00E5291F" w:rsidP="00E5291F">
      <w:pPr>
        <w:tabs>
          <w:tab w:val="left" w:pos="4536"/>
        </w:tabs>
      </w:pPr>
      <w:r>
        <w:rPr>
          <w:rStyle w:val="Strong"/>
        </w:rPr>
        <w:t>Hon Grant Robertson</w:t>
      </w:r>
      <w:r>
        <w:tab/>
      </w:r>
      <w:r>
        <w:rPr>
          <w:rStyle w:val="Strong"/>
        </w:rPr>
        <w:t xml:space="preserve">Hon </w:t>
      </w:r>
      <w:r w:rsidR="00936833">
        <w:rPr>
          <w:rStyle w:val="Strong"/>
        </w:rPr>
        <w:t>David Parker</w:t>
      </w:r>
    </w:p>
    <w:p w14:paraId="5DD16291" w14:textId="77777777" w:rsidR="00E5291F" w:rsidRDefault="00E5291F" w:rsidP="00E5291F">
      <w:pPr>
        <w:tabs>
          <w:tab w:val="left" w:pos="4536"/>
        </w:tabs>
      </w:pPr>
      <w:r>
        <w:t>Minister of Finance</w:t>
      </w:r>
      <w:r>
        <w:tab/>
        <w:t>Minister of Revenue</w:t>
      </w:r>
    </w:p>
    <w:p w14:paraId="44BF4D03" w14:textId="5D43DFA0" w:rsidR="00E5291F" w:rsidRDefault="00E5291F" w:rsidP="00E5291F">
      <w:pPr>
        <w:tabs>
          <w:tab w:val="left" w:pos="4536"/>
        </w:tabs>
      </w:pPr>
      <w:r>
        <w:t xml:space="preserve">       /       /20</w:t>
      </w:r>
      <w:r w:rsidR="00936833">
        <w:t>21</w:t>
      </w:r>
      <w:r>
        <w:tab/>
        <w:t xml:space="preserve">       /       /20</w:t>
      </w:r>
      <w:r w:rsidR="00936833">
        <w:t>21</w:t>
      </w:r>
    </w:p>
    <w:p w14:paraId="66E59515" w14:textId="31300E9B" w:rsidR="00811AC6" w:rsidRDefault="00E5291F" w:rsidP="00EA6C4D">
      <w:pPr>
        <w:pStyle w:val="Heading1"/>
      </w:pPr>
      <w:r>
        <w:br w:type="page"/>
      </w:r>
      <w:r w:rsidR="00811AC6">
        <w:t>Background</w:t>
      </w:r>
    </w:p>
    <w:p w14:paraId="4B206D50" w14:textId="2A13A4A5" w:rsidR="00811AC6" w:rsidRDefault="003A63B5" w:rsidP="00ED5761">
      <w:pPr>
        <w:pStyle w:val="NumberedParagraph"/>
      </w:pPr>
      <w:r>
        <w:t xml:space="preserve">The Goods and Services Tax (GST) </w:t>
      </w:r>
      <w:r w:rsidR="00A30071">
        <w:t xml:space="preserve">is a 15% tax on the consumption of </w:t>
      </w:r>
      <w:r w:rsidR="00233570">
        <w:t xml:space="preserve">most goods and services </w:t>
      </w:r>
      <w:r w:rsidR="001A0628">
        <w:t xml:space="preserve">supplied to </w:t>
      </w:r>
      <w:r w:rsidR="00233570">
        <w:t xml:space="preserve">New Zealand </w:t>
      </w:r>
      <w:r w:rsidR="001A0628">
        <w:t xml:space="preserve">consumers. To prevent businesses bearing the burden of GST, GST-registered businesses can claim back GST paid </w:t>
      </w:r>
      <w:r w:rsidR="006811C7">
        <w:t>on their purchases</w:t>
      </w:r>
      <w:r w:rsidR="00742387">
        <w:t xml:space="preserve"> (known as a</w:t>
      </w:r>
      <w:r w:rsidR="007E0901">
        <w:t>n</w:t>
      </w:r>
      <w:r w:rsidR="00742387">
        <w:t xml:space="preserve"> input tax deduction)</w:t>
      </w:r>
      <w:r w:rsidR="006811C7">
        <w:t xml:space="preserve">, provided these goods and services are used in their business. </w:t>
      </w:r>
    </w:p>
    <w:p w14:paraId="26EEAF06" w14:textId="1C5C6DA2" w:rsidR="00544F33" w:rsidRDefault="006811C7" w:rsidP="00ED5761">
      <w:pPr>
        <w:pStyle w:val="NumberedParagraph"/>
      </w:pPr>
      <w:r>
        <w:t xml:space="preserve">However, some businesses purchase </w:t>
      </w:r>
      <w:r w:rsidR="00D62BC6">
        <w:t>goods and services that are used in both their business</w:t>
      </w:r>
      <w:r w:rsidR="00150AF7">
        <w:t>,</w:t>
      </w:r>
      <w:r w:rsidR="00D62BC6">
        <w:t xml:space="preserve"> known as taxable use, such as a delivery van supplying courier services during the week, and for private </w:t>
      </w:r>
      <w:r w:rsidR="004755FF">
        <w:t>use</w:t>
      </w:r>
      <w:r w:rsidR="00A427F5">
        <w:rPr>
          <w:rStyle w:val="FootnoteReference"/>
        </w:rPr>
        <w:footnoteReference w:id="2"/>
      </w:r>
      <w:r w:rsidR="004755FF">
        <w:t xml:space="preserve">, such as recreational use of the van in the weekend. Where the good or service has been used both for taxable use and </w:t>
      </w:r>
      <w:r w:rsidR="008F0319">
        <w:t>non-taxable use</w:t>
      </w:r>
      <w:r w:rsidR="004755FF">
        <w:t xml:space="preserve">, then the </w:t>
      </w:r>
      <w:r w:rsidR="00362B4E">
        <w:t xml:space="preserve">business </w:t>
      </w:r>
      <w:r w:rsidR="004755FF">
        <w:t xml:space="preserve">must apportion </w:t>
      </w:r>
      <w:r w:rsidR="007276AB">
        <w:t xml:space="preserve">the </w:t>
      </w:r>
      <w:r w:rsidR="00645E41">
        <w:t>input tax deduction</w:t>
      </w:r>
      <w:r w:rsidR="007276AB">
        <w:t xml:space="preserve"> based on the estimated percentage of taxable use. </w:t>
      </w:r>
      <w:r w:rsidR="00544F33">
        <w:t>This is known as apportionment</w:t>
      </w:r>
      <w:r w:rsidR="00742387">
        <w:t>.</w:t>
      </w:r>
    </w:p>
    <w:p w14:paraId="570D7D9B" w14:textId="7B9001D2" w:rsidR="00742387" w:rsidRDefault="00742387" w:rsidP="00ED5761">
      <w:pPr>
        <w:pStyle w:val="NumberedParagraph"/>
      </w:pPr>
      <w:r>
        <w:t xml:space="preserve">Once the </w:t>
      </w:r>
      <w:r w:rsidR="00553250">
        <w:t xml:space="preserve">business </w:t>
      </w:r>
      <w:r>
        <w:t xml:space="preserve">has apportioned their input tax </w:t>
      </w:r>
      <w:r w:rsidR="00032083">
        <w:t>deduction based on their estimated taxable use, they are required to monitor their actual use of the asset over time</w:t>
      </w:r>
      <w:r w:rsidR="00391D46">
        <w:t xml:space="preserve"> (often several years)</w:t>
      </w:r>
      <w:r w:rsidR="00362B4E">
        <w:t>. I</w:t>
      </w:r>
      <w:r w:rsidR="00553250">
        <w:t xml:space="preserve">f their estimated use is inaccurate, </w:t>
      </w:r>
      <w:r w:rsidR="00463086">
        <w:t xml:space="preserve">then </w:t>
      </w:r>
      <w:r w:rsidR="00FF6F3D">
        <w:t xml:space="preserve">this </w:t>
      </w:r>
      <w:r w:rsidR="00553250">
        <w:t xml:space="preserve">must </w:t>
      </w:r>
      <w:r w:rsidR="00FF6F3D">
        <w:t xml:space="preserve">be </w:t>
      </w:r>
      <w:r w:rsidR="00553250">
        <w:t>account</w:t>
      </w:r>
      <w:r w:rsidR="00FF6F3D">
        <w:t>ed</w:t>
      </w:r>
      <w:r w:rsidR="00553250">
        <w:t xml:space="preserve"> for in their GST return. This is known as adjustment or change in use. </w:t>
      </w:r>
    </w:p>
    <w:p w14:paraId="1AC59AC2" w14:textId="2E88B959" w:rsidR="006811C7" w:rsidRDefault="00A909BC" w:rsidP="00ED5761">
      <w:pPr>
        <w:pStyle w:val="NumberedParagraph"/>
      </w:pPr>
      <w:r>
        <w:t xml:space="preserve">The goal of the apportionment rules is to ensure that GST is collected on the portion of the </w:t>
      </w:r>
      <w:r w:rsidR="000A3ED3">
        <w:t xml:space="preserve">good or service’s </w:t>
      </w:r>
      <w:r>
        <w:t xml:space="preserve">use </w:t>
      </w:r>
      <w:r w:rsidR="00544F33">
        <w:t>that is not for making taxable supplies</w:t>
      </w:r>
      <w:r w:rsidR="002C629C">
        <w:t>, as would be the outcome if the asset was bought outright for non-</w:t>
      </w:r>
      <w:r w:rsidR="00EA0365">
        <w:t xml:space="preserve">taxable </w:t>
      </w:r>
      <w:r w:rsidR="002C629C">
        <w:t xml:space="preserve">use. </w:t>
      </w:r>
    </w:p>
    <w:p w14:paraId="7EFE4A72" w14:textId="6616B143" w:rsidR="00280AFD" w:rsidRDefault="00746349" w:rsidP="001C2F93">
      <w:pPr>
        <w:pStyle w:val="Heading2"/>
      </w:pPr>
      <w:r>
        <w:t xml:space="preserve">Calls to reform </w:t>
      </w:r>
      <w:r w:rsidR="001C2F93">
        <w:t xml:space="preserve">the apportionment and adjustment rules </w:t>
      </w:r>
    </w:p>
    <w:p w14:paraId="471B65C2" w14:textId="736253A9" w:rsidR="00280AFD" w:rsidRDefault="008259C4" w:rsidP="00ED5761">
      <w:pPr>
        <w:pStyle w:val="NumberedParagraph"/>
      </w:pPr>
      <w:r w:rsidRPr="00EA0365">
        <w:t xml:space="preserve">As outlined in </w:t>
      </w:r>
      <w:r w:rsidR="00EA0365" w:rsidRPr="00EA0365">
        <w:t xml:space="preserve">our earlier </w:t>
      </w:r>
      <w:r w:rsidR="00A8479C" w:rsidRPr="00EA0365">
        <w:t>report (</w:t>
      </w:r>
      <w:r w:rsidR="00A8479C" w:rsidRPr="00EA0365">
        <w:rPr>
          <w:i/>
          <w:iCs/>
        </w:rPr>
        <w:t>IR2021/</w:t>
      </w:r>
      <w:r w:rsidR="00EA0365" w:rsidRPr="00EA0365">
        <w:rPr>
          <w:i/>
          <w:iCs/>
        </w:rPr>
        <w:t>060</w:t>
      </w:r>
      <w:r w:rsidR="00A8479C" w:rsidRPr="00EA0365">
        <w:t xml:space="preserve"> refers),</w:t>
      </w:r>
      <w:r w:rsidR="00A8479C">
        <w:t xml:space="preserve"> p</w:t>
      </w:r>
      <w:r w:rsidR="00602D79">
        <w:t xml:space="preserve">ublic submissions </w:t>
      </w:r>
      <w:r w:rsidR="005821F0">
        <w:t xml:space="preserve">received </w:t>
      </w:r>
      <w:r w:rsidR="00280AFD">
        <w:t xml:space="preserve">on </w:t>
      </w:r>
      <w:r w:rsidR="00602D79">
        <w:t xml:space="preserve">proposed </w:t>
      </w:r>
      <w:r w:rsidR="00BF0A7C">
        <w:t xml:space="preserve">technical </w:t>
      </w:r>
      <w:r w:rsidR="00602D79">
        <w:t xml:space="preserve">amendments to the apportionment rules </w:t>
      </w:r>
      <w:r w:rsidR="005821F0">
        <w:t xml:space="preserve">in </w:t>
      </w:r>
      <w:r w:rsidR="00280AFD">
        <w:t xml:space="preserve">the 2020 </w:t>
      </w:r>
      <w:r w:rsidR="00280AFD" w:rsidRPr="00BF0A7C">
        <w:rPr>
          <w:i/>
          <w:iCs/>
        </w:rPr>
        <w:t>GST Policy Issue</w:t>
      </w:r>
      <w:r w:rsidR="005821F0" w:rsidRPr="00BF0A7C">
        <w:rPr>
          <w:i/>
          <w:iCs/>
        </w:rPr>
        <w:t>s: an officials’ issues paper</w:t>
      </w:r>
      <w:r w:rsidR="005821F0">
        <w:t xml:space="preserve"> </w:t>
      </w:r>
      <w:r w:rsidR="00EA0365">
        <w:t>were</w:t>
      </w:r>
      <w:r w:rsidR="005821F0">
        <w:t xml:space="preserve"> that in many situations, the existing rules are complex and impose </w:t>
      </w:r>
      <w:r w:rsidR="000E4D74">
        <w:t>unreasonable compliance costs</w:t>
      </w:r>
      <w:r w:rsidR="00EA0365">
        <w:t>,</w:t>
      </w:r>
      <w:r w:rsidR="000E4D74">
        <w:t xml:space="preserve"> </w:t>
      </w:r>
      <w:r w:rsidR="00BF0A7C">
        <w:t>and that more</w:t>
      </w:r>
      <w:r w:rsidR="00962C34">
        <w:t xml:space="preserve"> substantial reform was required.</w:t>
      </w:r>
      <w:r w:rsidR="00672695">
        <w:t xml:space="preserve"> </w:t>
      </w:r>
    </w:p>
    <w:p w14:paraId="77093BAB" w14:textId="5879F51B" w:rsidR="0047542E" w:rsidRDefault="0031038C" w:rsidP="00ED5761">
      <w:pPr>
        <w:pStyle w:val="NumberedParagraph"/>
      </w:pPr>
      <w:r>
        <w:t xml:space="preserve">Submissions received </w:t>
      </w:r>
      <w:r w:rsidR="0047542E">
        <w:t xml:space="preserve">on the 2020 GST Policy Issues: an officials’ issues paper made it clear that substantial reform of the </w:t>
      </w:r>
      <w:r w:rsidR="008635A6">
        <w:t>apportionment and adjustment rules is a pri</w:t>
      </w:r>
      <w:r w:rsidR="005C58E9">
        <w:t>ority.</w:t>
      </w:r>
      <w:r w:rsidR="008635A6">
        <w:t xml:space="preserve"> </w:t>
      </w:r>
      <w:r w:rsidR="00325E13">
        <w:t xml:space="preserve">Submitters </w:t>
      </w:r>
      <w:r w:rsidR="00DE2CFD">
        <w:t xml:space="preserve">said the </w:t>
      </w:r>
      <w:r w:rsidR="00476F42">
        <w:t xml:space="preserve">focus </w:t>
      </w:r>
      <w:r w:rsidR="00D97D23">
        <w:t>need</w:t>
      </w:r>
      <w:r w:rsidR="00FB2D55">
        <w:t>s</w:t>
      </w:r>
      <w:r w:rsidR="00D97D23">
        <w:t xml:space="preserve"> to be creating rules that are </w:t>
      </w:r>
      <w:r w:rsidR="000B5965">
        <w:t>simpler and practical to appl</w:t>
      </w:r>
      <w:r w:rsidR="00D45404">
        <w:t>y, especially for small</w:t>
      </w:r>
      <w:r w:rsidR="005D4E85">
        <w:t xml:space="preserve"> </w:t>
      </w:r>
      <w:r w:rsidR="00D45404">
        <w:t>and medium-sized businesses</w:t>
      </w:r>
      <w:r w:rsidR="000B5965">
        <w:t xml:space="preserve">. </w:t>
      </w:r>
    </w:p>
    <w:p w14:paraId="248B1A4C" w14:textId="643FC32E" w:rsidR="00962C34" w:rsidRDefault="00CD53F1" w:rsidP="00ED5761">
      <w:pPr>
        <w:pStyle w:val="NumberedParagraph"/>
      </w:pPr>
      <w:r>
        <w:t>Importantly</w:t>
      </w:r>
      <w:r w:rsidR="009259C2">
        <w:t>,</w:t>
      </w:r>
      <w:r w:rsidR="00830751">
        <w:t xml:space="preserve"> </w:t>
      </w:r>
      <w:r w:rsidR="00746349">
        <w:t xml:space="preserve">reform to the apportionment and adjustment rules </w:t>
      </w:r>
      <w:r w:rsidR="009259C2">
        <w:t>wa</w:t>
      </w:r>
      <w:r w:rsidR="00830751">
        <w:t>s the number one issue identified</w:t>
      </w:r>
      <w:r w:rsidR="007B01D3">
        <w:t xml:space="preserve"> by private sector stakeholders</w:t>
      </w:r>
      <w:r w:rsidR="00830751">
        <w:t xml:space="preserve"> in the recent GST </w:t>
      </w:r>
      <w:r w:rsidR="004365E9">
        <w:t xml:space="preserve">system </w:t>
      </w:r>
      <w:r w:rsidR="00830751">
        <w:t>stewardship review</w:t>
      </w:r>
      <w:r w:rsidR="004365E9">
        <w:t>.</w:t>
      </w:r>
      <w:r w:rsidR="00361DE5">
        <w:t xml:space="preserve"> A redesign of the existing rules is required to ensure they support emerging commercial practices, such as the gig and sharing economy.</w:t>
      </w:r>
    </w:p>
    <w:p w14:paraId="5C7B0275" w14:textId="5B2B4D3A" w:rsidR="00BA1471" w:rsidRDefault="004365E9" w:rsidP="00ED5761">
      <w:pPr>
        <w:pStyle w:val="NumberedParagraph"/>
      </w:pPr>
      <w:r>
        <w:t xml:space="preserve">Since </w:t>
      </w:r>
      <w:r w:rsidR="005C6D94">
        <w:t>our earlier report</w:t>
      </w:r>
      <w:r>
        <w:t xml:space="preserve"> we </w:t>
      </w:r>
      <w:r w:rsidR="009C01F0">
        <w:t xml:space="preserve">have been regularly </w:t>
      </w:r>
      <w:r w:rsidR="004A2B71">
        <w:t xml:space="preserve">engaging </w:t>
      </w:r>
      <w:r w:rsidR="009C01F0">
        <w:t xml:space="preserve">with </w:t>
      </w:r>
      <w:r w:rsidR="00A65292">
        <w:t xml:space="preserve">key stakeholders, such as private sector GST advisors, to discuss what </w:t>
      </w:r>
      <w:r w:rsidR="001E203F">
        <w:t xml:space="preserve">reform </w:t>
      </w:r>
      <w:r w:rsidR="00A65292">
        <w:t>options</w:t>
      </w:r>
      <w:r w:rsidR="001E203F">
        <w:t xml:space="preserve"> </w:t>
      </w:r>
      <w:r w:rsidR="006B6BE1">
        <w:t>are available</w:t>
      </w:r>
      <w:r w:rsidR="004A2B71">
        <w:t xml:space="preserve">. This has included </w:t>
      </w:r>
      <w:r w:rsidR="00BA1471">
        <w:t>remov</w:t>
      </w:r>
      <w:r w:rsidR="00993DCE">
        <w:t>ing</w:t>
      </w:r>
      <w:r w:rsidR="00BA1471">
        <w:t xml:space="preserve"> assets from the apportionment rules and reduc</w:t>
      </w:r>
      <w:r w:rsidR="00993DCE">
        <w:t>ing</w:t>
      </w:r>
      <w:r w:rsidR="00BA1471">
        <w:t xml:space="preserve"> the need for annual monitoring by businesses.</w:t>
      </w:r>
    </w:p>
    <w:p w14:paraId="54A2767B" w14:textId="5FC7447F" w:rsidR="004365E9" w:rsidRDefault="0082615F" w:rsidP="00ED5761">
      <w:pPr>
        <w:pStyle w:val="NumberedParagraph"/>
      </w:pPr>
      <w:r>
        <w:t xml:space="preserve">The </w:t>
      </w:r>
      <w:r w:rsidR="00F61B9F">
        <w:t xml:space="preserve">four </w:t>
      </w:r>
      <w:r>
        <w:t xml:space="preserve">significant proposals are further explained in this report. </w:t>
      </w:r>
    </w:p>
    <w:p w14:paraId="360E8568" w14:textId="2CA4A03F" w:rsidR="00811AC6" w:rsidRDefault="002576EB" w:rsidP="00A2547F">
      <w:pPr>
        <w:pStyle w:val="Heading1"/>
      </w:pPr>
      <w:r>
        <w:t>The election method</w:t>
      </w:r>
    </w:p>
    <w:p w14:paraId="08E4AF5E" w14:textId="3A0C551C" w:rsidR="0077663D" w:rsidRDefault="00141F2E" w:rsidP="002576EB">
      <w:pPr>
        <w:pStyle w:val="NumberedParagraph"/>
      </w:pPr>
      <w:r>
        <w:t xml:space="preserve">It is proposed that </w:t>
      </w:r>
      <w:r w:rsidR="00CA0268">
        <w:t>a</w:t>
      </w:r>
      <w:r>
        <w:t xml:space="preserve"> GST-registered business </w:t>
      </w:r>
      <w:r w:rsidR="005775ED">
        <w:t xml:space="preserve">can elect whether </w:t>
      </w:r>
      <w:r w:rsidR="001C0711">
        <w:t xml:space="preserve">to exclude </w:t>
      </w:r>
      <w:r w:rsidR="005775ED">
        <w:t>certain capital assets</w:t>
      </w:r>
      <w:r w:rsidR="00593D7B">
        <w:rPr>
          <w:rStyle w:val="FootnoteReference"/>
        </w:rPr>
        <w:footnoteReference w:id="3"/>
      </w:r>
      <w:r w:rsidR="005775ED">
        <w:t xml:space="preserve"> </w:t>
      </w:r>
      <w:r w:rsidR="001C0711">
        <w:t xml:space="preserve">from </w:t>
      </w:r>
      <w:r w:rsidR="005775ED">
        <w:t xml:space="preserve">GST. </w:t>
      </w:r>
      <w:r w:rsidR="00493924">
        <w:t xml:space="preserve">An election to exclude the asset would have the same GST outcome as </w:t>
      </w:r>
      <w:r w:rsidR="00642409">
        <w:t xml:space="preserve">the scenario </w:t>
      </w:r>
      <w:r w:rsidR="00493924">
        <w:t xml:space="preserve">where an asset was </w:t>
      </w:r>
      <w:r w:rsidR="00A10B41">
        <w:t>purchased</w:t>
      </w:r>
      <w:r w:rsidR="00493924">
        <w:t xml:space="preserve"> by an unregi</w:t>
      </w:r>
      <w:r w:rsidR="00A10B41">
        <w:t>stered person</w:t>
      </w:r>
      <w:r w:rsidR="00E25D93">
        <w:t xml:space="preserve"> </w:t>
      </w:r>
      <w:r w:rsidR="00A65CDB">
        <w:t>- no GST input claimed, no GST charged on sale or disposal</w:t>
      </w:r>
      <w:r w:rsidR="00A10B41">
        <w:t>.</w:t>
      </w:r>
      <w:r w:rsidR="00F9337A">
        <w:t xml:space="preserve"> </w:t>
      </w:r>
      <w:r w:rsidR="007C0D6F">
        <w:t>T</w:t>
      </w:r>
      <w:r w:rsidR="007E0AAF">
        <w:t xml:space="preserve">he </w:t>
      </w:r>
      <w:r w:rsidR="008E6288">
        <w:t xml:space="preserve">proposal </w:t>
      </w:r>
      <w:r w:rsidR="007E0AAF">
        <w:t xml:space="preserve">would </w:t>
      </w:r>
      <w:r w:rsidR="001F4F0A">
        <w:t xml:space="preserve">apply to </w:t>
      </w:r>
      <w:r w:rsidR="007E0AAF">
        <w:t xml:space="preserve">capital improvements </w:t>
      </w:r>
      <w:r w:rsidR="00F9337A">
        <w:t xml:space="preserve">and would </w:t>
      </w:r>
      <w:r w:rsidR="00A551E8">
        <w:t xml:space="preserve">exclude </w:t>
      </w:r>
      <w:r w:rsidR="007C0D6F">
        <w:t xml:space="preserve">certain </w:t>
      </w:r>
      <w:r w:rsidR="00AE2E9B">
        <w:t xml:space="preserve">assets </w:t>
      </w:r>
      <w:r w:rsidR="007C0D6F">
        <w:t xml:space="preserve">such as </w:t>
      </w:r>
      <w:r w:rsidR="001D5164">
        <w:t>trading stock</w:t>
      </w:r>
      <w:r w:rsidR="00493924">
        <w:t xml:space="preserve">. </w:t>
      </w:r>
    </w:p>
    <w:p w14:paraId="5091F768" w14:textId="2473C8A2" w:rsidR="004D4729" w:rsidRDefault="0077663D" w:rsidP="002576EB">
      <w:pPr>
        <w:pStyle w:val="NumberedParagraph"/>
      </w:pPr>
      <w:r>
        <w:t>It is anticipated that historically, many affected taxpayers have not claimed input tax deductions on predominantly private assets, and so potentially this method could be applied retrospectively (where no inputs have been claimed on existing assets).</w:t>
      </w:r>
    </w:p>
    <w:p w14:paraId="6BA64379" w14:textId="4169F4B8" w:rsidR="00837CC4" w:rsidRDefault="00485368" w:rsidP="002E3792">
      <w:pPr>
        <w:pStyle w:val="NumberedParagraph"/>
      </w:pPr>
      <w:r>
        <w:t>This proposal seeks to resolve a</w:t>
      </w:r>
      <w:r w:rsidR="009A6D36">
        <w:t xml:space="preserve"> current concern of Chartered Accountants Australia and New Zealand</w:t>
      </w:r>
      <w:r w:rsidR="00E429FF">
        <w:t xml:space="preserve"> and private sector tax advisors </w:t>
      </w:r>
      <w:r w:rsidR="00CF0DCB">
        <w:t xml:space="preserve">known as the </w:t>
      </w:r>
      <w:r w:rsidR="006D3408">
        <w:t>“</w:t>
      </w:r>
      <w:r w:rsidR="00CF0DCB">
        <w:t xml:space="preserve">farmhouse </w:t>
      </w:r>
      <w:r w:rsidR="002E3792">
        <w:t xml:space="preserve">or home-office </w:t>
      </w:r>
      <w:r w:rsidR="00CF0DCB">
        <w:t>issue</w:t>
      </w:r>
      <w:r w:rsidR="006D3408">
        <w:t>”</w:t>
      </w:r>
      <w:r w:rsidR="00692F4B">
        <w:t xml:space="preserve"> whereby</w:t>
      </w:r>
      <w:r w:rsidR="002E3792">
        <w:t xml:space="preserve"> predominately </w:t>
      </w:r>
      <w:r>
        <w:t xml:space="preserve">private properties </w:t>
      </w:r>
      <w:r w:rsidR="002E3792">
        <w:t>have</w:t>
      </w:r>
      <w:r w:rsidR="00CC1CFE">
        <w:t xml:space="preserve"> be</w:t>
      </w:r>
      <w:r w:rsidR="002E3792">
        <w:t>en</w:t>
      </w:r>
      <w:r w:rsidR="00CC1CFE">
        <w:t xml:space="preserve"> used to support </w:t>
      </w:r>
      <w:r w:rsidR="006E4470">
        <w:t>a taxable activity</w:t>
      </w:r>
      <w:r w:rsidR="00D03D77">
        <w:t xml:space="preserve"> (</w:t>
      </w:r>
      <w:r w:rsidR="00B9736B">
        <w:t xml:space="preserve">including </w:t>
      </w:r>
      <w:r w:rsidR="00D03D77">
        <w:t>where some have only claimed GST input deductions on the property’s operating expenses</w:t>
      </w:r>
      <w:r w:rsidR="00331122">
        <w:t>) but</w:t>
      </w:r>
      <w:r w:rsidR="006E4470">
        <w:t xml:space="preserve"> </w:t>
      </w:r>
      <w:r w:rsidR="00C52E3E">
        <w:t>can</w:t>
      </w:r>
      <w:r w:rsidR="00E97AA5">
        <w:t xml:space="preserve"> </w:t>
      </w:r>
      <w:r w:rsidR="00F52C0E">
        <w:t>unexpectedly</w:t>
      </w:r>
      <w:r w:rsidR="00C52E3E">
        <w:t xml:space="preserve"> </w:t>
      </w:r>
      <w:r w:rsidR="00D03D77">
        <w:t xml:space="preserve">result in </w:t>
      </w:r>
      <w:r w:rsidR="006E4470">
        <w:t xml:space="preserve">the whole property </w:t>
      </w:r>
      <w:r w:rsidR="00C52E3E">
        <w:t xml:space="preserve">being subject to </w:t>
      </w:r>
      <w:r w:rsidR="006E4470">
        <w:t>GST on sale</w:t>
      </w:r>
      <w:r w:rsidR="00DB7676">
        <w:t xml:space="preserve"> (including any capital gain)</w:t>
      </w:r>
      <w:r w:rsidR="006E4470">
        <w:t xml:space="preserve">. </w:t>
      </w:r>
      <w:r w:rsidR="00A72E14">
        <w:t xml:space="preserve">The current </w:t>
      </w:r>
      <w:r w:rsidR="00BF3E47">
        <w:t xml:space="preserve">rules are </w:t>
      </w:r>
      <w:r w:rsidR="00A72E14">
        <w:t xml:space="preserve">complex and </w:t>
      </w:r>
      <w:r w:rsidR="00BF3E47">
        <w:t>unfair, with s</w:t>
      </w:r>
      <w:r w:rsidR="00A72E14">
        <w:t xml:space="preserve">takeholders seeking a policy solution </w:t>
      </w:r>
      <w:r w:rsidR="00BF3E47">
        <w:t>to th</w:t>
      </w:r>
      <w:r w:rsidR="00F41781">
        <w:t>is</w:t>
      </w:r>
      <w:r w:rsidR="00BF3E47">
        <w:t xml:space="preserve"> issue </w:t>
      </w:r>
      <w:r w:rsidR="00163F93">
        <w:t xml:space="preserve">with some urgency. </w:t>
      </w:r>
    </w:p>
    <w:p w14:paraId="5759211A" w14:textId="59BCF196" w:rsidR="0077663D" w:rsidRDefault="0077663D" w:rsidP="002576EB">
      <w:pPr>
        <w:pStyle w:val="NumberedParagraph"/>
      </w:pPr>
      <w:r>
        <w:t xml:space="preserve">The effectiveness of the election method will ultimately depend on the extent to which taxpayers choose to use it. If take-up is high, then the election method would </w:t>
      </w:r>
      <w:r w:rsidR="0086655B">
        <w:t xml:space="preserve">remove GST liabilities from mainly private assets and </w:t>
      </w:r>
      <w:r>
        <w:t xml:space="preserve">reduce compliance costs; however, if take-up is low, then the benefits are not likely to be realised.  </w:t>
      </w:r>
    </w:p>
    <w:p w14:paraId="1F65CA13" w14:textId="32E921BE" w:rsidR="007F7593" w:rsidRDefault="00925130" w:rsidP="002576EB">
      <w:pPr>
        <w:pStyle w:val="NumberedParagraph"/>
      </w:pPr>
      <w:r>
        <w:t xml:space="preserve">It is expected that stakeholders will be supportive of this </w:t>
      </w:r>
      <w:r w:rsidR="00074980">
        <w:t>proposal</w:t>
      </w:r>
      <w:r>
        <w:t xml:space="preserve">, as it will allow predominantly private capital assets to be </w:t>
      </w:r>
      <w:r w:rsidR="00BF027D">
        <w:t xml:space="preserve">kept </w:t>
      </w:r>
      <w:r>
        <w:t xml:space="preserve">outside the GST base. </w:t>
      </w:r>
    </w:p>
    <w:p w14:paraId="7421B7A8" w14:textId="0A7AC93F" w:rsidR="002576EB" w:rsidRDefault="00CB12EA" w:rsidP="002576EB">
      <w:pPr>
        <w:pStyle w:val="Heading1"/>
      </w:pPr>
      <w:r>
        <w:t>Principal purpose test for low-value assets</w:t>
      </w:r>
    </w:p>
    <w:p w14:paraId="7688791D" w14:textId="47DD4C45" w:rsidR="007F3C6C" w:rsidRDefault="00F60FAE" w:rsidP="002576EB">
      <w:pPr>
        <w:pStyle w:val="NumberedParagraph"/>
      </w:pPr>
      <w:r>
        <w:t xml:space="preserve">It is proposed that </w:t>
      </w:r>
      <w:r w:rsidR="00302E36">
        <w:t xml:space="preserve">a principal purpose test </w:t>
      </w:r>
      <w:r w:rsidR="00F95ACA">
        <w:t xml:space="preserve">would </w:t>
      </w:r>
      <w:r w:rsidR="00302E36">
        <w:t>appl</w:t>
      </w:r>
      <w:r w:rsidR="00F95ACA">
        <w:t>y</w:t>
      </w:r>
      <w:r w:rsidR="00302E36">
        <w:t xml:space="preserve"> </w:t>
      </w:r>
      <w:r>
        <w:t>for assets that cost less than $5,000 (excluding GST)</w:t>
      </w:r>
      <w:r w:rsidR="00302E36">
        <w:t xml:space="preserve">. For example, if the asset was purchased for the principal purpose of making taxable supplies, then a full input tax deduction could be </w:t>
      </w:r>
      <w:r w:rsidR="007F3C6C">
        <w:t>claimed,</w:t>
      </w:r>
      <w:r w:rsidR="006B60C4">
        <w:t xml:space="preserve"> and the asset would effectively not be subject to the apportionment rules</w:t>
      </w:r>
      <w:r w:rsidR="00220141">
        <w:rPr>
          <w:rStyle w:val="FootnoteReference"/>
        </w:rPr>
        <w:footnoteReference w:id="4"/>
      </w:r>
      <w:r w:rsidR="00220141">
        <w:t xml:space="preserve">. </w:t>
      </w:r>
      <w:r w:rsidR="00710ADE">
        <w:t>A $5,000 limit means the maximum GST adjustment would be $750 per asset.</w:t>
      </w:r>
    </w:p>
    <w:p w14:paraId="6A4D1940" w14:textId="7970973E" w:rsidR="00AA0A52" w:rsidRDefault="00782B86" w:rsidP="00782B86">
      <w:pPr>
        <w:pStyle w:val="NumberedParagraph"/>
      </w:pPr>
      <w:r>
        <w:t xml:space="preserve">It is expected that stakeholders will be supportive of this </w:t>
      </w:r>
      <w:r w:rsidR="00074980">
        <w:t>proposal</w:t>
      </w:r>
      <w:r>
        <w:t xml:space="preserve">, as it will reduce compliance costs as well as </w:t>
      </w:r>
      <w:r w:rsidR="005C106F">
        <w:t>aligning</w:t>
      </w:r>
      <w:r>
        <w:t xml:space="preserve"> the law </w:t>
      </w:r>
      <w:r w:rsidR="005C106F">
        <w:t>to</w:t>
      </w:r>
      <w:r>
        <w:t xml:space="preserve"> </w:t>
      </w:r>
      <w:r w:rsidR="00D1680B">
        <w:t xml:space="preserve">reflect </w:t>
      </w:r>
      <w:r w:rsidR="00AD7EBB">
        <w:t>current commercial practices.</w:t>
      </w:r>
      <w:r>
        <w:t xml:space="preserve"> </w:t>
      </w:r>
    </w:p>
    <w:p w14:paraId="7CD6C9EB" w14:textId="31C2ACE2" w:rsidR="008977CB" w:rsidRDefault="008977CB" w:rsidP="008977CB">
      <w:pPr>
        <w:pStyle w:val="Heading1"/>
      </w:pPr>
      <w:r>
        <w:t>20 percent margin rule</w:t>
      </w:r>
      <w:r w:rsidR="004B5B6B">
        <w:t xml:space="preserve"> and rounding rules for near exclusive business or private use </w:t>
      </w:r>
    </w:p>
    <w:p w14:paraId="7D180F9D" w14:textId="098015A1" w:rsidR="00F22B0B" w:rsidRDefault="001026AA" w:rsidP="00F22B0B">
      <w:pPr>
        <w:pStyle w:val="NumberedParagraph"/>
      </w:pPr>
      <w:r>
        <w:t xml:space="preserve">It is proposed </w:t>
      </w:r>
      <w:r w:rsidR="00004DBA">
        <w:t xml:space="preserve">that a </w:t>
      </w:r>
      <w:r w:rsidR="00E0737B">
        <w:t>+/-</w:t>
      </w:r>
      <w:r w:rsidR="00004DBA">
        <w:t xml:space="preserve">20% </w:t>
      </w:r>
      <w:r w:rsidR="0057236D">
        <w:t xml:space="preserve">margin </w:t>
      </w:r>
      <w:r w:rsidR="00DF34CE">
        <w:t>(or buffer) is applied to a chosen apportionment percentage</w:t>
      </w:r>
      <w:r w:rsidR="006B38E5">
        <w:t xml:space="preserve">, for assets that </w:t>
      </w:r>
      <w:r w:rsidR="00BB46B2">
        <w:t>are not subject to the principal purpose test</w:t>
      </w:r>
      <w:r w:rsidR="00D21493">
        <w:t>.</w:t>
      </w:r>
      <w:r w:rsidR="00DF34CE">
        <w:t xml:space="preserve"> </w:t>
      </w:r>
      <w:r w:rsidR="00D21493">
        <w:t>Essentially, t</w:t>
      </w:r>
      <w:r w:rsidR="00DF34CE">
        <w:t xml:space="preserve">he </w:t>
      </w:r>
      <w:r w:rsidR="00EC2E8D">
        <w:t xml:space="preserve">mix of taxable use and non-taxable use can move </w:t>
      </w:r>
      <w:r w:rsidR="000866F8">
        <w:t xml:space="preserve">freely </w:t>
      </w:r>
      <w:r w:rsidR="00EC2E8D">
        <w:t xml:space="preserve">within this range without </w:t>
      </w:r>
      <w:r w:rsidR="00B9384C">
        <w:t xml:space="preserve">consequence. The GST-registered </w:t>
      </w:r>
      <w:r w:rsidR="006004EE">
        <w:t>person</w:t>
      </w:r>
      <w:r w:rsidR="00B9384C">
        <w:t xml:space="preserve"> would only make an adjustment if the change in use was greater than 20%</w:t>
      </w:r>
      <w:r w:rsidR="002003E6">
        <w:t xml:space="preserve">. </w:t>
      </w:r>
    </w:p>
    <w:p w14:paraId="19425209" w14:textId="237BAD64" w:rsidR="0051131E" w:rsidRDefault="0051131E" w:rsidP="0051131E">
      <w:pPr>
        <w:pStyle w:val="ListParagraph"/>
        <w:numPr>
          <w:ilvl w:val="0"/>
          <w:numId w:val="11"/>
        </w:numPr>
        <w:spacing w:after="240" w:line="240" w:lineRule="auto"/>
        <w:contextualSpacing w:val="0"/>
      </w:pPr>
      <w:r>
        <w:t>For example, if an asset had an initial apportionment of 66% business use, then an adjustment would only be made if the business use dropped below 46% (-20%) or increased above 86% (+20%).</w:t>
      </w:r>
    </w:p>
    <w:p w14:paraId="5B751E7F" w14:textId="63D43A3E" w:rsidR="00923A16" w:rsidRDefault="003A27A2" w:rsidP="00923A16">
      <w:pPr>
        <w:pStyle w:val="NumberedParagraph"/>
      </w:pPr>
      <w:r>
        <w:t xml:space="preserve">Additionally, it is proposed </w:t>
      </w:r>
      <w:r w:rsidR="001028FE">
        <w:t xml:space="preserve">that rounding rules apply to </w:t>
      </w:r>
      <w:r w:rsidR="00A26B28">
        <w:t>assets not subject to the principal purpose test, that have an overwhelming taxable or non-taxable use</w:t>
      </w:r>
      <w:r w:rsidR="009A69FB">
        <w:t>.</w:t>
      </w:r>
      <w:r w:rsidR="00A26B28">
        <w:t xml:space="preserve"> </w:t>
      </w:r>
      <w:r w:rsidR="004B5B6B">
        <w:t xml:space="preserve">Where an asset has a taxable use of 80% or more, then the asset’s taxable use would be rounded up to 100%. </w:t>
      </w:r>
      <w:r w:rsidR="00923A16">
        <w:t xml:space="preserve">This rounding-up rule would be taxpayer-friendly because businesses would receive full input tax deductions; whilst allowing a limited amount of private use (such as most work-related vehicles). </w:t>
      </w:r>
    </w:p>
    <w:p w14:paraId="1E5E179C" w14:textId="53EB4D39" w:rsidR="004B5B6B" w:rsidRDefault="007156B2" w:rsidP="004B5B6B">
      <w:pPr>
        <w:pStyle w:val="NumberedParagraph"/>
      </w:pPr>
      <w:r>
        <w:t xml:space="preserve">Likewise, where an asset has a taxable use of 20% or less, then the asset’s taxable use would be rounded down to 0%, meaning the GST-registered person would treat the asset like a private asset. </w:t>
      </w:r>
      <w:r w:rsidR="004B5B6B">
        <w:t xml:space="preserve">It is anticipated that this rule would remove most residential property that has limited taxable use (such as a home office or farmhouse). </w:t>
      </w:r>
      <w:r w:rsidR="00BC5D32">
        <w:t xml:space="preserve">If a </w:t>
      </w:r>
      <w:r w:rsidR="009C47DA">
        <w:t xml:space="preserve">dwelling has higher </w:t>
      </w:r>
      <w:r w:rsidR="00891D71">
        <w:t xml:space="preserve">than 20 </w:t>
      </w:r>
      <w:r w:rsidR="009C47DA">
        <w:t xml:space="preserve">percent taxable use, but </w:t>
      </w:r>
      <w:r w:rsidR="00891D71">
        <w:t xml:space="preserve">still </w:t>
      </w:r>
      <w:r w:rsidR="005A7574">
        <w:t>has</w:t>
      </w:r>
      <w:r w:rsidR="009C47DA">
        <w:t xml:space="preserve"> mainly private</w:t>
      </w:r>
      <w:r w:rsidR="005A7574">
        <w:t xml:space="preserve"> use</w:t>
      </w:r>
      <w:r w:rsidR="009C47DA">
        <w:t xml:space="preserve"> (such as a holiday home</w:t>
      </w:r>
      <w:r w:rsidR="0030659D">
        <w:t xml:space="preserve"> rented to guests and used privately)</w:t>
      </w:r>
      <w:r w:rsidR="007B6C44">
        <w:t xml:space="preserve"> it could be removed from GST on sale by </w:t>
      </w:r>
      <w:r w:rsidR="00706C32">
        <w:t>using the election method discussed above.</w:t>
      </w:r>
    </w:p>
    <w:p w14:paraId="7CE88CA2" w14:textId="5FCB4CD7" w:rsidR="001028FE" w:rsidRDefault="00CA6051" w:rsidP="000C5D13">
      <w:pPr>
        <w:pStyle w:val="NumberedParagraph"/>
      </w:pPr>
      <w:r>
        <w:t>It is expected that stakeholders will be supportive</w:t>
      </w:r>
      <w:r w:rsidR="00074980">
        <w:t xml:space="preserve"> of the proposal, as it will </w:t>
      </w:r>
      <w:r w:rsidR="00923A16">
        <w:t xml:space="preserve">effectively remove assets </w:t>
      </w:r>
      <w:r w:rsidR="000C5D13">
        <w:t xml:space="preserve">that are </w:t>
      </w:r>
      <w:r w:rsidR="00425063">
        <w:t>80% or more</w:t>
      </w:r>
      <w:r w:rsidR="000C5D13">
        <w:t xml:space="preserve"> taxable or private </w:t>
      </w:r>
      <w:r w:rsidR="00923A16">
        <w:t xml:space="preserve">from the apportionment rules. </w:t>
      </w:r>
    </w:p>
    <w:p w14:paraId="632649EB" w14:textId="3E8B38E1" w:rsidR="00F12768" w:rsidRPr="00F12768" w:rsidRDefault="00B87F16" w:rsidP="00F12768">
      <w:pPr>
        <w:pStyle w:val="Heading1"/>
      </w:pPr>
      <w:r>
        <w:t>Rules for residential property developers</w:t>
      </w:r>
    </w:p>
    <w:p w14:paraId="287CC41B" w14:textId="36967F2E" w:rsidR="00295BEB" w:rsidRPr="00295BEB" w:rsidRDefault="00F12768" w:rsidP="001A7D3B">
      <w:pPr>
        <w:pStyle w:val="ListParagraph"/>
        <w:numPr>
          <w:ilvl w:val="0"/>
          <w:numId w:val="11"/>
        </w:numPr>
        <w:spacing w:after="240" w:line="240" w:lineRule="auto"/>
        <w:contextualSpacing w:val="0"/>
        <w:rPr>
          <w:sz w:val="22"/>
        </w:rPr>
      </w:pPr>
      <w:r>
        <w:t xml:space="preserve">Currently, GST apportionment rules are complex to apply if land that is being developed by a residential property developer also </w:t>
      </w:r>
      <w:r w:rsidR="0086011F">
        <w:t xml:space="preserve">has some </w:t>
      </w:r>
      <w:r>
        <w:t>non-taxable use (such as owner-</w:t>
      </w:r>
      <w:r w:rsidR="007C3270">
        <w:t xml:space="preserve">occupier </w:t>
      </w:r>
      <w:r>
        <w:t>or an on-going residential tenancy)</w:t>
      </w:r>
      <w:r w:rsidRPr="00A27E58">
        <w:t xml:space="preserve"> </w:t>
      </w:r>
      <w:r w:rsidR="007C3270">
        <w:t>before the improved property is sold.</w:t>
      </w:r>
    </w:p>
    <w:p w14:paraId="09C5F79E" w14:textId="34429C47" w:rsidR="009E2CF8" w:rsidRPr="002E647C" w:rsidRDefault="001A7D3B" w:rsidP="002E647C">
      <w:pPr>
        <w:pStyle w:val="ListParagraph"/>
        <w:numPr>
          <w:ilvl w:val="0"/>
          <w:numId w:val="11"/>
        </w:numPr>
        <w:spacing w:after="240" w:line="240" w:lineRule="auto"/>
        <w:contextualSpacing w:val="0"/>
        <w:rPr>
          <w:sz w:val="22"/>
        </w:rPr>
      </w:pPr>
      <w:r>
        <w:t xml:space="preserve">The issues paper </w:t>
      </w:r>
      <w:r w:rsidR="001350B8">
        <w:t>proposes</w:t>
      </w:r>
      <w:r>
        <w:t xml:space="preserve"> </w:t>
      </w:r>
      <w:r w:rsidR="007854F4">
        <w:t xml:space="preserve">to </w:t>
      </w:r>
      <w:r>
        <w:t>simplif</w:t>
      </w:r>
      <w:r w:rsidR="007854F4">
        <w:t xml:space="preserve">y the rules, </w:t>
      </w:r>
      <w:r w:rsidR="00295BEB">
        <w:t xml:space="preserve">whereby </w:t>
      </w:r>
      <w:r w:rsidR="009E2CF8">
        <w:t xml:space="preserve">GST-registered </w:t>
      </w:r>
      <w:r w:rsidR="00295BEB">
        <w:t xml:space="preserve">property developers would </w:t>
      </w:r>
      <w:r w:rsidR="00C1300C">
        <w:t>n</w:t>
      </w:r>
      <w:r w:rsidR="007461D2">
        <w:t>o longer apply the apportionment rules</w:t>
      </w:r>
      <w:r w:rsidR="00AD2966">
        <w:t xml:space="preserve"> and instead </w:t>
      </w:r>
      <w:r w:rsidR="009E2CF8">
        <w:t>claim a full input tax deduction for the purchase</w:t>
      </w:r>
      <w:r w:rsidR="00662C09">
        <w:t xml:space="preserve"> of</w:t>
      </w:r>
      <w:r w:rsidR="009E2CF8">
        <w:t xml:space="preserve"> the</w:t>
      </w:r>
      <w:r w:rsidR="009E2CF8" w:rsidRPr="00A27E58">
        <w:t xml:space="preserve"> land and </w:t>
      </w:r>
      <w:r w:rsidR="009E2CF8">
        <w:t xml:space="preserve">for </w:t>
      </w:r>
      <w:r w:rsidR="009E2CF8" w:rsidRPr="00A27E58">
        <w:t xml:space="preserve">other </w:t>
      </w:r>
      <w:r w:rsidR="009E2CF8">
        <w:t xml:space="preserve">capital </w:t>
      </w:r>
      <w:r w:rsidR="009E2CF8" w:rsidRPr="00A27E58">
        <w:t>development costs once the</w:t>
      </w:r>
      <w:r w:rsidR="009E2CF8">
        <w:t>ir</w:t>
      </w:r>
      <w:r w:rsidR="009E2CF8" w:rsidRPr="00A27E58">
        <w:t xml:space="preserve"> development activity had commenced</w:t>
      </w:r>
      <w:r w:rsidR="009E2CF8">
        <w:t>.</w:t>
      </w:r>
      <w:r w:rsidR="009D77E3">
        <w:t xml:space="preserve"> This simplification proposal is expected to be supported by stakeholders. </w:t>
      </w:r>
    </w:p>
    <w:p w14:paraId="513207A5" w14:textId="2DAB8C14" w:rsidR="00DC73D2" w:rsidRDefault="00DC73D2" w:rsidP="00DC73D2">
      <w:pPr>
        <w:pStyle w:val="ListParagraph"/>
        <w:numPr>
          <w:ilvl w:val="0"/>
          <w:numId w:val="11"/>
        </w:numPr>
        <w:spacing w:after="240" w:line="240" w:lineRule="auto"/>
        <w:contextualSpacing w:val="0"/>
      </w:pPr>
      <w:r>
        <w:t xml:space="preserve">Another issue is that </w:t>
      </w:r>
      <w:r w:rsidR="0055668F">
        <w:t xml:space="preserve">currently, </w:t>
      </w:r>
      <w:r w:rsidRPr="004102BD">
        <w:t xml:space="preserve">Inland Revenue can have difficulty distinguishing between </w:t>
      </w:r>
      <w:r w:rsidR="009E5643">
        <w:t>GST-</w:t>
      </w:r>
      <w:r w:rsidRPr="004102BD">
        <w:t xml:space="preserve">registered persons who are </w:t>
      </w:r>
      <w:r w:rsidRPr="00CF3052">
        <w:rPr>
          <w:i/>
          <w:iCs/>
        </w:rPr>
        <w:t>bona fide</w:t>
      </w:r>
      <w:r w:rsidRPr="004102BD">
        <w:t xml:space="preserve"> property developers and those who intend to develop land</w:t>
      </w:r>
      <w:r>
        <w:t>. Both groups</w:t>
      </w:r>
      <w:r w:rsidRPr="004102BD">
        <w:t xml:space="preserve"> claim input tax deductions when purchasing the </w:t>
      </w:r>
      <w:proofErr w:type="gramStart"/>
      <w:r w:rsidR="00E21A12">
        <w:t>land</w:t>
      </w:r>
      <w:proofErr w:type="gramEnd"/>
      <w:r w:rsidR="00E21A12">
        <w:t xml:space="preserve"> </w:t>
      </w:r>
      <w:r w:rsidRPr="004102BD">
        <w:t xml:space="preserve">but </w:t>
      </w:r>
      <w:r>
        <w:t xml:space="preserve">some </w:t>
      </w:r>
      <w:r w:rsidRPr="004102BD">
        <w:t xml:space="preserve">ultimately don’t commence the development or don’t sell the </w:t>
      </w:r>
      <w:r w:rsidR="009E5643">
        <w:t xml:space="preserve">developed </w:t>
      </w:r>
      <w:r w:rsidR="00E21A12">
        <w:t>property</w:t>
      </w:r>
      <w:r w:rsidRPr="004102BD">
        <w:t>.</w:t>
      </w:r>
      <w:r>
        <w:t xml:space="preserve"> This represents a fiscal risk as large GST deductions / refunds are paid on purchase, but no subsequent GST is collected as the land is </w:t>
      </w:r>
      <w:r w:rsidR="00F86530">
        <w:t xml:space="preserve">ultimately </w:t>
      </w:r>
      <w:r>
        <w:t xml:space="preserve">not </w:t>
      </w:r>
      <w:r w:rsidR="00F86530">
        <w:t>improved</w:t>
      </w:r>
      <w:r>
        <w:t xml:space="preserve"> </w:t>
      </w:r>
      <w:r w:rsidR="009E5643">
        <w:t xml:space="preserve">and </w:t>
      </w:r>
      <w:r>
        <w:t>sold.</w:t>
      </w:r>
    </w:p>
    <w:p w14:paraId="2E37053E" w14:textId="31DD03EA" w:rsidR="002E647C" w:rsidRPr="00B27E7E" w:rsidRDefault="00DC73D2" w:rsidP="00DC73D2">
      <w:pPr>
        <w:pStyle w:val="ListParagraph"/>
        <w:numPr>
          <w:ilvl w:val="0"/>
          <w:numId w:val="11"/>
        </w:numPr>
        <w:spacing w:after="240" w:line="240" w:lineRule="auto"/>
        <w:contextualSpacing w:val="0"/>
        <w:rPr>
          <w:sz w:val="22"/>
        </w:rPr>
      </w:pPr>
      <w:r>
        <w:t xml:space="preserve">The issues paper </w:t>
      </w:r>
      <w:r w:rsidR="00041EAB">
        <w:t xml:space="preserve">proposes </w:t>
      </w:r>
      <w:r>
        <w:t>potential timing and information changes which could reduce this risk, whilst also encouraging land to be developed and sold in a reasonable timeframe</w:t>
      </w:r>
      <w:r w:rsidR="009D77E3">
        <w:t xml:space="preserve"> </w:t>
      </w:r>
      <w:r w:rsidR="00ED7A55" w:rsidRPr="00ED7A55">
        <w:t>(such as 36 months with an ability to apply to Inland Revenue for an extension).</w:t>
      </w:r>
    </w:p>
    <w:p w14:paraId="6A75C18B" w14:textId="07DBA570" w:rsidR="00B65A42" w:rsidRPr="00B65A42" w:rsidRDefault="008F2EED" w:rsidP="001A7D3B">
      <w:pPr>
        <w:pStyle w:val="ListParagraph"/>
        <w:numPr>
          <w:ilvl w:val="0"/>
          <w:numId w:val="11"/>
        </w:numPr>
        <w:spacing w:after="240" w:line="240" w:lineRule="auto"/>
        <w:contextualSpacing w:val="0"/>
        <w:rPr>
          <w:sz w:val="22"/>
        </w:rPr>
      </w:pPr>
      <w:r>
        <w:t xml:space="preserve">Where the developer has an established property development business, they would continue to receive their input deduction </w:t>
      </w:r>
      <w:r w:rsidR="00A151D8">
        <w:t>at the time of</w:t>
      </w:r>
      <w:r w:rsidR="005E7722">
        <w:t xml:space="preserve"> purchase</w:t>
      </w:r>
      <w:r w:rsidR="000C5AD8">
        <w:t>,</w:t>
      </w:r>
      <w:r w:rsidR="000C5AD8" w:rsidRPr="000C5AD8">
        <w:t xml:space="preserve"> </w:t>
      </w:r>
      <w:r w:rsidR="00B44EA1" w:rsidRPr="00B44EA1">
        <w:t>however the issues paper proposes that other first-time or small-scale developers could have to wait until their development activity has commenced (rather than claiming deductions at the time the land is purchased as per current rules).</w:t>
      </w:r>
    </w:p>
    <w:p w14:paraId="0B72CF4F" w14:textId="21E7363C" w:rsidR="00B44EA1" w:rsidRPr="00B44EA1" w:rsidRDefault="00B44EA1" w:rsidP="00B44EA1">
      <w:pPr>
        <w:pStyle w:val="NumberedParagraph"/>
      </w:pPr>
      <w:r w:rsidRPr="00B44EA1">
        <w:t xml:space="preserve">This delay may negatively impact their cash flow. </w:t>
      </w:r>
      <w:r w:rsidR="086F38A7">
        <w:t>Stakeholders</w:t>
      </w:r>
      <w:r w:rsidRPr="00B44EA1">
        <w:t xml:space="preserve"> are </w:t>
      </w:r>
      <w:r w:rsidR="086F38A7">
        <w:t xml:space="preserve">likely to raise concerns about this </w:t>
      </w:r>
      <w:r w:rsidR="3EB255AF">
        <w:t>proposal because</w:t>
      </w:r>
      <w:r w:rsidRPr="00B44EA1">
        <w:t xml:space="preserve"> developers </w:t>
      </w:r>
      <w:r w:rsidR="472EC48D">
        <w:t>use</w:t>
      </w:r>
      <w:r w:rsidRPr="00B44EA1">
        <w:t xml:space="preserve"> the input tax deduction to partly fund the purchase and/or initial development costs. </w:t>
      </w:r>
    </w:p>
    <w:p w14:paraId="790ACE35" w14:textId="54103621" w:rsidR="0057048B" w:rsidRDefault="00B85584" w:rsidP="00130B45">
      <w:pPr>
        <w:pStyle w:val="NumberedParagraph"/>
      </w:pPr>
      <w:r>
        <w:t xml:space="preserve">Stakeholders </w:t>
      </w:r>
      <w:r w:rsidR="6CFB9F42">
        <w:t xml:space="preserve">may </w:t>
      </w:r>
      <w:r>
        <w:t xml:space="preserve">also </w:t>
      </w:r>
      <w:r w:rsidR="6CFB9F42">
        <w:t>raise</w:t>
      </w:r>
      <w:r>
        <w:t xml:space="preserve"> concerns </w:t>
      </w:r>
      <w:r w:rsidR="00C3654E">
        <w:t xml:space="preserve">with the </w:t>
      </w:r>
      <w:r w:rsidR="7BCA3EE3">
        <w:t>proposed deadline for developing and selling the land</w:t>
      </w:r>
      <w:r w:rsidR="00C3654E">
        <w:t xml:space="preserve">, given some property developers prefer to hold land until it is commercially suitable to undertake the development activity. The consultation process will allow us to better refine the proposals towards areas of concern, while mitigating unintended consequences. </w:t>
      </w:r>
    </w:p>
    <w:p w14:paraId="272B1C92" w14:textId="6D379F17" w:rsidR="00437629" w:rsidRDefault="00437629" w:rsidP="00463471">
      <w:pPr>
        <w:pStyle w:val="Heading1"/>
      </w:pPr>
      <w:r>
        <w:t>Other proposed changes</w:t>
      </w:r>
    </w:p>
    <w:p w14:paraId="4912432F" w14:textId="7700C828" w:rsidR="00437629" w:rsidRDefault="00655F06" w:rsidP="00130B45">
      <w:pPr>
        <w:pStyle w:val="NumberedParagraph"/>
      </w:pPr>
      <w:r>
        <w:t xml:space="preserve">The officials’ issues paper also includes several </w:t>
      </w:r>
      <w:r w:rsidR="00DD0C0E">
        <w:t xml:space="preserve">proposed changes </w:t>
      </w:r>
      <w:r w:rsidR="00226202">
        <w:t xml:space="preserve">that seek to </w:t>
      </w:r>
      <w:r w:rsidR="00AB6F81">
        <w:t>reduce compliance costs for businesses</w:t>
      </w:r>
      <w:r w:rsidR="00DD0C0E">
        <w:t>. These i</w:t>
      </w:r>
      <w:r w:rsidR="00C50D71">
        <w:t>ssues are listed be</w:t>
      </w:r>
      <w:r w:rsidR="00B47DAD">
        <w:t xml:space="preserve">low, under the same headings and in the same order as in the officials’ issues paper. </w:t>
      </w:r>
      <w:r w:rsidR="001B0D63">
        <w:t>These are:</w:t>
      </w:r>
    </w:p>
    <w:p w14:paraId="2EBF363B" w14:textId="371EEF12" w:rsidR="009B4560" w:rsidRDefault="003401EC" w:rsidP="003401EC">
      <w:pPr>
        <w:pStyle w:val="NumberedParagraph"/>
        <w:numPr>
          <w:ilvl w:val="1"/>
          <w:numId w:val="11"/>
        </w:numPr>
      </w:pPr>
      <w:r>
        <w:t>Accommodation services supplied in dwellings and commercial dwellings</w:t>
      </w:r>
      <w:r w:rsidR="004B3DEC">
        <w:t>.</w:t>
      </w:r>
    </w:p>
    <w:p w14:paraId="0EBE4F6F" w14:textId="234EF87F" w:rsidR="003401EC" w:rsidRDefault="004834BB" w:rsidP="00463471">
      <w:pPr>
        <w:pStyle w:val="NumberedParagraph"/>
        <w:numPr>
          <w:ilvl w:val="1"/>
          <w:numId w:val="11"/>
        </w:numPr>
      </w:pPr>
      <w:r>
        <w:t xml:space="preserve">Sale of a dwelling an </w:t>
      </w:r>
      <w:r w:rsidR="007224E9">
        <w:t>exempt or separate supply</w:t>
      </w:r>
      <w:r w:rsidR="004B3DEC">
        <w:t>.</w:t>
      </w:r>
      <w:r>
        <w:t xml:space="preserve"> </w:t>
      </w:r>
    </w:p>
    <w:p w14:paraId="33BB0043" w14:textId="084DFC8D" w:rsidR="0027767B" w:rsidRDefault="00BD1FD2" w:rsidP="00463471">
      <w:pPr>
        <w:pStyle w:val="NumberedParagraph"/>
        <w:numPr>
          <w:ilvl w:val="1"/>
          <w:numId w:val="11"/>
        </w:numPr>
      </w:pPr>
      <w:r>
        <w:t>Reduce the required number of adjustment periods</w:t>
      </w:r>
      <w:r w:rsidR="004B3DEC">
        <w:t>.</w:t>
      </w:r>
      <w:r>
        <w:t xml:space="preserve"> </w:t>
      </w:r>
    </w:p>
    <w:p w14:paraId="2199F15B" w14:textId="2B22F745" w:rsidR="00BD1FD2" w:rsidRDefault="0000102E" w:rsidP="00463471">
      <w:pPr>
        <w:pStyle w:val="NumberedParagraph"/>
        <w:numPr>
          <w:ilvl w:val="1"/>
          <w:numId w:val="11"/>
        </w:numPr>
      </w:pPr>
      <w:r>
        <w:t>Expand the wash-up rule eligibility</w:t>
      </w:r>
      <w:r w:rsidR="004B3DEC">
        <w:t>.</w:t>
      </w:r>
    </w:p>
    <w:p w14:paraId="42697436" w14:textId="3114FE0A" w:rsidR="0000102E" w:rsidRDefault="007E6665" w:rsidP="00463471">
      <w:pPr>
        <w:pStyle w:val="NumberedParagraph"/>
        <w:numPr>
          <w:ilvl w:val="1"/>
          <w:numId w:val="11"/>
        </w:numPr>
      </w:pPr>
      <w:r>
        <w:t xml:space="preserve">Repeal the mixed-use asset rules in section 20G; </w:t>
      </w:r>
      <w:r w:rsidR="000B51EC">
        <w:t>Repeal the concurrent use of land rules in section 21</w:t>
      </w:r>
      <w:r w:rsidR="004B3DEC">
        <w:t>E.</w:t>
      </w:r>
    </w:p>
    <w:p w14:paraId="1E2C3AEA" w14:textId="392FC87F" w:rsidR="006076D8" w:rsidRDefault="00CF02B8" w:rsidP="007E6665">
      <w:pPr>
        <w:pStyle w:val="NumberedParagraph"/>
        <w:numPr>
          <w:ilvl w:val="1"/>
          <w:numId w:val="11"/>
        </w:numPr>
      </w:pPr>
      <w:r w:rsidRPr="00CF02B8">
        <w:t>Allowing a wider range of apportionment methods to be approved by Inland Revenue</w:t>
      </w:r>
      <w:r w:rsidR="0093324E">
        <w:t>.</w:t>
      </w:r>
    </w:p>
    <w:p w14:paraId="0817F2D6" w14:textId="6D631998" w:rsidR="00625C17" w:rsidRDefault="00625C17" w:rsidP="00625C17">
      <w:pPr>
        <w:pStyle w:val="Heading1"/>
      </w:pPr>
      <w:r>
        <w:t xml:space="preserve">Consultation </w:t>
      </w:r>
    </w:p>
    <w:p w14:paraId="5A66266F" w14:textId="7FB2F03E" w:rsidR="00625C17" w:rsidRDefault="00625C17" w:rsidP="00625C17">
      <w:pPr>
        <w:pStyle w:val="NumberedParagraph"/>
      </w:pPr>
      <w:r>
        <w:t>The Treasury has been consulted in the prepar</w:t>
      </w:r>
      <w:r w:rsidR="00F34D59">
        <w:t>ation</w:t>
      </w:r>
      <w:r>
        <w:t xml:space="preserve"> of this report. </w:t>
      </w:r>
    </w:p>
    <w:p w14:paraId="5A1177E7" w14:textId="7C79DEC7" w:rsidR="00E36127" w:rsidRDefault="00E36127" w:rsidP="00625C17">
      <w:pPr>
        <w:pStyle w:val="NumberedParagraph"/>
      </w:pPr>
      <w:r>
        <w:t xml:space="preserve">The Ministry of Housing and Urban Development has been consulted on the </w:t>
      </w:r>
      <w:r w:rsidR="00EF2B89">
        <w:t xml:space="preserve">proposals </w:t>
      </w:r>
      <w:r>
        <w:t>and has no</w:t>
      </w:r>
      <w:r w:rsidR="00282A0E">
        <w:t>t raised any</w:t>
      </w:r>
      <w:r>
        <w:t xml:space="preserve"> </w:t>
      </w:r>
      <w:r w:rsidR="00B47675">
        <w:t xml:space="preserve">concerns. </w:t>
      </w:r>
      <w:r w:rsidR="00930589">
        <w:t xml:space="preserve">We will continue to work with </w:t>
      </w:r>
      <w:r w:rsidR="00EF2B89">
        <w:t xml:space="preserve">the </w:t>
      </w:r>
      <w:r w:rsidR="00930589">
        <w:t>Ministry of Housing and Urban Development before seeking final policy decisions.</w:t>
      </w:r>
    </w:p>
    <w:p w14:paraId="412E055D" w14:textId="295F1068" w:rsidR="00282A0E" w:rsidRDefault="00282A0E" w:rsidP="00625C17">
      <w:pPr>
        <w:pStyle w:val="NumberedParagraph"/>
      </w:pPr>
      <w:r>
        <w:t>We have also had preliminary discussions with several private sector GST advisors and the Chartered Accountants of Australia and New Zealand</w:t>
      </w:r>
      <w:r w:rsidR="00747A00">
        <w:t xml:space="preserve">, </w:t>
      </w:r>
      <w:r w:rsidR="00EA6A09">
        <w:t>where</w:t>
      </w:r>
      <w:r w:rsidR="00747A00">
        <w:t xml:space="preserve"> they have provided feedback and advice on </w:t>
      </w:r>
      <w:r w:rsidR="00A63E34">
        <w:t xml:space="preserve">various policy issues and </w:t>
      </w:r>
      <w:r w:rsidR="00747A00">
        <w:t>proposals</w:t>
      </w:r>
      <w:r w:rsidR="00A63E34">
        <w:t xml:space="preserve">. We intend to </w:t>
      </w:r>
      <w:r w:rsidR="000F0CAA">
        <w:t xml:space="preserve">continue to </w:t>
      </w:r>
      <w:r w:rsidR="00A63E34">
        <w:t xml:space="preserve">meet with stakeholders </w:t>
      </w:r>
      <w:r w:rsidR="00353C49">
        <w:t>after</w:t>
      </w:r>
      <w:r w:rsidR="00A63E34">
        <w:t xml:space="preserve"> the officials’ issues paper has been released for public consultation, </w:t>
      </w:r>
      <w:r w:rsidR="004E6E37">
        <w:t xml:space="preserve">as part of developing final policy decisions. </w:t>
      </w:r>
    </w:p>
    <w:p w14:paraId="03FF4D96" w14:textId="2BCEDD85" w:rsidR="00E15B76" w:rsidRPr="00E15B76" w:rsidRDefault="00E15B76" w:rsidP="00E15B76">
      <w:pPr>
        <w:shd w:val="clear" w:color="auto" w:fill="D9D9D9" w:themeFill="background1" w:themeFillShade="D9"/>
        <w:spacing w:after="160" w:line="259" w:lineRule="auto"/>
        <w:jc w:val="left"/>
      </w:pPr>
      <w:r w:rsidRPr="00E15B76">
        <w:t>s 9(2)(f)(iv)</w:t>
      </w:r>
    </w:p>
    <w:p w14:paraId="6C6F382E" w14:textId="77777777" w:rsidR="00E15B76" w:rsidRPr="00E15B76" w:rsidRDefault="00E15B76" w:rsidP="00E15B76">
      <w:pPr>
        <w:shd w:val="clear" w:color="auto" w:fill="D9D9D9" w:themeFill="background1" w:themeFillShade="D9"/>
        <w:spacing w:after="160" w:line="259" w:lineRule="auto"/>
        <w:jc w:val="left"/>
      </w:pPr>
    </w:p>
    <w:p w14:paraId="3BB806AF" w14:textId="77777777" w:rsidR="00E15B76" w:rsidRPr="00E15B76" w:rsidRDefault="00E15B76" w:rsidP="00E15B76">
      <w:pPr>
        <w:shd w:val="clear" w:color="auto" w:fill="D9D9D9" w:themeFill="background1" w:themeFillShade="D9"/>
        <w:spacing w:after="160" w:line="259" w:lineRule="auto"/>
        <w:jc w:val="left"/>
      </w:pPr>
    </w:p>
    <w:p w14:paraId="698A5050" w14:textId="77777777" w:rsidR="00E15B76" w:rsidRPr="00E15B76" w:rsidRDefault="00E15B76" w:rsidP="00E15B76">
      <w:pPr>
        <w:shd w:val="clear" w:color="auto" w:fill="D9D9D9" w:themeFill="background1" w:themeFillShade="D9"/>
        <w:spacing w:after="160" w:line="259" w:lineRule="auto"/>
        <w:jc w:val="left"/>
      </w:pPr>
    </w:p>
    <w:p w14:paraId="14E53DDB" w14:textId="77777777" w:rsidR="00E15B76" w:rsidRPr="00E15B76" w:rsidRDefault="00E15B76" w:rsidP="00E15B76">
      <w:pPr>
        <w:shd w:val="clear" w:color="auto" w:fill="D9D9D9" w:themeFill="background1" w:themeFillShade="D9"/>
        <w:spacing w:after="160" w:line="259" w:lineRule="auto"/>
        <w:jc w:val="left"/>
      </w:pPr>
    </w:p>
    <w:p w14:paraId="127A74C3" w14:textId="77777777" w:rsidR="00E15B76" w:rsidRPr="00E15B76" w:rsidRDefault="00E15B76" w:rsidP="00E15B76">
      <w:pPr>
        <w:shd w:val="clear" w:color="auto" w:fill="D9D9D9" w:themeFill="background1" w:themeFillShade="D9"/>
        <w:spacing w:after="160" w:line="259" w:lineRule="auto"/>
        <w:jc w:val="left"/>
      </w:pPr>
    </w:p>
    <w:p w14:paraId="2415EB5B" w14:textId="77777777" w:rsidR="00E15B76" w:rsidRPr="00E15B76" w:rsidRDefault="00E15B76" w:rsidP="00E15B76">
      <w:pPr>
        <w:shd w:val="clear" w:color="auto" w:fill="D9D9D9" w:themeFill="background1" w:themeFillShade="D9"/>
        <w:spacing w:after="160" w:line="259" w:lineRule="auto"/>
        <w:jc w:val="left"/>
      </w:pPr>
    </w:p>
    <w:p w14:paraId="3272A572" w14:textId="77777777" w:rsidR="00E15B76" w:rsidRPr="00E15B76" w:rsidRDefault="00E15B76" w:rsidP="00E15B76">
      <w:pPr>
        <w:shd w:val="clear" w:color="auto" w:fill="D9D9D9" w:themeFill="background1" w:themeFillShade="D9"/>
        <w:spacing w:after="160" w:line="259" w:lineRule="auto"/>
        <w:jc w:val="left"/>
      </w:pPr>
    </w:p>
    <w:p w14:paraId="52151EB5" w14:textId="77777777" w:rsidR="00E15B76" w:rsidRPr="00E15B76" w:rsidRDefault="00E15B76" w:rsidP="00E15B76">
      <w:pPr>
        <w:shd w:val="clear" w:color="auto" w:fill="D9D9D9" w:themeFill="background1" w:themeFillShade="D9"/>
        <w:spacing w:after="160" w:line="259" w:lineRule="auto"/>
        <w:jc w:val="left"/>
      </w:pPr>
    </w:p>
    <w:p w14:paraId="03BC5A71" w14:textId="77777777" w:rsidR="00E15B76" w:rsidRPr="00E15B76" w:rsidRDefault="00E15B76" w:rsidP="00E15B76">
      <w:pPr>
        <w:shd w:val="clear" w:color="auto" w:fill="D9D9D9" w:themeFill="background1" w:themeFillShade="D9"/>
        <w:spacing w:after="160" w:line="259" w:lineRule="auto"/>
        <w:jc w:val="left"/>
      </w:pPr>
    </w:p>
    <w:p w14:paraId="2DE8CF66" w14:textId="77777777" w:rsidR="00E15B76" w:rsidRPr="00E15B76" w:rsidRDefault="00E15B76" w:rsidP="00E15B76">
      <w:pPr>
        <w:shd w:val="clear" w:color="auto" w:fill="D9D9D9" w:themeFill="background1" w:themeFillShade="D9"/>
        <w:spacing w:after="160" w:line="259" w:lineRule="auto"/>
        <w:jc w:val="left"/>
      </w:pPr>
    </w:p>
    <w:p w14:paraId="38D2E047" w14:textId="77777777" w:rsidR="00E15B76" w:rsidRPr="00E15B76" w:rsidRDefault="00E15B76" w:rsidP="00E15B76">
      <w:pPr>
        <w:shd w:val="clear" w:color="auto" w:fill="D9D9D9" w:themeFill="background1" w:themeFillShade="D9"/>
        <w:spacing w:after="160" w:line="259" w:lineRule="auto"/>
        <w:jc w:val="left"/>
      </w:pPr>
    </w:p>
    <w:p w14:paraId="31D05774" w14:textId="77777777" w:rsidR="00E15B76" w:rsidRPr="00E15B76" w:rsidRDefault="00E15B76" w:rsidP="00E15B76">
      <w:pPr>
        <w:shd w:val="clear" w:color="auto" w:fill="D9D9D9" w:themeFill="background1" w:themeFillShade="D9"/>
        <w:spacing w:after="160" w:line="259" w:lineRule="auto"/>
        <w:jc w:val="left"/>
      </w:pPr>
    </w:p>
    <w:p w14:paraId="0C512956" w14:textId="77777777" w:rsidR="00E15B76" w:rsidRPr="00E15B76" w:rsidRDefault="00E15B76" w:rsidP="00E15B76">
      <w:pPr>
        <w:shd w:val="clear" w:color="auto" w:fill="D9D9D9" w:themeFill="background1" w:themeFillShade="D9"/>
        <w:spacing w:after="160" w:line="259" w:lineRule="auto"/>
        <w:jc w:val="left"/>
      </w:pPr>
    </w:p>
    <w:p w14:paraId="22D161A2" w14:textId="6CB1C53D" w:rsidR="006E3E51" w:rsidRPr="004F7101" w:rsidRDefault="006E3E51">
      <w:pPr>
        <w:spacing w:after="160" w:line="259" w:lineRule="auto"/>
        <w:jc w:val="left"/>
        <w:rPr>
          <w:szCs w:val="23"/>
          <w:highlight w:val="yellow"/>
          <w:lang w:eastAsia="en-NZ"/>
        </w:rPr>
      </w:pPr>
      <w:r w:rsidRPr="004F7101">
        <w:rPr>
          <w:highlight w:val="yellow"/>
        </w:rPr>
        <w:br w:type="page"/>
      </w:r>
    </w:p>
    <w:p w14:paraId="3D41BF22" w14:textId="4214D7A1" w:rsidR="00E15B76" w:rsidRDefault="00E15B76" w:rsidP="00E15B76">
      <w:pPr>
        <w:shd w:val="clear" w:color="auto" w:fill="D9D9D9" w:themeFill="background1" w:themeFillShade="D9"/>
      </w:pPr>
      <w:r w:rsidRPr="00E15B76">
        <w:t>s 9(2)(f)(iv)</w:t>
      </w:r>
    </w:p>
    <w:p w14:paraId="1A8BAF6D" w14:textId="274CC9C7" w:rsidR="00E15B76" w:rsidRDefault="00E15B76" w:rsidP="00E15B76">
      <w:pPr>
        <w:shd w:val="clear" w:color="auto" w:fill="D9D9D9" w:themeFill="background1" w:themeFillShade="D9"/>
      </w:pPr>
    </w:p>
    <w:p w14:paraId="47E5A0F3" w14:textId="779452F4" w:rsidR="00E15B76" w:rsidRDefault="00E15B76" w:rsidP="00E15B76">
      <w:pPr>
        <w:shd w:val="clear" w:color="auto" w:fill="D9D9D9" w:themeFill="background1" w:themeFillShade="D9"/>
      </w:pPr>
    </w:p>
    <w:p w14:paraId="103F615D" w14:textId="38A88DBF" w:rsidR="00E15B76" w:rsidRDefault="00E15B76" w:rsidP="00E15B76">
      <w:pPr>
        <w:shd w:val="clear" w:color="auto" w:fill="D9D9D9" w:themeFill="background1" w:themeFillShade="D9"/>
      </w:pPr>
    </w:p>
    <w:p w14:paraId="3552989A" w14:textId="5EC7AE76" w:rsidR="00E15B76" w:rsidRDefault="00E15B76" w:rsidP="00E15B76">
      <w:pPr>
        <w:shd w:val="clear" w:color="auto" w:fill="D9D9D9" w:themeFill="background1" w:themeFillShade="D9"/>
      </w:pPr>
    </w:p>
    <w:p w14:paraId="2D7CCC32" w14:textId="51C251B1" w:rsidR="00E15B76" w:rsidRDefault="00E15B76" w:rsidP="00E15B76">
      <w:pPr>
        <w:shd w:val="clear" w:color="auto" w:fill="D9D9D9" w:themeFill="background1" w:themeFillShade="D9"/>
      </w:pPr>
    </w:p>
    <w:p w14:paraId="26C4E20C" w14:textId="25E98F57" w:rsidR="00E15B76" w:rsidRDefault="00E15B76" w:rsidP="00E15B76">
      <w:pPr>
        <w:shd w:val="clear" w:color="auto" w:fill="D9D9D9" w:themeFill="background1" w:themeFillShade="D9"/>
      </w:pPr>
    </w:p>
    <w:p w14:paraId="0C2CC7E9" w14:textId="436C9C9A" w:rsidR="00E15B76" w:rsidRDefault="00E15B76" w:rsidP="00E15B76">
      <w:pPr>
        <w:shd w:val="clear" w:color="auto" w:fill="D9D9D9" w:themeFill="background1" w:themeFillShade="D9"/>
      </w:pPr>
    </w:p>
    <w:p w14:paraId="38C092F7" w14:textId="581F59E4" w:rsidR="00E15B76" w:rsidRDefault="00E15B76" w:rsidP="00E15B76">
      <w:pPr>
        <w:shd w:val="clear" w:color="auto" w:fill="D9D9D9" w:themeFill="background1" w:themeFillShade="D9"/>
      </w:pPr>
    </w:p>
    <w:p w14:paraId="45C8643B" w14:textId="77306B75" w:rsidR="00E15B76" w:rsidRDefault="00E15B76" w:rsidP="00E15B76">
      <w:pPr>
        <w:shd w:val="clear" w:color="auto" w:fill="D9D9D9" w:themeFill="background1" w:themeFillShade="D9"/>
      </w:pPr>
    </w:p>
    <w:p w14:paraId="17976C5B" w14:textId="513C8AC6" w:rsidR="00E15B76" w:rsidRDefault="00E15B76" w:rsidP="00E15B76">
      <w:pPr>
        <w:shd w:val="clear" w:color="auto" w:fill="D9D9D9" w:themeFill="background1" w:themeFillShade="D9"/>
      </w:pPr>
    </w:p>
    <w:p w14:paraId="1AA4AF44" w14:textId="1AD747E1" w:rsidR="00E15B76" w:rsidRDefault="00E15B76" w:rsidP="00E15B76">
      <w:pPr>
        <w:shd w:val="clear" w:color="auto" w:fill="D9D9D9" w:themeFill="background1" w:themeFillShade="D9"/>
      </w:pPr>
    </w:p>
    <w:p w14:paraId="4FED431A" w14:textId="7528C7B0" w:rsidR="00E15B76" w:rsidRDefault="00E15B76" w:rsidP="00E15B76">
      <w:pPr>
        <w:shd w:val="clear" w:color="auto" w:fill="D9D9D9" w:themeFill="background1" w:themeFillShade="D9"/>
      </w:pPr>
    </w:p>
    <w:p w14:paraId="3881AA3E" w14:textId="583A4F70" w:rsidR="00E15B76" w:rsidRDefault="00E15B76" w:rsidP="00E15B76">
      <w:pPr>
        <w:shd w:val="clear" w:color="auto" w:fill="D9D9D9" w:themeFill="background1" w:themeFillShade="D9"/>
      </w:pPr>
    </w:p>
    <w:p w14:paraId="50067093" w14:textId="1A779398" w:rsidR="00E15B76" w:rsidRDefault="00E15B76" w:rsidP="00E15B76">
      <w:pPr>
        <w:shd w:val="clear" w:color="auto" w:fill="D9D9D9" w:themeFill="background1" w:themeFillShade="D9"/>
      </w:pPr>
    </w:p>
    <w:p w14:paraId="7865ED3B" w14:textId="1D52F9F6" w:rsidR="00E15B76" w:rsidRDefault="00E15B76" w:rsidP="00E15B76">
      <w:pPr>
        <w:shd w:val="clear" w:color="auto" w:fill="D9D9D9" w:themeFill="background1" w:themeFillShade="D9"/>
      </w:pPr>
    </w:p>
    <w:p w14:paraId="134C0AB7" w14:textId="77777777" w:rsidR="00E15B76" w:rsidRDefault="00E15B76" w:rsidP="00E15B76">
      <w:pPr>
        <w:shd w:val="clear" w:color="auto" w:fill="D9D9D9" w:themeFill="background1" w:themeFillShade="D9"/>
      </w:pPr>
    </w:p>
    <w:p w14:paraId="5069AD57" w14:textId="768F9943" w:rsidR="00E15B76" w:rsidRDefault="00E15B76" w:rsidP="00E15B76">
      <w:pPr>
        <w:shd w:val="clear" w:color="auto" w:fill="D9D9D9" w:themeFill="background1" w:themeFillShade="D9"/>
      </w:pPr>
    </w:p>
    <w:p w14:paraId="7DF78F47" w14:textId="199FC5F9" w:rsidR="00E15B76" w:rsidRDefault="00E15B76" w:rsidP="00E15B76">
      <w:pPr>
        <w:shd w:val="clear" w:color="auto" w:fill="D9D9D9" w:themeFill="background1" w:themeFillShade="D9"/>
      </w:pPr>
    </w:p>
    <w:p w14:paraId="217AA605" w14:textId="26E14A93" w:rsidR="00E15B76" w:rsidRDefault="00E15B76" w:rsidP="00E15B76">
      <w:pPr>
        <w:shd w:val="clear" w:color="auto" w:fill="D9D9D9" w:themeFill="background1" w:themeFillShade="D9"/>
      </w:pPr>
    </w:p>
    <w:p w14:paraId="2BF6BED2" w14:textId="5F1DC93B" w:rsidR="00E15B76" w:rsidRDefault="00E15B76" w:rsidP="00E15B76">
      <w:pPr>
        <w:shd w:val="clear" w:color="auto" w:fill="D9D9D9" w:themeFill="background1" w:themeFillShade="D9"/>
      </w:pPr>
    </w:p>
    <w:p w14:paraId="14BDBFB7" w14:textId="1789F485" w:rsidR="00E15B76" w:rsidRDefault="00E15B76" w:rsidP="00E15B76">
      <w:pPr>
        <w:shd w:val="clear" w:color="auto" w:fill="D9D9D9" w:themeFill="background1" w:themeFillShade="D9"/>
      </w:pPr>
    </w:p>
    <w:p w14:paraId="22764858" w14:textId="0DC28372" w:rsidR="00E15B76" w:rsidRDefault="00E15B76" w:rsidP="00E15B76">
      <w:pPr>
        <w:shd w:val="clear" w:color="auto" w:fill="D9D9D9" w:themeFill="background1" w:themeFillShade="D9"/>
      </w:pPr>
    </w:p>
    <w:p w14:paraId="7A397637" w14:textId="3B3185A1" w:rsidR="00E15B76" w:rsidRDefault="00E15B76" w:rsidP="00E15B76">
      <w:pPr>
        <w:shd w:val="clear" w:color="auto" w:fill="D9D9D9" w:themeFill="background1" w:themeFillShade="D9"/>
      </w:pPr>
    </w:p>
    <w:p w14:paraId="75E053DE" w14:textId="5CA00B5B" w:rsidR="00E15B76" w:rsidRDefault="00E15B76" w:rsidP="00E15B76">
      <w:pPr>
        <w:shd w:val="clear" w:color="auto" w:fill="D9D9D9" w:themeFill="background1" w:themeFillShade="D9"/>
      </w:pPr>
    </w:p>
    <w:p w14:paraId="02E0827F" w14:textId="65DC08C9" w:rsidR="00E15B76" w:rsidRDefault="00E15B76" w:rsidP="00E15B76">
      <w:pPr>
        <w:shd w:val="clear" w:color="auto" w:fill="D9D9D9" w:themeFill="background1" w:themeFillShade="D9"/>
      </w:pPr>
    </w:p>
    <w:p w14:paraId="4549FA8F" w14:textId="78DDF571" w:rsidR="00E15B76" w:rsidRDefault="00E15B76" w:rsidP="00E15B76">
      <w:pPr>
        <w:shd w:val="clear" w:color="auto" w:fill="D9D9D9" w:themeFill="background1" w:themeFillShade="D9"/>
      </w:pPr>
    </w:p>
    <w:p w14:paraId="761DF5DF" w14:textId="6A37F372" w:rsidR="00E15B76" w:rsidRDefault="00E15B76" w:rsidP="00E15B76">
      <w:pPr>
        <w:shd w:val="clear" w:color="auto" w:fill="D9D9D9" w:themeFill="background1" w:themeFillShade="D9"/>
      </w:pPr>
    </w:p>
    <w:p w14:paraId="7F835139" w14:textId="2562E02E" w:rsidR="00E15B76" w:rsidRDefault="00E15B76" w:rsidP="00E15B76">
      <w:pPr>
        <w:shd w:val="clear" w:color="auto" w:fill="D9D9D9" w:themeFill="background1" w:themeFillShade="D9"/>
      </w:pPr>
    </w:p>
    <w:p w14:paraId="5D3F1482" w14:textId="2F310AAB" w:rsidR="00E15B76" w:rsidRDefault="00E15B76" w:rsidP="00E15B76">
      <w:pPr>
        <w:shd w:val="clear" w:color="auto" w:fill="D9D9D9" w:themeFill="background1" w:themeFillShade="D9"/>
      </w:pPr>
    </w:p>
    <w:p w14:paraId="0773014A" w14:textId="600B39F1" w:rsidR="00E15B76" w:rsidRDefault="00E15B76" w:rsidP="00E15B76">
      <w:pPr>
        <w:shd w:val="clear" w:color="auto" w:fill="D9D9D9" w:themeFill="background1" w:themeFillShade="D9"/>
      </w:pPr>
    </w:p>
    <w:p w14:paraId="29BAB3CF" w14:textId="32ACE92D" w:rsidR="00E15B76" w:rsidRDefault="00E15B76" w:rsidP="00E15B76">
      <w:pPr>
        <w:shd w:val="clear" w:color="auto" w:fill="D9D9D9" w:themeFill="background1" w:themeFillShade="D9"/>
      </w:pPr>
    </w:p>
    <w:p w14:paraId="2E7A4342" w14:textId="285F029D" w:rsidR="00E15B76" w:rsidRDefault="00E15B76" w:rsidP="00E15B76">
      <w:pPr>
        <w:shd w:val="clear" w:color="auto" w:fill="D9D9D9" w:themeFill="background1" w:themeFillShade="D9"/>
      </w:pPr>
    </w:p>
    <w:p w14:paraId="5FF40152" w14:textId="2C8358D8" w:rsidR="00E15B76" w:rsidRDefault="00E15B76" w:rsidP="00E15B76">
      <w:pPr>
        <w:shd w:val="clear" w:color="auto" w:fill="D9D9D9" w:themeFill="background1" w:themeFillShade="D9"/>
      </w:pPr>
    </w:p>
    <w:p w14:paraId="45F421C6" w14:textId="12BDB664" w:rsidR="00E15B76" w:rsidRDefault="00E15B76" w:rsidP="00E15B76">
      <w:pPr>
        <w:shd w:val="clear" w:color="auto" w:fill="D9D9D9" w:themeFill="background1" w:themeFillShade="D9"/>
      </w:pPr>
    </w:p>
    <w:p w14:paraId="130AE7F5" w14:textId="1817C049" w:rsidR="00E15B76" w:rsidRDefault="00E15B76" w:rsidP="00E15B76">
      <w:pPr>
        <w:shd w:val="clear" w:color="auto" w:fill="D9D9D9" w:themeFill="background1" w:themeFillShade="D9"/>
      </w:pPr>
    </w:p>
    <w:p w14:paraId="62387647" w14:textId="3FD5C561" w:rsidR="00E15B76" w:rsidRDefault="00E15B76" w:rsidP="00E15B76">
      <w:pPr>
        <w:shd w:val="clear" w:color="auto" w:fill="D9D9D9" w:themeFill="background1" w:themeFillShade="D9"/>
      </w:pPr>
    </w:p>
    <w:p w14:paraId="0701E8C4" w14:textId="212884CB" w:rsidR="00E15B76" w:rsidRDefault="00E15B76" w:rsidP="00E15B76">
      <w:pPr>
        <w:shd w:val="clear" w:color="auto" w:fill="D9D9D9" w:themeFill="background1" w:themeFillShade="D9"/>
      </w:pPr>
    </w:p>
    <w:p w14:paraId="2A7B2A14" w14:textId="642BA16E" w:rsidR="00E15B76" w:rsidRDefault="00E15B76" w:rsidP="00E15B76">
      <w:pPr>
        <w:shd w:val="clear" w:color="auto" w:fill="D9D9D9" w:themeFill="background1" w:themeFillShade="D9"/>
      </w:pPr>
    </w:p>
    <w:p w14:paraId="78DCF09E" w14:textId="3818654B" w:rsidR="00E15B76" w:rsidRDefault="00E15B76" w:rsidP="00E15B76">
      <w:pPr>
        <w:shd w:val="clear" w:color="auto" w:fill="D9D9D9" w:themeFill="background1" w:themeFillShade="D9"/>
      </w:pPr>
    </w:p>
    <w:p w14:paraId="1AF2D1D4" w14:textId="77777777" w:rsidR="00E15B76" w:rsidRDefault="00E15B76" w:rsidP="00E15B76">
      <w:pPr>
        <w:shd w:val="clear" w:color="auto" w:fill="D9D9D9" w:themeFill="background1" w:themeFillShade="D9"/>
      </w:pPr>
    </w:p>
    <w:p w14:paraId="4C2BB2B7" w14:textId="0EFBD0F7" w:rsidR="00E15B76" w:rsidRDefault="00E15B76" w:rsidP="00E15B76">
      <w:pPr>
        <w:shd w:val="clear" w:color="auto" w:fill="D9D9D9" w:themeFill="background1" w:themeFillShade="D9"/>
      </w:pPr>
    </w:p>
    <w:p w14:paraId="6D8C52BE" w14:textId="77777777" w:rsidR="00E15B76" w:rsidRPr="00E15B76" w:rsidRDefault="00E15B76" w:rsidP="00E15B76">
      <w:pPr>
        <w:shd w:val="clear" w:color="auto" w:fill="D9D9D9" w:themeFill="background1" w:themeFillShade="D9"/>
      </w:pPr>
    </w:p>
    <w:p w14:paraId="279C49A7" w14:textId="376F2095" w:rsidR="00625C17" w:rsidRDefault="00B03973" w:rsidP="00625C17">
      <w:pPr>
        <w:pStyle w:val="Heading1"/>
      </w:pPr>
      <w:r>
        <w:t xml:space="preserve">Timing of the officials’ issues paper </w:t>
      </w:r>
    </w:p>
    <w:p w14:paraId="580A121B" w14:textId="294A8DF5" w:rsidR="0027163F" w:rsidRDefault="00635D8C" w:rsidP="00E15B76">
      <w:pPr>
        <w:pStyle w:val="NumberedParagraph"/>
        <w:numPr>
          <w:ilvl w:val="0"/>
          <w:numId w:val="44"/>
        </w:numPr>
      </w:pPr>
      <w:r>
        <w:t xml:space="preserve">Subject to your approval, </w:t>
      </w:r>
      <w:r w:rsidR="0027163F">
        <w:t>the next step is to obtain Cabinet’s approval to release the officials’ issues paper for public consultation.</w:t>
      </w:r>
    </w:p>
    <w:p w14:paraId="7C1687F8" w14:textId="22F1D9A8" w:rsidR="005B72BC" w:rsidRDefault="005C3AF0" w:rsidP="00625C17">
      <w:pPr>
        <w:pStyle w:val="NumberedParagraph"/>
      </w:pPr>
      <w:r>
        <w:t xml:space="preserve">Subject to Cabinet approval, the preferred </w:t>
      </w:r>
      <w:r w:rsidR="00415A59">
        <w:t xml:space="preserve">date </w:t>
      </w:r>
      <w:r w:rsidR="00B62E01">
        <w:t>to release the officials’ issues paper is</w:t>
      </w:r>
      <w:r w:rsidR="00B95280">
        <w:t xml:space="preserve"> </w:t>
      </w:r>
      <w:r w:rsidR="003B5DFD">
        <w:t xml:space="preserve">February </w:t>
      </w:r>
      <w:r w:rsidR="00064AEE">
        <w:t>202</w:t>
      </w:r>
      <w:r w:rsidR="003B5DFD">
        <w:t>2</w:t>
      </w:r>
      <w:r w:rsidR="00C91C7E">
        <w:t xml:space="preserve">, with public submissions </w:t>
      </w:r>
      <w:r w:rsidR="00415A59">
        <w:t xml:space="preserve">closing </w:t>
      </w:r>
      <w:r w:rsidR="003B5DFD">
        <w:t>i</w:t>
      </w:r>
      <w:r w:rsidR="00415A59">
        <w:t xml:space="preserve">n </w:t>
      </w:r>
      <w:r w:rsidR="003B5DFD">
        <w:t xml:space="preserve">April </w:t>
      </w:r>
      <w:r w:rsidR="00C91C7E">
        <w:t>2022. This will allow sufficient time to undertake further policy development</w:t>
      </w:r>
      <w:r w:rsidR="008871D0">
        <w:t>.</w:t>
      </w:r>
      <w:r w:rsidR="00C91C7E">
        <w:t xml:space="preserve"> </w:t>
      </w:r>
    </w:p>
    <w:p w14:paraId="3DCE8800" w14:textId="315C3BCA" w:rsidR="00C91C7E" w:rsidRDefault="00C91C7E" w:rsidP="00625C17">
      <w:pPr>
        <w:pStyle w:val="NumberedParagraph"/>
      </w:pPr>
      <w:r>
        <w:t>Below is a</w:t>
      </w:r>
      <w:r w:rsidR="006A6311">
        <w:t>n indicative</w:t>
      </w:r>
      <w:r>
        <w:t xml:space="preserve"> timetable, based on a release date in</w:t>
      </w:r>
      <w:r w:rsidR="002029D4">
        <w:t xml:space="preserve"> </w:t>
      </w:r>
      <w:r w:rsidR="003B5DFD">
        <w:t>February</w:t>
      </w:r>
      <w:r>
        <w:t xml:space="preserve"> </w:t>
      </w:r>
      <w:r w:rsidR="006F5D28">
        <w:t>2022</w:t>
      </w:r>
      <w:r>
        <w:t>.</w:t>
      </w:r>
    </w:p>
    <w:tbl>
      <w:tblPr>
        <w:tblStyle w:val="TableGrid"/>
        <w:tblW w:w="9190" w:type="dxa"/>
        <w:tblLook w:val="04A0" w:firstRow="1" w:lastRow="0" w:firstColumn="1" w:lastColumn="0" w:noHBand="0" w:noVBand="1"/>
      </w:tblPr>
      <w:tblGrid>
        <w:gridCol w:w="5524"/>
        <w:gridCol w:w="3666"/>
      </w:tblGrid>
      <w:tr w:rsidR="00063623" w:rsidRPr="00425E5D" w14:paraId="04459FA8" w14:textId="77777777" w:rsidTr="006D5E86">
        <w:trPr>
          <w:trHeight w:val="392"/>
        </w:trPr>
        <w:tc>
          <w:tcPr>
            <w:tcW w:w="5524" w:type="dxa"/>
          </w:tcPr>
          <w:p w14:paraId="7C4ABBED" w14:textId="7387D340" w:rsidR="00063623" w:rsidRPr="00425E5D" w:rsidRDefault="00FB472E" w:rsidP="005758FC">
            <w:pPr>
              <w:pStyle w:val="Table-Heading"/>
            </w:pPr>
            <w:r>
              <w:t>Milestone</w:t>
            </w:r>
          </w:p>
        </w:tc>
        <w:tc>
          <w:tcPr>
            <w:tcW w:w="3666" w:type="dxa"/>
          </w:tcPr>
          <w:p w14:paraId="5A186B35" w14:textId="637A1822" w:rsidR="00063623" w:rsidRPr="00425E5D" w:rsidRDefault="00FB472E" w:rsidP="005758FC">
            <w:pPr>
              <w:pStyle w:val="Table-Heading"/>
            </w:pPr>
            <w:r>
              <w:t xml:space="preserve">Date </w:t>
            </w:r>
          </w:p>
        </w:tc>
      </w:tr>
      <w:tr w:rsidR="00063623" w:rsidRPr="00425E5D" w14:paraId="256CAFF8" w14:textId="77777777" w:rsidTr="006D5E86">
        <w:trPr>
          <w:trHeight w:val="392"/>
        </w:trPr>
        <w:tc>
          <w:tcPr>
            <w:tcW w:w="5524" w:type="dxa"/>
          </w:tcPr>
          <w:p w14:paraId="7E0AB08B" w14:textId="348EE33F" w:rsidR="00063623" w:rsidRPr="00425E5D" w:rsidRDefault="00FB472E" w:rsidP="005758FC">
            <w:pPr>
              <w:pStyle w:val="Table-Text"/>
            </w:pPr>
            <w:r>
              <w:t>Cabinet Economic Development Committee</w:t>
            </w:r>
          </w:p>
        </w:tc>
        <w:tc>
          <w:tcPr>
            <w:tcW w:w="3666" w:type="dxa"/>
          </w:tcPr>
          <w:p w14:paraId="7B23AD64" w14:textId="26C0A3DD" w:rsidR="00063623" w:rsidRPr="00425E5D" w:rsidRDefault="00BC31D5" w:rsidP="008B5528">
            <w:pPr>
              <w:pStyle w:val="Table-Text"/>
            </w:pPr>
            <w:r>
              <w:t>9</w:t>
            </w:r>
            <w:r w:rsidR="0040488F">
              <w:t xml:space="preserve"> February </w:t>
            </w:r>
            <w:r w:rsidR="00AA156A">
              <w:t>202</w:t>
            </w:r>
            <w:r w:rsidR="0040488F">
              <w:t>2</w:t>
            </w:r>
          </w:p>
        </w:tc>
      </w:tr>
      <w:tr w:rsidR="00063623" w:rsidRPr="00425E5D" w14:paraId="0A48A625" w14:textId="77777777" w:rsidTr="006D5E86">
        <w:trPr>
          <w:trHeight w:val="392"/>
        </w:trPr>
        <w:tc>
          <w:tcPr>
            <w:tcW w:w="5524" w:type="dxa"/>
          </w:tcPr>
          <w:p w14:paraId="55A78B05" w14:textId="4CE05E55" w:rsidR="00063623" w:rsidRPr="00425E5D" w:rsidRDefault="00FB472E" w:rsidP="005758FC">
            <w:pPr>
              <w:pStyle w:val="Table-Text"/>
            </w:pPr>
            <w:r>
              <w:t xml:space="preserve">Cabinet </w:t>
            </w:r>
          </w:p>
        </w:tc>
        <w:tc>
          <w:tcPr>
            <w:tcW w:w="3666" w:type="dxa"/>
          </w:tcPr>
          <w:p w14:paraId="178D1510" w14:textId="16FEEEA8" w:rsidR="00063623" w:rsidRPr="00425E5D" w:rsidRDefault="00BC31D5" w:rsidP="008B5528">
            <w:pPr>
              <w:pStyle w:val="Table-Text"/>
            </w:pPr>
            <w:r>
              <w:t>14</w:t>
            </w:r>
            <w:r w:rsidR="00341849">
              <w:t xml:space="preserve"> February </w:t>
            </w:r>
            <w:r w:rsidR="00AA156A">
              <w:t>202</w:t>
            </w:r>
            <w:r w:rsidR="0040488F">
              <w:t>2</w:t>
            </w:r>
          </w:p>
        </w:tc>
      </w:tr>
      <w:tr w:rsidR="00063623" w:rsidRPr="00425E5D" w14:paraId="560C0F51" w14:textId="77777777" w:rsidTr="006D5E86">
        <w:trPr>
          <w:trHeight w:val="392"/>
        </w:trPr>
        <w:tc>
          <w:tcPr>
            <w:tcW w:w="5524" w:type="dxa"/>
          </w:tcPr>
          <w:p w14:paraId="201A9D07" w14:textId="423BBBD7" w:rsidR="00063623" w:rsidRPr="00425E5D" w:rsidRDefault="00941112" w:rsidP="005758FC">
            <w:pPr>
              <w:pStyle w:val="Table-Text"/>
            </w:pPr>
            <w:r>
              <w:t>Release of officials’ issues paper</w:t>
            </w:r>
          </w:p>
        </w:tc>
        <w:tc>
          <w:tcPr>
            <w:tcW w:w="3666" w:type="dxa"/>
          </w:tcPr>
          <w:p w14:paraId="3806E93D" w14:textId="2AAE4835" w:rsidR="00063623" w:rsidRPr="00425E5D" w:rsidRDefault="00E1595F" w:rsidP="008B5528">
            <w:pPr>
              <w:pStyle w:val="Table-Text"/>
            </w:pPr>
            <w:r>
              <w:t xml:space="preserve">February </w:t>
            </w:r>
            <w:r w:rsidR="00B05D9A">
              <w:t>202</w:t>
            </w:r>
            <w:r>
              <w:t>2</w:t>
            </w:r>
          </w:p>
        </w:tc>
      </w:tr>
      <w:tr w:rsidR="00063623" w:rsidRPr="00425E5D" w14:paraId="59886A31" w14:textId="77777777" w:rsidTr="006D5E86">
        <w:trPr>
          <w:trHeight w:val="404"/>
        </w:trPr>
        <w:tc>
          <w:tcPr>
            <w:tcW w:w="5524" w:type="dxa"/>
          </w:tcPr>
          <w:p w14:paraId="27B4864C" w14:textId="02C93F71" w:rsidR="00063623" w:rsidRPr="00425E5D" w:rsidRDefault="00941112" w:rsidP="005758FC">
            <w:pPr>
              <w:pStyle w:val="Table-Text"/>
            </w:pPr>
            <w:r>
              <w:t>Submissions close</w:t>
            </w:r>
          </w:p>
        </w:tc>
        <w:tc>
          <w:tcPr>
            <w:tcW w:w="3666" w:type="dxa"/>
          </w:tcPr>
          <w:p w14:paraId="5390CC5A" w14:textId="2576ACB4" w:rsidR="00063623" w:rsidRPr="00425E5D" w:rsidRDefault="000165E7" w:rsidP="008B5528">
            <w:pPr>
              <w:pStyle w:val="Table-Text"/>
            </w:pPr>
            <w:r>
              <w:t xml:space="preserve">April </w:t>
            </w:r>
            <w:r w:rsidR="00255BAB">
              <w:t>2022</w:t>
            </w:r>
          </w:p>
        </w:tc>
      </w:tr>
      <w:tr w:rsidR="00063623" w:rsidRPr="00425E5D" w14:paraId="3DC1D60B" w14:textId="77777777" w:rsidTr="006D5E86">
        <w:trPr>
          <w:trHeight w:val="392"/>
        </w:trPr>
        <w:tc>
          <w:tcPr>
            <w:tcW w:w="5524" w:type="dxa"/>
          </w:tcPr>
          <w:p w14:paraId="615EC014" w14:textId="4DEC9A0D" w:rsidR="00063623" w:rsidRPr="00425E5D" w:rsidRDefault="00FC7302" w:rsidP="005758FC">
            <w:pPr>
              <w:pStyle w:val="Table-Text"/>
            </w:pPr>
            <w:r>
              <w:t>S</w:t>
            </w:r>
            <w:r w:rsidR="00C13747">
              <w:t xml:space="preserve">eek </w:t>
            </w:r>
            <w:r w:rsidR="008560DD">
              <w:t>final policy decisions</w:t>
            </w:r>
            <w:r>
              <w:t xml:space="preserve"> from Ministers and Cabinet</w:t>
            </w:r>
          </w:p>
        </w:tc>
        <w:tc>
          <w:tcPr>
            <w:tcW w:w="3666" w:type="dxa"/>
          </w:tcPr>
          <w:p w14:paraId="0AFB96C9" w14:textId="0BE2B3EF" w:rsidR="00063623" w:rsidRPr="00425E5D" w:rsidRDefault="002029D4" w:rsidP="008B5528">
            <w:pPr>
              <w:pStyle w:val="Table-Text"/>
            </w:pPr>
            <w:r>
              <w:t xml:space="preserve">June / </w:t>
            </w:r>
            <w:r w:rsidR="00255BAB">
              <w:t>Ju</w:t>
            </w:r>
            <w:r w:rsidR="000165E7">
              <w:t>ly</w:t>
            </w:r>
            <w:r w:rsidR="00C13747">
              <w:t xml:space="preserve"> 2022</w:t>
            </w:r>
          </w:p>
        </w:tc>
      </w:tr>
      <w:tr w:rsidR="00941112" w:rsidRPr="00425E5D" w14:paraId="0ACCFB86" w14:textId="77777777" w:rsidTr="006D5E86">
        <w:trPr>
          <w:trHeight w:val="392"/>
        </w:trPr>
        <w:tc>
          <w:tcPr>
            <w:tcW w:w="5524" w:type="dxa"/>
          </w:tcPr>
          <w:p w14:paraId="18661FF7" w14:textId="20885CD5" w:rsidR="00941112" w:rsidRPr="00425E5D" w:rsidRDefault="00E84305" w:rsidP="005758FC">
            <w:pPr>
              <w:pStyle w:val="Table-Text"/>
            </w:pPr>
            <w:r>
              <w:t>Introduction of the n</w:t>
            </w:r>
            <w:r w:rsidR="008560DD">
              <w:t>ext omnibus tax bill</w:t>
            </w:r>
          </w:p>
        </w:tc>
        <w:tc>
          <w:tcPr>
            <w:tcW w:w="3666" w:type="dxa"/>
          </w:tcPr>
          <w:p w14:paraId="20E4F663" w14:textId="1707143A" w:rsidR="00941112" w:rsidRPr="00425E5D" w:rsidRDefault="00BC31D5" w:rsidP="008B5528">
            <w:pPr>
              <w:pStyle w:val="Table-Text"/>
            </w:pPr>
            <w:r>
              <w:t>August</w:t>
            </w:r>
            <w:r w:rsidR="00476EE2">
              <w:t xml:space="preserve"> 2022</w:t>
            </w:r>
          </w:p>
        </w:tc>
      </w:tr>
      <w:tr w:rsidR="00FC7302" w:rsidRPr="00425E5D" w14:paraId="62A7907A" w14:textId="77777777" w:rsidTr="006D5E86">
        <w:trPr>
          <w:trHeight w:val="392"/>
        </w:trPr>
        <w:tc>
          <w:tcPr>
            <w:tcW w:w="5524" w:type="dxa"/>
          </w:tcPr>
          <w:p w14:paraId="7EC05774" w14:textId="27A6339B" w:rsidR="00FC7302" w:rsidRDefault="00FC7302" w:rsidP="005758FC">
            <w:pPr>
              <w:pStyle w:val="Table-Text"/>
            </w:pPr>
            <w:r>
              <w:t>Legislation enacted</w:t>
            </w:r>
          </w:p>
        </w:tc>
        <w:tc>
          <w:tcPr>
            <w:tcW w:w="3666" w:type="dxa"/>
          </w:tcPr>
          <w:p w14:paraId="33E7E777" w14:textId="765D2FCA" w:rsidR="00FC7302" w:rsidRDefault="00FC7302" w:rsidP="008B5528">
            <w:pPr>
              <w:pStyle w:val="Table-Text"/>
            </w:pPr>
            <w:r>
              <w:t>March 2023</w:t>
            </w:r>
          </w:p>
        </w:tc>
      </w:tr>
    </w:tbl>
    <w:p w14:paraId="6FAA61E1" w14:textId="08DC4A65" w:rsidR="004E5AAC" w:rsidRDefault="004E5AAC" w:rsidP="004E5AAC">
      <w:pPr>
        <w:pStyle w:val="Heading1"/>
      </w:pPr>
      <w:r>
        <w:t>Next steps</w:t>
      </w:r>
    </w:p>
    <w:p w14:paraId="0C2CC6BD" w14:textId="05F524B9" w:rsidR="00B16DF3" w:rsidRDefault="00B16DF3" w:rsidP="00B16DF3">
      <w:pPr>
        <w:pStyle w:val="NumberedParagraph"/>
      </w:pPr>
      <w:r>
        <w:t>If you agree to the inclusion of th</w:t>
      </w:r>
      <w:r w:rsidR="00B01B93">
        <w:t>e</w:t>
      </w:r>
      <w:r>
        <w:t xml:space="preserve"> proposals outlined above, the next step is to obtain Cabinet approval to release the officials’ issues paper for consultation. For the paper to be considered by the Cabinet Economic Development Committee </w:t>
      </w:r>
      <w:r w:rsidR="00BA4E0C">
        <w:t xml:space="preserve">on </w:t>
      </w:r>
      <w:r w:rsidR="00860A4B">
        <w:t xml:space="preserve">Wednesday </w:t>
      </w:r>
      <w:r w:rsidR="002029D4">
        <w:t>9</w:t>
      </w:r>
      <w:r w:rsidR="00B543DC">
        <w:t xml:space="preserve"> February 2022</w:t>
      </w:r>
      <w:r>
        <w:t xml:space="preserve">, it </w:t>
      </w:r>
      <w:r w:rsidR="002029D4">
        <w:t>would</w:t>
      </w:r>
      <w:r>
        <w:t xml:space="preserve"> need to be lodged with the Cabinet Office by 10.00am Thursday</w:t>
      </w:r>
      <w:r w:rsidR="00A63F8F">
        <w:t xml:space="preserve"> </w:t>
      </w:r>
      <w:r w:rsidR="008E2092">
        <w:t>3</w:t>
      </w:r>
      <w:r w:rsidR="00A63F8F">
        <w:t xml:space="preserve"> February 2022</w:t>
      </w:r>
      <w:r>
        <w:t xml:space="preserve">. </w:t>
      </w:r>
    </w:p>
    <w:p w14:paraId="36D65252" w14:textId="4BEFFEBB" w:rsidR="00811AC6" w:rsidRDefault="0079118E" w:rsidP="00043B21">
      <w:pPr>
        <w:pStyle w:val="NumberedParagraph"/>
      </w:pPr>
      <w:r>
        <w:t>If Cabinet approval is obtained, you will have the delegated authority to prescribe the date for officials to release the officials’ issues paper for public consultation.</w:t>
      </w:r>
      <w:r w:rsidR="00043B21">
        <w:t xml:space="preserve"> </w:t>
      </w:r>
    </w:p>
    <w:p w14:paraId="1D53D74A" w14:textId="7D138BB5" w:rsidR="00043B21" w:rsidRDefault="00043B21" w:rsidP="00043B21">
      <w:pPr>
        <w:pStyle w:val="NumberedParagraph"/>
      </w:pPr>
      <w:r>
        <w:t xml:space="preserve">We propose to proactively release the cabinet paper, cabinet minute and key advice papers when the officials’ issues paper is released. </w:t>
      </w:r>
    </w:p>
    <w:p w14:paraId="029BF668" w14:textId="361B26BF" w:rsidR="00043B21" w:rsidRDefault="00043B21" w:rsidP="00043B21">
      <w:pPr>
        <w:pStyle w:val="NumberedParagraph"/>
      </w:pPr>
      <w:r>
        <w:t xml:space="preserve">We will report back to you on public submissions received. The feedback will </w:t>
      </w:r>
      <w:r w:rsidR="001A7231">
        <w:t xml:space="preserve">support the development of final policy decisions, with a view of obtaining Cabinet approval in time for their inclusion in the next available tax bill. </w:t>
      </w:r>
    </w:p>
    <w:sectPr w:rsidR="00043B21" w:rsidSect="00E331E1">
      <w:headerReference w:type="even" r:id="rId11"/>
      <w:headerReference w:type="default" r:id="rId12"/>
      <w:footerReference w:type="default" r:id="rId13"/>
      <w:headerReference w:type="first" r:id="rId14"/>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3A4B" w14:textId="77777777" w:rsidR="00261E95" w:rsidRDefault="00261E95" w:rsidP="002F43C5">
      <w:pPr>
        <w:spacing w:line="240" w:lineRule="auto"/>
      </w:pPr>
      <w:r>
        <w:separator/>
      </w:r>
    </w:p>
  </w:endnote>
  <w:endnote w:type="continuationSeparator" w:id="0">
    <w:p w14:paraId="1B0A1C6C" w14:textId="77777777" w:rsidR="00261E95" w:rsidRDefault="00261E95" w:rsidP="002F43C5">
      <w:pPr>
        <w:spacing w:line="240" w:lineRule="auto"/>
      </w:pPr>
      <w:r>
        <w:continuationSeparator/>
      </w:r>
    </w:p>
  </w:endnote>
  <w:endnote w:type="continuationNotice" w:id="1">
    <w:p w14:paraId="534FB37B" w14:textId="77777777" w:rsidR="00261E95" w:rsidRDefault="00261E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119D" w14:textId="77777777" w:rsidR="00E413AE" w:rsidRDefault="00E331E1" w:rsidP="00E331E1">
    <w:pPr>
      <w:pStyle w:val="Footer"/>
      <w:tabs>
        <w:tab w:val="clear" w:pos="4513"/>
      </w:tabs>
      <w:rPr>
        <w:lang w:val="mi-NZ"/>
      </w:rPr>
    </w:pPr>
    <w:r w:rsidRPr="00F10039">
      <w:rPr>
        <w:lang w:val="mi-NZ"/>
      </w:rPr>
      <w:t>IR20</w:t>
    </w:r>
    <w:r w:rsidR="00DD2ABC" w:rsidRPr="00F10039">
      <w:rPr>
        <w:lang w:val="mi-NZ"/>
      </w:rPr>
      <w:t>21</w:t>
    </w:r>
    <w:r w:rsidRPr="00F10039">
      <w:rPr>
        <w:lang w:val="mi-NZ"/>
      </w:rPr>
      <w:t>/</w:t>
    </w:r>
    <w:r w:rsidR="00F10039" w:rsidRPr="00F10039">
      <w:rPr>
        <w:lang w:val="mi-NZ"/>
      </w:rPr>
      <w:t>510</w:t>
    </w:r>
    <w:r w:rsidRPr="00F10039">
      <w:rPr>
        <w:lang w:val="mi-NZ"/>
      </w:rPr>
      <w:t xml:space="preserve">: </w:t>
    </w:r>
    <w:r w:rsidR="00213376">
      <w:rPr>
        <w:lang w:val="mi-NZ"/>
      </w:rPr>
      <w:t xml:space="preserve">Public release of an officials’ issue </w:t>
    </w:r>
    <w:r w:rsidR="00DD2ABC" w:rsidRPr="00F10039">
      <w:rPr>
        <w:lang w:val="mi-NZ"/>
      </w:rPr>
      <w:t xml:space="preserve">paper </w:t>
    </w:r>
    <w:r w:rsidR="00213376">
      <w:rPr>
        <w:lang w:val="mi-NZ"/>
      </w:rPr>
      <w:t xml:space="preserve">on the </w:t>
    </w:r>
    <w:r w:rsidR="00DD2ABC" w:rsidRPr="00F10039">
      <w:rPr>
        <w:lang w:val="mi-NZ"/>
      </w:rPr>
      <w:t>GST apportionment and adjustment rules</w:t>
    </w:r>
  </w:p>
  <w:p w14:paraId="59E02BAD" w14:textId="65EBFA36" w:rsidR="00E331E1" w:rsidRPr="00E331E1" w:rsidRDefault="00E331E1" w:rsidP="00E331E1">
    <w:pPr>
      <w:pStyle w:val="Footer"/>
      <w:tabs>
        <w:tab w:val="clear" w:pos="4513"/>
      </w:tabs>
    </w:pPr>
    <w:r w:rsidRPr="00F10039">
      <w:rPr>
        <w:lang w:val="mi-NZ"/>
      </w:rPr>
      <w:tab/>
    </w:r>
    <w:sdt>
      <w:sdtPr>
        <w:id w:val="98381352"/>
        <w:docPartObj>
          <w:docPartGallery w:val="Page Numbers (Top of Page)"/>
          <w:docPartUnique/>
        </w:docPartObj>
      </w:sdtPr>
      <w:sdtEndPr/>
      <w:sdtContent>
        <w:r w:rsidRPr="00F10039">
          <w:t xml:space="preserve">Page </w:t>
        </w:r>
        <w:r w:rsidRPr="00F10039">
          <w:rPr>
            <w:b/>
            <w:bCs/>
          </w:rPr>
          <w:fldChar w:fldCharType="begin"/>
        </w:r>
        <w:r w:rsidRPr="00F10039">
          <w:rPr>
            <w:b/>
            <w:bCs/>
          </w:rPr>
          <w:instrText xml:space="preserve"> PAGE </w:instrText>
        </w:r>
        <w:r w:rsidRPr="00F10039">
          <w:rPr>
            <w:b/>
            <w:bCs/>
          </w:rPr>
          <w:fldChar w:fldCharType="separate"/>
        </w:r>
        <w:r w:rsidRPr="00F10039">
          <w:rPr>
            <w:b/>
            <w:bCs/>
          </w:rPr>
          <w:t>1</w:t>
        </w:r>
        <w:r w:rsidRPr="00F10039">
          <w:rPr>
            <w:lang w:val="mi-NZ"/>
          </w:rPr>
          <w:fldChar w:fldCharType="end"/>
        </w:r>
        <w:r w:rsidRPr="00F10039">
          <w:t xml:space="preserve"> of </w:t>
        </w:r>
        <w:r w:rsidRPr="00F10039">
          <w:rPr>
            <w:b/>
            <w:bCs/>
          </w:rPr>
          <w:fldChar w:fldCharType="begin"/>
        </w:r>
        <w:r w:rsidRPr="00F10039">
          <w:rPr>
            <w:b/>
            <w:bCs/>
          </w:rPr>
          <w:instrText xml:space="preserve"> </w:instrText>
        </w:r>
        <w:r w:rsidR="00257C33" w:rsidRPr="00F10039">
          <w:rPr>
            <w:b/>
            <w:bCs/>
          </w:rPr>
          <w:instrText>SECTIONPAGES</w:instrText>
        </w:r>
        <w:r w:rsidRPr="00F10039">
          <w:rPr>
            <w:b/>
            <w:bCs/>
          </w:rPr>
          <w:instrText xml:space="preserve"> </w:instrText>
        </w:r>
        <w:r w:rsidR="00F30B04">
          <w:rPr>
            <w:b/>
            <w:bCs/>
          </w:rPr>
          <w:fldChar w:fldCharType="separate"/>
        </w:r>
        <w:r w:rsidR="00911260">
          <w:rPr>
            <w:b/>
            <w:bCs/>
            <w:noProof/>
          </w:rPr>
          <w:t>9</w:t>
        </w:r>
        <w:r w:rsidRPr="00F10039">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3D9C" w14:textId="77777777" w:rsidR="00261E95" w:rsidRDefault="00261E95" w:rsidP="002F43C5">
      <w:pPr>
        <w:spacing w:line="240" w:lineRule="auto"/>
      </w:pPr>
      <w:r>
        <w:separator/>
      </w:r>
    </w:p>
  </w:footnote>
  <w:footnote w:type="continuationSeparator" w:id="0">
    <w:p w14:paraId="010CD837" w14:textId="77777777" w:rsidR="00261E95" w:rsidRDefault="00261E95" w:rsidP="002F43C5">
      <w:pPr>
        <w:spacing w:line="240" w:lineRule="auto"/>
      </w:pPr>
      <w:r>
        <w:continuationSeparator/>
      </w:r>
    </w:p>
  </w:footnote>
  <w:footnote w:type="continuationNotice" w:id="1">
    <w:p w14:paraId="0671C3A2" w14:textId="77777777" w:rsidR="00261E95" w:rsidRDefault="00261E95">
      <w:pPr>
        <w:spacing w:line="240" w:lineRule="auto"/>
      </w:pPr>
    </w:p>
  </w:footnote>
  <w:footnote w:id="2">
    <w:p w14:paraId="250FB2F9" w14:textId="644CA082" w:rsidR="00A427F5" w:rsidRDefault="00A427F5" w:rsidP="00A427F5">
      <w:pPr>
        <w:pStyle w:val="FootnoteText"/>
      </w:pPr>
      <w:r>
        <w:rPr>
          <w:rStyle w:val="FootnoteReference"/>
        </w:rPr>
        <w:footnoteRef/>
      </w:r>
      <w:r>
        <w:t xml:space="preserve"> Or for making GST-exempt supplies.</w:t>
      </w:r>
    </w:p>
  </w:footnote>
  <w:footnote w:id="3">
    <w:p w14:paraId="76E964ED" w14:textId="4C3E5D6F" w:rsidR="00593D7B" w:rsidRDefault="00593D7B">
      <w:pPr>
        <w:pStyle w:val="FootnoteText"/>
      </w:pPr>
      <w:r>
        <w:rPr>
          <w:rStyle w:val="FootnoteReference"/>
        </w:rPr>
        <w:footnoteRef/>
      </w:r>
      <w:r>
        <w:t xml:space="preserve"> Such as </w:t>
      </w:r>
      <w:r w:rsidR="00DD2ABC">
        <w:t xml:space="preserve">private homes, holiday homes and other </w:t>
      </w:r>
      <w:r>
        <w:t>mainly private and appreciating assets</w:t>
      </w:r>
      <w:r w:rsidR="00DD2ABC">
        <w:t>.</w:t>
      </w:r>
    </w:p>
  </w:footnote>
  <w:footnote w:id="4">
    <w:p w14:paraId="18EEB54C" w14:textId="69981FB3" w:rsidR="00220141" w:rsidRDefault="00220141">
      <w:pPr>
        <w:pStyle w:val="FootnoteText"/>
      </w:pPr>
      <w:r>
        <w:rPr>
          <w:rStyle w:val="FootnoteReference"/>
        </w:rPr>
        <w:footnoteRef/>
      </w:r>
      <w:r>
        <w:t xml:space="preserve"> U</w:t>
      </w:r>
      <w:r w:rsidRPr="00220141">
        <w:t>nless the asset then became no longer principally used to make taxable supplies – then the input would be repaid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329F" w14:textId="5D8F1182" w:rsidR="00C54638" w:rsidRDefault="00C54638">
    <w:pPr>
      <w:pStyle w:val="Header"/>
    </w:pPr>
    <w:r>
      <w:rPr>
        <w:noProof/>
      </w:rPr>
      <mc:AlternateContent>
        <mc:Choice Requires="wps">
          <w:drawing>
            <wp:anchor distT="0" distB="0" distL="0" distR="0" simplePos="0" relativeHeight="251658244" behindDoc="0" locked="0" layoutInCell="1" allowOverlap="1" wp14:anchorId="0797E139" wp14:editId="68A7F08A">
              <wp:simplePos x="635" y="635"/>
              <wp:positionH relativeFrom="column">
                <wp:align>center</wp:align>
              </wp:positionH>
              <wp:positionV relativeFrom="paragraph">
                <wp:posOffset>635</wp:posOffset>
              </wp:positionV>
              <wp:extent cx="443865" cy="443865"/>
              <wp:effectExtent l="0" t="0" r="1270" b="12700"/>
              <wp:wrapSquare wrapText="bothSides"/>
              <wp:docPr id="3" name="Text Box 3"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2F2D04" w14:textId="77777777" w:rsidR="00C54638" w:rsidRPr="00C54638" w:rsidRDefault="00C54638">
                          <w:pPr>
                            <w:rPr>
                              <w:rFonts w:eastAsia="Verdana" w:cs="Verdana"/>
                              <w:color w:val="000000"/>
                            </w:rPr>
                          </w:pPr>
                          <w:r w:rsidRPr="00C54638">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97E139" id="_x0000_t202" coordsize="21600,21600" o:spt="202" path="m,l,21600r21600,l21600,xe">
              <v:stroke joinstyle="miter"/>
              <v:path gradientshapeok="t" o:connecttype="rect"/>
            </v:shapetype>
            <v:shape id="Text Box 3" o:spid="_x0000_s1026" type="#_x0000_t202" alt="[IN CONFIDENCE] " style="position:absolute;left:0;text-align:left;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32F2D04" w14:textId="77777777" w:rsidR="00C54638" w:rsidRPr="00C54638" w:rsidRDefault="00C54638">
                    <w:pPr>
                      <w:rPr>
                        <w:rFonts w:eastAsia="Verdana" w:cs="Verdana"/>
                        <w:color w:val="000000"/>
                      </w:rPr>
                    </w:pPr>
                    <w:r w:rsidRPr="00C54638">
                      <w:rPr>
                        <w:rFonts w:eastAsia="Verdana" w:cs="Verdana"/>
                        <w:color w:val="000000"/>
                      </w:rPr>
                      <w:t xml:space="preserve">[IN CONFIDENCE]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93D1" w14:textId="4B4867CE" w:rsidR="00EC69A4" w:rsidRDefault="005D5632">
    <w:pPr>
      <w:pStyle w:val="Header"/>
    </w:pPr>
    <w:r>
      <w:rPr>
        <w:noProof/>
      </w:rPr>
      <mc:AlternateContent>
        <mc:Choice Requires="wps">
          <w:drawing>
            <wp:anchor distT="0" distB="0" distL="114300" distR="114300" simplePos="0" relativeHeight="251658245" behindDoc="0" locked="0" layoutInCell="0" allowOverlap="1" wp14:anchorId="33C31703" wp14:editId="7D27E7B2">
              <wp:simplePos x="0" y="0"/>
              <wp:positionH relativeFrom="page">
                <wp:posOffset>0</wp:posOffset>
              </wp:positionH>
              <wp:positionV relativeFrom="page">
                <wp:posOffset>190500</wp:posOffset>
              </wp:positionV>
              <wp:extent cx="7560310" cy="271780"/>
              <wp:effectExtent l="0" t="0" r="0" b="13970"/>
              <wp:wrapNone/>
              <wp:docPr id="4" name="MSIPCMad434f9cb57451940364d467" descr="{&quot;HashCode&quot;:-17513135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F0DC94" w14:textId="583004D0" w:rsidR="005D5632" w:rsidRPr="00165E79" w:rsidRDefault="00165E79" w:rsidP="00165E79">
                          <w:pPr>
                            <w:jc w:val="center"/>
                            <w:rPr>
                              <w:color w:val="000000"/>
                            </w:rPr>
                          </w:pPr>
                          <w:r w:rsidRPr="00165E79">
                            <w:rPr>
                              <w:color w:val="00000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C31703" id="_x0000_t202" coordsize="21600,21600" o:spt="202" path="m,l,21600r21600,l21600,xe">
              <v:stroke joinstyle="miter"/>
              <v:path gradientshapeok="t" o:connecttype="rect"/>
            </v:shapetype>
            <v:shape id="MSIPCMad434f9cb57451940364d467" o:spid="_x0000_s1027" type="#_x0000_t202" alt="{&quot;HashCode&quot;:-1751313585,&quot;Height&quot;:841.0,&quot;Width&quot;:595.0,&quot;Placement&quot;:&quot;Header&quot;,&quot;Index&quot;:&quot;Primary&quot;,&quot;Section&quot;:1,&quot;Top&quot;:0.0,&quot;Left&quot;:0.0}" style="position:absolute;left:0;text-align:left;margin-left:0;margin-top:15pt;width:595.3pt;height:21.4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" o:allowincell="f" filled="f" stroked="f" strokeweight=".5pt">
              <v:textbox inset=",0,,0">
                <w:txbxContent>
                  <w:p w14:paraId="09F0DC94" w14:textId="583004D0" w:rsidR="005D5632" w:rsidRPr="00165E79" w:rsidRDefault="00165E79" w:rsidP="00165E79">
                    <w:pPr>
                      <w:jc w:val="center"/>
                      <w:rPr>
                        <w:color w:val="000000"/>
                      </w:rPr>
                    </w:pPr>
                    <w:r w:rsidRPr="00165E79">
                      <w:rPr>
                        <w:color w:val="000000"/>
                      </w:rPr>
                      <w:t xml:space="preserve">[IN CONFIDENCE]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165C" w14:textId="549F886F" w:rsidR="00C54638" w:rsidRDefault="00C54638">
    <w:pPr>
      <w:pStyle w:val="Header"/>
    </w:pPr>
    <w:r>
      <w:rPr>
        <w:noProof/>
      </w:rPr>
      <mc:AlternateContent>
        <mc:Choice Requires="wps">
          <w:drawing>
            <wp:anchor distT="0" distB="0" distL="0" distR="0" simplePos="0" relativeHeight="251658240" behindDoc="0" locked="0" layoutInCell="1" allowOverlap="1" wp14:anchorId="1D8EE6CE" wp14:editId="0E3929E8">
              <wp:simplePos x="635" y="635"/>
              <wp:positionH relativeFrom="column">
                <wp:align>center</wp:align>
              </wp:positionH>
              <wp:positionV relativeFrom="paragraph">
                <wp:posOffset>635</wp:posOffset>
              </wp:positionV>
              <wp:extent cx="443865" cy="443865"/>
              <wp:effectExtent l="0" t="0" r="1270" b="12700"/>
              <wp:wrapSquare wrapText="bothSides"/>
              <wp:docPr id="2" name="Text Box 2"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15E602" w14:textId="77777777" w:rsidR="00C54638" w:rsidRPr="00C54638" w:rsidRDefault="00C54638">
                          <w:pPr>
                            <w:rPr>
                              <w:rFonts w:eastAsia="Verdana" w:cs="Verdana"/>
                              <w:color w:val="000000"/>
                            </w:rPr>
                          </w:pPr>
                          <w:r w:rsidRPr="00C54638">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8EE6CE" id="_x0000_t202" coordsize="21600,21600" o:spt="202" path="m,l,21600r21600,l21600,xe">
              <v:stroke joinstyle="miter"/>
              <v:path gradientshapeok="t" o:connecttype="rect"/>
            </v:shapetype>
            <v:shape id="Text Box 2" o:spid="_x0000_s1028" type="#_x0000_t202" alt="[IN CONFIDENCE] "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515E602" w14:textId="77777777" w:rsidR="00C54638" w:rsidRPr="00C54638" w:rsidRDefault="00C54638">
                    <w:pPr>
                      <w:rPr>
                        <w:rFonts w:eastAsia="Verdana" w:cs="Verdana"/>
                        <w:color w:val="000000"/>
                      </w:rPr>
                    </w:pPr>
                    <w:r w:rsidRPr="00C54638">
                      <w:rPr>
                        <w:rFonts w:eastAsia="Verdana" w:cs="Verdana"/>
                        <w:color w:val="000000"/>
                      </w:rPr>
                      <w:t xml:space="preserve">[IN CONFIDENCE] </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2C12" w14:textId="4C25B251" w:rsidR="00C54638" w:rsidRDefault="00C54638">
    <w:pPr>
      <w:pStyle w:val="Header"/>
    </w:pPr>
    <w:r>
      <w:rPr>
        <w:noProof/>
      </w:rPr>
      <mc:AlternateContent>
        <mc:Choice Requires="wps">
          <w:drawing>
            <wp:anchor distT="0" distB="0" distL="0" distR="0" simplePos="0" relativeHeight="251658242" behindDoc="0" locked="0" layoutInCell="1" allowOverlap="1" wp14:anchorId="46A1771E" wp14:editId="3B638F3E">
              <wp:simplePos x="635" y="635"/>
              <wp:positionH relativeFrom="column">
                <wp:align>center</wp:align>
              </wp:positionH>
              <wp:positionV relativeFrom="paragraph">
                <wp:posOffset>635</wp:posOffset>
              </wp:positionV>
              <wp:extent cx="443865" cy="443865"/>
              <wp:effectExtent l="0" t="0" r="1270" b="12700"/>
              <wp:wrapSquare wrapText="bothSides"/>
              <wp:docPr id="6" name="Text Box 6"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B7DD03" w14:textId="77777777" w:rsidR="00C54638" w:rsidRPr="00C54638" w:rsidRDefault="00C54638">
                          <w:pPr>
                            <w:rPr>
                              <w:rFonts w:eastAsia="Verdana" w:cs="Verdana"/>
                              <w:color w:val="000000"/>
                            </w:rPr>
                          </w:pPr>
                          <w:r w:rsidRPr="00C54638">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A1771E" id="_x0000_t202" coordsize="21600,21600" o:spt="202" path="m,l,21600r21600,l21600,xe">
              <v:stroke joinstyle="miter"/>
              <v:path gradientshapeok="t" o:connecttype="rect"/>
            </v:shapetype>
            <v:shape id="Text Box 6" o:spid="_x0000_s1029" type="#_x0000_t202" alt="[IN CONFIDENCE] "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3CB7DD03" w14:textId="77777777" w:rsidR="00C54638" w:rsidRPr="00C54638" w:rsidRDefault="00C54638">
                    <w:pPr>
                      <w:rPr>
                        <w:rFonts w:eastAsia="Verdana" w:cs="Verdana"/>
                        <w:color w:val="000000"/>
                      </w:rPr>
                    </w:pPr>
                    <w:r w:rsidRPr="00C54638">
                      <w:rPr>
                        <w:rFonts w:eastAsia="Verdana" w:cs="Verdana"/>
                        <w:color w:val="000000"/>
                      </w:rPr>
                      <w:t xml:space="preserve">[IN CONFIDENCE] </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BD93" w14:textId="3FBD9C28" w:rsidR="007C0037" w:rsidRPr="00C54638" w:rsidRDefault="005D5632" w:rsidP="00C54638">
    <w:pPr>
      <w:pStyle w:val="Header"/>
      <w:jc w:val="left"/>
      <w:rPr>
        <w:b w:val="0"/>
        <w:bCs/>
      </w:rPr>
    </w:pPr>
    <w:r>
      <w:rPr>
        <w:b w:val="0"/>
        <w:bCs/>
        <w:noProof/>
      </w:rPr>
      <mc:AlternateContent>
        <mc:Choice Requires="wps">
          <w:drawing>
            <wp:anchor distT="0" distB="0" distL="114300" distR="114300" simplePos="0" relativeHeight="251658243" behindDoc="0" locked="0" layoutInCell="0" allowOverlap="1" wp14:anchorId="681C8CC3" wp14:editId="4E99173A">
              <wp:simplePos x="0" y="0"/>
              <wp:positionH relativeFrom="page">
                <wp:posOffset>0</wp:posOffset>
              </wp:positionH>
              <wp:positionV relativeFrom="page">
                <wp:posOffset>190500</wp:posOffset>
              </wp:positionV>
              <wp:extent cx="7560310" cy="271780"/>
              <wp:effectExtent l="0" t="0" r="0" b="13970"/>
              <wp:wrapNone/>
              <wp:docPr id="7" name="MSIPCM94da4e80b45262d22cba11c9" descr="{&quot;HashCode&quot;:-1751313585,&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9158A6" w14:textId="5BF54C46" w:rsidR="005D5632" w:rsidRPr="00165E79" w:rsidRDefault="00165E79" w:rsidP="00165E79">
                          <w:pPr>
                            <w:jc w:val="center"/>
                            <w:rPr>
                              <w:color w:val="000000"/>
                            </w:rPr>
                          </w:pPr>
                          <w:r w:rsidRPr="00165E79">
                            <w:rPr>
                              <w:color w:val="00000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81C8CC3" id="_x0000_t202" coordsize="21600,21600" o:spt="202" path="m,l,21600r21600,l21600,xe">
              <v:stroke joinstyle="miter"/>
              <v:path gradientshapeok="t" o:connecttype="rect"/>
            </v:shapetype>
            <v:shape id="MSIPCM94da4e80b45262d22cba11c9" o:spid="_x0000_s1030" type="#_x0000_t202" alt="{&quot;HashCode&quot;:-1751313585,&quot;Height&quot;:841.0,&quot;Width&quot;:595.0,&quot;Placement&quot;:&quot;Header&quot;,&quot;Index&quot;:&quot;Primary&quot;,&quot;Section&quot;:2,&quot;Top&quot;:0.0,&quot;Left&quot;:0.0}" style="position:absolute;margin-left:0;margin-top:15pt;width:595.3pt;height:21.4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" o:allowincell="f" filled="f" stroked="f" strokeweight=".5pt">
              <v:textbox inset=",0,,0">
                <w:txbxContent>
                  <w:p w14:paraId="389158A6" w14:textId="5BF54C46" w:rsidR="005D5632" w:rsidRPr="00165E79" w:rsidRDefault="00165E79" w:rsidP="00165E79">
                    <w:pPr>
                      <w:jc w:val="center"/>
                      <w:rPr>
                        <w:color w:val="000000"/>
                      </w:rPr>
                    </w:pPr>
                    <w:r w:rsidRPr="00165E79">
                      <w:rPr>
                        <w:color w:val="000000"/>
                      </w:rPr>
                      <w:t xml:space="preserve">[IN CONFIDENCE]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1EC9" w14:textId="5D36A76A" w:rsidR="00C54638" w:rsidRDefault="00C54638">
    <w:pPr>
      <w:pStyle w:val="Header"/>
    </w:pPr>
    <w:r>
      <w:rPr>
        <w:noProof/>
      </w:rPr>
      <mc:AlternateContent>
        <mc:Choice Requires="wps">
          <w:drawing>
            <wp:anchor distT="0" distB="0" distL="0" distR="0" simplePos="0" relativeHeight="251658241" behindDoc="0" locked="0" layoutInCell="1" allowOverlap="1" wp14:anchorId="56CF427B" wp14:editId="68364CA3">
              <wp:simplePos x="635" y="635"/>
              <wp:positionH relativeFrom="column">
                <wp:align>center</wp:align>
              </wp:positionH>
              <wp:positionV relativeFrom="paragraph">
                <wp:posOffset>635</wp:posOffset>
              </wp:positionV>
              <wp:extent cx="443865" cy="443865"/>
              <wp:effectExtent l="0" t="0" r="1270" b="12700"/>
              <wp:wrapSquare wrapText="bothSides"/>
              <wp:docPr id="5" name="Text Box 5"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040D21" w14:textId="77777777" w:rsidR="00C54638" w:rsidRPr="00C54638" w:rsidRDefault="00C54638">
                          <w:pPr>
                            <w:rPr>
                              <w:rFonts w:eastAsia="Verdana" w:cs="Verdana"/>
                              <w:color w:val="000000"/>
                            </w:rPr>
                          </w:pPr>
                          <w:r w:rsidRPr="00C54638">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CF427B" id="_x0000_t202" coordsize="21600,21600" o:spt="202" path="m,l,21600r21600,l21600,xe">
              <v:stroke joinstyle="miter"/>
              <v:path gradientshapeok="t" o:connecttype="rect"/>
            </v:shapetype>
            <v:shape id="Text Box 5" o:spid="_x0000_s1031" type="#_x0000_t202" alt="[IN CONFIDENCE] "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56040D21" w14:textId="77777777" w:rsidR="00C54638" w:rsidRPr="00C54638" w:rsidRDefault="00C54638">
                    <w:pPr>
                      <w:rPr>
                        <w:rFonts w:eastAsia="Verdana" w:cs="Verdana"/>
                        <w:color w:val="000000"/>
                      </w:rPr>
                    </w:pPr>
                    <w:r w:rsidRPr="00C54638">
                      <w:rPr>
                        <w:rFonts w:eastAsia="Verdana" w:cs="Verdana"/>
                        <w:color w:val="000000"/>
                      </w:rPr>
                      <w:t xml:space="preserve">[IN CONFIDENCE] </w:t>
                    </w:r>
                  </w:p>
                </w:txbxContent>
              </v:textbox>
              <w10:wrap type="square"/>
            </v:shape>
          </w:pict>
        </mc:Fallback>
      </mc:AlternateContent>
    </w:r>
  </w:p>
</w:hdr>
</file>

<file path=word/intelligence.xml><?xml version="1.0" encoding="utf-8"?>
<int:Intelligence xmlns:int="http://schemas.microsoft.com/office/intelligence/2019/intelligence">
  <int:IntelligenceSettings/>
  <int:Manifest>
    <int:ParagraphRange paragraphId="192073551" textId="123935091" start="98" length="21" invalidationStart="98" invalidationLength="21" id="Y6QgkE0M"/>
  </int:Manifest>
  <int:Observations>
    <int:Content id="Y6QgkE0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2" w15:restartNumberingAfterBreak="0">
    <w:nsid w:val="63993153"/>
    <w:multiLevelType w:val="multilevel"/>
    <w:tmpl w:val="AF12B552"/>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850"/>
        </w:tabs>
        <w:ind w:left="850" w:hanging="709"/>
      </w:pPr>
      <w:rPr>
        <w:rFonts w:hint="default"/>
        <w:b w:val="0"/>
        <w:bCs w:val="0"/>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4" w15:restartNumberingAfterBreak="0">
    <w:nsid w:val="7F0A0034"/>
    <w:multiLevelType w:val="hybridMultilevel"/>
    <w:tmpl w:val="E860671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16cid:durableId="965815092">
    <w:abstractNumId w:val="9"/>
  </w:num>
  <w:num w:numId="2" w16cid:durableId="1783497577">
    <w:abstractNumId w:val="7"/>
  </w:num>
  <w:num w:numId="3" w16cid:durableId="533154144">
    <w:abstractNumId w:val="6"/>
  </w:num>
  <w:num w:numId="4" w16cid:durableId="488132077">
    <w:abstractNumId w:val="5"/>
  </w:num>
  <w:num w:numId="5" w16cid:durableId="500782868">
    <w:abstractNumId w:val="4"/>
  </w:num>
  <w:num w:numId="6" w16cid:durableId="1300724601">
    <w:abstractNumId w:val="8"/>
  </w:num>
  <w:num w:numId="7" w16cid:durableId="84425921">
    <w:abstractNumId w:val="3"/>
  </w:num>
  <w:num w:numId="8" w16cid:durableId="692615248">
    <w:abstractNumId w:val="2"/>
  </w:num>
  <w:num w:numId="9" w16cid:durableId="92483157">
    <w:abstractNumId w:val="1"/>
  </w:num>
  <w:num w:numId="10" w16cid:durableId="574970654">
    <w:abstractNumId w:val="0"/>
  </w:num>
  <w:num w:numId="11" w16cid:durableId="2011251135">
    <w:abstractNumId w:val="12"/>
  </w:num>
  <w:num w:numId="12" w16cid:durableId="1021474158">
    <w:abstractNumId w:val="10"/>
  </w:num>
  <w:num w:numId="13" w16cid:durableId="921335584">
    <w:abstractNumId w:val="11"/>
  </w:num>
  <w:num w:numId="14" w16cid:durableId="1498614100">
    <w:abstractNumId w:val="13"/>
  </w:num>
  <w:num w:numId="15" w16cid:durableId="1798554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7750573">
    <w:abstractNumId w:val="12"/>
  </w:num>
  <w:num w:numId="17" w16cid:durableId="1385064943">
    <w:abstractNumId w:val="12"/>
  </w:num>
  <w:num w:numId="18" w16cid:durableId="1161386332">
    <w:abstractNumId w:val="14"/>
  </w:num>
  <w:num w:numId="19" w16cid:durableId="1090197004">
    <w:abstractNumId w:val="12"/>
  </w:num>
  <w:num w:numId="20" w16cid:durableId="1399940598">
    <w:abstractNumId w:val="12"/>
  </w:num>
  <w:num w:numId="21" w16cid:durableId="1018196310">
    <w:abstractNumId w:val="12"/>
  </w:num>
  <w:num w:numId="22" w16cid:durableId="613559405">
    <w:abstractNumId w:val="12"/>
  </w:num>
  <w:num w:numId="23" w16cid:durableId="1760712940">
    <w:abstractNumId w:val="12"/>
  </w:num>
  <w:num w:numId="24" w16cid:durableId="1549149329">
    <w:abstractNumId w:val="12"/>
  </w:num>
  <w:num w:numId="25" w16cid:durableId="1942031572">
    <w:abstractNumId w:val="12"/>
  </w:num>
  <w:num w:numId="26" w16cid:durableId="1049453616">
    <w:abstractNumId w:val="12"/>
  </w:num>
  <w:num w:numId="27" w16cid:durableId="798038868">
    <w:abstractNumId w:val="12"/>
  </w:num>
  <w:num w:numId="28" w16cid:durableId="1951280303">
    <w:abstractNumId w:val="12"/>
  </w:num>
  <w:num w:numId="29" w16cid:durableId="132138582">
    <w:abstractNumId w:val="12"/>
  </w:num>
  <w:num w:numId="30" w16cid:durableId="305284093">
    <w:abstractNumId w:val="12"/>
  </w:num>
  <w:num w:numId="31" w16cid:durableId="1686207461">
    <w:abstractNumId w:val="12"/>
  </w:num>
  <w:num w:numId="32" w16cid:durableId="1637644977">
    <w:abstractNumId w:val="12"/>
  </w:num>
  <w:num w:numId="33" w16cid:durableId="1828786034">
    <w:abstractNumId w:val="12"/>
  </w:num>
  <w:num w:numId="34" w16cid:durableId="399451626">
    <w:abstractNumId w:val="12"/>
  </w:num>
  <w:num w:numId="35" w16cid:durableId="224606242">
    <w:abstractNumId w:val="12"/>
  </w:num>
  <w:num w:numId="36" w16cid:durableId="948583281">
    <w:abstractNumId w:val="12"/>
  </w:num>
  <w:num w:numId="37" w16cid:durableId="839126484">
    <w:abstractNumId w:val="12"/>
  </w:num>
  <w:num w:numId="38" w16cid:durableId="249394538">
    <w:abstractNumId w:val="12"/>
  </w:num>
  <w:num w:numId="39" w16cid:durableId="838082022">
    <w:abstractNumId w:val="12"/>
  </w:num>
  <w:num w:numId="40" w16cid:durableId="1899707325">
    <w:abstractNumId w:val="12"/>
  </w:num>
  <w:num w:numId="41" w16cid:durableId="694620172">
    <w:abstractNumId w:val="12"/>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390965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7015375">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18946486">
    <w:abstractNumId w:val="1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32"/>
    <w:rsid w:val="0000102E"/>
    <w:rsid w:val="00004DBA"/>
    <w:rsid w:val="00006DD5"/>
    <w:rsid w:val="00007450"/>
    <w:rsid w:val="00010DB1"/>
    <w:rsid w:val="000128BB"/>
    <w:rsid w:val="000141E4"/>
    <w:rsid w:val="00015FA1"/>
    <w:rsid w:val="000165E7"/>
    <w:rsid w:val="000169C8"/>
    <w:rsid w:val="00016A8A"/>
    <w:rsid w:val="000175BB"/>
    <w:rsid w:val="000206A4"/>
    <w:rsid w:val="00023780"/>
    <w:rsid w:val="00023AD9"/>
    <w:rsid w:val="00024793"/>
    <w:rsid w:val="0002556B"/>
    <w:rsid w:val="00025650"/>
    <w:rsid w:val="00025F88"/>
    <w:rsid w:val="000272D3"/>
    <w:rsid w:val="00031097"/>
    <w:rsid w:val="00032083"/>
    <w:rsid w:val="000321AB"/>
    <w:rsid w:val="00032DCF"/>
    <w:rsid w:val="00033F30"/>
    <w:rsid w:val="00035037"/>
    <w:rsid w:val="00035E16"/>
    <w:rsid w:val="00035E7F"/>
    <w:rsid w:val="0003647B"/>
    <w:rsid w:val="00036DBF"/>
    <w:rsid w:val="00041590"/>
    <w:rsid w:val="00041EAB"/>
    <w:rsid w:val="00042EC1"/>
    <w:rsid w:val="00043B21"/>
    <w:rsid w:val="00044258"/>
    <w:rsid w:val="00044994"/>
    <w:rsid w:val="00044A3E"/>
    <w:rsid w:val="000454FE"/>
    <w:rsid w:val="0005144C"/>
    <w:rsid w:val="00053959"/>
    <w:rsid w:val="00054A8F"/>
    <w:rsid w:val="0005518B"/>
    <w:rsid w:val="00056DDB"/>
    <w:rsid w:val="00057886"/>
    <w:rsid w:val="0006041F"/>
    <w:rsid w:val="000612FB"/>
    <w:rsid w:val="00063292"/>
    <w:rsid w:val="00063623"/>
    <w:rsid w:val="000639CC"/>
    <w:rsid w:val="00064AEE"/>
    <w:rsid w:val="00065013"/>
    <w:rsid w:val="000650B3"/>
    <w:rsid w:val="0006659C"/>
    <w:rsid w:val="00070BEE"/>
    <w:rsid w:val="00071012"/>
    <w:rsid w:val="00071647"/>
    <w:rsid w:val="00071FFF"/>
    <w:rsid w:val="00072220"/>
    <w:rsid w:val="00073043"/>
    <w:rsid w:val="000736D1"/>
    <w:rsid w:val="00074980"/>
    <w:rsid w:val="00074A07"/>
    <w:rsid w:val="0007603F"/>
    <w:rsid w:val="00077905"/>
    <w:rsid w:val="00077BF5"/>
    <w:rsid w:val="00080C5E"/>
    <w:rsid w:val="000817D8"/>
    <w:rsid w:val="00082135"/>
    <w:rsid w:val="000840BC"/>
    <w:rsid w:val="000855F6"/>
    <w:rsid w:val="000866F8"/>
    <w:rsid w:val="00086C9B"/>
    <w:rsid w:val="00087D50"/>
    <w:rsid w:val="00090557"/>
    <w:rsid w:val="00090826"/>
    <w:rsid w:val="00095FF4"/>
    <w:rsid w:val="00096A4B"/>
    <w:rsid w:val="00097394"/>
    <w:rsid w:val="000A144D"/>
    <w:rsid w:val="000A1614"/>
    <w:rsid w:val="000A246B"/>
    <w:rsid w:val="000A2564"/>
    <w:rsid w:val="000A3ED3"/>
    <w:rsid w:val="000A5802"/>
    <w:rsid w:val="000A5AB6"/>
    <w:rsid w:val="000A5C80"/>
    <w:rsid w:val="000B0BD7"/>
    <w:rsid w:val="000B2ED1"/>
    <w:rsid w:val="000B4932"/>
    <w:rsid w:val="000B49EF"/>
    <w:rsid w:val="000B4C7D"/>
    <w:rsid w:val="000B51EC"/>
    <w:rsid w:val="000B5965"/>
    <w:rsid w:val="000B63BA"/>
    <w:rsid w:val="000C1260"/>
    <w:rsid w:val="000C2929"/>
    <w:rsid w:val="000C541E"/>
    <w:rsid w:val="000C5AD8"/>
    <w:rsid w:val="000C5D13"/>
    <w:rsid w:val="000D08D8"/>
    <w:rsid w:val="000D122A"/>
    <w:rsid w:val="000D1CB4"/>
    <w:rsid w:val="000D3F92"/>
    <w:rsid w:val="000D4A3F"/>
    <w:rsid w:val="000D7B67"/>
    <w:rsid w:val="000E1294"/>
    <w:rsid w:val="000E1ABC"/>
    <w:rsid w:val="000E1EE4"/>
    <w:rsid w:val="000E245E"/>
    <w:rsid w:val="000E4D74"/>
    <w:rsid w:val="000E55DF"/>
    <w:rsid w:val="000E590B"/>
    <w:rsid w:val="000E5BAD"/>
    <w:rsid w:val="000E650D"/>
    <w:rsid w:val="000E6FE1"/>
    <w:rsid w:val="000F0CAA"/>
    <w:rsid w:val="000F12FD"/>
    <w:rsid w:val="000F14B4"/>
    <w:rsid w:val="000F1BA7"/>
    <w:rsid w:val="000F3C9E"/>
    <w:rsid w:val="000F56DF"/>
    <w:rsid w:val="000F5720"/>
    <w:rsid w:val="00100855"/>
    <w:rsid w:val="001026AA"/>
    <w:rsid w:val="001026EA"/>
    <w:rsid w:val="001028FE"/>
    <w:rsid w:val="00102D4E"/>
    <w:rsid w:val="00103559"/>
    <w:rsid w:val="001040CD"/>
    <w:rsid w:val="001049AB"/>
    <w:rsid w:val="001057B5"/>
    <w:rsid w:val="00105FF2"/>
    <w:rsid w:val="00110F66"/>
    <w:rsid w:val="001113CC"/>
    <w:rsid w:val="00111D99"/>
    <w:rsid w:val="00112BAB"/>
    <w:rsid w:val="00112C2E"/>
    <w:rsid w:val="00114918"/>
    <w:rsid w:val="001164B8"/>
    <w:rsid w:val="0011746B"/>
    <w:rsid w:val="00120366"/>
    <w:rsid w:val="00120CBE"/>
    <w:rsid w:val="00121E72"/>
    <w:rsid w:val="00124078"/>
    <w:rsid w:val="001240D8"/>
    <w:rsid w:val="00124253"/>
    <w:rsid w:val="0012533F"/>
    <w:rsid w:val="0012654E"/>
    <w:rsid w:val="0012658E"/>
    <w:rsid w:val="001275A0"/>
    <w:rsid w:val="00130046"/>
    <w:rsid w:val="00130B45"/>
    <w:rsid w:val="00132FC2"/>
    <w:rsid w:val="001350B8"/>
    <w:rsid w:val="00135A52"/>
    <w:rsid w:val="00141F2E"/>
    <w:rsid w:val="00142763"/>
    <w:rsid w:val="00142C53"/>
    <w:rsid w:val="0014429C"/>
    <w:rsid w:val="00145BB6"/>
    <w:rsid w:val="001474CE"/>
    <w:rsid w:val="00150AF7"/>
    <w:rsid w:val="00150B44"/>
    <w:rsid w:val="00151FBA"/>
    <w:rsid w:val="001526A3"/>
    <w:rsid w:val="0015493F"/>
    <w:rsid w:val="00160BE6"/>
    <w:rsid w:val="00163F93"/>
    <w:rsid w:val="00164F87"/>
    <w:rsid w:val="00165154"/>
    <w:rsid w:val="001653B0"/>
    <w:rsid w:val="001657DE"/>
    <w:rsid w:val="00165E25"/>
    <w:rsid w:val="00165E79"/>
    <w:rsid w:val="00166233"/>
    <w:rsid w:val="00167252"/>
    <w:rsid w:val="00167C0D"/>
    <w:rsid w:val="001715C2"/>
    <w:rsid w:val="00171BF4"/>
    <w:rsid w:val="0017261E"/>
    <w:rsid w:val="00172D80"/>
    <w:rsid w:val="00176E7B"/>
    <w:rsid w:val="0017719F"/>
    <w:rsid w:val="00177A78"/>
    <w:rsid w:val="00177FFD"/>
    <w:rsid w:val="00181E40"/>
    <w:rsid w:val="001827E0"/>
    <w:rsid w:val="00182864"/>
    <w:rsid w:val="001849AB"/>
    <w:rsid w:val="001853F8"/>
    <w:rsid w:val="00186302"/>
    <w:rsid w:val="00186B8C"/>
    <w:rsid w:val="00187E73"/>
    <w:rsid w:val="00190662"/>
    <w:rsid w:val="00192135"/>
    <w:rsid w:val="0019214D"/>
    <w:rsid w:val="00192733"/>
    <w:rsid w:val="00193685"/>
    <w:rsid w:val="00194753"/>
    <w:rsid w:val="00195A4F"/>
    <w:rsid w:val="001A0628"/>
    <w:rsid w:val="001A09AE"/>
    <w:rsid w:val="001A1604"/>
    <w:rsid w:val="001A49C1"/>
    <w:rsid w:val="001A4F97"/>
    <w:rsid w:val="001A59DC"/>
    <w:rsid w:val="001A69B4"/>
    <w:rsid w:val="001A7231"/>
    <w:rsid w:val="001A7D3B"/>
    <w:rsid w:val="001B0D63"/>
    <w:rsid w:val="001B176B"/>
    <w:rsid w:val="001B265C"/>
    <w:rsid w:val="001B30D7"/>
    <w:rsid w:val="001B575B"/>
    <w:rsid w:val="001B59A1"/>
    <w:rsid w:val="001B5ABC"/>
    <w:rsid w:val="001B5C45"/>
    <w:rsid w:val="001C0711"/>
    <w:rsid w:val="001C1ADD"/>
    <w:rsid w:val="001C2845"/>
    <w:rsid w:val="001C2F93"/>
    <w:rsid w:val="001C5828"/>
    <w:rsid w:val="001C5EB8"/>
    <w:rsid w:val="001C5F66"/>
    <w:rsid w:val="001C71E1"/>
    <w:rsid w:val="001C7D0F"/>
    <w:rsid w:val="001D0013"/>
    <w:rsid w:val="001D3488"/>
    <w:rsid w:val="001D5164"/>
    <w:rsid w:val="001D72F4"/>
    <w:rsid w:val="001D7ADB"/>
    <w:rsid w:val="001E1AD7"/>
    <w:rsid w:val="001E203F"/>
    <w:rsid w:val="001E4E8A"/>
    <w:rsid w:val="001E5204"/>
    <w:rsid w:val="001E67D2"/>
    <w:rsid w:val="001E79FF"/>
    <w:rsid w:val="001F3AB4"/>
    <w:rsid w:val="001F4F0A"/>
    <w:rsid w:val="001F57EA"/>
    <w:rsid w:val="001F5A1C"/>
    <w:rsid w:val="001F6118"/>
    <w:rsid w:val="001F6CA7"/>
    <w:rsid w:val="001F7165"/>
    <w:rsid w:val="001F7815"/>
    <w:rsid w:val="001F7E7C"/>
    <w:rsid w:val="002003E6"/>
    <w:rsid w:val="002029D4"/>
    <w:rsid w:val="0020313D"/>
    <w:rsid w:val="00203F1B"/>
    <w:rsid w:val="002040C9"/>
    <w:rsid w:val="0020509F"/>
    <w:rsid w:val="00205117"/>
    <w:rsid w:val="0020650B"/>
    <w:rsid w:val="00207966"/>
    <w:rsid w:val="002104F7"/>
    <w:rsid w:val="00213376"/>
    <w:rsid w:val="00213769"/>
    <w:rsid w:val="0021403B"/>
    <w:rsid w:val="00214858"/>
    <w:rsid w:val="00214EAB"/>
    <w:rsid w:val="00215E1F"/>
    <w:rsid w:val="00216409"/>
    <w:rsid w:val="0021640C"/>
    <w:rsid w:val="00216E8D"/>
    <w:rsid w:val="00217994"/>
    <w:rsid w:val="00217D18"/>
    <w:rsid w:val="00217D69"/>
    <w:rsid w:val="00220141"/>
    <w:rsid w:val="00220B76"/>
    <w:rsid w:val="0022179D"/>
    <w:rsid w:val="00221AAE"/>
    <w:rsid w:val="002232C6"/>
    <w:rsid w:val="00223577"/>
    <w:rsid w:val="00223878"/>
    <w:rsid w:val="00223E39"/>
    <w:rsid w:val="00226202"/>
    <w:rsid w:val="002262D0"/>
    <w:rsid w:val="00230F24"/>
    <w:rsid w:val="00233570"/>
    <w:rsid w:val="00233663"/>
    <w:rsid w:val="0023456B"/>
    <w:rsid w:val="00234624"/>
    <w:rsid w:val="0023515F"/>
    <w:rsid w:val="002407BA"/>
    <w:rsid w:val="00245377"/>
    <w:rsid w:val="00247596"/>
    <w:rsid w:val="00247909"/>
    <w:rsid w:val="00250CF4"/>
    <w:rsid w:val="00252E05"/>
    <w:rsid w:val="00254744"/>
    <w:rsid w:val="00255812"/>
    <w:rsid w:val="00255BAB"/>
    <w:rsid w:val="0025618F"/>
    <w:rsid w:val="00256F6C"/>
    <w:rsid w:val="002576EB"/>
    <w:rsid w:val="00257C33"/>
    <w:rsid w:val="00257EFC"/>
    <w:rsid w:val="002600E7"/>
    <w:rsid w:val="00261256"/>
    <w:rsid w:val="00261601"/>
    <w:rsid w:val="00261E95"/>
    <w:rsid w:val="0026393A"/>
    <w:rsid w:val="002665C3"/>
    <w:rsid w:val="0026712A"/>
    <w:rsid w:val="00270AAB"/>
    <w:rsid w:val="0027163F"/>
    <w:rsid w:val="00273729"/>
    <w:rsid w:val="00274CFA"/>
    <w:rsid w:val="002771C5"/>
    <w:rsid w:val="0027767B"/>
    <w:rsid w:val="00277A7E"/>
    <w:rsid w:val="00277FC2"/>
    <w:rsid w:val="00280AFD"/>
    <w:rsid w:val="00281FC8"/>
    <w:rsid w:val="00282250"/>
    <w:rsid w:val="00282A0E"/>
    <w:rsid w:val="00284558"/>
    <w:rsid w:val="0028622E"/>
    <w:rsid w:val="002877B6"/>
    <w:rsid w:val="0029209D"/>
    <w:rsid w:val="002946FE"/>
    <w:rsid w:val="00295BEB"/>
    <w:rsid w:val="00296CD7"/>
    <w:rsid w:val="002A1499"/>
    <w:rsid w:val="002A4BE2"/>
    <w:rsid w:val="002A552C"/>
    <w:rsid w:val="002A645D"/>
    <w:rsid w:val="002A660F"/>
    <w:rsid w:val="002A737D"/>
    <w:rsid w:val="002B00A8"/>
    <w:rsid w:val="002B040E"/>
    <w:rsid w:val="002B04B7"/>
    <w:rsid w:val="002B289D"/>
    <w:rsid w:val="002B5709"/>
    <w:rsid w:val="002B6410"/>
    <w:rsid w:val="002C1D7D"/>
    <w:rsid w:val="002C2ACA"/>
    <w:rsid w:val="002C2CE8"/>
    <w:rsid w:val="002C3023"/>
    <w:rsid w:val="002C39C5"/>
    <w:rsid w:val="002C447A"/>
    <w:rsid w:val="002C5224"/>
    <w:rsid w:val="002C629C"/>
    <w:rsid w:val="002C629D"/>
    <w:rsid w:val="002D063E"/>
    <w:rsid w:val="002D2FF6"/>
    <w:rsid w:val="002D4593"/>
    <w:rsid w:val="002D47B8"/>
    <w:rsid w:val="002D4811"/>
    <w:rsid w:val="002D5BCD"/>
    <w:rsid w:val="002D5D87"/>
    <w:rsid w:val="002E03F9"/>
    <w:rsid w:val="002E0B72"/>
    <w:rsid w:val="002E157D"/>
    <w:rsid w:val="002E1766"/>
    <w:rsid w:val="002E1F9A"/>
    <w:rsid w:val="002E3114"/>
    <w:rsid w:val="002E3792"/>
    <w:rsid w:val="002E3C84"/>
    <w:rsid w:val="002E481C"/>
    <w:rsid w:val="002E5877"/>
    <w:rsid w:val="002E611A"/>
    <w:rsid w:val="002E647C"/>
    <w:rsid w:val="002F0A97"/>
    <w:rsid w:val="002F0ABD"/>
    <w:rsid w:val="002F2568"/>
    <w:rsid w:val="002F2888"/>
    <w:rsid w:val="002F43C5"/>
    <w:rsid w:val="002F66B1"/>
    <w:rsid w:val="002F7FA8"/>
    <w:rsid w:val="003011F3"/>
    <w:rsid w:val="003026A7"/>
    <w:rsid w:val="00302E36"/>
    <w:rsid w:val="00303EF8"/>
    <w:rsid w:val="00305D96"/>
    <w:rsid w:val="0030659D"/>
    <w:rsid w:val="00306ADA"/>
    <w:rsid w:val="003072E9"/>
    <w:rsid w:val="0031038C"/>
    <w:rsid w:val="003104F2"/>
    <w:rsid w:val="003113D3"/>
    <w:rsid w:val="00311456"/>
    <w:rsid w:val="00314BB2"/>
    <w:rsid w:val="00316448"/>
    <w:rsid w:val="00316552"/>
    <w:rsid w:val="00321699"/>
    <w:rsid w:val="00321716"/>
    <w:rsid w:val="00321E35"/>
    <w:rsid w:val="003227F3"/>
    <w:rsid w:val="00325E13"/>
    <w:rsid w:val="00326AB1"/>
    <w:rsid w:val="00327956"/>
    <w:rsid w:val="00327D50"/>
    <w:rsid w:val="00330407"/>
    <w:rsid w:val="00331122"/>
    <w:rsid w:val="00331F8D"/>
    <w:rsid w:val="00334027"/>
    <w:rsid w:val="00335C39"/>
    <w:rsid w:val="00337654"/>
    <w:rsid w:val="003401EC"/>
    <w:rsid w:val="00341849"/>
    <w:rsid w:val="00342E80"/>
    <w:rsid w:val="00343129"/>
    <w:rsid w:val="0034385D"/>
    <w:rsid w:val="00344C58"/>
    <w:rsid w:val="0034501E"/>
    <w:rsid w:val="00345412"/>
    <w:rsid w:val="00345768"/>
    <w:rsid w:val="003457F3"/>
    <w:rsid w:val="00346E07"/>
    <w:rsid w:val="003475EB"/>
    <w:rsid w:val="00350641"/>
    <w:rsid w:val="00352029"/>
    <w:rsid w:val="00353C49"/>
    <w:rsid w:val="00355531"/>
    <w:rsid w:val="00355D55"/>
    <w:rsid w:val="00357415"/>
    <w:rsid w:val="00357942"/>
    <w:rsid w:val="00360D58"/>
    <w:rsid w:val="00361AD6"/>
    <w:rsid w:val="00361C01"/>
    <w:rsid w:val="00361DE5"/>
    <w:rsid w:val="00362B4E"/>
    <w:rsid w:val="00362D17"/>
    <w:rsid w:val="003636D9"/>
    <w:rsid w:val="00364DD2"/>
    <w:rsid w:val="00366B63"/>
    <w:rsid w:val="00370D95"/>
    <w:rsid w:val="00372690"/>
    <w:rsid w:val="00372812"/>
    <w:rsid w:val="003762F2"/>
    <w:rsid w:val="00376F30"/>
    <w:rsid w:val="003801F4"/>
    <w:rsid w:val="00381C6B"/>
    <w:rsid w:val="00382AF8"/>
    <w:rsid w:val="00384DE4"/>
    <w:rsid w:val="00385FFD"/>
    <w:rsid w:val="003869BC"/>
    <w:rsid w:val="00387AB6"/>
    <w:rsid w:val="00387AEA"/>
    <w:rsid w:val="00387F98"/>
    <w:rsid w:val="00391D46"/>
    <w:rsid w:val="00393483"/>
    <w:rsid w:val="003941F3"/>
    <w:rsid w:val="00394BE9"/>
    <w:rsid w:val="003951EA"/>
    <w:rsid w:val="00395D34"/>
    <w:rsid w:val="003963DC"/>
    <w:rsid w:val="00396D40"/>
    <w:rsid w:val="003A138F"/>
    <w:rsid w:val="003A198C"/>
    <w:rsid w:val="003A27A2"/>
    <w:rsid w:val="003A280C"/>
    <w:rsid w:val="003A63B5"/>
    <w:rsid w:val="003A6813"/>
    <w:rsid w:val="003A6AB5"/>
    <w:rsid w:val="003B0AEF"/>
    <w:rsid w:val="003B0FF9"/>
    <w:rsid w:val="003B3B6C"/>
    <w:rsid w:val="003B5577"/>
    <w:rsid w:val="003B5DFD"/>
    <w:rsid w:val="003B6FC7"/>
    <w:rsid w:val="003B7E9B"/>
    <w:rsid w:val="003C036E"/>
    <w:rsid w:val="003C1A55"/>
    <w:rsid w:val="003C22B5"/>
    <w:rsid w:val="003C2FA4"/>
    <w:rsid w:val="003D09EF"/>
    <w:rsid w:val="003D3FBD"/>
    <w:rsid w:val="003D6226"/>
    <w:rsid w:val="003D64BA"/>
    <w:rsid w:val="003E0458"/>
    <w:rsid w:val="003E0785"/>
    <w:rsid w:val="003E2FD7"/>
    <w:rsid w:val="003E3CAF"/>
    <w:rsid w:val="003E5A0B"/>
    <w:rsid w:val="003E5F13"/>
    <w:rsid w:val="003E640B"/>
    <w:rsid w:val="003E6919"/>
    <w:rsid w:val="003E6F58"/>
    <w:rsid w:val="003E73F7"/>
    <w:rsid w:val="003E7406"/>
    <w:rsid w:val="003F0433"/>
    <w:rsid w:val="003F1EC7"/>
    <w:rsid w:val="003F345C"/>
    <w:rsid w:val="003F3927"/>
    <w:rsid w:val="003F5602"/>
    <w:rsid w:val="003F5BA8"/>
    <w:rsid w:val="003F6C97"/>
    <w:rsid w:val="003F741E"/>
    <w:rsid w:val="00400DD9"/>
    <w:rsid w:val="0040488F"/>
    <w:rsid w:val="00404C4E"/>
    <w:rsid w:val="004064F8"/>
    <w:rsid w:val="00411ED1"/>
    <w:rsid w:val="00413517"/>
    <w:rsid w:val="00414D29"/>
    <w:rsid w:val="00415A59"/>
    <w:rsid w:val="00421B65"/>
    <w:rsid w:val="00422B35"/>
    <w:rsid w:val="00425063"/>
    <w:rsid w:val="0042510C"/>
    <w:rsid w:val="004251B0"/>
    <w:rsid w:val="0042578B"/>
    <w:rsid w:val="00425E5D"/>
    <w:rsid w:val="004277A2"/>
    <w:rsid w:val="004307F4"/>
    <w:rsid w:val="00430EAE"/>
    <w:rsid w:val="0043381B"/>
    <w:rsid w:val="0043395E"/>
    <w:rsid w:val="00433F43"/>
    <w:rsid w:val="00434590"/>
    <w:rsid w:val="004365E9"/>
    <w:rsid w:val="00436797"/>
    <w:rsid w:val="00436A53"/>
    <w:rsid w:val="00437629"/>
    <w:rsid w:val="004406D2"/>
    <w:rsid w:val="00445256"/>
    <w:rsid w:val="00445D19"/>
    <w:rsid w:val="00446501"/>
    <w:rsid w:val="00447984"/>
    <w:rsid w:val="00454395"/>
    <w:rsid w:val="00455E0B"/>
    <w:rsid w:val="004573C1"/>
    <w:rsid w:val="004574E4"/>
    <w:rsid w:val="00457E5E"/>
    <w:rsid w:val="0046117B"/>
    <w:rsid w:val="004611ED"/>
    <w:rsid w:val="00461672"/>
    <w:rsid w:val="00463086"/>
    <w:rsid w:val="00463471"/>
    <w:rsid w:val="00463488"/>
    <w:rsid w:val="00464D09"/>
    <w:rsid w:val="00465499"/>
    <w:rsid w:val="00466B63"/>
    <w:rsid w:val="00471DF3"/>
    <w:rsid w:val="0047496F"/>
    <w:rsid w:val="0047542E"/>
    <w:rsid w:val="004755FF"/>
    <w:rsid w:val="004767AF"/>
    <w:rsid w:val="00476EE2"/>
    <w:rsid w:val="00476F42"/>
    <w:rsid w:val="004804B5"/>
    <w:rsid w:val="00480E63"/>
    <w:rsid w:val="004826EA"/>
    <w:rsid w:val="004834B5"/>
    <w:rsid w:val="004834BB"/>
    <w:rsid w:val="00485368"/>
    <w:rsid w:val="00492674"/>
    <w:rsid w:val="0049383E"/>
    <w:rsid w:val="00493924"/>
    <w:rsid w:val="004949EE"/>
    <w:rsid w:val="0049530C"/>
    <w:rsid w:val="004966FE"/>
    <w:rsid w:val="00497B3F"/>
    <w:rsid w:val="004A07BE"/>
    <w:rsid w:val="004A08CC"/>
    <w:rsid w:val="004A2B71"/>
    <w:rsid w:val="004A51F1"/>
    <w:rsid w:val="004A67A5"/>
    <w:rsid w:val="004B0FA4"/>
    <w:rsid w:val="004B3DEC"/>
    <w:rsid w:val="004B5B6B"/>
    <w:rsid w:val="004B7079"/>
    <w:rsid w:val="004C0123"/>
    <w:rsid w:val="004C3D4F"/>
    <w:rsid w:val="004C3DE3"/>
    <w:rsid w:val="004C44C7"/>
    <w:rsid w:val="004C5FB5"/>
    <w:rsid w:val="004C708C"/>
    <w:rsid w:val="004C737B"/>
    <w:rsid w:val="004C74DC"/>
    <w:rsid w:val="004C7BA5"/>
    <w:rsid w:val="004D0581"/>
    <w:rsid w:val="004D297E"/>
    <w:rsid w:val="004D33AF"/>
    <w:rsid w:val="004D4729"/>
    <w:rsid w:val="004D546B"/>
    <w:rsid w:val="004D7D5A"/>
    <w:rsid w:val="004E1A5F"/>
    <w:rsid w:val="004E2D95"/>
    <w:rsid w:val="004E3CF3"/>
    <w:rsid w:val="004E4160"/>
    <w:rsid w:val="004E46EF"/>
    <w:rsid w:val="004E49DB"/>
    <w:rsid w:val="004E5555"/>
    <w:rsid w:val="004E5AAC"/>
    <w:rsid w:val="004E6113"/>
    <w:rsid w:val="004E6E37"/>
    <w:rsid w:val="004F29CC"/>
    <w:rsid w:val="004F4FD4"/>
    <w:rsid w:val="004F6C3B"/>
    <w:rsid w:val="004F7101"/>
    <w:rsid w:val="005009F8"/>
    <w:rsid w:val="00502D2A"/>
    <w:rsid w:val="005032B0"/>
    <w:rsid w:val="00503AD0"/>
    <w:rsid w:val="00504E75"/>
    <w:rsid w:val="00505292"/>
    <w:rsid w:val="005054DF"/>
    <w:rsid w:val="00505A64"/>
    <w:rsid w:val="00507165"/>
    <w:rsid w:val="00510B17"/>
    <w:rsid w:val="0051131E"/>
    <w:rsid w:val="005127CE"/>
    <w:rsid w:val="0051351F"/>
    <w:rsid w:val="00514047"/>
    <w:rsid w:val="00515357"/>
    <w:rsid w:val="00520FB4"/>
    <w:rsid w:val="00521F8D"/>
    <w:rsid w:val="0052384D"/>
    <w:rsid w:val="00524BB4"/>
    <w:rsid w:val="00525473"/>
    <w:rsid w:val="00525D6C"/>
    <w:rsid w:val="00526C06"/>
    <w:rsid w:val="005270ED"/>
    <w:rsid w:val="0052761C"/>
    <w:rsid w:val="0053166B"/>
    <w:rsid w:val="00531E23"/>
    <w:rsid w:val="00534709"/>
    <w:rsid w:val="0053497C"/>
    <w:rsid w:val="00535B43"/>
    <w:rsid w:val="00535E83"/>
    <w:rsid w:val="005366B1"/>
    <w:rsid w:val="00537E09"/>
    <w:rsid w:val="00540621"/>
    <w:rsid w:val="00541972"/>
    <w:rsid w:val="005446D8"/>
    <w:rsid w:val="005449FF"/>
    <w:rsid w:val="00544CC6"/>
    <w:rsid w:val="00544F33"/>
    <w:rsid w:val="00545447"/>
    <w:rsid w:val="005531B0"/>
    <w:rsid w:val="00553250"/>
    <w:rsid w:val="005554BD"/>
    <w:rsid w:val="0055668F"/>
    <w:rsid w:val="00556B5A"/>
    <w:rsid w:val="00557521"/>
    <w:rsid w:val="00561A23"/>
    <w:rsid w:val="0056228D"/>
    <w:rsid w:val="00563D43"/>
    <w:rsid w:val="00565783"/>
    <w:rsid w:val="00566BF1"/>
    <w:rsid w:val="0057048B"/>
    <w:rsid w:val="0057081F"/>
    <w:rsid w:val="005708E0"/>
    <w:rsid w:val="00570E06"/>
    <w:rsid w:val="00572333"/>
    <w:rsid w:val="0057236D"/>
    <w:rsid w:val="00572F79"/>
    <w:rsid w:val="00574E55"/>
    <w:rsid w:val="005758FC"/>
    <w:rsid w:val="00575B2D"/>
    <w:rsid w:val="00576549"/>
    <w:rsid w:val="005775ED"/>
    <w:rsid w:val="005803AF"/>
    <w:rsid w:val="005806C3"/>
    <w:rsid w:val="005819FB"/>
    <w:rsid w:val="00581C98"/>
    <w:rsid w:val="005821F0"/>
    <w:rsid w:val="005855E2"/>
    <w:rsid w:val="00590B5E"/>
    <w:rsid w:val="00592C59"/>
    <w:rsid w:val="00593893"/>
    <w:rsid w:val="00593D7B"/>
    <w:rsid w:val="005940AE"/>
    <w:rsid w:val="00594DC0"/>
    <w:rsid w:val="00594EA9"/>
    <w:rsid w:val="00595028"/>
    <w:rsid w:val="00595F3F"/>
    <w:rsid w:val="00596CBB"/>
    <w:rsid w:val="005A01D1"/>
    <w:rsid w:val="005A217D"/>
    <w:rsid w:val="005A5A88"/>
    <w:rsid w:val="005A7574"/>
    <w:rsid w:val="005A7673"/>
    <w:rsid w:val="005B0297"/>
    <w:rsid w:val="005B0D94"/>
    <w:rsid w:val="005B1540"/>
    <w:rsid w:val="005B202F"/>
    <w:rsid w:val="005B5181"/>
    <w:rsid w:val="005B594C"/>
    <w:rsid w:val="005B5D2F"/>
    <w:rsid w:val="005B67E1"/>
    <w:rsid w:val="005B6B9C"/>
    <w:rsid w:val="005B72BC"/>
    <w:rsid w:val="005C071B"/>
    <w:rsid w:val="005C0C00"/>
    <w:rsid w:val="005C106F"/>
    <w:rsid w:val="005C31DE"/>
    <w:rsid w:val="005C3AF0"/>
    <w:rsid w:val="005C53E3"/>
    <w:rsid w:val="005C57FF"/>
    <w:rsid w:val="005C58E9"/>
    <w:rsid w:val="005C593F"/>
    <w:rsid w:val="005C5A3E"/>
    <w:rsid w:val="005C6B70"/>
    <w:rsid w:val="005C6D94"/>
    <w:rsid w:val="005C6DE1"/>
    <w:rsid w:val="005C70E6"/>
    <w:rsid w:val="005C7D11"/>
    <w:rsid w:val="005C7F36"/>
    <w:rsid w:val="005D20A2"/>
    <w:rsid w:val="005D2EBA"/>
    <w:rsid w:val="005D3028"/>
    <w:rsid w:val="005D35CF"/>
    <w:rsid w:val="005D395E"/>
    <w:rsid w:val="005D47E1"/>
    <w:rsid w:val="005D4E85"/>
    <w:rsid w:val="005D5632"/>
    <w:rsid w:val="005D6A8D"/>
    <w:rsid w:val="005E1237"/>
    <w:rsid w:val="005E2B25"/>
    <w:rsid w:val="005E49AB"/>
    <w:rsid w:val="005E5963"/>
    <w:rsid w:val="005E6E18"/>
    <w:rsid w:val="005E7722"/>
    <w:rsid w:val="005F0760"/>
    <w:rsid w:val="005F0A8B"/>
    <w:rsid w:val="005F28A3"/>
    <w:rsid w:val="005F3C05"/>
    <w:rsid w:val="005F4221"/>
    <w:rsid w:val="005F4303"/>
    <w:rsid w:val="005F44FB"/>
    <w:rsid w:val="005F6B67"/>
    <w:rsid w:val="005F70E0"/>
    <w:rsid w:val="006004EE"/>
    <w:rsid w:val="00600BBD"/>
    <w:rsid w:val="006016E8"/>
    <w:rsid w:val="006019E4"/>
    <w:rsid w:val="006027FF"/>
    <w:rsid w:val="00602D79"/>
    <w:rsid w:val="0060504C"/>
    <w:rsid w:val="00607410"/>
    <w:rsid w:val="006076D8"/>
    <w:rsid w:val="00607F39"/>
    <w:rsid w:val="00610865"/>
    <w:rsid w:val="00610FE1"/>
    <w:rsid w:val="006148E2"/>
    <w:rsid w:val="006157D2"/>
    <w:rsid w:val="00615EAE"/>
    <w:rsid w:val="00616781"/>
    <w:rsid w:val="006215BF"/>
    <w:rsid w:val="00621A59"/>
    <w:rsid w:val="006222B9"/>
    <w:rsid w:val="00623815"/>
    <w:rsid w:val="0062396B"/>
    <w:rsid w:val="00623E60"/>
    <w:rsid w:val="00624FB7"/>
    <w:rsid w:val="00624FC0"/>
    <w:rsid w:val="00625C17"/>
    <w:rsid w:val="00626E5B"/>
    <w:rsid w:val="006313FE"/>
    <w:rsid w:val="00631598"/>
    <w:rsid w:val="006333E3"/>
    <w:rsid w:val="00634895"/>
    <w:rsid w:val="00634976"/>
    <w:rsid w:val="00635D8C"/>
    <w:rsid w:val="00635E2A"/>
    <w:rsid w:val="006366D0"/>
    <w:rsid w:val="00642409"/>
    <w:rsid w:val="00642581"/>
    <w:rsid w:val="006445A2"/>
    <w:rsid w:val="00645E41"/>
    <w:rsid w:val="006477A1"/>
    <w:rsid w:val="006510AD"/>
    <w:rsid w:val="00651AFF"/>
    <w:rsid w:val="00652D2E"/>
    <w:rsid w:val="00654D0F"/>
    <w:rsid w:val="00655F06"/>
    <w:rsid w:val="00656033"/>
    <w:rsid w:val="00656941"/>
    <w:rsid w:val="00656BF0"/>
    <w:rsid w:val="006573DF"/>
    <w:rsid w:val="00657F49"/>
    <w:rsid w:val="00660F5C"/>
    <w:rsid w:val="00662A2A"/>
    <w:rsid w:val="00662A46"/>
    <w:rsid w:val="00662C09"/>
    <w:rsid w:val="006630DB"/>
    <w:rsid w:val="006661E2"/>
    <w:rsid w:val="006700A9"/>
    <w:rsid w:val="0067065A"/>
    <w:rsid w:val="00670CF2"/>
    <w:rsid w:val="006724FB"/>
    <w:rsid w:val="00672695"/>
    <w:rsid w:val="0067274E"/>
    <w:rsid w:val="00673CF2"/>
    <w:rsid w:val="006740B3"/>
    <w:rsid w:val="006749E0"/>
    <w:rsid w:val="00674F43"/>
    <w:rsid w:val="00676A97"/>
    <w:rsid w:val="00681180"/>
    <w:rsid w:val="006811C7"/>
    <w:rsid w:val="00681C30"/>
    <w:rsid w:val="00681CB1"/>
    <w:rsid w:val="006820F6"/>
    <w:rsid w:val="00682444"/>
    <w:rsid w:val="00684643"/>
    <w:rsid w:val="00685736"/>
    <w:rsid w:val="0068611E"/>
    <w:rsid w:val="00687603"/>
    <w:rsid w:val="0069043A"/>
    <w:rsid w:val="00691334"/>
    <w:rsid w:val="00692F4B"/>
    <w:rsid w:val="00694A3B"/>
    <w:rsid w:val="0069740C"/>
    <w:rsid w:val="006979D7"/>
    <w:rsid w:val="00697B46"/>
    <w:rsid w:val="006A0951"/>
    <w:rsid w:val="006A0E13"/>
    <w:rsid w:val="006A415C"/>
    <w:rsid w:val="006A45F2"/>
    <w:rsid w:val="006A4A7E"/>
    <w:rsid w:val="006A6311"/>
    <w:rsid w:val="006A7BC9"/>
    <w:rsid w:val="006B041D"/>
    <w:rsid w:val="006B042D"/>
    <w:rsid w:val="006B0670"/>
    <w:rsid w:val="006B10DC"/>
    <w:rsid w:val="006B117A"/>
    <w:rsid w:val="006B1212"/>
    <w:rsid w:val="006B38E5"/>
    <w:rsid w:val="006B3FED"/>
    <w:rsid w:val="006B5BC6"/>
    <w:rsid w:val="006B60C4"/>
    <w:rsid w:val="006B6BE1"/>
    <w:rsid w:val="006B7952"/>
    <w:rsid w:val="006C24CC"/>
    <w:rsid w:val="006C4922"/>
    <w:rsid w:val="006C5395"/>
    <w:rsid w:val="006C557F"/>
    <w:rsid w:val="006D283A"/>
    <w:rsid w:val="006D3408"/>
    <w:rsid w:val="006D433E"/>
    <w:rsid w:val="006D5E86"/>
    <w:rsid w:val="006E03A0"/>
    <w:rsid w:val="006E0DB5"/>
    <w:rsid w:val="006E31E0"/>
    <w:rsid w:val="006E37CE"/>
    <w:rsid w:val="006E3E51"/>
    <w:rsid w:val="006E4470"/>
    <w:rsid w:val="006E60DE"/>
    <w:rsid w:val="006E6F7A"/>
    <w:rsid w:val="006E7037"/>
    <w:rsid w:val="006F1DF0"/>
    <w:rsid w:val="006F1EEA"/>
    <w:rsid w:val="006F2AD0"/>
    <w:rsid w:val="006F4B1F"/>
    <w:rsid w:val="006F5D28"/>
    <w:rsid w:val="006F6105"/>
    <w:rsid w:val="006F660D"/>
    <w:rsid w:val="00702753"/>
    <w:rsid w:val="0070288D"/>
    <w:rsid w:val="00702FD3"/>
    <w:rsid w:val="007056A5"/>
    <w:rsid w:val="00705DC2"/>
    <w:rsid w:val="0070630A"/>
    <w:rsid w:val="007065CE"/>
    <w:rsid w:val="00706C32"/>
    <w:rsid w:val="007074D2"/>
    <w:rsid w:val="007107F4"/>
    <w:rsid w:val="00710ADE"/>
    <w:rsid w:val="00711C24"/>
    <w:rsid w:val="007137EE"/>
    <w:rsid w:val="00713B6D"/>
    <w:rsid w:val="00715129"/>
    <w:rsid w:val="007156B2"/>
    <w:rsid w:val="00720891"/>
    <w:rsid w:val="007224E9"/>
    <w:rsid w:val="007237A4"/>
    <w:rsid w:val="00724555"/>
    <w:rsid w:val="00725411"/>
    <w:rsid w:val="00726A88"/>
    <w:rsid w:val="007276AB"/>
    <w:rsid w:val="00730515"/>
    <w:rsid w:val="007310C7"/>
    <w:rsid w:val="00731AF6"/>
    <w:rsid w:val="00732332"/>
    <w:rsid w:val="00732F77"/>
    <w:rsid w:val="00734575"/>
    <w:rsid w:val="0073498F"/>
    <w:rsid w:val="00734CA7"/>
    <w:rsid w:val="00735FF1"/>
    <w:rsid w:val="007361FF"/>
    <w:rsid w:val="00737D96"/>
    <w:rsid w:val="00741490"/>
    <w:rsid w:val="00741829"/>
    <w:rsid w:val="00741ACB"/>
    <w:rsid w:val="00741D4A"/>
    <w:rsid w:val="00742387"/>
    <w:rsid w:val="00743441"/>
    <w:rsid w:val="007461D2"/>
    <w:rsid w:val="00746349"/>
    <w:rsid w:val="0074725A"/>
    <w:rsid w:val="00747A00"/>
    <w:rsid w:val="00750D03"/>
    <w:rsid w:val="00750DF6"/>
    <w:rsid w:val="007511FD"/>
    <w:rsid w:val="00751FD4"/>
    <w:rsid w:val="007520F6"/>
    <w:rsid w:val="007530F3"/>
    <w:rsid w:val="00753BA0"/>
    <w:rsid w:val="00755237"/>
    <w:rsid w:val="0076024F"/>
    <w:rsid w:val="0076141E"/>
    <w:rsid w:val="007615B1"/>
    <w:rsid w:val="00763077"/>
    <w:rsid w:val="00763422"/>
    <w:rsid w:val="00766765"/>
    <w:rsid w:val="00770070"/>
    <w:rsid w:val="007718C4"/>
    <w:rsid w:val="0077570F"/>
    <w:rsid w:val="0077663D"/>
    <w:rsid w:val="00777306"/>
    <w:rsid w:val="00780800"/>
    <w:rsid w:val="00782190"/>
    <w:rsid w:val="00782B86"/>
    <w:rsid w:val="00782E92"/>
    <w:rsid w:val="00784BE3"/>
    <w:rsid w:val="007854F4"/>
    <w:rsid w:val="00785F2C"/>
    <w:rsid w:val="00786FB2"/>
    <w:rsid w:val="0079104F"/>
    <w:rsid w:val="0079118E"/>
    <w:rsid w:val="007934B6"/>
    <w:rsid w:val="007950CF"/>
    <w:rsid w:val="00796A27"/>
    <w:rsid w:val="00796A56"/>
    <w:rsid w:val="007A06B2"/>
    <w:rsid w:val="007A5B3F"/>
    <w:rsid w:val="007A7392"/>
    <w:rsid w:val="007A7830"/>
    <w:rsid w:val="007A7F4E"/>
    <w:rsid w:val="007B0143"/>
    <w:rsid w:val="007B01D3"/>
    <w:rsid w:val="007B04EC"/>
    <w:rsid w:val="007B2967"/>
    <w:rsid w:val="007B2E09"/>
    <w:rsid w:val="007B328D"/>
    <w:rsid w:val="007B41E1"/>
    <w:rsid w:val="007B44A6"/>
    <w:rsid w:val="007B5EB9"/>
    <w:rsid w:val="007B6C44"/>
    <w:rsid w:val="007B7BD2"/>
    <w:rsid w:val="007C0037"/>
    <w:rsid w:val="007C02FD"/>
    <w:rsid w:val="007C0842"/>
    <w:rsid w:val="007C0D6F"/>
    <w:rsid w:val="007C3270"/>
    <w:rsid w:val="007C388D"/>
    <w:rsid w:val="007C4209"/>
    <w:rsid w:val="007C49CF"/>
    <w:rsid w:val="007C564F"/>
    <w:rsid w:val="007C7F11"/>
    <w:rsid w:val="007D10C8"/>
    <w:rsid w:val="007D17AC"/>
    <w:rsid w:val="007D1AE8"/>
    <w:rsid w:val="007D1D6D"/>
    <w:rsid w:val="007E02BC"/>
    <w:rsid w:val="007E05BD"/>
    <w:rsid w:val="007E0901"/>
    <w:rsid w:val="007E0AAF"/>
    <w:rsid w:val="007E1592"/>
    <w:rsid w:val="007E33F9"/>
    <w:rsid w:val="007E34C4"/>
    <w:rsid w:val="007E3AF9"/>
    <w:rsid w:val="007E455A"/>
    <w:rsid w:val="007E6665"/>
    <w:rsid w:val="007E68B4"/>
    <w:rsid w:val="007F06C6"/>
    <w:rsid w:val="007F0C5B"/>
    <w:rsid w:val="007F187F"/>
    <w:rsid w:val="007F1AF0"/>
    <w:rsid w:val="007F3633"/>
    <w:rsid w:val="007F378F"/>
    <w:rsid w:val="007F38EB"/>
    <w:rsid w:val="007F3C6C"/>
    <w:rsid w:val="007F4B59"/>
    <w:rsid w:val="007F4D05"/>
    <w:rsid w:val="007F5274"/>
    <w:rsid w:val="007F7593"/>
    <w:rsid w:val="007F7E89"/>
    <w:rsid w:val="008035A8"/>
    <w:rsid w:val="00803E21"/>
    <w:rsid w:val="0080690B"/>
    <w:rsid w:val="00806D8F"/>
    <w:rsid w:val="00807605"/>
    <w:rsid w:val="008109D8"/>
    <w:rsid w:val="008111F0"/>
    <w:rsid w:val="008119F0"/>
    <w:rsid w:val="00811AC6"/>
    <w:rsid w:val="00814084"/>
    <w:rsid w:val="0081573B"/>
    <w:rsid w:val="00815AF3"/>
    <w:rsid w:val="00815FD7"/>
    <w:rsid w:val="00816ECB"/>
    <w:rsid w:val="00817B7E"/>
    <w:rsid w:val="008225A0"/>
    <w:rsid w:val="008226EB"/>
    <w:rsid w:val="00822E2E"/>
    <w:rsid w:val="008259C4"/>
    <w:rsid w:val="0082615F"/>
    <w:rsid w:val="008268EE"/>
    <w:rsid w:val="00826995"/>
    <w:rsid w:val="00830751"/>
    <w:rsid w:val="00832DED"/>
    <w:rsid w:val="008331C2"/>
    <w:rsid w:val="0083459D"/>
    <w:rsid w:val="00834986"/>
    <w:rsid w:val="00837CC4"/>
    <w:rsid w:val="00840674"/>
    <w:rsid w:val="008419A1"/>
    <w:rsid w:val="008425D3"/>
    <w:rsid w:val="00842C06"/>
    <w:rsid w:val="00843038"/>
    <w:rsid w:val="00846B36"/>
    <w:rsid w:val="00851902"/>
    <w:rsid w:val="008555A6"/>
    <w:rsid w:val="008560DD"/>
    <w:rsid w:val="00856712"/>
    <w:rsid w:val="0086011F"/>
    <w:rsid w:val="00860A4B"/>
    <w:rsid w:val="0086213C"/>
    <w:rsid w:val="00862B7B"/>
    <w:rsid w:val="008635A6"/>
    <w:rsid w:val="00863A81"/>
    <w:rsid w:val="0086466B"/>
    <w:rsid w:val="00865298"/>
    <w:rsid w:val="0086566E"/>
    <w:rsid w:val="0086584F"/>
    <w:rsid w:val="008659ED"/>
    <w:rsid w:val="0086655B"/>
    <w:rsid w:val="00866BB2"/>
    <w:rsid w:val="00867DB6"/>
    <w:rsid w:val="008709BC"/>
    <w:rsid w:val="00872D23"/>
    <w:rsid w:val="00876723"/>
    <w:rsid w:val="0087688F"/>
    <w:rsid w:val="00881481"/>
    <w:rsid w:val="00882922"/>
    <w:rsid w:val="00885F81"/>
    <w:rsid w:val="00886D11"/>
    <w:rsid w:val="008871D0"/>
    <w:rsid w:val="008877F3"/>
    <w:rsid w:val="008904E9"/>
    <w:rsid w:val="00891517"/>
    <w:rsid w:val="00891D71"/>
    <w:rsid w:val="00892829"/>
    <w:rsid w:val="00892F53"/>
    <w:rsid w:val="00893513"/>
    <w:rsid w:val="00893942"/>
    <w:rsid w:val="0089586E"/>
    <w:rsid w:val="00896F49"/>
    <w:rsid w:val="00896FB5"/>
    <w:rsid w:val="008977CB"/>
    <w:rsid w:val="008A05D5"/>
    <w:rsid w:val="008A0BAA"/>
    <w:rsid w:val="008A134E"/>
    <w:rsid w:val="008A2192"/>
    <w:rsid w:val="008A2AAA"/>
    <w:rsid w:val="008A2CBF"/>
    <w:rsid w:val="008A4A02"/>
    <w:rsid w:val="008A4C6D"/>
    <w:rsid w:val="008A5C9B"/>
    <w:rsid w:val="008A5DED"/>
    <w:rsid w:val="008A6B0E"/>
    <w:rsid w:val="008B13EE"/>
    <w:rsid w:val="008B1405"/>
    <w:rsid w:val="008B1A73"/>
    <w:rsid w:val="008B213D"/>
    <w:rsid w:val="008B221E"/>
    <w:rsid w:val="008B2C4B"/>
    <w:rsid w:val="008B3FE9"/>
    <w:rsid w:val="008B48D2"/>
    <w:rsid w:val="008B4C98"/>
    <w:rsid w:val="008B5528"/>
    <w:rsid w:val="008B6A6D"/>
    <w:rsid w:val="008C202E"/>
    <w:rsid w:val="008C6CEE"/>
    <w:rsid w:val="008C7BA7"/>
    <w:rsid w:val="008D021E"/>
    <w:rsid w:val="008D4398"/>
    <w:rsid w:val="008D4E07"/>
    <w:rsid w:val="008E07D2"/>
    <w:rsid w:val="008E11EA"/>
    <w:rsid w:val="008E2092"/>
    <w:rsid w:val="008E4073"/>
    <w:rsid w:val="008E4413"/>
    <w:rsid w:val="008E6288"/>
    <w:rsid w:val="008E7892"/>
    <w:rsid w:val="008F0319"/>
    <w:rsid w:val="008F0BA7"/>
    <w:rsid w:val="008F1541"/>
    <w:rsid w:val="008F2EED"/>
    <w:rsid w:val="00900F80"/>
    <w:rsid w:val="00901BF8"/>
    <w:rsid w:val="009030D5"/>
    <w:rsid w:val="00906102"/>
    <w:rsid w:val="00907739"/>
    <w:rsid w:val="00907BB8"/>
    <w:rsid w:val="009106F4"/>
    <w:rsid w:val="00911260"/>
    <w:rsid w:val="00913E0A"/>
    <w:rsid w:val="00914CB6"/>
    <w:rsid w:val="0091686D"/>
    <w:rsid w:val="00921A1E"/>
    <w:rsid w:val="00922261"/>
    <w:rsid w:val="0092243D"/>
    <w:rsid w:val="00922FC9"/>
    <w:rsid w:val="00923A16"/>
    <w:rsid w:val="00924834"/>
    <w:rsid w:val="00925130"/>
    <w:rsid w:val="009257A6"/>
    <w:rsid w:val="009259C2"/>
    <w:rsid w:val="00925D1E"/>
    <w:rsid w:val="00926624"/>
    <w:rsid w:val="00926786"/>
    <w:rsid w:val="009275D1"/>
    <w:rsid w:val="00930589"/>
    <w:rsid w:val="0093110B"/>
    <w:rsid w:val="0093324E"/>
    <w:rsid w:val="00936553"/>
    <w:rsid w:val="00936833"/>
    <w:rsid w:val="00941112"/>
    <w:rsid w:val="009428EC"/>
    <w:rsid w:val="00942F33"/>
    <w:rsid w:val="0094320B"/>
    <w:rsid w:val="009435B0"/>
    <w:rsid w:val="00943C0B"/>
    <w:rsid w:val="00945B4A"/>
    <w:rsid w:val="00946713"/>
    <w:rsid w:val="00946BA7"/>
    <w:rsid w:val="00947369"/>
    <w:rsid w:val="00951373"/>
    <w:rsid w:val="009521B6"/>
    <w:rsid w:val="0095285A"/>
    <w:rsid w:val="009606DF"/>
    <w:rsid w:val="00962C34"/>
    <w:rsid w:val="00963835"/>
    <w:rsid w:val="00963FEC"/>
    <w:rsid w:val="0096442F"/>
    <w:rsid w:val="00966477"/>
    <w:rsid w:val="00972384"/>
    <w:rsid w:val="00973440"/>
    <w:rsid w:val="00973546"/>
    <w:rsid w:val="00974071"/>
    <w:rsid w:val="009760D3"/>
    <w:rsid w:val="00976584"/>
    <w:rsid w:val="00977E3F"/>
    <w:rsid w:val="00980E08"/>
    <w:rsid w:val="00980FDB"/>
    <w:rsid w:val="009817D1"/>
    <w:rsid w:val="0098280F"/>
    <w:rsid w:val="00986624"/>
    <w:rsid w:val="00986F57"/>
    <w:rsid w:val="00987061"/>
    <w:rsid w:val="00987A2D"/>
    <w:rsid w:val="0099087F"/>
    <w:rsid w:val="00991028"/>
    <w:rsid w:val="0099191D"/>
    <w:rsid w:val="0099340C"/>
    <w:rsid w:val="00993DCE"/>
    <w:rsid w:val="00996032"/>
    <w:rsid w:val="009A3711"/>
    <w:rsid w:val="009A4366"/>
    <w:rsid w:val="009A665A"/>
    <w:rsid w:val="009A69FB"/>
    <w:rsid w:val="009A6D36"/>
    <w:rsid w:val="009A6EAF"/>
    <w:rsid w:val="009A70C2"/>
    <w:rsid w:val="009A75E9"/>
    <w:rsid w:val="009A7FD1"/>
    <w:rsid w:val="009B4560"/>
    <w:rsid w:val="009B50DF"/>
    <w:rsid w:val="009B5A86"/>
    <w:rsid w:val="009B5A9F"/>
    <w:rsid w:val="009B7828"/>
    <w:rsid w:val="009C01F0"/>
    <w:rsid w:val="009C0887"/>
    <w:rsid w:val="009C392A"/>
    <w:rsid w:val="009C40AD"/>
    <w:rsid w:val="009C47DA"/>
    <w:rsid w:val="009C4F7A"/>
    <w:rsid w:val="009C51D5"/>
    <w:rsid w:val="009C5A91"/>
    <w:rsid w:val="009D0A16"/>
    <w:rsid w:val="009D250F"/>
    <w:rsid w:val="009D306A"/>
    <w:rsid w:val="009D3A96"/>
    <w:rsid w:val="009D3D77"/>
    <w:rsid w:val="009D3DD5"/>
    <w:rsid w:val="009D3E27"/>
    <w:rsid w:val="009D3EA9"/>
    <w:rsid w:val="009D45E8"/>
    <w:rsid w:val="009D50E7"/>
    <w:rsid w:val="009D5418"/>
    <w:rsid w:val="009D5C44"/>
    <w:rsid w:val="009D6948"/>
    <w:rsid w:val="009D77E3"/>
    <w:rsid w:val="009E2CF8"/>
    <w:rsid w:val="009E315E"/>
    <w:rsid w:val="009E44EF"/>
    <w:rsid w:val="009E519A"/>
    <w:rsid w:val="009E5643"/>
    <w:rsid w:val="009E595E"/>
    <w:rsid w:val="009E5E47"/>
    <w:rsid w:val="009E6EB8"/>
    <w:rsid w:val="009E70D3"/>
    <w:rsid w:val="009F0CCD"/>
    <w:rsid w:val="009F390F"/>
    <w:rsid w:val="009F5557"/>
    <w:rsid w:val="009F55F7"/>
    <w:rsid w:val="009F5B99"/>
    <w:rsid w:val="009F5BEE"/>
    <w:rsid w:val="009F6C5F"/>
    <w:rsid w:val="00A01471"/>
    <w:rsid w:val="00A01C96"/>
    <w:rsid w:val="00A02BEA"/>
    <w:rsid w:val="00A0641B"/>
    <w:rsid w:val="00A0655B"/>
    <w:rsid w:val="00A06931"/>
    <w:rsid w:val="00A07D7A"/>
    <w:rsid w:val="00A10B41"/>
    <w:rsid w:val="00A10C63"/>
    <w:rsid w:val="00A119EA"/>
    <w:rsid w:val="00A119FF"/>
    <w:rsid w:val="00A124A3"/>
    <w:rsid w:val="00A149AC"/>
    <w:rsid w:val="00A151D8"/>
    <w:rsid w:val="00A15D50"/>
    <w:rsid w:val="00A1696C"/>
    <w:rsid w:val="00A16A13"/>
    <w:rsid w:val="00A16A2D"/>
    <w:rsid w:val="00A17058"/>
    <w:rsid w:val="00A1767D"/>
    <w:rsid w:val="00A17971"/>
    <w:rsid w:val="00A21C28"/>
    <w:rsid w:val="00A22A62"/>
    <w:rsid w:val="00A22C21"/>
    <w:rsid w:val="00A2547F"/>
    <w:rsid w:val="00A25C0F"/>
    <w:rsid w:val="00A26695"/>
    <w:rsid w:val="00A26B28"/>
    <w:rsid w:val="00A26C56"/>
    <w:rsid w:val="00A26CED"/>
    <w:rsid w:val="00A275BE"/>
    <w:rsid w:val="00A278AF"/>
    <w:rsid w:val="00A27994"/>
    <w:rsid w:val="00A30071"/>
    <w:rsid w:val="00A30BE0"/>
    <w:rsid w:val="00A31520"/>
    <w:rsid w:val="00A31780"/>
    <w:rsid w:val="00A31DC9"/>
    <w:rsid w:val="00A32252"/>
    <w:rsid w:val="00A364AA"/>
    <w:rsid w:val="00A36A8C"/>
    <w:rsid w:val="00A36F14"/>
    <w:rsid w:val="00A37ED0"/>
    <w:rsid w:val="00A41640"/>
    <w:rsid w:val="00A427D7"/>
    <w:rsid w:val="00A427F5"/>
    <w:rsid w:val="00A42F80"/>
    <w:rsid w:val="00A460F8"/>
    <w:rsid w:val="00A46C26"/>
    <w:rsid w:val="00A46DBB"/>
    <w:rsid w:val="00A47187"/>
    <w:rsid w:val="00A5083B"/>
    <w:rsid w:val="00A509D5"/>
    <w:rsid w:val="00A50BD8"/>
    <w:rsid w:val="00A52D74"/>
    <w:rsid w:val="00A551E8"/>
    <w:rsid w:val="00A557EE"/>
    <w:rsid w:val="00A57A90"/>
    <w:rsid w:val="00A57D22"/>
    <w:rsid w:val="00A60C07"/>
    <w:rsid w:val="00A61791"/>
    <w:rsid w:val="00A61896"/>
    <w:rsid w:val="00A63E34"/>
    <w:rsid w:val="00A63F8F"/>
    <w:rsid w:val="00A65292"/>
    <w:rsid w:val="00A65CDB"/>
    <w:rsid w:val="00A66AA0"/>
    <w:rsid w:val="00A707E8"/>
    <w:rsid w:val="00A71397"/>
    <w:rsid w:val="00A71545"/>
    <w:rsid w:val="00A7205A"/>
    <w:rsid w:val="00A72E14"/>
    <w:rsid w:val="00A73128"/>
    <w:rsid w:val="00A748AD"/>
    <w:rsid w:val="00A74EA5"/>
    <w:rsid w:val="00A767C8"/>
    <w:rsid w:val="00A76996"/>
    <w:rsid w:val="00A808AB"/>
    <w:rsid w:val="00A816C0"/>
    <w:rsid w:val="00A81E85"/>
    <w:rsid w:val="00A82A09"/>
    <w:rsid w:val="00A8479C"/>
    <w:rsid w:val="00A851EE"/>
    <w:rsid w:val="00A87299"/>
    <w:rsid w:val="00A909BC"/>
    <w:rsid w:val="00A90C0B"/>
    <w:rsid w:val="00A93596"/>
    <w:rsid w:val="00A94D3A"/>
    <w:rsid w:val="00A95AFA"/>
    <w:rsid w:val="00A9624A"/>
    <w:rsid w:val="00A97451"/>
    <w:rsid w:val="00AA03B9"/>
    <w:rsid w:val="00AA0A52"/>
    <w:rsid w:val="00AA156A"/>
    <w:rsid w:val="00AA38E8"/>
    <w:rsid w:val="00AA4998"/>
    <w:rsid w:val="00AB0460"/>
    <w:rsid w:val="00AB06F8"/>
    <w:rsid w:val="00AB0A89"/>
    <w:rsid w:val="00AB1A3C"/>
    <w:rsid w:val="00AB2475"/>
    <w:rsid w:val="00AB307F"/>
    <w:rsid w:val="00AB4A1A"/>
    <w:rsid w:val="00AB6339"/>
    <w:rsid w:val="00AB6F81"/>
    <w:rsid w:val="00AB72B5"/>
    <w:rsid w:val="00AC0ADF"/>
    <w:rsid w:val="00AC1FF4"/>
    <w:rsid w:val="00AC45EA"/>
    <w:rsid w:val="00AD1D52"/>
    <w:rsid w:val="00AD2966"/>
    <w:rsid w:val="00AD2AC5"/>
    <w:rsid w:val="00AD4FDB"/>
    <w:rsid w:val="00AD636D"/>
    <w:rsid w:val="00AD7C9B"/>
    <w:rsid w:val="00AD7EBB"/>
    <w:rsid w:val="00AE01A3"/>
    <w:rsid w:val="00AE0256"/>
    <w:rsid w:val="00AE10E7"/>
    <w:rsid w:val="00AE2382"/>
    <w:rsid w:val="00AE2C77"/>
    <w:rsid w:val="00AE2E9B"/>
    <w:rsid w:val="00AE3BA8"/>
    <w:rsid w:val="00AE6F3C"/>
    <w:rsid w:val="00AF0CC9"/>
    <w:rsid w:val="00AF1028"/>
    <w:rsid w:val="00AF449E"/>
    <w:rsid w:val="00AF7386"/>
    <w:rsid w:val="00B007A6"/>
    <w:rsid w:val="00B01B93"/>
    <w:rsid w:val="00B03973"/>
    <w:rsid w:val="00B03B21"/>
    <w:rsid w:val="00B03E83"/>
    <w:rsid w:val="00B058C3"/>
    <w:rsid w:val="00B05D9A"/>
    <w:rsid w:val="00B05F23"/>
    <w:rsid w:val="00B0672D"/>
    <w:rsid w:val="00B12DAE"/>
    <w:rsid w:val="00B14A36"/>
    <w:rsid w:val="00B16DF3"/>
    <w:rsid w:val="00B16FC3"/>
    <w:rsid w:val="00B17B89"/>
    <w:rsid w:val="00B20F1B"/>
    <w:rsid w:val="00B22629"/>
    <w:rsid w:val="00B22EE8"/>
    <w:rsid w:val="00B24F3B"/>
    <w:rsid w:val="00B26F37"/>
    <w:rsid w:val="00B27E7E"/>
    <w:rsid w:val="00B31FA1"/>
    <w:rsid w:val="00B3357D"/>
    <w:rsid w:val="00B351E1"/>
    <w:rsid w:val="00B367B4"/>
    <w:rsid w:val="00B419D9"/>
    <w:rsid w:val="00B43627"/>
    <w:rsid w:val="00B44EA1"/>
    <w:rsid w:val="00B44EA4"/>
    <w:rsid w:val="00B45797"/>
    <w:rsid w:val="00B47675"/>
    <w:rsid w:val="00B47B1E"/>
    <w:rsid w:val="00B47DAD"/>
    <w:rsid w:val="00B504C3"/>
    <w:rsid w:val="00B50F93"/>
    <w:rsid w:val="00B5184C"/>
    <w:rsid w:val="00B52E6E"/>
    <w:rsid w:val="00B543DC"/>
    <w:rsid w:val="00B55645"/>
    <w:rsid w:val="00B55BA7"/>
    <w:rsid w:val="00B5642F"/>
    <w:rsid w:val="00B5661F"/>
    <w:rsid w:val="00B57159"/>
    <w:rsid w:val="00B57C6A"/>
    <w:rsid w:val="00B60857"/>
    <w:rsid w:val="00B62E01"/>
    <w:rsid w:val="00B63189"/>
    <w:rsid w:val="00B6421C"/>
    <w:rsid w:val="00B6497F"/>
    <w:rsid w:val="00B64D83"/>
    <w:rsid w:val="00B65A42"/>
    <w:rsid w:val="00B65FA4"/>
    <w:rsid w:val="00B67E14"/>
    <w:rsid w:val="00B7151C"/>
    <w:rsid w:val="00B71724"/>
    <w:rsid w:val="00B728A2"/>
    <w:rsid w:val="00B72C02"/>
    <w:rsid w:val="00B73500"/>
    <w:rsid w:val="00B74072"/>
    <w:rsid w:val="00B75DFC"/>
    <w:rsid w:val="00B76121"/>
    <w:rsid w:val="00B76355"/>
    <w:rsid w:val="00B778CD"/>
    <w:rsid w:val="00B824ED"/>
    <w:rsid w:val="00B82AE8"/>
    <w:rsid w:val="00B82D56"/>
    <w:rsid w:val="00B84175"/>
    <w:rsid w:val="00B846C7"/>
    <w:rsid w:val="00B85584"/>
    <w:rsid w:val="00B87163"/>
    <w:rsid w:val="00B87F16"/>
    <w:rsid w:val="00B87F84"/>
    <w:rsid w:val="00B9282A"/>
    <w:rsid w:val="00B92F20"/>
    <w:rsid w:val="00B92FE1"/>
    <w:rsid w:val="00B9384C"/>
    <w:rsid w:val="00B9404E"/>
    <w:rsid w:val="00B95280"/>
    <w:rsid w:val="00B95795"/>
    <w:rsid w:val="00B96EEE"/>
    <w:rsid w:val="00B9736B"/>
    <w:rsid w:val="00B97F44"/>
    <w:rsid w:val="00BA05EE"/>
    <w:rsid w:val="00BA0DCF"/>
    <w:rsid w:val="00BA0EA7"/>
    <w:rsid w:val="00BA1471"/>
    <w:rsid w:val="00BA2811"/>
    <w:rsid w:val="00BA2B50"/>
    <w:rsid w:val="00BA4E0C"/>
    <w:rsid w:val="00BA5BFA"/>
    <w:rsid w:val="00BA712D"/>
    <w:rsid w:val="00BB3478"/>
    <w:rsid w:val="00BB4154"/>
    <w:rsid w:val="00BB46B2"/>
    <w:rsid w:val="00BB670B"/>
    <w:rsid w:val="00BB7C79"/>
    <w:rsid w:val="00BB7FA8"/>
    <w:rsid w:val="00BC0308"/>
    <w:rsid w:val="00BC31D5"/>
    <w:rsid w:val="00BC3C48"/>
    <w:rsid w:val="00BC588D"/>
    <w:rsid w:val="00BC5D32"/>
    <w:rsid w:val="00BC65B2"/>
    <w:rsid w:val="00BC69F1"/>
    <w:rsid w:val="00BC73FD"/>
    <w:rsid w:val="00BD059E"/>
    <w:rsid w:val="00BD1351"/>
    <w:rsid w:val="00BD13CF"/>
    <w:rsid w:val="00BD190B"/>
    <w:rsid w:val="00BD1A2B"/>
    <w:rsid w:val="00BD1FD2"/>
    <w:rsid w:val="00BD2062"/>
    <w:rsid w:val="00BD3B68"/>
    <w:rsid w:val="00BD524F"/>
    <w:rsid w:val="00BD6F32"/>
    <w:rsid w:val="00BD7D88"/>
    <w:rsid w:val="00BE1E4D"/>
    <w:rsid w:val="00BE60BB"/>
    <w:rsid w:val="00BE6822"/>
    <w:rsid w:val="00BE7532"/>
    <w:rsid w:val="00BF027D"/>
    <w:rsid w:val="00BF05A3"/>
    <w:rsid w:val="00BF0A7C"/>
    <w:rsid w:val="00BF3E47"/>
    <w:rsid w:val="00BF511D"/>
    <w:rsid w:val="00BF664D"/>
    <w:rsid w:val="00BF7ECA"/>
    <w:rsid w:val="00C00716"/>
    <w:rsid w:val="00C00946"/>
    <w:rsid w:val="00C00EF8"/>
    <w:rsid w:val="00C03D06"/>
    <w:rsid w:val="00C05DFC"/>
    <w:rsid w:val="00C05FE0"/>
    <w:rsid w:val="00C077CE"/>
    <w:rsid w:val="00C1043F"/>
    <w:rsid w:val="00C10E92"/>
    <w:rsid w:val="00C11E9D"/>
    <w:rsid w:val="00C122E6"/>
    <w:rsid w:val="00C12B4D"/>
    <w:rsid w:val="00C13000"/>
    <w:rsid w:val="00C1300C"/>
    <w:rsid w:val="00C13747"/>
    <w:rsid w:val="00C1579F"/>
    <w:rsid w:val="00C1641F"/>
    <w:rsid w:val="00C23639"/>
    <w:rsid w:val="00C23DB1"/>
    <w:rsid w:val="00C240A4"/>
    <w:rsid w:val="00C26206"/>
    <w:rsid w:val="00C2666B"/>
    <w:rsid w:val="00C26B9D"/>
    <w:rsid w:val="00C271C3"/>
    <w:rsid w:val="00C2749F"/>
    <w:rsid w:val="00C27511"/>
    <w:rsid w:val="00C3105C"/>
    <w:rsid w:val="00C3183A"/>
    <w:rsid w:val="00C32C61"/>
    <w:rsid w:val="00C35537"/>
    <w:rsid w:val="00C3654E"/>
    <w:rsid w:val="00C37BC7"/>
    <w:rsid w:val="00C44226"/>
    <w:rsid w:val="00C44EDE"/>
    <w:rsid w:val="00C4506E"/>
    <w:rsid w:val="00C452CB"/>
    <w:rsid w:val="00C456A0"/>
    <w:rsid w:val="00C50D71"/>
    <w:rsid w:val="00C51072"/>
    <w:rsid w:val="00C52E3E"/>
    <w:rsid w:val="00C52E8D"/>
    <w:rsid w:val="00C54638"/>
    <w:rsid w:val="00C54EBF"/>
    <w:rsid w:val="00C56304"/>
    <w:rsid w:val="00C56834"/>
    <w:rsid w:val="00C56BD5"/>
    <w:rsid w:val="00C57FA2"/>
    <w:rsid w:val="00C603EE"/>
    <w:rsid w:val="00C60AA5"/>
    <w:rsid w:val="00C61336"/>
    <w:rsid w:val="00C6172E"/>
    <w:rsid w:val="00C6747A"/>
    <w:rsid w:val="00C67608"/>
    <w:rsid w:val="00C71433"/>
    <w:rsid w:val="00C716BD"/>
    <w:rsid w:val="00C72E64"/>
    <w:rsid w:val="00C736E5"/>
    <w:rsid w:val="00C755E8"/>
    <w:rsid w:val="00C76035"/>
    <w:rsid w:val="00C77550"/>
    <w:rsid w:val="00C80393"/>
    <w:rsid w:val="00C822A8"/>
    <w:rsid w:val="00C83CB2"/>
    <w:rsid w:val="00C87A96"/>
    <w:rsid w:val="00C90115"/>
    <w:rsid w:val="00C902AE"/>
    <w:rsid w:val="00C91C7E"/>
    <w:rsid w:val="00C92E30"/>
    <w:rsid w:val="00C948D0"/>
    <w:rsid w:val="00C965EE"/>
    <w:rsid w:val="00C977AC"/>
    <w:rsid w:val="00CA0268"/>
    <w:rsid w:val="00CA2592"/>
    <w:rsid w:val="00CA4FF2"/>
    <w:rsid w:val="00CA5663"/>
    <w:rsid w:val="00CA5A28"/>
    <w:rsid w:val="00CA6051"/>
    <w:rsid w:val="00CA6B5C"/>
    <w:rsid w:val="00CB094C"/>
    <w:rsid w:val="00CB12EA"/>
    <w:rsid w:val="00CB3E54"/>
    <w:rsid w:val="00CB4C5E"/>
    <w:rsid w:val="00CB626D"/>
    <w:rsid w:val="00CC1CFE"/>
    <w:rsid w:val="00CC2981"/>
    <w:rsid w:val="00CC35C7"/>
    <w:rsid w:val="00CC36B2"/>
    <w:rsid w:val="00CC4B84"/>
    <w:rsid w:val="00CC5EEA"/>
    <w:rsid w:val="00CD017B"/>
    <w:rsid w:val="00CD0B60"/>
    <w:rsid w:val="00CD53F1"/>
    <w:rsid w:val="00CD7911"/>
    <w:rsid w:val="00CD7FF9"/>
    <w:rsid w:val="00CE072E"/>
    <w:rsid w:val="00CE1CF6"/>
    <w:rsid w:val="00CE1ED6"/>
    <w:rsid w:val="00CE3037"/>
    <w:rsid w:val="00CE3FF4"/>
    <w:rsid w:val="00CE6BFA"/>
    <w:rsid w:val="00CE6C52"/>
    <w:rsid w:val="00CE7D53"/>
    <w:rsid w:val="00CF02B8"/>
    <w:rsid w:val="00CF0DCB"/>
    <w:rsid w:val="00CF2FCC"/>
    <w:rsid w:val="00CF6C8F"/>
    <w:rsid w:val="00CF704B"/>
    <w:rsid w:val="00D00D12"/>
    <w:rsid w:val="00D01E72"/>
    <w:rsid w:val="00D02AE9"/>
    <w:rsid w:val="00D03C58"/>
    <w:rsid w:val="00D03D77"/>
    <w:rsid w:val="00D03E15"/>
    <w:rsid w:val="00D0588F"/>
    <w:rsid w:val="00D063C6"/>
    <w:rsid w:val="00D1242D"/>
    <w:rsid w:val="00D1379F"/>
    <w:rsid w:val="00D15AA1"/>
    <w:rsid w:val="00D1680B"/>
    <w:rsid w:val="00D1712D"/>
    <w:rsid w:val="00D21493"/>
    <w:rsid w:val="00D2185D"/>
    <w:rsid w:val="00D255A6"/>
    <w:rsid w:val="00D25669"/>
    <w:rsid w:val="00D2721F"/>
    <w:rsid w:val="00D27B78"/>
    <w:rsid w:val="00D31E8D"/>
    <w:rsid w:val="00D32F20"/>
    <w:rsid w:val="00D331F3"/>
    <w:rsid w:val="00D3628D"/>
    <w:rsid w:val="00D373C3"/>
    <w:rsid w:val="00D41FC6"/>
    <w:rsid w:val="00D42EE4"/>
    <w:rsid w:val="00D44099"/>
    <w:rsid w:val="00D45404"/>
    <w:rsid w:val="00D46D95"/>
    <w:rsid w:val="00D46EA3"/>
    <w:rsid w:val="00D50EB1"/>
    <w:rsid w:val="00D51012"/>
    <w:rsid w:val="00D51EEC"/>
    <w:rsid w:val="00D5204B"/>
    <w:rsid w:val="00D53675"/>
    <w:rsid w:val="00D54CFE"/>
    <w:rsid w:val="00D56817"/>
    <w:rsid w:val="00D57E19"/>
    <w:rsid w:val="00D57F81"/>
    <w:rsid w:val="00D62BC6"/>
    <w:rsid w:val="00D62EFB"/>
    <w:rsid w:val="00D6363A"/>
    <w:rsid w:val="00D63E90"/>
    <w:rsid w:val="00D64E76"/>
    <w:rsid w:val="00D64F8F"/>
    <w:rsid w:val="00D65421"/>
    <w:rsid w:val="00D65D1A"/>
    <w:rsid w:val="00D66BDC"/>
    <w:rsid w:val="00D66FF6"/>
    <w:rsid w:val="00D70032"/>
    <w:rsid w:val="00D7159A"/>
    <w:rsid w:val="00D7176C"/>
    <w:rsid w:val="00D74051"/>
    <w:rsid w:val="00D7426E"/>
    <w:rsid w:val="00D820D0"/>
    <w:rsid w:val="00D83A98"/>
    <w:rsid w:val="00D846B8"/>
    <w:rsid w:val="00D86461"/>
    <w:rsid w:val="00D90548"/>
    <w:rsid w:val="00D90984"/>
    <w:rsid w:val="00D9209B"/>
    <w:rsid w:val="00D92D5A"/>
    <w:rsid w:val="00D92F9B"/>
    <w:rsid w:val="00D946C4"/>
    <w:rsid w:val="00D94A5C"/>
    <w:rsid w:val="00D94F4F"/>
    <w:rsid w:val="00D95462"/>
    <w:rsid w:val="00D95C82"/>
    <w:rsid w:val="00D97D23"/>
    <w:rsid w:val="00DA2CA8"/>
    <w:rsid w:val="00DA3556"/>
    <w:rsid w:val="00DB22FC"/>
    <w:rsid w:val="00DB6003"/>
    <w:rsid w:val="00DB61F2"/>
    <w:rsid w:val="00DB7087"/>
    <w:rsid w:val="00DB7676"/>
    <w:rsid w:val="00DB76C8"/>
    <w:rsid w:val="00DC0340"/>
    <w:rsid w:val="00DC0455"/>
    <w:rsid w:val="00DC0DF9"/>
    <w:rsid w:val="00DC0EB1"/>
    <w:rsid w:val="00DC1038"/>
    <w:rsid w:val="00DC237F"/>
    <w:rsid w:val="00DC44E9"/>
    <w:rsid w:val="00DC4B81"/>
    <w:rsid w:val="00DC527B"/>
    <w:rsid w:val="00DC6053"/>
    <w:rsid w:val="00DC619A"/>
    <w:rsid w:val="00DC62D4"/>
    <w:rsid w:val="00DC63F6"/>
    <w:rsid w:val="00DC6499"/>
    <w:rsid w:val="00DC73D2"/>
    <w:rsid w:val="00DD04D7"/>
    <w:rsid w:val="00DD09D9"/>
    <w:rsid w:val="00DD0C0E"/>
    <w:rsid w:val="00DD2ABC"/>
    <w:rsid w:val="00DD4F04"/>
    <w:rsid w:val="00DD623A"/>
    <w:rsid w:val="00DD6B65"/>
    <w:rsid w:val="00DE2CFD"/>
    <w:rsid w:val="00DE3276"/>
    <w:rsid w:val="00DE5123"/>
    <w:rsid w:val="00DE758B"/>
    <w:rsid w:val="00DE7F86"/>
    <w:rsid w:val="00DF2FF9"/>
    <w:rsid w:val="00DF34CE"/>
    <w:rsid w:val="00DF4C13"/>
    <w:rsid w:val="00DF56FE"/>
    <w:rsid w:val="00DF5882"/>
    <w:rsid w:val="00DF6AD2"/>
    <w:rsid w:val="00E004C7"/>
    <w:rsid w:val="00E00C21"/>
    <w:rsid w:val="00E0138C"/>
    <w:rsid w:val="00E01AAB"/>
    <w:rsid w:val="00E01C52"/>
    <w:rsid w:val="00E0230D"/>
    <w:rsid w:val="00E03B48"/>
    <w:rsid w:val="00E047D5"/>
    <w:rsid w:val="00E07011"/>
    <w:rsid w:val="00E0737B"/>
    <w:rsid w:val="00E07467"/>
    <w:rsid w:val="00E10363"/>
    <w:rsid w:val="00E1054A"/>
    <w:rsid w:val="00E10A80"/>
    <w:rsid w:val="00E10F84"/>
    <w:rsid w:val="00E121FC"/>
    <w:rsid w:val="00E1399A"/>
    <w:rsid w:val="00E1523F"/>
    <w:rsid w:val="00E1595F"/>
    <w:rsid w:val="00E15B76"/>
    <w:rsid w:val="00E168B5"/>
    <w:rsid w:val="00E169BE"/>
    <w:rsid w:val="00E20154"/>
    <w:rsid w:val="00E20A5A"/>
    <w:rsid w:val="00E21A12"/>
    <w:rsid w:val="00E21E9C"/>
    <w:rsid w:val="00E25D93"/>
    <w:rsid w:val="00E27DCD"/>
    <w:rsid w:val="00E3109F"/>
    <w:rsid w:val="00E31211"/>
    <w:rsid w:val="00E314B2"/>
    <w:rsid w:val="00E331E1"/>
    <w:rsid w:val="00E36127"/>
    <w:rsid w:val="00E36422"/>
    <w:rsid w:val="00E364B3"/>
    <w:rsid w:val="00E3724A"/>
    <w:rsid w:val="00E412FD"/>
    <w:rsid w:val="00E413AE"/>
    <w:rsid w:val="00E429FF"/>
    <w:rsid w:val="00E42A88"/>
    <w:rsid w:val="00E4503F"/>
    <w:rsid w:val="00E50D58"/>
    <w:rsid w:val="00E5291F"/>
    <w:rsid w:val="00E53641"/>
    <w:rsid w:val="00E5521D"/>
    <w:rsid w:val="00E559A8"/>
    <w:rsid w:val="00E55B94"/>
    <w:rsid w:val="00E56B71"/>
    <w:rsid w:val="00E60501"/>
    <w:rsid w:val="00E62DF4"/>
    <w:rsid w:val="00E63527"/>
    <w:rsid w:val="00E64A8B"/>
    <w:rsid w:val="00E64BF3"/>
    <w:rsid w:val="00E71AEB"/>
    <w:rsid w:val="00E736EB"/>
    <w:rsid w:val="00E73BD8"/>
    <w:rsid w:val="00E73E03"/>
    <w:rsid w:val="00E7425D"/>
    <w:rsid w:val="00E747D3"/>
    <w:rsid w:val="00E76940"/>
    <w:rsid w:val="00E76B5C"/>
    <w:rsid w:val="00E77EF6"/>
    <w:rsid w:val="00E7CA05"/>
    <w:rsid w:val="00E80667"/>
    <w:rsid w:val="00E81A05"/>
    <w:rsid w:val="00E83468"/>
    <w:rsid w:val="00E84305"/>
    <w:rsid w:val="00E85F64"/>
    <w:rsid w:val="00E878F4"/>
    <w:rsid w:val="00E87904"/>
    <w:rsid w:val="00E90A54"/>
    <w:rsid w:val="00E92268"/>
    <w:rsid w:val="00E925A5"/>
    <w:rsid w:val="00E935CE"/>
    <w:rsid w:val="00E936A8"/>
    <w:rsid w:val="00E94525"/>
    <w:rsid w:val="00E97AA5"/>
    <w:rsid w:val="00EA000F"/>
    <w:rsid w:val="00EA008B"/>
    <w:rsid w:val="00EA0365"/>
    <w:rsid w:val="00EA1204"/>
    <w:rsid w:val="00EA1F2A"/>
    <w:rsid w:val="00EA2527"/>
    <w:rsid w:val="00EA35D9"/>
    <w:rsid w:val="00EA37FF"/>
    <w:rsid w:val="00EA390B"/>
    <w:rsid w:val="00EA3A05"/>
    <w:rsid w:val="00EA5DAF"/>
    <w:rsid w:val="00EA6A09"/>
    <w:rsid w:val="00EA6C4D"/>
    <w:rsid w:val="00EA726B"/>
    <w:rsid w:val="00EA74EC"/>
    <w:rsid w:val="00EB136E"/>
    <w:rsid w:val="00EB1E7E"/>
    <w:rsid w:val="00EB4523"/>
    <w:rsid w:val="00EB4674"/>
    <w:rsid w:val="00EB4AD4"/>
    <w:rsid w:val="00EB5D97"/>
    <w:rsid w:val="00EB6DC3"/>
    <w:rsid w:val="00EC0F5C"/>
    <w:rsid w:val="00EC117E"/>
    <w:rsid w:val="00EC17B4"/>
    <w:rsid w:val="00EC2E8D"/>
    <w:rsid w:val="00EC5640"/>
    <w:rsid w:val="00EC69A4"/>
    <w:rsid w:val="00EC6EE2"/>
    <w:rsid w:val="00EC7C5D"/>
    <w:rsid w:val="00EC7EC9"/>
    <w:rsid w:val="00ED02D8"/>
    <w:rsid w:val="00ED3707"/>
    <w:rsid w:val="00ED41EC"/>
    <w:rsid w:val="00ED452F"/>
    <w:rsid w:val="00ED4EC0"/>
    <w:rsid w:val="00ED5761"/>
    <w:rsid w:val="00ED5803"/>
    <w:rsid w:val="00ED5BEB"/>
    <w:rsid w:val="00ED5D33"/>
    <w:rsid w:val="00ED6F5B"/>
    <w:rsid w:val="00ED7A55"/>
    <w:rsid w:val="00EE0DF8"/>
    <w:rsid w:val="00EE167E"/>
    <w:rsid w:val="00EE1FEF"/>
    <w:rsid w:val="00EE513F"/>
    <w:rsid w:val="00EE626F"/>
    <w:rsid w:val="00EE64EB"/>
    <w:rsid w:val="00EE68F9"/>
    <w:rsid w:val="00EE6B0E"/>
    <w:rsid w:val="00EE7F64"/>
    <w:rsid w:val="00EF2B89"/>
    <w:rsid w:val="00EF2C01"/>
    <w:rsid w:val="00EF3AC5"/>
    <w:rsid w:val="00EF3B93"/>
    <w:rsid w:val="00EF51BB"/>
    <w:rsid w:val="00EF63DD"/>
    <w:rsid w:val="00F00127"/>
    <w:rsid w:val="00F00888"/>
    <w:rsid w:val="00F0097C"/>
    <w:rsid w:val="00F062C4"/>
    <w:rsid w:val="00F06C09"/>
    <w:rsid w:val="00F072E3"/>
    <w:rsid w:val="00F10039"/>
    <w:rsid w:val="00F12768"/>
    <w:rsid w:val="00F13A98"/>
    <w:rsid w:val="00F13B1D"/>
    <w:rsid w:val="00F17B1B"/>
    <w:rsid w:val="00F2164D"/>
    <w:rsid w:val="00F22B0B"/>
    <w:rsid w:val="00F22B0F"/>
    <w:rsid w:val="00F2361E"/>
    <w:rsid w:val="00F2568D"/>
    <w:rsid w:val="00F30631"/>
    <w:rsid w:val="00F30B04"/>
    <w:rsid w:val="00F323D6"/>
    <w:rsid w:val="00F32919"/>
    <w:rsid w:val="00F33A6B"/>
    <w:rsid w:val="00F344AF"/>
    <w:rsid w:val="00F34D59"/>
    <w:rsid w:val="00F35B87"/>
    <w:rsid w:val="00F365DC"/>
    <w:rsid w:val="00F36AC0"/>
    <w:rsid w:val="00F41781"/>
    <w:rsid w:val="00F420F3"/>
    <w:rsid w:val="00F4414E"/>
    <w:rsid w:val="00F452EE"/>
    <w:rsid w:val="00F462E6"/>
    <w:rsid w:val="00F52C0E"/>
    <w:rsid w:val="00F52CFD"/>
    <w:rsid w:val="00F538BB"/>
    <w:rsid w:val="00F548F0"/>
    <w:rsid w:val="00F5580F"/>
    <w:rsid w:val="00F56C3F"/>
    <w:rsid w:val="00F57070"/>
    <w:rsid w:val="00F5744F"/>
    <w:rsid w:val="00F60FAE"/>
    <w:rsid w:val="00F61B9F"/>
    <w:rsid w:val="00F620A7"/>
    <w:rsid w:val="00F627A3"/>
    <w:rsid w:val="00F62A3B"/>
    <w:rsid w:val="00F6564E"/>
    <w:rsid w:val="00F70145"/>
    <w:rsid w:val="00F72B0C"/>
    <w:rsid w:val="00F73766"/>
    <w:rsid w:val="00F73862"/>
    <w:rsid w:val="00F741A1"/>
    <w:rsid w:val="00F77890"/>
    <w:rsid w:val="00F77E7E"/>
    <w:rsid w:val="00F81321"/>
    <w:rsid w:val="00F81DC5"/>
    <w:rsid w:val="00F85DB1"/>
    <w:rsid w:val="00F864B5"/>
    <w:rsid w:val="00F86530"/>
    <w:rsid w:val="00F9090B"/>
    <w:rsid w:val="00F925D7"/>
    <w:rsid w:val="00F9290C"/>
    <w:rsid w:val="00F9337A"/>
    <w:rsid w:val="00F94225"/>
    <w:rsid w:val="00F9526E"/>
    <w:rsid w:val="00F95821"/>
    <w:rsid w:val="00F95ACA"/>
    <w:rsid w:val="00F95E27"/>
    <w:rsid w:val="00F96E5A"/>
    <w:rsid w:val="00F96EEE"/>
    <w:rsid w:val="00FA655B"/>
    <w:rsid w:val="00FA7431"/>
    <w:rsid w:val="00FB11C2"/>
    <w:rsid w:val="00FB2D55"/>
    <w:rsid w:val="00FB472E"/>
    <w:rsid w:val="00FB480A"/>
    <w:rsid w:val="00FB4D74"/>
    <w:rsid w:val="00FB4E3C"/>
    <w:rsid w:val="00FB4EDF"/>
    <w:rsid w:val="00FB53DC"/>
    <w:rsid w:val="00FB5525"/>
    <w:rsid w:val="00FB5C79"/>
    <w:rsid w:val="00FC0D90"/>
    <w:rsid w:val="00FC367F"/>
    <w:rsid w:val="00FC4921"/>
    <w:rsid w:val="00FC5ABB"/>
    <w:rsid w:val="00FC7029"/>
    <w:rsid w:val="00FC7302"/>
    <w:rsid w:val="00FD1822"/>
    <w:rsid w:val="00FD1FF5"/>
    <w:rsid w:val="00FD5B96"/>
    <w:rsid w:val="00FE0552"/>
    <w:rsid w:val="00FE256A"/>
    <w:rsid w:val="00FE5AA5"/>
    <w:rsid w:val="00FE789F"/>
    <w:rsid w:val="00FF0FE8"/>
    <w:rsid w:val="00FF6E4D"/>
    <w:rsid w:val="00FF6F3D"/>
    <w:rsid w:val="00FF6F98"/>
    <w:rsid w:val="086F38A7"/>
    <w:rsid w:val="10AE7AE5"/>
    <w:rsid w:val="133D98FD"/>
    <w:rsid w:val="13B71552"/>
    <w:rsid w:val="184E792B"/>
    <w:rsid w:val="1AFB9497"/>
    <w:rsid w:val="1DD8D5AE"/>
    <w:rsid w:val="1EF11125"/>
    <w:rsid w:val="294756E7"/>
    <w:rsid w:val="2CCBEC6E"/>
    <w:rsid w:val="35BFAE42"/>
    <w:rsid w:val="3EB255AF"/>
    <w:rsid w:val="472EC48D"/>
    <w:rsid w:val="4BFAADCC"/>
    <w:rsid w:val="4C996CEE"/>
    <w:rsid w:val="4D12E943"/>
    <w:rsid w:val="4F8B7F49"/>
    <w:rsid w:val="4FB3BD1B"/>
    <w:rsid w:val="5D86364C"/>
    <w:rsid w:val="6C3AFD56"/>
    <w:rsid w:val="6CFB9F42"/>
    <w:rsid w:val="7BCA3EE3"/>
    <w:rsid w:val="7C03A6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C99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1E2"/>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BA5BFA"/>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526C06"/>
    <w:pPr>
      <w:ind w:left="0" w:firstLine="0"/>
    </w:pPr>
  </w:style>
  <w:style w:type="paragraph" w:styleId="ListParagraph">
    <w:name w:val="List Paragraph"/>
    <w:basedOn w:val="Normal"/>
    <w:uiPriority w:val="34"/>
    <w:qFormat/>
    <w:rsid w:val="00DC6499"/>
    <w:pPr>
      <w:ind w:left="720"/>
      <w:contextualSpacing/>
    </w:pPr>
  </w:style>
  <w:style w:type="paragraph" w:styleId="CommentSubject">
    <w:name w:val="annotation subject"/>
    <w:basedOn w:val="CommentText"/>
    <w:next w:val="CommentText"/>
    <w:link w:val="CommentSubjectChar"/>
    <w:uiPriority w:val="99"/>
    <w:semiHidden/>
    <w:unhideWhenUsed/>
    <w:rsid w:val="003104F2"/>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3104F2"/>
    <w:rPr>
      <w:rFonts w:ascii="Times New Roman" w:eastAsia="Times New Roman" w:hAnsi="Times New Roman" w:cs="Times New Roman"/>
      <w:b/>
      <w:bCs/>
      <w:szCs w:val="20"/>
      <w:lang w:eastAsia="en-AU"/>
    </w:rPr>
  </w:style>
  <w:style w:type="character" w:styleId="FollowedHyperlink">
    <w:name w:val="FollowedHyperlink"/>
    <w:basedOn w:val="DefaultParagraphFont"/>
    <w:uiPriority w:val="99"/>
    <w:semiHidden/>
    <w:unhideWhenUsed/>
    <w:rsid w:val="00036DBF"/>
    <w:rPr>
      <w:color w:val="954F72" w:themeColor="followedHyperlink"/>
      <w:u w:val="single"/>
    </w:rPr>
  </w:style>
  <w:style w:type="paragraph" w:styleId="NormalWeb">
    <w:name w:val="Normal (Web)"/>
    <w:basedOn w:val="Normal"/>
    <w:uiPriority w:val="99"/>
    <w:unhideWhenUsed/>
    <w:rsid w:val="00A36F14"/>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06362">
      <w:bodyDiv w:val="1"/>
      <w:marLeft w:val="0"/>
      <w:marRight w:val="0"/>
      <w:marTop w:val="0"/>
      <w:marBottom w:val="0"/>
      <w:divBdr>
        <w:top w:val="none" w:sz="0" w:space="0" w:color="auto"/>
        <w:left w:val="none" w:sz="0" w:space="0" w:color="auto"/>
        <w:bottom w:val="none" w:sz="0" w:space="0" w:color="auto"/>
        <w:right w:val="none" w:sz="0" w:space="0" w:color="auto"/>
      </w:divBdr>
    </w:div>
    <w:div w:id="460194943">
      <w:bodyDiv w:val="1"/>
      <w:marLeft w:val="0"/>
      <w:marRight w:val="0"/>
      <w:marTop w:val="0"/>
      <w:marBottom w:val="0"/>
      <w:divBdr>
        <w:top w:val="none" w:sz="0" w:space="0" w:color="auto"/>
        <w:left w:val="none" w:sz="0" w:space="0" w:color="auto"/>
        <w:bottom w:val="none" w:sz="0" w:space="0" w:color="auto"/>
        <w:right w:val="none" w:sz="0" w:space="0" w:color="auto"/>
      </w:divBdr>
    </w:div>
    <w:div w:id="1469279841">
      <w:bodyDiv w:val="1"/>
      <w:marLeft w:val="0"/>
      <w:marRight w:val="0"/>
      <w:marTop w:val="0"/>
      <w:marBottom w:val="0"/>
      <w:divBdr>
        <w:top w:val="none" w:sz="0" w:space="0" w:color="auto"/>
        <w:left w:val="none" w:sz="0" w:space="0" w:color="auto"/>
        <w:bottom w:val="none" w:sz="0" w:space="0" w:color="auto"/>
        <w:right w:val="none" w:sz="0" w:space="0" w:color="auto"/>
      </w:divBdr>
    </w:div>
    <w:div w:id="1640451064">
      <w:bodyDiv w:val="1"/>
      <w:marLeft w:val="0"/>
      <w:marRight w:val="0"/>
      <w:marTop w:val="0"/>
      <w:marBottom w:val="0"/>
      <w:divBdr>
        <w:top w:val="none" w:sz="0" w:space="0" w:color="auto"/>
        <w:left w:val="none" w:sz="0" w:space="0" w:color="auto"/>
        <w:bottom w:val="none" w:sz="0" w:space="0" w:color="auto"/>
        <w:right w:val="none" w:sz="0" w:space="0" w:color="auto"/>
      </w:divBdr>
    </w:div>
    <w:div w:id="2029597489">
      <w:bodyDiv w:val="1"/>
      <w:marLeft w:val="0"/>
      <w:marRight w:val="0"/>
      <w:marTop w:val="0"/>
      <w:marBottom w:val="0"/>
      <w:divBdr>
        <w:top w:val="none" w:sz="0" w:space="0" w:color="auto"/>
        <w:left w:val="none" w:sz="0" w:space="0" w:color="auto"/>
        <w:bottom w:val="none" w:sz="0" w:space="0" w:color="auto"/>
        <w:right w:val="none" w:sz="0" w:space="0" w:color="auto"/>
      </w:divBdr>
    </w:div>
    <w:div w:id="20504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8fb8a98cf24f457f" Type="http://schemas.microsoft.com/office/2019/09/relationships/intelligence" Target="intelligence.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1C357AF1D34D3485029A914FDA90D6"/>
        <w:category>
          <w:name w:val="General"/>
          <w:gallery w:val="placeholder"/>
        </w:category>
        <w:types>
          <w:type w:val="bbPlcHdr"/>
        </w:types>
        <w:behaviors>
          <w:behavior w:val="content"/>
        </w:behaviors>
        <w:guid w:val="{1B7A26A2-E4FB-4441-9AE3-674B7A990FFC}"/>
      </w:docPartPr>
      <w:docPartBody>
        <w:p w:rsidR="00A16A13" w:rsidRDefault="00A16A13">
          <w:pPr>
            <w:pStyle w:val="DB1C357AF1D34D3485029A914FDA90D6"/>
          </w:pPr>
          <w:r w:rsidRPr="00733356">
            <w:rPr>
              <w:rStyle w:val="PlaceholderText"/>
            </w:rPr>
            <w:t>[</w:t>
          </w:r>
          <w:r>
            <w:rPr>
              <w:rStyle w:val="PlaceholderText"/>
            </w:rPr>
            <w:t>Choose a report priority</w:t>
          </w:r>
          <w:r w:rsidRPr="00733356">
            <w:rPr>
              <w:rStyle w:val="PlaceholderText"/>
            </w:rPr>
            <w:t>]</w:t>
          </w:r>
        </w:p>
      </w:docPartBody>
    </w:docPart>
    <w:docPart>
      <w:docPartPr>
        <w:name w:val="B518D9FC8F8A43BF92E6F3CB2F47F832"/>
        <w:category>
          <w:name w:val="General"/>
          <w:gallery w:val="placeholder"/>
        </w:category>
        <w:types>
          <w:type w:val="bbPlcHdr"/>
        </w:types>
        <w:behaviors>
          <w:behavior w:val="content"/>
        </w:behaviors>
        <w:guid w:val="{E3B36A0A-B6EF-4E74-A3CD-1E9D05AD7B72}"/>
      </w:docPartPr>
      <w:docPartBody>
        <w:p w:rsidR="00A16A13" w:rsidRDefault="00A16A13">
          <w:pPr>
            <w:pStyle w:val="B518D9FC8F8A43BF92E6F3CB2F47F832"/>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13"/>
    <w:rsid w:val="000D202D"/>
    <w:rsid w:val="00274048"/>
    <w:rsid w:val="002938EC"/>
    <w:rsid w:val="002E300D"/>
    <w:rsid w:val="0030719D"/>
    <w:rsid w:val="00325328"/>
    <w:rsid w:val="004C7A38"/>
    <w:rsid w:val="00577A40"/>
    <w:rsid w:val="00751BB4"/>
    <w:rsid w:val="007C461A"/>
    <w:rsid w:val="00A16A13"/>
    <w:rsid w:val="00B3770C"/>
    <w:rsid w:val="00BF422C"/>
    <w:rsid w:val="00C2286F"/>
    <w:rsid w:val="00C94A4A"/>
    <w:rsid w:val="00C97631"/>
    <w:rsid w:val="00D251F3"/>
    <w:rsid w:val="00DA73E2"/>
    <w:rsid w:val="00FF5A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B1C357AF1D34D3485029A914FDA90D6">
    <w:name w:val="DB1C357AF1D34D3485029A914FDA90D6"/>
  </w:style>
  <w:style w:type="paragraph" w:customStyle="1" w:styleId="B518D9FC8F8A43BF92E6F3CB2F47F832">
    <w:name w:val="B518D9FC8F8A43BF92E6F3CB2F47F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19" ma:contentTypeDescription="Inland Revenue NZ Document" ma:contentTypeScope="" ma:versionID="a08b23e5e65b377d8ba59208d0e3ef32">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fe668fbfb2b1bbe055ef84fa0169edfc"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TaxCatchAll xmlns="a4a9dc13-bb31-46d7-b689-a0a4d48a0c28">
      <Value>3</Value>
      <Value>2</Value>
      <Value>1</Value>
    </TaxCatchAll>
    <_Version xmlns="http://schemas.microsoft.com/sharepoint/v3/fields"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documentManagement>
</p:properties>
</file>

<file path=customXml/itemProps1.xml><?xml version="1.0" encoding="utf-8"?>
<ds:datastoreItem xmlns:ds="http://schemas.openxmlformats.org/officeDocument/2006/customXml" ds:itemID="{2C3D8183-6591-4F8D-8F8F-1AEF9F895E5A}"/>
</file>

<file path=customXml/itemProps2.xml><?xml version="1.0" encoding="utf-8"?>
<ds:datastoreItem xmlns:ds="http://schemas.openxmlformats.org/officeDocument/2006/customXml" ds:itemID="{06E35013-C9F8-42E4-92C9-3E5F040F2A6E}"/>
</file>

<file path=customXml/itemProps3.xml><?xml version="1.0" encoding="utf-8"?>
<ds:datastoreItem xmlns:ds="http://schemas.openxmlformats.org/officeDocument/2006/customXml" ds:itemID="{DBE72F27-299C-4372-956B-08AF22C16AD4}"/>
</file>

<file path=docProps/app.xml><?xml version="1.0" encoding="utf-8"?>
<Properties xmlns="http://schemas.openxmlformats.org/officeDocument/2006/extended-properties" xmlns:vt="http://schemas.openxmlformats.org/officeDocument/2006/docPropsVTypes">
  <Template>Normal.dotm</Template>
  <TotalTime>0</TotalTime>
  <Pages>10</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2022-03-25T04:33:00Z</dcterms:created>
  <dcterms:modified xsi:type="dcterms:W3CDTF">2022-03-25T04:33:00Z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2022-03-25T04:33:43Z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fda41c12-c1ae-4d39-b8fa-9c70ba5a6a86</vt:lpwstr>
  </property>
  <property fmtid="{D5CDD505-2E9C-101B-9397-08002B2CF9AE}" pid="8" name="MSIP_Label_993bc26a-ca06-4f83-a49a-54da0c892e4f_ContentBits">
    <vt:lpwstr>0</vt:lpwstr>
  </property>
  <property fmtid="{D5CDD505-2E9C-101B-9397-08002B2CF9AE}" pid="9" name="BusinessUnit">
    <vt:lpwstr>2;#Policy ＆ Regulatory Stewardship|5c6da56c-2219-46c1-9c7b-c15fc3fd45a5</vt:lpwstr>
  </property>
  <property fmtid="{D5CDD505-2E9C-101B-9397-08002B2CF9AE}" pid="10" name="ContentTypeId">
    <vt:lpwstr>0x0101000B461733DE48CC4985E239AAFC9C41590100670D0BD9AB7101418FC69E4F42B3A5BC</vt:lpwstr>
  </property>
  <property fmtid="{D5CDD505-2E9C-101B-9397-08002B2CF9AE}" pid="11" name="SecurityClassification">
    <vt:lpwstr>3;#In Confidence|5fccf67f-7cb1-4561-8450-fe0d2ea19178</vt:lpwstr>
  </property>
  <property fmtid="{D5CDD505-2E9C-101B-9397-08002B2CF9AE}" pid="12" name="BusinessActivity">
    <vt:lpwstr>1;#Tax policy work|c05dfd7c-a5ba-47bf-969f-3422104229d3</vt:lpwstr>
  </property>
  <property fmtid="{D5CDD505-2E9C-101B-9397-08002B2CF9AE}" pid="13" name="InformationType">
    <vt:lpwstr/>
  </property>
  <property fmtid="{D5CDD505-2E9C-101B-9397-08002B2CF9AE}" pid="14" name="DocumentStatus">
    <vt:lpwstr/>
  </property>
  <property fmtid="{D5CDD505-2E9C-101B-9397-08002B2CF9AE}" pid="15" name="MediaServiceImageTags">
    <vt:lpwstr/>
  </property>
</Properties>
</file>