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9EDB8" w14:textId="675CBCC3" w:rsidR="00DC4CA7" w:rsidRPr="00DC4CA7" w:rsidRDefault="00DC4CA7" w:rsidP="00DC4CA7">
      <w:pPr>
        <w:pBdr>
          <w:bottom w:val="single" w:sz="4" w:space="6" w:color="auto"/>
        </w:pBdr>
        <w:spacing w:before="1200"/>
        <w:jc w:val="left"/>
        <w:rPr>
          <w:rFonts w:ascii="Source Sans Pro" w:hAnsi="Source Sans Pro"/>
          <w:sz w:val="56"/>
          <w:szCs w:val="56"/>
          <w:lang w:eastAsia="en-AU"/>
        </w:rPr>
      </w:pPr>
      <w:bookmarkStart w:id="0" w:name="_Toc429977995"/>
      <w:r w:rsidRPr="00DC4CA7">
        <w:rPr>
          <w:rFonts w:ascii="Source Sans Pro" w:hAnsi="Source Sans Pro"/>
          <w:sz w:val="56"/>
          <w:szCs w:val="56"/>
          <w:lang w:eastAsia="en-AU"/>
        </w:rPr>
        <w:t xml:space="preserve">OECD Pillar Two: GloBE rules for </w:t>
      </w:r>
      <w:r w:rsidR="00D42789">
        <w:rPr>
          <w:rFonts w:ascii="Source Sans Pro" w:hAnsi="Source Sans Pro"/>
          <w:sz w:val="56"/>
          <w:szCs w:val="56"/>
          <w:lang w:eastAsia="en-AU"/>
        </w:rPr>
        <w:br/>
      </w:r>
      <w:r w:rsidRPr="00DC4CA7">
        <w:rPr>
          <w:rFonts w:ascii="Source Sans Pro" w:hAnsi="Source Sans Pro"/>
          <w:sz w:val="56"/>
          <w:szCs w:val="56"/>
          <w:lang w:eastAsia="en-AU"/>
        </w:rPr>
        <w:t>New Zealand</w:t>
      </w:r>
    </w:p>
    <w:p w14:paraId="10516C36" w14:textId="77777777" w:rsidR="00DC4CA7" w:rsidRPr="00DC4CA7" w:rsidRDefault="00DC4CA7" w:rsidP="00DC4CA7">
      <w:pPr>
        <w:spacing w:after="0"/>
        <w:jc w:val="left"/>
        <w:rPr>
          <w:rFonts w:ascii="Source Sans Pro" w:hAnsi="Source Sans Pro"/>
          <w:i/>
          <w:sz w:val="28"/>
          <w:szCs w:val="28"/>
        </w:rPr>
      </w:pPr>
      <w:r w:rsidRPr="00DC4CA7">
        <w:rPr>
          <w:rFonts w:ascii="Source Sans Pro" w:hAnsi="Source Sans Pro"/>
          <w:i/>
          <w:sz w:val="28"/>
          <w:szCs w:val="28"/>
        </w:rPr>
        <w:t>An officials’ issues paper</w:t>
      </w:r>
    </w:p>
    <w:p w14:paraId="1EB10838" w14:textId="34139947" w:rsidR="00DC4CA7" w:rsidRPr="00DC4CA7" w:rsidRDefault="00DC4CA7" w:rsidP="00DC4CA7">
      <w:pPr>
        <w:spacing w:before="96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9"/>
      </w:tblGrid>
      <w:tr w:rsidR="00DC4CA7" w:rsidRPr="00DC4CA7" w14:paraId="676DD21C" w14:textId="77777777" w:rsidTr="00DC36F9">
        <w:tc>
          <w:tcPr>
            <w:tcW w:w="4389" w:type="dxa"/>
            <w:vAlign w:val="center"/>
          </w:tcPr>
          <w:p w14:paraId="08951374" w14:textId="77777777" w:rsidR="00DC4CA7" w:rsidRPr="00DC4CA7" w:rsidRDefault="00DC4CA7" w:rsidP="00DC4CA7">
            <w:pPr>
              <w:spacing w:before="0" w:after="0"/>
              <w:jc w:val="left"/>
            </w:pPr>
            <w:r w:rsidRPr="00DC4CA7">
              <w:rPr>
                <w:noProof/>
              </w:rPr>
              <w:drawing>
                <wp:inline distT="0" distB="0" distL="0" distR="0" wp14:anchorId="70C311D1" wp14:editId="068F7BFC">
                  <wp:extent cx="1895475" cy="533102"/>
                  <wp:effectExtent l="0" t="0" r="0" b="635"/>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18782" cy="539657"/>
                          </a:xfrm>
                          <a:prstGeom prst="rect">
                            <a:avLst/>
                          </a:prstGeom>
                        </pic:spPr>
                      </pic:pic>
                    </a:graphicData>
                  </a:graphic>
                </wp:inline>
              </w:drawing>
            </w:r>
          </w:p>
        </w:tc>
        <w:tc>
          <w:tcPr>
            <w:tcW w:w="4389" w:type="dxa"/>
            <w:vAlign w:val="center"/>
          </w:tcPr>
          <w:p w14:paraId="5A180B14" w14:textId="4BBBFF78" w:rsidR="00DC4CA7" w:rsidRPr="00FB7D69" w:rsidRDefault="00123983" w:rsidP="00DC4CA7">
            <w:pPr>
              <w:spacing w:before="0" w:after="0"/>
              <w:jc w:val="right"/>
              <w:rPr>
                <w:rFonts w:ascii="Source Sans Pro" w:hAnsi="Source Sans Pro"/>
                <w:b/>
                <w:sz w:val="28"/>
                <w:szCs w:val="28"/>
              </w:rPr>
            </w:pPr>
            <w:r>
              <w:rPr>
                <w:rFonts w:ascii="Source Sans Pro" w:hAnsi="Source Sans Pro"/>
                <w:b/>
                <w:sz w:val="28"/>
                <w:szCs w:val="28"/>
              </w:rPr>
              <w:t>May</w:t>
            </w:r>
            <w:r w:rsidR="003A5BCF">
              <w:rPr>
                <w:rFonts w:ascii="Source Sans Pro" w:hAnsi="Source Sans Pro"/>
                <w:b/>
                <w:sz w:val="28"/>
                <w:szCs w:val="28"/>
              </w:rPr>
              <w:t xml:space="preserve"> </w:t>
            </w:r>
            <w:r w:rsidR="00DC4CA7" w:rsidRPr="00FB7D69">
              <w:rPr>
                <w:rFonts w:ascii="Source Sans Pro" w:hAnsi="Source Sans Pro"/>
                <w:b/>
                <w:sz w:val="28"/>
                <w:szCs w:val="28"/>
              </w:rPr>
              <w:t>2022</w:t>
            </w:r>
          </w:p>
        </w:tc>
      </w:tr>
    </w:tbl>
    <w:p w14:paraId="3F959568" w14:textId="77777777" w:rsidR="00D929C1" w:rsidRPr="00990B67" w:rsidRDefault="00D929C1" w:rsidP="00990B67"/>
    <w:p w14:paraId="68919484" w14:textId="77777777" w:rsidR="00D929C1" w:rsidRPr="00990B67" w:rsidRDefault="00D929C1" w:rsidP="00990B67"/>
    <w:p w14:paraId="33FB6EB6" w14:textId="77777777" w:rsidR="00D929C1" w:rsidRPr="00990B67" w:rsidRDefault="00D929C1" w:rsidP="00990B67"/>
    <w:p w14:paraId="4FD2FF07" w14:textId="77777777" w:rsidR="00D929C1" w:rsidRPr="00990B67" w:rsidRDefault="00D929C1" w:rsidP="00990B67"/>
    <w:p w14:paraId="6C8E913F" w14:textId="77777777" w:rsidR="00D929C1" w:rsidRPr="00990B67" w:rsidRDefault="00D929C1" w:rsidP="00990B67"/>
    <w:p w14:paraId="346718B2" w14:textId="77777777" w:rsidR="00D929C1" w:rsidRPr="00990B67" w:rsidRDefault="00D929C1" w:rsidP="00990B67"/>
    <w:p w14:paraId="722B3369" w14:textId="77777777" w:rsidR="00D929C1" w:rsidRPr="00990B67" w:rsidRDefault="00D929C1" w:rsidP="00990B67"/>
    <w:p w14:paraId="7E603FAC" w14:textId="77777777" w:rsidR="00D929C1" w:rsidRDefault="00D929C1" w:rsidP="00990B67"/>
    <w:p w14:paraId="4D77A57D" w14:textId="77777777" w:rsidR="00DB11CC" w:rsidRDefault="00DB11CC" w:rsidP="00990B67"/>
    <w:p w14:paraId="02149DEE" w14:textId="77777777" w:rsidR="00DB11CC" w:rsidRDefault="00DB11CC" w:rsidP="00990B67"/>
    <w:p w14:paraId="6BFB6E0D" w14:textId="77777777" w:rsidR="00DB11CC" w:rsidRDefault="00DB11CC" w:rsidP="00990B67"/>
    <w:p w14:paraId="27B9EA94" w14:textId="77777777" w:rsidR="00DB11CC" w:rsidRDefault="00DB11CC" w:rsidP="00990B67"/>
    <w:p w14:paraId="2268F1EE" w14:textId="77777777" w:rsidR="00DB11CC" w:rsidRDefault="00DB11CC" w:rsidP="00990B67"/>
    <w:p w14:paraId="2F15F9D9" w14:textId="77777777" w:rsidR="00DB11CC" w:rsidRDefault="00DB11CC" w:rsidP="00990B67"/>
    <w:p w14:paraId="791ED11F" w14:textId="77777777" w:rsidR="00DB11CC" w:rsidRDefault="00DB11CC" w:rsidP="00990B67"/>
    <w:p w14:paraId="2E49838E" w14:textId="77777777" w:rsidR="00DB11CC" w:rsidRDefault="00DB11CC" w:rsidP="00990B67"/>
    <w:p w14:paraId="5548AAA3" w14:textId="77777777" w:rsidR="00DB11CC" w:rsidRDefault="00DB11CC" w:rsidP="00990B67"/>
    <w:p w14:paraId="5FC71710" w14:textId="77777777" w:rsidR="00DB11CC" w:rsidRDefault="00DB11CC" w:rsidP="00990B67"/>
    <w:p w14:paraId="73CCB792" w14:textId="77777777" w:rsidR="00DB11CC" w:rsidRPr="00990B67" w:rsidRDefault="00DB11CC" w:rsidP="00990B67"/>
    <w:p w14:paraId="0FAB586C" w14:textId="77777777" w:rsidR="00D929C1" w:rsidRPr="00990B67" w:rsidRDefault="00D929C1" w:rsidP="00990B67"/>
    <w:p w14:paraId="3B6BEECB" w14:textId="77777777" w:rsidR="0026287E" w:rsidRPr="00990B67" w:rsidRDefault="0026287E" w:rsidP="00990B67"/>
    <w:p w14:paraId="36B4A721" w14:textId="77777777" w:rsidR="00DA3080" w:rsidRPr="00990B67" w:rsidRDefault="00DA3080" w:rsidP="00990B67"/>
    <w:p w14:paraId="4B7C7E78" w14:textId="3B790DB8" w:rsidR="00702B7E" w:rsidRPr="00990B67" w:rsidRDefault="00702B7E" w:rsidP="00990B67">
      <w:r w:rsidRPr="00990B67">
        <w:t xml:space="preserve">First published in </w:t>
      </w:r>
      <w:r w:rsidR="00123983">
        <w:t>May</w:t>
      </w:r>
      <w:r w:rsidR="00F01832">
        <w:t xml:space="preserve"> </w:t>
      </w:r>
      <w:r w:rsidR="008D3E82" w:rsidRPr="00BE74F5">
        <w:t>2022</w:t>
      </w:r>
      <w:r w:rsidRPr="00990B67">
        <w:t xml:space="preserve"> by Policy and </w:t>
      </w:r>
      <w:r w:rsidR="00F210A7" w:rsidRPr="00990B67">
        <w:t>Regulatory Stewardship</w:t>
      </w:r>
      <w:r w:rsidR="0026287E" w:rsidRPr="00990B67">
        <w:t xml:space="preserve">, </w:t>
      </w:r>
      <w:r w:rsidRPr="00990B67">
        <w:t xml:space="preserve">Inland Revenue, </w:t>
      </w:r>
      <w:r w:rsidR="003745E5">
        <w:br/>
      </w:r>
      <w:r w:rsidRPr="00990B67">
        <w:t>PO Box 2198, Wellington 6140.</w:t>
      </w:r>
    </w:p>
    <w:p w14:paraId="020CA780" w14:textId="3AEB13A0" w:rsidR="00702B7E" w:rsidRPr="00990B67" w:rsidRDefault="009E5D63" w:rsidP="00990B67">
      <w:r w:rsidRPr="009E5D63">
        <w:t xml:space="preserve">OECD Pillar </w:t>
      </w:r>
      <w:r w:rsidR="006A729C">
        <w:t>Two</w:t>
      </w:r>
      <w:r w:rsidRPr="009E5D63">
        <w:t>: GloBE rules for New Zealand</w:t>
      </w:r>
      <w:r w:rsidR="0037689F">
        <w:t xml:space="preserve"> </w:t>
      </w:r>
      <w:r w:rsidR="00D42789">
        <w:rPr>
          <w:rFonts w:ascii="Times New Roman" w:hAnsi="Times New Roman"/>
        </w:rPr>
        <w:t>–</w:t>
      </w:r>
      <w:r w:rsidR="0037689F">
        <w:t xml:space="preserve"> a</w:t>
      </w:r>
      <w:r w:rsidR="0037689F" w:rsidRPr="0037689F">
        <w:t>n officials’ issues paper</w:t>
      </w:r>
    </w:p>
    <w:p w14:paraId="3A828E2D" w14:textId="112A42B2" w:rsidR="00376F5C" w:rsidRPr="00990B67" w:rsidRDefault="00702B7E" w:rsidP="00990B67">
      <w:r w:rsidRPr="00990B67">
        <w:t xml:space="preserve">ISBN </w:t>
      </w:r>
      <w:r w:rsidR="00412D4D" w:rsidRPr="00412D4D">
        <w:t>978-1-98-857341-0</w:t>
      </w:r>
      <w:r w:rsidRPr="005227D7">
        <w:t xml:space="preserve"> (Online)</w:t>
      </w:r>
    </w:p>
    <w:p w14:paraId="3D95226D" w14:textId="77777777" w:rsidR="00702B7E" w:rsidRPr="00990B67" w:rsidRDefault="00376F5C" w:rsidP="00990B67">
      <w:pPr>
        <w:spacing w:after="600"/>
      </w:pPr>
      <w:r w:rsidRPr="00990B67">
        <w:rPr>
          <w:noProof/>
        </w:rPr>
        <w:drawing>
          <wp:anchor distT="0" distB="0" distL="114300" distR="114300" simplePos="0" relativeHeight="251658240" behindDoc="0" locked="0" layoutInCell="1" allowOverlap="1" wp14:anchorId="05F90A04" wp14:editId="3E01EB68">
            <wp:simplePos x="0" y="0"/>
            <wp:positionH relativeFrom="column">
              <wp:posOffset>635</wp:posOffset>
            </wp:positionH>
            <wp:positionV relativeFrom="paragraph">
              <wp:posOffset>3810</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82345" cy="341630"/>
                    </a:xfrm>
                    <a:prstGeom prst="rect">
                      <a:avLst/>
                    </a:prstGeom>
                  </pic:spPr>
                </pic:pic>
              </a:graphicData>
            </a:graphic>
          </wp:anchor>
        </w:drawing>
      </w:r>
      <w:r w:rsidR="00702B7E" w:rsidRPr="00990B67">
        <w:t>© Crown Copyright</w:t>
      </w:r>
    </w:p>
    <w:p w14:paraId="1D56846B" w14:textId="5513C41E" w:rsidR="00702B7E" w:rsidRDefault="00702B7E" w:rsidP="00990B67">
      <w:r w:rsidRPr="00990B67">
        <w:t>This work is licensed under the Creative Commons Attribution 4.0 International Licence. In essence, you are free to copy, distribute and adapt the work, as long as you attribute the work to the Crown and abide by the other licence terms.</w:t>
      </w:r>
    </w:p>
    <w:p w14:paraId="7257858B" w14:textId="412022B5" w:rsidR="00DC4CA7" w:rsidRPr="00990B67" w:rsidRDefault="00DC4CA7" w:rsidP="00990B67">
      <w:r w:rsidRPr="00DC4CA7">
        <w:t xml:space="preserve">Please note that this licence does not apply to any logos, </w:t>
      </w:r>
      <w:proofErr w:type="gramStart"/>
      <w:r w:rsidRPr="00DC4CA7">
        <w:t>emblems</w:t>
      </w:r>
      <w:proofErr w:type="gramEnd"/>
      <w:r w:rsidRPr="00DC4CA7">
        <w:t xml:space="preserve"> and trade marks in the publication. Those specific items may not be re-used without express permission.</w:t>
      </w:r>
    </w:p>
    <w:p w14:paraId="1B22C807" w14:textId="6E1D3F6F" w:rsidR="000A6E3B" w:rsidRPr="00990B67" w:rsidRDefault="00702B7E" w:rsidP="00990B67">
      <w:pPr>
        <w:jc w:val="left"/>
      </w:pPr>
      <w:r w:rsidRPr="00990B67">
        <w:t>The document is available at</w:t>
      </w:r>
      <w:r w:rsidR="000A6E3B" w:rsidRPr="00990B67">
        <w:t xml:space="preserve"> </w:t>
      </w:r>
      <w:r w:rsidR="00990B67">
        <w:br/>
      </w:r>
      <w:hyperlink r:id="rId11" w:history="1">
        <w:r w:rsidR="00A4617D" w:rsidRPr="00E95B58">
          <w:rPr>
            <w:rStyle w:val="Hyperlink"/>
          </w:rPr>
          <w:t>https://taxpolicy.ird.govt.nz/publications/2022/2022-ip-oecd-pilllar-two</w:t>
        </w:r>
      </w:hyperlink>
    </w:p>
    <w:p w14:paraId="20606F24" w14:textId="77777777" w:rsidR="00702B7E" w:rsidRPr="00473ED6" w:rsidRDefault="00702B7E" w:rsidP="00D929C1">
      <w:pPr>
        <w:sectPr w:rsidR="00702B7E" w:rsidRPr="00473ED6" w:rsidSect="00702B7E">
          <w:footerReference w:type="even" r:id="rId12"/>
          <w:type w:val="nextColumn"/>
          <w:pgSz w:w="11906" w:h="16838" w:code="9"/>
          <w:pgMar w:top="1304" w:right="1559" w:bottom="1134" w:left="1559" w:header="720" w:footer="567" w:gutter="0"/>
          <w:pgNumType w:start="1"/>
          <w:cols w:space="720"/>
          <w:titlePg/>
        </w:sectPr>
      </w:pPr>
    </w:p>
    <w:p w14:paraId="2E946D34" w14:textId="53D2B0C2" w:rsidR="003959E1" w:rsidRPr="00473ED6" w:rsidRDefault="003959E1" w:rsidP="00F3372B">
      <w:pPr>
        <w:pStyle w:val="Heading1-Notnumbered"/>
        <w:outlineLvl w:val="9"/>
      </w:pPr>
      <w:r w:rsidRPr="00473ED6">
        <w:lastRenderedPageBreak/>
        <w:t>CONTENTS</w:t>
      </w:r>
    </w:p>
    <w:bookmarkStart w:id="1" w:name="_Hlt510587982"/>
    <w:bookmarkStart w:id="2" w:name="_Hlt478443407"/>
    <w:bookmarkStart w:id="3" w:name="_Toc14174909"/>
    <w:bookmarkStart w:id="4" w:name="_Hlt509367909"/>
    <w:bookmarkEnd w:id="0"/>
    <w:bookmarkEnd w:id="1"/>
    <w:bookmarkEnd w:id="2"/>
    <w:p w14:paraId="6129D052" w14:textId="31F3FBE2" w:rsidR="00F01832" w:rsidRDefault="005B0CD9">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\o "2-2" \h \z \t "Heading 1,1,Heading 1 - Appendix,1,Heading 1 - Part,1" </w:instrText>
      </w:r>
      <w:r>
        <w:rPr>
          <w:b w:val="0"/>
        </w:rPr>
        <w:fldChar w:fldCharType="separate"/>
      </w:r>
      <w:hyperlink w:anchor="_Toc101095556" w:history="1">
        <w:r w:rsidR="00F01832" w:rsidRPr="008B7775">
          <w:rPr>
            <w:rStyle w:val="Hyperlink"/>
            <w:noProof/>
          </w:rPr>
          <w:t>ABBREVIATIONS AND GLOSSARY</w:t>
        </w:r>
        <w:r w:rsidR="00F01832">
          <w:rPr>
            <w:noProof/>
            <w:webHidden/>
          </w:rPr>
          <w:tab/>
        </w:r>
        <w:r w:rsidR="00F01832">
          <w:rPr>
            <w:noProof/>
            <w:webHidden/>
          </w:rPr>
          <w:fldChar w:fldCharType="begin"/>
        </w:r>
        <w:r w:rsidR="00F01832">
          <w:rPr>
            <w:noProof/>
            <w:webHidden/>
          </w:rPr>
          <w:instrText xml:space="preserve"> PAGEREF _Toc101095556 \h </w:instrText>
        </w:r>
        <w:r w:rsidR="00F01832">
          <w:rPr>
            <w:noProof/>
            <w:webHidden/>
          </w:rPr>
        </w:r>
        <w:r w:rsidR="00F01832">
          <w:rPr>
            <w:noProof/>
            <w:webHidden/>
          </w:rPr>
          <w:fldChar w:fldCharType="separate"/>
        </w:r>
        <w:r w:rsidR="00F01832">
          <w:rPr>
            <w:noProof/>
            <w:webHidden/>
          </w:rPr>
          <w:t>7</w:t>
        </w:r>
        <w:r w:rsidR="00F01832">
          <w:rPr>
            <w:noProof/>
            <w:webHidden/>
          </w:rPr>
          <w:fldChar w:fldCharType="end"/>
        </w:r>
      </w:hyperlink>
    </w:p>
    <w:p w14:paraId="1C29CE74" w14:textId="01C94B3F" w:rsidR="00F01832" w:rsidRDefault="00B53EBA">
      <w:pPr>
        <w:pStyle w:val="TOC1"/>
        <w:rPr>
          <w:rFonts w:asciiTheme="minorHAnsi" w:eastAsiaTheme="minorEastAsia" w:hAnsiTheme="minorHAnsi" w:cstheme="minorBidi"/>
          <w:b w:val="0"/>
          <w:noProof/>
          <w:sz w:val="22"/>
          <w:szCs w:val="22"/>
        </w:rPr>
      </w:pPr>
      <w:hyperlink w:anchor="_Toc101095557" w:history="1">
        <w:r w:rsidR="00F01832" w:rsidRPr="008B7775">
          <w:rPr>
            <w:rStyle w:val="Hyperlink"/>
            <w:noProof/>
          </w:rPr>
          <w:t>PART I:</w:t>
        </w:r>
        <w:r w:rsidR="00433E1F">
          <w:rPr>
            <w:rStyle w:val="Hyperlink"/>
            <w:noProof/>
          </w:rPr>
          <w:t xml:space="preserve"> </w:t>
        </w:r>
        <w:r w:rsidR="00F01832" w:rsidRPr="008B7775">
          <w:rPr>
            <w:rStyle w:val="Hyperlink"/>
            <w:noProof/>
          </w:rPr>
          <w:t>General</w:t>
        </w:r>
        <w:r w:rsidR="00F01832">
          <w:rPr>
            <w:noProof/>
            <w:webHidden/>
          </w:rPr>
          <w:tab/>
        </w:r>
        <w:r w:rsidR="00F01832">
          <w:rPr>
            <w:noProof/>
            <w:webHidden/>
          </w:rPr>
          <w:fldChar w:fldCharType="begin"/>
        </w:r>
        <w:r w:rsidR="00F01832">
          <w:rPr>
            <w:noProof/>
            <w:webHidden/>
          </w:rPr>
          <w:instrText xml:space="preserve"> PAGEREF _Toc101095557 \h </w:instrText>
        </w:r>
        <w:r w:rsidR="00F01832">
          <w:rPr>
            <w:noProof/>
            <w:webHidden/>
          </w:rPr>
        </w:r>
        <w:r w:rsidR="00F01832">
          <w:rPr>
            <w:noProof/>
            <w:webHidden/>
          </w:rPr>
          <w:fldChar w:fldCharType="separate"/>
        </w:r>
        <w:r w:rsidR="00F01832">
          <w:rPr>
            <w:noProof/>
            <w:webHidden/>
          </w:rPr>
          <w:t>9</w:t>
        </w:r>
        <w:r w:rsidR="00F01832">
          <w:rPr>
            <w:noProof/>
            <w:webHidden/>
          </w:rPr>
          <w:fldChar w:fldCharType="end"/>
        </w:r>
      </w:hyperlink>
    </w:p>
    <w:p w14:paraId="0AE20ADD" w14:textId="5FC1C713" w:rsidR="00F01832" w:rsidRDefault="00B53EBA">
      <w:pPr>
        <w:pStyle w:val="TOC1"/>
        <w:rPr>
          <w:rFonts w:asciiTheme="minorHAnsi" w:eastAsiaTheme="minorEastAsia" w:hAnsiTheme="minorHAnsi" w:cstheme="minorBidi"/>
          <w:b w:val="0"/>
          <w:noProof/>
          <w:sz w:val="22"/>
          <w:szCs w:val="22"/>
        </w:rPr>
      </w:pPr>
      <w:hyperlink w:anchor="_Toc101095558" w:history="1">
        <w:r w:rsidR="00F01832" w:rsidRPr="008B7775">
          <w:rPr>
            <w:rStyle w:val="Hyperlink"/>
            <w:noProof/>
          </w:rPr>
          <w:t>CHAPTER 1</w:t>
        </w:r>
        <w:r w:rsidR="00A65F2A">
          <w:rPr>
            <w:rStyle w:val="Hyperlink"/>
            <w:noProof/>
          </w:rPr>
          <w:tab/>
        </w:r>
        <w:r w:rsidR="00F01832" w:rsidRPr="008B7775">
          <w:rPr>
            <w:rStyle w:val="Hyperlink"/>
            <w:noProof/>
          </w:rPr>
          <w:t>Background</w:t>
        </w:r>
        <w:r w:rsidR="00F01832">
          <w:rPr>
            <w:noProof/>
            <w:webHidden/>
          </w:rPr>
          <w:tab/>
        </w:r>
        <w:r w:rsidR="00F01832">
          <w:rPr>
            <w:noProof/>
            <w:webHidden/>
          </w:rPr>
          <w:fldChar w:fldCharType="begin"/>
        </w:r>
        <w:r w:rsidR="00F01832">
          <w:rPr>
            <w:noProof/>
            <w:webHidden/>
          </w:rPr>
          <w:instrText xml:space="preserve"> PAGEREF _Toc101095558 \h </w:instrText>
        </w:r>
        <w:r w:rsidR="00F01832">
          <w:rPr>
            <w:noProof/>
            <w:webHidden/>
          </w:rPr>
        </w:r>
        <w:r w:rsidR="00F01832">
          <w:rPr>
            <w:noProof/>
            <w:webHidden/>
          </w:rPr>
          <w:fldChar w:fldCharType="separate"/>
        </w:r>
        <w:r w:rsidR="00F01832">
          <w:rPr>
            <w:noProof/>
            <w:webHidden/>
          </w:rPr>
          <w:t>11</w:t>
        </w:r>
        <w:r w:rsidR="00F01832">
          <w:rPr>
            <w:noProof/>
            <w:webHidden/>
          </w:rPr>
          <w:fldChar w:fldCharType="end"/>
        </w:r>
      </w:hyperlink>
    </w:p>
    <w:p w14:paraId="1CC78825" w14:textId="1024C6FE" w:rsidR="00F01832" w:rsidRDefault="00B53EBA">
      <w:pPr>
        <w:pStyle w:val="TOC2"/>
        <w:rPr>
          <w:rFonts w:asciiTheme="minorHAnsi" w:eastAsiaTheme="minorEastAsia" w:hAnsiTheme="minorHAnsi" w:cstheme="minorBidi"/>
          <w:noProof/>
          <w:sz w:val="22"/>
          <w:szCs w:val="22"/>
        </w:rPr>
      </w:pPr>
      <w:hyperlink w:anchor="_Toc101095559" w:history="1">
        <w:r w:rsidR="00F01832" w:rsidRPr="008B7775">
          <w:rPr>
            <w:rStyle w:val="Hyperlink"/>
            <w:noProof/>
          </w:rPr>
          <w:t>What are the GloBE rules?</w:t>
        </w:r>
        <w:r w:rsidR="00F01832">
          <w:rPr>
            <w:noProof/>
            <w:webHidden/>
          </w:rPr>
          <w:tab/>
        </w:r>
        <w:r w:rsidR="00F01832">
          <w:rPr>
            <w:noProof/>
            <w:webHidden/>
          </w:rPr>
          <w:fldChar w:fldCharType="begin"/>
        </w:r>
        <w:r w:rsidR="00F01832">
          <w:rPr>
            <w:noProof/>
            <w:webHidden/>
          </w:rPr>
          <w:instrText xml:space="preserve"> PAGEREF _Toc101095559 \h </w:instrText>
        </w:r>
        <w:r w:rsidR="00F01832">
          <w:rPr>
            <w:noProof/>
            <w:webHidden/>
          </w:rPr>
        </w:r>
        <w:r w:rsidR="00F01832">
          <w:rPr>
            <w:noProof/>
            <w:webHidden/>
          </w:rPr>
          <w:fldChar w:fldCharType="separate"/>
        </w:r>
        <w:r w:rsidR="00F01832">
          <w:rPr>
            <w:noProof/>
            <w:webHidden/>
          </w:rPr>
          <w:t>11</w:t>
        </w:r>
        <w:r w:rsidR="00F01832">
          <w:rPr>
            <w:noProof/>
            <w:webHidden/>
          </w:rPr>
          <w:fldChar w:fldCharType="end"/>
        </w:r>
      </w:hyperlink>
    </w:p>
    <w:p w14:paraId="2DBEAE56" w14:textId="4FEB4771" w:rsidR="00F01832" w:rsidRDefault="00B53EBA">
      <w:pPr>
        <w:pStyle w:val="TOC2"/>
        <w:rPr>
          <w:rFonts w:asciiTheme="minorHAnsi" w:eastAsiaTheme="minorEastAsia" w:hAnsiTheme="minorHAnsi" w:cstheme="minorBidi"/>
          <w:noProof/>
          <w:sz w:val="22"/>
          <w:szCs w:val="22"/>
        </w:rPr>
      </w:pPr>
      <w:hyperlink w:anchor="_Toc101095560" w:history="1">
        <w:r w:rsidR="00F01832" w:rsidRPr="008B7775">
          <w:rPr>
            <w:rStyle w:val="Hyperlink"/>
            <w:noProof/>
          </w:rPr>
          <w:t>Aspects of this consultation</w:t>
        </w:r>
        <w:r w:rsidR="00F01832">
          <w:rPr>
            <w:noProof/>
            <w:webHidden/>
          </w:rPr>
          <w:tab/>
        </w:r>
        <w:r w:rsidR="00F01832">
          <w:rPr>
            <w:noProof/>
            <w:webHidden/>
          </w:rPr>
          <w:fldChar w:fldCharType="begin"/>
        </w:r>
        <w:r w:rsidR="00F01832">
          <w:rPr>
            <w:noProof/>
            <w:webHidden/>
          </w:rPr>
          <w:instrText xml:space="preserve"> PAGEREF _Toc101095560 \h </w:instrText>
        </w:r>
        <w:r w:rsidR="00F01832">
          <w:rPr>
            <w:noProof/>
            <w:webHidden/>
          </w:rPr>
        </w:r>
        <w:r w:rsidR="00F01832">
          <w:rPr>
            <w:noProof/>
            <w:webHidden/>
          </w:rPr>
          <w:fldChar w:fldCharType="separate"/>
        </w:r>
        <w:r w:rsidR="00F01832">
          <w:rPr>
            <w:noProof/>
            <w:webHidden/>
          </w:rPr>
          <w:t>12</w:t>
        </w:r>
        <w:r w:rsidR="00F01832">
          <w:rPr>
            <w:noProof/>
            <w:webHidden/>
          </w:rPr>
          <w:fldChar w:fldCharType="end"/>
        </w:r>
      </w:hyperlink>
    </w:p>
    <w:p w14:paraId="0732EA3E" w14:textId="252B49B6" w:rsidR="00F01832" w:rsidRDefault="00B53EBA">
      <w:pPr>
        <w:pStyle w:val="TOC2"/>
        <w:rPr>
          <w:rFonts w:asciiTheme="minorHAnsi" w:eastAsiaTheme="minorEastAsia" w:hAnsiTheme="minorHAnsi" w:cstheme="minorBidi"/>
          <w:noProof/>
          <w:sz w:val="22"/>
          <w:szCs w:val="22"/>
        </w:rPr>
      </w:pPr>
      <w:hyperlink w:anchor="_Toc101095561" w:history="1">
        <w:r w:rsidR="00F01832" w:rsidRPr="008B7775">
          <w:rPr>
            <w:rStyle w:val="Hyperlink"/>
            <w:noProof/>
          </w:rPr>
          <w:t>Making a submission</w:t>
        </w:r>
        <w:r w:rsidR="00F01832">
          <w:rPr>
            <w:noProof/>
            <w:webHidden/>
          </w:rPr>
          <w:tab/>
        </w:r>
        <w:r w:rsidR="00F01832">
          <w:rPr>
            <w:noProof/>
            <w:webHidden/>
          </w:rPr>
          <w:fldChar w:fldCharType="begin"/>
        </w:r>
        <w:r w:rsidR="00F01832">
          <w:rPr>
            <w:noProof/>
            <w:webHidden/>
          </w:rPr>
          <w:instrText xml:space="preserve"> PAGEREF _Toc101095561 \h </w:instrText>
        </w:r>
        <w:r w:rsidR="00F01832">
          <w:rPr>
            <w:noProof/>
            <w:webHidden/>
          </w:rPr>
        </w:r>
        <w:r w:rsidR="00F01832">
          <w:rPr>
            <w:noProof/>
            <w:webHidden/>
          </w:rPr>
          <w:fldChar w:fldCharType="separate"/>
        </w:r>
        <w:r w:rsidR="00F01832">
          <w:rPr>
            <w:noProof/>
            <w:webHidden/>
          </w:rPr>
          <w:t>14</w:t>
        </w:r>
        <w:r w:rsidR="00F01832">
          <w:rPr>
            <w:noProof/>
            <w:webHidden/>
          </w:rPr>
          <w:fldChar w:fldCharType="end"/>
        </w:r>
      </w:hyperlink>
    </w:p>
    <w:p w14:paraId="47510D90" w14:textId="77CA77E3" w:rsidR="00F01832" w:rsidRDefault="00B53EBA">
      <w:pPr>
        <w:pStyle w:val="TOC1"/>
        <w:rPr>
          <w:rFonts w:asciiTheme="minorHAnsi" w:eastAsiaTheme="minorEastAsia" w:hAnsiTheme="minorHAnsi" w:cstheme="minorBidi"/>
          <w:b w:val="0"/>
          <w:noProof/>
          <w:sz w:val="22"/>
          <w:szCs w:val="22"/>
        </w:rPr>
      </w:pPr>
      <w:hyperlink w:anchor="_Toc101095562" w:history="1">
        <w:r w:rsidR="00F01832" w:rsidRPr="008B7775">
          <w:rPr>
            <w:rStyle w:val="Hyperlink"/>
            <w:noProof/>
          </w:rPr>
          <w:t>CHAPTER 2</w:t>
        </w:r>
        <w:r w:rsidR="00433E1F">
          <w:rPr>
            <w:rStyle w:val="Hyperlink"/>
            <w:noProof/>
          </w:rPr>
          <w:tab/>
        </w:r>
        <w:r w:rsidR="00F01832" w:rsidRPr="008B7775">
          <w:rPr>
            <w:rStyle w:val="Hyperlink"/>
            <w:noProof/>
          </w:rPr>
          <w:t>Summary of GloBE rules</w:t>
        </w:r>
        <w:r w:rsidR="00F01832">
          <w:rPr>
            <w:noProof/>
            <w:webHidden/>
          </w:rPr>
          <w:tab/>
        </w:r>
        <w:r w:rsidR="00F01832">
          <w:rPr>
            <w:noProof/>
            <w:webHidden/>
          </w:rPr>
          <w:fldChar w:fldCharType="begin"/>
        </w:r>
        <w:r w:rsidR="00F01832">
          <w:rPr>
            <w:noProof/>
            <w:webHidden/>
          </w:rPr>
          <w:instrText xml:space="preserve"> PAGEREF _Toc101095562 \h </w:instrText>
        </w:r>
        <w:r w:rsidR="00F01832">
          <w:rPr>
            <w:noProof/>
            <w:webHidden/>
          </w:rPr>
        </w:r>
        <w:r w:rsidR="00F01832">
          <w:rPr>
            <w:noProof/>
            <w:webHidden/>
          </w:rPr>
          <w:fldChar w:fldCharType="separate"/>
        </w:r>
        <w:r w:rsidR="00F01832">
          <w:rPr>
            <w:noProof/>
            <w:webHidden/>
          </w:rPr>
          <w:t>15</w:t>
        </w:r>
        <w:r w:rsidR="00F01832">
          <w:rPr>
            <w:noProof/>
            <w:webHidden/>
          </w:rPr>
          <w:fldChar w:fldCharType="end"/>
        </w:r>
      </w:hyperlink>
    </w:p>
    <w:p w14:paraId="0B821A44" w14:textId="759D7495" w:rsidR="00F01832" w:rsidRDefault="00B53EBA">
      <w:pPr>
        <w:pStyle w:val="TOC2"/>
        <w:rPr>
          <w:rFonts w:asciiTheme="minorHAnsi" w:eastAsiaTheme="minorEastAsia" w:hAnsiTheme="minorHAnsi" w:cstheme="minorBidi"/>
          <w:noProof/>
          <w:sz w:val="22"/>
          <w:szCs w:val="22"/>
        </w:rPr>
      </w:pPr>
      <w:hyperlink w:anchor="_Toc101095563" w:history="1">
        <w:r w:rsidR="00F01832" w:rsidRPr="008B7775">
          <w:rPr>
            <w:rStyle w:val="Hyperlink"/>
            <w:noProof/>
          </w:rPr>
          <w:t>Overview</w:t>
        </w:r>
        <w:r w:rsidR="00F01832">
          <w:rPr>
            <w:noProof/>
            <w:webHidden/>
          </w:rPr>
          <w:tab/>
        </w:r>
        <w:r w:rsidR="00F01832">
          <w:rPr>
            <w:noProof/>
            <w:webHidden/>
          </w:rPr>
          <w:fldChar w:fldCharType="begin"/>
        </w:r>
        <w:r w:rsidR="00F01832">
          <w:rPr>
            <w:noProof/>
            <w:webHidden/>
          </w:rPr>
          <w:instrText xml:space="preserve"> PAGEREF _Toc101095563 \h </w:instrText>
        </w:r>
        <w:r w:rsidR="00F01832">
          <w:rPr>
            <w:noProof/>
            <w:webHidden/>
          </w:rPr>
        </w:r>
        <w:r w:rsidR="00F01832">
          <w:rPr>
            <w:noProof/>
            <w:webHidden/>
          </w:rPr>
          <w:fldChar w:fldCharType="separate"/>
        </w:r>
        <w:r w:rsidR="00F01832">
          <w:rPr>
            <w:noProof/>
            <w:webHidden/>
          </w:rPr>
          <w:t>15</w:t>
        </w:r>
        <w:r w:rsidR="00F01832">
          <w:rPr>
            <w:noProof/>
            <w:webHidden/>
          </w:rPr>
          <w:fldChar w:fldCharType="end"/>
        </w:r>
      </w:hyperlink>
    </w:p>
    <w:p w14:paraId="19366B16" w14:textId="2BCB8C5E" w:rsidR="00F01832" w:rsidRDefault="00B53EBA">
      <w:pPr>
        <w:pStyle w:val="TOC2"/>
        <w:rPr>
          <w:rFonts w:asciiTheme="minorHAnsi" w:eastAsiaTheme="minorEastAsia" w:hAnsiTheme="minorHAnsi" w:cstheme="minorBidi"/>
          <w:noProof/>
          <w:sz w:val="22"/>
          <w:szCs w:val="22"/>
        </w:rPr>
      </w:pPr>
      <w:hyperlink w:anchor="_Toc101095564" w:history="1">
        <w:r w:rsidR="00F01832" w:rsidRPr="008B7775">
          <w:rPr>
            <w:rStyle w:val="Hyperlink"/>
            <w:noProof/>
          </w:rPr>
          <w:t>Purpose of the GloBE rules</w:t>
        </w:r>
        <w:r w:rsidR="00F01832">
          <w:rPr>
            <w:noProof/>
            <w:webHidden/>
          </w:rPr>
          <w:tab/>
        </w:r>
        <w:r w:rsidR="00F01832">
          <w:rPr>
            <w:noProof/>
            <w:webHidden/>
          </w:rPr>
          <w:fldChar w:fldCharType="begin"/>
        </w:r>
        <w:r w:rsidR="00F01832">
          <w:rPr>
            <w:noProof/>
            <w:webHidden/>
          </w:rPr>
          <w:instrText xml:space="preserve"> PAGEREF _Toc101095564 \h </w:instrText>
        </w:r>
        <w:r w:rsidR="00F01832">
          <w:rPr>
            <w:noProof/>
            <w:webHidden/>
          </w:rPr>
        </w:r>
        <w:r w:rsidR="00F01832">
          <w:rPr>
            <w:noProof/>
            <w:webHidden/>
          </w:rPr>
          <w:fldChar w:fldCharType="separate"/>
        </w:r>
        <w:r w:rsidR="00F01832">
          <w:rPr>
            <w:noProof/>
            <w:webHidden/>
          </w:rPr>
          <w:t>15</w:t>
        </w:r>
        <w:r w:rsidR="00F01832">
          <w:rPr>
            <w:noProof/>
            <w:webHidden/>
          </w:rPr>
          <w:fldChar w:fldCharType="end"/>
        </w:r>
      </w:hyperlink>
    </w:p>
    <w:p w14:paraId="57B6F04D" w14:textId="7E2DB237" w:rsidR="00F01832" w:rsidRDefault="00B53EBA">
      <w:pPr>
        <w:pStyle w:val="TOC2"/>
        <w:rPr>
          <w:rFonts w:asciiTheme="minorHAnsi" w:eastAsiaTheme="minorEastAsia" w:hAnsiTheme="minorHAnsi" w:cstheme="minorBidi"/>
          <w:noProof/>
          <w:sz w:val="22"/>
          <w:szCs w:val="22"/>
        </w:rPr>
      </w:pPr>
      <w:hyperlink w:anchor="_Toc101095565" w:history="1">
        <w:r w:rsidR="00F01832" w:rsidRPr="008B7775">
          <w:rPr>
            <w:rStyle w:val="Hyperlink"/>
            <w:noProof/>
          </w:rPr>
          <w:t>Overview of the GloBE rules</w:t>
        </w:r>
        <w:r w:rsidR="00F01832">
          <w:rPr>
            <w:noProof/>
            <w:webHidden/>
          </w:rPr>
          <w:tab/>
        </w:r>
        <w:r w:rsidR="00F01832">
          <w:rPr>
            <w:noProof/>
            <w:webHidden/>
          </w:rPr>
          <w:fldChar w:fldCharType="begin"/>
        </w:r>
        <w:r w:rsidR="00F01832">
          <w:rPr>
            <w:noProof/>
            <w:webHidden/>
          </w:rPr>
          <w:instrText xml:space="preserve"> PAGEREF _Toc101095565 \h </w:instrText>
        </w:r>
        <w:r w:rsidR="00F01832">
          <w:rPr>
            <w:noProof/>
            <w:webHidden/>
          </w:rPr>
        </w:r>
        <w:r w:rsidR="00F01832">
          <w:rPr>
            <w:noProof/>
            <w:webHidden/>
          </w:rPr>
          <w:fldChar w:fldCharType="separate"/>
        </w:r>
        <w:r w:rsidR="00F01832">
          <w:rPr>
            <w:noProof/>
            <w:webHidden/>
          </w:rPr>
          <w:t>15</w:t>
        </w:r>
        <w:r w:rsidR="00F01832">
          <w:rPr>
            <w:noProof/>
            <w:webHidden/>
          </w:rPr>
          <w:fldChar w:fldCharType="end"/>
        </w:r>
      </w:hyperlink>
    </w:p>
    <w:p w14:paraId="202D947D" w14:textId="701252D8" w:rsidR="00F01832" w:rsidRDefault="00B53EBA">
      <w:pPr>
        <w:pStyle w:val="TOC2"/>
        <w:rPr>
          <w:rFonts w:asciiTheme="minorHAnsi" w:eastAsiaTheme="minorEastAsia" w:hAnsiTheme="minorHAnsi" w:cstheme="minorBidi"/>
          <w:noProof/>
          <w:sz w:val="22"/>
          <w:szCs w:val="22"/>
        </w:rPr>
      </w:pPr>
      <w:hyperlink w:anchor="_Toc101095566" w:history="1">
        <w:r w:rsidR="00F01832" w:rsidRPr="008B7775">
          <w:rPr>
            <w:rStyle w:val="Hyperlink"/>
            <w:noProof/>
          </w:rPr>
          <w:t>Implementation of the GloBE rules in New Zealand</w:t>
        </w:r>
        <w:r w:rsidR="00F01832">
          <w:rPr>
            <w:noProof/>
            <w:webHidden/>
          </w:rPr>
          <w:tab/>
        </w:r>
        <w:r w:rsidR="00F01832">
          <w:rPr>
            <w:noProof/>
            <w:webHidden/>
          </w:rPr>
          <w:fldChar w:fldCharType="begin"/>
        </w:r>
        <w:r w:rsidR="00F01832">
          <w:rPr>
            <w:noProof/>
            <w:webHidden/>
          </w:rPr>
          <w:instrText xml:space="preserve"> PAGEREF _Toc101095566 \h </w:instrText>
        </w:r>
        <w:r w:rsidR="00F01832">
          <w:rPr>
            <w:noProof/>
            <w:webHidden/>
          </w:rPr>
        </w:r>
        <w:r w:rsidR="00F01832">
          <w:rPr>
            <w:noProof/>
            <w:webHidden/>
          </w:rPr>
          <w:fldChar w:fldCharType="separate"/>
        </w:r>
        <w:r w:rsidR="00F01832">
          <w:rPr>
            <w:noProof/>
            <w:webHidden/>
          </w:rPr>
          <w:t>16</w:t>
        </w:r>
        <w:r w:rsidR="00F01832">
          <w:rPr>
            <w:noProof/>
            <w:webHidden/>
          </w:rPr>
          <w:fldChar w:fldCharType="end"/>
        </w:r>
      </w:hyperlink>
    </w:p>
    <w:p w14:paraId="0FA64313" w14:textId="477FCB0A" w:rsidR="00F01832" w:rsidRDefault="00B53EBA">
      <w:pPr>
        <w:pStyle w:val="TOC1"/>
        <w:rPr>
          <w:rFonts w:asciiTheme="minorHAnsi" w:eastAsiaTheme="minorEastAsia" w:hAnsiTheme="minorHAnsi" w:cstheme="minorBidi"/>
          <w:b w:val="0"/>
          <w:noProof/>
          <w:sz w:val="22"/>
          <w:szCs w:val="22"/>
        </w:rPr>
      </w:pPr>
      <w:hyperlink w:anchor="_Toc101095567" w:history="1">
        <w:r w:rsidR="00F01832" w:rsidRPr="008B7775">
          <w:rPr>
            <w:rStyle w:val="Hyperlink"/>
            <w:noProof/>
          </w:rPr>
          <w:t>CHAPTER 3</w:t>
        </w:r>
        <w:r w:rsidR="00433E1F">
          <w:rPr>
            <w:rStyle w:val="Hyperlink"/>
            <w:noProof/>
          </w:rPr>
          <w:tab/>
        </w:r>
        <w:r w:rsidR="00F01832" w:rsidRPr="008B7775">
          <w:rPr>
            <w:rStyle w:val="Hyperlink"/>
            <w:noProof/>
          </w:rPr>
          <w:t>Should New Zealand adopt GloBE rules</w:t>
        </w:r>
        <w:r w:rsidR="00F01832">
          <w:rPr>
            <w:noProof/>
            <w:webHidden/>
          </w:rPr>
          <w:tab/>
        </w:r>
        <w:r w:rsidR="00F01832">
          <w:rPr>
            <w:noProof/>
            <w:webHidden/>
          </w:rPr>
          <w:fldChar w:fldCharType="begin"/>
        </w:r>
        <w:r w:rsidR="00F01832">
          <w:rPr>
            <w:noProof/>
            <w:webHidden/>
          </w:rPr>
          <w:instrText xml:space="preserve"> PAGEREF _Toc101095567 \h </w:instrText>
        </w:r>
        <w:r w:rsidR="00F01832">
          <w:rPr>
            <w:noProof/>
            <w:webHidden/>
          </w:rPr>
        </w:r>
        <w:r w:rsidR="00F01832">
          <w:rPr>
            <w:noProof/>
            <w:webHidden/>
          </w:rPr>
          <w:fldChar w:fldCharType="separate"/>
        </w:r>
        <w:r w:rsidR="00F01832">
          <w:rPr>
            <w:noProof/>
            <w:webHidden/>
          </w:rPr>
          <w:t>18</w:t>
        </w:r>
        <w:r w:rsidR="00F01832">
          <w:rPr>
            <w:noProof/>
            <w:webHidden/>
          </w:rPr>
          <w:fldChar w:fldCharType="end"/>
        </w:r>
      </w:hyperlink>
    </w:p>
    <w:p w14:paraId="7867E433" w14:textId="3DADD0F4" w:rsidR="00F01832" w:rsidRDefault="00B53EBA">
      <w:pPr>
        <w:pStyle w:val="TOC2"/>
        <w:rPr>
          <w:rFonts w:asciiTheme="minorHAnsi" w:eastAsiaTheme="minorEastAsia" w:hAnsiTheme="minorHAnsi" w:cstheme="minorBidi"/>
          <w:noProof/>
          <w:sz w:val="22"/>
          <w:szCs w:val="22"/>
        </w:rPr>
      </w:pPr>
      <w:hyperlink w:anchor="_Toc101095568" w:history="1">
        <w:r w:rsidR="00F01832" w:rsidRPr="008B7775">
          <w:rPr>
            <w:rStyle w:val="Hyperlink"/>
            <w:noProof/>
          </w:rPr>
          <w:t>Overview</w:t>
        </w:r>
        <w:r w:rsidR="00F01832">
          <w:rPr>
            <w:noProof/>
            <w:webHidden/>
          </w:rPr>
          <w:tab/>
        </w:r>
        <w:r w:rsidR="00F01832">
          <w:rPr>
            <w:noProof/>
            <w:webHidden/>
          </w:rPr>
          <w:fldChar w:fldCharType="begin"/>
        </w:r>
        <w:r w:rsidR="00F01832">
          <w:rPr>
            <w:noProof/>
            <w:webHidden/>
          </w:rPr>
          <w:instrText xml:space="preserve"> PAGEREF _Toc101095568 \h </w:instrText>
        </w:r>
        <w:r w:rsidR="00F01832">
          <w:rPr>
            <w:noProof/>
            <w:webHidden/>
          </w:rPr>
        </w:r>
        <w:r w:rsidR="00F01832">
          <w:rPr>
            <w:noProof/>
            <w:webHidden/>
          </w:rPr>
          <w:fldChar w:fldCharType="separate"/>
        </w:r>
        <w:r w:rsidR="00F01832">
          <w:rPr>
            <w:noProof/>
            <w:webHidden/>
          </w:rPr>
          <w:t>18</w:t>
        </w:r>
        <w:r w:rsidR="00F01832">
          <w:rPr>
            <w:noProof/>
            <w:webHidden/>
          </w:rPr>
          <w:fldChar w:fldCharType="end"/>
        </w:r>
      </w:hyperlink>
    </w:p>
    <w:p w14:paraId="44AA707D" w14:textId="706BC344" w:rsidR="00F01832" w:rsidRDefault="00B53EBA">
      <w:pPr>
        <w:pStyle w:val="TOC2"/>
        <w:rPr>
          <w:rFonts w:asciiTheme="minorHAnsi" w:eastAsiaTheme="minorEastAsia" w:hAnsiTheme="minorHAnsi" w:cstheme="minorBidi"/>
          <w:noProof/>
          <w:sz w:val="22"/>
          <w:szCs w:val="22"/>
        </w:rPr>
      </w:pPr>
      <w:hyperlink w:anchor="_Toc101095569" w:history="1">
        <w:r w:rsidR="00F01832" w:rsidRPr="008B7775">
          <w:rPr>
            <w:rStyle w:val="Hyperlink"/>
            <w:noProof/>
          </w:rPr>
          <w:t>Whether New Zealand should adopt GloBE rules</w:t>
        </w:r>
        <w:r w:rsidR="00F01832">
          <w:rPr>
            <w:noProof/>
            <w:webHidden/>
          </w:rPr>
          <w:tab/>
        </w:r>
        <w:r w:rsidR="00F01832">
          <w:rPr>
            <w:noProof/>
            <w:webHidden/>
          </w:rPr>
          <w:fldChar w:fldCharType="begin"/>
        </w:r>
        <w:r w:rsidR="00F01832">
          <w:rPr>
            <w:noProof/>
            <w:webHidden/>
          </w:rPr>
          <w:instrText xml:space="preserve"> PAGEREF _Toc101095569 \h </w:instrText>
        </w:r>
        <w:r w:rsidR="00F01832">
          <w:rPr>
            <w:noProof/>
            <w:webHidden/>
          </w:rPr>
        </w:r>
        <w:r w:rsidR="00F01832">
          <w:rPr>
            <w:noProof/>
            <w:webHidden/>
          </w:rPr>
          <w:fldChar w:fldCharType="separate"/>
        </w:r>
        <w:r w:rsidR="00F01832">
          <w:rPr>
            <w:noProof/>
            <w:webHidden/>
          </w:rPr>
          <w:t>18</w:t>
        </w:r>
        <w:r w:rsidR="00F01832">
          <w:rPr>
            <w:noProof/>
            <w:webHidden/>
          </w:rPr>
          <w:fldChar w:fldCharType="end"/>
        </w:r>
      </w:hyperlink>
    </w:p>
    <w:p w14:paraId="59AA3DE8" w14:textId="77C159C0" w:rsidR="00F01832" w:rsidRDefault="00B53EBA">
      <w:pPr>
        <w:pStyle w:val="TOC2"/>
        <w:rPr>
          <w:rFonts w:asciiTheme="minorHAnsi" w:eastAsiaTheme="minorEastAsia" w:hAnsiTheme="minorHAnsi" w:cstheme="minorBidi"/>
          <w:noProof/>
          <w:sz w:val="22"/>
          <w:szCs w:val="22"/>
        </w:rPr>
      </w:pPr>
      <w:hyperlink w:anchor="_Toc101095570" w:history="1">
        <w:r w:rsidR="00F01832" w:rsidRPr="008B7775">
          <w:rPr>
            <w:rStyle w:val="Hyperlink"/>
            <w:noProof/>
          </w:rPr>
          <w:t>Officials’ view</w:t>
        </w:r>
        <w:r w:rsidR="00F01832">
          <w:rPr>
            <w:noProof/>
            <w:webHidden/>
          </w:rPr>
          <w:tab/>
        </w:r>
        <w:r w:rsidR="00F01832">
          <w:rPr>
            <w:noProof/>
            <w:webHidden/>
          </w:rPr>
          <w:fldChar w:fldCharType="begin"/>
        </w:r>
        <w:r w:rsidR="00F01832">
          <w:rPr>
            <w:noProof/>
            <w:webHidden/>
          </w:rPr>
          <w:instrText xml:space="preserve"> PAGEREF _Toc101095570 \h </w:instrText>
        </w:r>
        <w:r w:rsidR="00F01832">
          <w:rPr>
            <w:noProof/>
            <w:webHidden/>
          </w:rPr>
        </w:r>
        <w:r w:rsidR="00F01832">
          <w:rPr>
            <w:noProof/>
            <w:webHidden/>
          </w:rPr>
          <w:fldChar w:fldCharType="separate"/>
        </w:r>
        <w:r w:rsidR="00F01832">
          <w:rPr>
            <w:noProof/>
            <w:webHidden/>
          </w:rPr>
          <w:t>19</w:t>
        </w:r>
        <w:r w:rsidR="00F01832">
          <w:rPr>
            <w:noProof/>
            <w:webHidden/>
          </w:rPr>
          <w:fldChar w:fldCharType="end"/>
        </w:r>
      </w:hyperlink>
    </w:p>
    <w:p w14:paraId="7315C698" w14:textId="5E91EB99" w:rsidR="00F01832" w:rsidRDefault="00B53EBA">
      <w:pPr>
        <w:pStyle w:val="TOC2"/>
        <w:rPr>
          <w:rFonts w:asciiTheme="minorHAnsi" w:eastAsiaTheme="minorEastAsia" w:hAnsiTheme="minorHAnsi" w:cstheme="minorBidi"/>
          <w:noProof/>
          <w:sz w:val="22"/>
          <w:szCs w:val="22"/>
        </w:rPr>
      </w:pPr>
      <w:hyperlink w:anchor="_Toc101095571" w:history="1">
        <w:r w:rsidR="00F01832" w:rsidRPr="008B7775">
          <w:rPr>
            <w:rStyle w:val="Hyperlink"/>
            <w:noProof/>
          </w:rPr>
          <w:t>Timing of adoption</w:t>
        </w:r>
        <w:r w:rsidR="00F01832">
          <w:rPr>
            <w:noProof/>
            <w:webHidden/>
          </w:rPr>
          <w:tab/>
        </w:r>
        <w:r w:rsidR="00F01832">
          <w:rPr>
            <w:noProof/>
            <w:webHidden/>
          </w:rPr>
          <w:fldChar w:fldCharType="begin"/>
        </w:r>
        <w:r w:rsidR="00F01832">
          <w:rPr>
            <w:noProof/>
            <w:webHidden/>
          </w:rPr>
          <w:instrText xml:space="preserve"> PAGEREF _Toc101095571 \h </w:instrText>
        </w:r>
        <w:r w:rsidR="00F01832">
          <w:rPr>
            <w:noProof/>
            <w:webHidden/>
          </w:rPr>
        </w:r>
        <w:r w:rsidR="00F01832">
          <w:rPr>
            <w:noProof/>
            <w:webHidden/>
          </w:rPr>
          <w:fldChar w:fldCharType="separate"/>
        </w:r>
        <w:r w:rsidR="00F01832">
          <w:rPr>
            <w:noProof/>
            <w:webHidden/>
          </w:rPr>
          <w:t>19</w:t>
        </w:r>
        <w:r w:rsidR="00F01832">
          <w:rPr>
            <w:noProof/>
            <w:webHidden/>
          </w:rPr>
          <w:fldChar w:fldCharType="end"/>
        </w:r>
      </w:hyperlink>
    </w:p>
    <w:p w14:paraId="2570A2D7" w14:textId="79647A5A" w:rsidR="00F01832" w:rsidRDefault="00B53EBA">
      <w:pPr>
        <w:pStyle w:val="TOC1"/>
        <w:rPr>
          <w:rFonts w:asciiTheme="minorHAnsi" w:eastAsiaTheme="minorEastAsia" w:hAnsiTheme="minorHAnsi" w:cstheme="minorBidi"/>
          <w:b w:val="0"/>
          <w:noProof/>
          <w:sz w:val="22"/>
          <w:szCs w:val="22"/>
        </w:rPr>
      </w:pPr>
      <w:hyperlink w:anchor="_Toc101095572" w:history="1">
        <w:r w:rsidR="00F01832" w:rsidRPr="008B7775">
          <w:rPr>
            <w:rStyle w:val="Hyperlink"/>
            <w:noProof/>
          </w:rPr>
          <w:t>PART II: Explaining the Model Rules</w:t>
        </w:r>
        <w:r w:rsidR="00F01832">
          <w:rPr>
            <w:noProof/>
            <w:webHidden/>
          </w:rPr>
          <w:tab/>
        </w:r>
        <w:r w:rsidR="00F01832">
          <w:rPr>
            <w:noProof/>
            <w:webHidden/>
          </w:rPr>
          <w:fldChar w:fldCharType="begin"/>
        </w:r>
        <w:r w:rsidR="00F01832">
          <w:rPr>
            <w:noProof/>
            <w:webHidden/>
          </w:rPr>
          <w:instrText xml:space="preserve"> PAGEREF _Toc101095572 \h </w:instrText>
        </w:r>
        <w:r w:rsidR="00F01832">
          <w:rPr>
            <w:noProof/>
            <w:webHidden/>
          </w:rPr>
        </w:r>
        <w:r w:rsidR="00F01832">
          <w:rPr>
            <w:noProof/>
            <w:webHidden/>
          </w:rPr>
          <w:fldChar w:fldCharType="separate"/>
        </w:r>
        <w:r w:rsidR="00F01832">
          <w:rPr>
            <w:noProof/>
            <w:webHidden/>
          </w:rPr>
          <w:t>21</w:t>
        </w:r>
        <w:r w:rsidR="00F01832">
          <w:rPr>
            <w:noProof/>
            <w:webHidden/>
          </w:rPr>
          <w:fldChar w:fldCharType="end"/>
        </w:r>
      </w:hyperlink>
    </w:p>
    <w:p w14:paraId="6D23E20D" w14:textId="31FD2E93" w:rsidR="00F01832" w:rsidRDefault="00B53EBA">
      <w:pPr>
        <w:pStyle w:val="TOC1"/>
        <w:rPr>
          <w:rFonts w:asciiTheme="minorHAnsi" w:eastAsiaTheme="minorEastAsia" w:hAnsiTheme="minorHAnsi" w:cstheme="minorBidi"/>
          <w:b w:val="0"/>
          <w:noProof/>
          <w:sz w:val="22"/>
          <w:szCs w:val="22"/>
        </w:rPr>
      </w:pPr>
      <w:hyperlink w:anchor="_Toc101095573" w:history="1">
        <w:r w:rsidR="00F01832" w:rsidRPr="008B7775">
          <w:rPr>
            <w:rStyle w:val="Hyperlink"/>
            <w:noProof/>
          </w:rPr>
          <w:t>CHAPTER 4</w:t>
        </w:r>
        <w:r w:rsidR="00433E1F">
          <w:rPr>
            <w:rStyle w:val="Hyperlink"/>
            <w:noProof/>
          </w:rPr>
          <w:tab/>
        </w:r>
        <w:r w:rsidR="00F01832" w:rsidRPr="008B7775">
          <w:rPr>
            <w:rStyle w:val="Hyperlink"/>
            <w:noProof/>
          </w:rPr>
          <w:t>Scope</w:t>
        </w:r>
        <w:r w:rsidR="00F01832">
          <w:rPr>
            <w:noProof/>
            <w:webHidden/>
          </w:rPr>
          <w:tab/>
        </w:r>
        <w:r w:rsidR="00F01832">
          <w:rPr>
            <w:noProof/>
            <w:webHidden/>
          </w:rPr>
          <w:fldChar w:fldCharType="begin"/>
        </w:r>
        <w:r w:rsidR="00F01832">
          <w:rPr>
            <w:noProof/>
            <w:webHidden/>
          </w:rPr>
          <w:instrText xml:space="preserve"> PAGEREF _Toc101095573 \h </w:instrText>
        </w:r>
        <w:r w:rsidR="00F01832">
          <w:rPr>
            <w:noProof/>
            <w:webHidden/>
          </w:rPr>
        </w:r>
        <w:r w:rsidR="00F01832">
          <w:rPr>
            <w:noProof/>
            <w:webHidden/>
          </w:rPr>
          <w:fldChar w:fldCharType="separate"/>
        </w:r>
        <w:r w:rsidR="00F01832">
          <w:rPr>
            <w:noProof/>
            <w:webHidden/>
          </w:rPr>
          <w:t>23</w:t>
        </w:r>
        <w:r w:rsidR="00F01832">
          <w:rPr>
            <w:noProof/>
            <w:webHidden/>
          </w:rPr>
          <w:fldChar w:fldCharType="end"/>
        </w:r>
      </w:hyperlink>
    </w:p>
    <w:p w14:paraId="14A405A9" w14:textId="0D9FBE65" w:rsidR="00F01832" w:rsidRDefault="00B53EBA">
      <w:pPr>
        <w:pStyle w:val="TOC2"/>
        <w:rPr>
          <w:rFonts w:asciiTheme="minorHAnsi" w:eastAsiaTheme="minorEastAsia" w:hAnsiTheme="minorHAnsi" w:cstheme="minorBidi"/>
          <w:noProof/>
          <w:sz w:val="22"/>
          <w:szCs w:val="22"/>
        </w:rPr>
      </w:pPr>
      <w:hyperlink w:anchor="_Toc101095574" w:history="1">
        <w:r w:rsidR="00F01832" w:rsidRPr="008B7775">
          <w:rPr>
            <w:rStyle w:val="Hyperlink"/>
            <w:noProof/>
          </w:rPr>
          <w:t>Overview</w:t>
        </w:r>
        <w:r w:rsidR="00F01832">
          <w:rPr>
            <w:noProof/>
            <w:webHidden/>
          </w:rPr>
          <w:tab/>
        </w:r>
        <w:r w:rsidR="00F01832">
          <w:rPr>
            <w:noProof/>
            <w:webHidden/>
          </w:rPr>
          <w:fldChar w:fldCharType="begin"/>
        </w:r>
        <w:r w:rsidR="00F01832">
          <w:rPr>
            <w:noProof/>
            <w:webHidden/>
          </w:rPr>
          <w:instrText xml:space="preserve"> PAGEREF _Toc101095574 \h </w:instrText>
        </w:r>
        <w:r w:rsidR="00F01832">
          <w:rPr>
            <w:noProof/>
            <w:webHidden/>
          </w:rPr>
        </w:r>
        <w:r w:rsidR="00F01832">
          <w:rPr>
            <w:noProof/>
            <w:webHidden/>
          </w:rPr>
          <w:fldChar w:fldCharType="separate"/>
        </w:r>
        <w:r w:rsidR="00F01832">
          <w:rPr>
            <w:noProof/>
            <w:webHidden/>
          </w:rPr>
          <w:t>23</w:t>
        </w:r>
        <w:r w:rsidR="00F01832">
          <w:rPr>
            <w:noProof/>
            <w:webHidden/>
          </w:rPr>
          <w:fldChar w:fldCharType="end"/>
        </w:r>
      </w:hyperlink>
    </w:p>
    <w:p w14:paraId="7379DE76" w14:textId="33F14B20" w:rsidR="00F01832" w:rsidRDefault="00B53EBA">
      <w:pPr>
        <w:pStyle w:val="TOC2"/>
        <w:rPr>
          <w:rFonts w:asciiTheme="minorHAnsi" w:eastAsiaTheme="minorEastAsia" w:hAnsiTheme="minorHAnsi" w:cstheme="minorBidi"/>
          <w:noProof/>
          <w:sz w:val="22"/>
          <w:szCs w:val="22"/>
        </w:rPr>
      </w:pPr>
      <w:hyperlink w:anchor="_Toc101095575" w:history="1">
        <w:r w:rsidR="00F01832" w:rsidRPr="008B7775">
          <w:rPr>
            <w:rStyle w:val="Hyperlink"/>
            <w:noProof/>
            <w:lang w:eastAsia="en-AU"/>
          </w:rPr>
          <w:t>MNE groups and their members</w:t>
        </w:r>
        <w:r w:rsidR="00F01832">
          <w:rPr>
            <w:noProof/>
            <w:webHidden/>
          </w:rPr>
          <w:tab/>
        </w:r>
        <w:r w:rsidR="00F01832">
          <w:rPr>
            <w:noProof/>
            <w:webHidden/>
          </w:rPr>
          <w:fldChar w:fldCharType="begin"/>
        </w:r>
        <w:r w:rsidR="00F01832">
          <w:rPr>
            <w:noProof/>
            <w:webHidden/>
          </w:rPr>
          <w:instrText xml:space="preserve"> PAGEREF _Toc101095575 \h </w:instrText>
        </w:r>
        <w:r w:rsidR="00F01832">
          <w:rPr>
            <w:noProof/>
            <w:webHidden/>
          </w:rPr>
        </w:r>
        <w:r w:rsidR="00F01832">
          <w:rPr>
            <w:noProof/>
            <w:webHidden/>
          </w:rPr>
          <w:fldChar w:fldCharType="separate"/>
        </w:r>
        <w:r w:rsidR="00F01832">
          <w:rPr>
            <w:noProof/>
            <w:webHidden/>
          </w:rPr>
          <w:t>23</w:t>
        </w:r>
        <w:r w:rsidR="00F01832">
          <w:rPr>
            <w:noProof/>
            <w:webHidden/>
          </w:rPr>
          <w:fldChar w:fldCharType="end"/>
        </w:r>
      </w:hyperlink>
    </w:p>
    <w:p w14:paraId="25584C4E" w14:textId="599E7C4B" w:rsidR="00F01832" w:rsidRDefault="00B53EBA">
      <w:pPr>
        <w:pStyle w:val="TOC2"/>
        <w:rPr>
          <w:rFonts w:asciiTheme="minorHAnsi" w:eastAsiaTheme="minorEastAsia" w:hAnsiTheme="minorHAnsi" w:cstheme="minorBidi"/>
          <w:noProof/>
          <w:sz w:val="22"/>
          <w:szCs w:val="22"/>
        </w:rPr>
      </w:pPr>
      <w:hyperlink w:anchor="_Toc101095576" w:history="1">
        <w:r w:rsidR="00F01832" w:rsidRPr="008B7775">
          <w:rPr>
            <w:rStyle w:val="Hyperlink"/>
            <w:noProof/>
            <w:lang w:val="en-GB" w:eastAsia="en-AU"/>
          </w:rPr>
          <w:t>Revenue threshold</w:t>
        </w:r>
        <w:r w:rsidR="00F01832">
          <w:rPr>
            <w:noProof/>
            <w:webHidden/>
          </w:rPr>
          <w:tab/>
        </w:r>
        <w:r w:rsidR="00F01832">
          <w:rPr>
            <w:noProof/>
            <w:webHidden/>
          </w:rPr>
          <w:fldChar w:fldCharType="begin"/>
        </w:r>
        <w:r w:rsidR="00F01832">
          <w:rPr>
            <w:noProof/>
            <w:webHidden/>
          </w:rPr>
          <w:instrText xml:space="preserve"> PAGEREF _Toc101095576 \h </w:instrText>
        </w:r>
        <w:r w:rsidR="00F01832">
          <w:rPr>
            <w:noProof/>
            <w:webHidden/>
          </w:rPr>
        </w:r>
        <w:r w:rsidR="00F01832">
          <w:rPr>
            <w:noProof/>
            <w:webHidden/>
          </w:rPr>
          <w:fldChar w:fldCharType="separate"/>
        </w:r>
        <w:r w:rsidR="00F01832">
          <w:rPr>
            <w:noProof/>
            <w:webHidden/>
          </w:rPr>
          <w:t>24</w:t>
        </w:r>
        <w:r w:rsidR="00F01832">
          <w:rPr>
            <w:noProof/>
            <w:webHidden/>
          </w:rPr>
          <w:fldChar w:fldCharType="end"/>
        </w:r>
      </w:hyperlink>
    </w:p>
    <w:p w14:paraId="4774147E" w14:textId="4147B53B" w:rsidR="00F01832" w:rsidRDefault="00B53EBA">
      <w:pPr>
        <w:pStyle w:val="TOC2"/>
        <w:rPr>
          <w:rFonts w:asciiTheme="minorHAnsi" w:eastAsiaTheme="minorEastAsia" w:hAnsiTheme="minorHAnsi" w:cstheme="minorBidi"/>
          <w:noProof/>
          <w:sz w:val="22"/>
          <w:szCs w:val="22"/>
        </w:rPr>
      </w:pPr>
      <w:hyperlink w:anchor="_Toc101095577" w:history="1">
        <w:r w:rsidR="00F01832" w:rsidRPr="008B7775">
          <w:rPr>
            <w:rStyle w:val="Hyperlink"/>
            <w:noProof/>
            <w:lang w:val="en-GB" w:eastAsia="en-AU"/>
          </w:rPr>
          <w:t>Alternative domestic threshold</w:t>
        </w:r>
        <w:r w:rsidR="00F01832">
          <w:rPr>
            <w:noProof/>
            <w:webHidden/>
          </w:rPr>
          <w:tab/>
        </w:r>
        <w:r w:rsidR="00F01832">
          <w:rPr>
            <w:noProof/>
            <w:webHidden/>
          </w:rPr>
          <w:fldChar w:fldCharType="begin"/>
        </w:r>
        <w:r w:rsidR="00F01832">
          <w:rPr>
            <w:noProof/>
            <w:webHidden/>
          </w:rPr>
          <w:instrText xml:space="preserve"> PAGEREF _Toc101095577 \h </w:instrText>
        </w:r>
        <w:r w:rsidR="00F01832">
          <w:rPr>
            <w:noProof/>
            <w:webHidden/>
          </w:rPr>
        </w:r>
        <w:r w:rsidR="00F01832">
          <w:rPr>
            <w:noProof/>
            <w:webHidden/>
          </w:rPr>
          <w:fldChar w:fldCharType="separate"/>
        </w:r>
        <w:r w:rsidR="00F01832">
          <w:rPr>
            <w:noProof/>
            <w:webHidden/>
          </w:rPr>
          <w:t>24</w:t>
        </w:r>
        <w:r w:rsidR="00F01832">
          <w:rPr>
            <w:noProof/>
            <w:webHidden/>
          </w:rPr>
          <w:fldChar w:fldCharType="end"/>
        </w:r>
      </w:hyperlink>
    </w:p>
    <w:p w14:paraId="4B42FC8A" w14:textId="7CB65A9A" w:rsidR="00F01832" w:rsidRDefault="00B53EBA">
      <w:pPr>
        <w:pStyle w:val="TOC2"/>
        <w:rPr>
          <w:rFonts w:asciiTheme="minorHAnsi" w:eastAsiaTheme="minorEastAsia" w:hAnsiTheme="minorHAnsi" w:cstheme="minorBidi"/>
          <w:noProof/>
          <w:sz w:val="22"/>
          <w:szCs w:val="22"/>
        </w:rPr>
      </w:pPr>
      <w:hyperlink w:anchor="_Toc101095578" w:history="1">
        <w:r w:rsidR="00F01832" w:rsidRPr="008B7775">
          <w:rPr>
            <w:rStyle w:val="Hyperlink"/>
            <w:noProof/>
          </w:rPr>
          <w:t>Excluded entities</w:t>
        </w:r>
        <w:r w:rsidR="00F01832">
          <w:rPr>
            <w:noProof/>
            <w:webHidden/>
          </w:rPr>
          <w:tab/>
        </w:r>
        <w:r w:rsidR="00F01832">
          <w:rPr>
            <w:noProof/>
            <w:webHidden/>
          </w:rPr>
          <w:fldChar w:fldCharType="begin"/>
        </w:r>
        <w:r w:rsidR="00F01832">
          <w:rPr>
            <w:noProof/>
            <w:webHidden/>
          </w:rPr>
          <w:instrText xml:space="preserve"> PAGEREF _Toc101095578 \h </w:instrText>
        </w:r>
        <w:r w:rsidR="00F01832">
          <w:rPr>
            <w:noProof/>
            <w:webHidden/>
          </w:rPr>
        </w:r>
        <w:r w:rsidR="00F01832">
          <w:rPr>
            <w:noProof/>
            <w:webHidden/>
          </w:rPr>
          <w:fldChar w:fldCharType="separate"/>
        </w:r>
        <w:r w:rsidR="00F01832">
          <w:rPr>
            <w:noProof/>
            <w:webHidden/>
          </w:rPr>
          <w:t>25</w:t>
        </w:r>
        <w:r w:rsidR="00F01832">
          <w:rPr>
            <w:noProof/>
            <w:webHidden/>
          </w:rPr>
          <w:fldChar w:fldCharType="end"/>
        </w:r>
      </w:hyperlink>
    </w:p>
    <w:p w14:paraId="63DF2102" w14:textId="068BCC0F" w:rsidR="00F01832" w:rsidRDefault="00B53EBA">
      <w:pPr>
        <w:pStyle w:val="TOC2"/>
        <w:rPr>
          <w:rFonts w:asciiTheme="minorHAnsi" w:eastAsiaTheme="minorEastAsia" w:hAnsiTheme="minorHAnsi" w:cstheme="minorBidi"/>
          <w:noProof/>
          <w:sz w:val="22"/>
          <w:szCs w:val="22"/>
        </w:rPr>
      </w:pPr>
      <w:hyperlink w:anchor="_Toc101095579" w:history="1">
        <w:r w:rsidR="00F01832" w:rsidRPr="008B7775">
          <w:rPr>
            <w:rStyle w:val="Hyperlink"/>
            <w:noProof/>
            <w:lang w:val="en-GB" w:eastAsia="en-AU"/>
          </w:rPr>
          <w:t>International shipping exemption</w:t>
        </w:r>
        <w:r w:rsidR="00F01832">
          <w:rPr>
            <w:noProof/>
            <w:webHidden/>
          </w:rPr>
          <w:tab/>
        </w:r>
        <w:r w:rsidR="00F01832">
          <w:rPr>
            <w:noProof/>
            <w:webHidden/>
          </w:rPr>
          <w:fldChar w:fldCharType="begin"/>
        </w:r>
        <w:r w:rsidR="00F01832">
          <w:rPr>
            <w:noProof/>
            <w:webHidden/>
          </w:rPr>
          <w:instrText xml:space="preserve"> PAGEREF _Toc101095579 \h </w:instrText>
        </w:r>
        <w:r w:rsidR="00F01832">
          <w:rPr>
            <w:noProof/>
            <w:webHidden/>
          </w:rPr>
        </w:r>
        <w:r w:rsidR="00F01832">
          <w:rPr>
            <w:noProof/>
            <w:webHidden/>
          </w:rPr>
          <w:fldChar w:fldCharType="separate"/>
        </w:r>
        <w:r w:rsidR="00F01832">
          <w:rPr>
            <w:noProof/>
            <w:webHidden/>
          </w:rPr>
          <w:t>26</w:t>
        </w:r>
        <w:r w:rsidR="00F01832">
          <w:rPr>
            <w:noProof/>
            <w:webHidden/>
          </w:rPr>
          <w:fldChar w:fldCharType="end"/>
        </w:r>
      </w:hyperlink>
    </w:p>
    <w:p w14:paraId="020232A1" w14:textId="20A7BA0B" w:rsidR="00F01832" w:rsidRDefault="00B53EBA">
      <w:pPr>
        <w:pStyle w:val="TOC1"/>
        <w:rPr>
          <w:rFonts w:asciiTheme="minorHAnsi" w:eastAsiaTheme="minorEastAsia" w:hAnsiTheme="minorHAnsi" w:cstheme="minorBidi"/>
          <w:b w:val="0"/>
          <w:noProof/>
          <w:sz w:val="22"/>
          <w:szCs w:val="22"/>
        </w:rPr>
      </w:pPr>
      <w:hyperlink w:anchor="_Toc101095580" w:history="1">
        <w:r w:rsidR="00F01832" w:rsidRPr="008B7775">
          <w:rPr>
            <w:rStyle w:val="Hyperlink"/>
            <w:noProof/>
            <w:snapToGrid w:val="0"/>
            <w:lang w:eastAsia="en-US"/>
          </w:rPr>
          <w:t>CHAPTER 5</w:t>
        </w:r>
        <w:r w:rsidR="00433E1F">
          <w:rPr>
            <w:rStyle w:val="Hyperlink"/>
            <w:noProof/>
            <w:snapToGrid w:val="0"/>
            <w:lang w:eastAsia="en-US"/>
          </w:rPr>
          <w:tab/>
        </w:r>
        <w:r w:rsidR="00F01832" w:rsidRPr="008B7775">
          <w:rPr>
            <w:rStyle w:val="Hyperlink"/>
            <w:noProof/>
            <w:snapToGrid w:val="0"/>
            <w:lang w:eastAsia="en-US"/>
          </w:rPr>
          <w:t>Calculating the effective tax rate</w:t>
        </w:r>
        <w:r w:rsidR="00F01832">
          <w:rPr>
            <w:noProof/>
            <w:webHidden/>
          </w:rPr>
          <w:tab/>
        </w:r>
        <w:r w:rsidR="00F01832">
          <w:rPr>
            <w:noProof/>
            <w:webHidden/>
          </w:rPr>
          <w:fldChar w:fldCharType="begin"/>
        </w:r>
        <w:r w:rsidR="00F01832">
          <w:rPr>
            <w:noProof/>
            <w:webHidden/>
          </w:rPr>
          <w:instrText xml:space="preserve"> PAGEREF _Toc101095580 \h </w:instrText>
        </w:r>
        <w:r w:rsidR="00F01832">
          <w:rPr>
            <w:noProof/>
            <w:webHidden/>
          </w:rPr>
        </w:r>
        <w:r w:rsidR="00F01832">
          <w:rPr>
            <w:noProof/>
            <w:webHidden/>
          </w:rPr>
          <w:fldChar w:fldCharType="separate"/>
        </w:r>
        <w:r w:rsidR="00F01832">
          <w:rPr>
            <w:noProof/>
            <w:webHidden/>
          </w:rPr>
          <w:t>27</w:t>
        </w:r>
        <w:r w:rsidR="00F01832">
          <w:rPr>
            <w:noProof/>
            <w:webHidden/>
          </w:rPr>
          <w:fldChar w:fldCharType="end"/>
        </w:r>
      </w:hyperlink>
    </w:p>
    <w:p w14:paraId="295D095B" w14:textId="5B9E0E74" w:rsidR="00F01832" w:rsidRDefault="00B53EBA">
      <w:pPr>
        <w:pStyle w:val="TOC2"/>
        <w:rPr>
          <w:rFonts w:asciiTheme="minorHAnsi" w:eastAsiaTheme="minorEastAsia" w:hAnsiTheme="minorHAnsi" w:cstheme="minorBidi"/>
          <w:noProof/>
          <w:sz w:val="22"/>
          <w:szCs w:val="22"/>
        </w:rPr>
      </w:pPr>
      <w:hyperlink w:anchor="_Toc101095581" w:history="1">
        <w:r w:rsidR="00F01832" w:rsidRPr="008B7775">
          <w:rPr>
            <w:rStyle w:val="Hyperlink"/>
            <w:noProof/>
            <w:lang w:eastAsia="en-US"/>
          </w:rPr>
          <w:t>Overview</w:t>
        </w:r>
        <w:r w:rsidR="00F01832">
          <w:rPr>
            <w:noProof/>
            <w:webHidden/>
          </w:rPr>
          <w:tab/>
        </w:r>
        <w:r w:rsidR="00F01832">
          <w:rPr>
            <w:noProof/>
            <w:webHidden/>
          </w:rPr>
          <w:fldChar w:fldCharType="begin"/>
        </w:r>
        <w:r w:rsidR="00F01832">
          <w:rPr>
            <w:noProof/>
            <w:webHidden/>
          </w:rPr>
          <w:instrText xml:space="preserve"> PAGEREF _Toc101095581 \h </w:instrText>
        </w:r>
        <w:r w:rsidR="00F01832">
          <w:rPr>
            <w:noProof/>
            <w:webHidden/>
          </w:rPr>
        </w:r>
        <w:r w:rsidR="00F01832">
          <w:rPr>
            <w:noProof/>
            <w:webHidden/>
          </w:rPr>
          <w:fldChar w:fldCharType="separate"/>
        </w:r>
        <w:r w:rsidR="00F01832">
          <w:rPr>
            <w:noProof/>
            <w:webHidden/>
          </w:rPr>
          <w:t>27</w:t>
        </w:r>
        <w:r w:rsidR="00F01832">
          <w:rPr>
            <w:noProof/>
            <w:webHidden/>
          </w:rPr>
          <w:fldChar w:fldCharType="end"/>
        </w:r>
      </w:hyperlink>
    </w:p>
    <w:p w14:paraId="713CAABF" w14:textId="6222A7C9" w:rsidR="00F01832" w:rsidRDefault="00B53EBA">
      <w:pPr>
        <w:pStyle w:val="TOC2"/>
        <w:rPr>
          <w:rFonts w:asciiTheme="minorHAnsi" w:eastAsiaTheme="minorEastAsia" w:hAnsiTheme="minorHAnsi" w:cstheme="minorBidi"/>
          <w:noProof/>
          <w:sz w:val="22"/>
          <w:szCs w:val="22"/>
        </w:rPr>
      </w:pPr>
      <w:hyperlink w:anchor="_Toc101095582" w:history="1">
        <w:r w:rsidR="00F01832" w:rsidRPr="008B7775">
          <w:rPr>
            <w:rStyle w:val="Hyperlink"/>
            <w:noProof/>
            <w:lang w:eastAsia="en-AU"/>
          </w:rPr>
          <w:t>The Effective Tax Rate</w:t>
        </w:r>
        <w:r w:rsidR="00F01832">
          <w:rPr>
            <w:noProof/>
            <w:webHidden/>
          </w:rPr>
          <w:tab/>
        </w:r>
        <w:r w:rsidR="00F01832">
          <w:rPr>
            <w:noProof/>
            <w:webHidden/>
          </w:rPr>
          <w:fldChar w:fldCharType="begin"/>
        </w:r>
        <w:r w:rsidR="00F01832">
          <w:rPr>
            <w:noProof/>
            <w:webHidden/>
          </w:rPr>
          <w:instrText xml:space="preserve"> PAGEREF _Toc101095582 \h </w:instrText>
        </w:r>
        <w:r w:rsidR="00F01832">
          <w:rPr>
            <w:noProof/>
            <w:webHidden/>
          </w:rPr>
        </w:r>
        <w:r w:rsidR="00F01832">
          <w:rPr>
            <w:noProof/>
            <w:webHidden/>
          </w:rPr>
          <w:fldChar w:fldCharType="separate"/>
        </w:r>
        <w:r w:rsidR="00F01832">
          <w:rPr>
            <w:noProof/>
            <w:webHidden/>
          </w:rPr>
          <w:t>27</w:t>
        </w:r>
        <w:r w:rsidR="00F01832">
          <w:rPr>
            <w:noProof/>
            <w:webHidden/>
          </w:rPr>
          <w:fldChar w:fldCharType="end"/>
        </w:r>
      </w:hyperlink>
    </w:p>
    <w:p w14:paraId="3F6F4531" w14:textId="2119D7DC" w:rsidR="00F01832" w:rsidRDefault="00B53EBA">
      <w:pPr>
        <w:pStyle w:val="TOC2"/>
        <w:rPr>
          <w:rFonts w:asciiTheme="minorHAnsi" w:eastAsiaTheme="minorEastAsia" w:hAnsiTheme="minorHAnsi" w:cstheme="minorBidi"/>
          <w:noProof/>
          <w:sz w:val="22"/>
          <w:szCs w:val="22"/>
        </w:rPr>
      </w:pPr>
      <w:hyperlink w:anchor="_Toc101095583" w:history="1">
        <w:r w:rsidR="00F01832" w:rsidRPr="008B7775">
          <w:rPr>
            <w:rStyle w:val="Hyperlink"/>
            <w:noProof/>
            <w:lang w:eastAsia="en-AU"/>
          </w:rPr>
          <w:t>Step 1: Identifying</w:t>
        </w:r>
        <w:r w:rsidR="00F01832" w:rsidRPr="008B7775">
          <w:rPr>
            <w:rStyle w:val="Hyperlink"/>
            <w:noProof/>
            <w:lang w:val="en-GB" w:eastAsia="en-AU"/>
          </w:rPr>
          <w:t xml:space="preserve"> the constituent entities in a jurisdiction</w:t>
        </w:r>
        <w:r w:rsidR="00F01832">
          <w:rPr>
            <w:noProof/>
            <w:webHidden/>
          </w:rPr>
          <w:tab/>
        </w:r>
        <w:r w:rsidR="00F01832">
          <w:rPr>
            <w:noProof/>
            <w:webHidden/>
          </w:rPr>
          <w:fldChar w:fldCharType="begin"/>
        </w:r>
        <w:r w:rsidR="00F01832">
          <w:rPr>
            <w:noProof/>
            <w:webHidden/>
          </w:rPr>
          <w:instrText xml:space="preserve"> PAGEREF _Toc101095583 \h </w:instrText>
        </w:r>
        <w:r w:rsidR="00F01832">
          <w:rPr>
            <w:noProof/>
            <w:webHidden/>
          </w:rPr>
        </w:r>
        <w:r w:rsidR="00F01832">
          <w:rPr>
            <w:noProof/>
            <w:webHidden/>
          </w:rPr>
          <w:fldChar w:fldCharType="separate"/>
        </w:r>
        <w:r w:rsidR="00F01832">
          <w:rPr>
            <w:noProof/>
            <w:webHidden/>
          </w:rPr>
          <w:t>27</w:t>
        </w:r>
        <w:r w:rsidR="00F01832">
          <w:rPr>
            <w:noProof/>
            <w:webHidden/>
          </w:rPr>
          <w:fldChar w:fldCharType="end"/>
        </w:r>
      </w:hyperlink>
    </w:p>
    <w:p w14:paraId="2ABE408B" w14:textId="29A042F5" w:rsidR="00F01832" w:rsidRDefault="00B53EBA">
      <w:pPr>
        <w:pStyle w:val="TOC2"/>
        <w:rPr>
          <w:rFonts w:asciiTheme="minorHAnsi" w:eastAsiaTheme="minorEastAsia" w:hAnsiTheme="minorHAnsi" w:cstheme="minorBidi"/>
          <w:noProof/>
          <w:sz w:val="22"/>
          <w:szCs w:val="22"/>
        </w:rPr>
      </w:pPr>
      <w:hyperlink w:anchor="_Toc101095584" w:history="1">
        <w:r w:rsidR="00F01832" w:rsidRPr="008B7775">
          <w:rPr>
            <w:rStyle w:val="Hyperlink"/>
            <w:noProof/>
            <w:lang w:eastAsia="en-AU"/>
          </w:rPr>
          <w:t>Step 2: GloBE income for each constituent entity</w:t>
        </w:r>
        <w:r w:rsidR="00F01832">
          <w:rPr>
            <w:noProof/>
            <w:webHidden/>
          </w:rPr>
          <w:tab/>
        </w:r>
        <w:r w:rsidR="00F01832">
          <w:rPr>
            <w:noProof/>
            <w:webHidden/>
          </w:rPr>
          <w:fldChar w:fldCharType="begin"/>
        </w:r>
        <w:r w:rsidR="00F01832">
          <w:rPr>
            <w:noProof/>
            <w:webHidden/>
          </w:rPr>
          <w:instrText xml:space="preserve"> PAGEREF _Toc101095584 \h </w:instrText>
        </w:r>
        <w:r w:rsidR="00F01832">
          <w:rPr>
            <w:noProof/>
            <w:webHidden/>
          </w:rPr>
        </w:r>
        <w:r w:rsidR="00F01832">
          <w:rPr>
            <w:noProof/>
            <w:webHidden/>
          </w:rPr>
          <w:fldChar w:fldCharType="separate"/>
        </w:r>
        <w:r w:rsidR="00F01832">
          <w:rPr>
            <w:noProof/>
            <w:webHidden/>
          </w:rPr>
          <w:t>28</w:t>
        </w:r>
        <w:r w:rsidR="00F01832">
          <w:rPr>
            <w:noProof/>
            <w:webHidden/>
          </w:rPr>
          <w:fldChar w:fldCharType="end"/>
        </w:r>
      </w:hyperlink>
    </w:p>
    <w:p w14:paraId="5FBEE2DF" w14:textId="76C01EA1" w:rsidR="00F01832" w:rsidRDefault="00B53EBA">
      <w:pPr>
        <w:pStyle w:val="TOC2"/>
        <w:rPr>
          <w:rFonts w:asciiTheme="minorHAnsi" w:eastAsiaTheme="minorEastAsia" w:hAnsiTheme="minorHAnsi" w:cstheme="minorBidi"/>
          <w:noProof/>
          <w:sz w:val="22"/>
          <w:szCs w:val="22"/>
        </w:rPr>
      </w:pPr>
      <w:hyperlink w:anchor="_Toc101095585" w:history="1">
        <w:r w:rsidR="00F01832" w:rsidRPr="008B7775">
          <w:rPr>
            <w:rStyle w:val="Hyperlink"/>
            <w:noProof/>
            <w:lang w:eastAsia="en-AU"/>
          </w:rPr>
          <w:t>Step 3: Determine the taxes paid by constituent entities</w:t>
        </w:r>
        <w:r w:rsidR="00F01832">
          <w:rPr>
            <w:noProof/>
            <w:webHidden/>
          </w:rPr>
          <w:tab/>
        </w:r>
        <w:r w:rsidR="00F01832">
          <w:rPr>
            <w:noProof/>
            <w:webHidden/>
          </w:rPr>
          <w:fldChar w:fldCharType="begin"/>
        </w:r>
        <w:r w:rsidR="00F01832">
          <w:rPr>
            <w:noProof/>
            <w:webHidden/>
          </w:rPr>
          <w:instrText xml:space="preserve"> PAGEREF _Toc101095585 \h </w:instrText>
        </w:r>
        <w:r w:rsidR="00F01832">
          <w:rPr>
            <w:noProof/>
            <w:webHidden/>
          </w:rPr>
        </w:r>
        <w:r w:rsidR="00F01832">
          <w:rPr>
            <w:noProof/>
            <w:webHidden/>
          </w:rPr>
          <w:fldChar w:fldCharType="separate"/>
        </w:r>
        <w:r w:rsidR="00F01832">
          <w:rPr>
            <w:noProof/>
            <w:webHidden/>
          </w:rPr>
          <w:t>32</w:t>
        </w:r>
        <w:r w:rsidR="00F01832">
          <w:rPr>
            <w:noProof/>
            <w:webHidden/>
          </w:rPr>
          <w:fldChar w:fldCharType="end"/>
        </w:r>
      </w:hyperlink>
    </w:p>
    <w:p w14:paraId="39125EB4" w14:textId="2E0C17CF" w:rsidR="00F01832" w:rsidRDefault="00B53EBA">
      <w:pPr>
        <w:pStyle w:val="TOC2"/>
        <w:rPr>
          <w:rFonts w:asciiTheme="minorHAnsi" w:eastAsiaTheme="minorEastAsia" w:hAnsiTheme="minorHAnsi" w:cstheme="minorBidi"/>
          <w:noProof/>
          <w:sz w:val="22"/>
          <w:szCs w:val="22"/>
        </w:rPr>
      </w:pPr>
      <w:hyperlink w:anchor="_Toc101095586" w:history="1">
        <w:r w:rsidR="00F01832" w:rsidRPr="008B7775">
          <w:rPr>
            <w:rStyle w:val="Hyperlink"/>
            <w:noProof/>
          </w:rPr>
          <w:t>Step 4: Calculate the ETR</w:t>
        </w:r>
        <w:r w:rsidR="00F01832">
          <w:rPr>
            <w:noProof/>
            <w:webHidden/>
          </w:rPr>
          <w:tab/>
        </w:r>
        <w:r w:rsidR="00F01832">
          <w:rPr>
            <w:noProof/>
            <w:webHidden/>
          </w:rPr>
          <w:fldChar w:fldCharType="begin"/>
        </w:r>
        <w:r w:rsidR="00F01832">
          <w:rPr>
            <w:noProof/>
            <w:webHidden/>
          </w:rPr>
          <w:instrText xml:space="preserve"> PAGEREF _Toc101095586 \h </w:instrText>
        </w:r>
        <w:r w:rsidR="00F01832">
          <w:rPr>
            <w:noProof/>
            <w:webHidden/>
          </w:rPr>
        </w:r>
        <w:r w:rsidR="00F01832">
          <w:rPr>
            <w:noProof/>
            <w:webHidden/>
          </w:rPr>
          <w:fldChar w:fldCharType="separate"/>
        </w:r>
        <w:r w:rsidR="00F01832">
          <w:rPr>
            <w:noProof/>
            <w:webHidden/>
          </w:rPr>
          <w:t>38</w:t>
        </w:r>
        <w:r w:rsidR="00F01832">
          <w:rPr>
            <w:noProof/>
            <w:webHidden/>
          </w:rPr>
          <w:fldChar w:fldCharType="end"/>
        </w:r>
      </w:hyperlink>
    </w:p>
    <w:p w14:paraId="10C7E321" w14:textId="6972EA9F" w:rsidR="00F01832" w:rsidRDefault="00B53EBA">
      <w:pPr>
        <w:pStyle w:val="TOC2"/>
        <w:rPr>
          <w:rFonts w:asciiTheme="minorHAnsi" w:eastAsiaTheme="minorEastAsia" w:hAnsiTheme="minorHAnsi" w:cstheme="minorBidi"/>
          <w:noProof/>
          <w:sz w:val="22"/>
          <w:szCs w:val="22"/>
        </w:rPr>
      </w:pPr>
      <w:hyperlink w:anchor="_Toc101095587" w:history="1">
        <w:r w:rsidR="00F01832" w:rsidRPr="008B7775">
          <w:rPr>
            <w:rStyle w:val="Hyperlink"/>
            <w:noProof/>
          </w:rPr>
          <w:t>Further special rules for calculating ETRs</w:t>
        </w:r>
        <w:r w:rsidR="00F01832">
          <w:rPr>
            <w:noProof/>
            <w:webHidden/>
          </w:rPr>
          <w:tab/>
        </w:r>
        <w:r w:rsidR="00F01832">
          <w:rPr>
            <w:noProof/>
            <w:webHidden/>
          </w:rPr>
          <w:fldChar w:fldCharType="begin"/>
        </w:r>
        <w:r w:rsidR="00F01832">
          <w:rPr>
            <w:noProof/>
            <w:webHidden/>
          </w:rPr>
          <w:instrText xml:space="preserve"> PAGEREF _Toc101095587 \h </w:instrText>
        </w:r>
        <w:r w:rsidR="00F01832">
          <w:rPr>
            <w:noProof/>
            <w:webHidden/>
          </w:rPr>
        </w:r>
        <w:r w:rsidR="00F01832">
          <w:rPr>
            <w:noProof/>
            <w:webHidden/>
          </w:rPr>
          <w:fldChar w:fldCharType="separate"/>
        </w:r>
        <w:r w:rsidR="00F01832">
          <w:rPr>
            <w:noProof/>
            <w:webHidden/>
          </w:rPr>
          <w:t>38</w:t>
        </w:r>
        <w:r w:rsidR="00F01832">
          <w:rPr>
            <w:noProof/>
            <w:webHidden/>
          </w:rPr>
          <w:fldChar w:fldCharType="end"/>
        </w:r>
      </w:hyperlink>
    </w:p>
    <w:p w14:paraId="5F612441" w14:textId="5093BB59" w:rsidR="00F01832" w:rsidRDefault="00B53EBA">
      <w:pPr>
        <w:pStyle w:val="TOC1"/>
        <w:rPr>
          <w:rFonts w:asciiTheme="minorHAnsi" w:eastAsiaTheme="minorEastAsia" w:hAnsiTheme="minorHAnsi" w:cstheme="minorBidi"/>
          <w:b w:val="0"/>
          <w:noProof/>
          <w:sz w:val="22"/>
          <w:szCs w:val="22"/>
        </w:rPr>
      </w:pPr>
      <w:hyperlink w:anchor="_Toc101095588" w:history="1">
        <w:r w:rsidR="00F01832" w:rsidRPr="008B7775">
          <w:rPr>
            <w:rStyle w:val="Hyperlink"/>
            <w:noProof/>
          </w:rPr>
          <w:t>CHAPTER 6</w:t>
        </w:r>
        <w:r w:rsidR="00433E1F">
          <w:rPr>
            <w:rStyle w:val="Hyperlink"/>
            <w:noProof/>
          </w:rPr>
          <w:tab/>
        </w:r>
        <w:r w:rsidR="00F01832" w:rsidRPr="008B7775">
          <w:rPr>
            <w:rStyle w:val="Hyperlink"/>
            <w:noProof/>
          </w:rPr>
          <w:t>Calculating the top-up tax</w:t>
        </w:r>
        <w:r w:rsidR="00F01832">
          <w:rPr>
            <w:noProof/>
            <w:webHidden/>
          </w:rPr>
          <w:tab/>
        </w:r>
        <w:r w:rsidR="00F01832">
          <w:rPr>
            <w:noProof/>
            <w:webHidden/>
          </w:rPr>
          <w:fldChar w:fldCharType="begin"/>
        </w:r>
        <w:r w:rsidR="00F01832">
          <w:rPr>
            <w:noProof/>
            <w:webHidden/>
          </w:rPr>
          <w:instrText xml:space="preserve"> PAGEREF _Toc101095588 \h </w:instrText>
        </w:r>
        <w:r w:rsidR="00F01832">
          <w:rPr>
            <w:noProof/>
            <w:webHidden/>
          </w:rPr>
        </w:r>
        <w:r w:rsidR="00F01832">
          <w:rPr>
            <w:noProof/>
            <w:webHidden/>
          </w:rPr>
          <w:fldChar w:fldCharType="separate"/>
        </w:r>
        <w:r w:rsidR="00F01832">
          <w:rPr>
            <w:noProof/>
            <w:webHidden/>
          </w:rPr>
          <w:t>40</w:t>
        </w:r>
        <w:r w:rsidR="00F01832">
          <w:rPr>
            <w:noProof/>
            <w:webHidden/>
          </w:rPr>
          <w:fldChar w:fldCharType="end"/>
        </w:r>
      </w:hyperlink>
    </w:p>
    <w:p w14:paraId="2CB8C574" w14:textId="7FE80EEC" w:rsidR="00F01832" w:rsidRDefault="00B53EBA">
      <w:pPr>
        <w:pStyle w:val="TOC2"/>
        <w:rPr>
          <w:rFonts w:asciiTheme="minorHAnsi" w:eastAsiaTheme="minorEastAsia" w:hAnsiTheme="minorHAnsi" w:cstheme="minorBidi"/>
          <w:noProof/>
          <w:sz w:val="22"/>
          <w:szCs w:val="22"/>
        </w:rPr>
      </w:pPr>
      <w:hyperlink w:anchor="_Toc101095589" w:history="1">
        <w:r w:rsidR="00F01832" w:rsidRPr="008B7775">
          <w:rPr>
            <w:rStyle w:val="Hyperlink"/>
            <w:noProof/>
            <w:lang w:eastAsia="en-AU"/>
          </w:rPr>
          <w:t>Overview</w:t>
        </w:r>
        <w:r w:rsidR="00F01832">
          <w:rPr>
            <w:noProof/>
            <w:webHidden/>
          </w:rPr>
          <w:tab/>
        </w:r>
        <w:r w:rsidR="00F01832">
          <w:rPr>
            <w:noProof/>
            <w:webHidden/>
          </w:rPr>
          <w:fldChar w:fldCharType="begin"/>
        </w:r>
        <w:r w:rsidR="00F01832">
          <w:rPr>
            <w:noProof/>
            <w:webHidden/>
          </w:rPr>
          <w:instrText xml:space="preserve"> PAGEREF _Toc101095589 \h </w:instrText>
        </w:r>
        <w:r w:rsidR="00F01832">
          <w:rPr>
            <w:noProof/>
            <w:webHidden/>
          </w:rPr>
        </w:r>
        <w:r w:rsidR="00F01832">
          <w:rPr>
            <w:noProof/>
            <w:webHidden/>
          </w:rPr>
          <w:fldChar w:fldCharType="separate"/>
        </w:r>
        <w:r w:rsidR="00F01832">
          <w:rPr>
            <w:noProof/>
            <w:webHidden/>
          </w:rPr>
          <w:t>40</w:t>
        </w:r>
        <w:r w:rsidR="00F01832">
          <w:rPr>
            <w:noProof/>
            <w:webHidden/>
          </w:rPr>
          <w:fldChar w:fldCharType="end"/>
        </w:r>
      </w:hyperlink>
    </w:p>
    <w:p w14:paraId="477BC5F0" w14:textId="78A93B4A" w:rsidR="00F01832" w:rsidRDefault="00B53EBA">
      <w:pPr>
        <w:pStyle w:val="TOC2"/>
        <w:rPr>
          <w:rFonts w:asciiTheme="minorHAnsi" w:eastAsiaTheme="minorEastAsia" w:hAnsiTheme="minorHAnsi" w:cstheme="minorBidi"/>
          <w:noProof/>
          <w:sz w:val="22"/>
          <w:szCs w:val="22"/>
        </w:rPr>
      </w:pPr>
      <w:hyperlink w:anchor="_Toc101095590" w:history="1">
        <w:r w:rsidR="00F01832" w:rsidRPr="008B7775">
          <w:rPr>
            <w:rStyle w:val="Hyperlink"/>
            <w:noProof/>
            <w:lang w:eastAsia="en-AU"/>
          </w:rPr>
          <w:t>The steps</w:t>
        </w:r>
        <w:r w:rsidR="00F01832">
          <w:rPr>
            <w:noProof/>
            <w:webHidden/>
          </w:rPr>
          <w:tab/>
        </w:r>
        <w:r w:rsidR="00F01832">
          <w:rPr>
            <w:noProof/>
            <w:webHidden/>
          </w:rPr>
          <w:fldChar w:fldCharType="begin"/>
        </w:r>
        <w:r w:rsidR="00F01832">
          <w:rPr>
            <w:noProof/>
            <w:webHidden/>
          </w:rPr>
          <w:instrText xml:space="preserve"> PAGEREF _Toc101095590 \h </w:instrText>
        </w:r>
        <w:r w:rsidR="00F01832">
          <w:rPr>
            <w:noProof/>
            <w:webHidden/>
          </w:rPr>
        </w:r>
        <w:r w:rsidR="00F01832">
          <w:rPr>
            <w:noProof/>
            <w:webHidden/>
          </w:rPr>
          <w:fldChar w:fldCharType="separate"/>
        </w:r>
        <w:r w:rsidR="00F01832">
          <w:rPr>
            <w:noProof/>
            <w:webHidden/>
          </w:rPr>
          <w:t>40</w:t>
        </w:r>
        <w:r w:rsidR="00F01832">
          <w:rPr>
            <w:noProof/>
            <w:webHidden/>
          </w:rPr>
          <w:fldChar w:fldCharType="end"/>
        </w:r>
      </w:hyperlink>
    </w:p>
    <w:p w14:paraId="72655702" w14:textId="7DC27EB2" w:rsidR="00F01832" w:rsidRDefault="00B53EBA">
      <w:pPr>
        <w:pStyle w:val="TOC2"/>
        <w:rPr>
          <w:rFonts w:asciiTheme="minorHAnsi" w:eastAsiaTheme="minorEastAsia" w:hAnsiTheme="minorHAnsi" w:cstheme="minorBidi"/>
          <w:noProof/>
          <w:sz w:val="22"/>
          <w:szCs w:val="22"/>
        </w:rPr>
      </w:pPr>
      <w:hyperlink w:anchor="_Toc101095591" w:history="1">
        <w:r w:rsidR="00F01832" w:rsidRPr="008B7775">
          <w:rPr>
            <w:rStyle w:val="Hyperlink"/>
            <w:noProof/>
            <w:lang w:eastAsia="en-AU"/>
          </w:rPr>
          <w:t>Identifying the net GloBE income</w:t>
        </w:r>
        <w:r w:rsidR="00F01832">
          <w:rPr>
            <w:noProof/>
            <w:webHidden/>
          </w:rPr>
          <w:tab/>
        </w:r>
        <w:r w:rsidR="00F01832">
          <w:rPr>
            <w:noProof/>
            <w:webHidden/>
          </w:rPr>
          <w:fldChar w:fldCharType="begin"/>
        </w:r>
        <w:r w:rsidR="00F01832">
          <w:rPr>
            <w:noProof/>
            <w:webHidden/>
          </w:rPr>
          <w:instrText xml:space="preserve"> PAGEREF _Toc101095591 \h </w:instrText>
        </w:r>
        <w:r w:rsidR="00F01832">
          <w:rPr>
            <w:noProof/>
            <w:webHidden/>
          </w:rPr>
        </w:r>
        <w:r w:rsidR="00F01832">
          <w:rPr>
            <w:noProof/>
            <w:webHidden/>
          </w:rPr>
          <w:fldChar w:fldCharType="separate"/>
        </w:r>
        <w:r w:rsidR="00F01832">
          <w:rPr>
            <w:noProof/>
            <w:webHidden/>
          </w:rPr>
          <w:t>40</w:t>
        </w:r>
        <w:r w:rsidR="00F01832">
          <w:rPr>
            <w:noProof/>
            <w:webHidden/>
          </w:rPr>
          <w:fldChar w:fldCharType="end"/>
        </w:r>
      </w:hyperlink>
    </w:p>
    <w:p w14:paraId="34C7EB3A" w14:textId="74F7CCD4" w:rsidR="00F01832" w:rsidRDefault="00B53EBA">
      <w:pPr>
        <w:pStyle w:val="TOC2"/>
        <w:rPr>
          <w:rFonts w:asciiTheme="minorHAnsi" w:eastAsiaTheme="minorEastAsia" w:hAnsiTheme="minorHAnsi" w:cstheme="minorBidi"/>
          <w:noProof/>
          <w:sz w:val="22"/>
          <w:szCs w:val="22"/>
        </w:rPr>
      </w:pPr>
      <w:hyperlink w:anchor="_Toc101095592" w:history="1">
        <w:r w:rsidR="00F01832" w:rsidRPr="008B7775">
          <w:rPr>
            <w:rStyle w:val="Hyperlink"/>
            <w:noProof/>
            <w:lang w:eastAsia="en-AU"/>
          </w:rPr>
          <w:t>Calculating the ETR</w:t>
        </w:r>
        <w:r w:rsidR="00F01832">
          <w:rPr>
            <w:noProof/>
            <w:webHidden/>
          </w:rPr>
          <w:tab/>
        </w:r>
        <w:r w:rsidR="00F01832">
          <w:rPr>
            <w:noProof/>
            <w:webHidden/>
          </w:rPr>
          <w:fldChar w:fldCharType="begin"/>
        </w:r>
        <w:r w:rsidR="00F01832">
          <w:rPr>
            <w:noProof/>
            <w:webHidden/>
          </w:rPr>
          <w:instrText xml:space="preserve"> PAGEREF _Toc101095592 \h </w:instrText>
        </w:r>
        <w:r w:rsidR="00F01832">
          <w:rPr>
            <w:noProof/>
            <w:webHidden/>
          </w:rPr>
        </w:r>
        <w:r w:rsidR="00F01832">
          <w:rPr>
            <w:noProof/>
            <w:webHidden/>
          </w:rPr>
          <w:fldChar w:fldCharType="separate"/>
        </w:r>
        <w:r w:rsidR="00F01832">
          <w:rPr>
            <w:noProof/>
            <w:webHidden/>
          </w:rPr>
          <w:t>41</w:t>
        </w:r>
        <w:r w:rsidR="00F01832">
          <w:rPr>
            <w:noProof/>
            <w:webHidden/>
          </w:rPr>
          <w:fldChar w:fldCharType="end"/>
        </w:r>
      </w:hyperlink>
    </w:p>
    <w:p w14:paraId="7497E184" w14:textId="0500D116" w:rsidR="00F01832" w:rsidRDefault="00B53EBA">
      <w:pPr>
        <w:pStyle w:val="TOC2"/>
        <w:rPr>
          <w:rFonts w:asciiTheme="minorHAnsi" w:eastAsiaTheme="minorEastAsia" w:hAnsiTheme="minorHAnsi" w:cstheme="minorBidi"/>
          <w:noProof/>
          <w:sz w:val="22"/>
          <w:szCs w:val="22"/>
        </w:rPr>
      </w:pPr>
      <w:hyperlink w:anchor="_Toc101095593" w:history="1">
        <w:r w:rsidR="00F01832" w:rsidRPr="008B7775">
          <w:rPr>
            <w:rStyle w:val="Hyperlink"/>
            <w:noProof/>
            <w:lang w:eastAsia="en-AU"/>
          </w:rPr>
          <w:t>The top-up tax percentage</w:t>
        </w:r>
        <w:r w:rsidR="00F01832">
          <w:rPr>
            <w:noProof/>
            <w:webHidden/>
          </w:rPr>
          <w:tab/>
        </w:r>
        <w:r w:rsidR="00F01832">
          <w:rPr>
            <w:noProof/>
            <w:webHidden/>
          </w:rPr>
          <w:fldChar w:fldCharType="begin"/>
        </w:r>
        <w:r w:rsidR="00F01832">
          <w:rPr>
            <w:noProof/>
            <w:webHidden/>
          </w:rPr>
          <w:instrText xml:space="preserve"> PAGEREF _Toc101095593 \h </w:instrText>
        </w:r>
        <w:r w:rsidR="00F01832">
          <w:rPr>
            <w:noProof/>
            <w:webHidden/>
          </w:rPr>
        </w:r>
        <w:r w:rsidR="00F01832">
          <w:rPr>
            <w:noProof/>
            <w:webHidden/>
          </w:rPr>
          <w:fldChar w:fldCharType="separate"/>
        </w:r>
        <w:r w:rsidR="00F01832">
          <w:rPr>
            <w:noProof/>
            <w:webHidden/>
          </w:rPr>
          <w:t>41</w:t>
        </w:r>
        <w:r w:rsidR="00F01832">
          <w:rPr>
            <w:noProof/>
            <w:webHidden/>
          </w:rPr>
          <w:fldChar w:fldCharType="end"/>
        </w:r>
      </w:hyperlink>
    </w:p>
    <w:p w14:paraId="01B36FCE" w14:textId="5D284673" w:rsidR="00F01832" w:rsidRDefault="00B53EBA">
      <w:pPr>
        <w:pStyle w:val="TOC2"/>
        <w:rPr>
          <w:rFonts w:asciiTheme="minorHAnsi" w:eastAsiaTheme="minorEastAsia" w:hAnsiTheme="minorHAnsi" w:cstheme="minorBidi"/>
          <w:noProof/>
          <w:sz w:val="22"/>
          <w:szCs w:val="22"/>
        </w:rPr>
      </w:pPr>
      <w:hyperlink w:anchor="_Toc101095594" w:history="1">
        <w:r w:rsidR="00F01832" w:rsidRPr="008B7775">
          <w:rPr>
            <w:rStyle w:val="Hyperlink"/>
            <w:noProof/>
            <w:lang w:eastAsia="en-AU"/>
          </w:rPr>
          <w:t>Substance-based income exclusion</w:t>
        </w:r>
        <w:r w:rsidR="00F01832">
          <w:rPr>
            <w:noProof/>
            <w:webHidden/>
          </w:rPr>
          <w:tab/>
        </w:r>
        <w:r w:rsidR="00F01832">
          <w:rPr>
            <w:noProof/>
            <w:webHidden/>
          </w:rPr>
          <w:fldChar w:fldCharType="begin"/>
        </w:r>
        <w:r w:rsidR="00F01832">
          <w:rPr>
            <w:noProof/>
            <w:webHidden/>
          </w:rPr>
          <w:instrText xml:space="preserve"> PAGEREF _Toc101095594 \h </w:instrText>
        </w:r>
        <w:r w:rsidR="00F01832">
          <w:rPr>
            <w:noProof/>
            <w:webHidden/>
          </w:rPr>
        </w:r>
        <w:r w:rsidR="00F01832">
          <w:rPr>
            <w:noProof/>
            <w:webHidden/>
          </w:rPr>
          <w:fldChar w:fldCharType="separate"/>
        </w:r>
        <w:r w:rsidR="00F01832">
          <w:rPr>
            <w:noProof/>
            <w:webHidden/>
          </w:rPr>
          <w:t>41</w:t>
        </w:r>
        <w:r w:rsidR="00F01832">
          <w:rPr>
            <w:noProof/>
            <w:webHidden/>
          </w:rPr>
          <w:fldChar w:fldCharType="end"/>
        </w:r>
      </w:hyperlink>
    </w:p>
    <w:p w14:paraId="5BD4E636" w14:textId="13C8E385" w:rsidR="00F01832" w:rsidRDefault="00B53EBA">
      <w:pPr>
        <w:pStyle w:val="TOC2"/>
        <w:rPr>
          <w:rFonts w:asciiTheme="minorHAnsi" w:eastAsiaTheme="minorEastAsia" w:hAnsiTheme="minorHAnsi" w:cstheme="minorBidi"/>
          <w:noProof/>
          <w:sz w:val="22"/>
          <w:szCs w:val="22"/>
        </w:rPr>
      </w:pPr>
      <w:hyperlink w:anchor="_Toc101095595" w:history="1">
        <w:r w:rsidR="00F01832" w:rsidRPr="008B7775">
          <w:rPr>
            <w:rStyle w:val="Hyperlink"/>
            <w:noProof/>
            <w:lang w:eastAsia="en-AU"/>
          </w:rPr>
          <w:t>Computing the top-up tax in the jurisdiction</w:t>
        </w:r>
        <w:r w:rsidR="00F01832">
          <w:rPr>
            <w:noProof/>
            <w:webHidden/>
          </w:rPr>
          <w:tab/>
        </w:r>
        <w:r w:rsidR="00F01832">
          <w:rPr>
            <w:noProof/>
            <w:webHidden/>
          </w:rPr>
          <w:fldChar w:fldCharType="begin"/>
        </w:r>
        <w:r w:rsidR="00F01832">
          <w:rPr>
            <w:noProof/>
            <w:webHidden/>
          </w:rPr>
          <w:instrText xml:space="preserve"> PAGEREF _Toc101095595 \h </w:instrText>
        </w:r>
        <w:r w:rsidR="00F01832">
          <w:rPr>
            <w:noProof/>
            <w:webHidden/>
          </w:rPr>
        </w:r>
        <w:r w:rsidR="00F01832">
          <w:rPr>
            <w:noProof/>
            <w:webHidden/>
          </w:rPr>
          <w:fldChar w:fldCharType="separate"/>
        </w:r>
        <w:r w:rsidR="00F01832">
          <w:rPr>
            <w:noProof/>
            <w:webHidden/>
          </w:rPr>
          <w:t>43</w:t>
        </w:r>
        <w:r w:rsidR="00F01832">
          <w:rPr>
            <w:noProof/>
            <w:webHidden/>
          </w:rPr>
          <w:fldChar w:fldCharType="end"/>
        </w:r>
      </w:hyperlink>
    </w:p>
    <w:p w14:paraId="11907E30" w14:textId="166DE473" w:rsidR="00F01832" w:rsidRDefault="00B53EBA">
      <w:pPr>
        <w:pStyle w:val="TOC2"/>
        <w:rPr>
          <w:rFonts w:asciiTheme="minorHAnsi" w:eastAsiaTheme="minorEastAsia" w:hAnsiTheme="minorHAnsi" w:cstheme="minorBidi"/>
          <w:noProof/>
          <w:sz w:val="22"/>
          <w:szCs w:val="22"/>
        </w:rPr>
      </w:pPr>
      <w:hyperlink w:anchor="_Toc101095596" w:history="1">
        <w:r w:rsidR="00F01832" w:rsidRPr="008B7775">
          <w:rPr>
            <w:rStyle w:val="Hyperlink"/>
            <w:noProof/>
            <w:lang w:eastAsia="en-AU"/>
          </w:rPr>
          <w:t xml:space="preserve">Allocation of a jurisdiction’s top-up tax to constituent </w:t>
        </w:r>
        <w:r w:rsidR="007973F0">
          <w:rPr>
            <w:rStyle w:val="Hyperlink"/>
            <w:noProof/>
            <w:lang w:eastAsia="en-AU"/>
          </w:rPr>
          <w:br/>
        </w:r>
        <w:r w:rsidR="00F01832" w:rsidRPr="008B7775">
          <w:rPr>
            <w:rStyle w:val="Hyperlink"/>
            <w:noProof/>
            <w:lang w:eastAsia="en-AU"/>
          </w:rPr>
          <w:t>entities</w:t>
        </w:r>
        <w:r w:rsidR="00F01832">
          <w:rPr>
            <w:noProof/>
            <w:webHidden/>
          </w:rPr>
          <w:tab/>
        </w:r>
        <w:r w:rsidR="00F01832">
          <w:rPr>
            <w:noProof/>
            <w:webHidden/>
          </w:rPr>
          <w:fldChar w:fldCharType="begin"/>
        </w:r>
        <w:r w:rsidR="00F01832">
          <w:rPr>
            <w:noProof/>
            <w:webHidden/>
          </w:rPr>
          <w:instrText xml:space="preserve"> PAGEREF _Toc101095596 \h </w:instrText>
        </w:r>
        <w:r w:rsidR="00F01832">
          <w:rPr>
            <w:noProof/>
            <w:webHidden/>
          </w:rPr>
        </w:r>
        <w:r w:rsidR="00F01832">
          <w:rPr>
            <w:noProof/>
            <w:webHidden/>
          </w:rPr>
          <w:fldChar w:fldCharType="separate"/>
        </w:r>
        <w:r w:rsidR="00F01832">
          <w:rPr>
            <w:noProof/>
            <w:webHidden/>
          </w:rPr>
          <w:t>44</w:t>
        </w:r>
        <w:r w:rsidR="00F01832">
          <w:rPr>
            <w:noProof/>
            <w:webHidden/>
          </w:rPr>
          <w:fldChar w:fldCharType="end"/>
        </w:r>
      </w:hyperlink>
    </w:p>
    <w:p w14:paraId="6F45B660" w14:textId="3483C176" w:rsidR="00F01832" w:rsidRDefault="00B53EBA">
      <w:pPr>
        <w:pStyle w:val="TOC1"/>
        <w:rPr>
          <w:rFonts w:asciiTheme="minorHAnsi" w:eastAsiaTheme="minorEastAsia" w:hAnsiTheme="minorHAnsi" w:cstheme="minorBidi"/>
          <w:b w:val="0"/>
          <w:noProof/>
          <w:sz w:val="22"/>
          <w:szCs w:val="22"/>
        </w:rPr>
      </w:pPr>
      <w:hyperlink w:anchor="_Toc101095597" w:history="1">
        <w:r w:rsidR="00F01832" w:rsidRPr="008B7775">
          <w:rPr>
            <w:rStyle w:val="Hyperlink"/>
            <w:noProof/>
            <w:lang w:eastAsia="en-AU"/>
          </w:rPr>
          <w:t>CHAPTER 7</w:t>
        </w:r>
        <w:r w:rsidR="00433E1F">
          <w:rPr>
            <w:rStyle w:val="Hyperlink"/>
            <w:noProof/>
            <w:lang w:eastAsia="en-AU"/>
          </w:rPr>
          <w:tab/>
        </w:r>
        <w:r w:rsidR="00F01832" w:rsidRPr="008B7775">
          <w:rPr>
            <w:rStyle w:val="Hyperlink"/>
            <w:noProof/>
            <w:lang w:eastAsia="en-AU"/>
          </w:rPr>
          <w:t>Imposition of top-up tax</w:t>
        </w:r>
        <w:r w:rsidR="00F01832">
          <w:rPr>
            <w:noProof/>
            <w:webHidden/>
          </w:rPr>
          <w:tab/>
        </w:r>
        <w:r w:rsidR="00F01832">
          <w:rPr>
            <w:noProof/>
            <w:webHidden/>
          </w:rPr>
          <w:fldChar w:fldCharType="begin"/>
        </w:r>
        <w:r w:rsidR="00F01832">
          <w:rPr>
            <w:noProof/>
            <w:webHidden/>
          </w:rPr>
          <w:instrText xml:space="preserve"> PAGEREF _Toc101095597 \h </w:instrText>
        </w:r>
        <w:r w:rsidR="00F01832">
          <w:rPr>
            <w:noProof/>
            <w:webHidden/>
          </w:rPr>
        </w:r>
        <w:r w:rsidR="00F01832">
          <w:rPr>
            <w:noProof/>
            <w:webHidden/>
          </w:rPr>
          <w:fldChar w:fldCharType="separate"/>
        </w:r>
        <w:r w:rsidR="00F01832">
          <w:rPr>
            <w:noProof/>
            <w:webHidden/>
          </w:rPr>
          <w:t>45</w:t>
        </w:r>
        <w:r w:rsidR="00F01832">
          <w:rPr>
            <w:noProof/>
            <w:webHidden/>
          </w:rPr>
          <w:fldChar w:fldCharType="end"/>
        </w:r>
      </w:hyperlink>
    </w:p>
    <w:p w14:paraId="607270E4" w14:textId="04E554F1" w:rsidR="00F01832" w:rsidRDefault="00B53EBA">
      <w:pPr>
        <w:pStyle w:val="TOC2"/>
        <w:rPr>
          <w:rFonts w:asciiTheme="minorHAnsi" w:eastAsiaTheme="minorEastAsia" w:hAnsiTheme="minorHAnsi" w:cstheme="minorBidi"/>
          <w:noProof/>
          <w:sz w:val="22"/>
          <w:szCs w:val="22"/>
        </w:rPr>
      </w:pPr>
      <w:hyperlink w:anchor="_Toc101095598" w:history="1">
        <w:r w:rsidR="00F01832" w:rsidRPr="008B7775">
          <w:rPr>
            <w:rStyle w:val="Hyperlink"/>
            <w:noProof/>
            <w:lang w:eastAsia="en-AU"/>
          </w:rPr>
          <w:t>Overview</w:t>
        </w:r>
        <w:r w:rsidR="00F01832">
          <w:rPr>
            <w:noProof/>
            <w:webHidden/>
          </w:rPr>
          <w:tab/>
        </w:r>
        <w:r w:rsidR="00F01832">
          <w:rPr>
            <w:noProof/>
            <w:webHidden/>
          </w:rPr>
          <w:fldChar w:fldCharType="begin"/>
        </w:r>
        <w:r w:rsidR="00F01832">
          <w:rPr>
            <w:noProof/>
            <w:webHidden/>
          </w:rPr>
          <w:instrText xml:space="preserve"> PAGEREF _Toc101095598 \h </w:instrText>
        </w:r>
        <w:r w:rsidR="00F01832">
          <w:rPr>
            <w:noProof/>
            <w:webHidden/>
          </w:rPr>
        </w:r>
        <w:r w:rsidR="00F01832">
          <w:rPr>
            <w:noProof/>
            <w:webHidden/>
          </w:rPr>
          <w:fldChar w:fldCharType="separate"/>
        </w:r>
        <w:r w:rsidR="00F01832">
          <w:rPr>
            <w:noProof/>
            <w:webHidden/>
          </w:rPr>
          <w:t>45</w:t>
        </w:r>
        <w:r w:rsidR="00F01832">
          <w:rPr>
            <w:noProof/>
            <w:webHidden/>
          </w:rPr>
          <w:fldChar w:fldCharType="end"/>
        </w:r>
      </w:hyperlink>
    </w:p>
    <w:p w14:paraId="2161C9F3" w14:textId="39076286" w:rsidR="00F01832" w:rsidRDefault="00B53EBA">
      <w:pPr>
        <w:pStyle w:val="TOC2"/>
        <w:rPr>
          <w:rFonts w:asciiTheme="minorHAnsi" w:eastAsiaTheme="minorEastAsia" w:hAnsiTheme="minorHAnsi" w:cstheme="minorBidi"/>
          <w:noProof/>
          <w:sz w:val="22"/>
          <w:szCs w:val="22"/>
        </w:rPr>
      </w:pPr>
      <w:hyperlink w:anchor="_Toc101095599" w:history="1">
        <w:r w:rsidR="00F01832" w:rsidRPr="008B7775">
          <w:rPr>
            <w:rStyle w:val="Hyperlink"/>
            <w:noProof/>
            <w:lang w:eastAsia="en-AU"/>
          </w:rPr>
          <w:t>IIR ordering rules</w:t>
        </w:r>
        <w:r w:rsidR="00F01832">
          <w:rPr>
            <w:noProof/>
            <w:webHidden/>
          </w:rPr>
          <w:tab/>
        </w:r>
        <w:r w:rsidR="00F01832">
          <w:rPr>
            <w:noProof/>
            <w:webHidden/>
          </w:rPr>
          <w:fldChar w:fldCharType="begin"/>
        </w:r>
        <w:r w:rsidR="00F01832">
          <w:rPr>
            <w:noProof/>
            <w:webHidden/>
          </w:rPr>
          <w:instrText xml:space="preserve"> PAGEREF _Toc101095599 \h </w:instrText>
        </w:r>
        <w:r w:rsidR="00F01832">
          <w:rPr>
            <w:noProof/>
            <w:webHidden/>
          </w:rPr>
        </w:r>
        <w:r w:rsidR="00F01832">
          <w:rPr>
            <w:noProof/>
            <w:webHidden/>
          </w:rPr>
          <w:fldChar w:fldCharType="separate"/>
        </w:r>
        <w:r w:rsidR="00F01832">
          <w:rPr>
            <w:noProof/>
            <w:webHidden/>
          </w:rPr>
          <w:t>45</w:t>
        </w:r>
        <w:r w:rsidR="00F01832">
          <w:rPr>
            <w:noProof/>
            <w:webHidden/>
          </w:rPr>
          <w:fldChar w:fldCharType="end"/>
        </w:r>
      </w:hyperlink>
    </w:p>
    <w:p w14:paraId="3F8D3111" w14:textId="5CD12D50" w:rsidR="00F01832" w:rsidRDefault="00B53EBA">
      <w:pPr>
        <w:pStyle w:val="TOC2"/>
        <w:rPr>
          <w:rFonts w:asciiTheme="minorHAnsi" w:eastAsiaTheme="minorEastAsia" w:hAnsiTheme="minorHAnsi" w:cstheme="minorBidi"/>
          <w:noProof/>
          <w:sz w:val="22"/>
          <w:szCs w:val="22"/>
        </w:rPr>
      </w:pPr>
      <w:hyperlink w:anchor="_Toc101095600" w:history="1">
        <w:r w:rsidR="00F01832" w:rsidRPr="008B7775">
          <w:rPr>
            <w:rStyle w:val="Hyperlink"/>
            <w:noProof/>
            <w:lang w:val="en-GB" w:eastAsia="en-AU"/>
          </w:rPr>
          <w:t>UTPR interaction with IIR</w:t>
        </w:r>
        <w:r w:rsidR="00F01832">
          <w:rPr>
            <w:noProof/>
            <w:webHidden/>
          </w:rPr>
          <w:tab/>
        </w:r>
        <w:r w:rsidR="00F01832">
          <w:rPr>
            <w:noProof/>
            <w:webHidden/>
          </w:rPr>
          <w:fldChar w:fldCharType="begin"/>
        </w:r>
        <w:r w:rsidR="00F01832">
          <w:rPr>
            <w:noProof/>
            <w:webHidden/>
          </w:rPr>
          <w:instrText xml:space="preserve"> PAGEREF _Toc101095600 \h </w:instrText>
        </w:r>
        <w:r w:rsidR="00F01832">
          <w:rPr>
            <w:noProof/>
            <w:webHidden/>
          </w:rPr>
        </w:r>
        <w:r w:rsidR="00F01832">
          <w:rPr>
            <w:noProof/>
            <w:webHidden/>
          </w:rPr>
          <w:fldChar w:fldCharType="separate"/>
        </w:r>
        <w:r w:rsidR="00F01832">
          <w:rPr>
            <w:noProof/>
            <w:webHidden/>
          </w:rPr>
          <w:t>49</w:t>
        </w:r>
        <w:r w:rsidR="00F01832">
          <w:rPr>
            <w:noProof/>
            <w:webHidden/>
          </w:rPr>
          <w:fldChar w:fldCharType="end"/>
        </w:r>
      </w:hyperlink>
    </w:p>
    <w:p w14:paraId="26A01F16" w14:textId="14DCF19A" w:rsidR="00F01832" w:rsidRDefault="00B53EBA">
      <w:pPr>
        <w:pStyle w:val="TOC2"/>
        <w:rPr>
          <w:rFonts w:asciiTheme="minorHAnsi" w:eastAsiaTheme="minorEastAsia" w:hAnsiTheme="minorHAnsi" w:cstheme="minorBidi"/>
          <w:noProof/>
          <w:sz w:val="22"/>
          <w:szCs w:val="22"/>
        </w:rPr>
      </w:pPr>
      <w:hyperlink w:anchor="_Toc101095601" w:history="1">
        <w:r w:rsidR="00F01832" w:rsidRPr="008B7775">
          <w:rPr>
            <w:rStyle w:val="Hyperlink"/>
            <w:noProof/>
            <w:lang w:eastAsia="en-AU"/>
          </w:rPr>
          <w:t>How the UTPR allocates top-up tax to different jurisdictions</w:t>
        </w:r>
        <w:r w:rsidR="00F01832">
          <w:rPr>
            <w:noProof/>
            <w:webHidden/>
          </w:rPr>
          <w:tab/>
        </w:r>
        <w:r w:rsidR="00F01832">
          <w:rPr>
            <w:noProof/>
            <w:webHidden/>
          </w:rPr>
          <w:fldChar w:fldCharType="begin"/>
        </w:r>
        <w:r w:rsidR="00F01832">
          <w:rPr>
            <w:noProof/>
            <w:webHidden/>
          </w:rPr>
          <w:instrText xml:space="preserve"> PAGEREF _Toc101095601 \h </w:instrText>
        </w:r>
        <w:r w:rsidR="00F01832">
          <w:rPr>
            <w:noProof/>
            <w:webHidden/>
          </w:rPr>
        </w:r>
        <w:r w:rsidR="00F01832">
          <w:rPr>
            <w:noProof/>
            <w:webHidden/>
          </w:rPr>
          <w:fldChar w:fldCharType="separate"/>
        </w:r>
        <w:r w:rsidR="00F01832">
          <w:rPr>
            <w:noProof/>
            <w:webHidden/>
          </w:rPr>
          <w:t>50</w:t>
        </w:r>
        <w:r w:rsidR="00F01832">
          <w:rPr>
            <w:noProof/>
            <w:webHidden/>
          </w:rPr>
          <w:fldChar w:fldCharType="end"/>
        </w:r>
      </w:hyperlink>
    </w:p>
    <w:p w14:paraId="67D55486" w14:textId="7DFFDB2E" w:rsidR="00F01832" w:rsidRDefault="00B53EBA">
      <w:pPr>
        <w:pStyle w:val="TOC1"/>
        <w:rPr>
          <w:rFonts w:asciiTheme="minorHAnsi" w:eastAsiaTheme="minorEastAsia" w:hAnsiTheme="minorHAnsi" w:cstheme="minorBidi"/>
          <w:b w:val="0"/>
          <w:noProof/>
          <w:sz w:val="22"/>
          <w:szCs w:val="22"/>
        </w:rPr>
      </w:pPr>
      <w:hyperlink w:anchor="_Toc101095602" w:history="1">
        <w:r w:rsidR="00F01832" w:rsidRPr="008B7775">
          <w:rPr>
            <w:rStyle w:val="Hyperlink"/>
            <w:noProof/>
            <w:lang w:eastAsia="en-AU"/>
          </w:rPr>
          <w:t>CHAPTER 8</w:t>
        </w:r>
        <w:r w:rsidR="00433E1F">
          <w:rPr>
            <w:rStyle w:val="Hyperlink"/>
            <w:noProof/>
            <w:lang w:eastAsia="en-AU"/>
          </w:rPr>
          <w:tab/>
        </w:r>
        <w:r w:rsidR="00F01832" w:rsidRPr="008B7775">
          <w:rPr>
            <w:rStyle w:val="Hyperlink"/>
            <w:noProof/>
            <w:lang w:eastAsia="en-AU"/>
          </w:rPr>
          <w:t>Transition</w:t>
        </w:r>
        <w:r w:rsidR="00F01832">
          <w:rPr>
            <w:noProof/>
            <w:webHidden/>
          </w:rPr>
          <w:tab/>
        </w:r>
        <w:r w:rsidR="00F01832">
          <w:rPr>
            <w:noProof/>
            <w:webHidden/>
          </w:rPr>
          <w:fldChar w:fldCharType="begin"/>
        </w:r>
        <w:r w:rsidR="00F01832">
          <w:rPr>
            <w:noProof/>
            <w:webHidden/>
          </w:rPr>
          <w:instrText xml:space="preserve"> PAGEREF _Toc101095602 \h </w:instrText>
        </w:r>
        <w:r w:rsidR="00F01832">
          <w:rPr>
            <w:noProof/>
            <w:webHidden/>
          </w:rPr>
        </w:r>
        <w:r w:rsidR="00F01832">
          <w:rPr>
            <w:noProof/>
            <w:webHidden/>
          </w:rPr>
          <w:fldChar w:fldCharType="separate"/>
        </w:r>
        <w:r w:rsidR="00F01832">
          <w:rPr>
            <w:noProof/>
            <w:webHidden/>
          </w:rPr>
          <w:t>52</w:t>
        </w:r>
        <w:r w:rsidR="00F01832">
          <w:rPr>
            <w:noProof/>
            <w:webHidden/>
          </w:rPr>
          <w:fldChar w:fldCharType="end"/>
        </w:r>
      </w:hyperlink>
    </w:p>
    <w:p w14:paraId="7E188818" w14:textId="27A5C29A" w:rsidR="00F01832" w:rsidRDefault="00B53EBA">
      <w:pPr>
        <w:pStyle w:val="TOC2"/>
        <w:rPr>
          <w:rFonts w:asciiTheme="minorHAnsi" w:eastAsiaTheme="minorEastAsia" w:hAnsiTheme="minorHAnsi" w:cstheme="minorBidi"/>
          <w:noProof/>
          <w:sz w:val="22"/>
          <w:szCs w:val="22"/>
        </w:rPr>
      </w:pPr>
      <w:hyperlink w:anchor="_Toc101095603" w:history="1">
        <w:r w:rsidR="00F01832" w:rsidRPr="008B7775">
          <w:rPr>
            <w:rStyle w:val="Hyperlink"/>
            <w:noProof/>
            <w:lang w:eastAsia="en-AU"/>
          </w:rPr>
          <w:t>Overview</w:t>
        </w:r>
        <w:r w:rsidR="00F01832">
          <w:rPr>
            <w:noProof/>
            <w:webHidden/>
          </w:rPr>
          <w:tab/>
        </w:r>
        <w:r w:rsidR="00F01832">
          <w:rPr>
            <w:noProof/>
            <w:webHidden/>
          </w:rPr>
          <w:fldChar w:fldCharType="begin"/>
        </w:r>
        <w:r w:rsidR="00F01832">
          <w:rPr>
            <w:noProof/>
            <w:webHidden/>
          </w:rPr>
          <w:instrText xml:space="preserve"> PAGEREF _Toc101095603 \h </w:instrText>
        </w:r>
        <w:r w:rsidR="00F01832">
          <w:rPr>
            <w:noProof/>
            <w:webHidden/>
          </w:rPr>
        </w:r>
        <w:r w:rsidR="00F01832">
          <w:rPr>
            <w:noProof/>
            <w:webHidden/>
          </w:rPr>
          <w:fldChar w:fldCharType="separate"/>
        </w:r>
        <w:r w:rsidR="00F01832">
          <w:rPr>
            <w:noProof/>
            <w:webHidden/>
          </w:rPr>
          <w:t>52</w:t>
        </w:r>
        <w:r w:rsidR="00F01832">
          <w:rPr>
            <w:noProof/>
            <w:webHidden/>
          </w:rPr>
          <w:fldChar w:fldCharType="end"/>
        </w:r>
      </w:hyperlink>
    </w:p>
    <w:p w14:paraId="0E2A04BF" w14:textId="0CC2D020" w:rsidR="00F01832" w:rsidRDefault="00B53EBA">
      <w:pPr>
        <w:pStyle w:val="TOC2"/>
        <w:rPr>
          <w:rFonts w:asciiTheme="minorHAnsi" w:eastAsiaTheme="minorEastAsia" w:hAnsiTheme="minorHAnsi" w:cstheme="minorBidi"/>
          <w:noProof/>
          <w:sz w:val="22"/>
          <w:szCs w:val="22"/>
        </w:rPr>
      </w:pPr>
      <w:hyperlink w:anchor="_Toc101095604" w:history="1">
        <w:r w:rsidR="00F01832" w:rsidRPr="008B7775">
          <w:rPr>
            <w:rStyle w:val="Hyperlink"/>
            <w:noProof/>
          </w:rPr>
          <w:t>Substance-based income exclusion</w:t>
        </w:r>
        <w:r w:rsidR="00F01832">
          <w:rPr>
            <w:noProof/>
            <w:webHidden/>
          </w:rPr>
          <w:tab/>
        </w:r>
        <w:r w:rsidR="00F01832">
          <w:rPr>
            <w:noProof/>
            <w:webHidden/>
          </w:rPr>
          <w:fldChar w:fldCharType="begin"/>
        </w:r>
        <w:r w:rsidR="00F01832">
          <w:rPr>
            <w:noProof/>
            <w:webHidden/>
          </w:rPr>
          <w:instrText xml:space="preserve"> PAGEREF _Toc101095604 \h </w:instrText>
        </w:r>
        <w:r w:rsidR="00F01832">
          <w:rPr>
            <w:noProof/>
            <w:webHidden/>
          </w:rPr>
        </w:r>
        <w:r w:rsidR="00F01832">
          <w:rPr>
            <w:noProof/>
            <w:webHidden/>
          </w:rPr>
          <w:fldChar w:fldCharType="separate"/>
        </w:r>
        <w:r w:rsidR="00F01832">
          <w:rPr>
            <w:noProof/>
            <w:webHidden/>
          </w:rPr>
          <w:t>52</w:t>
        </w:r>
        <w:r w:rsidR="00F01832">
          <w:rPr>
            <w:noProof/>
            <w:webHidden/>
          </w:rPr>
          <w:fldChar w:fldCharType="end"/>
        </w:r>
      </w:hyperlink>
    </w:p>
    <w:p w14:paraId="7D04C8F5" w14:textId="5BF9722A" w:rsidR="00F01832" w:rsidRDefault="00B53EBA">
      <w:pPr>
        <w:pStyle w:val="TOC2"/>
        <w:rPr>
          <w:rFonts w:asciiTheme="minorHAnsi" w:eastAsiaTheme="minorEastAsia" w:hAnsiTheme="minorHAnsi" w:cstheme="minorBidi"/>
          <w:noProof/>
          <w:sz w:val="22"/>
          <w:szCs w:val="22"/>
        </w:rPr>
      </w:pPr>
      <w:hyperlink w:anchor="_Toc101095605" w:history="1">
        <w:r w:rsidR="00F01832" w:rsidRPr="008B7775">
          <w:rPr>
            <w:rStyle w:val="Hyperlink"/>
            <w:noProof/>
          </w:rPr>
          <w:t>Longer filing deadline in Transition Year</w:t>
        </w:r>
        <w:r w:rsidR="00F01832">
          <w:rPr>
            <w:noProof/>
            <w:webHidden/>
          </w:rPr>
          <w:tab/>
        </w:r>
        <w:r w:rsidR="00F01832">
          <w:rPr>
            <w:noProof/>
            <w:webHidden/>
          </w:rPr>
          <w:fldChar w:fldCharType="begin"/>
        </w:r>
        <w:r w:rsidR="00F01832">
          <w:rPr>
            <w:noProof/>
            <w:webHidden/>
          </w:rPr>
          <w:instrText xml:space="preserve"> PAGEREF _Toc101095605 \h </w:instrText>
        </w:r>
        <w:r w:rsidR="00F01832">
          <w:rPr>
            <w:noProof/>
            <w:webHidden/>
          </w:rPr>
        </w:r>
        <w:r w:rsidR="00F01832">
          <w:rPr>
            <w:noProof/>
            <w:webHidden/>
          </w:rPr>
          <w:fldChar w:fldCharType="separate"/>
        </w:r>
        <w:r w:rsidR="00F01832">
          <w:rPr>
            <w:noProof/>
            <w:webHidden/>
          </w:rPr>
          <w:t>52</w:t>
        </w:r>
        <w:r w:rsidR="00F01832">
          <w:rPr>
            <w:noProof/>
            <w:webHidden/>
          </w:rPr>
          <w:fldChar w:fldCharType="end"/>
        </w:r>
      </w:hyperlink>
    </w:p>
    <w:p w14:paraId="3B9E5A56" w14:textId="69BE315A" w:rsidR="00F01832" w:rsidRDefault="00B53EBA">
      <w:pPr>
        <w:pStyle w:val="TOC2"/>
        <w:rPr>
          <w:rFonts w:asciiTheme="minorHAnsi" w:eastAsiaTheme="minorEastAsia" w:hAnsiTheme="minorHAnsi" w:cstheme="minorBidi"/>
          <w:noProof/>
          <w:sz w:val="22"/>
          <w:szCs w:val="22"/>
        </w:rPr>
      </w:pPr>
      <w:hyperlink w:anchor="_Toc101095606" w:history="1">
        <w:r w:rsidR="00F01832" w:rsidRPr="008B7775">
          <w:rPr>
            <w:rStyle w:val="Hyperlink"/>
            <w:noProof/>
          </w:rPr>
          <w:t>Losses and timing differences</w:t>
        </w:r>
        <w:r w:rsidR="00F01832">
          <w:rPr>
            <w:noProof/>
            <w:webHidden/>
          </w:rPr>
          <w:tab/>
        </w:r>
        <w:r w:rsidR="00F01832">
          <w:rPr>
            <w:noProof/>
            <w:webHidden/>
          </w:rPr>
          <w:fldChar w:fldCharType="begin"/>
        </w:r>
        <w:r w:rsidR="00F01832">
          <w:rPr>
            <w:noProof/>
            <w:webHidden/>
          </w:rPr>
          <w:instrText xml:space="preserve"> PAGEREF _Toc101095606 \h </w:instrText>
        </w:r>
        <w:r w:rsidR="00F01832">
          <w:rPr>
            <w:noProof/>
            <w:webHidden/>
          </w:rPr>
        </w:r>
        <w:r w:rsidR="00F01832">
          <w:rPr>
            <w:noProof/>
            <w:webHidden/>
          </w:rPr>
          <w:fldChar w:fldCharType="separate"/>
        </w:r>
        <w:r w:rsidR="00F01832">
          <w:rPr>
            <w:noProof/>
            <w:webHidden/>
          </w:rPr>
          <w:t>52</w:t>
        </w:r>
        <w:r w:rsidR="00F01832">
          <w:rPr>
            <w:noProof/>
            <w:webHidden/>
          </w:rPr>
          <w:fldChar w:fldCharType="end"/>
        </w:r>
      </w:hyperlink>
    </w:p>
    <w:p w14:paraId="44FC6E7B" w14:textId="43EE5DFC" w:rsidR="00F01832" w:rsidRDefault="00B53EBA">
      <w:pPr>
        <w:pStyle w:val="TOC2"/>
        <w:rPr>
          <w:rFonts w:asciiTheme="minorHAnsi" w:eastAsiaTheme="minorEastAsia" w:hAnsiTheme="minorHAnsi" w:cstheme="minorBidi"/>
          <w:noProof/>
          <w:sz w:val="22"/>
          <w:szCs w:val="22"/>
        </w:rPr>
      </w:pPr>
      <w:hyperlink w:anchor="_Toc101095607" w:history="1">
        <w:r w:rsidR="00F01832" w:rsidRPr="008B7775">
          <w:rPr>
            <w:rStyle w:val="Hyperlink"/>
            <w:noProof/>
          </w:rPr>
          <w:t>MNEs in the initial phase of international activity</w:t>
        </w:r>
        <w:r w:rsidR="00F01832">
          <w:rPr>
            <w:noProof/>
            <w:webHidden/>
          </w:rPr>
          <w:tab/>
        </w:r>
        <w:r w:rsidR="00F01832">
          <w:rPr>
            <w:noProof/>
            <w:webHidden/>
          </w:rPr>
          <w:fldChar w:fldCharType="begin"/>
        </w:r>
        <w:r w:rsidR="00F01832">
          <w:rPr>
            <w:noProof/>
            <w:webHidden/>
          </w:rPr>
          <w:instrText xml:space="preserve"> PAGEREF _Toc101095607 \h </w:instrText>
        </w:r>
        <w:r w:rsidR="00F01832">
          <w:rPr>
            <w:noProof/>
            <w:webHidden/>
          </w:rPr>
        </w:r>
        <w:r w:rsidR="00F01832">
          <w:rPr>
            <w:noProof/>
            <w:webHidden/>
          </w:rPr>
          <w:fldChar w:fldCharType="separate"/>
        </w:r>
        <w:r w:rsidR="00F01832">
          <w:rPr>
            <w:noProof/>
            <w:webHidden/>
          </w:rPr>
          <w:t>53</w:t>
        </w:r>
        <w:r w:rsidR="00F01832">
          <w:rPr>
            <w:noProof/>
            <w:webHidden/>
          </w:rPr>
          <w:fldChar w:fldCharType="end"/>
        </w:r>
      </w:hyperlink>
    </w:p>
    <w:p w14:paraId="23274B56" w14:textId="1CAB6B91" w:rsidR="00F01832" w:rsidRDefault="00B53EBA">
      <w:pPr>
        <w:pStyle w:val="TOC1"/>
        <w:rPr>
          <w:rFonts w:asciiTheme="minorHAnsi" w:eastAsiaTheme="minorEastAsia" w:hAnsiTheme="minorHAnsi" w:cstheme="minorBidi"/>
          <w:b w:val="0"/>
          <w:noProof/>
          <w:sz w:val="22"/>
          <w:szCs w:val="22"/>
        </w:rPr>
      </w:pPr>
      <w:hyperlink w:anchor="_Toc101095608" w:history="1">
        <w:r w:rsidR="00F01832" w:rsidRPr="008B7775">
          <w:rPr>
            <w:rStyle w:val="Hyperlink"/>
            <w:noProof/>
          </w:rPr>
          <w:t>CHAPTER 9</w:t>
        </w:r>
        <w:r w:rsidR="00433E1F">
          <w:rPr>
            <w:rStyle w:val="Hyperlink"/>
            <w:noProof/>
          </w:rPr>
          <w:tab/>
        </w:r>
        <w:r w:rsidR="00F01832" w:rsidRPr="008B7775">
          <w:rPr>
            <w:rStyle w:val="Hyperlink"/>
            <w:noProof/>
          </w:rPr>
          <w:t>Simplification</w:t>
        </w:r>
        <w:r w:rsidR="00F01832">
          <w:rPr>
            <w:noProof/>
            <w:webHidden/>
          </w:rPr>
          <w:tab/>
        </w:r>
        <w:r w:rsidR="00F01832">
          <w:rPr>
            <w:noProof/>
            <w:webHidden/>
          </w:rPr>
          <w:fldChar w:fldCharType="begin"/>
        </w:r>
        <w:r w:rsidR="00F01832">
          <w:rPr>
            <w:noProof/>
            <w:webHidden/>
          </w:rPr>
          <w:instrText xml:space="preserve"> PAGEREF _Toc101095608 \h </w:instrText>
        </w:r>
        <w:r w:rsidR="00F01832">
          <w:rPr>
            <w:noProof/>
            <w:webHidden/>
          </w:rPr>
        </w:r>
        <w:r w:rsidR="00F01832">
          <w:rPr>
            <w:noProof/>
            <w:webHidden/>
          </w:rPr>
          <w:fldChar w:fldCharType="separate"/>
        </w:r>
        <w:r w:rsidR="00F01832">
          <w:rPr>
            <w:noProof/>
            <w:webHidden/>
          </w:rPr>
          <w:t>57</w:t>
        </w:r>
        <w:r w:rsidR="00F01832">
          <w:rPr>
            <w:noProof/>
            <w:webHidden/>
          </w:rPr>
          <w:fldChar w:fldCharType="end"/>
        </w:r>
      </w:hyperlink>
    </w:p>
    <w:p w14:paraId="3581F63D" w14:textId="1219D7AD" w:rsidR="00F01832" w:rsidRDefault="00B53EBA">
      <w:pPr>
        <w:pStyle w:val="TOC2"/>
        <w:rPr>
          <w:rFonts w:asciiTheme="minorHAnsi" w:eastAsiaTheme="minorEastAsia" w:hAnsiTheme="minorHAnsi" w:cstheme="minorBidi"/>
          <w:noProof/>
          <w:sz w:val="22"/>
          <w:szCs w:val="22"/>
        </w:rPr>
      </w:pPr>
      <w:hyperlink w:anchor="_Toc101095609" w:history="1">
        <w:r w:rsidR="00F01832" w:rsidRPr="008B7775">
          <w:rPr>
            <w:rStyle w:val="Hyperlink"/>
            <w:noProof/>
            <w:lang w:eastAsia="en-AU"/>
          </w:rPr>
          <w:t>A safe harbour based on CbCR</w:t>
        </w:r>
        <w:r w:rsidR="00F01832">
          <w:rPr>
            <w:noProof/>
            <w:webHidden/>
          </w:rPr>
          <w:tab/>
        </w:r>
        <w:r w:rsidR="00F01832">
          <w:rPr>
            <w:noProof/>
            <w:webHidden/>
          </w:rPr>
          <w:fldChar w:fldCharType="begin"/>
        </w:r>
        <w:r w:rsidR="00F01832">
          <w:rPr>
            <w:noProof/>
            <w:webHidden/>
          </w:rPr>
          <w:instrText xml:space="preserve"> PAGEREF _Toc101095609 \h </w:instrText>
        </w:r>
        <w:r w:rsidR="00F01832">
          <w:rPr>
            <w:noProof/>
            <w:webHidden/>
          </w:rPr>
        </w:r>
        <w:r w:rsidR="00F01832">
          <w:rPr>
            <w:noProof/>
            <w:webHidden/>
          </w:rPr>
          <w:fldChar w:fldCharType="separate"/>
        </w:r>
        <w:r w:rsidR="00F01832">
          <w:rPr>
            <w:noProof/>
            <w:webHidden/>
          </w:rPr>
          <w:t>57</w:t>
        </w:r>
        <w:r w:rsidR="00F01832">
          <w:rPr>
            <w:noProof/>
            <w:webHidden/>
          </w:rPr>
          <w:fldChar w:fldCharType="end"/>
        </w:r>
      </w:hyperlink>
    </w:p>
    <w:p w14:paraId="55D04D63" w14:textId="44906127" w:rsidR="00F01832" w:rsidRDefault="00B53EBA">
      <w:pPr>
        <w:pStyle w:val="TOC2"/>
        <w:rPr>
          <w:rFonts w:asciiTheme="minorHAnsi" w:eastAsiaTheme="minorEastAsia" w:hAnsiTheme="minorHAnsi" w:cstheme="minorBidi"/>
          <w:noProof/>
          <w:sz w:val="22"/>
          <w:szCs w:val="22"/>
        </w:rPr>
      </w:pPr>
      <w:hyperlink w:anchor="_Toc101095610" w:history="1">
        <w:r w:rsidR="00F01832" w:rsidRPr="008B7775">
          <w:rPr>
            <w:rStyle w:val="Hyperlink"/>
            <w:noProof/>
            <w:lang w:eastAsia="en-AU"/>
          </w:rPr>
          <w:t>Other safe harbours</w:t>
        </w:r>
        <w:r w:rsidR="00F01832">
          <w:rPr>
            <w:noProof/>
            <w:webHidden/>
          </w:rPr>
          <w:tab/>
        </w:r>
        <w:r w:rsidR="00F01832">
          <w:rPr>
            <w:noProof/>
            <w:webHidden/>
          </w:rPr>
          <w:fldChar w:fldCharType="begin"/>
        </w:r>
        <w:r w:rsidR="00F01832">
          <w:rPr>
            <w:noProof/>
            <w:webHidden/>
          </w:rPr>
          <w:instrText xml:space="preserve"> PAGEREF _Toc101095610 \h </w:instrText>
        </w:r>
        <w:r w:rsidR="00F01832">
          <w:rPr>
            <w:noProof/>
            <w:webHidden/>
          </w:rPr>
        </w:r>
        <w:r w:rsidR="00F01832">
          <w:rPr>
            <w:noProof/>
            <w:webHidden/>
          </w:rPr>
          <w:fldChar w:fldCharType="separate"/>
        </w:r>
        <w:r w:rsidR="00F01832">
          <w:rPr>
            <w:noProof/>
            <w:webHidden/>
          </w:rPr>
          <w:t>58</w:t>
        </w:r>
        <w:r w:rsidR="00F01832">
          <w:rPr>
            <w:noProof/>
            <w:webHidden/>
          </w:rPr>
          <w:fldChar w:fldCharType="end"/>
        </w:r>
      </w:hyperlink>
    </w:p>
    <w:p w14:paraId="3335B6E4" w14:textId="286862EA" w:rsidR="00F01832" w:rsidRDefault="00B53EBA">
      <w:pPr>
        <w:pStyle w:val="TOC1"/>
        <w:rPr>
          <w:rFonts w:asciiTheme="minorHAnsi" w:eastAsiaTheme="minorEastAsia" w:hAnsiTheme="minorHAnsi" w:cstheme="minorBidi"/>
          <w:b w:val="0"/>
          <w:noProof/>
          <w:sz w:val="22"/>
          <w:szCs w:val="22"/>
        </w:rPr>
      </w:pPr>
      <w:hyperlink w:anchor="_Toc101095611" w:history="1">
        <w:r w:rsidR="00F01832" w:rsidRPr="008B7775">
          <w:rPr>
            <w:rStyle w:val="Hyperlink"/>
            <w:noProof/>
          </w:rPr>
          <w:t>PART III: Explaining New Zealand-specific Pillar Two issues</w:t>
        </w:r>
        <w:r w:rsidR="00F01832">
          <w:rPr>
            <w:noProof/>
            <w:webHidden/>
          </w:rPr>
          <w:tab/>
        </w:r>
        <w:r w:rsidR="00F01832">
          <w:rPr>
            <w:noProof/>
            <w:webHidden/>
          </w:rPr>
          <w:fldChar w:fldCharType="begin"/>
        </w:r>
        <w:r w:rsidR="00F01832">
          <w:rPr>
            <w:noProof/>
            <w:webHidden/>
          </w:rPr>
          <w:instrText xml:space="preserve"> PAGEREF _Toc101095611 \h </w:instrText>
        </w:r>
        <w:r w:rsidR="00F01832">
          <w:rPr>
            <w:noProof/>
            <w:webHidden/>
          </w:rPr>
        </w:r>
        <w:r w:rsidR="00F01832">
          <w:rPr>
            <w:noProof/>
            <w:webHidden/>
          </w:rPr>
          <w:fldChar w:fldCharType="separate"/>
        </w:r>
        <w:r w:rsidR="00F01832">
          <w:rPr>
            <w:noProof/>
            <w:webHidden/>
          </w:rPr>
          <w:t>59</w:t>
        </w:r>
        <w:r w:rsidR="00F01832">
          <w:rPr>
            <w:noProof/>
            <w:webHidden/>
          </w:rPr>
          <w:fldChar w:fldCharType="end"/>
        </w:r>
      </w:hyperlink>
    </w:p>
    <w:p w14:paraId="2EB62032" w14:textId="7C5E5638" w:rsidR="00F01832" w:rsidRDefault="00B53EBA">
      <w:pPr>
        <w:pStyle w:val="TOC1"/>
        <w:rPr>
          <w:rFonts w:asciiTheme="minorHAnsi" w:eastAsiaTheme="minorEastAsia" w:hAnsiTheme="minorHAnsi" w:cstheme="minorBidi"/>
          <w:b w:val="0"/>
          <w:noProof/>
          <w:sz w:val="22"/>
          <w:szCs w:val="22"/>
        </w:rPr>
      </w:pPr>
      <w:hyperlink w:anchor="_Toc101095612" w:history="1">
        <w:r w:rsidR="00F01832" w:rsidRPr="008B7775">
          <w:rPr>
            <w:rStyle w:val="Hyperlink"/>
            <w:noProof/>
            <w:lang w:eastAsia="en-AU"/>
          </w:rPr>
          <w:t>CHAPTER 10</w:t>
        </w:r>
        <w:r w:rsidR="00433E1F">
          <w:rPr>
            <w:rStyle w:val="Hyperlink"/>
            <w:noProof/>
            <w:lang w:eastAsia="en-AU"/>
          </w:rPr>
          <w:tab/>
        </w:r>
        <w:r w:rsidR="00F01832" w:rsidRPr="008B7775">
          <w:rPr>
            <w:rStyle w:val="Hyperlink"/>
            <w:noProof/>
            <w:lang w:eastAsia="en-AU"/>
          </w:rPr>
          <w:t>Mode of Implementation in New Zealand</w:t>
        </w:r>
        <w:r w:rsidR="00F01832">
          <w:rPr>
            <w:noProof/>
            <w:webHidden/>
          </w:rPr>
          <w:tab/>
        </w:r>
        <w:r w:rsidR="00F01832">
          <w:rPr>
            <w:noProof/>
            <w:webHidden/>
          </w:rPr>
          <w:fldChar w:fldCharType="begin"/>
        </w:r>
        <w:r w:rsidR="00F01832">
          <w:rPr>
            <w:noProof/>
            <w:webHidden/>
          </w:rPr>
          <w:instrText xml:space="preserve"> PAGEREF _Toc101095612 \h </w:instrText>
        </w:r>
        <w:r w:rsidR="00F01832">
          <w:rPr>
            <w:noProof/>
            <w:webHidden/>
          </w:rPr>
        </w:r>
        <w:r w:rsidR="00F01832">
          <w:rPr>
            <w:noProof/>
            <w:webHidden/>
          </w:rPr>
          <w:fldChar w:fldCharType="separate"/>
        </w:r>
        <w:r w:rsidR="00F01832">
          <w:rPr>
            <w:noProof/>
            <w:webHidden/>
          </w:rPr>
          <w:t>61</w:t>
        </w:r>
        <w:r w:rsidR="00F01832">
          <w:rPr>
            <w:noProof/>
            <w:webHidden/>
          </w:rPr>
          <w:fldChar w:fldCharType="end"/>
        </w:r>
      </w:hyperlink>
    </w:p>
    <w:p w14:paraId="1BFDF010" w14:textId="5D171343" w:rsidR="00F01832" w:rsidRDefault="00B53EBA">
      <w:pPr>
        <w:pStyle w:val="TOC2"/>
        <w:rPr>
          <w:rFonts w:asciiTheme="minorHAnsi" w:eastAsiaTheme="minorEastAsia" w:hAnsiTheme="minorHAnsi" w:cstheme="minorBidi"/>
          <w:noProof/>
          <w:sz w:val="22"/>
          <w:szCs w:val="22"/>
        </w:rPr>
      </w:pPr>
      <w:hyperlink w:anchor="_Toc101095613" w:history="1">
        <w:r w:rsidR="00F01832" w:rsidRPr="008B7775">
          <w:rPr>
            <w:rStyle w:val="Hyperlink"/>
            <w:noProof/>
            <w:lang w:eastAsia="en-AU"/>
          </w:rPr>
          <w:t>Overview</w:t>
        </w:r>
        <w:r w:rsidR="00F01832">
          <w:rPr>
            <w:noProof/>
            <w:webHidden/>
          </w:rPr>
          <w:tab/>
        </w:r>
        <w:r w:rsidR="00F01832">
          <w:rPr>
            <w:noProof/>
            <w:webHidden/>
          </w:rPr>
          <w:fldChar w:fldCharType="begin"/>
        </w:r>
        <w:r w:rsidR="00F01832">
          <w:rPr>
            <w:noProof/>
            <w:webHidden/>
          </w:rPr>
          <w:instrText xml:space="preserve"> PAGEREF _Toc101095613 \h </w:instrText>
        </w:r>
        <w:r w:rsidR="00F01832">
          <w:rPr>
            <w:noProof/>
            <w:webHidden/>
          </w:rPr>
        </w:r>
        <w:r w:rsidR="00F01832">
          <w:rPr>
            <w:noProof/>
            <w:webHidden/>
          </w:rPr>
          <w:fldChar w:fldCharType="separate"/>
        </w:r>
        <w:r w:rsidR="00F01832">
          <w:rPr>
            <w:noProof/>
            <w:webHidden/>
          </w:rPr>
          <w:t>61</w:t>
        </w:r>
        <w:r w:rsidR="00F01832">
          <w:rPr>
            <w:noProof/>
            <w:webHidden/>
          </w:rPr>
          <w:fldChar w:fldCharType="end"/>
        </w:r>
      </w:hyperlink>
    </w:p>
    <w:p w14:paraId="77EF5DBE" w14:textId="14B8C175" w:rsidR="00F01832" w:rsidRDefault="00B53EBA">
      <w:pPr>
        <w:pStyle w:val="TOC2"/>
        <w:rPr>
          <w:rFonts w:asciiTheme="minorHAnsi" w:eastAsiaTheme="minorEastAsia" w:hAnsiTheme="minorHAnsi" w:cstheme="minorBidi"/>
          <w:noProof/>
          <w:sz w:val="22"/>
          <w:szCs w:val="22"/>
        </w:rPr>
      </w:pPr>
      <w:hyperlink w:anchor="_Toc101095614" w:history="1">
        <w:r w:rsidR="00F01832" w:rsidRPr="008B7775">
          <w:rPr>
            <w:rStyle w:val="Hyperlink"/>
            <w:noProof/>
            <w:lang w:eastAsia="en-AU"/>
          </w:rPr>
          <w:t>Aligning NZ law with OECD Model Rules</w:t>
        </w:r>
        <w:r w:rsidR="00F01832">
          <w:rPr>
            <w:noProof/>
            <w:webHidden/>
          </w:rPr>
          <w:tab/>
        </w:r>
        <w:r w:rsidR="00F01832">
          <w:rPr>
            <w:noProof/>
            <w:webHidden/>
          </w:rPr>
          <w:fldChar w:fldCharType="begin"/>
        </w:r>
        <w:r w:rsidR="00F01832">
          <w:rPr>
            <w:noProof/>
            <w:webHidden/>
          </w:rPr>
          <w:instrText xml:space="preserve"> PAGEREF _Toc101095614 \h </w:instrText>
        </w:r>
        <w:r w:rsidR="00F01832">
          <w:rPr>
            <w:noProof/>
            <w:webHidden/>
          </w:rPr>
        </w:r>
        <w:r w:rsidR="00F01832">
          <w:rPr>
            <w:noProof/>
            <w:webHidden/>
          </w:rPr>
          <w:fldChar w:fldCharType="separate"/>
        </w:r>
        <w:r w:rsidR="00F01832">
          <w:rPr>
            <w:noProof/>
            <w:webHidden/>
          </w:rPr>
          <w:t>61</w:t>
        </w:r>
        <w:r w:rsidR="00F01832">
          <w:rPr>
            <w:noProof/>
            <w:webHidden/>
          </w:rPr>
          <w:fldChar w:fldCharType="end"/>
        </w:r>
      </w:hyperlink>
    </w:p>
    <w:p w14:paraId="34EC2A40" w14:textId="46D926B2" w:rsidR="00F01832" w:rsidRDefault="00B53EBA">
      <w:pPr>
        <w:pStyle w:val="TOC2"/>
        <w:rPr>
          <w:rFonts w:asciiTheme="minorHAnsi" w:eastAsiaTheme="minorEastAsia" w:hAnsiTheme="minorHAnsi" w:cstheme="minorBidi"/>
          <w:noProof/>
          <w:sz w:val="22"/>
          <w:szCs w:val="22"/>
        </w:rPr>
      </w:pPr>
      <w:hyperlink w:anchor="_Toc101095615" w:history="1">
        <w:r w:rsidR="00F01832" w:rsidRPr="008B7775">
          <w:rPr>
            <w:rStyle w:val="Hyperlink"/>
            <w:noProof/>
            <w:lang w:eastAsia="en-AU"/>
          </w:rPr>
          <w:t>How to best implement the Model Rules</w:t>
        </w:r>
        <w:r w:rsidR="00F01832">
          <w:rPr>
            <w:noProof/>
            <w:webHidden/>
          </w:rPr>
          <w:tab/>
        </w:r>
        <w:r w:rsidR="00F01832">
          <w:rPr>
            <w:noProof/>
            <w:webHidden/>
          </w:rPr>
          <w:fldChar w:fldCharType="begin"/>
        </w:r>
        <w:r w:rsidR="00F01832">
          <w:rPr>
            <w:noProof/>
            <w:webHidden/>
          </w:rPr>
          <w:instrText xml:space="preserve"> PAGEREF _Toc101095615 \h </w:instrText>
        </w:r>
        <w:r w:rsidR="00F01832">
          <w:rPr>
            <w:noProof/>
            <w:webHidden/>
          </w:rPr>
        </w:r>
        <w:r w:rsidR="00F01832">
          <w:rPr>
            <w:noProof/>
            <w:webHidden/>
          </w:rPr>
          <w:fldChar w:fldCharType="separate"/>
        </w:r>
        <w:r w:rsidR="00F01832">
          <w:rPr>
            <w:noProof/>
            <w:webHidden/>
          </w:rPr>
          <w:t>61</w:t>
        </w:r>
        <w:r w:rsidR="00F01832">
          <w:rPr>
            <w:noProof/>
            <w:webHidden/>
          </w:rPr>
          <w:fldChar w:fldCharType="end"/>
        </w:r>
      </w:hyperlink>
    </w:p>
    <w:p w14:paraId="631DA633" w14:textId="1C416771" w:rsidR="00F01832" w:rsidRDefault="00B53EBA">
      <w:pPr>
        <w:pStyle w:val="TOC2"/>
        <w:rPr>
          <w:rFonts w:asciiTheme="minorHAnsi" w:eastAsiaTheme="minorEastAsia" w:hAnsiTheme="minorHAnsi" w:cstheme="minorBidi"/>
          <w:noProof/>
          <w:sz w:val="22"/>
          <w:szCs w:val="22"/>
        </w:rPr>
      </w:pPr>
      <w:hyperlink w:anchor="_Toc101095616" w:history="1">
        <w:r w:rsidR="00F01832" w:rsidRPr="008B7775">
          <w:rPr>
            <w:rStyle w:val="Hyperlink"/>
            <w:noProof/>
            <w:lang w:eastAsia="en-AU"/>
          </w:rPr>
          <w:t>Updating mechanism</w:t>
        </w:r>
        <w:r w:rsidR="00F01832">
          <w:rPr>
            <w:noProof/>
            <w:webHidden/>
          </w:rPr>
          <w:tab/>
        </w:r>
        <w:r w:rsidR="00F01832">
          <w:rPr>
            <w:noProof/>
            <w:webHidden/>
          </w:rPr>
          <w:fldChar w:fldCharType="begin"/>
        </w:r>
        <w:r w:rsidR="00F01832">
          <w:rPr>
            <w:noProof/>
            <w:webHidden/>
          </w:rPr>
          <w:instrText xml:space="preserve"> PAGEREF _Toc101095616 \h </w:instrText>
        </w:r>
        <w:r w:rsidR="00F01832">
          <w:rPr>
            <w:noProof/>
            <w:webHidden/>
          </w:rPr>
        </w:r>
        <w:r w:rsidR="00F01832">
          <w:rPr>
            <w:noProof/>
            <w:webHidden/>
          </w:rPr>
          <w:fldChar w:fldCharType="separate"/>
        </w:r>
        <w:r w:rsidR="00F01832">
          <w:rPr>
            <w:noProof/>
            <w:webHidden/>
          </w:rPr>
          <w:t>62</w:t>
        </w:r>
        <w:r w:rsidR="00F01832">
          <w:rPr>
            <w:noProof/>
            <w:webHidden/>
          </w:rPr>
          <w:fldChar w:fldCharType="end"/>
        </w:r>
      </w:hyperlink>
    </w:p>
    <w:p w14:paraId="037DE146" w14:textId="5D37CD0B" w:rsidR="00F01832" w:rsidRDefault="00B53EBA">
      <w:pPr>
        <w:pStyle w:val="TOC2"/>
        <w:rPr>
          <w:rFonts w:asciiTheme="minorHAnsi" w:eastAsiaTheme="minorEastAsia" w:hAnsiTheme="minorHAnsi" w:cstheme="minorBidi"/>
          <w:noProof/>
          <w:sz w:val="22"/>
          <w:szCs w:val="22"/>
        </w:rPr>
      </w:pPr>
      <w:hyperlink w:anchor="_Toc101095617" w:history="1">
        <w:r w:rsidR="00F01832" w:rsidRPr="008B7775">
          <w:rPr>
            <w:rStyle w:val="Hyperlink"/>
            <w:noProof/>
            <w:lang w:eastAsia="en-AU"/>
          </w:rPr>
          <w:t>Whether to exist in the Income Tax Act (ITA)</w:t>
        </w:r>
        <w:r w:rsidR="00F01832">
          <w:rPr>
            <w:noProof/>
            <w:webHidden/>
          </w:rPr>
          <w:tab/>
        </w:r>
        <w:r w:rsidR="00F01832">
          <w:rPr>
            <w:noProof/>
            <w:webHidden/>
          </w:rPr>
          <w:fldChar w:fldCharType="begin"/>
        </w:r>
        <w:r w:rsidR="00F01832">
          <w:rPr>
            <w:noProof/>
            <w:webHidden/>
          </w:rPr>
          <w:instrText xml:space="preserve"> PAGEREF _Toc101095617 \h </w:instrText>
        </w:r>
        <w:r w:rsidR="00F01832">
          <w:rPr>
            <w:noProof/>
            <w:webHidden/>
          </w:rPr>
        </w:r>
        <w:r w:rsidR="00F01832">
          <w:rPr>
            <w:noProof/>
            <w:webHidden/>
          </w:rPr>
          <w:fldChar w:fldCharType="separate"/>
        </w:r>
        <w:r w:rsidR="00F01832">
          <w:rPr>
            <w:noProof/>
            <w:webHidden/>
          </w:rPr>
          <w:t>63</w:t>
        </w:r>
        <w:r w:rsidR="00F01832">
          <w:rPr>
            <w:noProof/>
            <w:webHidden/>
          </w:rPr>
          <w:fldChar w:fldCharType="end"/>
        </w:r>
      </w:hyperlink>
    </w:p>
    <w:p w14:paraId="0F37FFBE" w14:textId="7F502A5B" w:rsidR="00F01832" w:rsidRDefault="00B53EBA">
      <w:pPr>
        <w:pStyle w:val="TOC1"/>
        <w:rPr>
          <w:rFonts w:asciiTheme="minorHAnsi" w:eastAsiaTheme="minorEastAsia" w:hAnsiTheme="minorHAnsi" w:cstheme="minorBidi"/>
          <w:b w:val="0"/>
          <w:noProof/>
          <w:sz w:val="22"/>
          <w:szCs w:val="22"/>
        </w:rPr>
      </w:pPr>
      <w:hyperlink w:anchor="_Toc101095618" w:history="1">
        <w:r w:rsidR="00F01832" w:rsidRPr="008B7775">
          <w:rPr>
            <w:rStyle w:val="Hyperlink"/>
            <w:noProof/>
            <w:lang w:eastAsia="en-AU"/>
          </w:rPr>
          <w:t>CHAPTER 11</w:t>
        </w:r>
        <w:r w:rsidR="00433E1F">
          <w:rPr>
            <w:rStyle w:val="Hyperlink"/>
            <w:noProof/>
            <w:lang w:eastAsia="en-AU"/>
          </w:rPr>
          <w:tab/>
        </w:r>
        <w:r w:rsidR="00F01832" w:rsidRPr="008B7775">
          <w:rPr>
            <w:rStyle w:val="Hyperlink"/>
            <w:noProof/>
            <w:lang w:eastAsia="en-AU"/>
          </w:rPr>
          <w:t xml:space="preserve">Undertaxed Profits Rule implementation in </w:t>
        </w:r>
        <w:r w:rsidR="000E111B">
          <w:rPr>
            <w:rStyle w:val="Hyperlink"/>
            <w:noProof/>
            <w:lang w:eastAsia="en-AU"/>
          </w:rPr>
          <w:br/>
        </w:r>
        <w:r w:rsidR="00F01832" w:rsidRPr="008B7775">
          <w:rPr>
            <w:rStyle w:val="Hyperlink"/>
            <w:noProof/>
            <w:lang w:eastAsia="en-AU"/>
          </w:rPr>
          <w:t>New Zealand</w:t>
        </w:r>
        <w:r w:rsidR="00F01832">
          <w:rPr>
            <w:noProof/>
            <w:webHidden/>
          </w:rPr>
          <w:tab/>
        </w:r>
        <w:r w:rsidR="00F01832">
          <w:rPr>
            <w:noProof/>
            <w:webHidden/>
          </w:rPr>
          <w:fldChar w:fldCharType="begin"/>
        </w:r>
        <w:r w:rsidR="00F01832">
          <w:rPr>
            <w:noProof/>
            <w:webHidden/>
          </w:rPr>
          <w:instrText xml:space="preserve"> PAGEREF _Toc101095618 \h </w:instrText>
        </w:r>
        <w:r w:rsidR="00F01832">
          <w:rPr>
            <w:noProof/>
            <w:webHidden/>
          </w:rPr>
        </w:r>
        <w:r w:rsidR="00F01832">
          <w:rPr>
            <w:noProof/>
            <w:webHidden/>
          </w:rPr>
          <w:fldChar w:fldCharType="separate"/>
        </w:r>
        <w:r w:rsidR="00F01832">
          <w:rPr>
            <w:noProof/>
            <w:webHidden/>
          </w:rPr>
          <w:t>64</w:t>
        </w:r>
        <w:r w:rsidR="00F01832">
          <w:rPr>
            <w:noProof/>
            <w:webHidden/>
          </w:rPr>
          <w:fldChar w:fldCharType="end"/>
        </w:r>
      </w:hyperlink>
    </w:p>
    <w:p w14:paraId="725AD02C" w14:textId="5DE69107" w:rsidR="00F01832" w:rsidRDefault="00B53EBA">
      <w:pPr>
        <w:pStyle w:val="TOC2"/>
        <w:rPr>
          <w:rFonts w:asciiTheme="minorHAnsi" w:eastAsiaTheme="minorEastAsia" w:hAnsiTheme="minorHAnsi" w:cstheme="minorBidi"/>
          <w:noProof/>
          <w:sz w:val="22"/>
          <w:szCs w:val="22"/>
        </w:rPr>
      </w:pPr>
      <w:hyperlink w:anchor="_Toc101095619" w:history="1">
        <w:r w:rsidR="00F01832" w:rsidRPr="008B7775">
          <w:rPr>
            <w:rStyle w:val="Hyperlink"/>
            <w:noProof/>
            <w:lang w:eastAsia="en-AU"/>
          </w:rPr>
          <w:t>Overview</w:t>
        </w:r>
        <w:r w:rsidR="00F01832">
          <w:rPr>
            <w:noProof/>
            <w:webHidden/>
          </w:rPr>
          <w:tab/>
        </w:r>
        <w:r w:rsidR="00F01832">
          <w:rPr>
            <w:noProof/>
            <w:webHidden/>
          </w:rPr>
          <w:fldChar w:fldCharType="begin"/>
        </w:r>
        <w:r w:rsidR="00F01832">
          <w:rPr>
            <w:noProof/>
            <w:webHidden/>
          </w:rPr>
          <w:instrText xml:space="preserve"> PAGEREF _Toc101095619 \h </w:instrText>
        </w:r>
        <w:r w:rsidR="00F01832">
          <w:rPr>
            <w:noProof/>
            <w:webHidden/>
          </w:rPr>
        </w:r>
        <w:r w:rsidR="00F01832">
          <w:rPr>
            <w:noProof/>
            <w:webHidden/>
          </w:rPr>
          <w:fldChar w:fldCharType="separate"/>
        </w:r>
        <w:r w:rsidR="00F01832">
          <w:rPr>
            <w:noProof/>
            <w:webHidden/>
          </w:rPr>
          <w:t>64</w:t>
        </w:r>
        <w:r w:rsidR="00F01832">
          <w:rPr>
            <w:noProof/>
            <w:webHidden/>
          </w:rPr>
          <w:fldChar w:fldCharType="end"/>
        </w:r>
      </w:hyperlink>
    </w:p>
    <w:p w14:paraId="20F11203" w14:textId="2BEBAA41" w:rsidR="00F01832" w:rsidRDefault="00B53EBA">
      <w:pPr>
        <w:pStyle w:val="TOC2"/>
        <w:rPr>
          <w:rFonts w:asciiTheme="minorHAnsi" w:eastAsiaTheme="minorEastAsia" w:hAnsiTheme="minorHAnsi" w:cstheme="minorBidi"/>
          <w:noProof/>
          <w:sz w:val="22"/>
          <w:szCs w:val="22"/>
        </w:rPr>
      </w:pPr>
      <w:hyperlink w:anchor="_Toc101095620" w:history="1">
        <w:r w:rsidR="00F01832" w:rsidRPr="008B7775">
          <w:rPr>
            <w:rStyle w:val="Hyperlink"/>
            <w:noProof/>
            <w:lang w:eastAsia="en-AU"/>
          </w:rPr>
          <w:t>How top-up tax allocated to New Zealand under the UTPR should be brought to charge</w:t>
        </w:r>
        <w:r w:rsidR="00F01832">
          <w:rPr>
            <w:noProof/>
            <w:webHidden/>
          </w:rPr>
          <w:tab/>
        </w:r>
        <w:r w:rsidR="00F01832">
          <w:rPr>
            <w:noProof/>
            <w:webHidden/>
          </w:rPr>
          <w:fldChar w:fldCharType="begin"/>
        </w:r>
        <w:r w:rsidR="00F01832">
          <w:rPr>
            <w:noProof/>
            <w:webHidden/>
          </w:rPr>
          <w:instrText xml:space="preserve"> PAGEREF _Toc101095620 \h </w:instrText>
        </w:r>
        <w:r w:rsidR="00F01832">
          <w:rPr>
            <w:noProof/>
            <w:webHidden/>
          </w:rPr>
        </w:r>
        <w:r w:rsidR="00F01832">
          <w:rPr>
            <w:noProof/>
            <w:webHidden/>
          </w:rPr>
          <w:fldChar w:fldCharType="separate"/>
        </w:r>
        <w:r w:rsidR="00F01832">
          <w:rPr>
            <w:noProof/>
            <w:webHidden/>
          </w:rPr>
          <w:t>64</w:t>
        </w:r>
        <w:r w:rsidR="00F01832">
          <w:rPr>
            <w:noProof/>
            <w:webHidden/>
          </w:rPr>
          <w:fldChar w:fldCharType="end"/>
        </w:r>
      </w:hyperlink>
    </w:p>
    <w:p w14:paraId="5B4CB177" w14:textId="61F907D9" w:rsidR="00F01832" w:rsidRDefault="00B53EBA">
      <w:pPr>
        <w:pStyle w:val="TOC1"/>
        <w:rPr>
          <w:rFonts w:asciiTheme="minorHAnsi" w:eastAsiaTheme="minorEastAsia" w:hAnsiTheme="minorHAnsi" w:cstheme="minorBidi"/>
          <w:b w:val="0"/>
          <w:noProof/>
          <w:sz w:val="22"/>
          <w:szCs w:val="22"/>
        </w:rPr>
      </w:pPr>
      <w:hyperlink w:anchor="_Toc101095621" w:history="1">
        <w:r w:rsidR="00F01832" w:rsidRPr="008B7775">
          <w:rPr>
            <w:rStyle w:val="Hyperlink"/>
            <w:noProof/>
            <w:lang w:eastAsia="en-AU"/>
          </w:rPr>
          <w:t>CHAPTER 12</w:t>
        </w:r>
        <w:r w:rsidR="000E111B">
          <w:rPr>
            <w:rStyle w:val="Hyperlink"/>
            <w:noProof/>
            <w:lang w:eastAsia="en-AU"/>
          </w:rPr>
          <w:tab/>
        </w:r>
        <w:r w:rsidR="00F01832" w:rsidRPr="008B7775">
          <w:rPr>
            <w:rStyle w:val="Hyperlink"/>
            <w:noProof/>
            <w:lang w:eastAsia="en-AU"/>
          </w:rPr>
          <w:t>Tax administration impacts</w:t>
        </w:r>
        <w:r w:rsidR="00F01832">
          <w:rPr>
            <w:noProof/>
            <w:webHidden/>
          </w:rPr>
          <w:tab/>
        </w:r>
        <w:r w:rsidR="00F01832">
          <w:rPr>
            <w:noProof/>
            <w:webHidden/>
          </w:rPr>
          <w:fldChar w:fldCharType="begin"/>
        </w:r>
        <w:r w:rsidR="00F01832">
          <w:rPr>
            <w:noProof/>
            <w:webHidden/>
          </w:rPr>
          <w:instrText xml:space="preserve"> PAGEREF _Toc101095621 \h </w:instrText>
        </w:r>
        <w:r w:rsidR="00F01832">
          <w:rPr>
            <w:noProof/>
            <w:webHidden/>
          </w:rPr>
        </w:r>
        <w:r w:rsidR="00F01832">
          <w:rPr>
            <w:noProof/>
            <w:webHidden/>
          </w:rPr>
          <w:fldChar w:fldCharType="separate"/>
        </w:r>
        <w:r w:rsidR="00F01832">
          <w:rPr>
            <w:noProof/>
            <w:webHidden/>
          </w:rPr>
          <w:t>67</w:t>
        </w:r>
        <w:r w:rsidR="00F01832">
          <w:rPr>
            <w:noProof/>
            <w:webHidden/>
          </w:rPr>
          <w:fldChar w:fldCharType="end"/>
        </w:r>
      </w:hyperlink>
    </w:p>
    <w:p w14:paraId="2840FACC" w14:textId="363216A9" w:rsidR="00F01832" w:rsidRDefault="00B53EBA">
      <w:pPr>
        <w:pStyle w:val="TOC2"/>
        <w:rPr>
          <w:rFonts w:asciiTheme="minorHAnsi" w:eastAsiaTheme="minorEastAsia" w:hAnsiTheme="minorHAnsi" w:cstheme="minorBidi"/>
          <w:noProof/>
          <w:sz w:val="22"/>
          <w:szCs w:val="22"/>
        </w:rPr>
      </w:pPr>
      <w:hyperlink w:anchor="_Toc101095622" w:history="1">
        <w:r w:rsidR="00F01832" w:rsidRPr="008B7775">
          <w:rPr>
            <w:rStyle w:val="Hyperlink"/>
            <w:noProof/>
            <w:lang w:eastAsia="en-AU"/>
          </w:rPr>
          <w:t>Filing the returns</w:t>
        </w:r>
        <w:r w:rsidR="00F01832">
          <w:rPr>
            <w:noProof/>
            <w:webHidden/>
          </w:rPr>
          <w:tab/>
        </w:r>
        <w:r w:rsidR="00F01832">
          <w:rPr>
            <w:noProof/>
            <w:webHidden/>
          </w:rPr>
          <w:fldChar w:fldCharType="begin"/>
        </w:r>
        <w:r w:rsidR="00F01832">
          <w:rPr>
            <w:noProof/>
            <w:webHidden/>
          </w:rPr>
          <w:instrText xml:space="preserve"> PAGEREF _Toc101095622 \h </w:instrText>
        </w:r>
        <w:r w:rsidR="00F01832">
          <w:rPr>
            <w:noProof/>
            <w:webHidden/>
          </w:rPr>
        </w:r>
        <w:r w:rsidR="00F01832">
          <w:rPr>
            <w:noProof/>
            <w:webHidden/>
          </w:rPr>
          <w:fldChar w:fldCharType="separate"/>
        </w:r>
        <w:r w:rsidR="00F01832">
          <w:rPr>
            <w:noProof/>
            <w:webHidden/>
          </w:rPr>
          <w:t>68</w:t>
        </w:r>
        <w:r w:rsidR="00F01832">
          <w:rPr>
            <w:noProof/>
            <w:webHidden/>
          </w:rPr>
          <w:fldChar w:fldCharType="end"/>
        </w:r>
      </w:hyperlink>
    </w:p>
    <w:p w14:paraId="5FE23268" w14:textId="11BCEB8D" w:rsidR="00F01832" w:rsidRDefault="00B53EBA">
      <w:pPr>
        <w:pStyle w:val="TOC2"/>
        <w:rPr>
          <w:rFonts w:asciiTheme="minorHAnsi" w:eastAsiaTheme="minorEastAsia" w:hAnsiTheme="minorHAnsi" w:cstheme="minorBidi"/>
          <w:noProof/>
          <w:sz w:val="22"/>
          <w:szCs w:val="22"/>
        </w:rPr>
      </w:pPr>
      <w:hyperlink w:anchor="_Toc101095623" w:history="1">
        <w:r w:rsidR="00F01832" w:rsidRPr="008B7775">
          <w:rPr>
            <w:rStyle w:val="Hyperlink"/>
            <w:noProof/>
            <w:lang w:eastAsia="en-AU"/>
          </w:rPr>
          <w:t>Returning and paying tax under the UTPR</w:t>
        </w:r>
        <w:r w:rsidR="00F01832">
          <w:rPr>
            <w:noProof/>
            <w:webHidden/>
          </w:rPr>
          <w:tab/>
        </w:r>
        <w:r w:rsidR="00F01832">
          <w:rPr>
            <w:noProof/>
            <w:webHidden/>
          </w:rPr>
          <w:fldChar w:fldCharType="begin"/>
        </w:r>
        <w:r w:rsidR="00F01832">
          <w:rPr>
            <w:noProof/>
            <w:webHidden/>
          </w:rPr>
          <w:instrText xml:space="preserve"> PAGEREF _Toc101095623 \h </w:instrText>
        </w:r>
        <w:r w:rsidR="00F01832">
          <w:rPr>
            <w:noProof/>
            <w:webHidden/>
          </w:rPr>
        </w:r>
        <w:r w:rsidR="00F01832">
          <w:rPr>
            <w:noProof/>
            <w:webHidden/>
          </w:rPr>
          <w:fldChar w:fldCharType="separate"/>
        </w:r>
        <w:r w:rsidR="00F01832">
          <w:rPr>
            <w:noProof/>
            <w:webHidden/>
          </w:rPr>
          <w:t>69</w:t>
        </w:r>
        <w:r w:rsidR="00F01832">
          <w:rPr>
            <w:noProof/>
            <w:webHidden/>
          </w:rPr>
          <w:fldChar w:fldCharType="end"/>
        </w:r>
      </w:hyperlink>
    </w:p>
    <w:p w14:paraId="03B4B8DF" w14:textId="3DCC1827" w:rsidR="00F01832" w:rsidRDefault="00B53EBA">
      <w:pPr>
        <w:pStyle w:val="TOC2"/>
        <w:rPr>
          <w:rFonts w:asciiTheme="minorHAnsi" w:eastAsiaTheme="minorEastAsia" w:hAnsiTheme="minorHAnsi" w:cstheme="minorBidi"/>
          <w:noProof/>
          <w:sz w:val="22"/>
          <w:szCs w:val="22"/>
        </w:rPr>
      </w:pPr>
      <w:hyperlink w:anchor="_Toc101095624" w:history="1">
        <w:r w:rsidR="00F01832" w:rsidRPr="008B7775">
          <w:rPr>
            <w:rStyle w:val="Hyperlink"/>
            <w:noProof/>
            <w:lang w:eastAsia="en-AU"/>
          </w:rPr>
          <w:t>Proposal for change to CbC Reporting process</w:t>
        </w:r>
        <w:r w:rsidR="00F01832">
          <w:rPr>
            <w:noProof/>
            <w:webHidden/>
          </w:rPr>
          <w:tab/>
        </w:r>
        <w:r w:rsidR="00F01832">
          <w:rPr>
            <w:noProof/>
            <w:webHidden/>
          </w:rPr>
          <w:fldChar w:fldCharType="begin"/>
        </w:r>
        <w:r w:rsidR="00F01832">
          <w:rPr>
            <w:noProof/>
            <w:webHidden/>
          </w:rPr>
          <w:instrText xml:space="preserve"> PAGEREF _Toc101095624 \h </w:instrText>
        </w:r>
        <w:r w:rsidR="00F01832">
          <w:rPr>
            <w:noProof/>
            <w:webHidden/>
          </w:rPr>
        </w:r>
        <w:r w:rsidR="00F01832">
          <w:rPr>
            <w:noProof/>
            <w:webHidden/>
          </w:rPr>
          <w:fldChar w:fldCharType="separate"/>
        </w:r>
        <w:r w:rsidR="00F01832">
          <w:rPr>
            <w:noProof/>
            <w:webHidden/>
          </w:rPr>
          <w:t>69</w:t>
        </w:r>
        <w:r w:rsidR="00F01832">
          <w:rPr>
            <w:noProof/>
            <w:webHidden/>
          </w:rPr>
          <w:fldChar w:fldCharType="end"/>
        </w:r>
      </w:hyperlink>
    </w:p>
    <w:p w14:paraId="4724E481" w14:textId="6974578F" w:rsidR="00F01832" w:rsidRDefault="00B53EBA">
      <w:pPr>
        <w:pStyle w:val="TOC2"/>
        <w:rPr>
          <w:rFonts w:asciiTheme="minorHAnsi" w:eastAsiaTheme="minorEastAsia" w:hAnsiTheme="minorHAnsi" w:cstheme="minorBidi"/>
          <w:noProof/>
          <w:sz w:val="22"/>
          <w:szCs w:val="22"/>
        </w:rPr>
      </w:pPr>
      <w:hyperlink w:anchor="_Toc101095625" w:history="1">
        <w:r w:rsidR="00F01832" w:rsidRPr="008B7775">
          <w:rPr>
            <w:rStyle w:val="Hyperlink"/>
            <w:noProof/>
            <w:lang w:eastAsia="en-AU"/>
          </w:rPr>
          <w:t>Penalties for late filing</w:t>
        </w:r>
        <w:r w:rsidR="00F01832">
          <w:rPr>
            <w:noProof/>
            <w:webHidden/>
          </w:rPr>
          <w:tab/>
        </w:r>
        <w:r w:rsidR="00F01832">
          <w:rPr>
            <w:noProof/>
            <w:webHidden/>
          </w:rPr>
          <w:fldChar w:fldCharType="begin"/>
        </w:r>
        <w:r w:rsidR="00F01832">
          <w:rPr>
            <w:noProof/>
            <w:webHidden/>
          </w:rPr>
          <w:instrText xml:space="preserve"> PAGEREF _Toc101095625 \h </w:instrText>
        </w:r>
        <w:r w:rsidR="00F01832">
          <w:rPr>
            <w:noProof/>
            <w:webHidden/>
          </w:rPr>
        </w:r>
        <w:r w:rsidR="00F01832">
          <w:rPr>
            <w:noProof/>
            <w:webHidden/>
          </w:rPr>
          <w:fldChar w:fldCharType="separate"/>
        </w:r>
        <w:r w:rsidR="00F01832">
          <w:rPr>
            <w:noProof/>
            <w:webHidden/>
          </w:rPr>
          <w:t>70</w:t>
        </w:r>
        <w:r w:rsidR="00F01832">
          <w:rPr>
            <w:noProof/>
            <w:webHidden/>
          </w:rPr>
          <w:fldChar w:fldCharType="end"/>
        </w:r>
      </w:hyperlink>
    </w:p>
    <w:p w14:paraId="6D5F0A1E" w14:textId="618B5BDF" w:rsidR="00F01832" w:rsidRDefault="00B53EBA">
      <w:pPr>
        <w:pStyle w:val="TOC2"/>
        <w:rPr>
          <w:rFonts w:asciiTheme="minorHAnsi" w:eastAsiaTheme="minorEastAsia" w:hAnsiTheme="minorHAnsi" w:cstheme="minorBidi"/>
          <w:noProof/>
          <w:sz w:val="22"/>
          <w:szCs w:val="22"/>
        </w:rPr>
      </w:pPr>
      <w:hyperlink w:anchor="_Toc101095626" w:history="1">
        <w:r w:rsidR="00F01832" w:rsidRPr="008B7775">
          <w:rPr>
            <w:rStyle w:val="Hyperlink"/>
            <w:noProof/>
            <w:lang w:eastAsia="en-AU"/>
          </w:rPr>
          <w:t>Paying the tax</w:t>
        </w:r>
        <w:r w:rsidR="00F01832">
          <w:rPr>
            <w:noProof/>
            <w:webHidden/>
          </w:rPr>
          <w:tab/>
        </w:r>
        <w:r w:rsidR="00F01832">
          <w:rPr>
            <w:noProof/>
            <w:webHidden/>
          </w:rPr>
          <w:fldChar w:fldCharType="begin"/>
        </w:r>
        <w:r w:rsidR="00F01832">
          <w:rPr>
            <w:noProof/>
            <w:webHidden/>
          </w:rPr>
          <w:instrText xml:space="preserve"> PAGEREF _Toc101095626 \h </w:instrText>
        </w:r>
        <w:r w:rsidR="00F01832">
          <w:rPr>
            <w:noProof/>
            <w:webHidden/>
          </w:rPr>
        </w:r>
        <w:r w:rsidR="00F01832">
          <w:rPr>
            <w:noProof/>
            <w:webHidden/>
          </w:rPr>
          <w:fldChar w:fldCharType="separate"/>
        </w:r>
        <w:r w:rsidR="00F01832">
          <w:rPr>
            <w:noProof/>
            <w:webHidden/>
          </w:rPr>
          <w:t>70</w:t>
        </w:r>
        <w:r w:rsidR="00F01832">
          <w:rPr>
            <w:noProof/>
            <w:webHidden/>
          </w:rPr>
          <w:fldChar w:fldCharType="end"/>
        </w:r>
      </w:hyperlink>
    </w:p>
    <w:p w14:paraId="72141842" w14:textId="6D1B1176" w:rsidR="00F01832" w:rsidRDefault="00B53EBA">
      <w:pPr>
        <w:pStyle w:val="TOC2"/>
        <w:rPr>
          <w:rFonts w:asciiTheme="minorHAnsi" w:eastAsiaTheme="minorEastAsia" w:hAnsiTheme="minorHAnsi" w:cstheme="minorBidi"/>
          <w:noProof/>
          <w:sz w:val="22"/>
          <w:szCs w:val="22"/>
        </w:rPr>
      </w:pPr>
      <w:hyperlink w:anchor="_Toc101095627" w:history="1">
        <w:r w:rsidR="00F01832" w:rsidRPr="008B7775">
          <w:rPr>
            <w:rStyle w:val="Hyperlink"/>
            <w:noProof/>
            <w:lang w:eastAsia="en-AU"/>
          </w:rPr>
          <w:t>Joint and several liability</w:t>
        </w:r>
        <w:r w:rsidR="00F01832">
          <w:rPr>
            <w:noProof/>
            <w:webHidden/>
          </w:rPr>
          <w:tab/>
        </w:r>
        <w:r w:rsidR="00F01832">
          <w:rPr>
            <w:noProof/>
            <w:webHidden/>
          </w:rPr>
          <w:fldChar w:fldCharType="begin"/>
        </w:r>
        <w:r w:rsidR="00F01832">
          <w:rPr>
            <w:noProof/>
            <w:webHidden/>
          </w:rPr>
          <w:instrText xml:space="preserve"> PAGEREF _Toc101095627 \h </w:instrText>
        </w:r>
        <w:r w:rsidR="00F01832">
          <w:rPr>
            <w:noProof/>
            <w:webHidden/>
          </w:rPr>
        </w:r>
        <w:r w:rsidR="00F01832">
          <w:rPr>
            <w:noProof/>
            <w:webHidden/>
          </w:rPr>
          <w:fldChar w:fldCharType="separate"/>
        </w:r>
        <w:r w:rsidR="00F01832">
          <w:rPr>
            <w:noProof/>
            <w:webHidden/>
          </w:rPr>
          <w:t>71</w:t>
        </w:r>
        <w:r w:rsidR="00F01832">
          <w:rPr>
            <w:noProof/>
            <w:webHidden/>
          </w:rPr>
          <w:fldChar w:fldCharType="end"/>
        </w:r>
      </w:hyperlink>
    </w:p>
    <w:p w14:paraId="07F38375" w14:textId="738D457A" w:rsidR="00F01832" w:rsidRDefault="00B53EBA">
      <w:pPr>
        <w:pStyle w:val="TOC2"/>
        <w:rPr>
          <w:rFonts w:asciiTheme="minorHAnsi" w:eastAsiaTheme="minorEastAsia" w:hAnsiTheme="minorHAnsi" w:cstheme="minorBidi"/>
          <w:noProof/>
          <w:sz w:val="22"/>
          <w:szCs w:val="22"/>
        </w:rPr>
      </w:pPr>
      <w:hyperlink w:anchor="_Toc101095628" w:history="1">
        <w:r w:rsidR="00F01832" w:rsidRPr="008B7775">
          <w:rPr>
            <w:rStyle w:val="Hyperlink"/>
            <w:noProof/>
            <w:lang w:eastAsia="en-AU"/>
          </w:rPr>
          <w:t>Other provisions of the Tax Administration Act 1994</w:t>
        </w:r>
        <w:r w:rsidR="00F01832">
          <w:rPr>
            <w:noProof/>
            <w:webHidden/>
          </w:rPr>
          <w:tab/>
        </w:r>
        <w:r w:rsidR="00F01832">
          <w:rPr>
            <w:noProof/>
            <w:webHidden/>
          </w:rPr>
          <w:fldChar w:fldCharType="begin"/>
        </w:r>
        <w:r w:rsidR="00F01832">
          <w:rPr>
            <w:noProof/>
            <w:webHidden/>
          </w:rPr>
          <w:instrText xml:space="preserve"> PAGEREF _Toc101095628 \h </w:instrText>
        </w:r>
        <w:r w:rsidR="00F01832">
          <w:rPr>
            <w:noProof/>
            <w:webHidden/>
          </w:rPr>
        </w:r>
        <w:r w:rsidR="00F01832">
          <w:rPr>
            <w:noProof/>
            <w:webHidden/>
          </w:rPr>
          <w:fldChar w:fldCharType="separate"/>
        </w:r>
        <w:r w:rsidR="00F01832">
          <w:rPr>
            <w:noProof/>
            <w:webHidden/>
          </w:rPr>
          <w:t>71</w:t>
        </w:r>
        <w:r w:rsidR="00F01832">
          <w:rPr>
            <w:noProof/>
            <w:webHidden/>
          </w:rPr>
          <w:fldChar w:fldCharType="end"/>
        </w:r>
      </w:hyperlink>
    </w:p>
    <w:p w14:paraId="2406CD23" w14:textId="368F19ED" w:rsidR="00F01832" w:rsidRDefault="00B53EBA">
      <w:pPr>
        <w:pStyle w:val="TOC1"/>
        <w:rPr>
          <w:rFonts w:asciiTheme="minorHAnsi" w:eastAsiaTheme="minorEastAsia" w:hAnsiTheme="minorHAnsi" w:cstheme="minorBidi"/>
          <w:b w:val="0"/>
          <w:noProof/>
          <w:sz w:val="22"/>
          <w:szCs w:val="22"/>
        </w:rPr>
      </w:pPr>
      <w:hyperlink w:anchor="_Toc101095629" w:history="1">
        <w:r w:rsidR="00F01832" w:rsidRPr="008B7775">
          <w:rPr>
            <w:rStyle w:val="Hyperlink"/>
            <w:noProof/>
            <w:lang w:eastAsia="en-AU"/>
          </w:rPr>
          <w:t>CHAPTER 13</w:t>
        </w:r>
        <w:r w:rsidR="000E111B">
          <w:rPr>
            <w:rStyle w:val="Hyperlink"/>
            <w:noProof/>
            <w:lang w:eastAsia="en-AU"/>
          </w:rPr>
          <w:tab/>
        </w:r>
        <w:r w:rsidR="00F01832" w:rsidRPr="008B7775">
          <w:rPr>
            <w:rStyle w:val="Hyperlink"/>
            <w:noProof/>
            <w:lang w:eastAsia="en-AU"/>
          </w:rPr>
          <w:t>Interaction with imputation</w:t>
        </w:r>
        <w:r w:rsidR="00F01832">
          <w:rPr>
            <w:noProof/>
            <w:webHidden/>
          </w:rPr>
          <w:tab/>
        </w:r>
        <w:r w:rsidR="00F01832">
          <w:rPr>
            <w:noProof/>
            <w:webHidden/>
          </w:rPr>
          <w:fldChar w:fldCharType="begin"/>
        </w:r>
        <w:r w:rsidR="00F01832">
          <w:rPr>
            <w:noProof/>
            <w:webHidden/>
          </w:rPr>
          <w:instrText xml:space="preserve"> PAGEREF _Toc101095629 \h </w:instrText>
        </w:r>
        <w:r w:rsidR="00F01832">
          <w:rPr>
            <w:noProof/>
            <w:webHidden/>
          </w:rPr>
        </w:r>
        <w:r w:rsidR="00F01832">
          <w:rPr>
            <w:noProof/>
            <w:webHidden/>
          </w:rPr>
          <w:fldChar w:fldCharType="separate"/>
        </w:r>
        <w:r w:rsidR="00F01832">
          <w:rPr>
            <w:noProof/>
            <w:webHidden/>
          </w:rPr>
          <w:t>73</w:t>
        </w:r>
        <w:r w:rsidR="00F01832">
          <w:rPr>
            <w:noProof/>
            <w:webHidden/>
          </w:rPr>
          <w:fldChar w:fldCharType="end"/>
        </w:r>
      </w:hyperlink>
    </w:p>
    <w:p w14:paraId="33F882F2" w14:textId="6C49140E" w:rsidR="00F01832" w:rsidRDefault="00B53EBA">
      <w:pPr>
        <w:pStyle w:val="TOC2"/>
        <w:rPr>
          <w:rFonts w:asciiTheme="minorHAnsi" w:eastAsiaTheme="minorEastAsia" w:hAnsiTheme="minorHAnsi" w:cstheme="minorBidi"/>
          <w:noProof/>
          <w:sz w:val="22"/>
          <w:szCs w:val="22"/>
        </w:rPr>
      </w:pPr>
      <w:hyperlink w:anchor="_Toc101095630" w:history="1">
        <w:r w:rsidR="00F01832" w:rsidRPr="008B7775">
          <w:rPr>
            <w:rStyle w:val="Hyperlink"/>
            <w:noProof/>
            <w:lang w:eastAsia="en-AU"/>
          </w:rPr>
          <w:t>Purpose of imputation</w:t>
        </w:r>
        <w:r w:rsidR="00F01832">
          <w:rPr>
            <w:noProof/>
            <w:webHidden/>
          </w:rPr>
          <w:tab/>
        </w:r>
        <w:r w:rsidR="00F01832">
          <w:rPr>
            <w:noProof/>
            <w:webHidden/>
          </w:rPr>
          <w:fldChar w:fldCharType="begin"/>
        </w:r>
        <w:r w:rsidR="00F01832">
          <w:rPr>
            <w:noProof/>
            <w:webHidden/>
          </w:rPr>
          <w:instrText xml:space="preserve"> PAGEREF _Toc101095630 \h </w:instrText>
        </w:r>
        <w:r w:rsidR="00F01832">
          <w:rPr>
            <w:noProof/>
            <w:webHidden/>
          </w:rPr>
        </w:r>
        <w:r w:rsidR="00F01832">
          <w:rPr>
            <w:noProof/>
            <w:webHidden/>
          </w:rPr>
          <w:fldChar w:fldCharType="separate"/>
        </w:r>
        <w:r w:rsidR="00F01832">
          <w:rPr>
            <w:noProof/>
            <w:webHidden/>
          </w:rPr>
          <w:t>73</w:t>
        </w:r>
        <w:r w:rsidR="00F01832">
          <w:rPr>
            <w:noProof/>
            <w:webHidden/>
          </w:rPr>
          <w:fldChar w:fldCharType="end"/>
        </w:r>
      </w:hyperlink>
    </w:p>
    <w:p w14:paraId="5FC43F7A" w14:textId="2AE25830" w:rsidR="00F01832" w:rsidRDefault="00B53EBA">
      <w:pPr>
        <w:pStyle w:val="TOC2"/>
        <w:rPr>
          <w:rFonts w:asciiTheme="minorHAnsi" w:eastAsiaTheme="minorEastAsia" w:hAnsiTheme="minorHAnsi" w:cstheme="minorBidi"/>
          <w:noProof/>
          <w:sz w:val="22"/>
          <w:szCs w:val="22"/>
        </w:rPr>
      </w:pPr>
      <w:hyperlink w:anchor="_Toc101095631" w:history="1">
        <w:r w:rsidR="00F01832" w:rsidRPr="008B7775">
          <w:rPr>
            <w:rStyle w:val="Hyperlink"/>
            <w:noProof/>
            <w:lang w:eastAsia="en-AU"/>
          </w:rPr>
          <w:t xml:space="preserve">Reasons Pillar Two tax should not give rise to imputation </w:t>
        </w:r>
        <w:r w:rsidR="000E111B">
          <w:rPr>
            <w:rStyle w:val="Hyperlink"/>
            <w:noProof/>
            <w:lang w:eastAsia="en-AU"/>
          </w:rPr>
          <w:br/>
        </w:r>
        <w:r w:rsidR="00F01832" w:rsidRPr="008B7775">
          <w:rPr>
            <w:rStyle w:val="Hyperlink"/>
            <w:noProof/>
            <w:lang w:eastAsia="en-AU"/>
          </w:rPr>
          <w:t>credits</w:t>
        </w:r>
        <w:r w:rsidR="00F01832">
          <w:rPr>
            <w:noProof/>
            <w:webHidden/>
          </w:rPr>
          <w:tab/>
        </w:r>
        <w:r w:rsidR="00F01832">
          <w:rPr>
            <w:noProof/>
            <w:webHidden/>
          </w:rPr>
          <w:fldChar w:fldCharType="begin"/>
        </w:r>
        <w:r w:rsidR="00F01832">
          <w:rPr>
            <w:noProof/>
            <w:webHidden/>
          </w:rPr>
          <w:instrText xml:space="preserve"> PAGEREF _Toc101095631 \h </w:instrText>
        </w:r>
        <w:r w:rsidR="00F01832">
          <w:rPr>
            <w:noProof/>
            <w:webHidden/>
          </w:rPr>
        </w:r>
        <w:r w:rsidR="00F01832">
          <w:rPr>
            <w:noProof/>
            <w:webHidden/>
          </w:rPr>
          <w:fldChar w:fldCharType="separate"/>
        </w:r>
        <w:r w:rsidR="00F01832">
          <w:rPr>
            <w:noProof/>
            <w:webHidden/>
          </w:rPr>
          <w:t>73</w:t>
        </w:r>
        <w:r w:rsidR="00F01832">
          <w:rPr>
            <w:noProof/>
            <w:webHidden/>
          </w:rPr>
          <w:fldChar w:fldCharType="end"/>
        </w:r>
      </w:hyperlink>
    </w:p>
    <w:p w14:paraId="06C402B1" w14:textId="39C90470" w:rsidR="00F01832" w:rsidRDefault="00B53EBA">
      <w:pPr>
        <w:pStyle w:val="TOC1"/>
        <w:rPr>
          <w:rFonts w:asciiTheme="minorHAnsi" w:eastAsiaTheme="minorEastAsia" w:hAnsiTheme="minorHAnsi" w:cstheme="minorBidi"/>
          <w:b w:val="0"/>
          <w:noProof/>
          <w:sz w:val="22"/>
          <w:szCs w:val="22"/>
        </w:rPr>
      </w:pPr>
      <w:hyperlink w:anchor="_Toc101095632" w:history="1">
        <w:r w:rsidR="00F01832" w:rsidRPr="008B7775">
          <w:rPr>
            <w:rStyle w:val="Hyperlink"/>
            <w:noProof/>
            <w:lang w:eastAsia="en-AU"/>
          </w:rPr>
          <w:t>CHAPTER 14</w:t>
        </w:r>
        <w:r w:rsidR="007973F0">
          <w:rPr>
            <w:rStyle w:val="Hyperlink"/>
            <w:noProof/>
            <w:lang w:eastAsia="en-AU"/>
          </w:rPr>
          <w:tab/>
        </w:r>
        <w:r w:rsidR="00F01832" w:rsidRPr="008B7775">
          <w:rPr>
            <w:rStyle w:val="Hyperlink"/>
            <w:noProof/>
            <w:lang w:eastAsia="en-AU"/>
          </w:rPr>
          <w:t>Domestic minimum tax</w:t>
        </w:r>
        <w:r w:rsidR="00F01832">
          <w:rPr>
            <w:noProof/>
            <w:webHidden/>
          </w:rPr>
          <w:tab/>
        </w:r>
        <w:r w:rsidR="00F01832">
          <w:rPr>
            <w:noProof/>
            <w:webHidden/>
          </w:rPr>
          <w:fldChar w:fldCharType="begin"/>
        </w:r>
        <w:r w:rsidR="00F01832">
          <w:rPr>
            <w:noProof/>
            <w:webHidden/>
          </w:rPr>
          <w:instrText xml:space="preserve"> PAGEREF _Toc101095632 \h </w:instrText>
        </w:r>
        <w:r w:rsidR="00F01832">
          <w:rPr>
            <w:noProof/>
            <w:webHidden/>
          </w:rPr>
        </w:r>
        <w:r w:rsidR="00F01832">
          <w:rPr>
            <w:noProof/>
            <w:webHidden/>
          </w:rPr>
          <w:fldChar w:fldCharType="separate"/>
        </w:r>
        <w:r w:rsidR="00F01832">
          <w:rPr>
            <w:noProof/>
            <w:webHidden/>
          </w:rPr>
          <w:t>75</w:t>
        </w:r>
        <w:r w:rsidR="00F01832">
          <w:rPr>
            <w:noProof/>
            <w:webHidden/>
          </w:rPr>
          <w:fldChar w:fldCharType="end"/>
        </w:r>
      </w:hyperlink>
    </w:p>
    <w:p w14:paraId="28A7EBD6" w14:textId="226DB7BE" w:rsidR="00F01832" w:rsidRDefault="00B53EBA">
      <w:pPr>
        <w:pStyle w:val="TOC1"/>
        <w:rPr>
          <w:rFonts w:asciiTheme="minorHAnsi" w:eastAsiaTheme="minorEastAsia" w:hAnsiTheme="minorHAnsi" w:cstheme="minorBidi"/>
          <w:b w:val="0"/>
          <w:noProof/>
          <w:sz w:val="22"/>
          <w:szCs w:val="22"/>
        </w:rPr>
      </w:pPr>
      <w:hyperlink w:anchor="_Toc101095633" w:history="1">
        <w:r w:rsidR="00F01832" w:rsidRPr="008B7775">
          <w:rPr>
            <w:rStyle w:val="Hyperlink"/>
            <w:noProof/>
            <w:lang w:eastAsia="en-AU"/>
          </w:rPr>
          <w:t>CHAPTER 15</w:t>
        </w:r>
        <w:r w:rsidR="007973F0">
          <w:rPr>
            <w:rStyle w:val="Hyperlink"/>
            <w:noProof/>
            <w:lang w:eastAsia="en-AU"/>
          </w:rPr>
          <w:tab/>
        </w:r>
        <w:r w:rsidR="00F01832" w:rsidRPr="008B7775">
          <w:rPr>
            <w:rStyle w:val="Hyperlink"/>
            <w:noProof/>
            <w:lang w:eastAsia="en-AU"/>
          </w:rPr>
          <w:t xml:space="preserve">Treatment of foreign GloBE taxes in determining </w:t>
        </w:r>
        <w:r w:rsidR="00E83B64">
          <w:rPr>
            <w:rStyle w:val="Hyperlink"/>
            <w:noProof/>
            <w:lang w:eastAsia="en-AU"/>
          </w:rPr>
          <w:br/>
        </w:r>
        <w:r w:rsidR="00F01832" w:rsidRPr="008B7775">
          <w:rPr>
            <w:rStyle w:val="Hyperlink"/>
            <w:noProof/>
            <w:lang w:eastAsia="en-AU"/>
          </w:rPr>
          <w:t>New Zealand income tax liability</w:t>
        </w:r>
        <w:r w:rsidR="00F01832">
          <w:rPr>
            <w:noProof/>
            <w:webHidden/>
          </w:rPr>
          <w:tab/>
        </w:r>
        <w:r w:rsidR="00F01832">
          <w:rPr>
            <w:noProof/>
            <w:webHidden/>
          </w:rPr>
          <w:fldChar w:fldCharType="begin"/>
        </w:r>
        <w:r w:rsidR="00F01832">
          <w:rPr>
            <w:noProof/>
            <w:webHidden/>
          </w:rPr>
          <w:instrText xml:space="preserve"> PAGEREF _Toc101095633 \h </w:instrText>
        </w:r>
        <w:r w:rsidR="00F01832">
          <w:rPr>
            <w:noProof/>
            <w:webHidden/>
          </w:rPr>
        </w:r>
        <w:r w:rsidR="00F01832">
          <w:rPr>
            <w:noProof/>
            <w:webHidden/>
          </w:rPr>
          <w:fldChar w:fldCharType="separate"/>
        </w:r>
        <w:r w:rsidR="00F01832">
          <w:rPr>
            <w:noProof/>
            <w:webHidden/>
          </w:rPr>
          <w:t>77</w:t>
        </w:r>
        <w:r w:rsidR="00F01832">
          <w:rPr>
            <w:noProof/>
            <w:webHidden/>
          </w:rPr>
          <w:fldChar w:fldCharType="end"/>
        </w:r>
      </w:hyperlink>
    </w:p>
    <w:p w14:paraId="4D0F38AC" w14:textId="29AE2AB6" w:rsidR="00F01832" w:rsidRDefault="00B53EBA">
      <w:pPr>
        <w:pStyle w:val="TOC1"/>
        <w:rPr>
          <w:rFonts w:asciiTheme="minorHAnsi" w:eastAsiaTheme="minorEastAsia" w:hAnsiTheme="minorHAnsi" w:cstheme="minorBidi"/>
          <w:b w:val="0"/>
          <w:noProof/>
          <w:sz w:val="22"/>
          <w:szCs w:val="22"/>
        </w:rPr>
      </w:pPr>
      <w:hyperlink w:anchor="_Toc101095634" w:history="1">
        <w:r w:rsidR="00F01832" w:rsidRPr="008B7775">
          <w:rPr>
            <w:rStyle w:val="Hyperlink"/>
            <w:noProof/>
          </w:rPr>
          <w:t xml:space="preserve">APPENDIX 1 Overview of the key operating provisions of the </w:t>
        </w:r>
        <w:r w:rsidR="00E83B64">
          <w:rPr>
            <w:rStyle w:val="Hyperlink"/>
            <w:noProof/>
          </w:rPr>
          <w:br/>
        </w:r>
        <w:r w:rsidR="00F01832" w:rsidRPr="008B7775">
          <w:rPr>
            <w:rStyle w:val="Hyperlink"/>
            <w:noProof/>
          </w:rPr>
          <w:t>GloBE rules</w:t>
        </w:r>
        <w:r w:rsidR="00F01832">
          <w:rPr>
            <w:noProof/>
            <w:webHidden/>
          </w:rPr>
          <w:tab/>
        </w:r>
        <w:r w:rsidR="00F01832">
          <w:rPr>
            <w:noProof/>
            <w:webHidden/>
          </w:rPr>
          <w:fldChar w:fldCharType="begin"/>
        </w:r>
        <w:r w:rsidR="00F01832">
          <w:rPr>
            <w:noProof/>
            <w:webHidden/>
          </w:rPr>
          <w:instrText xml:space="preserve"> PAGEREF _Toc101095634 \h </w:instrText>
        </w:r>
        <w:r w:rsidR="00F01832">
          <w:rPr>
            <w:noProof/>
            <w:webHidden/>
          </w:rPr>
        </w:r>
        <w:r w:rsidR="00F01832">
          <w:rPr>
            <w:noProof/>
            <w:webHidden/>
          </w:rPr>
          <w:fldChar w:fldCharType="separate"/>
        </w:r>
        <w:r w:rsidR="00F01832">
          <w:rPr>
            <w:noProof/>
            <w:webHidden/>
          </w:rPr>
          <w:t>79</w:t>
        </w:r>
        <w:r w:rsidR="00F01832">
          <w:rPr>
            <w:noProof/>
            <w:webHidden/>
          </w:rPr>
          <w:fldChar w:fldCharType="end"/>
        </w:r>
      </w:hyperlink>
    </w:p>
    <w:p w14:paraId="13AFB8DB" w14:textId="5BFE06B5" w:rsidR="00735838" w:rsidRPr="00E47A7E" w:rsidRDefault="005B0CD9" w:rsidP="00E47A7E">
      <w:r>
        <w:fldChar w:fldCharType="end"/>
      </w:r>
    </w:p>
    <w:p w14:paraId="32E84F67" w14:textId="77777777" w:rsidR="00735838" w:rsidRDefault="00735838" w:rsidP="00C5161A">
      <w:pPr>
        <w:sectPr w:rsidR="00735838" w:rsidSect="00D27BDE">
          <w:footerReference w:type="default" r:id="rId13"/>
          <w:footerReference w:type="first" r:id="rId14"/>
          <w:pgSz w:w="11906" w:h="16838" w:code="9"/>
          <w:pgMar w:top="1304" w:right="1559" w:bottom="1134" w:left="1559" w:header="720" w:footer="567" w:gutter="0"/>
          <w:cols w:space="720"/>
          <w:docGrid w:linePitch="326"/>
        </w:sectPr>
      </w:pPr>
    </w:p>
    <w:p w14:paraId="15FB7D6A" w14:textId="22A9AA02" w:rsidR="00F9606A" w:rsidRDefault="005B0CD9" w:rsidP="0074225E">
      <w:pPr>
        <w:pStyle w:val="Heading1"/>
        <w:numPr>
          <w:ilvl w:val="0"/>
          <w:numId w:val="0"/>
        </w:numPr>
      </w:pPr>
      <w:bookmarkStart w:id="5" w:name="_Toc101095556"/>
      <w:r>
        <w:lastRenderedPageBreak/>
        <w:t xml:space="preserve">ABBREVIATIONS AND </w:t>
      </w:r>
      <w:r w:rsidR="007512EF">
        <w:t>G</w:t>
      </w:r>
      <w:r w:rsidR="0045358C">
        <w:t>LOSSARY</w:t>
      </w:r>
      <w:bookmarkEnd w:id="5"/>
    </w:p>
    <w:p w14:paraId="61EBE2A5" w14:textId="27612AFE" w:rsidR="005B0CD9" w:rsidRPr="005B0CD9" w:rsidRDefault="005B0CD9" w:rsidP="005B0CD9">
      <w:pPr>
        <w:spacing w:before="400" w:after="400"/>
        <w:rPr>
          <w:b/>
          <w:bCs/>
        </w:rPr>
      </w:pPr>
      <w:r w:rsidRPr="005B0CD9">
        <w:rPr>
          <w:b/>
          <w:bCs/>
        </w:rPr>
        <w:t>Abbreviations</w:t>
      </w:r>
    </w:p>
    <w:p w14:paraId="7695307C" w14:textId="025E5AAB" w:rsidR="0045358C" w:rsidRPr="00A82078" w:rsidRDefault="0045358C" w:rsidP="005B0CD9">
      <w:pPr>
        <w:tabs>
          <w:tab w:val="left" w:pos="1701"/>
        </w:tabs>
        <w:ind w:left="1701" w:hanging="1417"/>
        <w:jc w:val="left"/>
        <w:rPr>
          <w:bCs/>
        </w:rPr>
      </w:pPr>
      <w:r>
        <w:rPr>
          <w:b/>
        </w:rPr>
        <w:t>BEPS</w:t>
      </w:r>
      <w:r w:rsidR="002A46F6" w:rsidRPr="00A82078">
        <w:rPr>
          <w:bCs/>
        </w:rPr>
        <w:tab/>
      </w:r>
      <w:r w:rsidRPr="00A82078">
        <w:rPr>
          <w:bCs/>
        </w:rPr>
        <w:t>Base Erosion and Profit Shifting</w:t>
      </w:r>
    </w:p>
    <w:p w14:paraId="5471EA80" w14:textId="7B605AF3" w:rsidR="0045358C" w:rsidRPr="00A82078" w:rsidRDefault="0045358C" w:rsidP="005B0CD9">
      <w:pPr>
        <w:tabs>
          <w:tab w:val="left" w:pos="1701"/>
        </w:tabs>
        <w:ind w:left="1701" w:hanging="1417"/>
        <w:jc w:val="left"/>
        <w:rPr>
          <w:bCs/>
        </w:rPr>
      </w:pPr>
      <w:r>
        <w:rPr>
          <w:b/>
        </w:rPr>
        <w:t>CbCR</w:t>
      </w:r>
      <w:r w:rsidR="002A46F6" w:rsidRPr="00A82078">
        <w:rPr>
          <w:bCs/>
        </w:rPr>
        <w:tab/>
      </w:r>
      <w:r w:rsidRPr="00A82078">
        <w:rPr>
          <w:bCs/>
        </w:rPr>
        <w:t>Country-by-Country Reporting</w:t>
      </w:r>
    </w:p>
    <w:p w14:paraId="313E083E" w14:textId="7582ACDE" w:rsidR="0045358C" w:rsidRPr="00A82078" w:rsidRDefault="0045358C" w:rsidP="005B0CD9">
      <w:pPr>
        <w:tabs>
          <w:tab w:val="left" w:pos="1701"/>
        </w:tabs>
        <w:ind w:left="1701" w:hanging="1417"/>
        <w:rPr>
          <w:bCs/>
        </w:rPr>
      </w:pPr>
      <w:r w:rsidRPr="00C15B8E">
        <w:rPr>
          <w:b/>
        </w:rPr>
        <w:t>CE</w:t>
      </w:r>
      <w:r w:rsidRPr="00A82078">
        <w:rPr>
          <w:bCs/>
        </w:rPr>
        <w:tab/>
      </w:r>
      <w:r w:rsidR="008265B3" w:rsidRPr="00A82078">
        <w:rPr>
          <w:bCs/>
        </w:rPr>
        <w:tab/>
      </w:r>
      <w:r w:rsidRPr="00A82078">
        <w:rPr>
          <w:bCs/>
        </w:rPr>
        <w:t>Constituent Entity</w:t>
      </w:r>
    </w:p>
    <w:p w14:paraId="33CF00E6" w14:textId="312EC43A" w:rsidR="0045358C" w:rsidRPr="00A82078" w:rsidRDefault="0045358C" w:rsidP="005B0CD9">
      <w:pPr>
        <w:tabs>
          <w:tab w:val="left" w:pos="1701"/>
        </w:tabs>
        <w:ind w:left="1701" w:hanging="1417"/>
        <w:rPr>
          <w:bCs/>
        </w:rPr>
      </w:pPr>
      <w:r>
        <w:rPr>
          <w:b/>
        </w:rPr>
        <w:t>DMT</w:t>
      </w:r>
      <w:r w:rsidRPr="00A82078">
        <w:rPr>
          <w:bCs/>
        </w:rPr>
        <w:tab/>
      </w:r>
      <w:r w:rsidR="008265B3" w:rsidRPr="00A82078">
        <w:rPr>
          <w:bCs/>
        </w:rPr>
        <w:tab/>
      </w:r>
      <w:r w:rsidRPr="00A82078">
        <w:rPr>
          <w:bCs/>
        </w:rPr>
        <w:t>Domestic Minimum Top-up Tax</w:t>
      </w:r>
    </w:p>
    <w:p w14:paraId="2762513F" w14:textId="6A2AAE20" w:rsidR="0045358C" w:rsidRPr="00A82078" w:rsidRDefault="0045358C" w:rsidP="005B0CD9">
      <w:pPr>
        <w:tabs>
          <w:tab w:val="left" w:pos="1701"/>
        </w:tabs>
        <w:ind w:left="1701" w:hanging="1417"/>
        <w:rPr>
          <w:bCs/>
        </w:rPr>
      </w:pPr>
      <w:r w:rsidRPr="00C15B8E">
        <w:rPr>
          <w:b/>
        </w:rPr>
        <w:t>ETR</w:t>
      </w:r>
      <w:r w:rsidRPr="00A82078">
        <w:rPr>
          <w:bCs/>
        </w:rPr>
        <w:tab/>
      </w:r>
      <w:r w:rsidR="008265B3" w:rsidRPr="00A82078">
        <w:rPr>
          <w:bCs/>
        </w:rPr>
        <w:tab/>
      </w:r>
      <w:r w:rsidRPr="00A82078">
        <w:rPr>
          <w:bCs/>
        </w:rPr>
        <w:t>Effective Tax Rate</w:t>
      </w:r>
    </w:p>
    <w:p w14:paraId="01D3A1A0" w14:textId="77777777" w:rsidR="0045358C" w:rsidRPr="00A82078" w:rsidRDefault="0045358C" w:rsidP="005B0CD9">
      <w:pPr>
        <w:tabs>
          <w:tab w:val="left" w:pos="1701"/>
        </w:tabs>
        <w:ind w:left="1701" w:hanging="1417"/>
        <w:rPr>
          <w:bCs/>
        </w:rPr>
      </w:pPr>
      <w:r w:rsidRPr="00C15B8E">
        <w:rPr>
          <w:b/>
        </w:rPr>
        <w:t>GloBE</w:t>
      </w:r>
      <w:r w:rsidRPr="00A82078">
        <w:rPr>
          <w:bCs/>
        </w:rPr>
        <w:tab/>
        <w:t>Global Anti-Base Erosion</w:t>
      </w:r>
    </w:p>
    <w:p w14:paraId="2EEC3265" w14:textId="65156F5E" w:rsidR="0045358C" w:rsidRPr="00A82078" w:rsidRDefault="0045358C" w:rsidP="005B0CD9">
      <w:pPr>
        <w:tabs>
          <w:tab w:val="left" w:pos="1701"/>
        </w:tabs>
        <w:ind w:left="1701" w:hanging="1417"/>
        <w:jc w:val="left"/>
        <w:rPr>
          <w:bCs/>
        </w:rPr>
      </w:pPr>
      <w:r>
        <w:rPr>
          <w:b/>
        </w:rPr>
        <w:t>IF</w:t>
      </w:r>
      <w:r w:rsidR="008265B3" w:rsidRPr="00A82078">
        <w:rPr>
          <w:bCs/>
        </w:rPr>
        <w:tab/>
      </w:r>
      <w:r w:rsidR="008265B3" w:rsidRPr="00A82078">
        <w:rPr>
          <w:bCs/>
        </w:rPr>
        <w:tab/>
      </w:r>
      <w:r w:rsidRPr="00A82078">
        <w:rPr>
          <w:bCs/>
        </w:rPr>
        <w:t>Inclusive Framework</w:t>
      </w:r>
    </w:p>
    <w:p w14:paraId="36561A2C" w14:textId="3F90CF4F" w:rsidR="0045358C" w:rsidRPr="00A82078" w:rsidRDefault="0045358C" w:rsidP="005B0CD9">
      <w:pPr>
        <w:tabs>
          <w:tab w:val="left" w:pos="1701"/>
        </w:tabs>
        <w:ind w:left="1701" w:hanging="1417"/>
        <w:rPr>
          <w:bCs/>
        </w:rPr>
      </w:pPr>
      <w:r w:rsidRPr="00C15B8E">
        <w:rPr>
          <w:b/>
        </w:rPr>
        <w:t>IFRS</w:t>
      </w:r>
      <w:r w:rsidRPr="00A82078">
        <w:rPr>
          <w:bCs/>
        </w:rPr>
        <w:tab/>
      </w:r>
      <w:r w:rsidR="008265B3" w:rsidRPr="00A82078">
        <w:rPr>
          <w:bCs/>
        </w:rPr>
        <w:tab/>
      </w:r>
      <w:r w:rsidRPr="00A82078">
        <w:rPr>
          <w:bCs/>
        </w:rPr>
        <w:t>International Financial Reporting Standards</w:t>
      </w:r>
    </w:p>
    <w:p w14:paraId="2036CD6C" w14:textId="316DD0BC" w:rsidR="0045358C" w:rsidRPr="00A82078" w:rsidRDefault="0045358C" w:rsidP="005B0CD9">
      <w:pPr>
        <w:tabs>
          <w:tab w:val="left" w:pos="1701"/>
        </w:tabs>
        <w:ind w:left="1701" w:hanging="1417"/>
        <w:jc w:val="left"/>
        <w:rPr>
          <w:bCs/>
        </w:rPr>
      </w:pPr>
      <w:r>
        <w:rPr>
          <w:b/>
        </w:rPr>
        <w:t>IIR</w:t>
      </w:r>
      <w:r w:rsidRPr="00A82078">
        <w:rPr>
          <w:bCs/>
        </w:rPr>
        <w:tab/>
      </w:r>
      <w:r w:rsidR="008265B3" w:rsidRPr="00A82078">
        <w:rPr>
          <w:bCs/>
        </w:rPr>
        <w:tab/>
      </w:r>
      <w:r w:rsidRPr="00A82078">
        <w:rPr>
          <w:bCs/>
        </w:rPr>
        <w:t>Income Inclusion Rule</w:t>
      </w:r>
    </w:p>
    <w:p w14:paraId="71736DFD" w14:textId="44706C43" w:rsidR="0045358C" w:rsidRPr="00A82078" w:rsidRDefault="0045358C" w:rsidP="005B0CD9">
      <w:pPr>
        <w:tabs>
          <w:tab w:val="left" w:pos="1701"/>
        </w:tabs>
        <w:ind w:left="1701" w:hanging="1417"/>
        <w:jc w:val="left"/>
        <w:rPr>
          <w:bCs/>
        </w:rPr>
      </w:pPr>
      <w:r>
        <w:rPr>
          <w:b/>
        </w:rPr>
        <w:t>IPE</w:t>
      </w:r>
      <w:r w:rsidR="008265B3" w:rsidRPr="00A82078">
        <w:rPr>
          <w:bCs/>
        </w:rPr>
        <w:tab/>
      </w:r>
      <w:r w:rsidR="008265B3" w:rsidRPr="00A82078">
        <w:rPr>
          <w:bCs/>
        </w:rPr>
        <w:tab/>
      </w:r>
      <w:r w:rsidRPr="00A82078">
        <w:rPr>
          <w:bCs/>
        </w:rPr>
        <w:t>Intermediate Parent Entity</w:t>
      </w:r>
    </w:p>
    <w:p w14:paraId="744F873B" w14:textId="2077BBF8" w:rsidR="0045358C" w:rsidRPr="00A82078" w:rsidRDefault="0045358C" w:rsidP="005B0CD9">
      <w:pPr>
        <w:tabs>
          <w:tab w:val="left" w:pos="1701"/>
        </w:tabs>
        <w:ind w:left="1701" w:hanging="1417"/>
        <w:rPr>
          <w:bCs/>
        </w:rPr>
      </w:pPr>
      <w:r w:rsidRPr="00C15B8E">
        <w:rPr>
          <w:b/>
        </w:rPr>
        <w:t>JV</w:t>
      </w:r>
      <w:r w:rsidR="008265B3" w:rsidRPr="00A82078">
        <w:rPr>
          <w:bCs/>
        </w:rPr>
        <w:tab/>
      </w:r>
      <w:r w:rsidR="008265B3" w:rsidRPr="00A82078">
        <w:rPr>
          <w:bCs/>
        </w:rPr>
        <w:tab/>
      </w:r>
      <w:r w:rsidRPr="00A82078">
        <w:rPr>
          <w:bCs/>
        </w:rPr>
        <w:t>Joint Venture</w:t>
      </w:r>
    </w:p>
    <w:p w14:paraId="2A03DA3F" w14:textId="27F624C0" w:rsidR="0045358C" w:rsidRPr="00A82078" w:rsidRDefault="0045358C" w:rsidP="005B0CD9">
      <w:pPr>
        <w:tabs>
          <w:tab w:val="left" w:pos="1701"/>
        </w:tabs>
        <w:ind w:left="1701" w:hanging="1417"/>
        <w:jc w:val="left"/>
        <w:rPr>
          <w:bCs/>
        </w:rPr>
      </w:pPr>
      <w:r>
        <w:rPr>
          <w:b/>
        </w:rPr>
        <w:t>LTCE</w:t>
      </w:r>
      <w:r w:rsidR="008265B3" w:rsidRPr="00A82078">
        <w:rPr>
          <w:bCs/>
        </w:rPr>
        <w:tab/>
      </w:r>
      <w:r w:rsidR="008265B3" w:rsidRPr="00A82078">
        <w:rPr>
          <w:bCs/>
        </w:rPr>
        <w:tab/>
      </w:r>
      <w:r w:rsidRPr="00A82078">
        <w:rPr>
          <w:bCs/>
        </w:rPr>
        <w:t>Low-Taxed Constituent Entity</w:t>
      </w:r>
    </w:p>
    <w:p w14:paraId="70D86772" w14:textId="21F9413B" w:rsidR="0045358C" w:rsidRPr="00A82078" w:rsidRDefault="0045358C" w:rsidP="005B0CD9">
      <w:pPr>
        <w:tabs>
          <w:tab w:val="left" w:pos="1701"/>
        </w:tabs>
        <w:ind w:left="1701" w:hanging="1417"/>
        <w:rPr>
          <w:bCs/>
        </w:rPr>
      </w:pPr>
      <w:r w:rsidRPr="00C15B8E">
        <w:rPr>
          <w:b/>
        </w:rPr>
        <w:t>MNE</w:t>
      </w:r>
      <w:r w:rsidR="008265B3" w:rsidRPr="00A82078">
        <w:rPr>
          <w:bCs/>
        </w:rPr>
        <w:tab/>
      </w:r>
      <w:r w:rsidR="008265B3" w:rsidRPr="00A82078">
        <w:rPr>
          <w:bCs/>
        </w:rPr>
        <w:tab/>
      </w:r>
      <w:r w:rsidRPr="00A82078">
        <w:rPr>
          <w:bCs/>
        </w:rPr>
        <w:t xml:space="preserve">Multinational </w:t>
      </w:r>
      <w:r w:rsidR="00566693" w:rsidRPr="00A82078">
        <w:rPr>
          <w:bCs/>
        </w:rPr>
        <w:t>E</w:t>
      </w:r>
      <w:r w:rsidRPr="00A82078">
        <w:rPr>
          <w:bCs/>
        </w:rPr>
        <w:t>nterprise</w:t>
      </w:r>
    </w:p>
    <w:p w14:paraId="390561F9" w14:textId="4CE65700" w:rsidR="0045358C" w:rsidRPr="00A82078" w:rsidRDefault="0045358C" w:rsidP="005B0CD9">
      <w:pPr>
        <w:tabs>
          <w:tab w:val="left" w:pos="1701"/>
        </w:tabs>
        <w:ind w:left="1701" w:hanging="1417"/>
        <w:rPr>
          <w:bCs/>
        </w:rPr>
      </w:pPr>
      <w:r w:rsidRPr="00C15B8E">
        <w:rPr>
          <w:b/>
        </w:rPr>
        <w:t>OECD</w:t>
      </w:r>
      <w:r w:rsidR="008265B3" w:rsidRPr="00A82078">
        <w:rPr>
          <w:bCs/>
        </w:rPr>
        <w:tab/>
      </w:r>
      <w:r w:rsidRPr="00A82078">
        <w:rPr>
          <w:bCs/>
        </w:rPr>
        <w:t>Organisation for Economic Co-operation and Development</w:t>
      </w:r>
    </w:p>
    <w:p w14:paraId="1E8C541E" w14:textId="28ECAE7F" w:rsidR="0045358C" w:rsidRPr="00A82078" w:rsidRDefault="0045358C" w:rsidP="005B0CD9">
      <w:pPr>
        <w:tabs>
          <w:tab w:val="left" w:pos="1701"/>
        </w:tabs>
        <w:ind w:left="1701" w:hanging="1417"/>
        <w:jc w:val="left"/>
        <w:rPr>
          <w:bCs/>
        </w:rPr>
      </w:pPr>
      <w:r>
        <w:rPr>
          <w:b/>
        </w:rPr>
        <w:t>PE</w:t>
      </w:r>
      <w:r w:rsidRPr="00A82078">
        <w:rPr>
          <w:bCs/>
        </w:rPr>
        <w:tab/>
      </w:r>
      <w:r w:rsidR="008265B3" w:rsidRPr="00A82078">
        <w:rPr>
          <w:bCs/>
        </w:rPr>
        <w:tab/>
      </w:r>
      <w:r w:rsidRPr="00A82078">
        <w:rPr>
          <w:bCs/>
        </w:rPr>
        <w:t>Permanent Establishment</w:t>
      </w:r>
    </w:p>
    <w:p w14:paraId="0883C164" w14:textId="00F47AA6" w:rsidR="0045358C" w:rsidRPr="00A82078" w:rsidRDefault="0045358C" w:rsidP="005B0CD9">
      <w:pPr>
        <w:tabs>
          <w:tab w:val="left" w:pos="1701"/>
        </w:tabs>
        <w:ind w:left="1701" w:hanging="1417"/>
        <w:jc w:val="left"/>
        <w:rPr>
          <w:bCs/>
        </w:rPr>
      </w:pPr>
      <w:r>
        <w:rPr>
          <w:b/>
        </w:rPr>
        <w:t>POPE</w:t>
      </w:r>
      <w:r w:rsidRPr="00A82078">
        <w:rPr>
          <w:bCs/>
        </w:rPr>
        <w:tab/>
        <w:t>Partially</w:t>
      </w:r>
      <w:r w:rsidR="00566693" w:rsidRPr="00A82078">
        <w:rPr>
          <w:bCs/>
        </w:rPr>
        <w:t xml:space="preserve"> </w:t>
      </w:r>
      <w:r w:rsidRPr="00A82078">
        <w:rPr>
          <w:bCs/>
        </w:rPr>
        <w:t>Owned Parent Entity</w:t>
      </w:r>
    </w:p>
    <w:p w14:paraId="419EDF89" w14:textId="1C6A363C" w:rsidR="0045358C" w:rsidRPr="00A82078" w:rsidRDefault="0045358C" w:rsidP="005B0CD9">
      <w:pPr>
        <w:tabs>
          <w:tab w:val="left" w:pos="1701"/>
        </w:tabs>
        <w:ind w:left="1701" w:hanging="1417"/>
        <w:jc w:val="left"/>
        <w:rPr>
          <w:bCs/>
        </w:rPr>
      </w:pPr>
      <w:r w:rsidRPr="00C15B8E">
        <w:rPr>
          <w:b/>
        </w:rPr>
        <w:t>UPE</w:t>
      </w:r>
      <w:r w:rsidR="008265B3" w:rsidRPr="00A82078">
        <w:rPr>
          <w:bCs/>
        </w:rPr>
        <w:tab/>
      </w:r>
      <w:r w:rsidR="008265B3" w:rsidRPr="00A82078">
        <w:rPr>
          <w:bCs/>
        </w:rPr>
        <w:tab/>
      </w:r>
      <w:r w:rsidRPr="00A82078">
        <w:rPr>
          <w:bCs/>
        </w:rPr>
        <w:t>Ultimate Parent Entity</w:t>
      </w:r>
    </w:p>
    <w:p w14:paraId="06F26C2E" w14:textId="0333CE6C" w:rsidR="0045358C" w:rsidRPr="00A82078" w:rsidRDefault="0045358C" w:rsidP="005B0CD9">
      <w:pPr>
        <w:tabs>
          <w:tab w:val="left" w:pos="1701"/>
        </w:tabs>
        <w:ind w:left="1701" w:hanging="1417"/>
        <w:jc w:val="left"/>
        <w:rPr>
          <w:bCs/>
        </w:rPr>
      </w:pPr>
      <w:r>
        <w:rPr>
          <w:b/>
        </w:rPr>
        <w:t>UTPR</w:t>
      </w:r>
      <w:r w:rsidR="008265B3" w:rsidRPr="00A82078">
        <w:rPr>
          <w:bCs/>
        </w:rPr>
        <w:tab/>
      </w:r>
      <w:r w:rsidRPr="00A82078">
        <w:rPr>
          <w:bCs/>
        </w:rPr>
        <w:t>Undertaxed Profits Rule</w:t>
      </w:r>
    </w:p>
    <w:p w14:paraId="758F6C27" w14:textId="68D6AB18" w:rsidR="00F9606A" w:rsidRPr="005B0CD9" w:rsidRDefault="005B0CD9" w:rsidP="00A82078">
      <w:pPr>
        <w:spacing w:before="600" w:after="400"/>
        <w:rPr>
          <w:b/>
          <w:bCs/>
        </w:rPr>
      </w:pPr>
      <w:r w:rsidRPr="005B0CD9">
        <w:rPr>
          <w:b/>
          <w:bCs/>
        </w:rPr>
        <w:t>Glossary</w:t>
      </w:r>
    </w:p>
    <w:p w14:paraId="15DD24E6" w14:textId="0EB24E75" w:rsidR="00442473" w:rsidRPr="00BE151C" w:rsidRDefault="00442473" w:rsidP="005B0CD9">
      <w:pPr>
        <w:tabs>
          <w:tab w:val="left" w:pos="1985"/>
        </w:tabs>
        <w:ind w:left="1985" w:hanging="1701"/>
        <w:rPr>
          <w:bCs/>
          <w:lang w:val="en-GB"/>
        </w:rPr>
      </w:pPr>
      <w:r w:rsidRPr="00BE151C">
        <w:rPr>
          <w:rStyle w:val="Strong"/>
        </w:rPr>
        <w:t xml:space="preserve">GloBE </w:t>
      </w:r>
      <w:r w:rsidR="00501B6A" w:rsidRPr="00BE151C">
        <w:rPr>
          <w:rStyle w:val="Strong"/>
        </w:rPr>
        <w:t>r</w:t>
      </w:r>
      <w:r w:rsidRPr="00BE151C">
        <w:rPr>
          <w:rStyle w:val="Strong"/>
        </w:rPr>
        <w:t>ules:</w:t>
      </w:r>
      <w:r w:rsidR="005B0CD9">
        <w:rPr>
          <w:rStyle w:val="Strong"/>
        </w:rPr>
        <w:tab/>
      </w:r>
      <w:r w:rsidRPr="00BE151C">
        <w:rPr>
          <w:bCs/>
          <w:lang w:val="en-GB"/>
        </w:rPr>
        <w:t xml:space="preserve">Two interlocking rules (IIR and UTPR) which </w:t>
      </w:r>
      <w:r w:rsidR="0018773F" w:rsidRPr="00BE151C">
        <w:rPr>
          <w:bCs/>
          <w:lang w:val="en-GB"/>
        </w:rPr>
        <w:t>together</w:t>
      </w:r>
      <w:r w:rsidRPr="00BE151C">
        <w:rPr>
          <w:bCs/>
          <w:lang w:val="en-GB"/>
        </w:rPr>
        <w:t xml:space="preserve"> form the </w:t>
      </w:r>
      <w:r w:rsidR="0018773F" w:rsidRPr="00BE151C">
        <w:rPr>
          <w:bCs/>
          <w:lang w:val="en-GB"/>
        </w:rPr>
        <w:t>primary mechanism</w:t>
      </w:r>
      <w:r w:rsidRPr="00BE151C">
        <w:rPr>
          <w:bCs/>
          <w:lang w:val="en-GB"/>
        </w:rPr>
        <w:t xml:space="preserve"> of Pillar </w:t>
      </w:r>
      <w:r w:rsidR="006A729C" w:rsidRPr="00BE151C">
        <w:rPr>
          <w:bCs/>
          <w:lang w:val="en-GB"/>
        </w:rPr>
        <w:t>Two</w:t>
      </w:r>
      <w:r w:rsidR="0018773F" w:rsidRPr="00BE151C">
        <w:rPr>
          <w:bCs/>
          <w:lang w:val="en-GB"/>
        </w:rPr>
        <w:t>.</w:t>
      </w:r>
    </w:p>
    <w:p w14:paraId="69888640" w14:textId="1AEF0253" w:rsidR="00442473" w:rsidRPr="00BE151C" w:rsidRDefault="00442473" w:rsidP="005B0CD9">
      <w:pPr>
        <w:tabs>
          <w:tab w:val="left" w:pos="1985"/>
        </w:tabs>
        <w:ind w:left="1985" w:hanging="1701"/>
        <w:rPr>
          <w:bCs/>
          <w:lang w:val="en-GB"/>
        </w:rPr>
      </w:pPr>
      <w:r w:rsidRPr="00BE151C">
        <w:rPr>
          <w:rStyle w:val="Strong"/>
        </w:rPr>
        <w:t>Model Rules:</w:t>
      </w:r>
      <w:r w:rsidR="005B0CD9">
        <w:rPr>
          <w:rStyle w:val="Strong"/>
        </w:rPr>
        <w:tab/>
      </w:r>
      <w:r w:rsidR="005B0CD9" w:rsidRPr="005B0CD9">
        <w:rPr>
          <w:rStyle w:val="Strong"/>
          <w:b w:val="0"/>
          <w:bCs w:val="0"/>
        </w:rPr>
        <w:t>A</w:t>
      </w:r>
      <w:r w:rsidRPr="00BE151C">
        <w:rPr>
          <w:bCs/>
          <w:lang w:val="en-GB"/>
        </w:rPr>
        <w:t xml:space="preserve"> </w:t>
      </w:r>
      <w:r w:rsidR="00552B39" w:rsidRPr="00BE151C">
        <w:rPr>
          <w:bCs/>
          <w:lang w:val="en-GB"/>
        </w:rPr>
        <w:t>10</w:t>
      </w:r>
      <w:r w:rsidRPr="00BE151C">
        <w:rPr>
          <w:bCs/>
          <w:lang w:val="en-GB"/>
        </w:rPr>
        <w:t xml:space="preserve">-chapter document setting out </w:t>
      </w:r>
      <w:r w:rsidR="00B60E1A" w:rsidRPr="00BE151C">
        <w:rPr>
          <w:bCs/>
          <w:lang w:val="en-GB"/>
        </w:rPr>
        <w:t>model legislation</w:t>
      </w:r>
      <w:r w:rsidRPr="00BE151C">
        <w:rPr>
          <w:bCs/>
          <w:lang w:val="en-GB"/>
        </w:rPr>
        <w:t xml:space="preserve"> for governments wishing to enact the GloBE </w:t>
      </w:r>
      <w:r w:rsidR="00501B6A" w:rsidRPr="00BE151C">
        <w:rPr>
          <w:bCs/>
          <w:lang w:val="en-GB"/>
        </w:rPr>
        <w:t>r</w:t>
      </w:r>
      <w:r w:rsidRPr="00BE151C">
        <w:rPr>
          <w:bCs/>
          <w:lang w:val="en-GB"/>
        </w:rPr>
        <w:t>ules domestic</w:t>
      </w:r>
      <w:r w:rsidR="00B60E1A" w:rsidRPr="00BE151C">
        <w:rPr>
          <w:bCs/>
          <w:lang w:val="en-GB"/>
        </w:rPr>
        <w:t>ally</w:t>
      </w:r>
      <w:r w:rsidR="0018773F" w:rsidRPr="00BE151C">
        <w:rPr>
          <w:bCs/>
          <w:lang w:val="en-GB"/>
        </w:rPr>
        <w:t>.</w:t>
      </w:r>
    </w:p>
    <w:p w14:paraId="6385C2BE" w14:textId="73CD7C10" w:rsidR="00323C9F" w:rsidRDefault="00DB089A" w:rsidP="005B0CD9">
      <w:pPr>
        <w:tabs>
          <w:tab w:val="left" w:pos="1985"/>
        </w:tabs>
        <w:ind w:left="1985" w:hanging="1701"/>
        <w:rPr>
          <w:bCs/>
          <w:lang w:val="en-GB"/>
        </w:rPr>
      </w:pPr>
      <w:bookmarkStart w:id="6" w:name="_Toc14174911"/>
      <w:bookmarkEnd w:id="3"/>
      <w:r w:rsidRPr="00BE151C">
        <w:rPr>
          <w:rStyle w:val="Strong"/>
        </w:rPr>
        <w:t xml:space="preserve">Pillar </w:t>
      </w:r>
      <w:r w:rsidR="006A729C" w:rsidRPr="00BE151C">
        <w:rPr>
          <w:rStyle w:val="Strong"/>
        </w:rPr>
        <w:t>Two</w:t>
      </w:r>
      <w:r w:rsidRPr="00BE151C">
        <w:rPr>
          <w:rStyle w:val="Strong"/>
        </w:rPr>
        <w:t>:</w:t>
      </w:r>
      <w:r w:rsidR="005B0CD9">
        <w:rPr>
          <w:bCs/>
          <w:lang w:val="en-GB"/>
        </w:rPr>
        <w:tab/>
        <w:t>O</w:t>
      </w:r>
      <w:r w:rsidR="002B4145" w:rsidRPr="00BE151C">
        <w:rPr>
          <w:bCs/>
          <w:lang w:val="en-GB"/>
        </w:rPr>
        <w:t xml:space="preserve">ne half of a </w:t>
      </w:r>
      <w:r w:rsidR="00552B39" w:rsidRPr="00BE151C">
        <w:rPr>
          <w:bCs/>
          <w:lang w:val="en-GB"/>
        </w:rPr>
        <w:t>2</w:t>
      </w:r>
      <w:r w:rsidR="002B4145" w:rsidRPr="00BE151C">
        <w:rPr>
          <w:bCs/>
          <w:lang w:val="en-GB"/>
        </w:rPr>
        <w:t>-pillar solution formulated by the OECD</w:t>
      </w:r>
      <w:r w:rsidR="00AC2DE2" w:rsidRPr="00BE151C">
        <w:rPr>
          <w:bCs/>
          <w:lang w:val="en-GB"/>
        </w:rPr>
        <w:t>-sponsored</w:t>
      </w:r>
      <w:r w:rsidR="002B4145" w:rsidRPr="00BE151C">
        <w:rPr>
          <w:bCs/>
          <w:lang w:val="en-GB"/>
        </w:rPr>
        <w:t xml:space="preserve"> Inclusive Framework</w:t>
      </w:r>
      <w:r w:rsidR="00AC2DE2" w:rsidRPr="00BE151C">
        <w:rPr>
          <w:bCs/>
          <w:lang w:val="en-GB"/>
        </w:rPr>
        <w:t xml:space="preserve"> to address </w:t>
      </w:r>
      <w:r w:rsidR="000A5298" w:rsidRPr="00BE151C">
        <w:rPr>
          <w:bCs/>
          <w:lang w:val="en-GB"/>
        </w:rPr>
        <w:t xml:space="preserve">tax challenges arising from the digitalisation of the economy. Pillar </w:t>
      </w:r>
      <w:r w:rsidR="006A729C" w:rsidRPr="00BE151C">
        <w:rPr>
          <w:bCs/>
          <w:lang w:val="en-GB"/>
        </w:rPr>
        <w:t>Two</w:t>
      </w:r>
      <w:r w:rsidR="008400E9" w:rsidRPr="00BE151C">
        <w:rPr>
          <w:bCs/>
          <w:lang w:val="en-GB"/>
        </w:rPr>
        <w:t xml:space="preserve"> is</w:t>
      </w:r>
      <w:r w:rsidR="000A5298" w:rsidRPr="00BE151C">
        <w:rPr>
          <w:bCs/>
          <w:lang w:val="en-GB"/>
        </w:rPr>
        <w:t xml:space="preserve"> comprise</w:t>
      </w:r>
      <w:r w:rsidR="008400E9" w:rsidRPr="00BE151C">
        <w:rPr>
          <w:bCs/>
          <w:lang w:val="en-GB"/>
        </w:rPr>
        <w:t>d</w:t>
      </w:r>
      <w:r w:rsidR="000A5298" w:rsidRPr="00BE151C">
        <w:rPr>
          <w:bCs/>
          <w:lang w:val="en-GB"/>
        </w:rPr>
        <w:t xml:space="preserve"> </w:t>
      </w:r>
      <w:r w:rsidR="008400E9" w:rsidRPr="00BE151C">
        <w:rPr>
          <w:bCs/>
          <w:lang w:val="en-GB"/>
        </w:rPr>
        <w:t xml:space="preserve">of </w:t>
      </w:r>
      <w:r w:rsidR="00DA7C9C" w:rsidRPr="00BE151C">
        <w:rPr>
          <w:bCs/>
          <w:lang w:val="en-GB"/>
        </w:rPr>
        <w:t xml:space="preserve">the GloBE </w:t>
      </w:r>
      <w:r w:rsidR="00501B6A" w:rsidRPr="00BE151C">
        <w:rPr>
          <w:bCs/>
          <w:lang w:val="en-GB"/>
        </w:rPr>
        <w:t>r</w:t>
      </w:r>
      <w:r w:rsidR="00DA7C9C" w:rsidRPr="00BE151C">
        <w:rPr>
          <w:bCs/>
          <w:lang w:val="en-GB"/>
        </w:rPr>
        <w:t xml:space="preserve">ules </w:t>
      </w:r>
      <w:r w:rsidR="003830EC" w:rsidRPr="00BE151C">
        <w:rPr>
          <w:bCs/>
          <w:lang w:val="en-GB"/>
        </w:rPr>
        <w:t xml:space="preserve">(see above) </w:t>
      </w:r>
      <w:r w:rsidR="00DA7C9C" w:rsidRPr="00BE151C">
        <w:rPr>
          <w:bCs/>
          <w:lang w:val="en-GB"/>
        </w:rPr>
        <w:t>and</w:t>
      </w:r>
      <w:r w:rsidR="008400E9" w:rsidRPr="00BE151C">
        <w:rPr>
          <w:bCs/>
          <w:lang w:val="en-GB"/>
        </w:rPr>
        <w:t xml:space="preserve"> the </w:t>
      </w:r>
      <w:r w:rsidR="00771006" w:rsidRPr="00BE151C">
        <w:rPr>
          <w:bCs/>
          <w:lang w:val="en-GB"/>
        </w:rPr>
        <w:t>Subject</w:t>
      </w:r>
      <w:r w:rsidR="00E32035" w:rsidRPr="00BE151C">
        <w:rPr>
          <w:bCs/>
          <w:lang w:val="en-GB"/>
        </w:rPr>
        <w:t xml:space="preserve"> </w:t>
      </w:r>
      <w:r w:rsidR="00771006" w:rsidRPr="00BE151C">
        <w:rPr>
          <w:bCs/>
          <w:lang w:val="en-GB"/>
        </w:rPr>
        <w:t>to</w:t>
      </w:r>
      <w:r w:rsidR="00E32035" w:rsidRPr="00BE151C">
        <w:rPr>
          <w:bCs/>
          <w:lang w:val="en-GB"/>
        </w:rPr>
        <w:t xml:space="preserve"> </w:t>
      </w:r>
      <w:r w:rsidR="00771006" w:rsidRPr="00BE151C">
        <w:rPr>
          <w:bCs/>
          <w:lang w:val="en-GB"/>
        </w:rPr>
        <w:t>Tax Rule</w:t>
      </w:r>
      <w:r w:rsidR="003830EC" w:rsidRPr="00BE151C">
        <w:rPr>
          <w:bCs/>
          <w:lang w:val="en-GB"/>
        </w:rPr>
        <w:t>,</w:t>
      </w:r>
      <w:r w:rsidR="00DA7C9C" w:rsidRPr="00BE151C">
        <w:rPr>
          <w:bCs/>
          <w:lang w:val="en-GB"/>
        </w:rPr>
        <w:t xml:space="preserve"> </w:t>
      </w:r>
      <w:r w:rsidR="00E32035" w:rsidRPr="00BE151C">
        <w:rPr>
          <w:bCs/>
          <w:lang w:val="en-GB"/>
        </w:rPr>
        <w:t>a treaty-based rule designed to allow jurisdictions to impose a top-up withholding tax on certain types of outbound payments that are made between related parties and are taxed at a nominal rate of less than 9%.</w:t>
      </w:r>
    </w:p>
    <w:p w14:paraId="6FE77C0A" w14:textId="77777777" w:rsidR="00C5161A" w:rsidRDefault="00C5161A" w:rsidP="005B0CD9">
      <w:pPr>
        <w:tabs>
          <w:tab w:val="left" w:pos="1985"/>
        </w:tabs>
        <w:ind w:left="1985" w:hanging="1701"/>
        <w:rPr>
          <w:bCs/>
          <w:lang w:val="en-GB"/>
        </w:rPr>
      </w:pPr>
    </w:p>
    <w:p w14:paraId="2421BBAA" w14:textId="3D292E71" w:rsidR="00C5161A" w:rsidRPr="00C5161A" w:rsidRDefault="00C5161A" w:rsidP="00C5161A">
      <w:pPr>
        <w:sectPr w:rsidR="00C5161A" w:rsidRPr="00C5161A" w:rsidSect="00735838">
          <w:type w:val="oddPage"/>
          <w:pgSz w:w="11906" w:h="16838" w:code="9"/>
          <w:pgMar w:top="1304" w:right="1559" w:bottom="1134" w:left="1559" w:header="720" w:footer="567" w:gutter="0"/>
          <w:cols w:space="720"/>
          <w:docGrid w:linePitch="326"/>
        </w:sectPr>
      </w:pPr>
    </w:p>
    <w:p w14:paraId="01274E60" w14:textId="42C82598" w:rsidR="00323C9F" w:rsidRPr="000C0DB5" w:rsidRDefault="00323C9F" w:rsidP="000C0DB5">
      <w:pPr>
        <w:pStyle w:val="Heading1-Part"/>
      </w:pPr>
      <w:bookmarkStart w:id="7" w:name="_Toc101095557"/>
      <w:r w:rsidRPr="000C0DB5">
        <w:lastRenderedPageBreak/>
        <w:t>PART I: General</w:t>
      </w:r>
      <w:bookmarkEnd w:id="7"/>
    </w:p>
    <w:p w14:paraId="49C24708" w14:textId="77777777" w:rsidR="00C5161A" w:rsidRDefault="00C5161A" w:rsidP="007A38D7"/>
    <w:p w14:paraId="5BA5EFA3" w14:textId="07E726A5" w:rsidR="00C5161A" w:rsidRDefault="00C5161A" w:rsidP="007A38D7">
      <w:pPr>
        <w:sectPr w:rsidR="00C5161A" w:rsidSect="00C5161A">
          <w:footerReference w:type="default" r:id="rId15"/>
          <w:type w:val="oddPage"/>
          <w:pgSz w:w="11906" w:h="16838" w:code="9"/>
          <w:pgMar w:top="1304" w:right="1559" w:bottom="1134" w:left="1559" w:header="720" w:footer="567" w:gutter="0"/>
          <w:cols w:space="720"/>
          <w:docGrid w:linePitch="326"/>
        </w:sectPr>
      </w:pPr>
    </w:p>
    <w:p w14:paraId="6DCF0C30" w14:textId="701C2840" w:rsidR="003959E1" w:rsidRDefault="00C71BDB" w:rsidP="001F1F60">
      <w:pPr>
        <w:pStyle w:val="Heading1"/>
      </w:pPr>
      <w:r>
        <w:lastRenderedPageBreak/>
        <w:br/>
      </w:r>
      <w:r w:rsidR="008C7DAE">
        <w:br/>
      </w:r>
      <w:bookmarkStart w:id="8" w:name="_Toc101095558"/>
      <w:bookmarkEnd w:id="6"/>
      <w:r w:rsidR="0038522B">
        <w:t>Background</w:t>
      </w:r>
      <w:bookmarkEnd w:id="8"/>
      <w:r w:rsidR="0038522B">
        <w:t xml:space="preserve"> </w:t>
      </w:r>
    </w:p>
    <w:p w14:paraId="5DF4F189" w14:textId="67C55142" w:rsidR="00221919" w:rsidRDefault="5A5BB4EB" w:rsidP="00074CCC">
      <w:pPr>
        <w:pStyle w:val="NumberedParagraph"/>
      </w:pPr>
      <w:r>
        <w:t>This document provides the basis for consultation on</w:t>
      </w:r>
      <w:r w:rsidR="00CC1A53">
        <w:t xml:space="preserve"> whether</w:t>
      </w:r>
      <w:r>
        <w:t xml:space="preserve"> New Zealand </w:t>
      </w:r>
      <w:r w:rsidR="00CC1A53">
        <w:t>should adopt</w:t>
      </w:r>
      <w:r>
        <w:t xml:space="preserve"> GloBE tax rules</w:t>
      </w:r>
      <w:r w:rsidR="00CC1A53">
        <w:t xml:space="preserve"> and </w:t>
      </w:r>
      <w:r w:rsidR="00496600">
        <w:t xml:space="preserve">how it should implement those </w:t>
      </w:r>
      <w:proofErr w:type="gramStart"/>
      <w:r w:rsidR="00496600">
        <w:t>rules, if</w:t>
      </w:r>
      <w:proofErr w:type="gramEnd"/>
      <w:r w:rsidR="00496600">
        <w:t xml:space="preserve"> it does decide to adopt them</w:t>
      </w:r>
      <w:r>
        <w:t>. The</w:t>
      </w:r>
      <w:r w:rsidR="008E0080">
        <w:t xml:space="preserve"> rules</w:t>
      </w:r>
      <w:r>
        <w:t xml:space="preserve"> are the main component of Pillar </w:t>
      </w:r>
      <w:r w:rsidR="55059106">
        <w:t>Two</w:t>
      </w:r>
      <w:r>
        <w:t xml:space="preserve"> of the G20/OECD 2 Pillar solution to reform the international income tax framework in response to the challenges posed by the increasing globalisation and digitalisation of the economy</w:t>
      </w:r>
      <w:r w:rsidR="36F54957">
        <w:t>.</w:t>
      </w:r>
    </w:p>
    <w:p w14:paraId="3BB4D1AB" w14:textId="2C68CC43" w:rsidR="000C796A" w:rsidRDefault="5A5BB4EB" w:rsidP="00074CCC">
      <w:pPr>
        <w:pStyle w:val="NumberedParagraph"/>
      </w:pPr>
      <w:r>
        <w:t>In October 2021, this 2 Pillar solution was endorsed by over 130 countries in the OECD-sponsored Inclusive Framework, including New Zealand (this endorsement is referred to as the October Statement)</w:t>
      </w:r>
      <w:r w:rsidR="008D2B85">
        <w:t xml:space="preserve">. </w:t>
      </w:r>
      <w:r w:rsidR="00581053">
        <w:t xml:space="preserve">This endorsement did not bind any country to adopt </w:t>
      </w:r>
      <w:r w:rsidR="00763C5A">
        <w:t xml:space="preserve">either </w:t>
      </w:r>
      <w:r w:rsidR="00581053">
        <w:t>Pillar</w:t>
      </w:r>
      <w:r w:rsidR="008D2B85">
        <w:t xml:space="preserve">. </w:t>
      </w:r>
      <w:r w:rsidR="00581053">
        <w:t>T</w:t>
      </w:r>
      <w:r w:rsidR="00221919">
        <w:t>he Government has not decided whether to adopt either Pillar One or Pillar Two</w:t>
      </w:r>
      <w:r w:rsidR="007A58C3">
        <w:t xml:space="preserve"> and </w:t>
      </w:r>
      <w:r w:rsidR="00EA32A4">
        <w:t xml:space="preserve">has </w:t>
      </w:r>
      <w:r w:rsidR="00240D76">
        <w:t>n</w:t>
      </w:r>
      <w:r w:rsidR="00C2289E">
        <w:t>ot</w:t>
      </w:r>
      <w:r w:rsidR="00EA32A4">
        <w:t xml:space="preserve"> ruled out adopting</w:t>
      </w:r>
      <w:r w:rsidR="007A58C3">
        <w:t xml:space="preserve"> </w:t>
      </w:r>
      <w:r w:rsidR="008E0080">
        <w:t>a</w:t>
      </w:r>
      <w:r w:rsidR="007A58C3">
        <w:t xml:space="preserve"> digital services tax</w:t>
      </w:r>
      <w:r w:rsidR="00240D76">
        <w:t>.</w:t>
      </w:r>
    </w:p>
    <w:p w14:paraId="1ED47EEF" w14:textId="17CB4E71" w:rsidR="00B46824" w:rsidRDefault="00B46824" w:rsidP="00074CCC">
      <w:pPr>
        <w:pStyle w:val="NumberedParagraph"/>
      </w:pPr>
      <w:r>
        <w:t xml:space="preserve">This is an officials issues paper, rather than a </w:t>
      </w:r>
      <w:proofErr w:type="gramStart"/>
      <w:r w:rsidR="00311B36">
        <w:t>Government</w:t>
      </w:r>
      <w:proofErr w:type="gramEnd"/>
      <w:r>
        <w:t xml:space="preserve"> discussion document</w:t>
      </w:r>
      <w:r w:rsidR="008D2B85">
        <w:t xml:space="preserve">. </w:t>
      </w:r>
      <w:r w:rsidR="00D36D38">
        <w:t>T</w:t>
      </w:r>
      <w:r w:rsidR="00333D7D">
        <w:t xml:space="preserve">he views expressed in </w:t>
      </w:r>
      <w:r w:rsidR="00D36D38">
        <w:t>this</w:t>
      </w:r>
      <w:r w:rsidR="00333D7D">
        <w:t xml:space="preserve"> document are those of officials, and not necessarily </w:t>
      </w:r>
      <w:r w:rsidR="00004781">
        <w:t xml:space="preserve">those </w:t>
      </w:r>
      <w:r w:rsidR="00333D7D">
        <w:t xml:space="preserve">of the Government. </w:t>
      </w:r>
      <w:r w:rsidR="00613348">
        <w:t xml:space="preserve">Officials will </w:t>
      </w:r>
      <w:r w:rsidR="004C39E0">
        <w:t>report</w:t>
      </w:r>
      <w:r w:rsidR="00613348">
        <w:t xml:space="preserve"> on submissions to the </w:t>
      </w:r>
      <w:proofErr w:type="gramStart"/>
      <w:r w:rsidR="00613348">
        <w:t>Government, and</w:t>
      </w:r>
      <w:proofErr w:type="gramEnd"/>
      <w:r w:rsidR="00613348">
        <w:t xml:space="preserve"> will consider </w:t>
      </w:r>
      <w:r w:rsidR="00D36D38">
        <w:t>the submissions</w:t>
      </w:r>
      <w:r w:rsidR="00613348">
        <w:t xml:space="preserve"> when formulating their </w:t>
      </w:r>
      <w:r w:rsidR="004C39E0">
        <w:t>recommendations</w:t>
      </w:r>
      <w:r w:rsidR="008D2B85">
        <w:t>.</w:t>
      </w:r>
    </w:p>
    <w:p w14:paraId="7BF85A40" w14:textId="7E13BE5F" w:rsidR="00D632C7" w:rsidRDefault="00C1029D" w:rsidP="00F558DB">
      <w:pPr>
        <w:pStyle w:val="Heading2"/>
      </w:pPr>
      <w:bookmarkStart w:id="9" w:name="_Toc101095559"/>
      <w:r w:rsidRPr="000C796A">
        <w:t xml:space="preserve">What are the GloBE </w:t>
      </w:r>
      <w:r w:rsidR="00E64B56">
        <w:t>r</w:t>
      </w:r>
      <w:r w:rsidRPr="000C796A">
        <w:t>ules?</w:t>
      </w:r>
      <w:bookmarkEnd w:id="9"/>
    </w:p>
    <w:p w14:paraId="25015C7D" w14:textId="6D8D0A22" w:rsidR="00E3760A" w:rsidRDefault="000C796A" w:rsidP="00F558DB">
      <w:pPr>
        <w:pStyle w:val="NumberedParagraph"/>
      </w:pPr>
      <w:r w:rsidRPr="000C796A">
        <w:t>The purpose of the GloBE rules is to ensure that in-scope multinational groups (MNEs) pay at least a 15% tax on their income in each country where that income is reported</w:t>
      </w:r>
      <w:r w:rsidR="00E22B1E">
        <w:t xml:space="preserve"> for financial reporting purposes</w:t>
      </w:r>
      <w:r w:rsidRPr="000C796A">
        <w:t xml:space="preserve">. </w:t>
      </w:r>
      <w:r w:rsidR="00E73C3D">
        <w:t xml:space="preserve">The rules </w:t>
      </w:r>
      <w:r w:rsidR="00BC651E">
        <w:t xml:space="preserve">operate not by </w:t>
      </w:r>
      <w:r w:rsidR="00213CCF">
        <w:t>way of a</w:t>
      </w:r>
      <w:r w:rsidR="00BC651E">
        <w:t xml:space="preserve"> multilateral instrument but by incorporation by countries in their domestic law</w:t>
      </w:r>
      <w:r w:rsidR="008D2B85">
        <w:t xml:space="preserve">. </w:t>
      </w:r>
      <w:r w:rsidR="00BC651E">
        <w:t>They</w:t>
      </w:r>
      <w:r w:rsidR="00E73C3D">
        <w:t xml:space="preserve"> are intended to apply to every in-scope MNE in the world, no matter where it has its headquarters, </w:t>
      </w:r>
      <w:proofErr w:type="gramStart"/>
      <w:r w:rsidR="00E73C3D">
        <w:t>operations</w:t>
      </w:r>
      <w:proofErr w:type="gramEnd"/>
      <w:r w:rsidR="00E73C3D">
        <w:t xml:space="preserve"> or sales</w:t>
      </w:r>
      <w:r w:rsidR="008D2B85">
        <w:t xml:space="preserve">. </w:t>
      </w:r>
      <w:r w:rsidR="003B7386">
        <w:t xml:space="preserve">The design of the rules means this intention can be achieved even if </w:t>
      </w:r>
      <w:r w:rsidR="00BC651E">
        <w:t xml:space="preserve">many or indeed most </w:t>
      </w:r>
      <w:r w:rsidR="00C910A7">
        <w:t>countries</w:t>
      </w:r>
      <w:r w:rsidR="00BC651E">
        <w:t xml:space="preserve"> do not adopt the rules</w:t>
      </w:r>
      <w:r w:rsidR="008D2B85">
        <w:t xml:space="preserve">. </w:t>
      </w:r>
      <w:r w:rsidR="0094246A">
        <w:t xml:space="preserve">But </w:t>
      </w:r>
      <w:r w:rsidR="008D68B4">
        <w:t>the design does require</w:t>
      </w:r>
      <w:r w:rsidR="001D0879">
        <w:t xml:space="preserve"> implementation by a critical mass of countries</w:t>
      </w:r>
      <w:r w:rsidR="008D2B85">
        <w:t>.</w:t>
      </w:r>
    </w:p>
    <w:p w14:paraId="710474E4" w14:textId="567B4CD4" w:rsidR="000C796A" w:rsidRPr="0096286F" w:rsidRDefault="00E3760A" w:rsidP="00F558DB">
      <w:pPr>
        <w:pStyle w:val="NumberedParagraph"/>
      </w:pPr>
      <w:r>
        <w:t xml:space="preserve">An important </w:t>
      </w:r>
      <w:r w:rsidR="000C796A" w:rsidRPr="000C796A">
        <w:t xml:space="preserve">aspect of the rules is that they only apply to income in excess of the substance-based income exclusion (“excess income”). The exclusion is </w:t>
      </w:r>
      <w:r w:rsidR="000C796A" w:rsidRPr="0096286F">
        <w:t xml:space="preserve">calculated under a formula which gives a </w:t>
      </w:r>
      <w:r w:rsidR="00D23774" w:rsidRPr="0096286F">
        <w:t>percentage</w:t>
      </w:r>
      <w:r w:rsidR="000C796A" w:rsidRPr="0096286F">
        <w:t xml:space="preserve"> return on </w:t>
      </w:r>
      <w:r w:rsidR="00491D28" w:rsidRPr="0096286F">
        <w:t xml:space="preserve">the value of </w:t>
      </w:r>
      <w:r w:rsidR="000C796A" w:rsidRPr="0096286F">
        <w:t>tangible assets and payroll expense in the country. The exclusion is intended to focus the rules on the taxation of more mobile forms of income, such as interest or the return to intellectual property.</w:t>
      </w:r>
    </w:p>
    <w:p w14:paraId="0D0C1F36" w14:textId="60206B46" w:rsidR="000C796A" w:rsidRPr="0096286F" w:rsidRDefault="00C00836" w:rsidP="00C00836">
      <w:pPr>
        <w:pStyle w:val="NumberedParagraph"/>
      </w:pPr>
      <w:r w:rsidRPr="0096286F">
        <w:t xml:space="preserve">An </w:t>
      </w:r>
      <w:r w:rsidR="000C796A" w:rsidRPr="0096286F">
        <w:t>MNE is in scope if its annual turn-over exceeds €750</w:t>
      </w:r>
      <w:r w:rsidR="00854E92">
        <w:t xml:space="preserve"> million</w:t>
      </w:r>
      <w:r w:rsidR="000C796A" w:rsidRPr="0096286F">
        <w:t xml:space="preserve"> pa in two of the last </w:t>
      </w:r>
      <w:r w:rsidR="00854E92">
        <w:t>four</w:t>
      </w:r>
      <w:r w:rsidR="0031785C" w:rsidRPr="0096286F">
        <w:t xml:space="preserve"> </w:t>
      </w:r>
      <w:r w:rsidR="000C796A" w:rsidRPr="0096286F">
        <w:t>years</w:t>
      </w:r>
      <w:r w:rsidR="00D76647" w:rsidRPr="0096286F">
        <w:t xml:space="preserve">. </w:t>
      </w:r>
      <w:r w:rsidR="000C796A" w:rsidRPr="0096286F">
        <w:t xml:space="preserve">This scope means the rules are </w:t>
      </w:r>
      <w:r w:rsidR="002715D3">
        <w:t>estimated</w:t>
      </w:r>
      <w:r w:rsidR="000C796A" w:rsidRPr="0096286F">
        <w:t xml:space="preserve"> initially to apply to approximately </w:t>
      </w:r>
      <w:r w:rsidR="00400BAD">
        <w:t xml:space="preserve">1,500 MNE groups worldwide, of which </w:t>
      </w:r>
      <w:r w:rsidR="000C796A" w:rsidRPr="0096286F">
        <w:t>20</w:t>
      </w:r>
      <w:r w:rsidR="00854E92" w:rsidRPr="00854E92">
        <w:t>–</w:t>
      </w:r>
      <w:r w:rsidR="000C796A" w:rsidRPr="0096286F">
        <w:t>25</w:t>
      </w:r>
      <w:r w:rsidR="00945F69" w:rsidRPr="0096286F">
        <w:t xml:space="preserve"> </w:t>
      </w:r>
      <w:proofErr w:type="gramStart"/>
      <w:r w:rsidR="002715D3">
        <w:t>are</w:t>
      </w:r>
      <w:proofErr w:type="gramEnd"/>
      <w:r w:rsidR="002715D3">
        <w:t xml:space="preserve"> based in </w:t>
      </w:r>
      <w:r w:rsidR="000C796A" w:rsidRPr="0096286F">
        <w:t>New</w:t>
      </w:r>
      <w:r w:rsidR="000C796A" w:rsidRPr="001E3AF7">
        <w:t xml:space="preserve"> Zealand.</w:t>
      </w:r>
    </w:p>
    <w:p w14:paraId="6EBDE083" w14:textId="56CAA652" w:rsidR="00CA161A" w:rsidRDefault="00CA7F4E" w:rsidP="00C00836">
      <w:pPr>
        <w:pStyle w:val="NumberedParagraph"/>
      </w:pPr>
      <w:r>
        <w:t xml:space="preserve">National sovereignty and </w:t>
      </w:r>
      <w:r w:rsidR="00557951">
        <w:t xml:space="preserve">competition for capital means it is not </w:t>
      </w:r>
      <w:r w:rsidR="00E30949">
        <w:t xml:space="preserve">realistic </w:t>
      </w:r>
      <w:r w:rsidR="00557951">
        <w:t>to achieve the objective of the GloBE rules by getting all countries in the world to simply impose the required level of tax</w:t>
      </w:r>
      <w:r w:rsidR="007F0272">
        <w:t xml:space="preserve"> on </w:t>
      </w:r>
      <w:r w:rsidR="00D56977">
        <w:t>entities over which they have residence or source taxing rights</w:t>
      </w:r>
      <w:r w:rsidR="008D2B85">
        <w:t xml:space="preserve">. </w:t>
      </w:r>
      <w:r w:rsidR="004B060A">
        <w:t xml:space="preserve">The rules have to work on the basis that </w:t>
      </w:r>
      <w:r w:rsidR="00E4416C">
        <w:t>they will not be implemented by all countries</w:t>
      </w:r>
      <w:r w:rsidR="008D2B85">
        <w:t>.</w:t>
      </w:r>
    </w:p>
    <w:p w14:paraId="5C078ACB" w14:textId="3F618DB2" w:rsidR="000C796A" w:rsidRPr="000C796A" w:rsidRDefault="000C796A" w:rsidP="00444418">
      <w:pPr>
        <w:pStyle w:val="NumberedParagraph"/>
        <w:keepNext/>
      </w:pPr>
      <w:r w:rsidRPr="000C796A">
        <w:lastRenderedPageBreak/>
        <w:t xml:space="preserve">There are two GloBE rules, each of which </w:t>
      </w:r>
      <w:r w:rsidR="00DD3B16">
        <w:t xml:space="preserve">would </w:t>
      </w:r>
      <w:r w:rsidRPr="000C796A">
        <w:t>require implementation into domestic law:</w:t>
      </w:r>
    </w:p>
    <w:p w14:paraId="28646976" w14:textId="6CC61D74" w:rsidR="000C796A" w:rsidRPr="000C796A" w:rsidRDefault="00A41CAD" w:rsidP="000D668D">
      <w:pPr>
        <w:pStyle w:val="NumberedParagraph-BulletL1"/>
      </w:pPr>
      <w:r>
        <w:t>A</w:t>
      </w:r>
      <w:r w:rsidR="000C796A" w:rsidRPr="000C796A">
        <w:t xml:space="preserve">n income inclusion rule (IIR). This rule imposes a top-up tax on the top company in an MNE (or in some cases lower tier holding companies) </w:t>
      </w:r>
      <w:r w:rsidR="002C10C1">
        <w:t>so that</w:t>
      </w:r>
      <w:r w:rsidR="000C796A" w:rsidRPr="000C796A">
        <w:t xml:space="preserve"> at least 15% tax </w:t>
      </w:r>
      <w:r w:rsidR="00500C6A">
        <w:t>is paid</w:t>
      </w:r>
      <w:r w:rsidR="000C796A" w:rsidRPr="000C796A">
        <w:t xml:space="preserve"> on </w:t>
      </w:r>
      <w:r w:rsidR="00500C6A">
        <w:t>the company’s</w:t>
      </w:r>
      <w:r w:rsidR="000C796A" w:rsidRPr="000C796A">
        <w:t xml:space="preserve"> share of the excess income of its directly and indirectly owned subsidiaries and branches in each country where that income is reported. The IIR is similar to a CFC rule in that it imposes tax on a company in relation to the profits of its foreign subsidiaries (and branches), though there are also important differences</w:t>
      </w:r>
      <w:r w:rsidR="00C028F0">
        <w:t xml:space="preserve">. </w:t>
      </w:r>
      <w:r w:rsidR="000C796A" w:rsidRPr="000C796A">
        <w:t xml:space="preserve">Countries </w:t>
      </w:r>
      <w:r w:rsidR="0065078B">
        <w:t xml:space="preserve">that wish to adopt Pillar Two </w:t>
      </w:r>
      <w:r w:rsidR="000C796A" w:rsidRPr="000C796A">
        <w:t>are supposed to bring this rule into effect in 2023.</w:t>
      </w:r>
    </w:p>
    <w:p w14:paraId="2F2E93EF" w14:textId="7D06A218" w:rsidR="000C796A" w:rsidRDefault="00A41CAD" w:rsidP="000D668D">
      <w:pPr>
        <w:pStyle w:val="NumberedParagraph-BulletL1"/>
      </w:pPr>
      <w:r>
        <w:t>A</w:t>
      </w:r>
      <w:r w:rsidR="000C796A" w:rsidRPr="000C796A">
        <w:t xml:space="preserve">n undertaxed profits rule (UTPR), designed as a back-up to the IIR, intended to apply to the low tax excess income of an MNE </w:t>
      </w:r>
      <w:r w:rsidR="00F57B7D">
        <w:t xml:space="preserve">group </w:t>
      </w:r>
      <w:r w:rsidR="00CD6073">
        <w:t>member</w:t>
      </w:r>
      <w:r w:rsidR="000C796A" w:rsidRPr="000C796A">
        <w:t xml:space="preserve"> in a country when that income is not subject to an IIR (because no direct or indirect group company shareholder </w:t>
      </w:r>
      <w:r w:rsidR="00F57B7D">
        <w:t xml:space="preserve">of that group member </w:t>
      </w:r>
      <w:r w:rsidR="000C796A" w:rsidRPr="000C796A">
        <w:t>is subject to an IIR with respect to the income). Like the IIR, this rule would impose sufficient additional tax on the group to increase the tax rate on that income to 15%, but the tax would be imposed on all group members resident in countries with a UTPR, in proportion to their substance in each country. This rule is supposed to be effective in 2024</w:t>
      </w:r>
      <w:r w:rsidR="0065078B">
        <w:t xml:space="preserve"> for countries that wish to adopt Pillar Two</w:t>
      </w:r>
      <w:r w:rsidR="000C796A" w:rsidRPr="000C796A">
        <w:t>.</w:t>
      </w:r>
    </w:p>
    <w:p w14:paraId="4C92F1B0" w14:textId="375B8E40" w:rsidR="007B128E" w:rsidRDefault="00A119AC" w:rsidP="005E0F11">
      <w:pPr>
        <w:pStyle w:val="NumberedParagraph"/>
      </w:pPr>
      <w:r>
        <w:t xml:space="preserve">A key aspect of the GloBE rules is that they apply on a </w:t>
      </w:r>
      <w:proofErr w:type="gramStart"/>
      <w:r>
        <w:t>jurisdiction</w:t>
      </w:r>
      <w:r w:rsidR="00536F8F">
        <w:t xml:space="preserve"> by jurisdiction</w:t>
      </w:r>
      <w:proofErr w:type="gramEnd"/>
      <w:r w:rsidR="00536F8F">
        <w:t xml:space="preserve"> basis</w:t>
      </w:r>
      <w:r w:rsidR="008D2B85">
        <w:t xml:space="preserve">. </w:t>
      </w:r>
      <w:r w:rsidR="00536F8F">
        <w:t xml:space="preserve">Tax paid in a country where the </w:t>
      </w:r>
      <w:r w:rsidR="007B128E">
        <w:t>rate is above 15% cannot be used to credit the liability for a country where the r</w:t>
      </w:r>
      <w:r w:rsidR="006E57D6">
        <w:t>a</w:t>
      </w:r>
      <w:r w:rsidR="007B128E">
        <w:t>te is below 15%</w:t>
      </w:r>
      <w:r w:rsidR="008D2B85">
        <w:t>.</w:t>
      </w:r>
    </w:p>
    <w:p w14:paraId="4C264699" w14:textId="56C034C5" w:rsidR="000C796A" w:rsidRDefault="009841EE" w:rsidP="005E0F11">
      <w:pPr>
        <w:pStyle w:val="NumberedParagraph"/>
      </w:pPr>
      <w:r>
        <w:t>The template for b</w:t>
      </w:r>
      <w:r w:rsidR="005E0F11">
        <w:t xml:space="preserve">oth </w:t>
      </w:r>
      <w:r w:rsidR="000C796A" w:rsidRPr="000C796A">
        <w:t xml:space="preserve">rules </w:t>
      </w:r>
      <w:r>
        <w:t>is</w:t>
      </w:r>
      <w:r w:rsidR="000C796A" w:rsidRPr="000C796A">
        <w:t xml:space="preserve"> the Model Rules approved by the Inclusive Framework in December 2021.</w:t>
      </w:r>
      <w:r w:rsidR="001C56FA">
        <w:rPr>
          <w:rStyle w:val="FootnoteReference"/>
        </w:rPr>
        <w:footnoteReference w:id="2"/>
      </w:r>
      <w:r w:rsidR="000C796A" w:rsidRPr="000C796A">
        <w:t xml:space="preserve"> By approving the </w:t>
      </w:r>
      <w:r w:rsidR="00177293">
        <w:t>Model</w:t>
      </w:r>
      <w:r w:rsidR="000C796A" w:rsidRPr="000C796A">
        <w:t xml:space="preserve"> </w:t>
      </w:r>
      <w:r w:rsidR="00177293">
        <w:t>R</w:t>
      </w:r>
      <w:r w:rsidR="000C796A" w:rsidRPr="000C796A">
        <w:t>ules, Inclusive Framework countries have not agreed to implement the GloBE rules (though many</w:t>
      </w:r>
      <w:r w:rsidR="006632E0">
        <w:t xml:space="preserve"> are expected </w:t>
      </w:r>
      <w:r w:rsidR="00177293">
        <w:t>to</w:t>
      </w:r>
      <w:r w:rsidR="000C796A" w:rsidRPr="000C796A">
        <w:t xml:space="preserve"> do so), but rather have agreed that if they implement them, that will be in accordance with the Model Rules. This is critical to ensuring that the </w:t>
      </w:r>
      <w:r w:rsidR="0074011B">
        <w:t>r</w:t>
      </w:r>
      <w:r w:rsidR="000C796A" w:rsidRPr="000C796A">
        <w:t>ules operate in a co-ordinated way to achieve the desired tax outcomes. The Inclusive Framework has also agreed a Commentary supporting the Model Rules</w:t>
      </w:r>
      <w:r w:rsidR="005D7052">
        <w:t>.</w:t>
      </w:r>
      <w:r w:rsidR="00F018A5">
        <w:rPr>
          <w:rStyle w:val="FootnoteReference"/>
        </w:rPr>
        <w:footnoteReference w:id="3"/>
      </w:r>
      <w:r w:rsidR="000C796A" w:rsidRPr="000C796A">
        <w:t xml:space="preserve"> The OECD plans to undertake further work in 2022 to develop a detailed Implementation Framework to deal with the practical implementation and co-ordination of the </w:t>
      </w:r>
      <w:r w:rsidR="00C31775">
        <w:t xml:space="preserve">GloBE rules enacted by </w:t>
      </w:r>
      <w:r w:rsidR="0016249B">
        <w:t>countries</w:t>
      </w:r>
      <w:r w:rsidR="000C796A" w:rsidRPr="000C796A">
        <w:t>.</w:t>
      </w:r>
      <w:r w:rsidR="00097B48">
        <w:t xml:space="preserve"> </w:t>
      </w:r>
      <w:r w:rsidR="00097B48" w:rsidRPr="00097B48">
        <w:t>The OECD has estimated global revenue gains under Pillar 2 to be USD</w:t>
      </w:r>
      <w:r w:rsidR="00BF18D1">
        <w:t>$</w:t>
      </w:r>
      <w:r w:rsidR="00097B48" w:rsidRPr="00097B48">
        <w:t>130-185 billion, or 6-7.5% of global corporate income tax revenues.</w:t>
      </w:r>
    </w:p>
    <w:p w14:paraId="71AA8B6E" w14:textId="00D2BBF9" w:rsidR="005E0F11" w:rsidRPr="000C796A" w:rsidRDefault="005E0F11" w:rsidP="005E0F11">
      <w:pPr>
        <w:pStyle w:val="Heading2"/>
      </w:pPr>
      <w:bookmarkStart w:id="10" w:name="_Toc101095560"/>
      <w:r>
        <w:t>Aspects of this consultation</w:t>
      </w:r>
      <w:bookmarkEnd w:id="10"/>
    </w:p>
    <w:p w14:paraId="4BAEB9A9" w14:textId="6E22A743" w:rsidR="000C796A" w:rsidRPr="000C796A" w:rsidRDefault="000C796A" w:rsidP="005E0F11">
      <w:pPr>
        <w:pStyle w:val="NumberedParagraph"/>
      </w:pPr>
      <w:r w:rsidRPr="000C796A">
        <w:t xml:space="preserve">While the Model Rules with which each country’s own IIR and UTPR must conform have been agreed, as has </w:t>
      </w:r>
      <w:r w:rsidR="00491FC5">
        <w:t>the</w:t>
      </w:r>
      <w:r w:rsidRPr="000C796A">
        <w:t xml:space="preserve"> accompanying commentary, there is still a degree of uncertainty in relation to the proposal:</w:t>
      </w:r>
    </w:p>
    <w:p w14:paraId="0915549A" w14:textId="02DC9A33" w:rsidR="000C796A" w:rsidRPr="000C796A" w:rsidRDefault="00A41CAD" w:rsidP="005E0F11">
      <w:pPr>
        <w:pStyle w:val="NumberedParagraph-BulletL1"/>
      </w:pPr>
      <w:r>
        <w:t>A</w:t>
      </w:r>
      <w:r w:rsidR="000C796A" w:rsidRPr="000C796A">
        <w:t>reas of detail remain to be agreed, for example the nature of a safe harbour from the rules, and many of the issues that will be required to co-ordinate the application of the rules by different countries</w:t>
      </w:r>
      <w:r w:rsidR="00EF3C92">
        <w:t>.</w:t>
      </w:r>
    </w:p>
    <w:p w14:paraId="125B4102" w14:textId="64145670" w:rsidR="000C796A" w:rsidRPr="000C796A" w:rsidRDefault="00EF3C92" w:rsidP="005E0F11">
      <w:pPr>
        <w:pStyle w:val="NumberedParagraph-BulletL1"/>
      </w:pPr>
      <w:r>
        <w:t>I</w:t>
      </w:r>
      <w:r w:rsidR="000C796A" w:rsidRPr="000C796A">
        <w:t xml:space="preserve">t is not certain how many countries will be able to meet the 2023 and 2024 effective dates, nor how they will do so (for example, on a balance </w:t>
      </w:r>
      <w:r w:rsidR="000C796A" w:rsidRPr="000C796A">
        <w:lastRenderedPageBreak/>
        <w:t>date basis, or applying a hard date for all MNEs regardless of balance date)</w:t>
      </w:r>
      <w:r>
        <w:t>.</w:t>
      </w:r>
    </w:p>
    <w:p w14:paraId="51D9B1E2" w14:textId="0ADED79B" w:rsidR="000C796A" w:rsidRDefault="00EF3C92" w:rsidP="005E0F11">
      <w:pPr>
        <w:pStyle w:val="NumberedParagraph-BulletL1"/>
      </w:pPr>
      <w:r>
        <w:t>T</w:t>
      </w:r>
      <w:r w:rsidR="000C796A" w:rsidRPr="000C796A">
        <w:t xml:space="preserve">here are some issues which have the potential to either defeat or substantially delay the implementation of the GloBE rules, for instance resolving the interaction of Pillar </w:t>
      </w:r>
      <w:r w:rsidR="006A729C">
        <w:t>Two</w:t>
      </w:r>
      <w:r w:rsidR="000C796A" w:rsidRPr="000C796A">
        <w:t xml:space="preserve"> with the US global intangible low-taxed income (GILTI) rules</w:t>
      </w:r>
      <w:r w:rsidR="008D2B85">
        <w:t xml:space="preserve">. </w:t>
      </w:r>
      <w:r w:rsidR="00E17BC8">
        <w:t>The GILTI rules are similar in their intent to the IIR rule, and the US is expected to continue to apply them</w:t>
      </w:r>
      <w:r w:rsidR="00A74757">
        <w:t xml:space="preserve"> rather than adopting an IIR</w:t>
      </w:r>
      <w:r w:rsidR="00415368">
        <w:t>.</w:t>
      </w:r>
    </w:p>
    <w:p w14:paraId="74768886" w14:textId="324FA774" w:rsidR="000C796A" w:rsidRDefault="00A378A4" w:rsidP="00A378A4">
      <w:pPr>
        <w:pStyle w:val="NumberedParagraph"/>
      </w:pPr>
      <w:r>
        <w:t xml:space="preserve">Despite </w:t>
      </w:r>
      <w:r w:rsidR="000C796A" w:rsidRPr="000C796A">
        <w:t xml:space="preserve">these uncertainties and continuing developments, officials are consulting now on the basis that if </w:t>
      </w:r>
      <w:r w:rsidR="008C2E12">
        <w:t>the required critical mass of other countries does</w:t>
      </w:r>
      <w:r w:rsidR="004C4E30">
        <w:t xml:space="preserve"> adopt </w:t>
      </w:r>
      <w:r w:rsidR="00831C9D">
        <w:t>GLoBE</w:t>
      </w:r>
      <w:r w:rsidR="004C4E30">
        <w:t xml:space="preserve"> rules, </w:t>
      </w:r>
      <w:r w:rsidR="0048710A">
        <w:t>the Government</w:t>
      </w:r>
      <w:r w:rsidR="00E75849">
        <w:t xml:space="preserve"> will need to decide whether</w:t>
      </w:r>
      <w:r w:rsidR="004E3629">
        <w:t xml:space="preserve"> to join them in doing so</w:t>
      </w:r>
      <w:r w:rsidR="008D2B85">
        <w:t xml:space="preserve">. </w:t>
      </w:r>
      <w:r w:rsidR="006E2E5E">
        <w:t xml:space="preserve">If </w:t>
      </w:r>
      <w:r w:rsidR="0048710A">
        <w:t>the Gover</w:t>
      </w:r>
      <w:r w:rsidR="00426434">
        <w:t>nment</w:t>
      </w:r>
      <w:r w:rsidR="006E2E5E">
        <w:t xml:space="preserve"> does de</w:t>
      </w:r>
      <w:r w:rsidR="00945679">
        <w:t>cide to adopt the rules</w:t>
      </w:r>
      <w:r w:rsidR="000C796A" w:rsidRPr="000C796A">
        <w:t>,</w:t>
      </w:r>
      <w:r w:rsidR="00945679">
        <w:t xml:space="preserve"> then</w:t>
      </w:r>
      <w:r w:rsidR="000C796A" w:rsidRPr="000C796A">
        <w:t xml:space="preserve"> consistent with the October Statement it may be desirable for the IIR to apply in New Zealand from 2023 and it will certainly be desirable for it to do so from 2024. A similar approach is being taken by </w:t>
      </w:r>
      <w:r w:rsidR="00B95D4E">
        <w:t>Canada (which included its proposal to implement the GloBE rules in its 2022 Budget),</w:t>
      </w:r>
      <w:r w:rsidR="00B95D4E" w:rsidRPr="000C796A">
        <w:t xml:space="preserve"> </w:t>
      </w:r>
      <w:r w:rsidR="000C796A" w:rsidRPr="000C796A">
        <w:t>the United Kingdom (which</w:t>
      </w:r>
      <w:r>
        <w:t xml:space="preserve"> </w:t>
      </w:r>
      <w:r w:rsidR="000C796A" w:rsidRPr="000C796A">
        <w:t xml:space="preserve">published a consultative document in January 2022) and the </w:t>
      </w:r>
      <w:r w:rsidR="006D57F0">
        <w:t>European Union</w:t>
      </w:r>
      <w:r w:rsidR="000C796A" w:rsidRPr="000C796A">
        <w:t xml:space="preserve">. Even if the rules applied from 1 January 2023, the first return would not need to be filed until </w:t>
      </w:r>
      <w:r w:rsidR="006D57F0" w:rsidRPr="000C796A">
        <w:t>sometime</w:t>
      </w:r>
      <w:r w:rsidR="000C796A" w:rsidRPr="000C796A">
        <w:t xml:space="preserve"> after the first quarter of 2025.</w:t>
      </w:r>
    </w:p>
    <w:p w14:paraId="4725C3FE" w14:textId="43CB9262" w:rsidR="000C796A" w:rsidRPr="000C796A" w:rsidRDefault="00EA7F1A" w:rsidP="00EA7F1A">
      <w:pPr>
        <w:pStyle w:val="NumberedParagraph"/>
      </w:pPr>
      <w:r>
        <w:t xml:space="preserve">The </w:t>
      </w:r>
      <w:r w:rsidR="000C796A" w:rsidRPr="000C796A">
        <w:t>purpose of this document is to consult on:</w:t>
      </w:r>
    </w:p>
    <w:p w14:paraId="0EDCD054" w14:textId="10ACFC4C" w:rsidR="000C796A" w:rsidRPr="000C796A" w:rsidRDefault="00C028F0" w:rsidP="00EA7F1A">
      <w:pPr>
        <w:pStyle w:val="NumberedParagraph-BulletL1"/>
      </w:pPr>
      <w:r>
        <w:t>W</w:t>
      </w:r>
      <w:r w:rsidR="000C796A" w:rsidRPr="000C796A">
        <w:t>hether New Zealand should adopt the GloBE rules</w:t>
      </w:r>
      <w:r w:rsidR="009F6F51">
        <w:t xml:space="preserve">, assuming that a critical mass of other countries </w:t>
      </w:r>
      <w:r w:rsidR="003D4367">
        <w:t>also does so</w:t>
      </w:r>
      <w:r>
        <w:t>.</w:t>
      </w:r>
    </w:p>
    <w:p w14:paraId="4830E3F5" w14:textId="0B3A8C30" w:rsidR="000C796A" w:rsidRPr="000C796A" w:rsidRDefault="00C028F0" w:rsidP="00EA7F1A">
      <w:pPr>
        <w:pStyle w:val="NumberedParagraph-BulletL1"/>
      </w:pPr>
      <w:r>
        <w:t>W</w:t>
      </w:r>
      <w:r w:rsidR="000C796A" w:rsidRPr="000C796A">
        <w:t>hen any adoption should be effective, particularly in relation to the IIR</w:t>
      </w:r>
      <w:r w:rsidR="00EF3C92">
        <w:t>.</w:t>
      </w:r>
    </w:p>
    <w:p w14:paraId="16A605BF" w14:textId="6020D2D2" w:rsidR="000C796A" w:rsidRPr="000C796A" w:rsidRDefault="00EF3C92" w:rsidP="0006524A">
      <w:pPr>
        <w:pStyle w:val="NumberedParagraph-BulletL1"/>
      </w:pPr>
      <w:r>
        <w:t>H</w:t>
      </w:r>
      <w:r w:rsidR="000C796A" w:rsidRPr="000C796A">
        <w:t xml:space="preserve">ow best to translate the rules into New Zealand </w:t>
      </w:r>
      <w:proofErr w:type="gramStart"/>
      <w:r w:rsidR="000C796A" w:rsidRPr="000C796A">
        <w:t>law</w:t>
      </w:r>
      <w:r>
        <w:t>.</w:t>
      </w:r>
      <w:proofErr w:type="gramEnd"/>
    </w:p>
    <w:p w14:paraId="7A373EC2" w14:textId="6644A3C5" w:rsidR="000C796A" w:rsidRPr="000C796A" w:rsidRDefault="00FF7EE1" w:rsidP="0060332C">
      <w:pPr>
        <w:pStyle w:val="NumberedParagraph-BulletL1"/>
      </w:pPr>
      <w:r>
        <w:t>W</w:t>
      </w:r>
      <w:r w:rsidR="000C796A" w:rsidRPr="000C796A">
        <w:t xml:space="preserve">hat areas of uncertainty there may be in applying the </w:t>
      </w:r>
      <w:r w:rsidR="0060332C">
        <w:t>r</w:t>
      </w:r>
      <w:r w:rsidR="000C796A" w:rsidRPr="000C796A">
        <w:t xml:space="preserve">ules to New Zealand tax law, and how to resolve </w:t>
      </w:r>
      <w:proofErr w:type="gramStart"/>
      <w:r w:rsidR="000C796A" w:rsidRPr="000C796A">
        <w:t>these</w:t>
      </w:r>
      <w:r>
        <w:t>.</w:t>
      </w:r>
      <w:proofErr w:type="gramEnd"/>
    </w:p>
    <w:p w14:paraId="346F9888" w14:textId="04A5A3EE" w:rsidR="000C796A" w:rsidRPr="000C796A" w:rsidRDefault="00FF7EE1" w:rsidP="0060332C">
      <w:pPr>
        <w:pStyle w:val="NumberedParagraph-BulletL1"/>
      </w:pPr>
      <w:r>
        <w:t>W</w:t>
      </w:r>
      <w:r w:rsidR="000C796A" w:rsidRPr="000C796A">
        <w:t xml:space="preserve">hether tax paid </w:t>
      </w:r>
      <w:r w:rsidR="00066FC2">
        <w:t xml:space="preserve">to the Zealand </w:t>
      </w:r>
      <w:r w:rsidR="00492AD6">
        <w:t>G</w:t>
      </w:r>
      <w:r w:rsidR="00066FC2">
        <w:t xml:space="preserve">overnment </w:t>
      </w:r>
      <w:r w:rsidR="000C796A" w:rsidRPr="000C796A">
        <w:t>under the rules should give rise to imputation credits</w:t>
      </w:r>
      <w:r>
        <w:t>.</w:t>
      </w:r>
    </w:p>
    <w:p w14:paraId="5873EF94" w14:textId="5AA4B0A1" w:rsidR="000C796A" w:rsidRPr="00432D1A" w:rsidRDefault="00FF7EE1" w:rsidP="00320F44">
      <w:pPr>
        <w:pStyle w:val="NumberedParagraph-BulletL1"/>
      </w:pPr>
      <w:r>
        <w:t>A</w:t>
      </w:r>
      <w:r w:rsidR="000C796A" w:rsidRPr="000C796A">
        <w:t>dministrative aspects, for instance return filing and timing of payments.</w:t>
      </w:r>
    </w:p>
    <w:p w14:paraId="72BAF07B" w14:textId="6E2B6D6A" w:rsidR="000C796A" w:rsidRPr="000C796A" w:rsidRDefault="000C796A" w:rsidP="00432D1A">
      <w:pPr>
        <w:pStyle w:val="NumberedParagraph"/>
      </w:pPr>
      <w:r w:rsidRPr="000C796A">
        <w:t xml:space="preserve">Although much of this document is devoted to explaining how the rules work, officials are not consulting on the elements of the rules which have been definitively agreed by the Inclusive Framework. This is for </w:t>
      </w:r>
      <w:r w:rsidR="0053064E">
        <w:t>2</w:t>
      </w:r>
      <w:r w:rsidR="0053064E" w:rsidRPr="000C796A">
        <w:t xml:space="preserve"> </w:t>
      </w:r>
      <w:r w:rsidRPr="000C796A">
        <w:t>reasons:</w:t>
      </w:r>
    </w:p>
    <w:p w14:paraId="4E1E5E6C" w14:textId="6A70CA8E" w:rsidR="000C796A" w:rsidRPr="000C796A" w:rsidRDefault="000C796A" w:rsidP="00C313C3">
      <w:pPr>
        <w:pStyle w:val="NumberedParagraph-NumberedLists"/>
        <w:numPr>
          <w:ilvl w:val="0"/>
          <w:numId w:val="12"/>
        </w:numPr>
      </w:pPr>
      <w:r w:rsidRPr="000C796A">
        <w:t>New Zealand is part of the IF consensus which has approved the Model Rules and Commentary</w:t>
      </w:r>
      <w:r w:rsidR="00A72F54">
        <w:t>.</w:t>
      </w:r>
    </w:p>
    <w:p w14:paraId="436ED394" w14:textId="4D831ECC" w:rsidR="000C796A" w:rsidRDefault="00A72F54" w:rsidP="00C313C3">
      <w:pPr>
        <w:pStyle w:val="NumberedParagraph-NumberedLists"/>
        <w:numPr>
          <w:ilvl w:val="0"/>
          <w:numId w:val="12"/>
        </w:numPr>
      </w:pPr>
      <w:r>
        <w:t>I</w:t>
      </w:r>
      <w:r w:rsidR="000C796A" w:rsidRPr="000C796A">
        <w:t>f New Zealand does not have a complying IIR in place by 2024, it is likely that New Zealand headquartered groups will have to pay tax on any low-tax excess income under the GloBE rules in any case, by virtue of other countries enacting UTPRs.</w:t>
      </w:r>
      <w:r w:rsidR="00432D1A">
        <w:t xml:space="preserve"> </w:t>
      </w:r>
      <w:r w:rsidR="000C796A" w:rsidRPr="000C796A">
        <w:t>As a general proposition, an IIR will not be complying if it does not follow the Model Rules</w:t>
      </w:r>
      <w:r>
        <w:t>.</w:t>
      </w:r>
    </w:p>
    <w:p w14:paraId="7677132E" w14:textId="77777777" w:rsidR="000C796A" w:rsidRPr="000C796A" w:rsidRDefault="0001465A" w:rsidP="0001465A">
      <w:pPr>
        <w:pStyle w:val="NumberedParagraph"/>
      </w:pPr>
      <w:r>
        <w:t xml:space="preserve">We </w:t>
      </w:r>
      <w:r w:rsidR="000C796A" w:rsidRPr="000C796A">
        <w:t>are also consulting on whether New Zealand should apply the IIR to New Zealand source income of in-scope multinationals, by way of a domestic minimum top-up tax.</w:t>
      </w:r>
    </w:p>
    <w:p w14:paraId="1E4E3766" w14:textId="6079BF0D" w:rsidR="00E1000F" w:rsidRDefault="00E1000F" w:rsidP="002211DF">
      <w:pPr>
        <w:pStyle w:val="NumberedParagraph"/>
      </w:pPr>
      <w:r>
        <w:t>This consultation document is</w:t>
      </w:r>
      <w:r w:rsidR="008F6C67">
        <w:t xml:space="preserve"> long and detailed</w:t>
      </w:r>
      <w:r w:rsidR="008D2B85">
        <w:t xml:space="preserve">. </w:t>
      </w:r>
      <w:r w:rsidR="008F6C67">
        <w:t xml:space="preserve">That is not surprising, given that it is attempting to </w:t>
      </w:r>
      <w:r w:rsidR="001E7D34">
        <w:t>both explain and consult on</w:t>
      </w:r>
      <w:r w:rsidR="008F6C67">
        <w:t xml:space="preserve"> an entirely new income tax system</w:t>
      </w:r>
      <w:r w:rsidR="008D2B85">
        <w:t xml:space="preserve">. </w:t>
      </w:r>
      <w:r w:rsidR="001F6858">
        <w:t>That system is</w:t>
      </w:r>
      <w:r w:rsidR="008F6C67">
        <w:t xml:space="preserve"> designed to apply to the most complex businesses in the world,</w:t>
      </w:r>
      <w:r w:rsidR="001F15BB">
        <w:t xml:space="preserve"> </w:t>
      </w:r>
      <w:r w:rsidR="001F6858">
        <w:t xml:space="preserve">to be </w:t>
      </w:r>
      <w:r w:rsidR="001F15BB">
        <w:t xml:space="preserve">overlaid on top of </w:t>
      </w:r>
      <w:r w:rsidR="00097387">
        <w:t>every</w:t>
      </w:r>
      <w:r w:rsidR="001F15BB">
        <w:t xml:space="preserve"> domestic income tax system</w:t>
      </w:r>
      <w:r w:rsidR="00360211">
        <w:t xml:space="preserve"> </w:t>
      </w:r>
      <w:r w:rsidR="00F97CDB">
        <w:t>in the world</w:t>
      </w:r>
      <w:r w:rsidR="00360211">
        <w:t xml:space="preserve"> without giving rise to double </w:t>
      </w:r>
      <w:proofErr w:type="gramStart"/>
      <w:r w:rsidR="00360211">
        <w:t>taxation</w:t>
      </w:r>
      <w:r w:rsidR="001F6858">
        <w:t>, and</w:t>
      </w:r>
      <w:proofErr w:type="gramEnd"/>
      <w:r w:rsidR="001F6858">
        <w:t xml:space="preserve"> </w:t>
      </w:r>
      <w:r w:rsidR="00D31706">
        <w:t xml:space="preserve">intended </w:t>
      </w:r>
      <w:r w:rsidR="001F6858">
        <w:t xml:space="preserve">to be applied by </w:t>
      </w:r>
      <w:r w:rsidR="001F6858">
        <w:lastRenderedPageBreak/>
        <w:t>potentially scores of tax administrations at the same time</w:t>
      </w:r>
      <w:r w:rsidR="008D2B85">
        <w:t xml:space="preserve">. </w:t>
      </w:r>
      <w:r w:rsidR="00534509">
        <w:t xml:space="preserve">Furthermore, it is a system which reflects its genesis in a </w:t>
      </w:r>
      <w:r w:rsidR="007673BF">
        <w:t>consensus</w:t>
      </w:r>
      <w:r w:rsidR="005A78E5">
        <w:t>-</w:t>
      </w:r>
      <w:r w:rsidR="007673BF">
        <w:t>based project involving over 13</w:t>
      </w:r>
      <w:r w:rsidR="00823F64">
        <w:t>0</w:t>
      </w:r>
      <w:r w:rsidR="00FF2095">
        <w:t> </w:t>
      </w:r>
      <w:r w:rsidR="007673BF">
        <w:t>different count</w:t>
      </w:r>
      <w:r w:rsidR="00AD0D7C">
        <w:t>ries</w:t>
      </w:r>
      <w:r w:rsidR="008D2B85">
        <w:t xml:space="preserve">. </w:t>
      </w:r>
      <w:r w:rsidR="00433E67">
        <w:t xml:space="preserve">Officials hope that readers find </w:t>
      </w:r>
      <w:r w:rsidR="00297CCD">
        <w:t>this document</w:t>
      </w:r>
      <w:r w:rsidR="004571D9">
        <w:t xml:space="preserve"> </w:t>
      </w:r>
      <w:proofErr w:type="gramStart"/>
      <w:r w:rsidR="004571D9">
        <w:t>helpful,</w:t>
      </w:r>
      <w:r w:rsidR="00433E67">
        <w:t xml:space="preserve"> </w:t>
      </w:r>
      <w:r w:rsidR="00E93E7B">
        <w:t>but</w:t>
      </w:r>
      <w:proofErr w:type="gramEnd"/>
      <w:r w:rsidR="00E93E7B">
        <w:t xml:space="preserve"> expect </w:t>
      </w:r>
      <w:r w:rsidR="00C20EAB">
        <w:t>it</w:t>
      </w:r>
      <w:r w:rsidR="00E93E7B">
        <w:t xml:space="preserve"> will </w:t>
      </w:r>
      <w:r w:rsidR="00C20EAB">
        <w:t>take most some time to get to grips with what is being proposed</w:t>
      </w:r>
      <w:r w:rsidR="002A559B">
        <w:t xml:space="preserve"> and </w:t>
      </w:r>
      <w:r w:rsidR="00C20EAB">
        <w:t>its implications.</w:t>
      </w:r>
    </w:p>
    <w:p w14:paraId="3BE7B47B" w14:textId="7D41A9B6" w:rsidR="000C796A" w:rsidRPr="007B7EA0" w:rsidRDefault="000C796A" w:rsidP="007B7EA0">
      <w:pPr>
        <w:pStyle w:val="Heading2"/>
      </w:pPr>
      <w:bookmarkStart w:id="11" w:name="_Toc101095561"/>
      <w:r w:rsidRPr="002211DF">
        <w:t>Making a submission</w:t>
      </w:r>
      <w:bookmarkEnd w:id="11"/>
    </w:p>
    <w:p w14:paraId="4303A52E" w14:textId="5245D98D" w:rsidR="000C796A" w:rsidRPr="000C796A" w:rsidRDefault="000C796A" w:rsidP="006541EE">
      <w:pPr>
        <w:pStyle w:val="NumberedParagraph"/>
      </w:pPr>
      <w:r w:rsidRPr="000C796A">
        <w:t>Submissions are invited on any issues raised in this document, and on the specific questions posed in the document.</w:t>
      </w:r>
    </w:p>
    <w:p w14:paraId="7DE4AF06" w14:textId="55E88E36" w:rsidR="000C796A" w:rsidRPr="000C796A" w:rsidRDefault="000C796A" w:rsidP="006541EE">
      <w:pPr>
        <w:pStyle w:val="NumberedParagraph"/>
      </w:pPr>
      <w:r w:rsidRPr="000C796A">
        <w:t>Submissions should include a brief summary of submitter’s major points and recommendations. They should also indicate whether it is acceptable for officials from Inland Revenue to contact submitters to discuss the points raised, if required.</w:t>
      </w:r>
    </w:p>
    <w:p w14:paraId="491B66CD" w14:textId="26B54954" w:rsidR="000C796A" w:rsidRPr="000C796A" w:rsidRDefault="000C796A" w:rsidP="006541EE">
      <w:pPr>
        <w:pStyle w:val="NumberedParagraph"/>
      </w:pPr>
      <w:r>
        <w:t>The closing date for submissions is</w:t>
      </w:r>
      <w:r w:rsidR="001F0CE0">
        <w:t xml:space="preserve"> </w:t>
      </w:r>
      <w:r w:rsidR="001F0CE0" w:rsidRPr="00DE69EA">
        <w:rPr>
          <w:b/>
          <w:bCs/>
        </w:rPr>
        <w:t>1 July 2022</w:t>
      </w:r>
      <w:r w:rsidR="003E150E" w:rsidRPr="5AFD3300">
        <w:rPr>
          <w:rStyle w:val="Strong"/>
        </w:rPr>
        <w:t>.</w:t>
      </w:r>
    </w:p>
    <w:p w14:paraId="591592C8" w14:textId="77777777" w:rsidR="00096281" w:rsidRDefault="00096281" w:rsidP="001F1F60">
      <w:pPr>
        <w:pStyle w:val="NumberedParagraph"/>
      </w:pPr>
      <w:r>
        <w:t>Submissions can be made:</w:t>
      </w:r>
    </w:p>
    <w:p w14:paraId="2BACDD9F" w14:textId="1F4B37BC" w:rsidR="00096281" w:rsidRDefault="00096281" w:rsidP="00096281">
      <w:pPr>
        <w:pStyle w:val="NumberedParagraph-BulletL1"/>
      </w:pPr>
      <w:r w:rsidRPr="00096281">
        <w:t>by email to policy.webmaster@ird.govt.nz with “</w:t>
      </w:r>
      <w:r w:rsidR="00B369B5" w:rsidRPr="000C796A">
        <w:t xml:space="preserve">OECD Pillar </w:t>
      </w:r>
      <w:r w:rsidR="006A729C">
        <w:t>Two</w:t>
      </w:r>
      <w:r w:rsidR="00B369B5" w:rsidRPr="000C796A">
        <w:t xml:space="preserve">: GloBE </w:t>
      </w:r>
      <w:r w:rsidR="00501B6A">
        <w:t>r</w:t>
      </w:r>
      <w:r w:rsidR="00B369B5" w:rsidRPr="000C796A">
        <w:t>ules for New Zealand”</w:t>
      </w:r>
      <w:r w:rsidRPr="00096281">
        <w:t xml:space="preserve"> in the subject line, or</w:t>
      </w:r>
    </w:p>
    <w:p w14:paraId="21BEE3DF" w14:textId="77777777" w:rsidR="00096281" w:rsidRDefault="00096281" w:rsidP="00096281">
      <w:pPr>
        <w:pStyle w:val="NumberedParagraph-BulletL1"/>
      </w:pPr>
      <w:r>
        <w:t>by post to:</w:t>
      </w:r>
    </w:p>
    <w:p w14:paraId="3338A3F3" w14:textId="2D1FCB98" w:rsidR="00096281" w:rsidRDefault="00C028F0" w:rsidP="007A4FFC">
      <w:pPr>
        <w:pStyle w:val="Addressblock-Submission"/>
      </w:pPr>
      <w:r>
        <w:t>“</w:t>
      </w:r>
      <w:r w:rsidR="00FE53BD" w:rsidRPr="000C796A">
        <w:t xml:space="preserve">OECD Pillar </w:t>
      </w:r>
      <w:r w:rsidR="006A729C">
        <w:t>Two</w:t>
      </w:r>
      <w:r w:rsidR="00FE53BD" w:rsidRPr="000C796A">
        <w:t xml:space="preserve">: GloBE </w:t>
      </w:r>
      <w:r w:rsidR="00501B6A">
        <w:t>r</w:t>
      </w:r>
      <w:r w:rsidR="00FE53BD" w:rsidRPr="000C796A">
        <w:t>ules for New Zealand”</w:t>
      </w:r>
    </w:p>
    <w:p w14:paraId="1EF67520" w14:textId="77777777" w:rsidR="00096281" w:rsidRDefault="00096281" w:rsidP="007A4FFC">
      <w:pPr>
        <w:pStyle w:val="Addressblock-Submission"/>
      </w:pPr>
      <w:r>
        <w:t>C/- Deputy Commissioner, Policy and Regulatory Stewardship</w:t>
      </w:r>
    </w:p>
    <w:p w14:paraId="6FF809EA" w14:textId="77777777" w:rsidR="00096281" w:rsidRDefault="00096281" w:rsidP="007A4FFC">
      <w:pPr>
        <w:pStyle w:val="Addressblock-Submission"/>
      </w:pPr>
      <w:r>
        <w:t>Inland Revenue Department</w:t>
      </w:r>
    </w:p>
    <w:p w14:paraId="19A1462E" w14:textId="77777777" w:rsidR="00096281" w:rsidRDefault="00096281" w:rsidP="007A4FFC">
      <w:pPr>
        <w:pStyle w:val="Addressblock-Submission"/>
      </w:pPr>
      <w:r>
        <w:t>PO Box 2198</w:t>
      </w:r>
    </w:p>
    <w:p w14:paraId="5B0E030A" w14:textId="77777777" w:rsidR="007A4FFC" w:rsidRDefault="007A4FFC" w:rsidP="007A4FFC">
      <w:pPr>
        <w:pStyle w:val="Addressblock-Submission"/>
      </w:pPr>
      <w:r w:rsidRPr="007A4FFC">
        <w:t>Wellington 6140</w:t>
      </w:r>
    </w:p>
    <w:p w14:paraId="4397768B" w14:textId="37D252F2" w:rsidR="007A4FFC" w:rsidRDefault="00A66263" w:rsidP="00F5594D">
      <w:pPr>
        <w:pStyle w:val="NumberedParagraph"/>
      </w:pPr>
      <w:r w:rsidRPr="000C796A">
        <w:t xml:space="preserve">Submissions may be the subject of a request under the Official Information Act 1982, which </w:t>
      </w:r>
      <w:r w:rsidR="00F55CF5">
        <w:t>will</w:t>
      </w:r>
      <w:r w:rsidR="00F55CF5" w:rsidRPr="000C796A">
        <w:t xml:space="preserve"> </w:t>
      </w:r>
      <w:r w:rsidRPr="000C796A">
        <w:t>result in their publication</w:t>
      </w:r>
      <w:r w:rsidR="00F55CF5">
        <w:t xml:space="preserve"> unless there are </w:t>
      </w:r>
      <w:r w:rsidR="002E047C">
        <w:t>grounds for the submission (</w:t>
      </w:r>
      <w:r w:rsidR="000F0491">
        <w:t>in whole or part)</w:t>
      </w:r>
      <w:r w:rsidR="002E047C">
        <w:t xml:space="preserve"> to be withheld</w:t>
      </w:r>
      <w:r w:rsidRPr="000C796A">
        <w:t>. The withholding of responses on the grounds of privacy, or for any other reason, will be determined in accordance with that Act. If you consider that any part of your submission should properly be withheld under the Act</w:t>
      </w:r>
      <w:r w:rsidR="00C028F0">
        <w:t>,</w:t>
      </w:r>
      <w:r w:rsidRPr="000C796A">
        <w:t xml:space="preserve"> please clearly indicate this.</w:t>
      </w:r>
    </w:p>
    <w:bookmarkEnd w:id="4"/>
    <w:p w14:paraId="24AB7928" w14:textId="481D2452" w:rsidR="001F1F60" w:rsidRDefault="001F1F60" w:rsidP="001F1F60">
      <w:pPr>
        <w:pStyle w:val="Heading1"/>
      </w:pPr>
      <w:r>
        <w:lastRenderedPageBreak/>
        <w:br/>
      </w:r>
      <w:r>
        <w:br/>
      </w:r>
      <w:bookmarkStart w:id="12" w:name="_Toc101095562"/>
      <w:r w:rsidR="00A72A6A">
        <w:t xml:space="preserve">Summary of GloBE </w:t>
      </w:r>
      <w:r w:rsidR="001C6ECB">
        <w:t>r</w:t>
      </w:r>
      <w:r w:rsidR="00A72A6A">
        <w:t>ules</w:t>
      </w:r>
      <w:bookmarkEnd w:id="12"/>
    </w:p>
    <w:p w14:paraId="70690233" w14:textId="77777777" w:rsidR="00840924" w:rsidRDefault="001E561A" w:rsidP="00DA64B8">
      <w:pPr>
        <w:pStyle w:val="Heading2"/>
      </w:pPr>
      <w:bookmarkStart w:id="13" w:name="_Toc101095563"/>
      <w:r>
        <w:t>Overview</w:t>
      </w:r>
      <w:bookmarkEnd w:id="13"/>
    </w:p>
    <w:p w14:paraId="43EE1099" w14:textId="67C35D96" w:rsidR="00840924" w:rsidRPr="00840924" w:rsidRDefault="00273304" w:rsidP="00840924">
      <w:pPr>
        <w:pStyle w:val="NumberedParagraph"/>
      </w:pPr>
      <w:r>
        <w:t>This chapter provides a very brief summary of the purpose and scheme of the GloBE rules</w:t>
      </w:r>
      <w:r w:rsidR="008D2B85">
        <w:t xml:space="preserve">. </w:t>
      </w:r>
      <w:r w:rsidR="00193F0C">
        <w:t>It also explains how this issues paper is organised.</w:t>
      </w:r>
    </w:p>
    <w:p w14:paraId="681C391A" w14:textId="588E914C" w:rsidR="00C1113B" w:rsidRPr="00FF2C02" w:rsidRDefault="00DA64B8" w:rsidP="00DA64B8">
      <w:pPr>
        <w:pStyle w:val="Heading2"/>
      </w:pPr>
      <w:bookmarkStart w:id="14" w:name="_Toc101095564"/>
      <w:r w:rsidRPr="004313EA">
        <w:t>Purpose of the GloBE rules</w:t>
      </w:r>
      <w:bookmarkEnd w:id="14"/>
    </w:p>
    <w:p w14:paraId="0DAA024C" w14:textId="07E35058" w:rsidR="00C1113B" w:rsidRDefault="00C1113B" w:rsidP="00DA64B8">
      <w:pPr>
        <w:pStyle w:val="NumberedParagraph"/>
      </w:pPr>
      <w:r w:rsidRPr="004313EA">
        <w:t xml:space="preserve">As set out in Chapter 1, the GloBE rules are aimed at ensuring </w:t>
      </w:r>
      <w:r w:rsidR="007D3FBE" w:rsidRPr="004313EA">
        <w:t xml:space="preserve">every </w:t>
      </w:r>
      <w:r w:rsidRPr="004313EA">
        <w:t>in</w:t>
      </w:r>
      <w:r w:rsidR="005C6808">
        <w:t>-</w:t>
      </w:r>
      <w:r w:rsidRPr="004313EA">
        <w:t xml:space="preserve">scope group </w:t>
      </w:r>
      <w:r w:rsidR="007D3FBE" w:rsidRPr="004313EA">
        <w:t xml:space="preserve">in the world </w:t>
      </w:r>
      <w:r w:rsidRPr="004313EA">
        <w:t>pay</w:t>
      </w:r>
      <w:r w:rsidR="007D3FBE" w:rsidRPr="004313EA">
        <w:t>s</w:t>
      </w:r>
      <w:r w:rsidRPr="004313EA">
        <w:t xml:space="preserve"> tax at a rate of at least 15% on excess income in each country where income is reported</w:t>
      </w:r>
      <w:r w:rsidR="00C028F0" w:rsidRPr="004313EA">
        <w:t xml:space="preserve">. </w:t>
      </w:r>
      <w:r>
        <w:t xml:space="preserve">They do this by imposing a ‘top-up tax’ if an MNE’s effective tax rate in a </w:t>
      </w:r>
      <w:r w:rsidR="00E45F37">
        <w:t>country</w:t>
      </w:r>
      <w:r>
        <w:t xml:space="preserve"> is below 15</w:t>
      </w:r>
      <w:r w:rsidR="001C6ECB">
        <w:t>%</w:t>
      </w:r>
      <w:r>
        <w:t>.</w:t>
      </w:r>
    </w:p>
    <w:p w14:paraId="4E26E7CA" w14:textId="48DB540E" w:rsidR="00C1113B" w:rsidRDefault="00C1113B" w:rsidP="00DA64B8">
      <w:pPr>
        <w:pStyle w:val="NumberedParagraph"/>
      </w:pPr>
      <w:r w:rsidRPr="004313EA">
        <w:t xml:space="preserve">The purpose of the rules is to significantly reduce the opportunity for groups to avoid tax by moving mobile income into </w:t>
      </w:r>
      <w:r w:rsidR="00745BE7" w:rsidRPr="004313EA">
        <w:t>countrie</w:t>
      </w:r>
      <w:r w:rsidRPr="004313EA">
        <w:t>s with low tax rates or with rules which allow that income to enjoy a low effective tax rate</w:t>
      </w:r>
      <w:r w:rsidR="00C028F0" w:rsidRPr="004313EA">
        <w:t xml:space="preserve">. </w:t>
      </w:r>
      <w:r w:rsidRPr="004313EA">
        <w:t xml:space="preserve">The rules are not intended to prevent countries from providing tax incentives in relation to </w:t>
      </w:r>
      <w:r w:rsidR="00EC1EE8" w:rsidRPr="004313EA">
        <w:t xml:space="preserve">a reasonable return on </w:t>
      </w:r>
      <w:r w:rsidRPr="004313EA">
        <w:t xml:space="preserve">tangible investment and activities. </w:t>
      </w:r>
      <w:r>
        <w:t>This is the reason for the substance-based income exclusion.</w:t>
      </w:r>
    </w:p>
    <w:p w14:paraId="598B91F1" w14:textId="4CE43282" w:rsidR="00821F02" w:rsidRDefault="00821F02" w:rsidP="00DA64B8">
      <w:pPr>
        <w:pStyle w:val="NumberedParagraph"/>
      </w:pPr>
      <w:r>
        <w:t xml:space="preserve">The GloBE rules are not concerned with </w:t>
      </w:r>
      <w:r w:rsidR="009E0ADC">
        <w:t>the allocation between countries of taxing rights on the income of multi-national groups</w:t>
      </w:r>
      <w:r w:rsidR="008D2B85">
        <w:t xml:space="preserve">. </w:t>
      </w:r>
      <w:r w:rsidR="009E0ADC">
        <w:t xml:space="preserve">That is the </w:t>
      </w:r>
      <w:r w:rsidR="00896323">
        <w:t>subject</w:t>
      </w:r>
      <w:r w:rsidR="009E0ADC">
        <w:t xml:space="preserve"> of Pillar One of the </w:t>
      </w:r>
      <w:r w:rsidR="00896323">
        <w:t>2 Pillar solution.</w:t>
      </w:r>
    </w:p>
    <w:p w14:paraId="4D6D4A05" w14:textId="77777777" w:rsidR="00C1113B" w:rsidRDefault="00C1113B" w:rsidP="00820A0C">
      <w:pPr>
        <w:pStyle w:val="Heading2"/>
      </w:pPr>
      <w:bookmarkStart w:id="15" w:name="_Toc101095565"/>
      <w:r>
        <w:t>Overview of the GloBE rules</w:t>
      </w:r>
      <w:bookmarkEnd w:id="15"/>
    </w:p>
    <w:p w14:paraId="6C341E5E" w14:textId="4E6D0DC2" w:rsidR="00717A3E" w:rsidRDefault="001F150F" w:rsidP="00D74179">
      <w:pPr>
        <w:pStyle w:val="NumberedParagraph"/>
      </w:pPr>
      <w:r>
        <w:t xml:space="preserve">This chapter provides </w:t>
      </w:r>
      <w:r w:rsidR="005F0F95">
        <w:t xml:space="preserve">a high-level overview of the GloBE rules, and an outline of the rest of this consultation document. </w:t>
      </w:r>
      <w:r w:rsidR="004146FF">
        <w:t>The OECD has also produced an “Overview of the Key Operating Provisions of the GloBE Rules”,</w:t>
      </w:r>
      <w:r w:rsidR="004146FF">
        <w:rPr>
          <w:rStyle w:val="FootnoteReference"/>
        </w:rPr>
        <w:footnoteReference w:id="4"/>
      </w:r>
      <w:r w:rsidR="004146FF">
        <w:t xml:space="preserve"> the first page of which is in </w:t>
      </w:r>
      <w:r w:rsidR="004146FF" w:rsidRPr="004146FF">
        <w:rPr>
          <w:b/>
          <w:bCs/>
        </w:rPr>
        <w:t>Appendix 1</w:t>
      </w:r>
      <w:r w:rsidR="008D2B85">
        <w:t>.</w:t>
      </w:r>
    </w:p>
    <w:p w14:paraId="60C23D27" w14:textId="6C7D7F53" w:rsidR="001F150F" w:rsidRDefault="005F0F95" w:rsidP="00820A0C">
      <w:pPr>
        <w:pStyle w:val="NumberedParagraph"/>
      </w:pPr>
      <w:r w:rsidRPr="00251C94">
        <w:rPr>
          <w:b/>
        </w:rPr>
        <w:t>Chapter 3</w:t>
      </w:r>
      <w:r>
        <w:t xml:space="preserve"> </w:t>
      </w:r>
      <w:r w:rsidR="009769D1">
        <w:t xml:space="preserve">discusses whether New Zealand should adopt the GloBE rules and </w:t>
      </w:r>
      <w:r w:rsidR="00795137">
        <w:t>the timing of that adoption if it does.</w:t>
      </w:r>
    </w:p>
    <w:p w14:paraId="2243C477" w14:textId="4E15FABF" w:rsidR="00C1113B" w:rsidRDefault="00C1113B" w:rsidP="00820A0C">
      <w:pPr>
        <w:pStyle w:val="NumberedParagraph"/>
      </w:pPr>
      <w:r>
        <w:t xml:space="preserve">The GloBE rules only apply to MNEs whose consolidated annual revenues </w:t>
      </w:r>
      <w:r w:rsidR="0087629B">
        <w:t xml:space="preserve">in two of the previous four years </w:t>
      </w:r>
      <w:r>
        <w:t>are at least €750</w:t>
      </w:r>
      <w:r w:rsidR="00854E92">
        <w:t xml:space="preserve"> </w:t>
      </w:r>
      <w:r>
        <w:t>m</w:t>
      </w:r>
      <w:r w:rsidR="00854E92">
        <w:t>illion</w:t>
      </w:r>
      <w:r>
        <w:t xml:space="preserve">. Details of the scope rules and exclusions are set out in </w:t>
      </w:r>
      <w:r w:rsidRPr="009217F3">
        <w:rPr>
          <w:b/>
          <w:bCs/>
        </w:rPr>
        <w:t>Chapter</w:t>
      </w:r>
      <w:r w:rsidR="00EA1647">
        <w:rPr>
          <w:b/>
          <w:bCs/>
        </w:rPr>
        <w:t> </w:t>
      </w:r>
      <w:r w:rsidR="001F150F">
        <w:rPr>
          <w:b/>
          <w:bCs/>
        </w:rPr>
        <w:t>4</w:t>
      </w:r>
      <w:r>
        <w:t>.</w:t>
      </w:r>
    </w:p>
    <w:p w14:paraId="2D8281F0" w14:textId="7B4EE933" w:rsidR="00C1113B" w:rsidRDefault="00B471B9" w:rsidP="00820A0C">
      <w:pPr>
        <w:pStyle w:val="NumberedParagraph"/>
      </w:pPr>
      <w:r>
        <w:t>The GloBE rules do not look at nominal or statutory tax rates, but effective rates</w:t>
      </w:r>
      <w:r w:rsidR="008D2B85">
        <w:t xml:space="preserve">. </w:t>
      </w:r>
      <w:r w:rsidR="00C1113B">
        <w:t>To work out if an MNE is subject to any top-up tax, the MNE has to calculate its effective tax rate (</w:t>
      </w:r>
      <w:r w:rsidR="00C1113B" w:rsidRPr="007B0895">
        <w:t>ETR</w:t>
      </w:r>
      <w:r w:rsidR="00C1113B">
        <w:t xml:space="preserve">) by comparing its tax in a jurisdiction with its accounting profit (with adjustments) for that jurisdiction. </w:t>
      </w:r>
      <w:r w:rsidR="00C1113B" w:rsidRPr="00FD7319">
        <w:rPr>
          <w:b/>
          <w:bCs/>
        </w:rPr>
        <w:t>Chapter</w:t>
      </w:r>
      <w:r w:rsidR="008D2B85">
        <w:rPr>
          <w:b/>
          <w:bCs/>
        </w:rPr>
        <w:t> </w:t>
      </w:r>
      <w:r w:rsidR="001F150F">
        <w:rPr>
          <w:b/>
          <w:bCs/>
        </w:rPr>
        <w:t>5</w:t>
      </w:r>
      <w:r w:rsidR="00C1113B" w:rsidRPr="007B0895">
        <w:t xml:space="preserve"> explains how an MNE’s ETR is calculated</w:t>
      </w:r>
      <w:r w:rsidR="00C1113B">
        <w:t xml:space="preserve">, including how certain </w:t>
      </w:r>
      <w:r w:rsidR="00C1113B" w:rsidRPr="007B0895">
        <w:t xml:space="preserve">tax credits, such as Research and Development (R&amp;D) tax credits and </w:t>
      </w:r>
      <w:r w:rsidR="00C1113B">
        <w:t>tax credits for supplementary dividends, are treated.</w:t>
      </w:r>
    </w:p>
    <w:p w14:paraId="14122F36" w14:textId="21D68D79" w:rsidR="00C1113B" w:rsidRDefault="00C1113B" w:rsidP="00D46F84">
      <w:pPr>
        <w:pStyle w:val="NumberedParagraph"/>
      </w:pPr>
      <w:r>
        <w:t>If an MNE’s ETR in a jurisdiction is less than 15</w:t>
      </w:r>
      <w:r w:rsidR="00343DE6">
        <w:t>%</w:t>
      </w:r>
      <w:r>
        <w:t xml:space="preserve">, it must calculate the top-up tax it has to pay </w:t>
      </w:r>
      <w:r w:rsidR="00075439">
        <w:t xml:space="preserve">with respect to each group member in </w:t>
      </w:r>
      <w:r>
        <w:t xml:space="preserve">that jurisdiction. It does this by taking its adjusted accounting profit for the jurisdiction, subtracting the </w:t>
      </w:r>
      <w:r>
        <w:lastRenderedPageBreak/>
        <w:t>substance-based income exclusion (broadly, a 5</w:t>
      </w:r>
      <w:r w:rsidR="00343DE6">
        <w:t>%</w:t>
      </w:r>
      <w:r>
        <w:t>return on the tangible assets and payroll expenses in the jurisdiction</w:t>
      </w:r>
      <w:r>
        <w:rPr>
          <w:rStyle w:val="FootnoteReference"/>
        </w:rPr>
        <w:footnoteReference w:id="5"/>
      </w:r>
      <w:r>
        <w:t>), and multiplying the result by the difference between its ETR and 15</w:t>
      </w:r>
      <w:r w:rsidR="00286997">
        <w:t>%</w:t>
      </w:r>
      <w:r>
        <w:t xml:space="preserve">. </w:t>
      </w:r>
      <w:r w:rsidR="00931E24">
        <w:t xml:space="preserve">The </w:t>
      </w:r>
      <w:r w:rsidR="00EC1D1B">
        <w:t>resulting</w:t>
      </w:r>
      <w:r w:rsidR="00931E24">
        <w:t xml:space="preserve"> amounts are then allocated to the </w:t>
      </w:r>
      <w:r w:rsidR="00490457">
        <w:t xml:space="preserve">profitable </w:t>
      </w:r>
      <w:r w:rsidR="00931E24">
        <w:t>group members in the country</w:t>
      </w:r>
      <w:r w:rsidR="00490457">
        <w:t>.</w:t>
      </w:r>
      <w:r w:rsidR="00931E24">
        <w:t xml:space="preserve"> </w:t>
      </w:r>
      <w:r>
        <w:t xml:space="preserve">These rules </w:t>
      </w:r>
      <w:r w:rsidR="00274DB5">
        <w:t>f</w:t>
      </w:r>
      <w:r w:rsidR="00FD2243">
        <w:t>or calculating the top-up tax</w:t>
      </w:r>
      <w:r>
        <w:t xml:space="preserve"> are explained in </w:t>
      </w:r>
      <w:r w:rsidRPr="008D759C">
        <w:rPr>
          <w:b/>
          <w:bCs/>
        </w:rPr>
        <w:t xml:space="preserve">Chapter </w:t>
      </w:r>
      <w:r w:rsidR="001F150F">
        <w:rPr>
          <w:b/>
          <w:bCs/>
        </w:rPr>
        <w:t>6</w:t>
      </w:r>
      <w:r w:rsidRPr="00915830">
        <w:t>.</w:t>
      </w:r>
    </w:p>
    <w:p w14:paraId="48B0E94B" w14:textId="6FBF0660" w:rsidR="00C1113B" w:rsidRDefault="00C1113B" w:rsidP="00D46F84">
      <w:pPr>
        <w:pStyle w:val="NumberedParagraph"/>
      </w:pPr>
      <w:r>
        <w:t xml:space="preserve">The obligation to pay top-up tax is then allocated between the MNE’s entities </w:t>
      </w:r>
      <w:r w:rsidR="00490457">
        <w:t xml:space="preserve">in countries that have implemented the GloBE rules </w:t>
      </w:r>
      <w:r>
        <w:t xml:space="preserve">according to the rules explained in </w:t>
      </w:r>
      <w:r w:rsidRPr="00910BF6">
        <w:rPr>
          <w:b/>
          <w:bCs/>
        </w:rPr>
        <w:t xml:space="preserve">Chapter </w:t>
      </w:r>
      <w:r w:rsidR="001F150F">
        <w:rPr>
          <w:b/>
          <w:bCs/>
        </w:rPr>
        <w:t>7</w:t>
      </w:r>
      <w:r>
        <w:t>. In combination, these rules ensure that any top-up tax arising is paid by the MNE, without causing double taxation. In summary, the key rules are:</w:t>
      </w:r>
    </w:p>
    <w:p w14:paraId="45F2C710" w14:textId="5D7C4E03" w:rsidR="00C1113B" w:rsidRDefault="00C1113B" w:rsidP="00C028F0">
      <w:pPr>
        <w:pStyle w:val="NumberedParagraph-BulletL1"/>
      </w:pPr>
      <w:r w:rsidRPr="00D128F5">
        <w:rPr>
          <w:i/>
          <w:iCs/>
        </w:rPr>
        <w:t>Income Inclusion Rule</w:t>
      </w:r>
      <w:r w:rsidRPr="00D128F5">
        <w:t xml:space="preserve"> (</w:t>
      </w:r>
      <w:r w:rsidRPr="0066783D">
        <w:t>IIR</w:t>
      </w:r>
      <w:r w:rsidRPr="00D128F5">
        <w:t>).</w:t>
      </w:r>
      <w:r>
        <w:t xml:space="preserve"> The IIR works on a ‘top-down’ basis, by imposing top-up tax on a parent entity in an MNE. The top-up tax will usually be imposed on the MNE’s ultimate parent entity (UPE), if that parent is resident in a jurisdiction that has a qualified IIR.</w:t>
      </w:r>
      <w:r>
        <w:rPr>
          <w:rStyle w:val="FootnoteReference"/>
        </w:rPr>
        <w:footnoteReference w:id="6"/>
      </w:r>
      <w:r>
        <w:t xml:space="preserve"> There are also ordering rules that may apply if it does not, or if the group’s low-taxed entities are more than 20% owned by minority investors outside the group.</w:t>
      </w:r>
    </w:p>
    <w:p w14:paraId="53FAA131" w14:textId="64DCC882" w:rsidR="00C1113B" w:rsidRDefault="00C1113B" w:rsidP="00C028F0">
      <w:pPr>
        <w:pStyle w:val="NumberedParagraph-BulletL1"/>
      </w:pPr>
      <w:r w:rsidRPr="00976A5D">
        <w:rPr>
          <w:i/>
          <w:iCs/>
        </w:rPr>
        <w:t xml:space="preserve">Undertaxed </w:t>
      </w:r>
      <w:r>
        <w:rPr>
          <w:i/>
          <w:iCs/>
        </w:rPr>
        <w:t>Profits</w:t>
      </w:r>
      <w:r w:rsidRPr="00976A5D">
        <w:rPr>
          <w:i/>
          <w:iCs/>
        </w:rPr>
        <w:t xml:space="preserve"> Rule</w:t>
      </w:r>
      <w:r w:rsidRPr="00D128F5">
        <w:t xml:space="preserve"> (</w:t>
      </w:r>
      <w:r w:rsidRPr="0066783D">
        <w:t>UTPR</w:t>
      </w:r>
      <w:r w:rsidRPr="00D128F5">
        <w:t>).</w:t>
      </w:r>
      <w:r>
        <w:t xml:space="preserve"> The UTPR is a backstop to the IIR. If top-up tax is not fully allocated </w:t>
      </w:r>
      <w:r w:rsidR="006B57B5">
        <w:t xml:space="preserve">to parent entities </w:t>
      </w:r>
      <w:r>
        <w:t>under a qualified IIR, the top-up tax may instead need to be paid by the group’s other entities, located in jurisdictions with a UTPR. This ensures that if a jurisdiction decides not to implement the GloBE rules, MNEs cannot avoid paying the minimum 15</w:t>
      </w:r>
      <w:r w:rsidR="000600AD">
        <w:t>%</w:t>
      </w:r>
      <w:r>
        <w:t xml:space="preserve"> tax simply by moving their headquarters to that jurisdiction.</w:t>
      </w:r>
    </w:p>
    <w:p w14:paraId="64D1D9DA" w14:textId="1D553919" w:rsidR="00CF364A" w:rsidRDefault="003A17C1" w:rsidP="009F3EDF">
      <w:pPr>
        <w:pStyle w:val="NumberedParagraph"/>
      </w:pPr>
      <w:r w:rsidRPr="00114AD8">
        <w:rPr>
          <w:b/>
        </w:rPr>
        <w:t xml:space="preserve">Chapter </w:t>
      </w:r>
      <w:r w:rsidR="00795137" w:rsidRPr="00114AD8">
        <w:rPr>
          <w:b/>
        </w:rPr>
        <w:t>8</w:t>
      </w:r>
      <w:r w:rsidR="00795137">
        <w:t xml:space="preserve"> </w:t>
      </w:r>
      <w:r w:rsidR="006C0DA2">
        <w:t xml:space="preserve">explains </w:t>
      </w:r>
      <w:r w:rsidR="001609B8">
        <w:t xml:space="preserve">the </w:t>
      </w:r>
      <w:r w:rsidR="00A06C9F">
        <w:t xml:space="preserve">transition </w:t>
      </w:r>
      <w:r w:rsidR="001609B8">
        <w:t xml:space="preserve">rules that apply when </w:t>
      </w:r>
      <w:r w:rsidR="00A06C9F">
        <w:t>the GloBE rules first come into effect,</w:t>
      </w:r>
      <w:r w:rsidR="001609B8">
        <w:t xml:space="preserve"> </w:t>
      </w:r>
      <w:r w:rsidR="0089550B">
        <w:t>and when an MNE first com</w:t>
      </w:r>
      <w:r w:rsidR="006C531D">
        <w:t>es within scope of the rules</w:t>
      </w:r>
      <w:r w:rsidR="008D2B85">
        <w:t>.</w:t>
      </w:r>
    </w:p>
    <w:p w14:paraId="5FAB1ACC" w14:textId="1C5C1F54" w:rsidR="00CE5060" w:rsidRDefault="00CE5060" w:rsidP="009F3EDF">
      <w:pPr>
        <w:pStyle w:val="NumberedParagraph"/>
      </w:pPr>
      <w:r>
        <w:t xml:space="preserve">The OECD is </w:t>
      </w:r>
      <w:r w:rsidR="008B1BF2">
        <w:t xml:space="preserve">expected to </w:t>
      </w:r>
      <w:r>
        <w:t xml:space="preserve">develop some </w:t>
      </w:r>
      <w:r w:rsidR="00966322">
        <w:t xml:space="preserve">simplification measures, including possible safe harbours, in 2022. </w:t>
      </w:r>
      <w:r w:rsidR="00CB1870" w:rsidRPr="009F3EDF">
        <w:rPr>
          <w:b/>
          <w:bCs/>
        </w:rPr>
        <w:t xml:space="preserve">Chapter </w:t>
      </w:r>
      <w:r w:rsidR="00CF364A">
        <w:rPr>
          <w:b/>
          <w:bCs/>
        </w:rPr>
        <w:t>9</w:t>
      </w:r>
      <w:r w:rsidR="00CB1870">
        <w:t xml:space="preserve"> </w:t>
      </w:r>
      <w:r w:rsidR="003501EE">
        <w:t>covers</w:t>
      </w:r>
      <w:r w:rsidR="00357666">
        <w:t xml:space="preserve"> this work</w:t>
      </w:r>
      <w:r w:rsidR="009F3EDF">
        <w:t>, including a</w:t>
      </w:r>
      <w:r w:rsidR="00473616">
        <w:t xml:space="preserve"> safe harbour based on </w:t>
      </w:r>
      <w:r w:rsidR="00946BEE">
        <w:t>C</w:t>
      </w:r>
      <w:r w:rsidR="00BA3470">
        <w:t>ountry-by-</w:t>
      </w:r>
      <w:r w:rsidR="00946BEE">
        <w:t>C</w:t>
      </w:r>
      <w:r w:rsidR="00BA3470">
        <w:t xml:space="preserve">ountry </w:t>
      </w:r>
      <w:r w:rsidR="00946BEE">
        <w:t>R</w:t>
      </w:r>
      <w:r w:rsidR="00BA3470">
        <w:t>eport</w:t>
      </w:r>
      <w:r w:rsidR="00946BEE">
        <w:t>ing</w:t>
      </w:r>
      <w:r w:rsidR="00BA3470">
        <w:t xml:space="preserve"> (C</w:t>
      </w:r>
      <w:r w:rsidR="00946BEE">
        <w:t>b</w:t>
      </w:r>
      <w:r w:rsidR="00BA3470">
        <w:t>CR)</w:t>
      </w:r>
      <w:r w:rsidR="00946BEE">
        <w:t xml:space="preserve"> that </w:t>
      </w:r>
      <w:r w:rsidR="002E1D80">
        <w:t>has previously been discussed.</w:t>
      </w:r>
    </w:p>
    <w:p w14:paraId="395D1B7B" w14:textId="77777777" w:rsidR="00C1113B" w:rsidRDefault="00C1113B" w:rsidP="00D46F84">
      <w:pPr>
        <w:pStyle w:val="Heading2"/>
      </w:pPr>
      <w:bookmarkStart w:id="16" w:name="_Toc101095566"/>
      <w:r>
        <w:t>Implementation of the GloBE rules in New Zealand</w:t>
      </w:r>
      <w:bookmarkEnd w:id="16"/>
    </w:p>
    <w:p w14:paraId="5E4F39EC" w14:textId="5DB28BD7" w:rsidR="001B0AAA" w:rsidRPr="001B0AAA" w:rsidRDefault="001B0AAA" w:rsidP="008E7499">
      <w:pPr>
        <w:pStyle w:val="NumberedParagraph"/>
        <w:rPr>
          <w:snapToGrid w:val="0"/>
          <w:lang w:eastAsia="en-US"/>
        </w:rPr>
      </w:pPr>
      <w:r w:rsidRPr="00104060">
        <w:rPr>
          <w:b/>
          <w:snapToGrid w:val="0"/>
          <w:lang w:eastAsia="en-US"/>
        </w:rPr>
        <w:t xml:space="preserve">Chapter </w:t>
      </w:r>
      <w:r w:rsidR="00114AD8" w:rsidRPr="00104060">
        <w:rPr>
          <w:b/>
          <w:snapToGrid w:val="0"/>
          <w:lang w:eastAsia="en-US"/>
        </w:rPr>
        <w:t>10</w:t>
      </w:r>
      <w:r w:rsidR="00114AD8">
        <w:rPr>
          <w:snapToGrid w:val="0"/>
          <w:lang w:eastAsia="en-US"/>
        </w:rPr>
        <w:t xml:space="preserve"> discusses </w:t>
      </w:r>
      <w:r w:rsidR="00851E55">
        <w:rPr>
          <w:snapToGrid w:val="0"/>
          <w:lang w:eastAsia="en-US"/>
        </w:rPr>
        <w:t xml:space="preserve">the </w:t>
      </w:r>
      <w:r w:rsidR="00114AD8">
        <w:rPr>
          <w:snapToGrid w:val="0"/>
          <w:lang w:eastAsia="en-US"/>
        </w:rPr>
        <w:t xml:space="preserve">options for how the </w:t>
      </w:r>
      <w:r w:rsidR="00DE454B">
        <w:rPr>
          <w:snapToGrid w:val="0"/>
          <w:lang w:eastAsia="en-US"/>
        </w:rPr>
        <w:t xml:space="preserve">GloBE rules could be </w:t>
      </w:r>
      <w:r w:rsidR="00D2623A">
        <w:rPr>
          <w:snapToGrid w:val="0"/>
          <w:lang w:eastAsia="en-US"/>
        </w:rPr>
        <w:t>implemented into</w:t>
      </w:r>
      <w:r w:rsidR="00DE454B">
        <w:rPr>
          <w:snapToGrid w:val="0"/>
          <w:lang w:eastAsia="en-US"/>
        </w:rPr>
        <w:t xml:space="preserve"> New Zealand</w:t>
      </w:r>
      <w:r w:rsidR="00D2623A">
        <w:rPr>
          <w:snapToGrid w:val="0"/>
          <w:lang w:eastAsia="en-US"/>
        </w:rPr>
        <w:t>’s domestic law</w:t>
      </w:r>
      <w:r w:rsidR="008E68BC">
        <w:rPr>
          <w:snapToGrid w:val="0"/>
          <w:lang w:eastAsia="en-US"/>
        </w:rPr>
        <w:t xml:space="preserve"> and</w:t>
      </w:r>
      <w:r w:rsidR="003E4A9B">
        <w:rPr>
          <w:snapToGrid w:val="0"/>
          <w:lang w:eastAsia="en-US"/>
        </w:rPr>
        <w:t xml:space="preserve"> </w:t>
      </w:r>
      <w:r w:rsidR="00CF226E">
        <w:rPr>
          <w:snapToGrid w:val="0"/>
          <w:lang w:eastAsia="en-US"/>
        </w:rPr>
        <w:t>whether</w:t>
      </w:r>
      <w:r w:rsidR="003E4A9B">
        <w:rPr>
          <w:snapToGrid w:val="0"/>
          <w:lang w:eastAsia="en-US"/>
        </w:rPr>
        <w:t xml:space="preserve"> </w:t>
      </w:r>
      <w:r w:rsidR="00FE45A5">
        <w:rPr>
          <w:snapToGrid w:val="0"/>
          <w:lang w:eastAsia="en-US"/>
        </w:rPr>
        <w:t xml:space="preserve">implementation should be by way of </w:t>
      </w:r>
      <w:r w:rsidR="00B7031F">
        <w:rPr>
          <w:snapToGrid w:val="0"/>
          <w:lang w:eastAsia="en-US"/>
        </w:rPr>
        <w:t xml:space="preserve">amendments to </w:t>
      </w:r>
      <w:r w:rsidR="003E4A9B">
        <w:rPr>
          <w:snapToGrid w:val="0"/>
          <w:lang w:eastAsia="en-US"/>
        </w:rPr>
        <w:t xml:space="preserve">the </w:t>
      </w:r>
      <w:r w:rsidR="00B34E68">
        <w:rPr>
          <w:snapToGrid w:val="0"/>
          <w:lang w:eastAsia="en-US"/>
        </w:rPr>
        <w:t>Income Tax Act 2007</w:t>
      </w:r>
      <w:r w:rsidR="008D2B85">
        <w:rPr>
          <w:snapToGrid w:val="0"/>
          <w:lang w:eastAsia="en-US"/>
        </w:rPr>
        <w:t>.</w:t>
      </w:r>
    </w:p>
    <w:p w14:paraId="0C6C1638" w14:textId="25ABA122" w:rsidR="001B0AAA" w:rsidRDefault="001B0AAA" w:rsidP="008E7499">
      <w:pPr>
        <w:pStyle w:val="NumberedParagraph"/>
        <w:rPr>
          <w:snapToGrid w:val="0"/>
          <w:lang w:eastAsia="en-US"/>
        </w:rPr>
      </w:pPr>
      <w:r w:rsidRPr="00744706">
        <w:rPr>
          <w:b/>
          <w:snapToGrid w:val="0"/>
          <w:lang w:eastAsia="en-US"/>
        </w:rPr>
        <w:t>Chapter 1</w:t>
      </w:r>
      <w:r w:rsidR="00C56618">
        <w:rPr>
          <w:b/>
          <w:snapToGrid w:val="0"/>
          <w:lang w:eastAsia="en-US"/>
        </w:rPr>
        <w:t>1</w:t>
      </w:r>
      <w:r w:rsidRPr="00744706">
        <w:rPr>
          <w:snapToGrid w:val="0"/>
          <w:lang w:eastAsia="en-US"/>
        </w:rPr>
        <w:t xml:space="preserve"> </w:t>
      </w:r>
      <w:r w:rsidR="00FC077D" w:rsidRPr="00744706">
        <w:rPr>
          <w:snapToGrid w:val="0"/>
          <w:lang w:eastAsia="en-US"/>
        </w:rPr>
        <w:t xml:space="preserve">discusses </w:t>
      </w:r>
      <w:r w:rsidR="00105995" w:rsidRPr="00744706">
        <w:rPr>
          <w:snapToGrid w:val="0"/>
          <w:lang w:eastAsia="en-US"/>
        </w:rPr>
        <w:t xml:space="preserve">options for </w:t>
      </w:r>
      <w:r w:rsidR="00FC077D" w:rsidRPr="00744706">
        <w:rPr>
          <w:snapToGrid w:val="0"/>
          <w:lang w:eastAsia="en-US"/>
        </w:rPr>
        <w:t xml:space="preserve">how the tax allocated </w:t>
      </w:r>
      <w:r w:rsidR="00F977DB" w:rsidRPr="00744706">
        <w:rPr>
          <w:snapToGrid w:val="0"/>
          <w:lang w:eastAsia="en-US"/>
        </w:rPr>
        <w:t>to New Zealand under the</w:t>
      </w:r>
      <w:r w:rsidRPr="00744706">
        <w:rPr>
          <w:snapToGrid w:val="0"/>
          <w:lang w:eastAsia="en-US"/>
        </w:rPr>
        <w:t xml:space="preserve"> UTPR </w:t>
      </w:r>
      <w:r w:rsidR="00F977DB" w:rsidRPr="00744706">
        <w:rPr>
          <w:snapToGrid w:val="0"/>
          <w:lang w:eastAsia="en-US"/>
        </w:rPr>
        <w:t>should be brought to charge</w:t>
      </w:r>
      <w:r w:rsidR="008E7775" w:rsidRPr="00744706">
        <w:rPr>
          <w:snapToGrid w:val="0"/>
          <w:lang w:eastAsia="en-US"/>
        </w:rPr>
        <w:t>.</w:t>
      </w:r>
    </w:p>
    <w:p w14:paraId="6C28792B" w14:textId="445149A7" w:rsidR="00C56618" w:rsidRPr="00744706" w:rsidRDefault="00C56618" w:rsidP="00C56618">
      <w:pPr>
        <w:pStyle w:val="NumberedParagraph"/>
        <w:rPr>
          <w:snapToGrid w:val="0"/>
          <w:lang w:eastAsia="en-US"/>
        </w:rPr>
      </w:pPr>
      <w:r w:rsidRPr="00104060">
        <w:rPr>
          <w:b/>
          <w:snapToGrid w:val="0"/>
          <w:lang w:eastAsia="en-US"/>
        </w:rPr>
        <w:t>Chapter 1</w:t>
      </w:r>
      <w:r>
        <w:rPr>
          <w:b/>
          <w:snapToGrid w:val="0"/>
          <w:lang w:eastAsia="en-US"/>
        </w:rPr>
        <w:t>2</w:t>
      </w:r>
      <w:r w:rsidRPr="001B0AAA">
        <w:rPr>
          <w:snapToGrid w:val="0"/>
          <w:lang w:eastAsia="en-US"/>
        </w:rPr>
        <w:t xml:space="preserve"> </w:t>
      </w:r>
      <w:r>
        <w:rPr>
          <w:snapToGrid w:val="0"/>
          <w:lang w:eastAsia="en-US"/>
        </w:rPr>
        <w:t xml:space="preserve">considers </w:t>
      </w:r>
      <w:r w:rsidRPr="001B0AAA">
        <w:rPr>
          <w:snapToGrid w:val="0"/>
          <w:lang w:eastAsia="en-US"/>
        </w:rPr>
        <w:t xml:space="preserve">how </w:t>
      </w:r>
      <w:r>
        <w:rPr>
          <w:snapToGrid w:val="0"/>
          <w:lang w:eastAsia="en-US"/>
        </w:rPr>
        <w:t xml:space="preserve">the rules </w:t>
      </w:r>
      <w:r w:rsidRPr="001B0AAA">
        <w:rPr>
          <w:snapToGrid w:val="0"/>
          <w:lang w:eastAsia="en-US"/>
        </w:rPr>
        <w:t xml:space="preserve">will be administered in New Zealand. It </w:t>
      </w:r>
      <w:r w:rsidRPr="00744706">
        <w:rPr>
          <w:snapToGrid w:val="0"/>
          <w:lang w:eastAsia="en-US"/>
        </w:rPr>
        <w:t>contains proposals for the returns required to be filed, as well as how and when the tax payable under the rules should be paid.</w:t>
      </w:r>
    </w:p>
    <w:p w14:paraId="08BFDD75" w14:textId="3FFFE721" w:rsidR="001B0AAA" w:rsidRPr="001B0AAA" w:rsidRDefault="001B0AAA" w:rsidP="008E7499">
      <w:pPr>
        <w:pStyle w:val="NumberedParagraph"/>
        <w:rPr>
          <w:snapToGrid w:val="0"/>
          <w:lang w:eastAsia="en-US"/>
        </w:rPr>
      </w:pPr>
      <w:r w:rsidRPr="00744706">
        <w:rPr>
          <w:b/>
          <w:snapToGrid w:val="0"/>
          <w:lang w:eastAsia="en-US"/>
        </w:rPr>
        <w:t>Chapter 1</w:t>
      </w:r>
      <w:r w:rsidR="008E7775" w:rsidRPr="00744706">
        <w:rPr>
          <w:b/>
          <w:snapToGrid w:val="0"/>
          <w:lang w:eastAsia="en-US"/>
        </w:rPr>
        <w:t>3</w:t>
      </w:r>
      <w:r w:rsidRPr="00744706">
        <w:rPr>
          <w:snapToGrid w:val="0"/>
          <w:lang w:eastAsia="en-US"/>
        </w:rPr>
        <w:t xml:space="preserve"> explains how </w:t>
      </w:r>
      <w:r w:rsidR="008E7775" w:rsidRPr="00744706">
        <w:rPr>
          <w:snapToGrid w:val="0"/>
          <w:lang w:eastAsia="en-US"/>
        </w:rPr>
        <w:t>the</w:t>
      </w:r>
      <w:r w:rsidR="008E7775">
        <w:rPr>
          <w:snapToGrid w:val="0"/>
          <w:lang w:eastAsia="en-US"/>
        </w:rPr>
        <w:t xml:space="preserve"> GloBE rules are </w:t>
      </w:r>
      <w:r w:rsidRPr="001B0AAA">
        <w:rPr>
          <w:snapToGrid w:val="0"/>
          <w:lang w:eastAsia="en-US"/>
        </w:rPr>
        <w:t>proposed to interact with New Zealand’s imputation system.</w:t>
      </w:r>
    </w:p>
    <w:p w14:paraId="4481EA5C" w14:textId="55DFE2DB" w:rsidR="00702836" w:rsidRDefault="001B0AAA" w:rsidP="0038201B">
      <w:pPr>
        <w:pStyle w:val="NumberedParagraph"/>
        <w:spacing w:after="0"/>
        <w:rPr>
          <w:snapToGrid w:val="0"/>
          <w:lang w:eastAsia="en-US"/>
        </w:rPr>
      </w:pPr>
      <w:r w:rsidRPr="00A80970">
        <w:rPr>
          <w:b/>
          <w:snapToGrid w:val="0"/>
          <w:lang w:eastAsia="en-US"/>
        </w:rPr>
        <w:t xml:space="preserve">Chapter </w:t>
      </w:r>
      <w:r w:rsidRPr="00A80970">
        <w:rPr>
          <w:b/>
          <w:bCs/>
          <w:snapToGrid w:val="0"/>
          <w:lang w:eastAsia="en-US"/>
        </w:rPr>
        <w:t>1</w:t>
      </w:r>
      <w:r w:rsidR="00A80970" w:rsidRPr="00A80970">
        <w:rPr>
          <w:b/>
          <w:bCs/>
          <w:snapToGrid w:val="0"/>
          <w:lang w:eastAsia="en-US"/>
        </w:rPr>
        <w:t>4</w:t>
      </w:r>
      <w:r w:rsidRPr="001B0AAA">
        <w:rPr>
          <w:snapToGrid w:val="0"/>
          <w:lang w:eastAsia="en-US"/>
        </w:rPr>
        <w:t xml:space="preserve"> discusses a possible domestic minimum </w:t>
      </w:r>
      <w:r w:rsidR="00ED6FAE">
        <w:rPr>
          <w:snapToGrid w:val="0"/>
          <w:lang w:eastAsia="en-US"/>
        </w:rPr>
        <w:t xml:space="preserve">top-up </w:t>
      </w:r>
      <w:r w:rsidRPr="001B0AAA">
        <w:rPr>
          <w:snapToGrid w:val="0"/>
          <w:lang w:eastAsia="en-US"/>
        </w:rPr>
        <w:t>tax</w:t>
      </w:r>
      <w:r w:rsidR="00907DAB">
        <w:rPr>
          <w:snapToGrid w:val="0"/>
          <w:lang w:eastAsia="en-US"/>
        </w:rPr>
        <w:t>, which would apply to low-tax New Zealand profits made by in-scope MNEs</w:t>
      </w:r>
      <w:r w:rsidRPr="001B0AAA">
        <w:rPr>
          <w:snapToGrid w:val="0"/>
          <w:lang w:eastAsia="en-US"/>
        </w:rPr>
        <w:t>.</w:t>
      </w:r>
    </w:p>
    <w:p w14:paraId="090ECF11" w14:textId="7F2243B1" w:rsidR="00AE4D7C" w:rsidRPr="00B6075E" w:rsidRDefault="00AE4D7C" w:rsidP="0038201B">
      <w:pPr>
        <w:pStyle w:val="NumberedParagraph"/>
        <w:spacing w:after="0"/>
        <w:rPr>
          <w:snapToGrid w:val="0"/>
          <w:lang w:eastAsia="en-US"/>
        </w:rPr>
      </w:pPr>
      <w:r w:rsidRPr="005E7767">
        <w:rPr>
          <w:b/>
          <w:bCs/>
          <w:snapToGrid w:val="0"/>
          <w:lang w:eastAsia="en-US"/>
        </w:rPr>
        <w:lastRenderedPageBreak/>
        <w:t>Ch</w:t>
      </w:r>
      <w:r w:rsidRPr="0005093A">
        <w:rPr>
          <w:b/>
          <w:bCs/>
          <w:snapToGrid w:val="0"/>
          <w:lang w:eastAsia="en-US"/>
        </w:rPr>
        <w:t>apter 15</w:t>
      </w:r>
      <w:r w:rsidRPr="00AE4D7C">
        <w:rPr>
          <w:snapToGrid w:val="0"/>
          <w:lang w:eastAsia="en-US"/>
        </w:rPr>
        <w:t xml:space="preserve"> discusses how GloBE taxes paid to other countries should be treated for purposes of calculating income and tax liabilities of NZ taxpayers, on the basis that this may require some amendment to current law, whether or not New Zealand adopts GloBE rules.</w:t>
      </w:r>
    </w:p>
    <w:p w14:paraId="67367615" w14:textId="2D1B2415" w:rsidR="00E22D08" w:rsidRDefault="00B23C09" w:rsidP="00E22D08">
      <w:pPr>
        <w:pStyle w:val="Heading1"/>
      </w:pPr>
      <w:r>
        <w:lastRenderedPageBreak/>
        <w:br/>
      </w:r>
      <w:r>
        <w:br/>
      </w:r>
      <w:bookmarkStart w:id="17" w:name="_Toc101095567"/>
      <w:r w:rsidR="00790BDF">
        <w:t xml:space="preserve">Should New Zealand adopt </w:t>
      </w:r>
      <w:r w:rsidR="00FF5B56">
        <w:t>G</w:t>
      </w:r>
      <w:r w:rsidR="00790BDF">
        <w:t>lo</w:t>
      </w:r>
      <w:r w:rsidR="00FF5B56">
        <w:t>BE</w:t>
      </w:r>
      <w:r w:rsidR="00790BDF">
        <w:t xml:space="preserve"> rules</w:t>
      </w:r>
      <w:bookmarkEnd w:id="17"/>
    </w:p>
    <w:p w14:paraId="3787911D" w14:textId="77777777" w:rsidR="001D6BE1" w:rsidRDefault="000D6A89" w:rsidP="00FF5B56">
      <w:pPr>
        <w:pStyle w:val="Heading2"/>
      </w:pPr>
      <w:bookmarkStart w:id="18" w:name="_Toc101095568"/>
      <w:r>
        <w:t>Overview</w:t>
      </w:r>
      <w:bookmarkEnd w:id="18"/>
    </w:p>
    <w:p w14:paraId="71C9D20C" w14:textId="7AB74738" w:rsidR="001D6BE1" w:rsidRPr="001D6BE1" w:rsidRDefault="001D6BE1" w:rsidP="001D6BE1">
      <w:pPr>
        <w:pStyle w:val="NumberedParagraph"/>
      </w:pPr>
      <w:r>
        <w:t xml:space="preserve">This chapter considers whether or not New Zealand should adopt GloBE </w:t>
      </w:r>
      <w:proofErr w:type="gramStart"/>
      <w:r>
        <w:t>rules</w:t>
      </w:r>
      <w:r w:rsidR="00D63809">
        <w:t>, if</w:t>
      </w:r>
      <w:proofErr w:type="gramEnd"/>
      <w:r w:rsidR="00D63809">
        <w:t xml:space="preserve"> a critical mass of other countries does so</w:t>
      </w:r>
      <w:r w:rsidR="008D2B85">
        <w:t xml:space="preserve">. </w:t>
      </w:r>
      <w:r w:rsidR="001E52F8">
        <w:t>It also briefly considers the issue of timing</w:t>
      </w:r>
      <w:r w:rsidR="008D2B85">
        <w:t>.</w:t>
      </w:r>
    </w:p>
    <w:p w14:paraId="3B7C4158" w14:textId="6B871041" w:rsidR="00FF5B56" w:rsidRDefault="00FF5B56" w:rsidP="00FF5B56">
      <w:pPr>
        <w:pStyle w:val="Heading2"/>
      </w:pPr>
      <w:bookmarkStart w:id="19" w:name="_Toc101095569"/>
      <w:r>
        <w:t>Whether New Zealand should adopt GloBE rules</w:t>
      </w:r>
      <w:bookmarkEnd w:id="19"/>
    </w:p>
    <w:p w14:paraId="5A2B070D" w14:textId="47ACB9F9" w:rsidR="00914C2B" w:rsidRDefault="008C668B" w:rsidP="009D731E">
      <w:pPr>
        <w:pStyle w:val="NumberedParagraph"/>
      </w:pPr>
      <w:r>
        <w:t>The GloBE rules will only work as intended if they are adopted by a critical mass of countries</w:t>
      </w:r>
      <w:r w:rsidR="00795A42">
        <w:t>. A critical mass would be</w:t>
      </w:r>
      <w:r>
        <w:t xml:space="preserve"> sufficient </w:t>
      </w:r>
      <w:r w:rsidR="00856B54">
        <w:t xml:space="preserve">to ensure that MNEs </w:t>
      </w:r>
      <w:r w:rsidR="00B06CF9">
        <w:t xml:space="preserve">generally </w:t>
      </w:r>
      <w:r w:rsidR="00856B54">
        <w:t>cannot avoid the minimum tax by choosing where to locate the</w:t>
      </w:r>
      <w:r w:rsidR="00374BC4">
        <w:t>mselves</w:t>
      </w:r>
      <w:r w:rsidR="008D2B85">
        <w:t xml:space="preserve">. </w:t>
      </w:r>
      <w:r w:rsidR="00795A42">
        <w:t>This will be achieved, in relation to a particular MNE group, if the amount of tax that can be raised under the UTPR (that is, by denying deductions in Pillar 2 countries) is at least equal to the required amount of top-up tax</w:t>
      </w:r>
      <w:r w:rsidR="008D2B85">
        <w:t xml:space="preserve">. </w:t>
      </w:r>
      <w:r w:rsidR="007D2E95">
        <w:t>Therefore officials currently do not see much benefit in</w:t>
      </w:r>
      <w:r w:rsidR="00A569AC">
        <w:t xml:space="preserve"> New Zealand “going it alone”</w:t>
      </w:r>
      <w:r w:rsidR="00612490">
        <w:t xml:space="preserve"> and adopting GloBE rules without that critical mass</w:t>
      </w:r>
      <w:r w:rsidR="008D2B85">
        <w:t>.</w:t>
      </w:r>
    </w:p>
    <w:p w14:paraId="3363AF40" w14:textId="3154341A" w:rsidR="00914CF1" w:rsidRDefault="00914CF1" w:rsidP="009D731E">
      <w:pPr>
        <w:pStyle w:val="NumberedParagraph"/>
      </w:pPr>
      <w:r>
        <w:t xml:space="preserve">The question of whether New Zealand should adopt GloBE rules </w:t>
      </w:r>
      <w:r w:rsidR="00DB7945">
        <w:t xml:space="preserve">therefore </w:t>
      </w:r>
      <w:r>
        <w:t>presents a somewhat different set of issues from those that usually arise in considering the desirability of a tax measure</w:t>
      </w:r>
      <w:r w:rsidR="00C028F0">
        <w:t xml:space="preserve">. </w:t>
      </w:r>
      <w:r>
        <w:t>Generally the issues involve a comparison between a world with and without the measure</w:t>
      </w:r>
      <w:r w:rsidR="00C028F0">
        <w:t xml:space="preserve">. </w:t>
      </w:r>
      <w:r>
        <w:t>This requires consideration of the position of both affected taxpayers (and potential taxpayers) and New Zealand as a whole</w:t>
      </w:r>
      <w:r w:rsidR="00C028F0">
        <w:t xml:space="preserve">. </w:t>
      </w:r>
      <w:r>
        <w:t xml:space="preserve">However, the GloBE rules, and particularly the UTPR, are designed so that all MNEs will be subject to the rules, regardless of </w:t>
      </w:r>
      <w:r w:rsidR="00F2304B">
        <w:t xml:space="preserve">whether </w:t>
      </w:r>
      <w:r>
        <w:t>the top entity in the group, or any other group entity, is incorporated or tax resident</w:t>
      </w:r>
      <w:r w:rsidR="00F2304B">
        <w:t xml:space="preserve"> in a country that has a</w:t>
      </w:r>
      <w:r w:rsidR="009378CD">
        <w:t>dopted the rules</w:t>
      </w:r>
      <w:r>
        <w:t>.</w:t>
      </w:r>
    </w:p>
    <w:p w14:paraId="491E7BE8" w14:textId="486750D6" w:rsidR="00914CF1" w:rsidRDefault="00914CF1" w:rsidP="009D731E">
      <w:pPr>
        <w:pStyle w:val="NumberedParagraph"/>
      </w:pPr>
      <w:r>
        <w:t>Accordingly, in-scope MNEs, including those headquartered or operating in New Zealand, will have the same liability under the GloBE rules whether New Zealand adopts the rules or not</w:t>
      </w:r>
      <w:r w:rsidR="00C028F0">
        <w:t xml:space="preserve">. </w:t>
      </w:r>
      <w:r>
        <w:t>Provided a critical mass of other countries adopt the rules, for in-scope MNEs, there is no world without the tax and compliance costs imposed by the rules</w:t>
      </w:r>
      <w:r w:rsidR="00C028F0">
        <w:t>.</w:t>
      </w:r>
    </w:p>
    <w:p w14:paraId="3CC5E1F8" w14:textId="065F853E" w:rsidR="00914CF1" w:rsidRDefault="00914CF1" w:rsidP="009D731E">
      <w:pPr>
        <w:pStyle w:val="NumberedParagraph"/>
      </w:pPr>
      <w:r>
        <w:t xml:space="preserve">The only impact for New Zealand from not adopting GloBE </w:t>
      </w:r>
      <w:r w:rsidR="004C0D50">
        <w:t>r</w:t>
      </w:r>
      <w:r>
        <w:t>ules is that it forgoes the possibility of receiving any revenue from them</w:t>
      </w:r>
      <w:r w:rsidR="00C028F0">
        <w:t xml:space="preserve">. </w:t>
      </w:r>
      <w:r>
        <w:t>Non-adoption will not increase the competitiveness or reduce the compliance costs of New Zealand headquartered groups</w:t>
      </w:r>
      <w:r w:rsidR="00C028F0">
        <w:t xml:space="preserve">. </w:t>
      </w:r>
      <w:r>
        <w:t>Nor will it make New Zealand a more attractive destination for foreign MNE investment.</w:t>
      </w:r>
    </w:p>
    <w:p w14:paraId="12C1CB1C" w14:textId="7AD08281" w:rsidR="00914CF1" w:rsidRDefault="00914CF1" w:rsidP="009D731E">
      <w:pPr>
        <w:pStyle w:val="NumberedParagraph"/>
      </w:pPr>
      <w:r>
        <w:t xml:space="preserve">The amount of </w:t>
      </w:r>
      <w:r w:rsidR="009378CD">
        <w:t xml:space="preserve">direct </w:t>
      </w:r>
      <w:r>
        <w:t>revenue at stake for New Zealand may be modest</w:t>
      </w:r>
      <w:r w:rsidR="00C028F0">
        <w:t xml:space="preserve">. </w:t>
      </w:r>
      <w:r>
        <w:t>Officials expect that around 20-25 New Zealand groups will be in scope, and that there will be relatively few foreign MNEs with a material portion of their employees or assets in New Zealand that are not already subject to an IIR or the US GILTI regime</w:t>
      </w:r>
      <w:r w:rsidR="00E537C9">
        <w:t>.</w:t>
      </w:r>
      <w:r>
        <w:rPr>
          <w:rStyle w:val="FootnoteReference"/>
        </w:rPr>
        <w:footnoteReference w:id="7"/>
      </w:r>
      <w:r>
        <w:t xml:space="preserve"> However, while few in number the in-scope New Zealand groups are very large businesses in a New Zealand context</w:t>
      </w:r>
      <w:r w:rsidR="00C028F0">
        <w:t xml:space="preserve">. </w:t>
      </w:r>
      <w:r>
        <w:t xml:space="preserve">And they may find it much easier to pay Pillar </w:t>
      </w:r>
      <w:r w:rsidR="006A729C">
        <w:t>Two</w:t>
      </w:r>
      <w:r>
        <w:t xml:space="preserve"> tax only to New Zealand under the IIR than </w:t>
      </w:r>
      <w:proofErr w:type="gramStart"/>
      <w:r>
        <w:t>to</w:t>
      </w:r>
      <w:proofErr w:type="gramEnd"/>
      <w:r>
        <w:t xml:space="preserve"> many other countries under their UTPRs.</w:t>
      </w:r>
    </w:p>
    <w:p w14:paraId="1273C95F" w14:textId="3E94F13E" w:rsidR="0064655F" w:rsidRDefault="0064655F" w:rsidP="0064655F">
      <w:pPr>
        <w:pStyle w:val="NumberedParagraph"/>
      </w:pPr>
      <w:r>
        <w:lastRenderedPageBreak/>
        <w:t>The same feature of the GloBE rules means that the rules will also provide a significant benefit to New Zealand even if we do not adopt them</w:t>
      </w:r>
      <w:r w:rsidR="008D2B85">
        <w:t xml:space="preserve">. </w:t>
      </w:r>
      <w:r>
        <w:t>This is the benefit of reducing the incentive for MNEs to shift profits out of New Zealand</w:t>
      </w:r>
      <w:r w:rsidR="008D2B85">
        <w:t xml:space="preserve">. </w:t>
      </w:r>
      <w:r>
        <w:t xml:space="preserve">Currently, MNEs can save as much as 28 cents in the dollar by moving income out of New Zealand into a </w:t>
      </w:r>
      <w:proofErr w:type="gramStart"/>
      <w:r>
        <w:t>zero tax</w:t>
      </w:r>
      <w:proofErr w:type="gramEnd"/>
      <w:r>
        <w:t xml:space="preserve"> country</w:t>
      </w:r>
      <w:r w:rsidR="00602763">
        <w:t xml:space="preserve"> (imputation reduces the incentive for New Zealand groups to shift profits out of New Zealand, but has no effect on foreign groups</w:t>
      </w:r>
      <w:r w:rsidR="00F4266B">
        <w:t xml:space="preserve"> operating in New Zealand</w:t>
      </w:r>
      <w:r w:rsidR="00602763">
        <w:t>)</w:t>
      </w:r>
      <w:r w:rsidR="008D2B85">
        <w:t xml:space="preserve">. </w:t>
      </w:r>
      <w:r>
        <w:t>The GloBE rules should reduce this</w:t>
      </w:r>
      <w:r w:rsidR="009378CD">
        <w:t xml:space="preserve"> tax saving</w:t>
      </w:r>
      <w:r>
        <w:t xml:space="preserve"> to </w:t>
      </w:r>
      <w:r w:rsidR="00E041E6">
        <w:t xml:space="preserve">a maximum of </w:t>
      </w:r>
      <w:r>
        <w:t xml:space="preserve">13 cents in the </w:t>
      </w:r>
      <w:proofErr w:type="gramStart"/>
      <w:r>
        <w:t>dollar, and</w:t>
      </w:r>
      <w:proofErr w:type="gramEnd"/>
      <w:r>
        <w:t xml:space="preserve"> should thus reduce the incidence of such profit shifting</w:t>
      </w:r>
      <w:r w:rsidR="008D2B85">
        <w:t xml:space="preserve">. </w:t>
      </w:r>
      <w:r w:rsidR="00772E4A">
        <w:t>This is the main</w:t>
      </w:r>
      <w:r>
        <w:t xml:space="preserve"> benefit of</w:t>
      </w:r>
      <w:r w:rsidR="00772E4A">
        <w:t xml:space="preserve"> Glo</w:t>
      </w:r>
      <w:r w:rsidR="006872DB">
        <w:t>BE</w:t>
      </w:r>
      <w:r w:rsidR="00772E4A">
        <w:t xml:space="preserve"> rules for</w:t>
      </w:r>
      <w:r>
        <w:t xml:space="preserve"> New Zealand</w:t>
      </w:r>
      <w:r w:rsidR="008D2B85">
        <w:t>.</w:t>
      </w:r>
    </w:p>
    <w:p w14:paraId="32B0589A" w14:textId="3874ABE7" w:rsidR="00914CF1" w:rsidRDefault="00914CF1" w:rsidP="009D731E">
      <w:pPr>
        <w:pStyle w:val="NumberedParagraph"/>
      </w:pPr>
      <w:r>
        <w:t xml:space="preserve">The above analysis assumes that GloBE </w:t>
      </w:r>
      <w:r w:rsidR="00464DD3">
        <w:t>r</w:t>
      </w:r>
      <w:r>
        <w:t>ules will be enacted by a critical mass of countries, so that the UTPR is indeed an effective back-stop</w:t>
      </w:r>
      <w:r w:rsidR="00C028F0">
        <w:t xml:space="preserve">. </w:t>
      </w:r>
      <w:r>
        <w:t>The UK</w:t>
      </w:r>
      <w:r w:rsidR="00681A82">
        <w:t>, Canada</w:t>
      </w:r>
      <w:r>
        <w:t xml:space="preserve"> and EU countries </w:t>
      </w:r>
      <w:r w:rsidR="00E041E6">
        <w:t xml:space="preserve">are taking steps towards </w:t>
      </w:r>
      <w:r>
        <w:t>adopting the rules</w:t>
      </w:r>
      <w:r w:rsidR="00C028F0">
        <w:t xml:space="preserve">. </w:t>
      </w:r>
      <w:r w:rsidR="00A733E9">
        <w:t>If Australia also adopts the rules, that</w:t>
      </w:r>
      <w:r>
        <w:t xml:space="preserve"> may constitute a critical mass, at least for New Zealand headquartered MNEs.</w:t>
      </w:r>
    </w:p>
    <w:p w14:paraId="6EB405A4" w14:textId="72F7A6A5" w:rsidR="00914CF1" w:rsidRDefault="00914CF1" w:rsidP="009D731E">
      <w:pPr>
        <w:pStyle w:val="NumberedParagraph"/>
      </w:pPr>
      <w:r>
        <w:t xml:space="preserve">Another relevant consideration, particularly if there is some uncertainty about whether a critical mass of countries will adopt the rules, is that </w:t>
      </w:r>
      <w:r w:rsidR="00D22A04">
        <w:t>the GloBE rules are</w:t>
      </w:r>
      <w:r>
        <w:t xml:space="preserve"> consistent with New Zealand’s approach to taxation of corporate income generally</w:t>
      </w:r>
      <w:r w:rsidR="00C028F0">
        <w:t xml:space="preserve">. </w:t>
      </w:r>
      <w:r w:rsidR="00D22A04">
        <w:t xml:space="preserve">The effect of the GloBE rules in reducing profit shifting is </w:t>
      </w:r>
      <w:r w:rsidR="00A2797A">
        <w:t>clearly in New Zealand’s interests, and this suggest</w:t>
      </w:r>
      <w:r w:rsidR="00F4266B">
        <w:t>s</w:t>
      </w:r>
      <w:r w:rsidR="00A2797A">
        <w:t xml:space="preserve"> </w:t>
      </w:r>
      <w:r w:rsidR="00557465">
        <w:t xml:space="preserve">that if </w:t>
      </w:r>
      <w:r w:rsidR="00A2797A">
        <w:t>New Zealand</w:t>
      </w:r>
      <w:r w:rsidR="00557465">
        <w:t>’s participation is of any significance,</w:t>
      </w:r>
      <w:r w:rsidR="00C01A35">
        <w:t xml:space="preserve"> </w:t>
      </w:r>
      <w:r w:rsidR="00C32967">
        <w:t xml:space="preserve">it </w:t>
      </w:r>
      <w:r w:rsidR="00A2797A">
        <w:t>should do</w:t>
      </w:r>
      <w:r w:rsidR="00C32967">
        <w:t xml:space="preserve"> </w:t>
      </w:r>
      <w:r w:rsidR="00A2797A">
        <w:t>its part to support adoption of the rules by enacting them itself</w:t>
      </w:r>
      <w:r w:rsidR="008D2B85">
        <w:t>.</w:t>
      </w:r>
    </w:p>
    <w:p w14:paraId="40AEF5C9" w14:textId="77F46BE2" w:rsidR="00914CF1" w:rsidRDefault="00914CF1" w:rsidP="003F1E16">
      <w:pPr>
        <w:pStyle w:val="NumberedParagraph"/>
      </w:pPr>
      <w:r>
        <w:t>Equity considerations may also be relevant</w:t>
      </w:r>
      <w:r w:rsidR="00C028F0">
        <w:t xml:space="preserve">. </w:t>
      </w:r>
      <w:r>
        <w:t xml:space="preserve">Both the current proposals, and the first round of BEPS reforms, are focussed on removing or reducing the tax planning opportunities enjoyed by MNEs by virtue of the fact that they are </w:t>
      </w:r>
      <w:proofErr w:type="gramStart"/>
      <w:r>
        <w:t>multinational, and</w:t>
      </w:r>
      <w:proofErr w:type="gramEnd"/>
      <w:r>
        <w:t xml:space="preserve"> can take advantage of tax-favourable regimes in a wide range of countries, as well as gaps where country rules are not co-ordinated</w:t>
      </w:r>
      <w:r w:rsidR="00C028F0">
        <w:t xml:space="preserve">. </w:t>
      </w:r>
      <w:r>
        <w:t>This is not the case for other businesses</w:t>
      </w:r>
      <w:r w:rsidR="00C028F0">
        <w:t xml:space="preserve">. </w:t>
      </w:r>
      <w:r>
        <w:t xml:space="preserve">The GloBE </w:t>
      </w:r>
      <w:r w:rsidR="00670F15">
        <w:t>rules</w:t>
      </w:r>
      <w:r>
        <w:t xml:space="preserve"> will reduce (though they will still not eliminate) the tax advantages enjoyed by MNEs over purely domestic New Zealand businesses</w:t>
      </w:r>
      <w:r w:rsidR="00C028F0">
        <w:t xml:space="preserve">. </w:t>
      </w:r>
      <w:r>
        <w:t xml:space="preserve">Reinforcing corporate taxation of MNEs will also play a role in ensuring that shareholders in these </w:t>
      </w:r>
      <w:proofErr w:type="gramStart"/>
      <w:r>
        <w:t>companies</w:t>
      </w:r>
      <w:proofErr w:type="gramEnd"/>
      <w:r>
        <w:t xml:space="preserve"> shoulder (indirectly) a greater share of national tax burdens.</w:t>
      </w:r>
    </w:p>
    <w:p w14:paraId="3B8A6C3B" w14:textId="4AD5A92A" w:rsidR="00F821E4" w:rsidRDefault="00F048C6" w:rsidP="001E3AF7">
      <w:pPr>
        <w:pStyle w:val="Heading2"/>
      </w:pPr>
      <w:bookmarkStart w:id="20" w:name="_Toc101095570"/>
      <w:r>
        <w:t xml:space="preserve">Officials’ </w:t>
      </w:r>
      <w:r w:rsidR="00511D97">
        <w:t>view</w:t>
      </w:r>
      <w:bookmarkEnd w:id="20"/>
    </w:p>
    <w:p w14:paraId="30F99881" w14:textId="21C100F4" w:rsidR="00055B13" w:rsidRDefault="00EC7C6B" w:rsidP="00A44FBA">
      <w:pPr>
        <w:pStyle w:val="NumberedParagraph"/>
      </w:pPr>
      <w:r>
        <w:t xml:space="preserve">The Government has not </w:t>
      </w:r>
      <w:r w:rsidR="00B60893">
        <w:t>decided</w:t>
      </w:r>
      <w:r>
        <w:t xml:space="preserve"> whether to adopt GloBE rules. </w:t>
      </w:r>
      <w:r w:rsidR="00511D97">
        <w:t xml:space="preserve">Officials’ </w:t>
      </w:r>
      <w:r w:rsidR="000A30BC">
        <w:t xml:space="preserve">current </w:t>
      </w:r>
      <w:r w:rsidR="00511D97">
        <w:t xml:space="preserve">view is that if a critical mass of countries adopts, or </w:t>
      </w:r>
      <w:r w:rsidR="005355BB">
        <w:t>is highly like</w:t>
      </w:r>
      <w:r w:rsidR="00EB1C5D">
        <w:t xml:space="preserve">ly to adopt, </w:t>
      </w:r>
      <w:r w:rsidR="00511D97">
        <w:t xml:space="preserve">GloBE rules, </w:t>
      </w:r>
      <w:r w:rsidR="00B60893">
        <w:t xml:space="preserve">we </w:t>
      </w:r>
      <w:r w:rsidR="00E75F67">
        <w:t>w</w:t>
      </w:r>
      <w:r w:rsidR="00B60893">
        <w:t xml:space="preserve">ould recommend that </w:t>
      </w:r>
      <w:r w:rsidR="00511D97">
        <w:t>New Zealand take steps</w:t>
      </w:r>
      <w:r w:rsidR="00BE166E">
        <w:t xml:space="preserve"> to join them</w:t>
      </w:r>
      <w:r w:rsidR="008D2B85">
        <w:t xml:space="preserve">. </w:t>
      </w:r>
      <w:r w:rsidR="00534E36">
        <w:t>This will ensure New Zealand rather than other countries collects the revenue from any undertaxed constituent entities of New Zealand headquartered groups</w:t>
      </w:r>
      <w:r w:rsidR="008D2B85">
        <w:t xml:space="preserve">. </w:t>
      </w:r>
      <w:r w:rsidR="00534E36">
        <w:t>It w</w:t>
      </w:r>
      <w:r w:rsidR="00DE67CE">
        <w:t>ill also</w:t>
      </w:r>
      <w:r w:rsidR="008F276C">
        <w:t xml:space="preserve"> ensure that New Zealand is seen to be playing its part in the global minimum tax project, which</w:t>
      </w:r>
      <w:r w:rsidR="00DE67CE">
        <w:t xml:space="preserve"> </w:t>
      </w:r>
      <w:r w:rsidR="00071CAC">
        <w:t>New Zealand can expect</w:t>
      </w:r>
      <w:r w:rsidR="00DE67CE">
        <w:t xml:space="preserve"> to </w:t>
      </w:r>
      <w:r w:rsidR="00071CAC">
        <w:t>benefit from significantly.</w:t>
      </w:r>
    </w:p>
    <w:p w14:paraId="27586E24" w14:textId="77777777" w:rsidR="00914CF1" w:rsidRDefault="00914CF1" w:rsidP="003247E4">
      <w:pPr>
        <w:pStyle w:val="Heading2"/>
      </w:pPr>
      <w:bookmarkStart w:id="21" w:name="_Toc95301040"/>
      <w:bookmarkStart w:id="22" w:name="_Toc101095571"/>
      <w:r>
        <w:t>Timing of adoption</w:t>
      </w:r>
      <w:bookmarkEnd w:id="21"/>
      <w:bookmarkEnd w:id="22"/>
    </w:p>
    <w:p w14:paraId="620596F1" w14:textId="1AB55809" w:rsidR="00914CF1" w:rsidRDefault="00914CF1" w:rsidP="003247E4">
      <w:pPr>
        <w:pStyle w:val="NumberedParagraph"/>
      </w:pPr>
      <w:r>
        <w:t xml:space="preserve">According to the October statement, </w:t>
      </w:r>
      <w:r w:rsidR="00CE026C">
        <w:t>countries</w:t>
      </w:r>
      <w:r w:rsidR="00686840">
        <w:t xml:space="preserve"> that wish to adopt </w:t>
      </w:r>
      <w:r w:rsidR="00DF7DA4">
        <w:t>Pillar</w:t>
      </w:r>
      <w:r w:rsidR="00686840">
        <w:t xml:space="preserve"> Two</w:t>
      </w:r>
      <w:r w:rsidR="00CE026C">
        <w:t xml:space="preserve"> should bring </w:t>
      </w:r>
      <w:r>
        <w:t>the IIR into law in 2022, to be effective in 2023, with the UTPR coming into effect in 2024.</w:t>
      </w:r>
    </w:p>
    <w:p w14:paraId="453F5A7E" w14:textId="4C537CC3" w:rsidR="00914CF1" w:rsidRPr="004E36DE" w:rsidRDefault="00914CF1" w:rsidP="003247E4">
      <w:pPr>
        <w:pStyle w:val="NumberedParagraph"/>
      </w:pPr>
      <w:r>
        <w:t xml:space="preserve">If New Zealand decides to adopt GloBE Rules, legislation </w:t>
      </w:r>
      <w:proofErr w:type="gramStart"/>
      <w:r w:rsidR="000A30BC">
        <w:t>would</w:t>
      </w:r>
      <w:proofErr w:type="gramEnd"/>
      <w:r w:rsidR="000A30BC">
        <w:t xml:space="preserve"> need to </w:t>
      </w:r>
      <w:r>
        <w:t xml:space="preserve">be passed to incorporate the rules into </w:t>
      </w:r>
      <w:r w:rsidRPr="004E36DE">
        <w:t xml:space="preserve">domestic law. Options for how GloBE rules could be so incorporated are set out in Chapter </w:t>
      </w:r>
      <w:r w:rsidR="00803B39" w:rsidRPr="004E36DE">
        <w:t>10</w:t>
      </w:r>
      <w:r w:rsidRPr="004E36DE">
        <w:t>.</w:t>
      </w:r>
    </w:p>
    <w:p w14:paraId="0127FF4F" w14:textId="044E519C" w:rsidR="00790BDF" w:rsidRDefault="004F4F3C" w:rsidP="003247E4">
      <w:pPr>
        <w:pStyle w:val="NumberedParagraph"/>
      </w:pPr>
      <w:r>
        <w:lastRenderedPageBreak/>
        <w:t xml:space="preserve">It is hoped that a </w:t>
      </w:r>
      <w:r w:rsidR="00C458AF">
        <w:t>B</w:t>
      </w:r>
      <w:r>
        <w:t xml:space="preserve">ill would be </w:t>
      </w:r>
      <w:r w:rsidR="009E6E7A">
        <w:t>enacted</w:t>
      </w:r>
      <w:r>
        <w:t xml:space="preserve"> in </w:t>
      </w:r>
      <w:r w:rsidR="009E6E7A">
        <w:t xml:space="preserve">2023 following </w:t>
      </w:r>
      <w:r w:rsidR="00914CF1" w:rsidRPr="004E36DE">
        <w:t>New Zealand’s generic tax policy process</w:t>
      </w:r>
      <w:r w:rsidR="00914CF1">
        <w:t xml:space="preserve"> and legislative </w:t>
      </w:r>
      <w:proofErr w:type="gramStart"/>
      <w:r w:rsidR="00914CF1">
        <w:t>process</w:t>
      </w:r>
      <w:r w:rsidR="00896899">
        <w:t>,</w:t>
      </w:r>
      <w:r w:rsidR="008C469F">
        <w:t xml:space="preserve"> if</w:t>
      </w:r>
      <w:proofErr w:type="gramEnd"/>
      <w:r w:rsidR="008C469F">
        <w:t xml:space="preserve"> the decision is made to adopt the rules</w:t>
      </w:r>
      <w:r w:rsidR="00C458AF">
        <w:t>.</w:t>
      </w:r>
    </w:p>
    <w:tbl>
      <w:tblPr>
        <w:tblStyle w:val="QuestionBox"/>
        <w:tblW w:w="8779" w:type="dxa"/>
        <w:tblLook w:val="04A0" w:firstRow="1" w:lastRow="0" w:firstColumn="1" w:lastColumn="0" w:noHBand="0" w:noVBand="1"/>
      </w:tblPr>
      <w:tblGrid>
        <w:gridCol w:w="8779"/>
      </w:tblGrid>
      <w:tr w:rsidR="009769D1" w14:paraId="59845DE1" w14:textId="77777777" w:rsidTr="00B628B2">
        <w:tc>
          <w:tcPr>
            <w:tcW w:w="8779" w:type="dxa"/>
          </w:tcPr>
          <w:p w14:paraId="40131DDF" w14:textId="77777777" w:rsidR="009769D1" w:rsidRPr="000E77C5" w:rsidRDefault="009769D1" w:rsidP="00265C24">
            <w:pPr>
              <w:rPr>
                <w:rStyle w:val="Strong"/>
              </w:rPr>
            </w:pPr>
            <w:r w:rsidRPr="000E77C5">
              <w:rPr>
                <w:rStyle w:val="Strong"/>
              </w:rPr>
              <w:t>Questions for submitters</w:t>
            </w:r>
          </w:p>
          <w:p w14:paraId="386DCBE7" w14:textId="46F76BBD" w:rsidR="009769D1" w:rsidRDefault="009769D1" w:rsidP="00265C24">
            <w:pPr>
              <w:pStyle w:val="ListBullet"/>
            </w:pPr>
            <w:r>
              <w:t>Do you think New Zealand should adopt the GloBE rules</w:t>
            </w:r>
            <w:r w:rsidR="00A01296">
              <w:t xml:space="preserve">, if a critical mass of other countries </w:t>
            </w:r>
            <w:r w:rsidR="00C92232">
              <w:t xml:space="preserve">does </w:t>
            </w:r>
            <w:r w:rsidR="000B5A6C">
              <w:t xml:space="preserve">or is likely to do </w:t>
            </w:r>
            <w:r w:rsidR="00C92232">
              <w:t>so</w:t>
            </w:r>
            <w:r>
              <w:t>?</w:t>
            </w:r>
          </w:p>
          <w:p w14:paraId="35A64839" w14:textId="0593C15D" w:rsidR="00D05CA8" w:rsidRDefault="00085A88" w:rsidP="00265C24">
            <w:pPr>
              <w:pStyle w:val="ListBullet"/>
            </w:pPr>
            <w:r>
              <w:t xml:space="preserve">Do you have any comments about what a critical mass </w:t>
            </w:r>
            <w:r w:rsidR="00F013ED">
              <w:t>of countries</w:t>
            </w:r>
            <w:r>
              <w:t xml:space="preserve"> would be?</w:t>
            </w:r>
          </w:p>
          <w:p w14:paraId="6734393A" w14:textId="4B9D6D4B" w:rsidR="009769D1" w:rsidRDefault="00085A88" w:rsidP="00265C24">
            <w:pPr>
              <w:pStyle w:val="ListBullet"/>
            </w:pPr>
            <w:r>
              <w:t>D</w:t>
            </w:r>
            <w:r w:rsidR="00B32F72">
              <w:t>o you have any comments on the timing of adoption?</w:t>
            </w:r>
          </w:p>
        </w:tc>
      </w:tr>
    </w:tbl>
    <w:p w14:paraId="5C7A6CBC" w14:textId="77777777" w:rsidR="00D42789" w:rsidRDefault="00D42789" w:rsidP="009B49EB">
      <w:pPr>
        <w:sectPr w:rsidR="00D42789" w:rsidSect="00C5161A">
          <w:type w:val="oddPage"/>
          <w:pgSz w:w="11906" w:h="16838" w:code="9"/>
          <w:pgMar w:top="1304" w:right="1559" w:bottom="1134" w:left="1559" w:header="720" w:footer="567" w:gutter="0"/>
          <w:cols w:space="720"/>
          <w:docGrid w:linePitch="326"/>
        </w:sectPr>
      </w:pPr>
    </w:p>
    <w:p w14:paraId="7C4645B7" w14:textId="24196EF9" w:rsidR="008D11B0" w:rsidRDefault="006B2643" w:rsidP="009B49EB">
      <w:pPr>
        <w:pStyle w:val="Heading1-Part"/>
      </w:pPr>
      <w:bookmarkStart w:id="23" w:name="_Toc101095572"/>
      <w:r w:rsidRPr="009B49EB">
        <w:lastRenderedPageBreak/>
        <w:t xml:space="preserve">PART </w:t>
      </w:r>
      <w:r w:rsidR="00340B14" w:rsidRPr="009B49EB">
        <w:t>I</w:t>
      </w:r>
      <w:r w:rsidRPr="009B49EB">
        <w:t>I: Explaining</w:t>
      </w:r>
      <w:r w:rsidR="00B77302" w:rsidRPr="009B49EB">
        <w:t xml:space="preserve"> the</w:t>
      </w:r>
      <w:r w:rsidRPr="009B49EB">
        <w:t xml:space="preserve"> </w:t>
      </w:r>
      <w:r w:rsidR="000458C3" w:rsidRPr="009B49EB">
        <w:t>Model Rules</w:t>
      </w:r>
      <w:bookmarkEnd w:id="23"/>
    </w:p>
    <w:p w14:paraId="3EE05209" w14:textId="77777777" w:rsidR="00D42789" w:rsidRDefault="00D42789" w:rsidP="00D42789"/>
    <w:p w14:paraId="1A374946" w14:textId="1E1C4DC5" w:rsidR="00A474E5" w:rsidRDefault="00A474E5" w:rsidP="00D42789">
      <w:pPr>
        <w:sectPr w:rsidR="00A474E5" w:rsidSect="00D42789">
          <w:type w:val="oddPage"/>
          <w:pgSz w:w="11906" w:h="16838" w:code="9"/>
          <w:pgMar w:top="1304" w:right="1559" w:bottom="1134" w:left="1559" w:header="720" w:footer="567" w:gutter="0"/>
          <w:cols w:space="720"/>
          <w:docGrid w:linePitch="326"/>
        </w:sectPr>
      </w:pPr>
    </w:p>
    <w:p w14:paraId="474281D2" w14:textId="35D62EDE" w:rsidR="00BC754D" w:rsidRDefault="00BC754D" w:rsidP="00BC754D">
      <w:pPr>
        <w:pStyle w:val="Heading1"/>
      </w:pPr>
      <w:r>
        <w:lastRenderedPageBreak/>
        <w:br/>
      </w:r>
      <w:r>
        <w:br/>
      </w:r>
      <w:bookmarkStart w:id="24" w:name="_Toc101095573"/>
      <w:r w:rsidR="00A874DF">
        <w:t>Scope</w:t>
      </w:r>
      <w:bookmarkEnd w:id="24"/>
    </w:p>
    <w:p w14:paraId="19A4DEFE" w14:textId="7B9A2938" w:rsidR="00A874DF" w:rsidRDefault="00A874DF" w:rsidP="00A874DF">
      <w:pPr>
        <w:pStyle w:val="Heading2"/>
      </w:pPr>
      <w:bookmarkStart w:id="25" w:name="_Toc101095574"/>
      <w:r>
        <w:t>Overview</w:t>
      </w:r>
      <w:bookmarkEnd w:id="25"/>
    </w:p>
    <w:p w14:paraId="604C508F" w14:textId="0B9B1596" w:rsidR="006E1F71" w:rsidRPr="006E1F71" w:rsidRDefault="006E1F71" w:rsidP="00B25478">
      <w:pPr>
        <w:pStyle w:val="NumberedParagraph"/>
        <w:rPr>
          <w:snapToGrid w:val="0"/>
        </w:rPr>
      </w:pPr>
      <w:r w:rsidRPr="006E1F71">
        <w:rPr>
          <w:snapToGrid w:val="0"/>
        </w:rPr>
        <w:t>The GloBE rules only apply to MNEs that meet the €750 million revenue threshold</w:t>
      </w:r>
      <w:r w:rsidR="00EF1C56">
        <w:rPr>
          <w:snapToGrid w:val="0"/>
        </w:rPr>
        <w:t xml:space="preserve"> (“large MNEs”)</w:t>
      </w:r>
      <w:r w:rsidRPr="006E1F71">
        <w:rPr>
          <w:snapToGrid w:val="0"/>
        </w:rPr>
        <w:t>. This is because large MNEs are generally more able to shift income to low-taxed jurisdictions. Limiting the scope of the rules to large MNEs can significantly reduce administration and compliance costs, while retaining most of the benefits.</w:t>
      </w:r>
    </w:p>
    <w:p w14:paraId="329EF57A" w14:textId="0AAAF7FD" w:rsidR="006E1F71" w:rsidRPr="006E1F71" w:rsidRDefault="008112E2" w:rsidP="00B25478">
      <w:pPr>
        <w:pStyle w:val="NumberedParagraph"/>
        <w:rPr>
          <w:snapToGrid w:val="0"/>
        </w:rPr>
      </w:pPr>
      <w:r>
        <w:rPr>
          <w:snapToGrid w:val="0"/>
        </w:rPr>
        <w:t>The</w:t>
      </w:r>
      <w:r w:rsidR="00667E1D">
        <w:rPr>
          <w:snapToGrid w:val="0"/>
        </w:rPr>
        <w:t xml:space="preserve"> Glo</w:t>
      </w:r>
      <w:r w:rsidR="003A2CA7">
        <w:rPr>
          <w:snapToGrid w:val="0"/>
        </w:rPr>
        <w:t>BE</w:t>
      </w:r>
      <w:r w:rsidR="00667E1D">
        <w:rPr>
          <w:snapToGrid w:val="0"/>
        </w:rPr>
        <w:t xml:space="preserve"> rules do</w:t>
      </w:r>
      <w:r>
        <w:rPr>
          <w:snapToGrid w:val="0"/>
        </w:rPr>
        <w:t xml:space="preserve"> permit</w:t>
      </w:r>
      <w:r w:rsidR="006E1F71" w:rsidRPr="006E1F71">
        <w:rPr>
          <w:snapToGrid w:val="0"/>
        </w:rPr>
        <w:t xml:space="preserve"> New Zealand to apply the IIR to MNEs headquartered in New Zealand that </w:t>
      </w:r>
      <w:r w:rsidR="00667E1D">
        <w:rPr>
          <w:snapToGrid w:val="0"/>
        </w:rPr>
        <w:t>fall below</w:t>
      </w:r>
      <w:r w:rsidR="006E1F71" w:rsidRPr="006E1F71">
        <w:rPr>
          <w:snapToGrid w:val="0"/>
        </w:rPr>
        <w:t xml:space="preserve"> the €750 million revenue threshold. New Zealand could choose to apply a lower revenue threshold, or adopt a</w:t>
      </w:r>
      <w:r w:rsidR="004B5236">
        <w:rPr>
          <w:snapToGrid w:val="0"/>
        </w:rPr>
        <w:t xml:space="preserve">n additional </w:t>
      </w:r>
      <w:r w:rsidR="006E1F71" w:rsidRPr="006E1F71">
        <w:rPr>
          <w:snapToGrid w:val="0"/>
        </w:rPr>
        <w:t>threshold based on other criteria such as assets or taxable income.</w:t>
      </w:r>
      <w:r w:rsidR="00667E1D">
        <w:rPr>
          <w:snapToGrid w:val="0"/>
        </w:rPr>
        <w:t xml:space="preserve"> The Government does not propose doing this</w:t>
      </w:r>
      <w:r w:rsidR="00B73FB2">
        <w:rPr>
          <w:snapToGrid w:val="0"/>
        </w:rPr>
        <w:t>.</w:t>
      </w:r>
      <w:r w:rsidR="00667E1D">
        <w:rPr>
          <w:snapToGrid w:val="0"/>
        </w:rPr>
        <w:t xml:space="preserve"> </w:t>
      </w:r>
      <w:r w:rsidR="00B73FB2">
        <w:rPr>
          <w:snapToGrid w:val="0"/>
        </w:rPr>
        <w:t>H</w:t>
      </w:r>
      <w:r w:rsidR="00667E1D">
        <w:rPr>
          <w:snapToGrid w:val="0"/>
        </w:rPr>
        <w:t>owever</w:t>
      </w:r>
      <w:r w:rsidR="00B73FB2">
        <w:rPr>
          <w:snapToGrid w:val="0"/>
        </w:rPr>
        <w:t>,</w:t>
      </w:r>
      <w:r w:rsidR="006E1F71" w:rsidRPr="006E1F71">
        <w:rPr>
          <w:snapToGrid w:val="0"/>
        </w:rPr>
        <w:t xml:space="preserve"> </w:t>
      </w:r>
      <w:r w:rsidR="00667E1D">
        <w:rPr>
          <w:snapToGrid w:val="0"/>
        </w:rPr>
        <w:t>s</w:t>
      </w:r>
      <w:r w:rsidR="006E1F71" w:rsidRPr="006E1F71">
        <w:rPr>
          <w:snapToGrid w:val="0"/>
        </w:rPr>
        <w:t xml:space="preserve">ubmitters’ views are sought on </w:t>
      </w:r>
      <w:r>
        <w:rPr>
          <w:snapToGrid w:val="0"/>
        </w:rPr>
        <w:t>the</w:t>
      </w:r>
      <w:r w:rsidRPr="006E1F71">
        <w:rPr>
          <w:snapToGrid w:val="0"/>
        </w:rPr>
        <w:t xml:space="preserve"> </w:t>
      </w:r>
      <w:r w:rsidR="006E1F71" w:rsidRPr="006E1F71">
        <w:rPr>
          <w:snapToGrid w:val="0"/>
        </w:rPr>
        <w:t>issue.</w:t>
      </w:r>
    </w:p>
    <w:p w14:paraId="74CAFF5B" w14:textId="51823655" w:rsidR="006E1F71" w:rsidRPr="006E1F71" w:rsidRDefault="006E1F71" w:rsidP="00B25478">
      <w:pPr>
        <w:pStyle w:val="NumberedParagraph"/>
        <w:rPr>
          <w:snapToGrid w:val="0"/>
        </w:rPr>
      </w:pPr>
      <w:r w:rsidRPr="006E1F71">
        <w:rPr>
          <w:snapToGrid w:val="0"/>
        </w:rPr>
        <w:t>Even when an entity is a member of a group that is within scope of the GloBE rules, the entity itself may be excluded</w:t>
      </w:r>
      <w:r w:rsidR="003D1A34">
        <w:rPr>
          <w:snapToGrid w:val="0"/>
        </w:rPr>
        <w:t xml:space="preserve"> (meaning both that its low-tax income is not </w:t>
      </w:r>
      <w:r w:rsidR="00483837">
        <w:rPr>
          <w:snapToGrid w:val="0"/>
        </w:rPr>
        <w:t>subject to top-up tax</w:t>
      </w:r>
      <w:r w:rsidR="003D1A34">
        <w:rPr>
          <w:snapToGrid w:val="0"/>
        </w:rPr>
        <w:t>, and that the entity will not have GloBE tax imposed upon it</w:t>
      </w:r>
      <w:r w:rsidR="00483837">
        <w:rPr>
          <w:snapToGrid w:val="0"/>
        </w:rPr>
        <w:t>)</w:t>
      </w:r>
      <w:r w:rsidRPr="006E1F71">
        <w:rPr>
          <w:snapToGrid w:val="0"/>
        </w:rPr>
        <w:t xml:space="preserve">. Examples of excluded entities are governmental entities, non-profit </w:t>
      </w:r>
      <w:proofErr w:type="gramStart"/>
      <w:r w:rsidRPr="006E1F71">
        <w:rPr>
          <w:snapToGrid w:val="0"/>
        </w:rPr>
        <w:t>organisations</w:t>
      </w:r>
      <w:proofErr w:type="gramEnd"/>
      <w:r w:rsidRPr="006E1F71">
        <w:rPr>
          <w:snapToGrid w:val="0"/>
        </w:rPr>
        <w:t xml:space="preserve"> and some investment funds</w:t>
      </w:r>
      <w:r w:rsidR="008D2B85">
        <w:rPr>
          <w:snapToGrid w:val="0"/>
        </w:rPr>
        <w:t xml:space="preserve">. </w:t>
      </w:r>
      <w:r w:rsidR="00712891">
        <w:rPr>
          <w:snapToGrid w:val="0"/>
        </w:rPr>
        <w:t>The gross revenue of these group</w:t>
      </w:r>
      <w:r w:rsidR="005C09E1">
        <w:rPr>
          <w:snapToGrid w:val="0"/>
        </w:rPr>
        <w:t xml:space="preserve"> </w:t>
      </w:r>
      <w:r w:rsidR="005C0B28">
        <w:rPr>
          <w:snapToGrid w:val="0"/>
        </w:rPr>
        <w:t>entities</w:t>
      </w:r>
      <w:r w:rsidR="00712891">
        <w:rPr>
          <w:snapToGrid w:val="0"/>
        </w:rPr>
        <w:t xml:space="preserve"> is </w:t>
      </w:r>
      <w:r w:rsidR="008112E2">
        <w:rPr>
          <w:snapToGrid w:val="0"/>
        </w:rPr>
        <w:t xml:space="preserve">still </w:t>
      </w:r>
      <w:r w:rsidR="00712891">
        <w:rPr>
          <w:snapToGrid w:val="0"/>
        </w:rPr>
        <w:t>counted for purposes of determining whether the group exceeds the threshold or not.</w:t>
      </w:r>
    </w:p>
    <w:p w14:paraId="36D85556" w14:textId="77777777" w:rsidR="006E1F71" w:rsidRPr="006E1F71" w:rsidRDefault="006E1F71" w:rsidP="00B25478">
      <w:pPr>
        <w:pStyle w:val="Heading2"/>
        <w:rPr>
          <w:lang w:eastAsia="en-AU"/>
        </w:rPr>
      </w:pPr>
      <w:bookmarkStart w:id="26" w:name="_Toc101095575"/>
      <w:r w:rsidRPr="006E1F71">
        <w:rPr>
          <w:lang w:eastAsia="en-AU"/>
        </w:rPr>
        <w:t>MNE groups and their members</w:t>
      </w:r>
      <w:bookmarkEnd w:id="26"/>
    </w:p>
    <w:p w14:paraId="76EDFEFB" w14:textId="6FFFD43E" w:rsidR="006E1F71" w:rsidRPr="006E1F71" w:rsidRDefault="006E1F71" w:rsidP="00B25478">
      <w:pPr>
        <w:pStyle w:val="NumberedParagraph"/>
        <w:rPr>
          <w:snapToGrid w:val="0"/>
          <w:lang w:eastAsia="en-US"/>
        </w:rPr>
      </w:pPr>
      <w:r w:rsidRPr="006E1F71">
        <w:rPr>
          <w:snapToGrid w:val="0"/>
          <w:lang w:eastAsia="en-US"/>
        </w:rPr>
        <w:t xml:space="preserve">An ‘MNE group’ is a group with at least one entity or permanent establishment </w:t>
      </w:r>
      <w:r w:rsidR="00841774">
        <w:rPr>
          <w:snapToGrid w:val="0"/>
          <w:lang w:eastAsia="en-US"/>
        </w:rPr>
        <w:t>(PE)</w:t>
      </w:r>
      <w:r w:rsidRPr="006E1F71">
        <w:rPr>
          <w:snapToGrid w:val="0"/>
          <w:lang w:eastAsia="en-US"/>
        </w:rPr>
        <w:t xml:space="preserve"> that is not located in the jurisdiction of the UPE. A large group that is located entirely within one jurisdiction with no offshore subsidiaries or PEs is therefore outside the scope of the GloBE rules. On the other hand, a single company could be an MNE group if it has an offshore PE.</w:t>
      </w:r>
    </w:p>
    <w:p w14:paraId="13A5A761" w14:textId="1E38F251" w:rsidR="006E1F71" w:rsidRPr="006E1F71" w:rsidRDefault="006E1F71" w:rsidP="00B25478">
      <w:pPr>
        <w:pStyle w:val="NumberedParagraph"/>
        <w:rPr>
          <w:snapToGrid w:val="0"/>
          <w:lang w:eastAsia="en-US"/>
        </w:rPr>
      </w:pPr>
      <w:r w:rsidRPr="006E1F71">
        <w:rPr>
          <w:snapToGrid w:val="0"/>
          <w:lang w:eastAsia="en-US"/>
        </w:rPr>
        <w:t xml:space="preserve">A member of an MNE group is referred to as a ‘constituent entity’ of the group. A PE can be a constituent entity, even though most PEs are not </w:t>
      </w:r>
      <w:r w:rsidR="00596C40">
        <w:rPr>
          <w:snapToGrid w:val="0"/>
          <w:lang w:eastAsia="en-US"/>
        </w:rPr>
        <w:t>legally</w:t>
      </w:r>
      <w:r w:rsidRPr="006E1F71">
        <w:rPr>
          <w:snapToGrid w:val="0"/>
          <w:lang w:eastAsia="en-US"/>
        </w:rPr>
        <w:t xml:space="preserve"> entities. In this consultation document, the term ‘entity’ include</w:t>
      </w:r>
      <w:r w:rsidR="00AC07F0">
        <w:rPr>
          <w:snapToGrid w:val="0"/>
          <w:lang w:eastAsia="en-US"/>
        </w:rPr>
        <w:t>s</w:t>
      </w:r>
      <w:r w:rsidRPr="006E1F71">
        <w:rPr>
          <w:snapToGrid w:val="0"/>
          <w:lang w:eastAsia="en-US"/>
        </w:rPr>
        <w:t xml:space="preserve"> PEs.</w:t>
      </w:r>
    </w:p>
    <w:p w14:paraId="505054A9" w14:textId="31E658EB" w:rsidR="006E1F71" w:rsidRPr="006E1F71" w:rsidRDefault="006E1F71" w:rsidP="00B25478">
      <w:pPr>
        <w:pStyle w:val="NumberedParagraph"/>
        <w:rPr>
          <w:snapToGrid w:val="0"/>
          <w:lang w:eastAsia="en-US"/>
        </w:rPr>
      </w:pPr>
      <w:r w:rsidRPr="006E1F71">
        <w:rPr>
          <w:snapToGrid w:val="0"/>
          <w:lang w:eastAsia="en-US"/>
        </w:rPr>
        <w:t>The UPE of a group is the entity that owns, directly or indirectly, a controlling interest in any other entity, but is not controlled, directly or indirectly, by another entity. The UPE is important because the IIR is applied at the UPE level in the first instance (if the UPE’s jurisdiction has a qualified IIR), and the UPE’s consolidated financial statements determine what entities are within the group.</w:t>
      </w:r>
    </w:p>
    <w:p w14:paraId="5C733C42" w14:textId="4D2BD645" w:rsidR="006E1F71" w:rsidRPr="003D2325" w:rsidRDefault="006E1F71" w:rsidP="003D2325">
      <w:pPr>
        <w:pStyle w:val="NumberedParagraph"/>
        <w:rPr>
          <w:snapToGrid w:val="0"/>
          <w:lang w:eastAsia="en-US"/>
        </w:rPr>
      </w:pPr>
      <w:r w:rsidRPr="006E1F71">
        <w:rPr>
          <w:snapToGrid w:val="0"/>
          <w:lang w:eastAsia="en-US"/>
        </w:rPr>
        <w:t>Entities that are related through ownership or control such that their financial results are included in the UPE’s consolidated financial statements on a line-by-line basis are included in an MNE group.</w:t>
      </w:r>
      <w:r w:rsidRPr="006E1F71">
        <w:rPr>
          <w:snapToGrid w:val="0"/>
          <w:sz w:val="18"/>
          <w:szCs w:val="18"/>
          <w:vertAlign w:val="superscript"/>
          <w:lang w:eastAsia="en-US"/>
        </w:rPr>
        <w:footnoteReference w:id="8"/>
      </w:r>
      <w:r w:rsidRPr="006E1F71">
        <w:rPr>
          <w:snapToGrid w:val="0"/>
          <w:lang w:eastAsia="en-US"/>
        </w:rPr>
        <w:t xml:space="preserve"> Interests in entities that the UPE does not control will therefore not be included in the UPE’s MNE group (there are some special rules for joint ventures</w:t>
      </w:r>
      <w:r w:rsidR="0069131B">
        <w:rPr>
          <w:snapToGrid w:val="0"/>
          <w:lang w:eastAsia="en-US"/>
        </w:rPr>
        <w:t xml:space="preserve"> and minority owned </w:t>
      </w:r>
      <w:r w:rsidR="00F56A6A">
        <w:rPr>
          <w:snapToGrid w:val="0"/>
          <w:lang w:eastAsia="en-US"/>
        </w:rPr>
        <w:t>entities</w:t>
      </w:r>
      <w:r w:rsidRPr="006E1F71">
        <w:rPr>
          <w:snapToGrid w:val="0"/>
          <w:lang w:eastAsia="en-US"/>
        </w:rPr>
        <w:t>).</w:t>
      </w:r>
    </w:p>
    <w:p w14:paraId="4BDB9AC0" w14:textId="77777777" w:rsidR="006E1F71" w:rsidRPr="006E1F71" w:rsidRDefault="006E1F71" w:rsidP="003D2325">
      <w:pPr>
        <w:pStyle w:val="Heading2"/>
        <w:rPr>
          <w:lang w:val="en-GB" w:eastAsia="en-AU"/>
        </w:rPr>
      </w:pPr>
      <w:bookmarkStart w:id="27" w:name="_Toc101095576"/>
      <w:r w:rsidRPr="006E1F71">
        <w:rPr>
          <w:lang w:val="en-GB" w:eastAsia="en-AU"/>
        </w:rPr>
        <w:lastRenderedPageBreak/>
        <w:t>Revenue threshold</w:t>
      </w:r>
      <w:bookmarkEnd w:id="27"/>
    </w:p>
    <w:p w14:paraId="3C0B8A43" w14:textId="4617C389" w:rsidR="006E1F71" w:rsidRPr="006E1F71" w:rsidRDefault="006E1F71" w:rsidP="00B52F7A">
      <w:pPr>
        <w:pStyle w:val="NumberedParagraph"/>
        <w:rPr>
          <w:snapToGrid w:val="0"/>
          <w:lang w:eastAsia="en-US"/>
        </w:rPr>
      </w:pPr>
      <w:r w:rsidRPr="006E1F71">
        <w:rPr>
          <w:snapToGrid w:val="0"/>
          <w:lang w:eastAsia="en-US"/>
        </w:rPr>
        <w:t xml:space="preserve">The GloBE rules apply to MNEs that have consolidated annual revenues of at least €750 million in at least </w:t>
      </w:r>
      <w:r w:rsidR="00B1490D">
        <w:rPr>
          <w:snapToGrid w:val="0"/>
          <w:lang w:eastAsia="en-US"/>
        </w:rPr>
        <w:t>two</w:t>
      </w:r>
      <w:r w:rsidR="005A2CF8" w:rsidRPr="006E1F71">
        <w:rPr>
          <w:snapToGrid w:val="0"/>
          <w:lang w:eastAsia="en-US"/>
        </w:rPr>
        <w:t xml:space="preserve"> </w:t>
      </w:r>
      <w:r w:rsidRPr="006E1F71">
        <w:rPr>
          <w:snapToGrid w:val="0"/>
          <w:lang w:eastAsia="en-US"/>
        </w:rPr>
        <w:t xml:space="preserve">of the last </w:t>
      </w:r>
      <w:r w:rsidR="00B1490D">
        <w:rPr>
          <w:snapToGrid w:val="0"/>
          <w:lang w:eastAsia="en-US"/>
        </w:rPr>
        <w:t>four</w:t>
      </w:r>
      <w:r w:rsidR="005A2CF8" w:rsidRPr="006E1F71">
        <w:rPr>
          <w:snapToGrid w:val="0"/>
          <w:lang w:eastAsia="en-US"/>
        </w:rPr>
        <w:t xml:space="preserve"> </w:t>
      </w:r>
      <w:r w:rsidRPr="006E1F71">
        <w:rPr>
          <w:snapToGrid w:val="0"/>
          <w:lang w:eastAsia="en-US"/>
        </w:rPr>
        <w:t>fiscal years. The fiscal year is the period covered by the group’s consolidated financial statements.</w:t>
      </w:r>
    </w:p>
    <w:p w14:paraId="77A10AB7" w14:textId="77777777" w:rsidR="006E1F71" w:rsidRPr="006E1F71" w:rsidRDefault="006E1F71" w:rsidP="00B52F7A">
      <w:pPr>
        <w:pStyle w:val="NumberedParagraph"/>
        <w:rPr>
          <w:snapToGrid w:val="0"/>
          <w:lang w:eastAsia="en-US"/>
        </w:rPr>
      </w:pPr>
      <w:r w:rsidRPr="006E1F71">
        <w:rPr>
          <w:snapToGrid w:val="0"/>
          <w:lang w:eastAsia="en-US"/>
        </w:rPr>
        <w:t>The €750 million revenue threshold is the same threshold used to determine whether an MNE group has to comply with Country-by-Country Reporting (CbCR) rules. So MNEs that have to comply with CbCR will have to apply the GloBE rules.</w:t>
      </w:r>
    </w:p>
    <w:p w14:paraId="4223F090" w14:textId="4D5B491D" w:rsidR="006E1F71" w:rsidRPr="006E1F71" w:rsidRDefault="006E1F71" w:rsidP="00B52F7A">
      <w:pPr>
        <w:pStyle w:val="NumberedParagraph"/>
        <w:rPr>
          <w:snapToGrid w:val="0"/>
          <w:lang w:eastAsia="en-US"/>
        </w:rPr>
      </w:pPr>
      <w:r w:rsidRPr="006E1F71">
        <w:rPr>
          <w:snapToGrid w:val="0"/>
          <w:lang w:eastAsia="en-US"/>
        </w:rPr>
        <w:t>Special rules exist to address situations where:</w:t>
      </w:r>
    </w:p>
    <w:p w14:paraId="77D0A33E" w14:textId="536C6CA2" w:rsidR="006E1F71" w:rsidRPr="006E1F71" w:rsidRDefault="006E1F71" w:rsidP="00B52F7A">
      <w:pPr>
        <w:pStyle w:val="NumberedParagraph-BulletL1"/>
        <w:rPr>
          <w:snapToGrid w:val="0"/>
          <w:lang w:eastAsia="en-US"/>
        </w:rPr>
      </w:pPr>
      <w:r w:rsidRPr="006E1F71">
        <w:rPr>
          <w:snapToGrid w:val="0"/>
          <w:lang w:eastAsia="en-US"/>
        </w:rPr>
        <w:t>an MNE does not prepare consolidated financial statements</w:t>
      </w:r>
    </w:p>
    <w:p w14:paraId="1A13870C" w14:textId="01905EF1" w:rsidR="006E1F71" w:rsidRPr="006E1F71" w:rsidRDefault="006E1F71" w:rsidP="00B52F7A">
      <w:pPr>
        <w:pStyle w:val="NumberedParagraph-BulletL1"/>
        <w:rPr>
          <w:snapToGrid w:val="0"/>
          <w:lang w:eastAsia="en-US"/>
        </w:rPr>
      </w:pPr>
      <w:r w:rsidRPr="006E1F71">
        <w:rPr>
          <w:snapToGrid w:val="0"/>
          <w:lang w:eastAsia="en-US"/>
        </w:rPr>
        <w:t xml:space="preserve">an MNE does not have </w:t>
      </w:r>
      <w:r w:rsidR="00B1490D">
        <w:rPr>
          <w:snapToGrid w:val="0"/>
          <w:lang w:eastAsia="en-US"/>
        </w:rPr>
        <w:t>four</w:t>
      </w:r>
      <w:r w:rsidR="001D754A" w:rsidRPr="006E1F71">
        <w:rPr>
          <w:snapToGrid w:val="0"/>
          <w:lang w:eastAsia="en-US"/>
        </w:rPr>
        <w:t xml:space="preserve"> </w:t>
      </w:r>
      <w:r w:rsidRPr="006E1F71">
        <w:rPr>
          <w:snapToGrid w:val="0"/>
          <w:lang w:eastAsia="en-US"/>
        </w:rPr>
        <w:t>years of consolidated financial statements</w:t>
      </w:r>
    </w:p>
    <w:p w14:paraId="7A30A535" w14:textId="3B3A355F" w:rsidR="006E1F71" w:rsidRPr="006E1F71" w:rsidRDefault="006E1F71" w:rsidP="00A1232E">
      <w:pPr>
        <w:pStyle w:val="NumberedParagraph-BulletL1"/>
        <w:rPr>
          <w:snapToGrid w:val="0"/>
          <w:lang w:eastAsia="en-US"/>
        </w:rPr>
      </w:pPr>
      <w:r w:rsidRPr="004E0433">
        <w:rPr>
          <w:snapToGrid w:val="0"/>
          <w:lang w:eastAsia="en-US"/>
        </w:rPr>
        <w:t xml:space="preserve">one of the preceding fiscal years </w:t>
      </w:r>
      <w:proofErr w:type="gramStart"/>
      <w:r w:rsidRPr="004E0433">
        <w:rPr>
          <w:snapToGrid w:val="0"/>
          <w:lang w:eastAsia="en-US"/>
        </w:rPr>
        <w:t>taken into account</w:t>
      </w:r>
      <w:proofErr w:type="gramEnd"/>
      <w:r w:rsidRPr="004E0433">
        <w:rPr>
          <w:snapToGrid w:val="0"/>
          <w:lang w:eastAsia="en-US"/>
        </w:rPr>
        <w:t xml:space="preserve"> for the revenue threshold is for a period other than 12 months, and</w:t>
      </w:r>
    </w:p>
    <w:p w14:paraId="373ED7E4" w14:textId="431E4F1C" w:rsidR="006E1F71" w:rsidRPr="004E0433" w:rsidRDefault="006E1F71" w:rsidP="00A1232E">
      <w:pPr>
        <w:pStyle w:val="NumberedParagraph-BulletL1"/>
        <w:rPr>
          <w:snapToGrid w:val="0"/>
          <w:lang w:eastAsia="en-US"/>
        </w:rPr>
      </w:pPr>
      <w:r w:rsidRPr="004E0433">
        <w:rPr>
          <w:snapToGrid w:val="0"/>
          <w:lang w:eastAsia="en-US"/>
        </w:rPr>
        <w:t>an MNE has undergone a merger or demerger.</w:t>
      </w:r>
    </w:p>
    <w:p w14:paraId="24ED28E6" w14:textId="77777777" w:rsidR="006E1F71" w:rsidRPr="006E1F71" w:rsidRDefault="006E1F71" w:rsidP="000504E7">
      <w:pPr>
        <w:pStyle w:val="Heading2"/>
        <w:rPr>
          <w:lang w:val="en-GB" w:eastAsia="en-AU"/>
        </w:rPr>
      </w:pPr>
      <w:bookmarkStart w:id="28" w:name="_Toc101095577"/>
      <w:r w:rsidRPr="006E1F71">
        <w:rPr>
          <w:lang w:val="en-GB" w:eastAsia="en-AU"/>
        </w:rPr>
        <w:t>Alternative domestic threshold</w:t>
      </w:r>
      <w:bookmarkEnd w:id="28"/>
    </w:p>
    <w:p w14:paraId="68EA5018" w14:textId="3AAA3AAB" w:rsidR="006E1F71" w:rsidRPr="006E1F71" w:rsidRDefault="006E1F71" w:rsidP="000026EA">
      <w:pPr>
        <w:pStyle w:val="NumberedParagraph"/>
        <w:rPr>
          <w:snapToGrid w:val="0"/>
          <w:lang w:eastAsia="en-US"/>
        </w:rPr>
      </w:pPr>
      <w:r w:rsidRPr="006E1F71">
        <w:rPr>
          <w:snapToGrid w:val="0"/>
          <w:lang w:eastAsia="en-US"/>
        </w:rPr>
        <w:t xml:space="preserve">Although the GloBE rules apply to MNEs that meet the €750 million revenue threshold, the </w:t>
      </w:r>
      <w:r w:rsidR="00F77C14">
        <w:rPr>
          <w:snapToGrid w:val="0"/>
          <w:lang w:eastAsia="en-US"/>
        </w:rPr>
        <w:t>October</w:t>
      </w:r>
      <w:r w:rsidRPr="006E1F71">
        <w:rPr>
          <w:snapToGrid w:val="0"/>
          <w:lang w:eastAsia="en-US"/>
        </w:rPr>
        <w:t xml:space="preserve"> statement allows countries to apply the IIR to MNEs headquartered in their own country, even if they do not meet this €750 million threshold. New Zealand could therefore choose to set a lower revenue threshold (likely denominated in NZD), or a threshold based on different criteria altogether (for example, total assets or taxable income).</w:t>
      </w:r>
    </w:p>
    <w:p w14:paraId="7154F3FC" w14:textId="0B033FE4" w:rsidR="006E1F71" w:rsidRPr="006E1F71" w:rsidRDefault="006E1F71" w:rsidP="000026EA">
      <w:pPr>
        <w:pStyle w:val="NumberedParagraph"/>
        <w:rPr>
          <w:snapToGrid w:val="0"/>
          <w:lang w:eastAsia="en-US"/>
        </w:rPr>
      </w:pPr>
      <w:r w:rsidRPr="006E1F71">
        <w:rPr>
          <w:snapToGrid w:val="0"/>
          <w:lang w:eastAsia="en-US"/>
        </w:rPr>
        <w:t>Setting an alternative domestic threshold would mean that if an MNE headquartered in New Zealand had foreign subsidiaries or PEs that were taxed below 15</w:t>
      </w:r>
      <w:r w:rsidR="005D5CED">
        <w:rPr>
          <w:snapToGrid w:val="0"/>
          <w:lang w:eastAsia="en-US"/>
        </w:rPr>
        <w:t>%</w:t>
      </w:r>
      <w:r w:rsidRPr="006E1F71">
        <w:rPr>
          <w:snapToGrid w:val="0"/>
          <w:lang w:eastAsia="en-US"/>
        </w:rPr>
        <w:t>, New Zealand could apply a top-up tax under the IIR to bring their effective tax rate up to 15</w:t>
      </w:r>
      <w:r w:rsidR="005D5CED">
        <w:rPr>
          <w:snapToGrid w:val="0"/>
          <w:lang w:eastAsia="en-US"/>
        </w:rPr>
        <w:t>%</w:t>
      </w:r>
      <w:r w:rsidR="00491CD7">
        <w:rPr>
          <w:snapToGrid w:val="0"/>
          <w:lang w:eastAsia="en-US"/>
        </w:rPr>
        <w:t xml:space="preserve"> </w:t>
      </w:r>
      <w:r w:rsidRPr="006E1F71">
        <w:rPr>
          <w:snapToGrid w:val="0"/>
          <w:lang w:eastAsia="en-US"/>
        </w:rPr>
        <w:t>as long as that MNE met the alternative domestic threshold.</w:t>
      </w:r>
    </w:p>
    <w:p w14:paraId="0416B930" w14:textId="36FA7B8A" w:rsidR="006E1F71" w:rsidRPr="006E1F71" w:rsidRDefault="006E1F71" w:rsidP="000026EA">
      <w:pPr>
        <w:pStyle w:val="NumberedParagraph"/>
        <w:rPr>
          <w:snapToGrid w:val="0"/>
          <w:lang w:eastAsia="en-US"/>
        </w:rPr>
      </w:pPr>
      <w:r w:rsidRPr="006E1F71">
        <w:rPr>
          <w:snapToGrid w:val="0"/>
          <w:lang w:eastAsia="en-US"/>
        </w:rPr>
        <w:t>However, a key reason for implementing the IIR is to prevent other countries from taxing the profits of New Zealand MNEs under the UTPR or their own IIR. This reason does not apply to MNEs that do not meet the €750 million revenue threshold, as their profits would not be subject to another country’s UTPR or IIR even if New Zealand did not apply the IIR.</w:t>
      </w:r>
    </w:p>
    <w:p w14:paraId="6AA5010C" w14:textId="052F7617" w:rsidR="006E1F71" w:rsidRPr="006E1F71" w:rsidRDefault="006E1F71" w:rsidP="000026EA">
      <w:pPr>
        <w:pStyle w:val="NumberedParagraph"/>
        <w:rPr>
          <w:snapToGrid w:val="0"/>
          <w:lang w:eastAsia="en-US"/>
        </w:rPr>
      </w:pPr>
      <w:r w:rsidRPr="006E1F71">
        <w:rPr>
          <w:snapToGrid w:val="0"/>
          <w:lang w:eastAsia="en-US"/>
        </w:rPr>
        <w:t>Many countries considered that the €750 million revenue threshold struck the right balance between achieving Pillar Two’s policy objectives and reducing compliance and administrative costs involved in applying the GloBE rules. For MNEs below the €750 million revenue threshold, these costs are more likely to be disproportionate to the tax revenue raised, particularly as these MNEs may not have developed systems for CbCR and applying the IIR is likely to be harder without such systems in place.</w:t>
      </w:r>
    </w:p>
    <w:p w14:paraId="06AAD779" w14:textId="274A866E" w:rsidR="006E1F71" w:rsidRPr="006E1F71" w:rsidRDefault="006E1F71" w:rsidP="000B76B1">
      <w:pPr>
        <w:pStyle w:val="NumberedParagraph"/>
        <w:rPr>
          <w:snapToGrid w:val="0"/>
          <w:lang w:eastAsia="en-US"/>
        </w:rPr>
      </w:pPr>
      <w:r w:rsidRPr="006E1F71">
        <w:rPr>
          <w:snapToGrid w:val="0"/>
          <w:lang w:eastAsia="en-US"/>
        </w:rPr>
        <w:t>In addition, New Zealand has controlled foreign company (CFC) rules that already tax some profits of New Zealand MNEs’ foreign subsidiaries as they are earned. Income taxed under the CFC rules is taxed at ordinary New Zealand income tax rates (28</w:t>
      </w:r>
      <w:r w:rsidR="00F5137F">
        <w:rPr>
          <w:snapToGrid w:val="0"/>
          <w:lang w:eastAsia="en-US"/>
        </w:rPr>
        <w:t>%</w:t>
      </w:r>
      <w:r w:rsidR="00982DDA">
        <w:rPr>
          <w:snapToGrid w:val="0"/>
          <w:lang w:eastAsia="en-US"/>
        </w:rPr>
        <w:t xml:space="preserve"> </w:t>
      </w:r>
      <w:r w:rsidRPr="006E1F71">
        <w:rPr>
          <w:snapToGrid w:val="0"/>
          <w:lang w:eastAsia="en-US"/>
        </w:rPr>
        <w:t>if earned in a company), rather than the minimum 15</w:t>
      </w:r>
      <w:r w:rsidR="004E4160">
        <w:rPr>
          <w:snapToGrid w:val="0"/>
          <w:lang w:eastAsia="en-US"/>
        </w:rPr>
        <w:t>%</w:t>
      </w:r>
      <w:r w:rsidR="00982DDA">
        <w:rPr>
          <w:snapToGrid w:val="0"/>
          <w:lang w:eastAsia="en-US"/>
        </w:rPr>
        <w:t xml:space="preserve"> </w:t>
      </w:r>
      <w:r w:rsidRPr="006E1F71">
        <w:rPr>
          <w:snapToGrid w:val="0"/>
          <w:lang w:eastAsia="en-US"/>
        </w:rPr>
        <w:t>set by the GloBE rules.</w:t>
      </w:r>
    </w:p>
    <w:p w14:paraId="4CBBBBCB" w14:textId="1554FDE1" w:rsidR="006E1F71" w:rsidRPr="006E1F71" w:rsidRDefault="006E1F71" w:rsidP="000B76B1">
      <w:pPr>
        <w:pStyle w:val="NumberedParagraph"/>
        <w:rPr>
          <w:snapToGrid w:val="0"/>
          <w:lang w:eastAsia="en-US"/>
        </w:rPr>
      </w:pPr>
      <w:r w:rsidRPr="006E1F71">
        <w:rPr>
          <w:snapToGrid w:val="0"/>
          <w:lang w:eastAsia="en-US"/>
        </w:rPr>
        <w:t xml:space="preserve">The CFC rules balance competing considerations. On one hand, they reduce incentives for New Zealand MNEs to move profits that could be earned in New Zealand offshore. On the other hand, they seek to ensure that they do not </w:t>
      </w:r>
      <w:r w:rsidRPr="006E1F71">
        <w:rPr>
          <w:snapToGrid w:val="0"/>
          <w:lang w:eastAsia="en-US"/>
        </w:rPr>
        <w:lastRenderedPageBreak/>
        <w:t>disincentivise MNEs from being based in New Zealand. If it is considered that New Zealand MNEs’ foreign subsidiaries are not sufficiently taxed, it may be better to amend the CFC rules than to create an alternative domestic threshold for the IIR.</w:t>
      </w:r>
    </w:p>
    <w:p w14:paraId="11B08472" w14:textId="77777777" w:rsidR="000C0347" w:rsidRPr="006E1F71" w:rsidRDefault="000C0347" w:rsidP="000C0347">
      <w:pPr>
        <w:pStyle w:val="NumberedParagraph"/>
        <w:rPr>
          <w:snapToGrid w:val="0"/>
          <w:lang w:eastAsia="en-US"/>
        </w:rPr>
      </w:pPr>
      <w:r w:rsidRPr="006E1F71">
        <w:rPr>
          <w:snapToGrid w:val="0"/>
          <w:lang w:eastAsia="en-US"/>
        </w:rPr>
        <w:t>Officials consider that applying the common €750 million revenue threshold, instead of an equivalent NZD threshold would improve co-ordination amongst countries.</w:t>
      </w:r>
    </w:p>
    <w:p w14:paraId="42240076" w14:textId="77777777" w:rsidR="006E1F71" w:rsidRPr="006E1F71" w:rsidRDefault="006E1F71" w:rsidP="000B76B1">
      <w:pPr>
        <w:pStyle w:val="NumberedParagraph"/>
        <w:rPr>
          <w:snapToGrid w:val="0"/>
          <w:lang w:eastAsia="en-US"/>
        </w:rPr>
      </w:pPr>
      <w:r w:rsidRPr="006E1F71">
        <w:rPr>
          <w:snapToGrid w:val="0"/>
          <w:lang w:eastAsia="en-US"/>
        </w:rPr>
        <w:t>For the above reasons, officials consider the €750 million revenue threshold is appropriate for applying the IIR in New Zealand and do not propose an alternative domestic threshold.</w:t>
      </w:r>
    </w:p>
    <w:tbl>
      <w:tblPr>
        <w:tblStyle w:val="QuestionBox"/>
        <w:tblW w:w="8779" w:type="dxa"/>
        <w:tblLook w:val="04A0" w:firstRow="1" w:lastRow="0" w:firstColumn="1" w:lastColumn="0" w:noHBand="0" w:noVBand="1"/>
      </w:tblPr>
      <w:tblGrid>
        <w:gridCol w:w="8779"/>
      </w:tblGrid>
      <w:tr w:rsidR="00101DCE" w14:paraId="4A72A916" w14:textId="77777777" w:rsidTr="00B628B2">
        <w:tc>
          <w:tcPr>
            <w:tcW w:w="8779" w:type="dxa"/>
          </w:tcPr>
          <w:p w14:paraId="780ECF46" w14:textId="77777777" w:rsidR="00101DCE" w:rsidRPr="000E77C5" w:rsidRDefault="00101DCE" w:rsidP="00180725">
            <w:pPr>
              <w:rPr>
                <w:rStyle w:val="Strong"/>
              </w:rPr>
            </w:pPr>
            <w:bookmarkStart w:id="29" w:name="_Hlk95985289"/>
            <w:r w:rsidRPr="000E77C5">
              <w:rPr>
                <w:rStyle w:val="Strong"/>
              </w:rPr>
              <w:t>Questions for submitters</w:t>
            </w:r>
          </w:p>
          <w:p w14:paraId="05E0537B" w14:textId="77777777" w:rsidR="00EA44BE" w:rsidRDefault="00EA44BE" w:rsidP="00EA44BE">
            <w:pPr>
              <w:pStyle w:val="ListBullet"/>
            </w:pPr>
            <w:r>
              <w:t>Do you agree that New Zealand should not use an alternative domestic threshold to apply the IIR to MNEs headquartered in New Zealand? Why or why not?</w:t>
            </w:r>
          </w:p>
          <w:p w14:paraId="6C9173C8" w14:textId="77777777" w:rsidR="00101DCE" w:rsidRDefault="00EA44BE" w:rsidP="00EA44BE">
            <w:pPr>
              <w:pStyle w:val="ListBullet"/>
            </w:pPr>
            <w:r>
              <w:t>If you think New Zealand should use an alternative domestic threshold, what should the threshold be based on and why?</w:t>
            </w:r>
          </w:p>
          <w:p w14:paraId="1F8EF5A6" w14:textId="06A8F477" w:rsidR="00645C6E" w:rsidRDefault="00A6043B" w:rsidP="00EA44BE">
            <w:pPr>
              <w:pStyle w:val="ListBullet"/>
            </w:pPr>
            <w:r>
              <w:t xml:space="preserve">Are there any difficulties in adopting a </w:t>
            </w:r>
            <w:r w:rsidR="000E31A9">
              <w:t xml:space="preserve">Euro </w:t>
            </w:r>
            <w:r>
              <w:t>threshold, rather than an equivalent NZ</w:t>
            </w:r>
            <w:r w:rsidR="007E741C">
              <w:t xml:space="preserve"> dollar</w:t>
            </w:r>
            <w:r>
              <w:t xml:space="preserve"> threshold?</w:t>
            </w:r>
          </w:p>
        </w:tc>
      </w:tr>
    </w:tbl>
    <w:p w14:paraId="6E99DADB" w14:textId="76612303" w:rsidR="00A874DF" w:rsidRDefault="004C66D9" w:rsidP="004C66D9">
      <w:pPr>
        <w:pStyle w:val="Heading2"/>
      </w:pPr>
      <w:bookmarkStart w:id="30" w:name="_Toc101095578"/>
      <w:bookmarkEnd w:id="29"/>
      <w:r>
        <w:t>Excluded entities</w:t>
      </w:r>
      <w:bookmarkEnd w:id="30"/>
    </w:p>
    <w:p w14:paraId="54B1E337" w14:textId="44B5CFC3" w:rsidR="00A874DF" w:rsidRDefault="00B85F61" w:rsidP="00B85F61">
      <w:pPr>
        <w:pStyle w:val="Heading3"/>
      </w:pPr>
      <w:r>
        <w:t xml:space="preserve">Which entities are </w:t>
      </w:r>
      <w:proofErr w:type="gramStart"/>
      <w:r>
        <w:t>excluded</w:t>
      </w:r>
      <w:proofErr w:type="gramEnd"/>
    </w:p>
    <w:p w14:paraId="76626CFD" w14:textId="77777777" w:rsidR="00B122A3" w:rsidRPr="00B122A3" w:rsidRDefault="00B122A3" w:rsidP="00B122A3">
      <w:pPr>
        <w:pStyle w:val="NumberedParagraph"/>
        <w:rPr>
          <w:snapToGrid w:val="0"/>
          <w:lang w:eastAsia="en-US"/>
        </w:rPr>
      </w:pPr>
      <w:r w:rsidRPr="00B122A3">
        <w:rPr>
          <w:snapToGrid w:val="0"/>
          <w:lang w:eastAsia="en-US"/>
        </w:rPr>
        <w:t>The following types of entities are excluded from the GloBE rules:</w:t>
      </w:r>
    </w:p>
    <w:p w14:paraId="38FC1C39" w14:textId="2C3746EE" w:rsidR="00B122A3" w:rsidRPr="00B122A3" w:rsidRDefault="00B122A3" w:rsidP="00B122A3">
      <w:pPr>
        <w:pStyle w:val="NumberedParagraph-BulletL1"/>
        <w:rPr>
          <w:snapToGrid w:val="0"/>
          <w:lang w:eastAsia="en-US"/>
        </w:rPr>
      </w:pPr>
      <w:r w:rsidRPr="00B122A3">
        <w:rPr>
          <w:snapToGrid w:val="0"/>
          <w:lang w:eastAsia="en-US"/>
        </w:rPr>
        <w:t>Governmental entities</w:t>
      </w:r>
    </w:p>
    <w:p w14:paraId="3AD3895B" w14:textId="5FA8E962" w:rsidR="00B122A3" w:rsidRPr="00B122A3" w:rsidRDefault="00B122A3" w:rsidP="00B122A3">
      <w:pPr>
        <w:pStyle w:val="NumberedParagraph-BulletL1"/>
        <w:rPr>
          <w:snapToGrid w:val="0"/>
          <w:lang w:eastAsia="en-US"/>
        </w:rPr>
      </w:pPr>
      <w:r w:rsidRPr="00B122A3">
        <w:rPr>
          <w:snapToGrid w:val="0"/>
          <w:lang w:eastAsia="en-US"/>
        </w:rPr>
        <w:t>International organisations</w:t>
      </w:r>
    </w:p>
    <w:p w14:paraId="604928F2" w14:textId="6E0E3508" w:rsidR="00B122A3" w:rsidRPr="00B122A3" w:rsidRDefault="00B122A3" w:rsidP="00B122A3">
      <w:pPr>
        <w:pStyle w:val="NumberedParagraph-BulletL1"/>
        <w:rPr>
          <w:snapToGrid w:val="0"/>
          <w:lang w:eastAsia="en-US"/>
        </w:rPr>
      </w:pPr>
      <w:r w:rsidRPr="00B122A3">
        <w:rPr>
          <w:snapToGrid w:val="0"/>
          <w:lang w:eastAsia="en-US"/>
        </w:rPr>
        <w:t>Non-profit organisations</w:t>
      </w:r>
    </w:p>
    <w:p w14:paraId="71B4B14A" w14:textId="32156B58" w:rsidR="00B122A3" w:rsidRPr="00B122A3" w:rsidRDefault="00B122A3" w:rsidP="00B122A3">
      <w:pPr>
        <w:pStyle w:val="NumberedParagraph-BulletL1"/>
        <w:rPr>
          <w:snapToGrid w:val="0"/>
          <w:lang w:eastAsia="en-US"/>
        </w:rPr>
      </w:pPr>
      <w:r w:rsidRPr="00B122A3">
        <w:rPr>
          <w:snapToGrid w:val="0"/>
          <w:lang w:eastAsia="en-US"/>
        </w:rPr>
        <w:t>Pension funds</w:t>
      </w:r>
    </w:p>
    <w:p w14:paraId="3C025ADF" w14:textId="7AC3D71F" w:rsidR="00B122A3" w:rsidRPr="00B122A3" w:rsidRDefault="00B122A3" w:rsidP="00B122A3">
      <w:pPr>
        <w:pStyle w:val="NumberedParagraph-BulletL1"/>
        <w:rPr>
          <w:snapToGrid w:val="0"/>
          <w:lang w:eastAsia="en-US"/>
        </w:rPr>
      </w:pPr>
      <w:r w:rsidRPr="00B122A3">
        <w:rPr>
          <w:snapToGrid w:val="0"/>
          <w:lang w:eastAsia="en-US"/>
        </w:rPr>
        <w:t>Investment funds that are UPEs</w:t>
      </w:r>
    </w:p>
    <w:p w14:paraId="562E7F98" w14:textId="4620BD64" w:rsidR="00B122A3" w:rsidRPr="00B122A3" w:rsidRDefault="00B122A3" w:rsidP="00B122A3">
      <w:pPr>
        <w:pStyle w:val="NumberedParagraph-BulletL1"/>
        <w:rPr>
          <w:snapToGrid w:val="0"/>
          <w:lang w:eastAsia="en-US"/>
        </w:rPr>
      </w:pPr>
      <w:r w:rsidRPr="00B122A3">
        <w:rPr>
          <w:snapToGrid w:val="0"/>
          <w:lang w:eastAsia="en-US"/>
        </w:rPr>
        <w:t>Real estate investment vehicles that are UPEs</w:t>
      </w:r>
    </w:p>
    <w:p w14:paraId="50E1D717" w14:textId="1297621C" w:rsidR="00B122A3" w:rsidRPr="00B122A3" w:rsidRDefault="00D31365" w:rsidP="00B122A3">
      <w:pPr>
        <w:pStyle w:val="NumberedParagraph"/>
        <w:rPr>
          <w:snapToGrid w:val="0"/>
          <w:lang w:eastAsia="en-US"/>
        </w:rPr>
      </w:pPr>
      <w:r>
        <w:rPr>
          <w:snapToGrid w:val="0"/>
          <w:lang w:eastAsia="en-US"/>
        </w:rPr>
        <w:t>An e</w:t>
      </w:r>
      <w:r w:rsidR="00B122A3" w:rsidRPr="00B122A3">
        <w:rPr>
          <w:snapToGrid w:val="0"/>
          <w:lang w:eastAsia="en-US"/>
        </w:rPr>
        <w:t>ntit</w:t>
      </w:r>
      <w:r>
        <w:rPr>
          <w:snapToGrid w:val="0"/>
          <w:lang w:eastAsia="en-US"/>
        </w:rPr>
        <w:t>y</w:t>
      </w:r>
      <w:r w:rsidR="00B122A3" w:rsidRPr="00B122A3">
        <w:rPr>
          <w:snapToGrid w:val="0"/>
          <w:lang w:eastAsia="en-US"/>
        </w:rPr>
        <w:t xml:space="preserve"> owned by an excluded entity can also qualify as an excluded entity if </w:t>
      </w:r>
      <w:r>
        <w:rPr>
          <w:snapToGrid w:val="0"/>
          <w:lang w:eastAsia="en-US"/>
        </w:rPr>
        <w:t>it</w:t>
      </w:r>
      <w:r w:rsidR="00B122A3" w:rsidRPr="00B122A3">
        <w:rPr>
          <w:snapToGrid w:val="0"/>
          <w:lang w:eastAsia="en-US"/>
        </w:rPr>
        <w:t xml:space="preserve"> meet</w:t>
      </w:r>
      <w:r>
        <w:rPr>
          <w:snapToGrid w:val="0"/>
          <w:lang w:eastAsia="en-US"/>
        </w:rPr>
        <w:t>s</w:t>
      </w:r>
      <w:r w:rsidR="00B122A3" w:rsidRPr="00B122A3">
        <w:rPr>
          <w:snapToGrid w:val="0"/>
          <w:lang w:eastAsia="en-US"/>
        </w:rPr>
        <w:t xml:space="preserve"> certain criteria relating to </w:t>
      </w:r>
      <w:r>
        <w:rPr>
          <w:snapToGrid w:val="0"/>
          <w:lang w:eastAsia="en-US"/>
        </w:rPr>
        <w:t xml:space="preserve">its </w:t>
      </w:r>
      <w:r w:rsidR="00B122A3" w:rsidRPr="00B122A3">
        <w:rPr>
          <w:snapToGrid w:val="0"/>
          <w:lang w:eastAsia="en-US"/>
        </w:rPr>
        <w:t xml:space="preserve">ownership, </w:t>
      </w:r>
      <w:proofErr w:type="gramStart"/>
      <w:r w:rsidR="00B122A3" w:rsidRPr="00B122A3">
        <w:rPr>
          <w:snapToGrid w:val="0"/>
          <w:lang w:eastAsia="en-US"/>
        </w:rPr>
        <w:t>assets</w:t>
      </w:r>
      <w:proofErr w:type="gramEnd"/>
      <w:r w:rsidR="00B122A3" w:rsidRPr="00B122A3">
        <w:rPr>
          <w:snapToGrid w:val="0"/>
          <w:lang w:eastAsia="en-US"/>
        </w:rPr>
        <w:t xml:space="preserve"> and income.</w:t>
      </w:r>
    </w:p>
    <w:p w14:paraId="5DD65B66" w14:textId="02557C17" w:rsidR="00B122A3" w:rsidRPr="00523576" w:rsidRDefault="00B122A3" w:rsidP="00523576">
      <w:pPr>
        <w:pStyle w:val="NumberedParagraph"/>
        <w:rPr>
          <w:snapToGrid w:val="0"/>
          <w:lang w:eastAsia="en-US"/>
        </w:rPr>
      </w:pPr>
      <w:r w:rsidRPr="00B122A3">
        <w:rPr>
          <w:snapToGrid w:val="0"/>
          <w:lang w:eastAsia="en-US"/>
        </w:rPr>
        <w:t xml:space="preserve">An entity </w:t>
      </w:r>
      <w:r w:rsidR="00272683">
        <w:rPr>
          <w:snapToGrid w:val="0"/>
          <w:lang w:eastAsia="en-US"/>
        </w:rPr>
        <w:t>can elect not to be an excluded entity.</w:t>
      </w:r>
      <w:r w:rsidRPr="00B122A3">
        <w:rPr>
          <w:snapToGrid w:val="0"/>
          <w:lang w:eastAsia="en-US"/>
        </w:rPr>
        <w:t xml:space="preserve"> An MNE may choose to do this so that the entity can apply the IIR to its subsidiaries instead of applying the UTPR to its constituent entities.</w:t>
      </w:r>
    </w:p>
    <w:p w14:paraId="037D2EAC" w14:textId="77777777" w:rsidR="00B122A3" w:rsidRPr="00B122A3" w:rsidRDefault="00B122A3" w:rsidP="00523576">
      <w:pPr>
        <w:pStyle w:val="Heading3"/>
        <w:rPr>
          <w:lang w:val="en-GB" w:eastAsia="en-AU"/>
        </w:rPr>
      </w:pPr>
      <w:r w:rsidRPr="00DE682C">
        <w:rPr>
          <w:lang w:val="en-GB" w:eastAsia="en-AU"/>
        </w:rPr>
        <w:t>Reason for exclusion</w:t>
      </w:r>
      <w:r w:rsidRPr="00B122A3">
        <w:rPr>
          <w:lang w:val="en-GB" w:eastAsia="en-AU"/>
        </w:rPr>
        <w:t>s</w:t>
      </w:r>
    </w:p>
    <w:p w14:paraId="1F90624B" w14:textId="62FC4789" w:rsidR="00B122A3" w:rsidRPr="00DE682C" w:rsidRDefault="00B122A3" w:rsidP="00523576">
      <w:pPr>
        <w:pStyle w:val="NumberedParagraph"/>
        <w:rPr>
          <w:snapToGrid w:val="0"/>
          <w:lang w:eastAsia="en-US"/>
        </w:rPr>
      </w:pPr>
      <w:r w:rsidRPr="00DE682C">
        <w:rPr>
          <w:snapToGrid w:val="0"/>
          <w:lang w:eastAsia="en-US"/>
        </w:rPr>
        <w:t xml:space="preserve">Governmental entities, international organisations, non-profit </w:t>
      </w:r>
      <w:proofErr w:type="gramStart"/>
      <w:r w:rsidRPr="00DE682C">
        <w:rPr>
          <w:snapToGrid w:val="0"/>
          <w:lang w:eastAsia="en-US"/>
        </w:rPr>
        <w:t>organisations</w:t>
      </w:r>
      <w:proofErr w:type="gramEnd"/>
      <w:r w:rsidRPr="00DE682C">
        <w:rPr>
          <w:snapToGrid w:val="0"/>
          <w:lang w:eastAsia="en-US"/>
        </w:rPr>
        <w:t xml:space="preserve"> and pension funds are excluded because </w:t>
      </w:r>
      <w:r w:rsidR="00B57C46" w:rsidRPr="00DE682C">
        <w:rPr>
          <w:snapToGrid w:val="0"/>
          <w:lang w:eastAsia="en-US"/>
        </w:rPr>
        <w:t xml:space="preserve">for various </w:t>
      </w:r>
      <w:r w:rsidR="00687EAB" w:rsidRPr="00DE682C">
        <w:rPr>
          <w:snapToGrid w:val="0"/>
          <w:lang w:eastAsia="en-US"/>
        </w:rPr>
        <w:t xml:space="preserve">reasons </w:t>
      </w:r>
      <w:r w:rsidRPr="00DE682C">
        <w:rPr>
          <w:snapToGrid w:val="0"/>
          <w:lang w:eastAsia="en-US"/>
        </w:rPr>
        <w:t>they are often afforded tax exemptions or other benefits, so they may have a low ETR for reasons unrelated to tax competition and profit shifting.</w:t>
      </w:r>
    </w:p>
    <w:p w14:paraId="01179524" w14:textId="49F04D53" w:rsidR="00B122A3" w:rsidRPr="00B122A3" w:rsidRDefault="00B122A3" w:rsidP="00523576">
      <w:pPr>
        <w:pStyle w:val="NumberedParagraph"/>
        <w:rPr>
          <w:snapToGrid w:val="0"/>
          <w:lang w:eastAsia="en-US"/>
        </w:rPr>
      </w:pPr>
      <w:r w:rsidRPr="00B122A3">
        <w:rPr>
          <w:snapToGrid w:val="0"/>
          <w:lang w:eastAsia="en-US"/>
        </w:rPr>
        <w:t xml:space="preserve">The reason investment </w:t>
      </w:r>
      <w:proofErr w:type="gramStart"/>
      <w:r w:rsidRPr="00B122A3">
        <w:rPr>
          <w:snapToGrid w:val="0"/>
          <w:lang w:eastAsia="en-US"/>
        </w:rPr>
        <w:t>funds</w:t>
      </w:r>
      <w:proofErr w:type="gramEnd"/>
      <w:r w:rsidRPr="00B122A3">
        <w:rPr>
          <w:snapToGrid w:val="0"/>
          <w:lang w:eastAsia="en-US"/>
        </w:rPr>
        <w:t xml:space="preserve"> and real estate investment vehicles are excluded entities if they are UPEs is because they are passive investment vehicles whose purpose is not to make profits from operating a business, but rather to pool </w:t>
      </w:r>
      <w:r w:rsidRPr="00B122A3">
        <w:rPr>
          <w:snapToGrid w:val="0"/>
          <w:lang w:eastAsia="en-US"/>
        </w:rPr>
        <w:lastRenderedPageBreak/>
        <w:t>funds for investment purposes</w:t>
      </w:r>
      <w:r w:rsidR="00C028F0">
        <w:rPr>
          <w:snapToGrid w:val="0"/>
          <w:lang w:eastAsia="en-US"/>
        </w:rPr>
        <w:t xml:space="preserve">. </w:t>
      </w:r>
      <w:r w:rsidRPr="00B122A3">
        <w:rPr>
          <w:snapToGrid w:val="0"/>
          <w:lang w:eastAsia="en-US"/>
        </w:rPr>
        <w:t>Tax should be imposed either on the underlying businesses or on the real investors, rather than on the pooling vehicle</w:t>
      </w:r>
      <w:r w:rsidR="00C028F0">
        <w:rPr>
          <w:snapToGrid w:val="0"/>
          <w:lang w:eastAsia="en-US"/>
        </w:rPr>
        <w:t xml:space="preserve">. </w:t>
      </w:r>
      <w:r w:rsidRPr="00B122A3">
        <w:rPr>
          <w:snapToGrid w:val="0"/>
          <w:lang w:eastAsia="en-US"/>
        </w:rPr>
        <w:t>Generally tax on investment funds and vehicles is imposed at the investor level, rather than at the fund level.</w:t>
      </w:r>
    </w:p>
    <w:p w14:paraId="0FFD8BEF" w14:textId="77777777" w:rsidR="00B122A3" w:rsidRPr="00B122A3" w:rsidRDefault="00B122A3" w:rsidP="00523576">
      <w:pPr>
        <w:pStyle w:val="Heading3"/>
        <w:rPr>
          <w:lang w:val="en-GB" w:eastAsia="en-AU"/>
        </w:rPr>
      </w:pPr>
      <w:r w:rsidRPr="00B122A3">
        <w:rPr>
          <w:lang w:val="en-GB" w:eastAsia="en-AU"/>
        </w:rPr>
        <w:t>Effect of exclusion</w:t>
      </w:r>
    </w:p>
    <w:p w14:paraId="240B142C" w14:textId="22D340BF" w:rsidR="00B122A3" w:rsidRPr="00B122A3" w:rsidRDefault="00B122A3" w:rsidP="00523576">
      <w:pPr>
        <w:pStyle w:val="NumberedParagraph"/>
        <w:rPr>
          <w:snapToGrid w:val="0"/>
          <w:lang w:eastAsia="en-US"/>
        </w:rPr>
      </w:pPr>
      <w:r w:rsidRPr="00B122A3">
        <w:rPr>
          <w:snapToGrid w:val="0"/>
          <w:lang w:eastAsia="en-US"/>
        </w:rPr>
        <w:t xml:space="preserve">Excluded entities are not </w:t>
      </w:r>
      <w:r w:rsidR="00AA0097">
        <w:rPr>
          <w:snapToGrid w:val="0"/>
          <w:lang w:eastAsia="en-US"/>
        </w:rPr>
        <w:t xml:space="preserve">subject to </w:t>
      </w:r>
      <w:r w:rsidRPr="00B122A3">
        <w:rPr>
          <w:snapToGrid w:val="0"/>
          <w:lang w:eastAsia="en-US"/>
        </w:rPr>
        <w:t>the IIR or UTPR. If an excluded entity is the UPE of the MNE, the IIR must be applied by the next entity in the ownership chain that is not an excluded entity.</w:t>
      </w:r>
    </w:p>
    <w:p w14:paraId="36085479" w14:textId="66AAC39D" w:rsidR="00B122A3" w:rsidRPr="00B122A3" w:rsidRDefault="00B122A3" w:rsidP="00523576">
      <w:pPr>
        <w:pStyle w:val="NumberedParagraph"/>
        <w:rPr>
          <w:snapToGrid w:val="0"/>
          <w:lang w:eastAsia="en-US"/>
        </w:rPr>
      </w:pPr>
      <w:r w:rsidRPr="00B122A3">
        <w:rPr>
          <w:snapToGrid w:val="0"/>
          <w:lang w:eastAsia="en-US"/>
        </w:rPr>
        <w:t>An excluded entity’s financial</w:t>
      </w:r>
      <w:r w:rsidR="00DE791A">
        <w:rPr>
          <w:snapToGrid w:val="0"/>
          <w:lang w:eastAsia="en-US"/>
        </w:rPr>
        <w:t xml:space="preserve"> result</w:t>
      </w:r>
      <w:r w:rsidRPr="00B122A3">
        <w:rPr>
          <w:snapToGrid w:val="0"/>
          <w:lang w:eastAsia="en-US"/>
        </w:rPr>
        <w:t>s (including its profits, losses, taxes paid, tangible assets and payroll expenses) are also removed from most calculations required under the GloBE rules, including the ETR calculation. The exception to this is the revenue threshold described above.</w:t>
      </w:r>
    </w:p>
    <w:p w14:paraId="0C781F8C" w14:textId="22FFC345" w:rsidR="00B122A3" w:rsidRPr="00523576" w:rsidRDefault="00B122A3" w:rsidP="00523576">
      <w:pPr>
        <w:pStyle w:val="NumberedParagraph"/>
        <w:rPr>
          <w:snapToGrid w:val="0"/>
          <w:lang w:eastAsia="en-US"/>
        </w:rPr>
      </w:pPr>
      <w:r w:rsidRPr="00B122A3">
        <w:rPr>
          <w:snapToGrid w:val="0"/>
          <w:lang w:eastAsia="en-US"/>
        </w:rPr>
        <w:t>The exclusions work on an entity basis, not a group basis. Other (non-excluded) entities in the same group as an excluded entity will still have to apply the GloBE rules</w:t>
      </w:r>
      <w:r w:rsidR="00996753">
        <w:rPr>
          <w:snapToGrid w:val="0"/>
          <w:lang w:eastAsia="en-US"/>
        </w:rPr>
        <w:t xml:space="preserve"> if the group is in-scope</w:t>
      </w:r>
      <w:r w:rsidRPr="00B122A3">
        <w:rPr>
          <w:snapToGrid w:val="0"/>
          <w:lang w:eastAsia="en-US"/>
        </w:rPr>
        <w:t xml:space="preserve">. But if a group consists entirely of excluded entities, the group </w:t>
      </w:r>
      <w:proofErr w:type="gramStart"/>
      <w:r w:rsidRPr="00B122A3">
        <w:rPr>
          <w:snapToGrid w:val="0"/>
          <w:lang w:eastAsia="en-US"/>
        </w:rPr>
        <w:t>would</w:t>
      </w:r>
      <w:proofErr w:type="gramEnd"/>
      <w:r w:rsidRPr="00B122A3">
        <w:rPr>
          <w:snapToGrid w:val="0"/>
          <w:lang w:eastAsia="en-US"/>
        </w:rPr>
        <w:t xml:space="preserve"> not have to apply the GloBE rules at all.</w:t>
      </w:r>
    </w:p>
    <w:p w14:paraId="775EE7D1" w14:textId="77777777" w:rsidR="00B122A3" w:rsidRPr="00B122A3" w:rsidRDefault="00B122A3" w:rsidP="00A438C7">
      <w:pPr>
        <w:pStyle w:val="Heading2"/>
        <w:rPr>
          <w:lang w:val="en-GB" w:eastAsia="en-AU"/>
        </w:rPr>
      </w:pPr>
      <w:bookmarkStart w:id="31" w:name="_Toc101095579"/>
      <w:r w:rsidRPr="00B122A3">
        <w:rPr>
          <w:lang w:val="en-GB" w:eastAsia="en-AU"/>
        </w:rPr>
        <w:t>International shipping exemption</w:t>
      </w:r>
      <w:bookmarkEnd w:id="31"/>
    </w:p>
    <w:p w14:paraId="2FC7FF5C" w14:textId="4D0C947A" w:rsidR="00B122A3" w:rsidRPr="00B122A3" w:rsidRDefault="00B122A3" w:rsidP="00A438C7">
      <w:pPr>
        <w:pStyle w:val="NumberedParagraph"/>
        <w:rPr>
          <w:snapToGrid w:val="0"/>
          <w:lang w:eastAsia="en-US"/>
        </w:rPr>
      </w:pPr>
      <w:r w:rsidRPr="00B122A3">
        <w:rPr>
          <w:snapToGrid w:val="0"/>
          <w:lang w:eastAsia="en-US"/>
        </w:rPr>
        <w:t xml:space="preserve">The GloBE rules exempt international shipping. The exemption applies to shipping </w:t>
      </w:r>
      <w:r w:rsidRPr="00B122A3">
        <w:rPr>
          <w:i/>
          <w:iCs/>
          <w:snapToGrid w:val="0"/>
          <w:lang w:eastAsia="en-US"/>
        </w:rPr>
        <w:t>income</w:t>
      </w:r>
      <w:r w:rsidRPr="00B122A3">
        <w:rPr>
          <w:snapToGrid w:val="0"/>
          <w:lang w:eastAsia="en-US"/>
        </w:rPr>
        <w:t>, rather than to shipping entities or groups (though entities or groups whose income is solely shipping income will effectively fall outside the rules).</w:t>
      </w:r>
    </w:p>
    <w:p w14:paraId="522C81F0" w14:textId="3634826D" w:rsidR="00B122A3" w:rsidRPr="00B122A3" w:rsidRDefault="00B122A3" w:rsidP="00A438C7">
      <w:pPr>
        <w:pStyle w:val="NumberedParagraph"/>
        <w:rPr>
          <w:snapToGrid w:val="0"/>
          <w:lang w:eastAsia="en-US"/>
        </w:rPr>
      </w:pPr>
      <w:r w:rsidRPr="00B122A3">
        <w:rPr>
          <w:snapToGrid w:val="0"/>
          <w:lang w:eastAsia="en-US"/>
        </w:rPr>
        <w:t xml:space="preserve">The reason for the exemption is because in many jurisdictions, international shipping income is taxed under a special tax regime (for example, tonnage tax) rather than under the corporate income tax. The OECD Model Tax Convention similarly </w:t>
      </w:r>
      <w:r w:rsidR="005B5209">
        <w:rPr>
          <w:snapToGrid w:val="0"/>
          <w:lang w:eastAsia="en-US"/>
        </w:rPr>
        <w:t xml:space="preserve">has a separate Article </w:t>
      </w:r>
      <w:r w:rsidRPr="00B122A3">
        <w:rPr>
          <w:snapToGrid w:val="0"/>
          <w:lang w:eastAsia="en-US"/>
        </w:rPr>
        <w:t>for international shipping income,</w:t>
      </w:r>
      <w:r w:rsidR="00A80DF3">
        <w:rPr>
          <w:snapToGrid w:val="0"/>
          <w:lang w:eastAsia="en-US"/>
        </w:rPr>
        <w:t xml:space="preserve"> which provides for taxation on a residence basis only</w:t>
      </w:r>
      <w:r w:rsidR="008D2B85">
        <w:rPr>
          <w:snapToGrid w:val="0"/>
          <w:lang w:eastAsia="en-US"/>
        </w:rPr>
        <w:t>.</w:t>
      </w:r>
    </w:p>
    <w:p w14:paraId="5931FD65" w14:textId="549B7D19" w:rsidR="00B122A3" w:rsidRDefault="00B122A3" w:rsidP="00A438C7">
      <w:pPr>
        <w:pStyle w:val="NumberedParagraph"/>
        <w:rPr>
          <w:snapToGrid w:val="0"/>
          <w:lang w:eastAsia="en-US"/>
        </w:rPr>
      </w:pPr>
      <w:r w:rsidRPr="00B122A3">
        <w:rPr>
          <w:snapToGrid w:val="0"/>
          <w:lang w:eastAsia="en-US"/>
        </w:rPr>
        <w:t xml:space="preserve">The effect of the exemption is that international shipping income, as well as taxes paid in respect of that income, </w:t>
      </w:r>
      <w:r w:rsidR="00D040B4">
        <w:rPr>
          <w:snapToGrid w:val="0"/>
          <w:lang w:eastAsia="en-US"/>
        </w:rPr>
        <w:t>is</w:t>
      </w:r>
      <w:r w:rsidRPr="00B122A3">
        <w:rPr>
          <w:snapToGrid w:val="0"/>
          <w:lang w:eastAsia="en-US"/>
        </w:rPr>
        <w:t xml:space="preserve"> excluded from the ETR calculations. However, international shipping income is still </w:t>
      </w:r>
      <w:proofErr w:type="gramStart"/>
      <w:r w:rsidRPr="00B122A3">
        <w:rPr>
          <w:snapToGrid w:val="0"/>
          <w:lang w:eastAsia="en-US"/>
        </w:rPr>
        <w:t>taken into account</w:t>
      </w:r>
      <w:proofErr w:type="gramEnd"/>
      <w:r w:rsidRPr="00B122A3">
        <w:rPr>
          <w:snapToGrid w:val="0"/>
          <w:lang w:eastAsia="en-US"/>
        </w:rPr>
        <w:t xml:space="preserve"> for purposes of determining whether </w:t>
      </w:r>
      <w:r w:rsidR="00996753">
        <w:rPr>
          <w:snapToGrid w:val="0"/>
          <w:lang w:eastAsia="en-US"/>
        </w:rPr>
        <w:t>an</w:t>
      </w:r>
      <w:r w:rsidRPr="00B122A3">
        <w:rPr>
          <w:snapToGrid w:val="0"/>
          <w:lang w:eastAsia="en-US"/>
        </w:rPr>
        <w:t xml:space="preserve"> MNE meets the €750 million revenue threshold.</w:t>
      </w:r>
    </w:p>
    <w:p w14:paraId="606BC9FE" w14:textId="4AB3AFB6" w:rsidR="008827FA" w:rsidRDefault="00AE39DC" w:rsidP="008827FA">
      <w:pPr>
        <w:pStyle w:val="Heading1"/>
        <w:rPr>
          <w:snapToGrid w:val="0"/>
          <w:lang w:eastAsia="en-US"/>
        </w:rPr>
      </w:pPr>
      <w:r>
        <w:rPr>
          <w:snapToGrid w:val="0"/>
          <w:lang w:eastAsia="en-US"/>
        </w:rPr>
        <w:lastRenderedPageBreak/>
        <w:br/>
      </w:r>
      <w:r>
        <w:rPr>
          <w:snapToGrid w:val="0"/>
          <w:lang w:eastAsia="en-US"/>
        </w:rPr>
        <w:br/>
      </w:r>
      <w:bookmarkStart w:id="32" w:name="_Toc101095580"/>
      <w:r w:rsidR="00431694">
        <w:rPr>
          <w:snapToGrid w:val="0"/>
          <w:lang w:eastAsia="en-US"/>
        </w:rPr>
        <w:t>Calculating the effective tax rate</w:t>
      </w:r>
      <w:bookmarkEnd w:id="32"/>
    </w:p>
    <w:p w14:paraId="7A1B5876" w14:textId="642AD1F0" w:rsidR="00431694" w:rsidRDefault="00C868DE" w:rsidP="00C868DE">
      <w:pPr>
        <w:pStyle w:val="Heading2"/>
        <w:rPr>
          <w:lang w:eastAsia="en-US"/>
        </w:rPr>
      </w:pPr>
      <w:bookmarkStart w:id="33" w:name="_Toc101095581"/>
      <w:r>
        <w:rPr>
          <w:lang w:eastAsia="en-US"/>
        </w:rPr>
        <w:t>Overview</w:t>
      </w:r>
      <w:bookmarkEnd w:id="33"/>
    </w:p>
    <w:p w14:paraId="43C9EA65" w14:textId="710E8C5A" w:rsidR="006902DF" w:rsidRPr="006902DF" w:rsidRDefault="006902DF" w:rsidP="00420A50">
      <w:pPr>
        <w:pStyle w:val="NumberedParagraph"/>
        <w:rPr>
          <w:lang w:eastAsia="en-AU"/>
        </w:rPr>
      </w:pPr>
      <w:r w:rsidRPr="006902DF">
        <w:rPr>
          <w:lang w:eastAsia="en-AU"/>
        </w:rPr>
        <w:t xml:space="preserve">Pillar </w:t>
      </w:r>
      <w:r w:rsidR="006A729C">
        <w:rPr>
          <w:lang w:eastAsia="en-AU"/>
        </w:rPr>
        <w:t>Two</w:t>
      </w:r>
      <w:r w:rsidRPr="006902DF">
        <w:rPr>
          <w:lang w:eastAsia="en-AU"/>
        </w:rPr>
        <w:t xml:space="preserve"> charges top-up tax where a MNE’s </w:t>
      </w:r>
      <w:r w:rsidR="00271908">
        <w:rPr>
          <w:lang w:eastAsia="en-AU"/>
        </w:rPr>
        <w:t xml:space="preserve">excess </w:t>
      </w:r>
      <w:r w:rsidRPr="006902DF">
        <w:rPr>
          <w:lang w:eastAsia="en-AU"/>
        </w:rPr>
        <w:t xml:space="preserve">profits in a jurisdiction are taxed below the minimum 15% rate. </w:t>
      </w:r>
      <w:r w:rsidR="00034D14">
        <w:rPr>
          <w:lang w:eastAsia="en-AU"/>
        </w:rPr>
        <w:t>Calculating the ETR</w:t>
      </w:r>
      <w:r w:rsidRPr="006902DF">
        <w:rPr>
          <w:lang w:eastAsia="en-AU"/>
        </w:rPr>
        <w:t xml:space="preserve"> requires first a calculation of the income in a jurisdiction, and second a calculation of the tax on that income.</w:t>
      </w:r>
    </w:p>
    <w:p w14:paraId="672D814E" w14:textId="6C1B195F" w:rsidR="006902DF" w:rsidRPr="006902DF" w:rsidRDefault="006902DF" w:rsidP="00420A50">
      <w:pPr>
        <w:pStyle w:val="NumberedParagraph"/>
        <w:rPr>
          <w:lang w:eastAsia="en-AU"/>
        </w:rPr>
      </w:pPr>
      <w:r w:rsidRPr="006902DF">
        <w:rPr>
          <w:lang w:eastAsia="en-AU"/>
        </w:rPr>
        <w:t>This chapter explains the different components of the ETR calculation in Chapters 3 and 4 of the Model Rules.</w:t>
      </w:r>
      <w:r w:rsidR="00BC4E82">
        <w:rPr>
          <w:lang w:eastAsia="en-AU"/>
        </w:rPr>
        <w:t xml:space="preserve"> </w:t>
      </w:r>
      <w:r w:rsidR="00890B06">
        <w:rPr>
          <w:lang w:eastAsia="en-AU"/>
        </w:rPr>
        <w:t>I</w:t>
      </w:r>
      <w:r w:rsidR="00F33008">
        <w:rPr>
          <w:lang w:eastAsia="en-AU"/>
        </w:rPr>
        <w:t xml:space="preserve">t sets out the main features of the rules and notes </w:t>
      </w:r>
      <w:r w:rsidR="007E4FE2">
        <w:rPr>
          <w:lang w:eastAsia="en-AU"/>
        </w:rPr>
        <w:t>special rules that apply in particular circumstances.</w:t>
      </w:r>
    </w:p>
    <w:p w14:paraId="76D79CD0" w14:textId="453E147F" w:rsidR="006902DF" w:rsidRPr="006902DF" w:rsidRDefault="006902DF" w:rsidP="00420A50">
      <w:pPr>
        <w:pStyle w:val="Heading2"/>
        <w:rPr>
          <w:lang w:eastAsia="en-AU"/>
        </w:rPr>
      </w:pPr>
      <w:bookmarkStart w:id="34" w:name="_Toc101095582"/>
      <w:r w:rsidRPr="006902DF">
        <w:rPr>
          <w:lang w:eastAsia="en-AU"/>
        </w:rPr>
        <w:t>The Effective Tax Rate</w:t>
      </w:r>
      <w:bookmarkEnd w:id="34"/>
    </w:p>
    <w:p w14:paraId="66221928" w14:textId="0390BACD" w:rsidR="006902DF" w:rsidRPr="006902DF" w:rsidRDefault="006902DF" w:rsidP="006211F3">
      <w:pPr>
        <w:pStyle w:val="NumberedParagraph"/>
        <w:rPr>
          <w:lang w:eastAsia="en-AU"/>
        </w:rPr>
      </w:pPr>
      <w:r w:rsidRPr="006902DF">
        <w:rPr>
          <w:lang w:eastAsia="en-AU"/>
        </w:rPr>
        <w:t xml:space="preserve">The ETR for a jurisdiction is the total tax </w:t>
      </w:r>
      <w:r w:rsidR="00693567">
        <w:rPr>
          <w:lang w:eastAsia="en-AU"/>
        </w:rPr>
        <w:t xml:space="preserve">divided </w:t>
      </w:r>
      <w:r w:rsidRPr="006902DF">
        <w:rPr>
          <w:lang w:eastAsia="en-AU"/>
        </w:rPr>
        <w:t xml:space="preserve">by the total profit in that jurisdiction. There are detailed rules prescribing what taxes can be included in this calculation, which are referred to as ‘covered taxes’, and how to calculate </w:t>
      </w:r>
      <w:r w:rsidR="007E4FE2">
        <w:rPr>
          <w:lang w:eastAsia="en-AU"/>
        </w:rPr>
        <w:t>the profit</w:t>
      </w:r>
      <w:r w:rsidRPr="006902DF">
        <w:rPr>
          <w:lang w:eastAsia="en-AU"/>
        </w:rPr>
        <w:t xml:space="preserve"> in the jurisdiction</w:t>
      </w:r>
      <w:r w:rsidR="007E4FE2">
        <w:rPr>
          <w:lang w:eastAsia="en-AU"/>
        </w:rPr>
        <w:t>, which is referred to as ‘GloBE income</w:t>
      </w:r>
      <w:r w:rsidR="00F732A8">
        <w:rPr>
          <w:lang w:eastAsia="en-AU"/>
        </w:rPr>
        <w:t>’</w:t>
      </w:r>
      <w:r w:rsidRPr="006902DF">
        <w:rPr>
          <w:lang w:eastAsia="en-AU"/>
        </w:rPr>
        <w:t>.</w:t>
      </w:r>
    </w:p>
    <w:p w14:paraId="46150F72" w14:textId="18B1CC77" w:rsidR="006902DF" w:rsidRPr="006902DF" w:rsidRDefault="006902DF" w:rsidP="006211F3">
      <w:pPr>
        <w:pStyle w:val="NumberedParagraph"/>
        <w:rPr>
          <w:lang w:eastAsia="en-AU"/>
        </w:rPr>
      </w:pPr>
      <w:r w:rsidRPr="006902DF">
        <w:rPr>
          <w:lang w:eastAsia="en-AU"/>
        </w:rPr>
        <w:t>In-scope MNEs must calculate their ETRs for each jurisdiction annually. Calculating the ETR for a jurisdiction broadly involves four steps.</w:t>
      </w:r>
    </w:p>
    <w:p w14:paraId="28431DDA" w14:textId="77777777" w:rsidR="006902DF" w:rsidRPr="006902DF" w:rsidRDefault="006902DF" w:rsidP="006211F3">
      <w:pPr>
        <w:pStyle w:val="NumberedParagraph"/>
        <w:rPr>
          <w:lang w:eastAsia="en-AU"/>
        </w:rPr>
      </w:pPr>
      <w:r w:rsidRPr="006902DF">
        <w:rPr>
          <w:lang w:eastAsia="en-AU"/>
        </w:rPr>
        <w:t>First, the MNE has to identify its constituent entities in the jurisdiction. The Model Rules set out how to work out which jurisdiction an entity is located in.</w:t>
      </w:r>
    </w:p>
    <w:p w14:paraId="03151EA2" w14:textId="435F7674" w:rsidR="006902DF" w:rsidRPr="006902DF" w:rsidRDefault="006902DF" w:rsidP="006211F3">
      <w:pPr>
        <w:pStyle w:val="NumberedParagraph"/>
        <w:rPr>
          <w:lang w:eastAsia="en-AU"/>
        </w:rPr>
      </w:pPr>
      <w:r w:rsidRPr="006902DF">
        <w:rPr>
          <w:lang w:eastAsia="en-AU"/>
        </w:rPr>
        <w:t>Second, the MNE has to work out the GloBE income or profit of each constituent entity in the jurisdiction. This starts with an entity’s accounting profit. Adjustments are then made to the accounting profit to reflect the agreed GloBE base. Some adjustments are mandatory while others are elective. There are also rules for allocating income between jurisdictions.</w:t>
      </w:r>
    </w:p>
    <w:p w14:paraId="4D565D43" w14:textId="55FB43F0" w:rsidR="006902DF" w:rsidRPr="006902DF" w:rsidRDefault="006902DF" w:rsidP="00447A7C">
      <w:pPr>
        <w:pStyle w:val="NumberedParagraph"/>
        <w:rPr>
          <w:lang w:eastAsia="en-AU"/>
        </w:rPr>
      </w:pPr>
      <w:r w:rsidRPr="006902DF">
        <w:rPr>
          <w:lang w:eastAsia="en-AU"/>
        </w:rPr>
        <w:t xml:space="preserve">Third, the MNE must determine the covered taxes </w:t>
      </w:r>
      <w:r w:rsidR="00FA345B">
        <w:rPr>
          <w:lang w:eastAsia="en-AU"/>
        </w:rPr>
        <w:t>of</w:t>
      </w:r>
      <w:r w:rsidRPr="006902DF">
        <w:rPr>
          <w:lang w:eastAsia="en-AU"/>
        </w:rPr>
        <w:t xml:space="preserve"> the constituent entities in the jurisdiction. This requires consideration of the types of taxes that count as </w:t>
      </w:r>
      <w:r w:rsidR="00AD5176">
        <w:rPr>
          <w:lang w:eastAsia="en-AU"/>
        </w:rPr>
        <w:t>‘</w:t>
      </w:r>
      <w:r w:rsidRPr="006902DF">
        <w:rPr>
          <w:lang w:eastAsia="en-AU"/>
        </w:rPr>
        <w:t>covered taxes</w:t>
      </w:r>
      <w:r w:rsidR="00AD5176">
        <w:rPr>
          <w:lang w:eastAsia="en-AU"/>
        </w:rPr>
        <w:t>’</w:t>
      </w:r>
      <w:r w:rsidR="00AE4CE2">
        <w:rPr>
          <w:lang w:eastAsia="en-AU"/>
        </w:rPr>
        <w:t>, and which year those taxes are allocated to</w:t>
      </w:r>
      <w:r w:rsidR="00BA6B62">
        <w:rPr>
          <w:lang w:eastAsia="en-AU"/>
        </w:rPr>
        <w:t xml:space="preserve">. </w:t>
      </w:r>
      <w:r w:rsidR="004359A6">
        <w:rPr>
          <w:lang w:eastAsia="en-AU"/>
        </w:rPr>
        <w:t xml:space="preserve">The starting point for </w:t>
      </w:r>
      <w:r w:rsidR="00FA345B">
        <w:rPr>
          <w:lang w:eastAsia="en-AU"/>
        </w:rPr>
        <w:t>c</w:t>
      </w:r>
      <w:r w:rsidR="001C33E5">
        <w:rPr>
          <w:lang w:eastAsia="en-AU"/>
        </w:rPr>
        <w:t xml:space="preserve">alculating covered taxes </w:t>
      </w:r>
      <w:r w:rsidR="004359A6">
        <w:rPr>
          <w:lang w:eastAsia="en-AU"/>
        </w:rPr>
        <w:t>is the</w:t>
      </w:r>
      <w:r w:rsidR="00BA6B62">
        <w:rPr>
          <w:lang w:eastAsia="en-AU"/>
        </w:rPr>
        <w:t xml:space="preserve"> </w:t>
      </w:r>
      <w:r w:rsidR="009F4776">
        <w:rPr>
          <w:lang w:eastAsia="en-AU"/>
        </w:rPr>
        <w:t xml:space="preserve">accounting </w:t>
      </w:r>
      <w:r w:rsidR="00BA6B62">
        <w:rPr>
          <w:lang w:eastAsia="en-AU"/>
        </w:rPr>
        <w:t>current tax expense</w:t>
      </w:r>
      <w:r w:rsidR="001B2B97">
        <w:rPr>
          <w:lang w:eastAsia="en-AU"/>
        </w:rPr>
        <w:t xml:space="preserve">. </w:t>
      </w:r>
      <w:r w:rsidR="00862FDE">
        <w:rPr>
          <w:lang w:eastAsia="en-AU"/>
        </w:rPr>
        <w:t xml:space="preserve">Adjustments are then made to </w:t>
      </w:r>
      <w:r w:rsidR="008D283F">
        <w:rPr>
          <w:lang w:eastAsia="en-AU"/>
        </w:rPr>
        <w:t>the current tax expense</w:t>
      </w:r>
      <w:r w:rsidR="006E2A34">
        <w:rPr>
          <w:lang w:eastAsia="en-AU"/>
        </w:rPr>
        <w:t>, including</w:t>
      </w:r>
      <w:r w:rsidR="00470237">
        <w:rPr>
          <w:lang w:eastAsia="en-AU"/>
        </w:rPr>
        <w:t xml:space="preserve"> an</w:t>
      </w:r>
      <w:r w:rsidR="00751DE3">
        <w:rPr>
          <w:lang w:eastAsia="en-AU"/>
        </w:rPr>
        <w:t xml:space="preserve"> </w:t>
      </w:r>
      <w:r w:rsidR="00CE464B">
        <w:rPr>
          <w:lang w:eastAsia="en-AU"/>
        </w:rPr>
        <w:t>adjustment</w:t>
      </w:r>
      <w:r w:rsidR="00470237">
        <w:rPr>
          <w:lang w:eastAsia="en-AU"/>
        </w:rPr>
        <w:t xml:space="preserve"> based on deferred tax</w:t>
      </w:r>
      <w:r w:rsidR="00CE464B">
        <w:rPr>
          <w:lang w:eastAsia="en-AU"/>
        </w:rPr>
        <w:t xml:space="preserve"> to address timing differences</w:t>
      </w:r>
      <w:r w:rsidR="007E3E55">
        <w:rPr>
          <w:lang w:eastAsia="en-AU"/>
        </w:rPr>
        <w:t xml:space="preserve"> between accounting and tax</w:t>
      </w:r>
      <w:r w:rsidRPr="006902DF">
        <w:rPr>
          <w:lang w:eastAsia="en-AU"/>
        </w:rPr>
        <w:t>.</w:t>
      </w:r>
      <w:r w:rsidR="009F4776">
        <w:rPr>
          <w:lang w:eastAsia="en-AU"/>
        </w:rPr>
        <w:t xml:space="preserve"> There are also rules for allocating covered taxes between jurisdictions.</w:t>
      </w:r>
    </w:p>
    <w:p w14:paraId="782E2F03" w14:textId="5216099C" w:rsidR="006902DF" w:rsidRPr="006902DF" w:rsidRDefault="006902DF" w:rsidP="00960EB0">
      <w:pPr>
        <w:pStyle w:val="NumberedParagraph"/>
        <w:rPr>
          <w:lang w:eastAsia="en-AU"/>
        </w:rPr>
      </w:pPr>
      <w:r w:rsidRPr="006902DF">
        <w:rPr>
          <w:lang w:eastAsia="en-AU"/>
        </w:rPr>
        <w:t xml:space="preserve">Lastly, the ETR is derived by aggregating </w:t>
      </w:r>
      <w:r w:rsidR="00E975E5">
        <w:rPr>
          <w:lang w:eastAsia="en-AU"/>
        </w:rPr>
        <w:t xml:space="preserve">covered </w:t>
      </w:r>
      <w:r w:rsidRPr="006902DF">
        <w:rPr>
          <w:lang w:eastAsia="en-AU"/>
        </w:rPr>
        <w:t xml:space="preserve">taxes, and GloBE income </w:t>
      </w:r>
      <w:r w:rsidR="00407B51">
        <w:rPr>
          <w:lang w:eastAsia="en-AU"/>
        </w:rPr>
        <w:t>and losses</w:t>
      </w:r>
      <w:r w:rsidR="00E975E5">
        <w:rPr>
          <w:lang w:eastAsia="en-AU"/>
        </w:rPr>
        <w:t>,</w:t>
      </w:r>
      <w:r w:rsidR="00407B51">
        <w:rPr>
          <w:lang w:eastAsia="en-AU"/>
        </w:rPr>
        <w:t xml:space="preserve"> of</w:t>
      </w:r>
      <w:r w:rsidRPr="006902DF">
        <w:rPr>
          <w:lang w:eastAsia="en-AU"/>
        </w:rPr>
        <w:t xml:space="preserve"> the constituent entities in a jurisdiction. The total taxes are divided by the total </w:t>
      </w:r>
      <w:r w:rsidR="00DB4E88">
        <w:rPr>
          <w:lang w:eastAsia="en-AU"/>
        </w:rPr>
        <w:t xml:space="preserve">net </w:t>
      </w:r>
      <w:r w:rsidRPr="006902DF">
        <w:rPr>
          <w:lang w:eastAsia="en-AU"/>
        </w:rPr>
        <w:t>GloBE income to get the ETR for the jurisdiction.</w:t>
      </w:r>
    </w:p>
    <w:p w14:paraId="551451BD" w14:textId="7355F978" w:rsidR="009450C9" w:rsidRPr="006902DF" w:rsidRDefault="009450C9" w:rsidP="00960EB0">
      <w:pPr>
        <w:pStyle w:val="NumberedParagraph"/>
        <w:rPr>
          <w:lang w:eastAsia="en-AU"/>
        </w:rPr>
      </w:pPr>
      <w:r>
        <w:rPr>
          <w:lang w:eastAsia="en-AU"/>
        </w:rPr>
        <w:t>These steps are discussed in more detail below.</w:t>
      </w:r>
    </w:p>
    <w:p w14:paraId="75952AE2" w14:textId="2BB8B31B" w:rsidR="006902DF" w:rsidRPr="006902DF" w:rsidRDefault="006902DF" w:rsidP="00960EB0">
      <w:pPr>
        <w:pStyle w:val="Heading2"/>
        <w:rPr>
          <w:lang w:val="en-GB" w:eastAsia="en-AU"/>
        </w:rPr>
      </w:pPr>
      <w:bookmarkStart w:id="35" w:name="_Toc101095583"/>
      <w:r w:rsidRPr="006902DF">
        <w:rPr>
          <w:lang w:eastAsia="en-AU"/>
        </w:rPr>
        <w:t xml:space="preserve">Step </w:t>
      </w:r>
      <w:r w:rsidR="009576A5">
        <w:rPr>
          <w:lang w:eastAsia="en-AU"/>
        </w:rPr>
        <w:t>1</w:t>
      </w:r>
      <w:r w:rsidRPr="006902DF">
        <w:rPr>
          <w:lang w:eastAsia="en-AU"/>
        </w:rPr>
        <w:t>: Identifying</w:t>
      </w:r>
      <w:r w:rsidRPr="006902DF">
        <w:rPr>
          <w:lang w:val="en-GB" w:eastAsia="en-AU"/>
        </w:rPr>
        <w:t xml:space="preserve"> the constituent entities in a jurisdiction</w:t>
      </w:r>
      <w:bookmarkEnd w:id="35"/>
    </w:p>
    <w:p w14:paraId="38F3B97E" w14:textId="6E44B18D" w:rsidR="006902DF" w:rsidRPr="006902DF" w:rsidRDefault="006902DF" w:rsidP="00675293">
      <w:pPr>
        <w:pStyle w:val="NumberedParagraph"/>
        <w:rPr>
          <w:lang w:eastAsia="en-AU"/>
        </w:rPr>
      </w:pPr>
      <w:r w:rsidRPr="006902DF">
        <w:rPr>
          <w:lang w:eastAsia="en-AU"/>
        </w:rPr>
        <w:t xml:space="preserve">The GloBE rules calculate the ETR for a jurisdiction as a whole. This ensures that a MNE with a high ETR in a jurisdiction does not suffer a top-up tax because of </w:t>
      </w:r>
      <w:r w:rsidR="00183C53">
        <w:rPr>
          <w:lang w:eastAsia="en-AU"/>
        </w:rPr>
        <w:t xml:space="preserve">an </w:t>
      </w:r>
      <w:r w:rsidRPr="006902DF">
        <w:rPr>
          <w:lang w:eastAsia="en-AU"/>
        </w:rPr>
        <w:t>isolated low-tax entit</w:t>
      </w:r>
      <w:r w:rsidR="00183C53">
        <w:rPr>
          <w:lang w:eastAsia="en-AU"/>
        </w:rPr>
        <w:t>y</w:t>
      </w:r>
      <w:r w:rsidRPr="006902DF">
        <w:rPr>
          <w:lang w:eastAsia="en-AU"/>
        </w:rPr>
        <w:t xml:space="preserve"> whose low level of taxation could be a function of </w:t>
      </w:r>
      <w:r w:rsidR="00183C53">
        <w:rPr>
          <w:lang w:eastAsia="en-AU"/>
        </w:rPr>
        <w:t>its</w:t>
      </w:r>
      <w:r w:rsidRPr="006902DF">
        <w:rPr>
          <w:lang w:eastAsia="en-AU"/>
        </w:rPr>
        <w:t xml:space="preserve"> relationship with other entities in the jurisdiction.</w:t>
      </w:r>
    </w:p>
    <w:p w14:paraId="5D0D66A1" w14:textId="60AEE139" w:rsidR="006902DF" w:rsidRPr="006902DF" w:rsidRDefault="0072140B" w:rsidP="00675293">
      <w:pPr>
        <w:pStyle w:val="NumberedParagraph"/>
        <w:rPr>
          <w:lang w:eastAsia="en-AU"/>
        </w:rPr>
      </w:pPr>
      <w:r>
        <w:rPr>
          <w:lang w:eastAsia="en-AU"/>
        </w:rPr>
        <w:t xml:space="preserve">Chapter 10 of the Model Rules determines </w:t>
      </w:r>
      <w:r w:rsidR="006902DF" w:rsidRPr="006902DF">
        <w:rPr>
          <w:lang w:eastAsia="en-AU"/>
        </w:rPr>
        <w:t xml:space="preserve">where an entity is located. </w:t>
      </w:r>
      <w:r w:rsidR="001734BD">
        <w:rPr>
          <w:lang w:eastAsia="en-AU"/>
        </w:rPr>
        <w:t>M</w:t>
      </w:r>
      <w:r w:rsidR="006902DF" w:rsidRPr="006902DF">
        <w:rPr>
          <w:lang w:eastAsia="en-AU"/>
        </w:rPr>
        <w:t xml:space="preserve">ost constituent entities will be located in the jurisdiction where they are tax </w:t>
      </w:r>
      <w:r w:rsidR="006902DF" w:rsidRPr="006902DF">
        <w:rPr>
          <w:lang w:eastAsia="en-AU"/>
        </w:rPr>
        <w:lastRenderedPageBreak/>
        <w:t>resident. Where a constituent entity is not tax resident in a jurisdiction, it will be located in the jurisdiction where it was created, for instance where it was incorporated.</w:t>
      </w:r>
    </w:p>
    <w:p w14:paraId="02E48B47" w14:textId="30CB63D2" w:rsidR="006902DF" w:rsidRPr="006902DF" w:rsidRDefault="007E03BD" w:rsidP="00675293">
      <w:pPr>
        <w:pStyle w:val="NumberedParagraph"/>
        <w:rPr>
          <w:lang w:eastAsia="en-AU"/>
        </w:rPr>
      </w:pPr>
      <w:r>
        <w:rPr>
          <w:lang w:eastAsia="en-AU"/>
        </w:rPr>
        <w:t>S</w:t>
      </w:r>
      <w:r w:rsidR="006902DF" w:rsidRPr="006902DF">
        <w:rPr>
          <w:lang w:eastAsia="en-AU"/>
        </w:rPr>
        <w:t xml:space="preserve">pecific rules </w:t>
      </w:r>
      <w:r w:rsidR="00E52748">
        <w:rPr>
          <w:lang w:eastAsia="en-AU"/>
        </w:rPr>
        <w:t>locate</w:t>
      </w:r>
      <w:r w:rsidR="006902DF" w:rsidRPr="006902DF">
        <w:rPr>
          <w:lang w:eastAsia="en-AU"/>
        </w:rPr>
        <w:t xml:space="preserve"> tax transparent entities, like partnerships and permanent establishments (PEs)</w:t>
      </w:r>
      <w:r w:rsidR="007F5CBD">
        <w:rPr>
          <w:lang w:eastAsia="en-AU"/>
        </w:rPr>
        <w:t>,</w:t>
      </w:r>
      <w:r w:rsidR="006902DF" w:rsidRPr="006902DF">
        <w:rPr>
          <w:lang w:eastAsia="en-AU"/>
        </w:rPr>
        <w:t xml:space="preserve"> for the purposes of the ETR calculations and charging provisions.</w:t>
      </w:r>
    </w:p>
    <w:p w14:paraId="1E01ECF3" w14:textId="77777777" w:rsidR="006902DF" w:rsidRPr="006902DF" w:rsidRDefault="006902DF" w:rsidP="00675293">
      <w:pPr>
        <w:pStyle w:val="NumberedParagraph"/>
        <w:rPr>
          <w:lang w:eastAsia="en-AU"/>
        </w:rPr>
      </w:pPr>
      <w:r w:rsidRPr="006902DF">
        <w:rPr>
          <w:lang w:eastAsia="en-AU"/>
        </w:rPr>
        <w:t>The Model Rules distinguish between transparent entities and their owners. Transparent entities are treated as constituent entities in the Model Rules and are generally treated as ‘stateless’ entities. This means their ETR is calculated separately and without blending their income or tax with other entities. There is an exception to this rule where the transparent entity is required to apply an IIR, or it is located at the top of the MNE group.</w:t>
      </w:r>
    </w:p>
    <w:p w14:paraId="5954C183" w14:textId="447A60BD" w:rsidR="006902DF" w:rsidRPr="006902DF" w:rsidRDefault="006902DF" w:rsidP="00675293">
      <w:pPr>
        <w:pStyle w:val="NumberedParagraph"/>
        <w:rPr>
          <w:lang w:eastAsia="en-AU"/>
        </w:rPr>
      </w:pPr>
      <w:r w:rsidRPr="006902DF">
        <w:rPr>
          <w:lang w:eastAsia="en-AU"/>
        </w:rPr>
        <w:t>While transparent entities are treated as separate entities and included in the MNE group, there are rules for allocating their income and taxes which are covered below.</w:t>
      </w:r>
    </w:p>
    <w:p w14:paraId="7D8DA19F" w14:textId="48D74A22" w:rsidR="006902DF" w:rsidRPr="006902DF" w:rsidRDefault="006902DF" w:rsidP="00675293">
      <w:pPr>
        <w:pStyle w:val="NumberedParagraph"/>
        <w:rPr>
          <w:lang w:eastAsia="en-AU"/>
        </w:rPr>
      </w:pPr>
      <w:r w:rsidRPr="006902DF">
        <w:rPr>
          <w:lang w:eastAsia="en-AU"/>
        </w:rPr>
        <w:t>Permanent establishments are generally located in the jurisdiction where they are treated as a PE and subject to net basis taxation, but there are rules to address</w:t>
      </w:r>
      <w:r w:rsidR="00C1406D">
        <w:rPr>
          <w:lang w:eastAsia="en-AU"/>
        </w:rPr>
        <w:t xml:space="preserve"> </w:t>
      </w:r>
      <w:r w:rsidRPr="006902DF">
        <w:rPr>
          <w:lang w:eastAsia="en-AU"/>
        </w:rPr>
        <w:t>exceptional situations.</w:t>
      </w:r>
    </w:p>
    <w:p w14:paraId="38EF16F1" w14:textId="612B1F29" w:rsidR="006902DF" w:rsidRPr="00675293" w:rsidRDefault="006902DF" w:rsidP="00675293">
      <w:pPr>
        <w:pStyle w:val="NumberedParagraph"/>
        <w:rPr>
          <w:lang w:eastAsia="en-AU"/>
        </w:rPr>
      </w:pPr>
      <w:r w:rsidRPr="006902DF">
        <w:rPr>
          <w:lang w:eastAsia="en-AU"/>
        </w:rPr>
        <w:t xml:space="preserve">The Model Rules include a tie-breaker provision </w:t>
      </w:r>
      <w:r w:rsidR="00223A10">
        <w:rPr>
          <w:lang w:eastAsia="en-AU"/>
        </w:rPr>
        <w:t>if</w:t>
      </w:r>
      <w:r w:rsidRPr="006902DF">
        <w:rPr>
          <w:lang w:eastAsia="en-AU"/>
        </w:rPr>
        <w:t xml:space="preserve"> a constituent entity would otherwise be located in more than one jurisdiction.</w:t>
      </w:r>
    </w:p>
    <w:p w14:paraId="4FBC910B" w14:textId="02ED6AD7" w:rsidR="006902DF" w:rsidRPr="006902DF" w:rsidRDefault="006902DF" w:rsidP="00675293">
      <w:pPr>
        <w:pStyle w:val="Heading2"/>
        <w:rPr>
          <w:lang w:eastAsia="en-AU"/>
        </w:rPr>
      </w:pPr>
      <w:bookmarkStart w:id="36" w:name="_Toc101095584"/>
      <w:r w:rsidRPr="006902DF">
        <w:rPr>
          <w:lang w:eastAsia="en-AU"/>
        </w:rPr>
        <w:t xml:space="preserve">Step </w:t>
      </w:r>
      <w:r w:rsidR="00446D67">
        <w:rPr>
          <w:lang w:eastAsia="en-AU"/>
        </w:rPr>
        <w:t>2</w:t>
      </w:r>
      <w:r w:rsidRPr="006902DF">
        <w:rPr>
          <w:lang w:eastAsia="en-AU"/>
        </w:rPr>
        <w:t>: GloBE income for each constituent entity</w:t>
      </w:r>
      <w:bookmarkEnd w:id="36"/>
    </w:p>
    <w:p w14:paraId="162A0126" w14:textId="0643E534" w:rsidR="006902DF" w:rsidRPr="006902DF" w:rsidRDefault="006902DF" w:rsidP="00675293">
      <w:pPr>
        <w:pStyle w:val="NumberedParagraph"/>
        <w:rPr>
          <w:lang w:eastAsia="en-AU"/>
        </w:rPr>
      </w:pPr>
      <w:r w:rsidRPr="006902DF">
        <w:rPr>
          <w:lang w:eastAsia="en-AU"/>
        </w:rPr>
        <w:t xml:space="preserve">The next step is to calculate a constituent entity’s GloBE income. The starting point is the entity’s financial accounting profit, which is then subject to adjustments that </w:t>
      </w:r>
      <w:r w:rsidR="004A7B04">
        <w:rPr>
          <w:lang w:eastAsia="en-AU"/>
        </w:rPr>
        <w:t xml:space="preserve">Inclusive Framework </w:t>
      </w:r>
      <w:r w:rsidRPr="006902DF">
        <w:rPr>
          <w:lang w:eastAsia="en-AU"/>
        </w:rPr>
        <w:t xml:space="preserve">countries agreed are </w:t>
      </w:r>
      <w:r w:rsidR="00EA0822">
        <w:rPr>
          <w:lang w:eastAsia="en-AU"/>
        </w:rPr>
        <w:t>desirable</w:t>
      </w:r>
      <w:r w:rsidRPr="006902DF">
        <w:rPr>
          <w:lang w:eastAsia="en-AU"/>
        </w:rPr>
        <w:t xml:space="preserve"> to reconcile the most important differences between accounting and tax definitions of profit. These adjustments are intended to bring the GloBE base more into line with a measure of taxable profit so that the ETR provides a reasonable measure of the level of </w:t>
      </w:r>
      <w:r w:rsidR="00D76E2F">
        <w:rPr>
          <w:lang w:eastAsia="en-AU"/>
        </w:rPr>
        <w:t xml:space="preserve">effective </w:t>
      </w:r>
      <w:r w:rsidRPr="006902DF">
        <w:rPr>
          <w:lang w:eastAsia="en-AU"/>
        </w:rPr>
        <w:t>taxation in that jurisdiction.</w:t>
      </w:r>
    </w:p>
    <w:p w14:paraId="647ABE15" w14:textId="55192B7B" w:rsidR="006902DF" w:rsidRPr="006902DF" w:rsidRDefault="006902DF" w:rsidP="00675293">
      <w:pPr>
        <w:pStyle w:val="NumberedParagraph"/>
        <w:rPr>
          <w:lang w:eastAsia="en-AU"/>
        </w:rPr>
      </w:pPr>
      <w:r w:rsidRPr="006902DF">
        <w:rPr>
          <w:lang w:eastAsia="en-AU"/>
        </w:rPr>
        <w:t xml:space="preserve">There are also rules to </w:t>
      </w:r>
      <w:r w:rsidR="00D3173B">
        <w:rPr>
          <w:lang w:eastAsia="en-AU"/>
        </w:rPr>
        <w:t>appropriately allocate</w:t>
      </w:r>
      <w:r w:rsidRPr="006902DF">
        <w:rPr>
          <w:lang w:eastAsia="en-AU"/>
        </w:rPr>
        <w:t xml:space="preserve"> certain types of income between jurisdictions.</w:t>
      </w:r>
    </w:p>
    <w:p w14:paraId="17F71588" w14:textId="77777777" w:rsidR="006902DF" w:rsidRPr="006902DF" w:rsidRDefault="006902DF" w:rsidP="00675293">
      <w:pPr>
        <w:pStyle w:val="Heading3"/>
        <w:rPr>
          <w:lang w:eastAsia="en-AU"/>
        </w:rPr>
      </w:pPr>
      <w:r w:rsidRPr="006902DF">
        <w:rPr>
          <w:lang w:eastAsia="en-AU"/>
        </w:rPr>
        <w:t>Accounting profit</w:t>
      </w:r>
    </w:p>
    <w:p w14:paraId="4688C6D1" w14:textId="77777777" w:rsidR="006902DF" w:rsidRPr="006902DF" w:rsidRDefault="006902DF" w:rsidP="00573DDF">
      <w:pPr>
        <w:pStyle w:val="NumberedParagraph"/>
        <w:rPr>
          <w:lang w:eastAsia="en-AU"/>
        </w:rPr>
      </w:pPr>
      <w:r w:rsidRPr="006902DF">
        <w:rPr>
          <w:lang w:eastAsia="en-AU"/>
        </w:rPr>
        <w:t>The calculation of a constituent entity’s GloBE income starts from its financial accounting income. The general rule is that this income should be calculated according to the accounting standard of its UPE and therefore reflects the amount which feeds into the UPE’s consolidated financial statements before consolidation adjustments.</w:t>
      </w:r>
    </w:p>
    <w:p w14:paraId="1C8B5880" w14:textId="08DC651E" w:rsidR="006902DF" w:rsidRPr="006902DF" w:rsidRDefault="006902DF" w:rsidP="00573DDF">
      <w:pPr>
        <w:pStyle w:val="NumberedParagraph"/>
        <w:rPr>
          <w:lang w:eastAsia="en-AU"/>
        </w:rPr>
      </w:pPr>
      <w:r w:rsidRPr="006902DF">
        <w:rPr>
          <w:lang w:eastAsia="en-AU"/>
        </w:rPr>
        <w:t>This is subject to a requirement that the UPE prepares its accounts under an acceptable accounting standard, or that it adjusts any material differences in its accounting treatment of an item that could result in the MNE obtaining an unfair competitive advantage when compared with the IFRS treatment.</w:t>
      </w:r>
      <w:r w:rsidR="009E69A1">
        <w:rPr>
          <w:lang w:eastAsia="en-AU"/>
        </w:rPr>
        <w:t xml:space="preserve"> </w:t>
      </w:r>
      <w:r w:rsidR="00077134">
        <w:rPr>
          <w:lang w:eastAsia="en-AU"/>
        </w:rPr>
        <w:t>NZ</w:t>
      </w:r>
      <w:r w:rsidR="00704885">
        <w:rPr>
          <w:lang w:eastAsia="en-AU"/>
        </w:rPr>
        <w:t> </w:t>
      </w:r>
      <w:r w:rsidR="00077134">
        <w:rPr>
          <w:lang w:eastAsia="en-AU"/>
        </w:rPr>
        <w:t xml:space="preserve">IFRS is </w:t>
      </w:r>
      <w:r w:rsidR="00586D47">
        <w:rPr>
          <w:lang w:eastAsia="en-AU"/>
        </w:rPr>
        <w:t xml:space="preserve">an </w:t>
      </w:r>
      <w:r w:rsidR="00AE4077">
        <w:rPr>
          <w:lang w:eastAsia="en-AU"/>
        </w:rPr>
        <w:t xml:space="preserve">acceptable accounting standard </w:t>
      </w:r>
      <w:r w:rsidR="001E4290">
        <w:rPr>
          <w:lang w:eastAsia="en-AU"/>
        </w:rPr>
        <w:t>for the purposes of the GloBE rules</w:t>
      </w:r>
      <w:r w:rsidR="00377708">
        <w:rPr>
          <w:lang w:eastAsia="en-AU"/>
        </w:rPr>
        <w:t>.</w:t>
      </w:r>
    </w:p>
    <w:p w14:paraId="252DBF3B" w14:textId="1054C697" w:rsidR="006902DF" w:rsidRPr="006902DF" w:rsidRDefault="006902DF" w:rsidP="00573DDF">
      <w:pPr>
        <w:pStyle w:val="NumberedParagraph"/>
        <w:rPr>
          <w:lang w:eastAsia="en-AU"/>
        </w:rPr>
      </w:pPr>
      <w:r w:rsidRPr="006902DF">
        <w:rPr>
          <w:lang w:eastAsia="en-AU"/>
        </w:rPr>
        <w:t>The Model Rules recognise there are</w:t>
      </w:r>
      <w:r w:rsidR="00C1406D">
        <w:rPr>
          <w:lang w:eastAsia="en-AU"/>
        </w:rPr>
        <w:t xml:space="preserve"> </w:t>
      </w:r>
      <w:r w:rsidRPr="006902DF">
        <w:rPr>
          <w:lang w:eastAsia="en-AU"/>
        </w:rPr>
        <w:t>situations where it may not be practicable to accurately calculate the entity’s accounting profit in the UPE’s accounting standard.</w:t>
      </w:r>
    </w:p>
    <w:p w14:paraId="0537F38D" w14:textId="41A5F995" w:rsidR="00C868DE" w:rsidRPr="00672975" w:rsidRDefault="006902DF" w:rsidP="00573DDF">
      <w:pPr>
        <w:pStyle w:val="NumberedParagraph"/>
        <w:rPr>
          <w:lang w:eastAsia="en-US"/>
        </w:rPr>
      </w:pPr>
      <w:r w:rsidRPr="006902DF">
        <w:rPr>
          <w:lang w:val="en-GB" w:eastAsia="en-AU"/>
        </w:rPr>
        <w:t xml:space="preserve">In these cases, the MNE is permitted to calculate the entity’s income based on the accounting standard it uses to prepare its own financial statements. This is </w:t>
      </w:r>
      <w:r w:rsidRPr="006902DF">
        <w:rPr>
          <w:lang w:val="en-GB" w:eastAsia="en-AU"/>
        </w:rPr>
        <w:lastRenderedPageBreak/>
        <w:t xml:space="preserve">subject to the information being reliable, and </w:t>
      </w:r>
      <w:r w:rsidR="003F066B">
        <w:rPr>
          <w:lang w:val="en-GB" w:eastAsia="en-AU"/>
        </w:rPr>
        <w:t>an adjustment being made for</w:t>
      </w:r>
      <w:r w:rsidRPr="006902DF">
        <w:rPr>
          <w:lang w:val="en-GB" w:eastAsia="en-AU"/>
        </w:rPr>
        <w:t xml:space="preserve"> any permanent differences in excess of €1m between the entity’s accounting standard and the accounting standard of the ultimate parent.</w:t>
      </w:r>
    </w:p>
    <w:tbl>
      <w:tblPr>
        <w:tblStyle w:val="QuestionBox"/>
        <w:tblW w:w="8779" w:type="dxa"/>
        <w:tblLook w:val="04A0" w:firstRow="1" w:lastRow="0" w:firstColumn="1" w:lastColumn="0" w:noHBand="0" w:noVBand="1"/>
      </w:tblPr>
      <w:tblGrid>
        <w:gridCol w:w="8779"/>
      </w:tblGrid>
      <w:tr w:rsidR="00672975" w14:paraId="013F502A" w14:textId="77777777" w:rsidTr="00B628B2">
        <w:tc>
          <w:tcPr>
            <w:tcW w:w="8779" w:type="dxa"/>
          </w:tcPr>
          <w:p w14:paraId="65896916" w14:textId="25B58AE9" w:rsidR="00672975" w:rsidRPr="000E77C5" w:rsidRDefault="00672975" w:rsidP="00180725">
            <w:pPr>
              <w:rPr>
                <w:rStyle w:val="Strong"/>
              </w:rPr>
            </w:pPr>
            <w:r w:rsidRPr="000E77C5">
              <w:rPr>
                <w:rStyle w:val="Strong"/>
              </w:rPr>
              <w:t>Question for submitters</w:t>
            </w:r>
          </w:p>
          <w:p w14:paraId="5D2C22C9" w14:textId="766B0027" w:rsidR="00672975" w:rsidRDefault="00672975" w:rsidP="00FA725D">
            <w:pPr>
              <w:pStyle w:val="ListBullet"/>
            </w:pPr>
            <w:r>
              <w:t xml:space="preserve">Do you </w:t>
            </w:r>
            <w:r w:rsidR="00C77DEC">
              <w:t>have comments on the practicalities of using a constituent entity’s accounting profit as the starting point for calculating Globe income</w:t>
            </w:r>
            <w:r>
              <w:t>?</w:t>
            </w:r>
          </w:p>
        </w:tc>
      </w:tr>
    </w:tbl>
    <w:p w14:paraId="3666B4B2" w14:textId="77777777" w:rsidR="002071EE" w:rsidRPr="002071EE" w:rsidRDefault="002071EE" w:rsidP="00FB597D">
      <w:pPr>
        <w:pStyle w:val="Heading3"/>
        <w:rPr>
          <w:lang w:eastAsia="en-AU"/>
        </w:rPr>
      </w:pPr>
      <w:r w:rsidRPr="002071EE">
        <w:rPr>
          <w:lang w:eastAsia="en-AU"/>
        </w:rPr>
        <w:t>Adjustments to accounting profit</w:t>
      </w:r>
    </w:p>
    <w:p w14:paraId="28D94BB7" w14:textId="0B787FCA" w:rsidR="002071EE" w:rsidRPr="002071EE" w:rsidRDefault="002071EE" w:rsidP="00561F43">
      <w:pPr>
        <w:pStyle w:val="NumberedParagraph"/>
        <w:rPr>
          <w:lang w:eastAsia="en-AU"/>
        </w:rPr>
      </w:pPr>
      <w:r w:rsidRPr="002071EE">
        <w:rPr>
          <w:lang w:eastAsia="en-AU"/>
        </w:rPr>
        <w:t>Once the MNE has computed the financial accounting income of the constituent entity, the next step is to make the required adjustments.</w:t>
      </w:r>
    </w:p>
    <w:p w14:paraId="71B6D4A5" w14:textId="65038625" w:rsidR="002071EE" w:rsidRPr="00561F43" w:rsidRDefault="002071EE" w:rsidP="00561F43">
      <w:pPr>
        <w:pStyle w:val="NumberedParagraph"/>
        <w:rPr>
          <w:lang w:eastAsia="en-AU"/>
        </w:rPr>
      </w:pPr>
      <w:r w:rsidRPr="002071EE">
        <w:rPr>
          <w:lang w:eastAsia="en-AU"/>
        </w:rPr>
        <w:t>These adjustments generally reflect significant differences between accounting and tax measures of profit which do not reverse out over time. There are separate rules to address timing differences in when income and expenses are recognised for accounting and tax, which are covered further below.</w:t>
      </w:r>
    </w:p>
    <w:p w14:paraId="0E08B3E2" w14:textId="77777777" w:rsidR="002071EE" w:rsidRPr="002071EE" w:rsidRDefault="002071EE" w:rsidP="00561F43">
      <w:pPr>
        <w:pStyle w:val="Heading4"/>
        <w:rPr>
          <w:lang w:val="en-GB" w:eastAsia="en-AU"/>
        </w:rPr>
      </w:pPr>
      <w:r w:rsidRPr="002071EE">
        <w:rPr>
          <w:lang w:val="en-GB" w:eastAsia="en-AU"/>
        </w:rPr>
        <w:t>Mandatory adjustments</w:t>
      </w:r>
    </w:p>
    <w:p w14:paraId="62053DA5" w14:textId="77777777" w:rsidR="002071EE" w:rsidRPr="002071EE" w:rsidRDefault="002071EE" w:rsidP="007E21E0">
      <w:pPr>
        <w:pStyle w:val="NumberedParagraph"/>
        <w:rPr>
          <w:lang w:eastAsia="en-AU"/>
        </w:rPr>
      </w:pPr>
      <w:r w:rsidRPr="002071EE">
        <w:rPr>
          <w:lang w:eastAsia="en-AU"/>
        </w:rPr>
        <w:t>These adjustments include:</w:t>
      </w:r>
    </w:p>
    <w:p w14:paraId="7E1AC279" w14:textId="3234B135" w:rsidR="002071EE" w:rsidRPr="002071EE" w:rsidRDefault="002071EE" w:rsidP="007E21E0">
      <w:pPr>
        <w:pStyle w:val="NumberedParagraph-BulletL1"/>
        <w:rPr>
          <w:lang w:eastAsia="en-AU"/>
        </w:rPr>
      </w:pPr>
      <w:r w:rsidRPr="002071EE">
        <w:rPr>
          <w:lang w:eastAsia="en-AU"/>
        </w:rPr>
        <w:t>Adding back covered taxes, and some other amounts of tax, accrued as an expense</w:t>
      </w:r>
      <w:r w:rsidR="00113459">
        <w:rPr>
          <w:lang w:eastAsia="en-AU"/>
        </w:rPr>
        <w:t>.</w:t>
      </w:r>
    </w:p>
    <w:p w14:paraId="63A38C7F" w14:textId="713D3A57" w:rsidR="002071EE" w:rsidRPr="002071EE" w:rsidRDefault="002071EE" w:rsidP="007E21E0">
      <w:pPr>
        <w:pStyle w:val="NumberedParagraph-BulletL1"/>
        <w:rPr>
          <w:lang w:eastAsia="en-AU"/>
        </w:rPr>
      </w:pPr>
      <w:r w:rsidRPr="002071EE">
        <w:rPr>
          <w:lang w:eastAsia="en-AU"/>
        </w:rPr>
        <w:t xml:space="preserve">Removing dividend income from &gt;10% shareholdings </w:t>
      </w:r>
      <w:r w:rsidR="000709B6">
        <w:rPr>
          <w:lang w:eastAsia="en-AU"/>
        </w:rPr>
        <w:t>and</w:t>
      </w:r>
      <w:r w:rsidRPr="002071EE">
        <w:rPr>
          <w:lang w:eastAsia="en-AU"/>
        </w:rPr>
        <w:t xml:space="preserve"> &lt;10% shareholdings which are held for more than 12 months</w:t>
      </w:r>
      <w:r w:rsidR="00113459">
        <w:rPr>
          <w:lang w:eastAsia="en-AU"/>
        </w:rPr>
        <w:t>.</w:t>
      </w:r>
    </w:p>
    <w:p w14:paraId="1451DDC0" w14:textId="1A8366DC" w:rsidR="002071EE" w:rsidRPr="002071EE" w:rsidRDefault="002071EE" w:rsidP="007E21E0">
      <w:pPr>
        <w:pStyle w:val="NumberedParagraph-BulletL1"/>
        <w:rPr>
          <w:lang w:eastAsia="en-AU"/>
        </w:rPr>
      </w:pPr>
      <w:r w:rsidRPr="002071EE">
        <w:rPr>
          <w:lang w:eastAsia="en-AU"/>
        </w:rPr>
        <w:t>Removing gains or losses from changes in fair value of &gt;10% shareholdings</w:t>
      </w:r>
      <w:r w:rsidR="00113459">
        <w:rPr>
          <w:lang w:eastAsia="en-AU"/>
        </w:rPr>
        <w:t>.</w:t>
      </w:r>
    </w:p>
    <w:p w14:paraId="23B4BAA9" w14:textId="743B1AE3" w:rsidR="002071EE" w:rsidRPr="002071EE" w:rsidRDefault="002071EE" w:rsidP="007E21E0">
      <w:pPr>
        <w:pStyle w:val="NumberedParagraph-BulletL1"/>
        <w:rPr>
          <w:lang w:eastAsia="en-AU"/>
        </w:rPr>
      </w:pPr>
      <w:r w:rsidRPr="002071EE">
        <w:rPr>
          <w:lang w:eastAsia="en-AU"/>
        </w:rPr>
        <w:t>Removing the profit or loss from an equity interest accounted for under the equity method</w:t>
      </w:r>
      <w:r w:rsidR="00113459">
        <w:rPr>
          <w:lang w:eastAsia="en-AU"/>
        </w:rPr>
        <w:t>.</w:t>
      </w:r>
    </w:p>
    <w:p w14:paraId="6769A9CD" w14:textId="28237B3A" w:rsidR="002071EE" w:rsidRPr="002071EE" w:rsidRDefault="002071EE" w:rsidP="007E21E0">
      <w:pPr>
        <w:pStyle w:val="NumberedParagraph-BulletL1"/>
        <w:rPr>
          <w:lang w:eastAsia="en-AU"/>
        </w:rPr>
      </w:pPr>
      <w:r w:rsidRPr="002071EE">
        <w:rPr>
          <w:lang w:eastAsia="en-AU"/>
        </w:rPr>
        <w:t>Removing gains or losses from the sale of &gt;10% shareholdings</w:t>
      </w:r>
      <w:r w:rsidR="00113459">
        <w:rPr>
          <w:lang w:eastAsia="en-AU"/>
        </w:rPr>
        <w:t>.</w:t>
      </w:r>
    </w:p>
    <w:p w14:paraId="5BA41774" w14:textId="54F40C26" w:rsidR="002071EE" w:rsidRPr="002071EE" w:rsidRDefault="002071EE" w:rsidP="007E21E0">
      <w:pPr>
        <w:pStyle w:val="NumberedParagraph-BulletL1"/>
        <w:rPr>
          <w:lang w:eastAsia="en-AU"/>
        </w:rPr>
      </w:pPr>
      <w:r w:rsidRPr="002071EE">
        <w:rPr>
          <w:lang w:eastAsia="en-AU"/>
        </w:rPr>
        <w:t xml:space="preserve">Including any revaluation gains or losses </w:t>
      </w:r>
      <w:r w:rsidR="00792BF5">
        <w:rPr>
          <w:lang w:eastAsia="en-AU"/>
        </w:rPr>
        <w:t xml:space="preserve">that are reported </w:t>
      </w:r>
      <w:r w:rsidRPr="002071EE">
        <w:rPr>
          <w:lang w:eastAsia="en-AU"/>
        </w:rPr>
        <w:t xml:space="preserve">in other comprehensive income, </w:t>
      </w:r>
      <w:r w:rsidR="00277638">
        <w:rPr>
          <w:lang w:eastAsia="en-AU"/>
        </w:rPr>
        <w:t xml:space="preserve">where those gains and losses are </w:t>
      </w:r>
      <w:r w:rsidRPr="002071EE">
        <w:rPr>
          <w:lang w:eastAsia="en-AU"/>
        </w:rPr>
        <w:t xml:space="preserve">on property, plant and equipment that </w:t>
      </w:r>
      <w:r w:rsidR="00561B5B">
        <w:rPr>
          <w:lang w:eastAsia="en-AU"/>
        </w:rPr>
        <w:t>is</w:t>
      </w:r>
      <w:r w:rsidR="00C40BC9" w:rsidRPr="002071EE">
        <w:rPr>
          <w:lang w:eastAsia="en-AU"/>
        </w:rPr>
        <w:t xml:space="preserve"> </w:t>
      </w:r>
      <w:r w:rsidRPr="002071EE">
        <w:rPr>
          <w:lang w:eastAsia="en-AU"/>
        </w:rPr>
        <w:t>accounted for under the revaluation model</w:t>
      </w:r>
      <w:r w:rsidR="00113459">
        <w:rPr>
          <w:lang w:eastAsia="en-AU"/>
        </w:rPr>
        <w:t>.</w:t>
      </w:r>
    </w:p>
    <w:p w14:paraId="4124B241" w14:textId="1111F475" w:rsidR="002071EE" w:rsidRPr="002071EE" w:rsidRDefault="002071EE" w:rsidP="007E21E0">
      <w:pPr>
        <w:pStyle w:val="NumberedParagraph-BulletL1"/>
        <w:rPr>
          <w:lang w:eastAsia="en-AU"/>
        </w:rPr>
      </w:pPr>
      <w:r w:rsidRPr="002071EE">
        <w:rPr>
          <w:lang w:eastAsia="en-AU"/>
        </w:rPr>
        <w:t>Removing gains and losses in relation to a reorganisation where the gain or loss is deferred for local tax purposes</w:t>
      </w:r>
      <w:r w:rsidR="00113459">
        <w:rPr>
          <w:lang w:eastAsia="en-AU"/>
        </w:rPr>
        <w:t>.</w:t>
      </w:r>
    </w:p>
    <w:p w14:paraId="37D73DC8" w14:textId="28604A5F" w:rsidR="002071EE" w:rsidRPr="002071EE" w:rsidRDefault="002071EE" w:rsidP="007E21E0">
      <w:pPr>
        <w:pStyle w:val="NumberedParagraph-BulletL1"/>
        <w:rPr>
          <w:lang w:eastAsia="en-AU"/>
        </w:rPr>
      </w:pPr>
      <w:r w:rsidRPr="002071EE">
        <w:rPr>
          <w:lang w:eastAsia="en-AU"/>
        </w:rPr>
        <w:t>Adjustments to deal with foreign exchange gains and losses created by differences between the tax and accounting functional currencies</w:t>
      </w:r>
      <w:r w:rsidR="00113459">
        <w:rPr>
          <w:lang w:eastAsia="en-AU"/>
        </w:rPr>
        <w:t>.</w:t>
      </w:r>
    </w:p>
    <w:p w14:paraId="5769F726" w14:textId="66A943ED" w:rsidR="002071EE" w:rsidRPr="002071EE" w:rsidRDefault="002071EE" w:rsidP="007E21E0">
      <w:pPr>
        <w:pStyle w:val="NumberedParagraph-BulletL1"/>
        <w:rPr>
          <w:lang w:eastAsia="en-AU"/>
        </w:rPr>
      </w:pPr>
      <w:r w:rsidRPr="002071EE">
        <w:rPr>
          <w:lang w:eastAsia="en-AU"/>
        </w:rPr>
        <w:t xml:space="preserve">Removing any </w:t>
      </w:r>
      <w:r w:rsidR="008A0E73">
        <w:rPr>
          <w:lang w:eastAsia="en-AU"/>
        </w:rPr>
        <w:t>deductions</w:t>
      </w:r>
      <w:r w:rsidRPr="002071EE">
        <w:rPr>
          <w:lang w:eastAsia="en-AU"/>
        </w:rPr>
        <w:t xml:space="preserve"> for illegal payments such as bribes and kickbacks, as well as fines or penalties greater than or equal to </w:t>
      </w:r>
      <w:r w:rsidR="001E23D0" w:rsidRPr="006E1F71">
        <w:rPr>
          <w:snapToGrid w:val="0"/>
        </w:rPr>
        <w:t>€</w:t>
      </w:r>
      <w:r w:rsidRPr="002071EE">
        <w:rPr>
          <w:lang w:eastAsia="en-AU"/>
        </w:rPr>
        <w:t>50,000</w:t>
      </w:r>
      <w:r w:rsidR="00113459">
        <w:rPr>
          <w:lang w:eastAsia="en-AU"/>
        </w:rPr>
        <w:t>.</w:t>
      </w:r>
    </w:p>
    <w:p w14:paraId="173B5050" w14:textId="064E0224" w:rsidR="002071EE" w:rsidRPr="002071EE" w:rsidRDefault="002071EE" w:rsidP="007E21E0">
      <w:pPr>
        <w:pStyle w:val="NumberedParagraph-BulletL1"/>
        <w:rPr>
          <w:lang w:eastAsia="en-AU"/>
        </w:rPr>
      </w:pPr>
      <w:r w:rsidRPr="002071EE">
        <w:rPr>
          <w:lang w:eastAsia="en-AU"/>
        </w:rPr>
        <w:t>Including prior period adjustments to accounting profit to correct accounting errors, provided the correction does not result in a material decrease in a prior year tax liability, and including prior period adjustments relating to a change in accounting principle or policy</w:t>
      </w:r>
      <w:r w:rsidR="00113459">
        <w:rPr>
          <w:lang w:eastAsia="en-AU"/>
        </w:rPr>
        <w:t>.</w:t>
      </w:r>
    </w:p>
    <w:p w14:paraId="5984C8EE" w14:textId="5EC9FF24" w:rsidR="002071EE" w:rsidRPr="002071EE" w:rsidRDefault="002071EE" w:rsidP="007E21E0">
      <w:pPr>
        <w:pStyle w:val="NumberedParagraph-BulletL1"/>
        <w:rPr>
          <w:lang w:eastAsia="en-AU"/>
        </w:rPr>
      </w:pPr>
      <w:r w:rsidRPr="002071EE">
        <w:rPr>
          <w:lang w:eastAsia="en-AU"/>
        </w:rPr>
        <w:t>Adjustments to address differences between the tax and accounting treatment of defined benefit pension schemes</w:t>
      </w:r>
      <w:r w:rsidR="00113459">
        <w:rPr>
          <w:lang w:eastAsia="en-AU"/>
        </w:rPr>
        <w:t>.</w:t>
      </w:r>
    </w:p>
    <w:p w14:paraId="38F9EEFB" w14:textId="77777777" w:rsidR="002071EE" w:rsidRPr="002071EE" w:rsidRDefault="002071EE" w:rsidP="007E21E0">
      <w:pPr>
        <w:pStyle w:val="Heading4"/>
        <w:rPr>
          <w:lang w:val="en-GB" w:eastAsia="en-AU"/>
        </w:rPr>
      </w:pPr>
      <w:r w:rsidRPr="002071EE">
        <w:rPr>
          <w:lang w:val="en-GB" w:eastAsia="en-AU"/>
        </w:rPr>
        <w:lastRenderedPageBreak/>
        <w:t>Elective adjustments</w:t>
      </w:r>
    </w:p>
    <w:p w14:paraId="4BCB3EB0" w14:textId="7F860A7F" w:rsidR="002071EE" w:rsidRPr="002071EE" w:rsidRDefault="002071EE" w:rsidP="00EB6852">
      <w:pPr>
        <w:pStyle w:val="NumberedParagraph"/>
        <w:rPr>
          <w:lang w:eastAsia="en-AU"/>
        </w:rPr>
      </w:pPr>
      <w:r w:rsidRPr="002071EE">
        <w:rPr>
          <w:lang w:eastAsia="en-AU"/>
        </w:rPr>
        <w:t>There are also certain elections available to the MNE group. These include elections to:</w:t>
      </w:r>
    </w:p>
    <w:p w14:paraId="4F30D249" w14:textId="050081FF" w:rsidR="002071EE" w:rsidRPr="002071EE" w:rsidDel="002F7545" w:rsidRDefault="00BF752F" w:rsidP="00EB6852">
      <w:pPr>
        <w:pStyle w:val="NumberedParagraph-BulletL1"/>
        <w:rPr>
          <w:lang w:eastAsia="en-AU"/>
        </w:rPr>
      </w:pPr>
      <w:r>
        <w:rPr>
          <w:lang w:eastAsia="en-AU"/>
        </w:rPr>
        <w:t>R</w:t>
      </w:r>
      <w:r w:rsidR="002071EE" w:rsidRPr="002071EE" w:rsidDel="002F7545">
        <w:rPr>
          <w:lang w:eastAsia="en-AU"/>
        </w:rPr>
        <w:t>emove profits and losses from intragroup transactions within the same jurisdiction</w:t>
      </w:r>
      <w:r w:rsidR="002071EE" w:rsidRPr="002071EE">
        <w:rPr>
          <w:lang w:eastAsia="en-AU"/>
        </w:rPr>
        <w:t xml:space="preserve"> between entities included in a tax consolidated group</w:t>
      </w:r>
      <w:r w:rsidR="0001366C">
        <w:rPr>
          <w:lang w:eastAsia="en-AU"/>
        </w:rPr>
        <w:t>.</w:t>
      </w:r>
    </w:p>
    <w:p w14:paraId="1F000706" w14:textId="7F87D80B" w:rsidR="002071EE" w:rsidRPr="002071EE" w:rsidRDefault="0001366C" w:rsidP="00EB6852">
      <w:pPr>
        <w:pStyle w:val="NumberedParagraph-BulletL1"/>
        <w:rPr>
          <w:lang w:eastAsia="en-AU"/>
        </w:rPr>
      </w:pPr>
      <w:r>
        <w:rPr>
          <w:lang w:eastAsia="en-AU"/>
        </w:rPr>
        <w:t>R</w:t>
      </w:r>
      <w:r w:rsidR="002071EE" w:rsidRPr="002071EE">
        <w:rPr>
          <w:lang w:eastAsia="en-AU"/>
        </w:rPr>
        <w:t>eplace the accounting expenses in relation to share-based payments (for example, for employee remuneration paid in share options) with the deduction for tax purposes in the relevant jurisdiction</w:t>
      </w:r>
      <w:r>
        <w:rPr>
          <w:lang w:eastAsia="en-AU"/>
        </w:rPr>
        <w:t>.</w:t>
      </w:r>
    </w:p>
    <w:p w14:paraId="5F1A361D" w14:textId="197817FB" w:rsidR="002071EE" w:rsidRPr="002071EE" w:rsidRDefault="0001366C" w:rsidP="00EB6852">
      <w:pPr>
        <w:pStyle w:val="NumberedParagraph-BulletL1"/>
        <w:rPr>
          <w:lang w:eastAsia="en-AU"/>
        </w:rPr>
      </w:pPr>
      <w:r>
        <w:rPr>
          <w:lang w:eastAsia="en-AU"/>
        </w:rPr>
        <w:t>I</w:t>
      </w:r>
      <w:r w:rsidR="002071EE" w:rsidRPr="002071EE">
        <w:rPr>
          <w:lang w:eastAsia="en-AU"/>
        </w:rPr>
        <w:t xml:space="preserve">nclude gains and losses on assets and liabilities subject to fair value or impairment accounting on a realisation </w:t>
      </w:r>
      <w:proofErr w:type="gramStart"/>
      <w:r w:rsidR="002071EE" w:rsidRPr="002071EE">
        <w:rPr>
          <w:lang w:eastAsia="en-AU"/>
        </w:rPr>
        <w:t>basis, and</w:t>
      </w:r>
      <w:proofErr w:type="gramEnd"/>
      <w:r w:rsidR="002071EE" w:rsidRPr="002071EE">
        <w:rPr>
          <w:lang w:eastAsia="en-AU"/>
        </w:rPr>
        <w:t xml:space="preserve"> exclude any pre-realisation gains and losses from fair value movements or impairments</w:t>
      </w:r>
      <w:r>
        <w:rPr>
          <w:lang w:eastAsia="en-AU"/>
        </w:rPr>
        <w:t>.</w:t>
      </w:r>
    </w:p>
    <w:p w14:paraId="0B9AD493" w14:textId="6368A9C4" w:rsidR="002071EE" w:rsidRPr="002071EE" w:rsidRDefault="0001366C" w:rsidP="00EB6852">
      <w:pPr>
        <w:pStyle w:val="NumberedParagraph-BulletL1"/>
        <w:rPr>
          <w:lang w:eastAsia="en-AU"/>
        </w:rPr>
      </w:pPr>
      <w:r>
        <w:rPr>
          <w:lang w:eastAsia="en-AU"/>
        </w:rPr>
        <w:t>O</w:t>
      </w:r>
      <w:r w:rsidR="002071EE" w:rsidRPr="002071EE">
        <w:rPr>
          <w:lang w:eastAsia="en-AU"/>
        </w:rPr>
        <w:t xml:space="preserve">ffset a net realised gain on local tangible assets against a net realised loss on local tangible assets in the </w:t>
      </w:r>
      <w:r w:rsidR="00492362">
        <w:rPr>
          <w:lang w:eastAsia="en-AU"/>
        </w:rPr>
        <w:t>4</w:t>
      </w:r>
      <w:r w:rsidR="00492362" w:rsidRPr="002071EE">
        <w:rPr>
          <w:lang w:eastAsia="en-AU"/>
        </w:rPr>
        <w:t xml:space="preserve"> </w:t>
      </w:r>
      <w:r w:rsidR="002071EE" w:rsidRPr="002071EE">
        <w:rPr>
          <w:lang w:eastAsia="en-AU"/>
        </w:rPr>
        <w:t xml:space="preserve">preceding </w:t>
      </w:r>
      <w:proofErr w:type="gramStart"/>
      <w:r w:rsidR="002071EE" w:rsidRPr="002071EE">
        <w:rPr>
          <w:lang w:eastAsia="en-AU"/>
        </w:rPr>
        <w:t>years, and</w:t>
      </w:r>
      <w:proofErr w:type="gramEnd"/>
      <w:r w:rsidR="002071EE" w:rsidRPr="002071EE">
        <w:rPr>
          <w:lang w:eastAsia="en-AU"/>
        </w:rPr>
        <w:t xml:space="preserve"> spread any remaining net realised gain equally over the current year and </w:t>
      </w:r>
      <w:r w:rsidR="00492362">
        <w:rPr>
          <w:lang w:eastAsia="en-AU"/>
        </w:rPr>
        <w:t>4</w:t>
      </w:r>
      <w:r w:rsidR="00492362" w:rsidRPr="002071EE">
        <w:rPr>
          <w:lang w:eastAsia="en-AU"/>
        </w:rPr>
        <w:t xml:space="preserve"> </w:t>
      </w:r>
      <w:r w:rsidR="002071EE" w:rsidRPr="002071EE">
        <w:rPr>
          <w:lang w:eastAsia="en-AU"/>
        </w:rPr>
        <w:t>preceding years</w:t>
      </w:r>
      <w:r>
        <w:rPr>
          <w:lang w:eastAsia="en-AU"/>
        </w:rPr>
        <w:t>.</w:t>
      </w:r>
    </w:p>
    <w:p w14:paraId="7ACFD8D4" w14:textId="38DAA885" w:rsidR="002071EE" w:rsidRPr="002071EE" w:rsidRDefault="002071EE" w:rsidP="00EB6852">
      <w:pPr>
        <w:pStyle w:val="NumberedParagraph"/>
        <w:rPr>
          <w:lang w:eastAsia="en-AU"/>
        </w:rPr>
      </w:pPr>
      <w:r w:rsidRPr="002071EE">
        <w:rPr>
          <w:lang w:eastAsia="en-AU"/>
        </w:rPr>
        <w:t xml:space="preserve">The election to spread </w:t>
      </w:r>
      <w:r w:rsidR="000F547D">
        <w:rPr>
          <w:lang w:eastAsia="en-AU"/>
        </w:rPr>
        <w:t xml:space="preserve">back </w:t>
      </w:r>
      <w:r w:rsidRPr="002071EE">
        <w:rPr>
          <w:lang w:eastAsia="en-AU"/>
        </w:rPr>
        <w:t xml:space="preserve">a net realised gain on local tangible assets </w:t>
      </w:r>
      <w:r w:rsidR="008620DA">
        <w:rPr>
          <w:lang w:eastAsia="en-AU"/>
        </w:rPr>
        <w:t>should be</w:t>
      </w:r>
      <w:r w:rsidR="000F547D">
        <w:rPr>
          <w:lang w:eastAsia="en-AU"/>
        </w:rPr>
        <w:t xml:space="preserve"> useful</w:t>
      </w:r>
      <w:r w:rsidR="008620DA">
        <w:rPr>
          <w:lang w:eastAsia="en-AU"/>
        </w:rPr>
        <w:t xml:space="preserve"> </w:t>
      </w:r>
      <w:r w:rsidR="004C7043">
        <w:rPr>
          <w:lang w:eastAsia="en-AU"/>
        </w:rPr>
        <w:t>in a jurisdiction such as New Zealand that</w:t>
      </w:r>
      <w:r w:rsidR="002B1469">
        <w:rPr>
          <w:lang w:eastAsia="en-AU"/>
        </w:rPr>
        <w:t xml:space="preserve"> does not tax some capital gains (though gains on sales of shares in compan</w:t>
      </w:r>
      <w:r w:rsidR="000F547D">
        <w:rPr>
          <w:lang w:eastAsia="en-AU"/>
        </w:rPr>
        <w:t>ies more than 10% owned are already excluded from the GloBE base)</w:t>
      </w:r>
      <w:r w:rsidR="008D2B85">
        <w:rPr>
          <w:lang w:eastAsia="en-AU"/>
        </w:rPr>
        <w:t xml:space="preserve">. </w:t>
      </w:r>
      <w:r w:rsidR="000F547D">
        <w:rPr>
          <w:lang w:eastAsia="en-AU"/>
        </w:rPr>
        <w:t>The election will allow untaxed gains to be matched against prior year untaxed losses</w:t>
      </w:r>
      <w:r w:rsidR="008D2B85">
        <w:rPr>
          <w:lang w:eastAsia="en-AU"/>
        </w:rPr>
        <w:t xml:space="preserve">. </w:t>
      </w:r>
      <w:r w:rsidR="000F547D">
        <w:rPr>
          <w:lang w:eastAsia="en-AU"/>
        </w:rPr>
        <w:t xml:space="preserve">It will also allow </w:t>
      </w:r>
      <w:r w:rsidR="00A50C5C">
        <w:rPr>
          <w:lang w:eastAsia="en-AU"/>
        </w:rPr>
        <w:t>the imposition of tax in excess of the 15% rate in the look back years to reduce or eliminate any GloBE liability</w:t>
      </w:r>
      <w:r w:rsidR="008A0E73">
        <w:rPr>
          <w:lang w:eastAsia="en-AU"/>
        </w:rPr>
        <w:t xml:space="preserve"> that would otherwise arise from the untaxed gain</w:t>
      </w:r>
      <w:r w:rsidR="00A50C5C">
        <w:rPr>
          <w:lang w:eastAsia="en-AU"/>
        </w:rPr>
        <w:t>.</w:t>
      </w:r>
    </w:p>
    <w:p w14:paraId="79898078" w14:textId="5D40FFBF" w:rsidR="002071EE" w:rsidRPr="002071EE" w:rsidRDefault="002071EE" w:rsidP="00EB6852">
      <w:pPr>
        <w:pStyle w:val="NumberedParagraph"/>
        <w:rPr>
          <w:lang w:eastAsia="en-AU"/>
        </w:rPr>
      </w:pPr>
      <w:r w:rsidRPr="002071EE">
        <w:rPr>
          <w:lang w:eastAsia="en-AU"/>
        </w:rPr>
        <w:t xml:space="preserve">The policy justification for this election is that the increase in value of the asset likely accumulated over a period of years and therefore, spreading the gain over a maximum period of </w:t>
      </w:r>
      <w:r w:rsidR="00B1490D">
        <w:rPr>
          <w:lang w:eastAsia="en-AU"/>
        </w:rPr>
        <w:t>five</w:t>
      </w:r>
      <w:r w:rsidR="00492362" w:rsidRPr="002071EE">
        <w:rPr>
          <w:lang w:eastAsia="en-AU"/>
        </w:rPr>
        <w:t xml:space="preserve"> </w:t>
      </w:r>
      <w:r w:rsidRPr="002071EE">
        <w:rPr>
          <w:lang w:eastAsia="en-AU"/>
        </w:rPr>
        <w:t>years, and matching it with losses from similar property, provides a better measure of whether the MNE has been subject to a minimum level of tax in a jurisdiction over that period.</w:t>
      </w:r>
    </w:p>
    <w:p w14:paraId="45AC4A24" w14:textId="77777777" w:rsidR="002071EE" w:rsidRPr="002071EE" w:rsidRDefault="002071EE" w:rsidP="007C47FE">
      <w:pPr>
        <w:pStyle w:val="Heading4"/>
        <w:rPr>
          <w:lang w:val="en-GB" w:eastAsia="en-AU"/>
        </w:rPr>
      </w:pPr>
      <w:r w:rsidRPr="002071EE">
        <w:rPr>
          <w:lang w:val="en-GB" w:eastAsia="en-AU"/>
        </w:rPr>
        <w:t>Special rule for incentive tax credits</w:t>
      </w:r>
    </w:p>
    <w:p w14:paraId="433765AE" w14:textId="66B57A71" w:rsidR="002071EE" w:rsidRPr="002071EE" w:rsidRDefault="002071EE" w:rsidP="007C47FE">
      <w:pPr>
        <w:pStyle w:val="NumberedParagraph"/>
        <w:rPr>
          <w:lang w:eastAsia="en-AU"/>
        </w:rPr>
      </w:pPr>
      <w:r w:rsidRPr="002071EE">
        <w:rPr>
          <w:lang w:eastAsia="en-AU"/>
        </w:rPr>
        <w:t>There is a special rule that prescribes the treatment of government incentives delivered as credits via the tax system. This rule is intended to apply to incentives to engage in certain activities such as research and development.</w:t>
      </w:r>
    </w:p>
    <w:p w14:paraId="478F9D76" w14:textId="0EFE05BF" w:rsidR="002071EE" w:rsidRPr="002071EE" w:rsidRDefault="002071EE" w:rsidP="007C47FE">
      <w:pPr>
        <w:pStyle w:val="NumberedParagraph"/>
        <w:rPr>
          <w:lang w:eastAsia="en-AU"/>
        </w:rPr>
      </w:pPr>
      <w:r w:rsidRPr="002071EE">
        <w:rPr>
          <w:lang w:eastAsia="en-AU"/>
        </w:rPr>
        <w:t xml:space="preserve">Where an incentive tax credit is designed so that it must be paid in cash or cash equivalents within </w:t>
      </w:r>
      <w:r w:rsidR="00B1490D">
        <w:rPr>
          <w:lang w:eastAsia="en-AU"/>
        </w:rPr>
        <w:t>four</w:t>
      </w:r>
      <w:r w:rsidR="00DD518B" w:rsidRPr="002071EE">
        <w:rPr>
          <w:lang w:eastAsia="en-AU"/>
        </w:rPr>
        <w:t xml:space="preserve"> </w:t>
      </w:r>
      <w:r w:rsidRPr="002071EE">
        <w:rPr>
          <w:lang w:eastAsia="en-AU"/>
        </w:rPr>
        <w:t xml:space="preserve">years it can be treated as income for Pillar </w:t>
      </w:r>
      <w:r w:rsidR="006A729C">
        <w:rPr>
          <w:lang w:eastAsia="en-AU"/>
        </w:rPr>
        <w:t>Two</w:t>
      </w:r>
      <w:r w:rsidRPr="002071EE">
        <w:rPr>
          <w:lang w:eastAsia="en-AU"/>
        </w:rPr>
        <w:t xml:space="preserve"> purposes instead of as a reduction to covered taxes</w:t>
      </w:r>
      <w:r w:rsidR="00C028F0">
        <w:rPr>
          <w:lang w:eastAsia="en-AU"/>
        </w:rPr>
        <w:t xml:space="preserve">. </w:t>
      </w:r>
      <w:r w:rsidRPr="002071EE">
        <w:rPr>
          <w:lang w:eastAsia="en-AU"/>
        </w:rPr>
        <w:t>The policy reason for this is that these types of refundable tax credits share features of government grants which form part of income, and they should be treated in the same way given that they are in effect government support for a certain type of activity that can ultimately be received in cash or cash equivalent</w:t>
      </w:r>
      <w:r w:rsidR="008A0E73">
        <w:rPr>
          <w:lang w:eastAsia="en-AU"/>
        </w:rPr>
        <w:t>s</w:t>
      </w:r>
      <w:r w:rsidRPr="002071EE">
        <w:rPr>
          <w:lang w:eastAsia="en-AU"/>
        </w:rPr>
        <w:t>. This treatment results in a higher ETR</w:t>
      </w:r>
      <w:r w:rsidR="00C0465D">
        <w:rPr>
          <w:lang w:eastAsia="en-AU"/>
        </w:rPr>
        <w:t xml:space="preserve"> than if the credit is treated as a negative tax</w:t>
      </w:r>
      <w:r w:rsidR="00C028F0">
        <w:rPr>
          <w:lang w:eastAsia="en-AU"/>
        </w:rPr>
        <w:t xml:space="preserve">. </w:t>
      </w:r>
      <w:r w:rsidRPr="002071EE">
        <w:rPr>
          <w:lang w:eastAsia="en-AU"/>
        </w:rPr>
        <w:t xml:space="preserve">If a tax credit is designed so that it must partially be refunded within </w:t>
      </w:r>
      <w:r w:rsidR="00B1490D">
        <w:rPr>
          <w:lang w:eastAsia="en-AU"/>
        </w:rPr>
        <w:t>four</w:t>
      </w:r>
      <w:r w:rsidR="0034111A" w:rsidRPr="002071EE">
        <w:rPr>
          <w:lang w:eastAsia="en-AU"/>
        </w:rPr>
        <w:t xml:space="preserve"> </w:t>
      </w:r>
      <w:r w:rsidRPr="002071EE">
        <w:rPr>
          <w:lang w:eastAsia="en-AU"/>
        </w:rPr>
        <w:t>years, it is only treated as income to the extent the refundability design requirement is satisfied. Whether a tax credit is designed so that it must be refunded within four years is determined under the laws of each jurisdiction at the time the credit is granted.</w:t>
      </w:r>
    </w:p>
    <w:p w14:paraId="55BBF5AF" w14:textId="3AC238E2" w:rsidR="002071EE" w:rsidRPr="002071EE" w:rsidRDefault="002071EE" w:rsidP="007C47FE">
      <w:pPr>
        <w:pStyle w:val="NumberedParagraph"/>
        <w:rPr>
          <w:lang w:eastAsia="en-AU"/>
        </w:rPr>
      </w:pPr>
      <w:r w:rsidRPr="002071EE">
        <w:rPr>
          <w:lang w:eastAsia="en-AU"/>
        </w:rPr>
        <w:t xml:space="preserve">New Zealand’s research and development tax credit is designed so that it must partially be refunded within </w:t>
      </w:r>
      <w:r w:rsidR="00B1490D">
        <w:rPr>
          <w:lang w:eastAsia="en-AU"/>
        </w:rPr>
        <w:t>four</w:t>
      </w:r>
      <w:r w:rsidR="005D36FC" w:rsidRPr="002071EE">
        <w:rPr>
          <w:lang w:eastAsia="en-AU"/>
        </w:rPr>
        <w:t xml:space="preserve"> </w:t>
      </w:r>
      <w:r w:rsidRPr="002071EE">
        <w:rPr>
          <w:lang w:eastAsia="en-AU"/>
        </w:rPr>
        <w:t xml:space="preserve">years. The portion that must be refunded within </w:t>
      </w:r>
      <w:r w:rsidR="00B1490D">
        <w:rPr>
          <w:lang w:eastAsia="en-AU"/>
        </w:rPr>
        <w:t>four</w:t>
      </w:r>
      <w:r w:rsidR="005D36FC" w:rsidRPr="002071EE">
        <w:rPr>
          <w:lang w:eastAsia="en-AU"/>
        </w:rPr>
        <w:t xml:space="preserve"> </w:t>
      </w:r>
      <w:r w:rsidRPr="002071EE">
        <w:rPr>
          <w:lang w:eastAsia="en-AU"/>
        </w:rPr>
        <w:t>years is the amount calculated under section LA 5(4</w:t>
      </w:r>
      <w:proofErr w:type="gramStart"/>
      <w:r w:rsidRPr="002071EE">
        <w:rPr>
          <w:lang w:eastAsia="en-AU"/>
        </w:rPr>
        <w:t>B)(</w:t>
      </w:r>
      <w:proofErr w:type="gramEnd"/>
      <w:r w:rsidRPr="002071EE">
        <w:rPr>
          <w:lang w:eastAsia="en-AU"/>
        </w:rPr>
        <w:t xml:space="preserve">a) of the Income Tax Act 2007 and referred to as the ‘maximum limit of the person’s refundability cap’ for the year in which the associated research and </w:t>
      </w:r>
      <w:r w:rsidRPr="002071EE">
        <w:rPr>
          <w:lang w:eastAsia="en-AU"/>
        </w:rPr>
        <w:lastRenderedPageBreak/>
        <w:t xml:space="preserve">development expenditure is incurred. Officials’ view is that under the Model Rules this amount can be treated as GloBE income and any remaining credit must be treated as a reduction to covered taxes (even if it gives rise to a tax reduction or other benefit within the </w:t>
      </w:r>
      <w:r w:rsidR="005D36FC">
        <w:rPr>
          <w:lang w:eastAsia="en-AU"/>
        </w:rPr>
        <w:t>4</w:t>
      </w:r>
      <w:r w:rsidR="00012FB9" w:rsidRPr="002071EE">
        <w:rPr>
          <w:lang w:eastAsia="en-AU"/>
        </w:rPr>
        <w:t>-year</w:t>
      </w:r>
      <w:r w:rsidRPr="002071EE">
        <w:rPr>
          <w:lang w:eastAsia="en-AU"/>
        </w:rPr>
        <w:t xml:space="preserve"> period).</w:t>
      </w:r>
      <w:r w:rsidR="00C03439">
        <w:rPr>
          <w:lang w:eastAsia="en-AU"/>
        </w:rPr>
        <w:t xml:space="preserve"> </w:t>
      </w:r>
      <w:r w:rsidR="00144E99">
        <w:rPr>
          <w:lang w:eastAsia="en-AU"/>
        </w:rPr>
        <w:t xml:space="preserve">This </w:t>
      </w:r>
      <w:r w:rsidR="004C3F6E">
        <w:rPr>
          <w:lang w:eastAsia="en-AU"/>
        </w:rPr>
        <w:t xml:space="preserve">treatment is not expected to have a significant impact on the </w:t>
      </w:r>
      <w:r w:rsidR="00C767DD">
        <w:rPr>
          <w:lang w:eastAsia="en-AU"/>
        </w:rPr>
        <w:t xml:space="preserve">New Zealand </w:t>
      </w:r>
      <w:r w:rsidR="00DE0D27">
        <w:rPr>
          <w:lang w:eastAsia="en-AU"/>
        </w:rPr>
        <w:t>ETR</w:t>
      </w:r>
      <w:r w:rsidR="00EE65E0">
        <w:rPr>
          <w:lang w:eastAsia="en-AU"/>
        </w:rPr>
        <w:t xml:space="preserve">s </w:t>
      </w:r>
      <w:r w:rsidR="00BA4839">
        <w:rPr>
          <w:lang w:eastAsia="en-AU"/>
        </w:rPr>
        <w:t>for</w:t>
      </w:r>
      <w:r w:rsidR="00837CC9">
        <w:rPr>
          <w:lang w:eastAsia="en-AU"/>
        </w:rPr>
        <w:t xml:space="preserve"> </w:t>
      </w:r>
      <w:r w:rsidR="00C767DD">
        <w:rPr>
          <w:lang w:eastAsia="en-AU"/>
        </w:rPr>
        <w:t xml:space="preserve">locally headquartered </w:t>
      </w:r>
      <w:r w:rsidR="00DE0D27">
        <w:rPr>
          <w:lang w:eastAsia="en-AU"/>
        </w:rPr>
        <w:t>MNEs</w:t>
      </w:r>
      <w:r w:rsidR="008D2B85">
        <w:rPr>
          <w:lang w:eastAsia="en-AU"/>
        </w:rPr>
        <w:t xml:space="preserve">. </w:t>
      </w:r>
      <w:r w:rsidR="00D20C5E">
        <w:rPr>
          <w:lang w:eastAsia="en-AU"/>
        </w:rPr>
        <w:t>Therefore we do not expect the GloBE rules to undermine the benefit of our R&amp;D tax credit for locally headquartered MNEs.</w:t>
      </w:r>
    </w:p>
    <w:p w14:paraId="24FC7387" w14:textId="77777777" w:rsidR="002071EE" w:rsidRPr="002071EE" w:rsidRDefault="002071EE" w:rsidP="0081555B">
      <w:pPr>
        <w:pStyle w:val="Heading4"/>
        <w:rPr>
          <w:lang w:val="en-GB" w:eastAsia="en-AU"/>
        </w:rPr>
      </w:pPr>
      <w:r w:rsidRPr="002071EE">
        <w:rPr>
          <w:lang w:val="en-GB" w:eastAsia="en-AU"/>
        </w:rPr>
        <w:t>Special rule for intra-group financing arrangements</w:t>
      </w:r>
    </w:p>
    <w:p w14:paraId="123AB8F9" w14:textId="60F513BE" w:rsidR="002071EE" w:rsidRPr="002071EE" w:rsidRDefault="002071EE" w:rsidP="0081555B">
      <w:pPr>
        <w:pStyle w:val="NumberedParagraph"/>
        <w:rPr>
          <w:lang w:eastAsia="en-AU"/>
        </w:rPr>
      </w:pPr>
      <w:r w:rsidRPr="002071EE">
        <w:rPr>
          <w:lang w:eastAsia="en-AU"/>
        </w:rPr>
        <w:t>The rules include an anti-avoidance rule designed to counter intra-group financing arrangements that attempt to inflate the ETR in a low-tax jurisdiction without increasing the taxable income in the other jurisdiction (</w:t>
      </w:r>
      <w:r w:rsidR="00653468">
        <w:rPr>
          <w:lang w:eastAsia="en-AU"/>
        </w:rPr>
        <w:t>for example,</w:t>
      </w:r>
      <w:r w:rsidRPr="002071EE">
        <w:rPr>
          <w:lang w:eastAsia="en-AU"/>
        </w:rPr>
        <w:t xml:space="preserve"> through exploiting mismatches in the accounting treatment in the debtor and creditor).</w:t>
      </w:r>
    </w:p>
    <w:p w14:paraId="5CA31BC5" w14:textId="1BAEF64F" w:rsidR="002071EE" w:rsidRDefault="002071EE" w:rsidP="0081555B">
      <w:pPr>
        <w:pStyle w:val="NumberedParagraph"/>
        <w:rPr>
          <w:lang w:eastAsia="en-AU"/>
        </w:rPr>
      </w:pPr>
      <w:r w:rsidRPr="002071EE">
        <w:rPr>
          <w:lang w:eastAsia="en-AU"/>
        </w:rPr>
        <w:t>The remaining adjustments are described in Chapter 3 of the Model Rules.</w:t>
      </w:r>
    </w:p>
    <w:p w14:paraId="0A6F4614" w14:textId="5CB73816" w:rsidR="00B1714B" w:rsidRPr="00FE13BA" w:rsidRDefault="00267C8E" w:rsidP="00FE13BA">
      <w:pPr>
        <w:pStyle w:val="Heading4"/>
        <w:rPr>
          <w:lang w:val="en-GB" w:eastAsia="en-AU"/>
        </w:rPr>
      </w:pPr>
      <w:r w:rsidRPr="00FE13BA">
        <w:rPr>
          <w:lang w:val="en-GB" w:eastAsia="en-AU"/>
        </w:rPr>
        <w:t>Special rules for acquisitions and disposals</w:t>
      </w:r>
    </w:p>
    <w:p w14:paraId="3E5F7062" w14:textId="0CA5FE8A" w:rsidR="00B1714B" w:rsidRDefault="00020AD6" w:rsidP="0081555B">
      <w:pPr>
        <w:pStyle w:val="NumberedParagraph"/>
        <w:rPr>
          <w:lang w:eastAsia="en-AU"/>
        </w:rPr>
      </w:pPr>
      <w:r>
        <w:rPr>
          <w:lang w:eastAsia="en-AU"/>
        </w:rPr>
        <w:t xml:space="preserve">Articles </w:t>
      </w:r>
      <w:r w:rsidR="00B75437">
        <w:rPr>
          <w:lang w:eastAsia="en-AU"/>
        </w:rPr>
        <w:t>6.</w:t>
      </w:r>
      <w:r w:rsidR="00E57F23">
        <w:rPr>
          <w:lang w:eastAsia="en-AU"/>
        </w:rPr>
        <w:t>2 and</w:t>
      </w:r>
      <w:r w:rsidR="00B75437">
        <w:rPr>
          <w:lang w:eastAsia="en-AU"/>
        </w:rPr>
        <w:t xml:space="preserve"> 6.3 </w:t>
      </w:r>
      <w:r w:rsidR="00DD0546" w:rsidRPr="00AE23A5">
        <w:rPr>
          <w:lang w:eastAsia="en-AU"/>
        </w:rPr>
        <w:t xml:space="preserve">of the Model Rules provide </w:t>
      </w:r>
      <w:r w:rsidR="00DD0546">
        <w:rPr>
          <w:lang w:eastAsia="en-AU"/>
        </w:rPr>
        <w:t>special</w:t>
      </w:r>
      <w:r w:rsidR="00DD0546" w:rsidRPr="00AE23A5">
        <w:rPr>
          <w:lang w:eastAsia="en-AU"/>
        </w:rPr>
        <w:t xml:space="preserve"> rules for</w:t>
      </w:r>
      <w:r w:rsidR="00B35140">
        <w:rPr>
          <w:lang w:eastAsia="en-AU"/>
        </w:rPr>
        <w:t xml:space="preserve"> calculating GloBE income </w:t>
      </w:r>
      <w:r w:rsidR="00D37725">
        <w:rPr>
          <w:lang w:eastAsia="en-AU"/>
        </w:rPr>
        <w:t xml:space="preserve">(and covered taxes) </w:t>
      </w:r>
      <w:r w:rsidR="00B35140">
        <w:rPr>
          <w:lang w:eastAsia="en-AU"/>
        </w:rPr>
        <w:t xml:space="preserve">when a constituent entity joins or leaves a group and </w:t>
      </w:r>
      <w:r w:rsidR="003A77B4">
        <w:rPr>
          <w:lang w:eastAsia="en-AU"/>
        </w:rPr>
        <w:t>when there are transfers of assets or liabilities.</w:t>
      </w:r>
    </w:p>
    <w:p w14:paraId="591ACAEB" w14:textId="53EADAFA" w:rsidR="00686A3B" w:rsidRPr="007A7966" w:rsidRDefault="00A4685B" w:rsidP="007A7966">
      <w:pPr>
        <w:pStyle w:val="Heading4"/>
        <w:rPr>
          <w:lang w:val="en-GB" w:eastAsia="en-AU"/>
        </w:rPr>
      </w:pPr>
      <w:r w:rsidRPr="007A7966">
        <w:rPr>
          <w:lang w:val="en-GB" w:eastAsia="en-AU"/>
        </w:rPr>
        <w:t xml:space="preserve">Special rules for </w:t>
      </w:r>
      <w:r w:rsidR="007A7966" w:rsidRPr="007A7966">
        <w:rPr>
          <w:lang w:val="en-GB" w:eastAsia="en-AU"/>
        </w:rPr>
        <w:t>Ultimate Parent Entities that are subject to a tax neutrality regime</w:t>
      </w:r>
    </w:p>
    <w:p w14:paraId="6C23859D" w14:textId="3E8995CF" w:rsidR="00686A3B" w:rsidRDefault="00FF619A" w:rsidP="007921BD">
      <w:pPr>
        <w:pStyle w:val="NumberedParagraph"/>
        <w:rPr>
          <w:lang w:eastAsia="en-AU"/>
        </w:rPr>
      </w:pPr>
      <w:r>
        <w:rPr>
          <w:lang w:eastAsia="en-AU"/>
        </w:rPr>
        <w:t xml:space="preserve">There are also </w:t>
      </w:r>
      <w:r w:rsidR="00AE23A5">
        <w:rPr>
          <w:lang w:eastAsia="en-AU"/>
        </w:rPr>
        <w:t>special</w:t>
      </w:r>
      <w:r w:rsidR="00AE23A5" w:rsidRPr="00AE23A5">
        <w:rPr>
          <w:lang w:eastAsia="en-AU"/>
        </w:rPr>
        <w:t xml:space="preserve"> rules </w:t>
      </w:r>
      <w:r w:rsidR="00256B77">
        <w:rPr>
          <w:lang w:eastAsia="en-AU"/>
        </w:rPr>
        <w:t xml:space="preserve">in Chapter 7 of the Model Rules </w:t>
      </w:r>
      <w:r w:rsidR="00AE23A5" w:rsidRPr="00AE23A5">
        <w:rPr>
          <w:lang w:eastAsia="en-AU"/>
        </w:rPr>
        <w:t xml:space="preserve">for calculating the </w:t>
      </w:r>
      <w:r w:rsidR="00AE23A5">
        <w:rPr>
          <w:lang w:eastAsia="en-AU"/>
        </w:rPr>
        <w:t>GloBE income</w:t>
      </w:r>
      <w:r w:rsidR="00AE23A5" w:rsidRPr="00AE23A5">
        <w:rPr>
          <w:lang w:eastAsia="en-AU"/>
        </w:rPr>
        <w:t xml:space="preserve"> of </w:t>
      </w:r>
      <w:r w:rsidR="00AE23A5">
        <w:rPr>
          <w:lang w:eastAsia="en-AU"/>
        </w:rPr>
        <w:t>a UPE that is subject to a tax neutrality regime</w:t>
      </w:r>
      <w:r w:rsidR="00653468">
        <w:rPr>
          <w:lang w:eastAsia="en-AU"/>
        </w:rPr>
        <w:t xml:space="preserve">, that is, </w:t>
      </w:r>
      <w:r w:rsidR="00022BC6">
        <w:rPr>
          <w:lang w:eastAsia="en-AU"/>
        </w:rPr>
        <w:t xml:space="preserve">a regime </w:t>
      </w:r>
      <w:r w:rsidR="000315D1">
        <w:rPr>
          <w:lang w:eastAsia="en-AU"/>
        </w:rPr>
        <w:t>that achieve</w:t>
      </w:r>
      <w:r w:rsidR="00022BC6">
        <w:rPr>
          <w:lang w:eastAsia="en-AU"/>
        </w:rPr>
        <w:t>s</w:t>
      </w:r>
      <w:r w:rsidR="000315D1">
        <w:rPr>
          <w:lang w:eastAsia="en-AU"/>
        </w:rPr>
        <w:t xml:space="preserve"> a single level of taxation on business income</w:t>
      </w:r>
      <w:r>
        <w:rPr>
          <w:lang w:eastAsia="en-AU"/>
        </w:rPr>
        <w:t xml:space="preserve">. </w:t>
      </w:r>
      <w:r w:rsidR="00F21B04">
        <w:rPr>
          <w:lang w:eastAsia="en-AU"/>
        </w:rPr>
        <w:t>Article</w:t>
      </w:r>
      <w:r w:rsidR="00CA021C">
        <w:rPr>
          <w:lang w:eastAsia="en-AU"/>
        </w:rPr>
        <w:t> </w:t>
      </w:r>
      <w:r w:rsidR="00F21B04">
        <w:rPr>
          <w:lang w:eastAsia="en-AU"/>
        </w:rPr>
        <w:t xml:space="preserve">7.1 </w:t>
      </w:r>
      <w:r w:rsidR="00E23128">
        <w:rPr>
          <w:lang w:eastAsia="en-AU"/>
        </w:rPr>
        <w:t xml:space="preserve">applies </w:t>
      </w:r>
      <w:r w:rsidR="00440442">
        <w:rPr>
          <w:lang w:eastAsia="en-AU"/>
        </w:rPr>
        <w:t>to</w:t>
      </w:r>
      <w:r w:rsidR="00E23128">
        <w:rPr>
          <w:lang w:eastAsia="en-AU"/>
        </w:rPr>
        <w:t xml:space="preserve"> a UPE </w:t>
      </w:r>
      <w:r w:rsidR="00A86238">
        <w:rPr>
          <w:lang w:eastAsia="en-AU"/>
        </w:rPr>
        <w:t xml:space="preserve">that </w:t>
      </w:r>
      <w:r w:rsidR="00E23128">
        <w:rPr>
          <w:lang w:eastAsia="en-AU"/>
        </w:rPr>
        <w:t>is a flow th</w:t>
      </w:r>
      <w:r w:rsidR="00945E90">
        <w:rPr>
          <w:lang w:eastAsia="en-AU"/>
        </w:rPr>
        <w:t>r</w:t>
      </w:r>
      <w:r w:rsidR="00E23128">
        <w:rPr>
          <w:lang w:eastAsia="en-AU"/>
        </w:rPr>
        <w:t>ough entity</w:t>
      </w:r>
      <w:r w:rsidR="007C66E8">
        <w:rPr>
          <w:lang w:eastAsia="en-AU"/>
        </w:rPr>
        <w:t xml:space="preserve"> and</w:t>
      </w:r>
      <w:r w:rsidR="009026BA">
        <w:rPr>
          <w:lang w:eastAsia="en-AU"/>
        </w:rPr>
        <w:t xml:space="preserve"> Article</w:t>
      </w:r>
      <w:r w:rsidR="00BA4FF6">
        <w:rPr>
          <w:lang w:eastAsia="en-AU"/>
        </w:rPr>
        <w:t> </w:t>
      </w:r>
      <w:r w:rsidR="009026BA">
        <w:rPr>
          <w:lang w:eastAsia="en-AU"/>
        </w:rPr>
        <w:t xml:space="preserve">7.2 applies </w:t>
      </w:r>
      <w:r w:rsidR="00440442">
        <w:rPr>
          <w:lang w:eastAsia="en-AU"/>
        </w:rPr>
        <w:t>to</w:t>
      </w:r>
      <w:r w:rsidR="009026BA">
        <w:rPr>
          <w:lang w:eastAsia="en-AU"/>
        </w:rPr>
        <w:t xml:space="preserve"> a UPE </w:t>
      </w:r>
      <w:r w:rsidR="00A86238">
        <w:rPr>
          <w:lang w:eastAsia="en-AU"/>
        </w:rPr>
        <w:t xml:space="preserve">that </w:t>
      </w:r>
      <w:r w:rsidR="009026BA">
        <w:rPr>
          <w:lang w:eastAsia="en-AU"/>
        </w:rPr>
        <w:t>is subject to a deductible distribution tax regime.</w:t>
      </w:r>
    </w:p>
    <w:p w14:paraId="71B243AF" w14:textId="57D4A11B" w:rsidR="00836372" w:rsidRDefault="00082D16" w:rsidP="007921BD">
      <w:pPr>
        <w:pStyle w:val="NumberedParagraph"/>
        <w:rPr>
          <w:lang w:eastAsia="en-AU"/>
        </w:rPr>
      </w:pPr>
      <w:r>
        <w:rPr>
          <w:lang w:eastAsia="en-AU"/>
        </w:rPr>
        <w:t xml:space="preserve">Article 7.2 </w:t>
      </w:r>
      <w:r w:rsidR="0066418F">
        <w:rPr>
          <w:lang w:eastAsia="en-AU"/>
        </w:rPr>
        <w:t xml:space="preserve">will be </w:t>
      </w:r>
      <w:r w:rsidR="00C807AA">
        <w:rPr>
          <w:lang w:eastAsia="en-AU"/>
        </w:rPr>
        <w:t>relevant</w:t>
      </w:r>
      <w:r w:rsidR="009412BD">
        <w:rPr>
          <w:lang w:eastAsia="en-AU"/>
        </w:rPr>
        <w:t xml:space="preserve"> to </w:t>
      </w:r>
      <w:r>
        <w:rPr>
          <w:lang w:eastAsia="en-AU"/>
        </w:rPr>
        <w:t xml:space="preserve">a </w:t>
      </w:r>
      <w:r w:rsidR="007C66E8">
        <w:rPr>
          <w:lang w:eastAsia="en-AU"/>
        </w:rPr>
        <w:t xml:space="preserve">New Zealand co-operative </w:t>
      </w:r>
      <w:r>
        <w:rPr>
          <w:lang w:eastAsia="en-AU"/>
        </w:rPr>
        <w:t>UPE</w:t>
      </w:r>
      <w:r w:rsidR="007C66E8">
        <w:rPr>
          <w:lang w:eastAsia="en-AU"/>
        </w:rPr>
        <w:t xml:space="preserve">. It allows </w:t>
      </w:r>
      <w:r w:rsidR="003129D2">
        <w:rPr>
          <w:lang w:eastAsia="en-AU"/>
        </w:rPr>
        <w:t>such</w:t>
      </w:r>
      <w:r w:rsidR="007C66E8">
        <w:rPr>
          <w:lang w:eastAsia="en-AU"/>
        </w:rPr>
        <w:t xml:space="preserve"> a UPE to</w:t>
      </w:r>
      <w:r>
        <w:rPr>
          <w:lang w:eastAsia="en-AU"/>
        </w:rPr>
        <w:t xml:space="preserve"> reduce its GloBE income </w:t>
      </w:r>
      <w:r w:rsidR="000B25CD">
        <w:rPr>
          <w:lang w:eastAsia="en-AU"/>
        </w:rPr>
        <w:t xml:space="preserve">(but not below zero) </w:t>
      </w:r>
      <w:r>
        <w:rPr>
          <w:lang w:eastAsia="en-AU"/>
        </w:rPr>
        <w:t xml:space="preserve">by the amount </w:t>
      </w:r>
      <w:r w:rsidR="009329A4">
        <w:rPr>
          <w:lang w:eastAsia="en-AU"/>
        </w:rPr>
        <w:t xml:space="preserve">that is distributed as a </w:t>
      </w:r>
      <w:r w:rsidR="000B25CD">
        <w:rPr>
          <w:lang w:eastAsia="en-AU"/>
        </w:rPr>
        <w:t>d</w:t>
      </w:r>
      <w:r w:rsidR="009329A4">
        <w:rPr>
          <w:lang w:eastAsia="en-AU"/>
        </w:rPr>
        <w:t xml:space="preserve">eductible </w:t>
      </w:r>
      <w:r w:rsidR="000B25CD">
        <w:rPr>
          <w:lang w:eastAsia="en-AU"/>
        </w:rPr>
        <w:t>d</w:t>
      </w:r>
      <w:r w:rsidR="009329A4">
        <w:rPr>
          <w:lang w:eastAsia="en-AU"/>
        </w:rPr>
        <w:t xml:space="preserve">ividend within 12 months of the end of </w:t>
      </w:r>
      <w:r w:rsidR="000B25CD">
        <w:rPr>
          <w:lang w:eastAsia="en-AU"/>
        </w:rPr>
        <w:t>a</w:t>
      </w:r>
      <w:r w:rsidR="009329A4">
        <w:rPr>
          <w:lang w:eastAsia="en-AU"/>
        </w:rPr>
        <w:t xml:space="preserve"> </w:t>
      </w:r>
      <w:r w:rsidR="00CB4AF5">
        <w:rPr>
          <w:lang w:eastAsia="en-AU"/>
        </w:rPr>
        <w:t>f</w:t>
      </w:r>
      <w:r w:rsidR="009329A4">
        <w:rPr>
          <w:lang w:eastAsia="en-AU"/>
        </w:rPr>
        <w:t xml:space="preserve">iscal </w:t>
      </w:r>
      <w:r w:rsidR="00CB4AF5">
        <w:rPr>
          <w:lang w:eastAsia="en-AU"/>
        </w:rPr>
        <w:t>ye</w:t>
      </w:r>
      <w:r w:rsidR="009329A4">
        <w:rPr>
          <w:lang w:eastAsia="en-AU"/>
        </w:rPr>
        <w:t>ar if</w:t>
      </w:r>
      <w:r w:rsidR="007260D1">
        <w:rPr>
          <w:lang w:eastAsia="en-AU"/>
        </w:rPr>
        <w:t xml:space="preserve"> the dividend recipient is</w:t>
      </w:r>
      <w:r w:rsidR="009329A4">
        <w:rPr>
          <w:lang w:eastAsia="en-AU"/>
        </w:rPr>
        <w:t>:</w:t>
      </w:r>
    </w:p>
    <w:p w14:paraId="18D314C2" w14:textId="222BFA29" w:rsidR="007C66E8" w:rsidRDefault="00971775" w:rsidP="007C66E8">
      <w:pPr>
        <w:pStyle w:val="NumberedParagraph-BulletL1"/>
        <w:rPr>
          <w:lang w:eastAsia="en-AU"/>
        </w:rPr>
      </w:pPr>
      <w:r>
        <w:rPr>
          <w:lang w:eastAsia="en-AU"/>
        </w:rPr>
        <w:t>subject to tax on the dividend at a nominal rate that equals or exceeds 15%</w:t>
      </w:r>
      <w:r w:rsidR="00CB4AF5" w:rsidRPr="00CB4AF5">
        <w:rPr>
          <w:lang w:eastAsia="en-AU"/>
        </w:rPr>
        <w:t xml:space="preserve"> within 12 months of the end of the </w:t>
      </w:r>
      <w:r w:rsidR="00CB4AF5">
        <w:rPr>
          <w:lang w:eastAsia="en-AU"/>
        </w:rPr>
        <w:t>g</w:t>
      </w:r>
      <w:r w:rsidR="00CB4AF5" w:rsidRPr="00CB4AF5">
        <w:rPr>
          <w:lang w:eastAsia="en-AU"/>
        </w:rPr>
        <w:t xml:space="preserve">roup’s </w:t>
      </w:r>
      <w:r w:rsidR="00CB4AF5">
        <w:rPr>
          <w:lang w:eastAsia="en-AU"/>
        </w:rPr>
        <w:t>f</w:t>
      </w:r>
      <w:r w:rsidR="00CB4AF5" w:rsidRPr="00CB4AF5">
        <w:rPr>
          <w:lang w:eastAsia="en-AU"/>
        </w:rPr>
        <w:t xml:space="preserve">iscal </w:t>
      </w:r>
      <w:r w:rsidR="00CB4AF5">
        <w:rPr>
          <w:lang w:eastAsia="en-AU"/>
        </w:rPr>
        <w:t>y</w:t>
      </w:r>
      <w:r w:rsidR="00CB4AF5" w:rsidRPr="00CB4AF5">
        <w:rPr>
          <w:lang w:eastAsia="en-AU"/>
        </w:rPr>
        <w:t>ear</w:t>
      </w:r>
    </w:p>
    <w:p w14:paraId="7A18337F" w14:textId="114D56F8" w:rsidR="00871DC6" w:rsidRDefault="00871DC6" w:rsidP="00960761">
      <w:pPr>
        <w:pStyle w:val="NumberedParagraph-BulletL1"/>
        <w:rPr>
          <w:lang w:eastAsia="en-AU"/>
        </w:rPr>
      </w:pPr>
      <w:r>
        <w:rPr>
          <w:lang w:eastAsia="en-AU"/>
        </w:rPr>
        <w:t xml:space="preserve">a natural person that is a tax resident in the UPE country and holds </w:t>
      </w:r>
      <w:r w:rsidR="00A07EFF">
        <w:rPr>
          <w:lang w:eastAsia="en-AU"/>
        </w:rPr>
        <w:t xml:space="preserve">an ownership interest </w:t>
      </w:r>
      <w:r w:rsidR="00CE21A7">
        <w:rPr>
          <w:lang w:eastAsia="en-AU"/>
        </w:rPr>
        <w:t xml:space="preserve">in the UPE </w:t>
      </w:r>
      <w:r w:rsidR="00A07EFF">
        <w:rPr>
          <w:lang w:eastAsia="en-AU"/>
        </w:rPr>
        <w:t>of</w:t>
      </w:r>
      <w:r>
        <w:rPr>
          <w:lang w:eastAsia="en-AU"/>
        </w:rPr>
        <w:t xml:space="preserve"> 5% or less</w:t>
      </w:r>
      <w:r w:rsidR="008D2B85">
        <w:rPr>
          <w:lang w:eastAsia="en-AU"/>
        </w:rPr>
        <w:t>,</w:t>
      </w:r>
      <w:r w:rsidR="0022625C">
        <w:rPr>
          <w:lang w:eastAsia="en-AU"/>
        </w:rPr>
        <w:t xml:space="preserve"> or</w:t>
      </w:r>
    </w:p>
    <w:p w14:paraId="1B53AA0E" w14:textId="7164F659" w:rsidR="00B1714B" w:rsidRDefault="00CE21A7" w:rsidP="00F573EC">
      <w:pPr>
        <w:pStyle w:val="NumberedParagraph-BulletL1"/>
        <w:rPr>
          <w:lang w:eastAsia="en-AU"/>
        </w:rPr>
      </w:pPr>
      <w:r>
        <w:rPr>
          <w:lang w:eastAsia="en-AU"/>
        </w:rPr>
        <w:t xml:space="preserve">resident in the UPE </w:t>
      </w:r>
      <w:r w:rsidR="00B547F5">
        <w:rPr>
          <w:lang w:eastAsia="en-AU"/>
        </w:rPr>
        <w:t>country</w:t>
      </w:r>
      <w:r>
        <w:rPr>
          <w:lang w:eastAsia="en-AU"/>
        </w:rPr>
        <w:t xml:space="preserve"> and is a Governmental Entity, International Organisation, </w:t>
      </w:r>
      <w:r w:rsidR="00B1350C">
        <w:rPr>
          <w:lang w:eastAsia="en-AU"/>
        </w:rPr>
        <w:t>N</w:t>
      </w:r>
      <w:r>
        <w:rPr>
          <w:lang w:eastAsia="en-AU"/>
        </w:rPr>
        <w:t>on-profit Organisation or Pension Fund that is not a Pension Services Entity</w:t>
      </w:r>
      <w:r w:rsidR="00F573EC">
        <w:rPr>
          <w:lang w:eastAsia="en-AU"/>
        </w:rPr>
        <w:t>.</w:t>
      </w:r>
    </w:p>
    <w:tbl>
      <w:tblPr>
        <w:tblStyle w:val="QuestionBox"/>
        <w:tblW w:w="8779" w:type="dxa"/>
        <w:tblLook w:val="04A0" w:firstRow="1" w:lastRow="0" w:firstColumn="1" w:lastColumn="0" w:noHBand="0" w:noVBand="1"/>
      </w:tblPr>
      <w:tblGrid>
        <w:gridCol w:w="8779"/>
      </w:tblGrid>
      <w:tr w:rsidR="00486836" w14:paraId="05A2C550" w14:textId="77777777" w:rsidTr="00B628B2">
        <w:tc>
          <w:tcPr>
            <w:tcW w:w="8779" w:type="dxa"/>
          </w:tcPr>
          <w:p w14:paraId="136FF421" w14:textId="5B0919E8" w:rsidR="00486836" w:rsidRPr="000E77C5" w:rsidRDefault="00486836" w:rsidP="00180725">
            <w:pPr>
              <w:rPr>
                <w:rStyle w:val="Strong"/>
              </w:rPr>
            </w:pPr>
            <w:r w:rsidRPr="000E77C5">
              <w:rPr>
                <w:rStyle w:val="Strong"/>
              </w:rPr>
              <w:t>Question</w:t>
            </w:r>
            <w:r w:rsidR="008B0A7D">
              <w:rPr>
                <w:rStyle w:val="Strong"/>
              </w:rPr>
              <w:t>s</w:t>
            </w:r>
            <w:r w:rsidRPr="000E77C5">
              <w:rPr>
                <w:rStyle w:val="Strong"/>
              </w:rPr>
              <w:t xml:space="preserve"> for submitters</w:t>
            </w:r>
          </w:p>
          <w:p w14:paraId="0D19C3D5" w14:textId="5F0E1D24" w:rsidR="0050108B" w:rsidRDefault="00486836" w:rsidP="008B0A7D">
            <w:pPr>
              <w:pStyle w:val="ListBullet"/>
            </w:pPr>
            <w:r>
              <w:t>Do you have comments on the practicalities of using a constituent entity’s accounting profit as the starting point for calculating Globe income?</w:t>
            </w:r>
          </w:p>
          <w:p w14:paraId="0733B107" w14:textId="53660D51" w:rsidR="008B0A7D" w:rsidRDefault="008B0A7D" w:rsidP="008B0A7D">
            <w:pPr>
              <w:pStyle w:val="ListBullet"/>
            </w:pPr>
            <w:r w:rsidRPr="0048238B">
              <w:t xml:space="preserve">Do </w:t>
            </w:r>
            <w:r>
              <w:t>you</w:t>
            </w:r>
            <w:r w:rsidRPr="0048238B">
              <w:t xml:space="preserve"> have comments on the adjustments made to the accounting profit?</w:t>
            </w:r>
          </w:p>
          <w:p w14:paraId="48F54D49" w14:textId="3B80DEFF" w:rsidR="00486836" w:rsidRDefault="008B0A7D" w:rsidP="008B0A7D">
            <w:pPr>
              <w:pStyle w:val="ListBullet"/>
            </w:pPr>
            <w:r w:rsidRPr="0048238B">
              <w:t>In particular, are there any uncertainties that could be clarified in New Zealand’s domestic legislation whil</w:t>
            </w:r>
            <w:r>
              <w:t>e</w:t>
            </w:r>
            <w:r w:rsidRPr="0048238B">
              <w:t xml:space="preserve"> respecting the intended outcomes in the Model Rules?</w:t>
            </w:r>
          </w:p>
        </w:tc>
      </w:tr>
    </w:tbl>
    <w:p w14:paraId="4BB6B7A5" w14:textId="45278432" w:rsidR="002604A4" w:rsidRPr="002604A4" w:rsidRDefault="002604A4" w:rsidP="007515DC">
      <w:pPr>
        <w:pStyle w:val="Heading3"/>
        <w:rPr>
          <w:lang w:eastAsia="en-AU"/>
        </w:rPr>
      </w:pPr>
      <w:r w:rsidRPr="002604A4">
        <w:rPr>
          <w:lang w:eastAsia="en-AU"/>
        </w:rPr>
        <w:lastRenderedPageBreak/>
        <w:t>Allocating income between jurisdictions</w:t>
      </w:r>
    </w:p>
    <w:p w14:paraId="6F221E92" w14:textId="059A0380" w:rsidR="002604A4" w:rsidRPr="002604A4" w:rsidRDefault="002604A4" w:rsidP="006F6E85">
      <w:pPr>
        <w:pStyle w:val="NumberedParagraph"/>
        <w:rPr>
          <w:lang w:eastAsia="en-AU"/>
        </w:rPr>
      </w:pPr>
      <w:r w:rsidRPr="002604A4">
        <w:rPr>
          <w:lang w:eastAsia="en-AU"/>
        </w:rPr>
        <w:t xml:space="preserve">The GloBE rules are designed to ensure that MNEs pay tax at a rate of 15% on their profits in each jurisdiction (after </w:t>
      </w:r>
      <w:proofErr w:type="gramStart"/>
      <w:r w:rsidRPr="002604A4">
        <w:rPr>
          <w:lang w:eastAsia="en-AU"/>
        </w:rPr>
        <w:t>taking into account</w:t>
      </w:r>
      <w:proofErr w:type="gramEnd"/>
      <w:r w:rsidRPr="002604A4">
        <w:rPr>
          <w:lang w:eastAsia="en-AU"/>
        </w:rPr>
        <w:t xml:space="preserve"> a substance-based carve-out). This means </w:t>
      </w:r>
      <w:r w:rsidR="009D4FE8">
        <w:rPr>
          <w:lang w:eastAsia="en-AU"/>
        </w:rPr>
        <w:t>tax imposed at a</w:t>
      </w:r>
      <w:r w:rsidRPr="002604A4">
        <w:rPr>
          <w:lang w:eastAsia="en-AU"/>
        </w:rPr>
        <w:t xml:space="preserve"> high </w:t>
      </w:r>
      <w:r w:rsidR="009D4FE8">
        <w:rPr>
          <w:lang w:eastAsia="en-AU"/>
        </w:rPr>
        <w:t xml:space="preserve">rate on </w:t>
      </w:r>
      <w:r w:rsidRPr="002604A4">
        <w:rPr>
          <w:lang w:eastAsia="en-AU"/>
        </w:rPr>
        <w:t xml:space="preserve">profits in one jurisdiction cannot be used to </w:t>
      </w:r>
      <w:r w:rsidR="009D4FE8">
        <w:rPr>
          <w:lang w:eastAsia="en-AU"/>
        </w:rPr>
        <w:t xml:space="preserve">credit </w:t>
      </w:r>
      <w:r w:rsidRPr="002604A4">
        <w:rPr>
          <w:lang w:eastAsia="en-AU"/>
        </w:rPr>
        <w:t>low-taxed profits in another jurisdiction. Allocating profits appropriately between jurisdictions is consequently integral to the GloBE rules.</w:t>
      </w:r>
    </w:p>
    <w:p w14:paraId="77CF8A93" w14:textId="77777777" w:rsidR="002604A4" w:rsidRPr="002604A4" w:rsidRDefault="002604A4" w:rsidP="006F6E85">
      <w:pPr>
        <w:pStyle w:val="NumberedParagraph"/>
        <w:rPr>
          <w:lang w:eastAsia="en-AU"/>
        </w:rPr>
      </w:pPr>
      <w:r w:rsidRPr="002604A4">
        <w:rPr>
          <w:lang w:eastAsia="en-AU"/>
        </w:rPr>
        <w:t>The Model Rules achieve this through:</w:t>
      </w:r>
    </w:p>
    <w:p w14:paraId="70042B07" w14:textId="008506FE" w:rsidR="002604A4" w:rsidRPr="002604A4" w:rsidRDefault="00164717" w:rsidP="006F6E85">
      <w:pPr>
        <w:pStyle w:val="NumberedParagraph-BulletL1"/>
        <w:rPr>
          <w:lang w:eastAsia="en-AU"/>
        </w:rPr>
      </w:pPr>
      <w:r>
        <w:rPr>
          <w:lang w:eastAsia="en-AU"/>
        </w:rPr>
        <w:t>V</w:t>
      </w:r>
      <w:r w:rsidR="002604A4" w:rsidRPr="002604A4">
        <w:rPr>
          <w:lang w:eastAsia="en-AU"/>
        </w:rPr>
        <w:t>aluing cross-border intragroup transactions in accordance with the arm’s length principle, where this is different to the transfer price used for accounting</w:t>
      </w:r>
      <w:r>
        <w:rPr>
          <w:lang w:eastAsia="en-AU"/>
        </w:rPr>
        <w:t>.</w:t>
      </w:r>
    </w:p>
    <w:p w14:paraId="6AF38EAC" w14:textId="35256A2C" w:rsidR="002604A4" w:rsidRPr="002604A4" w:rsidRDefault="00164717" w:rsidP="006F6E85">
      <w:pPr>
        <w:pStyle w:val="NumberedParagraph-BulletL1"/>
        <w:rPr>
          <w:lang w:eastAsia="en-AU"/>
        </w:rPr>
      </w:pPr>
      <w:r>
        <w:rPr>
          <w:lang w:eastAsia="en-AU"/>
        </w:rPr>
        <w:t>R</w:t>
      </w:r>
      <w:r w:rsidR="002604A4" w:rsidRPr="002604A4">
        <w:rPr>
          <w:lang w:eastAsia="en-AU"/>
        </w:rPr>
        <w:t>equiring financial accounting profits to be allocated between a PE and its head office entity based on the attribution of income and expenses to the PE for tax purposes</w:t>
      </w:r>
      <w:r w:rsidR="006344A8">
        <w:rPr>
          <w:lang w:eastAsia="en-AU"/>
        </w:rPr>
        <w:t xml:space="preserve"> (there are special </w:t>
      </w:r>
      <w:r w:rsidR="00A62526">
        <w:rPr>
          <w:lang w:eastAsia="en-AU"/>
        </w:rPr>
        <w:t xml:space="preserve">allocation </w:t>
      </w:r>
      <w:r w:rsidR="006344A8">
        <w:rPr>
          <w:lang w:eastAsia="en-AU"/>
        </w:rPr>
        <w:t xml:space="preserve">rules </w:t>
      </w:r>
      <w:r w:rsidR="00324316">
        <w:rPr>
          <w:lang w:eastAsia="en-AU"/>
        </w:rPr>
        <w:t xml:space="preserve">that apply </w:t>
      </w:r>
      <w:r w:rsidR="001F4D8D">
        <w:rPr>
          <w:lang w:eastAsia="en-AU"/>
        </w:rPr>
        <w:t>to PEs of entities subject to a worldwide tax system such as New Zealand</w:t>
      </w:r>
      <w:r w:rsidR="00344E0A">
        <w:rPr>
          <w:lang w:eastAsia="en-AU"/>
        </w:rPr>
        <w:t>’s</w:t>
      </w:r>
      <w:r w:rsidR="00324316">
        <w:rPr>
          <w:lang w:eastAsia="en-AU"/>
        </w:rPr>
        <w:t>)</w:t>
      </w:r>
      <w:r>
        <w:rPr>
          <w:lang w:eastAsia="en-AU"/>
        </w:rPr>
        <w:t>.</w:t>
      </w:r>
    </w:p>
    <w:p w14:paraId="70BDCB34" w14:textId="6C9EA9AE" w:rsidR="002604A4" w:rsidRPr="002604A4" w:rsidRDefault="00164717" w:rsidP="006F6E85">
      <w:pPr>
        <w:pStyle w:val="NumberedParagraph-BulletL1"/>
        <w:rPr>
          <w:lang w:eastAsia="en-AU"/>
        </w:rPr>
      </w:pPr>
      <w:r>
        <w:rPr>
          <w:lang w:eastAsia="en-AU"/>
        </w:rPr>
        <w:t>A</w:t>
      </w:r>
      <w:r w:rsidR="002604A4" w:rsidRPr="002604A4">
        <w:rPr>
          <w:lang w:eastAsia="en-AU"/>
        </w:rPr>
        <w:t>llocating the income of a tax transparent constituent entity (when not attributable to a PE) to its owners to the extent that the owners also treat the entity as tax transparent (</w:t>
      </w:r>
      <w:r w:rsidR="00653468">
        <w:rPr>
          <w:lang w:eastAsia="en-AU"/>
        </w:rPr>
        <w:t>that is,</w:t>
      </w:r>
      <w:r w:rsidR="002604A4" w:rsidRPr="002604A4">
        <w:rPr>
          <w:lang w:eastAsia="en-AU"/>
        </w:rPr>
        <w:t xml:space="preserve"> tax the income) or are not members of the MNE group</w:t>
      </w:r>
      <w:r>
        <w:rPr>
          <w:lang w:eastAsia="en-AU"/>
        </w:rPr>
        <w:t>.</w:t>
      </w:r>
    </w:p>
    <w:p w14:paraId="3E3EA265" w14:textId="534AC662" w:rsidR="00486836" w:rsidRPr="002071EE" w:rsidRDefault="002604A4" w:rsidP="00B50DD9">
      <w:pPr>
        <w:pStyle w:val="NumberedParagraph"/>
        <w:rPr>
          <w:lang w:eastAsia="en-AU"/>
        </w:rPr>
      </w:pPr>
      <w:r w:rsidRPr="002604A4">
        <w:rPr>
          <w:lang w:eastAsia="en-AU"/>
        </w:rPr>
        <w:t>Further work is still to be done at the OECD to determine the interaction of Pillar 1 and the GloBE rules</w:t>
      </w:r>
      <w:r w:rsidR="00C028F0">
        <w:rPr>
          <w:lang w:eastAsia="en-AU"/>
        </w:rPr>
        <w:t xml:space="preserve">. </w:t>
      </w:r>
      <w:r w:rsidRPr="002604A4">
        <w:rPr>
          <w:lang w:eastAsia="en-AU"/>
        </w:rPr>
        <w:t xml:space="preserve">The issue is deciding the jurisdiction in </w:t>
      </w:r>
      <w:r w:rsidR="005821C4">
        <w:rPr>
          <w:lang w:eastAsia="en-AU"/>
        </w:rPr>
        <w:t xml:space="preserve">whose </w:t>
      </w:r>
      <w:r w:rsidR="008D2B85">
        <w:rPr>
          <w:lang w:eastAsia="en-AU"/>
        </w:rPr>
        <w:t xml:space="preserve">ETR </w:t>
      </w:r>
      <w:r w:rsidR="008D2B85" w:rsidRPr="002604A4">
        <w:rPr>
          <w:lang w:eastAsia="en-AU"/>
        </w:rPr>
        <w:t>taxes</w:t>
      </w:r>
      <w:r w:rsidRPr="002604A4">
        <w:rPr>
          <w:lang w:eastAsia="en-AU"/>
        </w:rPr>
        <w:t xml:space="preserve"> imposed on Pillar One income should be </w:t>
      </w:r>
      <w:proofErr w:type="gramStart"/>
      <w:r w:rsidRPr="002604A4">
        <w:rPr>
          <w:lang w:eastAsia="en-AU"/>
        </w:rPr>
        <w:t>included, and</w:t>
      </w:r>
      <w:proofErr w:type="gramEnd"/>
      <w:r w:rsidRPr="002604A4">
        <w:rPr>
          <w:lang w:eastAsia="en-AU"/>
        </w:rPr>
        <w:t xml:space="preserve"> ensuring that they are matched so far as possible with the income on which the taxes are imposed</w:t>
      </w:r>
      <w:r w:rsidR="00C028F0">
        <w:rPr>
          <w:lang w:eastAsia="en-AU"/>
        </w:rPr>
        <w:t xml:space="preserve">. </w:t>
      </w:r>
      <w:r w:rsidRPr="002604A4">
        <w:rPr>
          <w:lang w:eastAsia="en-AU"/>
        </w:rPr>
        <w:t xml:space="preserve">Allocating </w:t>
      </w:r>
      <w:r w:rsidR="005821C4">
        <w:rPr>
          <w:lang w:eastAsia="en-AU"/>
        </w:rPr>
        <w:t xml:space="preserve">Pillar </w:t>
      </w:r>
      <w:r w:rsidR="00E77243">
        <w:rPr>
          <w:lang w:eastAsia="en-AU"/>
        </w:rPr>
        <w:t>1</w:t>
      </w:r>
      <w:r w:rsidR="005821C4">
        <w:rPr>
          <w:lang w:eastAsia="en-AU"/>
        </w:rPr>
        <w:t xml:space="preserve"> </w:t>
      </w:r>
      <w:r w:rsidRPr="002604A4">
        <w:rPr>
          <w:lang w:eastAsia="en-AU"/>
        </w:rPr>
        <w:t>income to the country where the tax</w:t>
      </w:r>
      <w:r w:rsidR="005821C4">
        <w:rPr>
          <w:lang w:eastAsia="en-AU"/>
        </w:rPr>
        <w:t xml:space="preserve"> permitted under Pillar</w:t>
      </w:r>
      <w:r w:rsidR="00BA4FF6">
        <w:rPr>
          <w:lang w:eastAsia="en-AU"/>
        </w:rPr>
        <w:t> </w:t>
      </w:r>
      <w:r w:rsidR="00E77243">
        <w:rPr>
          <w:lang w:eastAsia="en-AU"/>
        </w:rPr>
        <w:t>1</w:t>
      </w:r>
      <w:r w:rsidRPr="002604A4">
        <w:rPr>
          <w:lang w:eastAsia="en-AU"/>
        </w:rPr>
        <w:t xml:space="preserve"> is imposed would be the same treatment as applies to income earned through a branch. A possible objection to this is that it may not be possible to identify the entities whose income should, for GloBE ETR purposes, be reduced to compensate for this allocation</w:t>
      </w:r>
      <w:r w:rsidR="00C028F0">
        <w:rPr>
          <w:lang w:eastAsia="en-AU"/>
        </w:rPr>
        <w:t xml:space="preserve">. </w:t>
      </w:r>
      <w:r w:rsidRPr="002604A4">
        <w:rPr>
          <w:lang w:eastAsia="en-AU"/>
        </w:rPr>
        <w:t xml:space="preserve">On the other hand, if it is not possible to identify those entities, then it seems difficult to envisage how </w:t>
      </w:r>
      <w:r w:rsidR="00B159EC">
        <w:rPr>
          <w:lang w:eastAsia="en-AU"/>
        </w:rPr>
        <w:t>double taxation of income taxed under</w:t>
      </w:r>
      <w:r w:rsidRPr="002604A4">
        <w:rPr>
          <w:lang w:eastAsia="en-AU"/>
        </w:rPr>
        <w:t xml:space="preserve"> Pillar One </w:t>
      </w:r>
      <w:r w:rsidR="00B159EC">
        <w:rPr>
          <w:lang w:eastAsia="en-AU"/>
        </w:rPr>
        <w:t>will be avoided</w:t>
      </w:r>
      <w:r w:rsidR="008D2B85">
        <w:rPr>
          <w:lang w:eastAsia="en-AU"/>
        </w:rPr>
        <w:t xml:space="preserve">. </w:t>
      </w:r>
      <w:proofErr w:type="gramStart"/>
      <w:r w:rsidRPr="002604A4">
        <w:rPr>
          <w:lang w:eastAsia="en-AU"/>
        </w:rPr>
        <w:t>Officials</w:t>
      </w:r>
      <w:proofErr w:type="gramEnd"/>
      <w:r w:rsidRPr="002604A4">
        <w:rPr>
          <w:lang w:eastAsia="en-AU"/>
        </w:rPr>
        <w:t xml:space="preserve"> welcome submissions on this issue</w:t>
      </w:r>
      <w:r w:rsidR="00C028F0">
        <w:rPr>
          <w:lang w:eastAsia="en-AU"/>
        </w:rPr>
        <w:t>.</w:t>
      </w:r>
    </w:p>
    <w:tbl>
      <w:tblPr>
        <w:tblStyle w:val="QuestionBox"/>
        <w:tblW w:w="8779" w:type="dxa"/>
        <w:tblLook w:val="04A0" w:firstRow="1" w:lastRow="0" w:firstColumn="1" w:lastColumn="0" w:noHBand="0" w:noVBand="1"/>
      </w:tblPr>
      <w:tblGrid>
        <w:gridCol w:w="8779"/>
      </w:tblGrid>
      <w:tr w:rsidR="00F71BF2" w14:paraId="01490AC7" w14:textId="77777777" w:rsidTr="00B628B2">
        <w:tc>
          <w:tcPr>
            <w:tcW w:w="8779" w:type="dxa"/>
          </w:tcPr>
          <w:p w14:paraId="024B5B92" w14:textId="77777777" w:rsidR="00F71BF2" w:rsidRPr="000E77C5" w:rsidRDefault="00F71BF2" w:rsidP="00180725">
            <w:pPr>
              <w:rPr>
                <w:rStyle w:val="Strong"/>
              </w:rPr>
            </w:pPr>
            <w:r w:rsidRPr="000E77C5">
              <w:rPr>
                <w:rStyle w:val="Strong"/>
              </w:rPr>
              <w:t>Question</w:t>
            </w:r>
            <w:r>
              <w:rPr>
                <w:rStyle w:val="Strong"/>
              </w:rPr>
              <w:t>s</w:t>
            </w:r>
            <w:r w:rsidRPr="000E77C5">
              <w:rPr>
                <w:rStyle w:val="Strong"/>
              </w:rPr>
              <w:t xml:space="preserve"> for submitters</w:t>
            </w:r>
          </w:p>
          <w:p w14:paraId="0E391892" w14:textId="77777777" w:rsidR="001D22C6" w:rsidRDefault="001D22C6" w:rsidP="001D22C6">
            <w:pPr>
              <w:pStyle w:val="ListBullet"/>
            </w:pPr>
            <w:r>
              <w:t xml:space="preserve">Do you </w:t>
            </w:r>
            <w:r w:rsidRPr="00D4125E">
              <w:t xml:space="preserve">have </w:t>
            </w:r>
            <w:r>
              <w:t>comments</w:t>
            </w:r>
            <w:r w:rsidRPr="00D4125E">
              <w:t xml:space="preserve"> on the rules </w:t>
            </w:r>
            <w:r>
              <w:t xml:space="preserve">for </w:t>
            </w:r>
            <w:r w:rsidRPr="00D4125E">
              <w:t>allocating profits between jurisdictions</w:t>
            </w:r>
            <w:r>
              <w:t xml:space="preserve"> including whether there are any uncertainties around how the rules operate that could be further clarified in domestic law?</w:t>
            </w:r>
          </w:p>
          <w:p w14:paraId="6E9FBE00" w14:textId="420A5493" w:rsidR="00F71BF2" w:rsidRPr="001D22C6" w:rsidRDefault="001D22C6" w:rsidP="001D22C6">
            <w:pPr>
              <w:pStyle w:val="ListBullet"/>
              <w:rPr>
                <w:b/>
              </w:rPr>
            </w:pPr>
            <w:r>
              <w:t>Do you have any comments on whether profits that have been reallocated for Pillar 1 purposes should be similarly reallocated under the GloBE rules?</w:t>
            </w:r>
          </w:p>
        </w:tc>
      </w:tr>
    </w:tbl>
    <w:p w14:paraId="1203FA3A" w14:textId="77922E05" w:rsidR="00C56CCA" w:rsidRPr="00C56CCA" w:rsidRDefault="00C56CCA" w:rsidP="00D75975">
      <w:pPr>
        <w:pStyle w:val="Heading2"/>
        <w:rPr>
          <w:lang w:eastAsia="en-AU"/>
        </w:rPr>
      </w:pPr>
      <w:bookmarkStart w:id="37" w:name="_Toc101095585"/>
      <w:r w:rsidRPr="00C56CCA">
        <w:rPr>
          <w:lang w:eastAsia="en-AU"/>
        </w:rPr>
        <w:t xml:space="preserve">Step </w:t>
      </w:r>
      <w:r w:rsidR="00B828EB">
        <w:rPr>
          <w:lang w:eastAsia="en-AU"/>
        </w:rPr>
        <w:t>3</w:t>
      </w:r>
      <w:r w:rsidRPr="00C56CCA">
        <w:rPr>
          <w:lang w:eastAsia="en-AU"/>
        </w:rPr>
        <w:t>: Determine the taxes paid by constituent entities</w:t>
      </w:r>
      <w:bookmarkEnd w:id="37"/>
    </w:p>
    <w:p w14:paraId="3BE8CE15" w14:textId="18559F5B" w:rsidR="00C56CCA" w:rsidRPr="00C56CCA" w:rsidRDefault="00C56CCA" w:rsidP="007515DC">
      <w:pPr>
        <w:pStyle w:val="Heading3"/>
        <w:rPr>
          <w:lang w:eastAsia="en-AU"/>
        </w:rPr>
      </w:pPr>
      <w:r w:rsidRPr="00C56CCA">
        <w:rPr>
          <w:lang w:eastAsia="en-AU"/>
        </w:rPr>
        <w:t>Covered taxes</w:t>
      </w:r>
    </w:p>
    <w:p w14:paraId="67F398F1" w14:textId="65D8E949" w:rsidR="00C56CCA" w:rsidRPr="00C56CCA" w:rsidRDefault="00C56CCA" w:rsidP="00D75975">
      <w:pPr>
        <w:pStyle w:val="NumberedParagraph"/>
        <w:rPr>
          <w:lang w:eastAsia="en-AU"/>
        </w:rPr>
      </w:pPr>
      <w:r w:rsidRPr="00C56CCA">
        <w:rPr>
          <w:lang w:eastAsia="en-AU"/>
        </w:rPr>
        <w:t>The next stage in the ETR calculation is to determine the taxes paid by the constituent entity. These are referred to as covered taxes in the Model Rules and are generally limited to taxes on net income.</w:t>
      </w:r>
    </w:p>
    <w:p w14:paraId="208DC409" w14:textId="4D7A8144" w:rsidR="00C56CCA" w:rsidRPr="00C56CCA" w:rsidRDefault="00C56CCA" w:rsidP="00D75975">
      <w:pPr>
        <w:pStyle w:val="NumberedParagraph"/>
        <w:rPr>
          <w:lang w:eastAsia="en-AU"/>
        </w:rPr>
      </w:pPr>
      <w:r w:rsidRPr="00C56CCA">
        <w:rPr>
          <w:lang w:eastAsia="en-AU"/>
        </w:rPr>
        <w:t xml:space="preserve">This limitation reflects that the GloBE rules are intended to ensure a minimum level of tax is paid on the profit in each jurisdiction. It follows taxes should only be included in </w:t>
      </w:r>
      <w:r w:rsidR="00ED67D2">
        <w:rPr>
          <w:lang w:eastAsia="en-AU"/>
        </w:rPr>
        <w:t>covered taxes</w:t>
      </w:r>
      <w:r w:rsidRPr="00C56CCA">
        <w:rPr>
          <w:lang w:eastAsia="en-AU"/>
        </w:rPr>
        <w:t xml:space="preserve"> when they are levied on a measure of income.</w:t>
      </w:r>
    </w:p>
    <w:p w14:paraId="79A175F8" w14:textId="77777777" w:rsidR="00C56CCA" w:rsidRPr="00C56CCA" w:rsidRDefault="00C56CCA" w:rsidP="00D75975">
      <w:pPr>
        <w:pStyle w:val="NumberedParagraph"/>
        <w:rPr>
          <w:lang w:eastAsia="en-AU"/>
        </w:rPr>
      </w:pPr>
      <w:r w:rsidRPr="00C56CCA">
        <w:rPr>
          <w:lang w:eastAsia="en-AU"/>
        </w:rPr>
        <w:lastRenderedPageBreak/>
        <w:t>This means corporate income taxes will generally be covered taxes. However, where an income tax is refundable or creditable to the beneficial owner of a dividend distributed by a constituent entity (for example, by way of imputation) it will only qualify as a covered tax if the credit is provided:</w:t>
      </w:r>
    </w:p>
    <w:p w14:paraId="4237ADFE" w14:textId="0D9669B7" w:rsidR="00C56CCA" w:rsidRPr="00C56CCA" w:rsidRDefault="006F1A6A" w:rsidP="00D75975">
      <w:pPr>
        <w:pStyle w:val="NumberedParagraph-BulletL1"/>
        <w:rPr>
          <w:lang w:eastAsia="en-AU"/>
        </w:rPr>
      </w:pPr>
      <w:r w:rsidRPr="00C56CCA">
        <w:rPr>
          <w:lang w:eastAsia="en-AU"/>
        </w:rPr>
        <w:t xml:space="preserve">under a foreign tax credit regime </w:t>
      </w:r>
      <w:r w:rsidR="00C56CCA" w:rsidRPr="00C56CCA">
        <w:rPr>
          <w:lang w:eastAsia="en-AU"/>
        </w:rPr>
        <w:t>by a jurisdiction other than the jurisdiction which imposed the income tax</w:t>
      </w:r>
    </w:p>
    <w:p w14:paraId="6D1ACFB3" w14:textId="5E6239A4" w:rsidR="00C56CCA" w:rsidRPr="00C56CCA" w:rsidRDefault="00C56CCA" w:rsidP="00D75975">
      <w:pPr>
        <w:pStyle w:val="NumberedParagraph-BulletL1"/>
        <w:rPr>
          <w:lang w:eastAsia="en-AU"/>
        </w:rPr>
      </w:pPr>
      <w:r w:rsidRPr="00C56CCA">
        <w:rPr>
          <w:lang w:eastAsia="en-AU"/>
        </w:rPr>
        <w:t xml:space="preserve">to a beneficial owner of the dividend that is subject to tax </w:t>
      </w:r>
      <w:r w:rsidR="00316AAC" w:rsidRPr="00C56CCA">
        <w:rPr>
          <w:lang w:eastAsia="en-AU"/>
        </w:rPr>
        <w:t>on the dividend</w:t>
      </w:r>
      <w:r w:rsidR="00316AAC">
        <w:rPr>
          <w:lang w:eastAsia="en-AU"/>
        </w:rPr>
        <w:t>,</w:t>
      </w:r>
      <w:r w:rsidR="00316AAC" w:rsidRPr="00C56CCA">
        <w:rPr>
          <w:lang w:eastAsia="en-AU"/>
        </w:rPr>
        <w:t xml:space="preserve"> </w:t>
      </w:r>
      <w:r w:rsidRPr="00C56CCA">
        <w:rPr>
          <w:lang w:eastAsia="en-AU"/>
        </w:rPr>
        <w:t>at a rate that equals or exceeds the minimum rate</w:t>
      </w:r>
      <w:r w:rsidR="00316AAC">
        <w:rPr>
          <w:lang w:eastAsia="en-AU"/>
        </w:rPr>
        <w:t>,</w:t>
      </w:r>
      <w:r w:rsidRPr="00C56CCA">
        <w:rPr>
          <w:lang w:eastAsia="en-AU"/>
        </w:rPr>
        <w:t xml:space="preserve"> in the jurisdiction which imposed the </w:t>
      </w:r>
      <w:r w:rsidR="007F67D8">
        <w:rPr>
          <w:lang w:eastAsia="en-AU"/>
        </w:rPr>
        <w:t xml:space="preserve">corporate </w:t>
      </w:r>
      <w:r w:rsidRPr="00C56CCA">
        <w:rPr>
          <w:lang w:eastAsia="en-AU"/>
        </w:rPr>
        <w:t>income tax</w:t>
      </w:r>
    </w:p>
    <w:p w14:paraId="389EEB7B" w14:textId="77777777" w:rsidR="00C56CCA" w:rsidRPr="00C56CCA" w:rsidRDefault="00C56CCA" w:rsidP="00D75975">
      <w:pPr>
        <w:pStyle w:val="NumberedParagraph-BulletL1"/>
        <w:rPr>
          <w:lang w:eastAsia="en-AU"/>
        </w:rPr>
      </w:pPr>
      <w:r w:rsidRPr="00C56CCA">
        <w:rPr>
          <w:lang w:eastAsia="en-AU"/>
        </w:rPr>
        <w:t>to an individual beneficial owner of the dividend who is tax resident in the jurisdiction which imposed the income tax and who is subject to tax on the dividend, or</w:t>
      </w:r>
    </w:p>
    <w:p w14:paraId="43BCA56D" w14:textId="4D0A6ED3" w:rsidR="00C56CCA" w:rsidRPr="00C56CCA" w:rsidRDefault="00C56CCA" w:rsidP="00D75975">
      <w:pPr>
        <w:pStyle w:val="NumberedParagraph-BulletL1"/>
        <w:rPr>
          <w:lang w:eastAsia="en-AU"/>
        </w:rPr>
      </w:pPr>
      <w:r w:rsidRPr="00C56CCA">
        <w:rPr>
          <w:lang w:eastAsia="en-AU"/>
        </w:rPr>
        <w:t>to a governmental entity, international organisation, resident non-profit organisation, resident pension fund, resident investment entity that is not a group entity, or a resident life insurance company to the extent that the dividends are received in connection with a pension fund business and subject to tax in a similar manner as a dividend received by pension fund</w:t>
      </w:r>
      <w:r w:rsidR="00B22A09">
        <w:rPr>
          <w:lang w:eastAsia="en-AU"/>
        </w:rPr>
        <w:t>.</w:t>
      </w:r>
    </w:p>
    <w:p w14:paraId="57E86E25" w14:textId="794A3033" w:rsidR="00C56CCA" w:rsidRPr="00C56CCA" w:rsidRDefault="00C56CCA" w:rsidP="009D7646">
      <w:pPr>
        <w:pStyle w:val="NumberedParagraph"/>
        <w:rPr>
          <w:lang w:eastAsia="en-AU"/>
        </w:rPr>
      </w:pPr>
      <w:r w:rsidRPr="00C56CCA">
        <w:rPr>
          <w:lang w:eastAsia="en-AU"/>
        </w:rPr>
        <w:t>The Model Rules refer to an income tax that is charged under a qualifying imputation system as a Qualified Imputation Tax. New Zealand’s corporate income tax meets the definition of a Qualified Imputation Tax and is therefore a covered tax. Australia’s corporate income tax is similarly a covered tax</w:t>
      </w:r>
      <w:r w:rsidR="008D2B85">
        <w:rPr>
          <w:lang w:eastAsia="en-AU"/>
        </w:rPr>
        <w:t>.</w:t>
      </w:r>
    </w:p>
    <w:p w14:paraId="5EE86EC3" w14:textId="63D3EE31" w:rsidR="00C56CCA" w:rsidRPr="00C56CCA" w:rsidRDefault="00C56CCA" w:rsidP="009D7646">
      <w:pPr>
        <w:pStyle w:val="NumberedParagraph"/>
        <w:rPr>
          <w:lang w:eastAsia="en-AU"/>
        </w:rPr>
      </w:pPr>
      <w:r w:rsidRPr="00C56CCA">
        <w:rPr>
          <w:lang w:eastAsia="en-AU"/>
        </w:rPr>
        <w:t>Withholding taxes and other taxes which are imposed in lieu of a corporate income tax are also covered taxes. Taxes on payroll or sales will not be counted.</w:t>
      </w:r>
      <w:r w:rsidR="004B349D">
        <w:rPr>
          <w:lang w:eastAsia="en-AU"/>
        </w:rPr>
        <w:t xml:space="preserve"> New Zealand’s goods and services tax is not a covered tax, as it is not charged on a measure of income.</w:t>
      </w:r>
    </w:p>
    <w:p w14:paraId="6BB54001" w14:textId="7A17FD05" w:rsidR="00C56CCA" w:rsidRPr="00C56CCA" w:rsidRDefault="00C56CCA" w:rsidP="009D7646">
      <w:pPr>
        <w:pStyle w:val="Heading3"/>
        <w:rPr>
          <w:lang w:val="en-GB" w:eastAsia="en-AU"/>
        </w:rPr>
      </w:pPr>
      <w:r w:rsidRPr="00C56CCA">
        <w:rPr>
          <w:lang w:val="en-GB" w:eastAsia="en-AU"/>
        </w:rPr>
        <w:t>Calculating covered taxes for the relevant year</w:t>
      </w:r>
    </w:p>
    <w:p w14:paraId="02760D5D" w14:textId="7926351E" w:rsidR="00C56CCA" w:rsidRPr="00C56CCA" w:rsidRDefault="00C56CCA" w:rsidP="009D7646">
      <w:pPr>
        <w:pStyle w:val="NumberedParagraph"/>
        <w:rPr>
          <w:lang w:eastAsia="en-AU"/>
        </w:rPr>
      </w:pPr>
      <w:r w:rsidRPr="00C56CCA">
        <w:rPr>
          <w:lang w:eastAsia="en-AU"/>
        </w:rPr>
        <w:t>Having established which taxes qualify, the next step is to determine the amount of those taxes in the relevant year. The Model Rules look first to the current tax expense recorded in the financial statements to determine the amount of covered taxes that have been paid.</w:t>
      </w:r>
    </w:p>
    <w:p w14:paraId="2FFA76A1" w14:textId="5DA79244" w:rsidR="00C56CCA" w:rsidRPr="00C56CCA" w:rsidRDefault="00C56CCA" w:rsidP="009D7646">
      <w:pPr>
        <w:pStyle w:val="NumberedParagraph"/>
        <w:rPr>
          <w:lang w:eastAsia="en-AU"/>
        </w:rPr>
      </w:pPr>
      <w:r w:rsidRPr="00C56CCA">
        <w:rPr>
          <w:lang w:eastAsia="en-AU"/>
        </w:rPr>
        <w:t xml:space="preserve">This </w:t>
      </w:r>
      <w:r w:rsidR="00525322">
        <w:rPr>
          <w:lang w:eastAsia="en-AU"/>
        </w:rPr>
        <w:t xml:space="preserve">amount </w:t>
      </w:r>
      <w:r w:rsidRPr="00C56CCA">
        <w:rPr>
          <w:lang w:eastAsia="en-AU"/>
        </w:rPr>
        <w:t>is adjust</w:t>
      </w:r>
      <w:r w:rsidR="00525322">
        <w:rPr>
          <w:lang w:eastAsia="en-AU"/>
        </w:rPr>
        <w:t>ed</w:t>
      </w:r>
      <w:r w:rsidRPr="00C56CCA">
        <w:rPr>
          <w:lang w:eastAsia="en-AU"/>
        </w:rPr>
        <w:t xml:space="preserve">, for example to exclude any tax which is paid in respect of income that has been excluded from GloBE income, to exclude current tax accrued in relation to an uncertain tax position, </w:t>
      </w:r>
      <w:r w:rsidR="00525322">
        <w:rPr>
          <w:lang w:eastAsia="en-AU"/>
        </w:rPr>
        <w:t>and</w:t>
      </w:r>
      <w:r w:rsidRPr="00C56CCA">
        <w:rPr>
          <w:lang w:eastAsia="en-AU"/>
        </w:rPr>
        <w:t xml:space="preserve"> to add any covered taxes that have been treated as an expense in the accounts.</w:t>
      </w:r>
    </w:p>
    <w:p w14:paraId="11D61652" w14:textId="00A3354A" w:rsidR="00C56CCA" w:rsidRPr="00C56CCA" w:rsidRDefault="00C56CCA" w:rsidP="009D7646">
      <w:pPr>
        <w:pStyle w:val="NumberedParagraph"/>
        <w:rPr>
          <w:lang w:eastAsia="en-AU"/>
        </w:rPr>
      </w:pPr>
      <w:r w:rsidRPr="00C56CCA">
        <w:rPr>
          <w:lang w:eastAsia="en-AU"/>
        </w:rPr>
        <w:t xml:space="preserve">An adjustment is also required where an amount of covered tax is refunded or credited to a group entity and the refund or credit is not treated as a reduction to the current tax expense in the financial accounts. </w:t>
      </w:r>
      <w:r w:rsidR="0051378C">
        <w:rPr>
          <w:lang w:eastAsia="en-AU"/>
        </w:rPr>
        <w:t>An</w:t>
      </w:r>
      <w:r w:rsidRPr="00C56CCA">
        <w:rPr>
          <w:lang w:eastAsia="en-AU"/>
        </w:rPr>
        <w:t xml:space="preserve"> example of this in a New Zealand context is a tax credit for a supplementary dividend which is typically accounted for directly in equity instead of as a reduction to the current tax expense. An adjustment will be required for GloBE purposes to reduce the current tax expense by the amount of this credit.</w:t>
      </w:r>
    </w:p>
    <w:p w14:paraId="254CEC00" w14:textId="77777777" w:rsidR="00C56CCA" w:rsidRPr="00C56CCA" w:rsidRDefault="00C56CCA" w:rsidP="009D7646">
      <w:pPr>
        <w:pStyle w:val="NumberedParagraph"/>
        <w:rPr>
          <w:lang w:eastAsia="en-AU"/>
        </w:rPr>
      </w:pPr>
      <w:r w:rsidRPr="00C56CCA">
        <w:rPr>
          <w:lang w:eastAsia="en-AU"/>
        </w:rPr>
        <w:t>The remaining adjustments are described in Chapter 4 of the Model Rules.</w:t>
      </w:r>
    </w:p>
    <w:p w14:paraId="230EEEDB" w14:textId="77777777" w:rsidR="00C56CCA" w:rsidRPr="00C56CCA" w:rsidRDefault="00C56CCA" w:rsidP="007515DC">
      <w:pPr>
        <w:pStyle w:val="Heading3"/>
        <w:rPr>
          <w:lang w:eastAsia="en-AU"/>
        </w:rPr>
      </w:pPr>
      <w:r w:rsidRPr="00C56CCA">
        <w:rPr>
          <w:lang w:eastAsia="en-AU"/>
        </w:rPr>
        <w:t>Refundable tax credits</w:t>
      </w:r>
    </w:p>
    <w:p w14:paraId="5D25BE86" w14:textId="6F5E290B" w:rsidR="00C56CCA" w:rsidRPr="00C56CCA" w:rsidRDefault="00C56CCA" w:rsidP="009D7646">
      <w:pPr>
        <w:pStyle w:val="NumberedParagraph"/>
        <w:rPr>
          <w:lang w:eastAsia="en-AU"/>
        </w:rPr>
      </w:pPr>
      <w:r w:rsidRPr="00C56CCA">
        <w:rPr>
          <w:lang w:eastAsia="en-AU"/>
        </w:rPr>
        <w:t xml:space="preserve">As discussed above, the treatment of incentive tax credits in the Model Rules depends on their refundability. Tax credits that are designed in such a way that they must be refunded within </w:t>
      </w:r>
      <w:r w:rsidR="00B1490D">
        <w:rPr>
          <w:lang w:eastAsia="en-AU"/>
        </w:rPr>
        <w:t>four</w:t>
      </w:r>
      <w:r w:rsidRPr="00C56CCA">
        <w:rPr>
          <w:lang w:eastAsia="en-AU"/>
        </w:rPr>
        <w:t xml:space="preserve"> years are referred to as a Qualified Refundable Tax Credit and are treated as GloBE income. Refundable tax credits that do not satisfy this refundability requirement are referred to as Non-</w:t>
      </w:r>
      <w:r w:rsidRPr="00C56CCA">
        <w:rPr>
          <w:lang w:eastAsia="en-AU"/>
        </w:rPr>
        <w:lastRenderedPageBreak/>
        <w:t>Qualified Refundable Tax Credits and are treated as a reduction to covered taxes.</w:t>
      </w:r>
    </w:p>
    <w:p w14:paraId="1C8F95C4" w14:textId="77777777" w:rsidR="00C56CCA" w:rsidRPr="00C56CCA" w:rsidRDefault="00C56CCA" w:rsidP="009D7646">
      <w:pPr>
        <w:pStyle w:val="NumberedParagraph"/>
        <w:rPr>
          <w:lang w:eastAsia="en-AU"/>
        </w:rPr>
      </w:pPr>
      <w:r w:rsidRPr="00C56CCA">
        <w:rPr>
          <w:lang w:eastAsia="en-AU"/>
        </w:rPr>
        <w:t>This means an adjustment must be made to increase covered taxes where a Qualified Refundable Tax Credit is accounted for as a tax credit or to reduce covered taxes where a Non-Qualified Refundable Tax Credit is accounted for as income.</w:t>
      </w:r>
    </w:p>
    <w:tbl>
      <w:tblPr>
        <w:tblStyle w:val="QuestionBox"/>
        <w:tblW w:w="8779" w:type="dxa"/>
        <w:tblLook w:val="04A0" w:firstRow="1" w:lastRow="0" w:firstColumn="1" w:lastColumn="0" w:noHBand="0" w:noVBand="1"/>
      </w:tblPr>
      <w:tblGrid>
        <w:gridCol w:w="8779"/>
      </w:tblGrid>
      <w:tr w:rsidR="002D2480" w14:paraId="60EA9055" w14:textId="77777777" w:rsidTr="00EE3CD1">
        <w:tc>
          <w:tcPr>
            <w:tcW w:w="8779" w:type="dxa"/>
          </w:tcPr>
          <w:p w14:paraId="7DFEF608" w14:textId="77777777" w:rsidR="002D2480" w:rsidRPr="000E77C5" w:rsidRDefault="002D2480" w:rsidP="00180725">
            <w:pPr>
              <w:rPr>
                <w:rStyle w:val="Strong"/>
              </w:rPr>
            </w:pPr>
            <w:r w:rsidRPr="000E77C5">
              <w:rPr>
                <w:rStyle w:val="Strong"/>
              </w:rPr>
              <w:t>Question</w:t>
            </w:r>
            <w:r>
              <w:rPr>
                <w:rStyle w:val="Strong"/>
              </w:rPr>
              <w:t>s</w:t>
            </w:r>
            <w:r w:rsidRPr="000E77C5">
              <w:rPr>
                <w:rStyle w:val="Strong"/>
              </w:rPr>
              <w:t xml:space="preserve"> for submitters</w:t>
            </w:r>
          </w:p>
          <w:p w14:paraId="306EBC62" w14:textId="0552B084" w:rsidR="0012455F" w:rsidRDefault="0012455F" w:rsidP="0012455F">
            <w:pPr>
              <w:pStyle w:val="ListBullet"/>
            </w:pPr>
            <w:r>
              <w:t>Do you have comments on the rules on Covered Taxes including whether there are any uncertainties around how the rules operate that could be further clarified in domestic law?</w:t>
            </w:r>
          </w:p>
          <w:p w14:paraId="3D50D43A" w14:textId="516252E6" w:rsidR="002D2480" w:rsidRPr="0012455F" w:rsidRDefault="0012455F" w:rsidP="0012455F">
            <w:pPr>
              <w:pStyle w:val="ListBullet"/>
            </w:pPr>
            <w:r w:rsidRPr="00376752">
              <w:t xml:space="preserve">Do you </w:t>
            </w:r>
            <w:r>
              <w:t>have any comments on</w:t>
            </w:r>
            <w:r w:rsidRPr="00376752">
              <w:t xml:space="preserve"> the </w:t>
            </w:r>
            <w:r>
              <w:t xml:space="preserve">views outlined above on how </w:t>
            </w:r>
            <w:r w:rsidRPr="00376752">
              <w:t xml:space="preserve">tax credits for supplementary dividends </w:t>
            </w:r>
            <w:r>
              <w:t xml:space="preserve">are treated </w:t>
            </w:r>
            <w:r w:rsidRPr="00376752">
              <w:t>under the Model Rules?</w:t>
            </w:r>
          </w:p>
        </w:tc>
      </w:tr>
    </w:tbl>
    <w:p w14:paraId="06D38483" w14:textId="330CE7A0" w:rsidR="00241076" w:rsidRPr="007515DC" w:rsidRDefault="0098609D" w:rsidP="007515DC">
      <w:pPr>
        <w:pStyle w:val="Heading3"/>
        <w:rPr>
          <w:lang w:val="en-GB" w:eastAsia="en-AU"/>
        </w:rPr>
      </w:pPr>
      <w:r w:rsidRPr="007515DC">
        <w:rPr>
          <w:lang w:val="en-GB" w:eastAsia="en-AU"/>
        </w:rPr>
        <w:t>T</w:t>
      </w:r>
      <w:r w:rsidR="00241076" w:rsidRPr="007515DC">
        <w:rPr>
          <w:lang w:val="en-GB" w:eastAsia="en-AU"/>
        </w:rPr>
        <w:t>iming differences</w:t>
      </w:r>
    </w:p>
    <w:p w14:paraId="416ED44F" w14:textId="77777777" w:rsidR="00241076" w:rsidRDefault="00241076" w:rsidP="001728A5">
      <w:pPr>
        <w:pStyle w:val="NumberedParagraph"/>
      </w:pPr>
      <w:r>
        <w:t>The Model Rules also include rules that are designed to address circumstances where profits are taxed in a different period to when they are recognised in GloBE income. These differences typically arise from differences in when income and expenses are recognised for accounting and tax purposes. For example, capital assets are often depreciated at different rates.</w:t>
      </w:r>
    </w:p>
    <w:p w14:paraId="78D6856D" w14:textId="2E281CC0" w:rsidR="00241076" w:rsidRDefault="00241076" w:rsidP="001728A5">
      <w:pPr>
        <w:pStyle w:val="NumberedParagraph"/>
      </w:pPr>
      <w:r>
        <w:t>Without rules to address these differences, a MNE could suffer a top</w:t>
      </w:r>
      <w:r w:rsidR="00A70522">
        <w:t>-</w:t>
      </w:r>
      <w:r>
        <w:t xml:space="preserve">up because it appears to be low-taxed, when in </w:t>
      </w:r>
      <w:r w:rsidR="002C2B40">
        <w:t>fact</w:t>
      </w:r>
      <w:r>
        <w:t xml:space="preserve"> the income has been taxed in a different period</w:t>
      </w:r>
      <w:r w:rsidR="0039431E">
        <w:t xml:space="preserve"> from the one in which it has been recognised for purposes of the ETR calculation</w:t>
      </w:r>
      <w:r w:rsidR="008D2B85">
        <w:t xml:space="preserve">. </w:t>
      </w:r>
      <w:r w:rsidR="0039431E">
        <w:t>Wh</w:t>
      </w:r>
      <w:r w:rsidR="00001C5E">
        <w:t xml:space="preserve">ile this deferral can be of significant benefit if it is long term, the Model Rules have been designed </w:t>
      </w:r>
      <w:r w:rsidR="00966579">
        <w:t xml:space="preserve">generally (but not always) so that timing benefits do not give rise to the imposition </w:t>
      </w:r>
      <w:r w:rsidR="007674FC">
        <w:t>of tax</w:t>
      </w:r>
      <w:r w:rsidR="008D2B85">
        <w:t xml:space="preserve">. </w:t>
      </w:r>
      <w:r w:rsidR="007674FC">
        <w:t>At least in part this was to avoid the need to provide refunds of GloBE tax</w:t>
      </w:r>
      <w:r w:rsidR="008D2B85">
        <w:t>.</w:t>
      </w:r>
    </w:p>
    <w:p w14:paraId="4A981DA7" w14:textId="78D601CE" w:rsidR="00241076" w:rsidRDefault="00241076" w:rsidP="001728A5">
      <w:pPr>
        <w:pStyle w:val="NumberedParagraph"/>
      </w:pPr>
      <w:r>
        <w:t>The Model Rules address this issue using an approach based on deferred tax accounting. Deferred tax accounting is an accounting concept which seeks to match taxes to the period when the income or expenses are recognised for accounting purposes. It does this by shifting the tax expense from the year the tax is paid to the years in which the income or expenditure is recognised in the financial statements.</w:t>
      </w:r>
    </w:p>
    <w:p w14:paraId="1725E6FB" w14:textId="0DC04E00" w:rsidR="00241076" w:rsidRDefault="00241076" w:rsidP="001728A5">
      <w:pPr>
        <w:pStyle w:val="NumberedParagraph"/>
      </w:pPr>
      <w:r>
        <w:t>In the Model Rules, this means the covered taxes are adjusted by the constituent entity’s deferred tax income or expense in the period.</w:t>
      </w:r>
    </w:p>
    <w:tbl>
      <w:tblPr>
        <w:tblStyle w:val="ExampleBox"/>
        <w:tblW w:w="0" w:type="auto"/>
        <w:tblLook w:val="04A0" w:firstRow="1" w:lastRow="0" w:firstColumn="1" w:lastColumn="0" w:noHBand="0" w:noVBand="1"/>
      </w:tblPr>
      <w:tblGrid>
        <w:gridCol w:w="7917"/>
      </w:tblGrid>
      <w:tr w:rsidR="00BD0E3E" w14:paraId="553FA296" w14:textId="77777777" w:rsidTr="00E902F1">
        <w:tc>
          <w:tcPr>
            <w:tcW w:w="7917" w:type="dxa"/>
          </w:tcPr>
          <w:p w14:paraId="18B06250" w14:textId="19FE8329" w:rsidR="00BD0E3E" w:rsidRPr="00C1406D" w:rsidRDefault="00BD0E3E" w:rsidP="00A1232E">
            <w:pPr>
              <w:pStyle w:val="Caption"/>
              <w:jc w:val="both"/>
            </w:pPr>
            <w:bookmarkStart w:id="38" w:name="_Hlk96955090"/>
            <w:r w:rsidRPr="00C1406D">
              <w:t xml:space="preserve">Example </w:t>
            </w:r>
            <w:r w:rsidR="00910D6B" w:rsidRPr="00C1406D">
              <w:t>1</w:t>
            </w:r>
            <w:r w:rsidRPr="00C1406D">
              <w:t xml:space="preserve">: </w:t>
            </w:r>
            <w:r w:rsidR="00BE156A" w:rsidRPr="00C1406D">
              <w:t>Timing differences</w:t>
            </w:r>
          </w:p>
          <w:p w14:paraId="13BD1C05" w14:textId="77777777" w:rsidR="00BD0E3E" w:rsidRDefault="00A86FCA" w:rsidP="00680AB3">
            <w:pPr>
              <w:rPr>
                <w:lang w:eastAsia="en-AU"/>
              </w:rPr>
            </w:pPr>
            <w:r w:rsidRPr="00C1406D">
              <w:rPr>
                <w:lang w:eastAsia="en-AU"/>
              </w:rPr>
              <w:t xml:space="preserve">A constituent entity accrues a current tax expense </w:t>
            </w:r>
            <w:r w:rsidR="00A36A1B" w:rsidRPr="00C1406D">
              <w:rPr>
                <w:lang w:eastAsia="en-AU"/>
              </w:rPr>
              <w:t xml:space="preserve">of </w:t>
            </w:r>
            <w:r w:rsidR="002056AF" w:rsidRPr="00C1406D">
              <w:rPr>
                <w:lang w:eastAsia="en-AU"/>
              </w:rPr>
              <w:t>$</w:t>
            </w:r>
            <w:r w:rsidR="00A36A1B" w:rsidRPr="00C1406D">
              <w:rPr>
                <w:lang w:eastAsia="en-AU"/>
              </w:rPr>
              <w:t xml:space="preserve">10 </w:t>
            </w:r>
            <w:r w:rsidRPr="00C1406D">
              <w:rPr>
                <w:lang w:eastAsia="en-AU"/>
              </w:rPr>
              <w:t>for Fiscal Year</w:t>
            </w:r>
            <w:r w:rsidR="00FF2095">
              <w:rPr>
                <w:lang w:eastAsia="en-AU"/>
              </w:rPr>
              <w:t> </w:t>
            </w:r>
            <w:r w:rsidRPr="00C1406D">
              <w:rPr>
                <w:lang w:eastAsia="en-AU"/>
              </w:rPr>
              <w:t>1</w:t>
            </w:r>
            <w:r w:rsidR="00FF2095">
              <w:rPr>
                <w:lang w:eastAsia="en-AU"/>
              </w:rPr>
              <w:t> </w:t>
            </w:r>
            <w:r w:rsidRPr="00C1406D">
              <w:rPr>
                <w:lang w:eastAsia="en-AU"/>
              </w:rPr>
              <w:t xml:space="preserve">and a deferred tax expense of </w:t>
            </w:r>
            <w:r w:rsidR="00F11B4D" w:rsidRPr="00C1406D">
              <w:rPr>
                <w:lang w:eastAsia="en-AU"/>
              </w:rPr>
              <w:t>$</w:t>
            </w:r>
            <w:r w:rsidRPr="00C1406D">
              <w:rPr>
                <w:lang w:eastAsia="en-AU"/>
              </w:rPr>
              <w:t xml:space="preserve">5 due </w:t>
            </w:r>
            <w:r w:rsidR="00C41D20" w:rsidRPr="00C1406D">
              <w:rPr>
                <w:lang w:eastAsia="en-AU"/>
              </w:rPr>
              <w:t xml:space="preserve">to a </w:t>
            </w:r>
            <w:r w:rsidRPr="00C1406D">
              <w:rPr>
                <w:lang w:eastAsia="en-AU"/>
              </w:rPr>
              <w:t>temporary difference between accounting</w:t>
            </w:r>
            <w:r w:rsidRPr="00A86FCA">
              <w:rPr>
                <w:lang w:eastAsia="en-AU"/>
              </w:rPr>
              <w:t xml:space="preserve"> and tax</w:t>
            </w:r>
            <w:r w:rsidR="001673AC">
              <w:rPr>
                <w:lang w:eastAsia="en-AU"/>
              </w:rPr>
              <w:t xml:space="preserve"> which </w:t>
            </w:r>
            <w:r w:rsidR="00417C12">
              <w:rPr>
                <w:lang w:eastAsia="en-AU"/>
              </w:rPr>
              <w:t xml:space="preserve">resulted in a deferred tax liability of </w:t>
            </w:r>
            <w:r w:rsidR="005048F7">
              <w:rPr>
                <w:lang w:eastAsia="en-AU"/>
              </w:rPr>
              <w:t>$</w:t>
            </w:r>
            <w:r w:rsidR="00417C12">
              <w:rPr>
                <w:lang w:eastAsia="en-AU"/>
              </w:rPr>
              <w:t>5</w:t>
            </w:r>
            <w:r w:rsidR="00FF2095">
              <w:rPr>
                <w:lang w:eastAsia="en-AU"/>
              </w:rPr>
              <w:t> </w:t>
            </w:r>
            <w:r w:rsidR="005E1A1D">
              <w:rPr>
                <w:lang w:eastAsia="en-AU"/>
              </w:rPr>
              <w:t>being recognised</w:t>
            </w:r>
            <w:r w:rsidRPr="00A86FCA">
              <w:rPr>
                <w:lang w:eastAsia="en-AU"/>
              </w:rPr>
              <w:t xml:space="preserve">. The </w:t>
            </w:r>
            <w:r w:rsidR="000046A2">
              <w:rPr>
                <w:lang w:eastAsia="en-AU"/>
              </w:rPr>
              <w:t xml:space="preserve">deferred tax </w:t>
            </w:r>
            <w:r w:rsidR="007A0699">
              <w:rPr>
                <w:lang w:eastAsia="en-AU"/>
              </w:rPr>
              <w:t xml:space="preserve">expense </w:t>
            </w:r>
            <w:r w:rsidR="00E5322B">
              <w:rPr>
                <w:lang w:eastAsia="en-AU"/>
              </w:rPr>
              <w:t xml:space="preserve">of </w:t>
            </w:r>
            <w:r w:rsidR="005048F7">
              <w:rPr>
                <w:lang w:eastAsia="en-AU"/>
              </w:rPr>
              <w:t>$</w:t>
            </w:r>
            <w:r w:rsidR="00E5322B">
              <w:rPr>
                <w:lang w:eastAsia="en-AU"/>
              </w:rPr>
              <w:t xml:space="preserve">5 </w:t>
            </w:r>
            <w:r w:rsidRPr="00A86FCA">
              <w:rPr>
                <w:lang w:eastAsia="en-AU"/>
              </w:rPr>
              <w:t xml:space="preserve">is added to the current tax expense </w:t>
            </w:r>
            <w:r w:rsidR="00E5322B">
              <w:rPr>
                <w:lang w:eastAsia="en-AU"/>
              </w:rPr>
              <w:t xml:space="preserve">of </w:t>
            </w:r>
            <w:r w:rsidR="005048F7">
              <w:rPr>
                <w:lang w:eastAsia="en-AU"/>
              </w:rPr>
              <w:t>$</w:t>
            </w:r>
            <w:r w:rsidR="00E5322B">
              <w:rPr>
                <w:lang w:eastAsia="en-AU"/>
              </w:rPr>
              <w:t xml:space="preserve">10 </w:t>
            </w:r>
            <w:r w:rsidR="0009250A">
              <w:rPr>
                <w:lang w:eastAsia="en-AU"/>
              </w:rPr>
              <w:t>to give</w:t>
            </w:r>
            <w:r w:rsidRPr="00A86FCA">
              <w:rPr>
                <w:lang w:eastAsia="en-AU"/>
              </w:rPr>
              <w:t xml:space="preserve"> </w:t>
            </w:r>
            <w:r w:rsidR="005048F7">
              <w:rPr>
                <w:lang w:eastAsia="en-AU"/>
              </w:rPr>
              <w:t>$</w:t>
            </w:r>
            <w:r w:rsidRPr="00A86FCA">
              <w:rPr>
                <w:lang w:eastAsia="en-AU"/>
              </w:rPr>
              <w:t>15 of covered taxes</w:t>
            </w:r>
            <w:r w:rsidR="005E2761">
              <w:rPr>
                <w:lang w:eastAsia="en-AU"/>
              </w:rPr>
              <w:t xml:space="preserve"> for Fiscal Year 1</w:t>
            </w:r>
            <w:r w:rsidRPr="00A86FCA">
              <w:rPr>
                <w:lang w:eastAsia="en-AU"/>
              </w:rPr>
              <w:t>.</w:t>
            </w:r>
          </w:p>
          <w:p w14:paraId="56F37796" w14:textId="6F239A34" w:rsidR="008C5C45" w:rsidRDefault="008C5C45" w:rsidP="00083ECF">
            <w:pPr>
              <w:rPr>
                <w:lang w:eastAsia="en-AU"/>
              </w:rPr>
            </w:pPr>
            <w:r w:rsidRPr="00A86FCA">
              <w:rPr>
                <w:lang w:eastAsia="en-AU"/>
              </w:rPr>
              <w:t>The temporary difference reverses in Fiscal Year 2</w:t>
            </w:r>
            <w:r>
              <w:rPr>
                <w:lang w:eastAsia="en-AU"/>
              </w:rPr>
              <w:t xml:space="preserve"> resulting in an </w:t>
            </w:r>
            <w:r w:rsidRPr="00A86FCA">
              <w:rPr>
                <w:lang w:eastAsia="en-AU"/>
              </w:rPr>
              <w:t xml:space="preserve">increase </w:t>
            </w:r>
            <w:r>
              <w:rPr>
                <w:lang w:eastAsia="en-AU"/>
              </w:rPr>
              <w:t xml:space="preserve">to </w:t>
            </w:r>
            <w:r w:rsidRPr="00A86FCA">
              <w:rPr>
                <w:lang w:eastAsia="en-AU"/>
              </w:rPr>
              <w:t xml:space="preserve">the current expense </w:t>
            </w:r>
            <w:r>
              <w:rPr>
                <w:lang w:eastAsia="en-AU"/>
              </w:rPr>
              <w:t>for</w:t>
            </w:r>
            <w:r w:rsidRPr="00A86FCA">
              <w:rPr>
                <w:lang w:eastAsia="en-AU"/>
              </w:rPr>
              <w:t xml:space="preserve"> this year </w:t>
            </w:r>
            <w:r>
              <w:rPr>
                <w:lang w:eastAsia="en-AU"/>
              </w:rPr>
              <w:t>of</w:t>
            </w:r>
            <w:r w:rsidRPr="00A86FCA">
              <w:rPr>
                <w:lang w:eastAsia="en-AU"/>
              </w:rPr>
              <w:t xml:space="preserve"> </w:t>
            </w:r>
            <w:r>
              <w:rPr>
                <w:lang w:eastAsia="en-AU"/>
              </w:rPr>
              <w:t>$</w:t>
            </w:r>
            <w:r w:rsidRPr="00A86FCA">
              <w:rPr>
                <w:lang w:eastAsia="en-AU"/>
              </w:rPr>
              <w:t xml:space="preserve">5 and </w:t>
            </w:r>
            <w:r>
              <w:rPr>
                <w:lang w:eastAsia="en-AU"/>
              </w:rPr>
              <w:t xml:space="preserve">a </w:t>
            </w:r>
            <w:r w:rsidRPr="00A86FCA">
              <w:rPr>
                <w:lang w:eastAsia="en-AU"/>
              </w:rPr>
              <w:t>decrease</w:t>
            </w:r>
            <w:r>
              <w:rPr>
                <w:lang w:eastAsia="en-AU"/>
              </w:rPr>
              <w:t xml:space="preserve"> to</w:t>
            </w:r>
            <w:r w:rsidRPr="00A86FCA">
              <w:rPr>
                <w:lang w:eastAsia="en-AU"/>
              </w:rPr>
              <w:t xml:space="preserve"> the deferred tax expense </w:t>
            </w:r>
            <w:r>
              <w:rPr>
                <w:lang w:eastAsia="en-AU"/>
              </w:rPr>
              <w:t>of</w:t>
            </w:r>
            <w:r w:rsidRPr="00A86FCA">
              <w:rPr>
                <w:lang w:eastAsia="en-AU"/>
              </w:rPr>
              <w:t xml:space="preserve"> </w:t>
            </w:r>
            <w:r>
              <w:rPr>
                <w:lang w:eastAsia="en-AU"/>
              </w:rPr>
              <w:t>$</w:t>
            </w:r>
            <w:r w:rsidRPr="00A86FCA">
              <w:rPr>
                <w:lang w:eastAsia="en-AU"/>
              </w:rPr>
              <w:t>5</w:t>
            </w:r>
            <w:r>
              <w:rPr>
                <w:lang w:eastAsia="en-AU"/>
              </w:rPr>
              <w:t>, that is,</w:t>
            </w:r>
            <w:r w:rsidRPr="00A86FCA">
              <w:rPr>
                <w:lang w:eastAsia="en-AU"/>
              </w:rPr>
              <w:t xml:space="preserve"> the deferred tax liability of </w:t>
            </w:r>
            <w:r>
              <w:rPr>
                <w:lang w:eastAsia="en-AU"/>
              </w:rPr>
              <w:t>$</w:t>
            </w:r>
            <w:r w:rsidRPr="00A86FCA">
              <w:rPr>
                <w:lang w:eastAsia="en-AU"/>
              </w:rPr>
              <w:t>5 unwinds. The decrease in the deferred tax expense in Fiscal Year 2 offsets the increase</w:t>
            </w:r>
            <w:r w:rsidR="0062260E">
              <w:rPr>
                <w:lang w:eastAsia="en-AU"/>
              </w:rPr>
              <w:t xml:space="preserve"> </w:t>
            </w:r>
          </w:p>
        </w:tc>
      </w:tr>
      <w:bookmarkEnd w:id="38"/>
    </w:tbl>
    <w:p w14:paraId="1C082CF0" w14:textId="77777777" w:rsidR="008C5C45" w:rsidRDefault="008C5C45">
      <w:pPr>
        <w:spacing w:before="0" w:after="0"/>
        <w:jc w:val="left"/>
      </w:pPr>
      <w:r>
        <w:br w:type="page"/>
      </w:r>
    </w:p>
    <w:p w14:paraId="0CFA1472" w14:textId="77777777" w:rsidR="009B1807" w:rsidRDefault="009B1807" w:rsidP="009B1807">
      <w:pPr>
        <w:pStyle w:val="NumberedParagraph"/>
        <w:numPr>
          <w:ilvl w:val="0"/>
          <w:numId w:val="0"/>
        </w:numPr>
        <w:ind w:left="851"/>
      </w:pPr>
    </w:p>
    <w:tbl>
      <w:tblPr>
        <w:tblStyle w:val="ExampleBox"/>
        <w:tblW w:w="0" w:type="auto"/>
        <w:tblLook w:val="04A0" w:firstRow="1" w:lastRow="0" w:firstColumn="1" w:lastColumn="0" w:noHBand="0" w:noVBand="1"/>
      </w:tblPr>
      <w:tblGrid>
        <w:gridCol w:w="7917"/>
      </w:tblGrid>
      <w:tr w:rsidR="00B43F26" w14:paraId="22A05F50" w14:textId="77777777" w:rsidTr="00DC36F9">
        <w:tc>
          <w:tcPr>
            <w:tcW w:w="7917" w:type="dxa"/>
          </w:tcPr>
          <w:p w14:paraId="4C992FDE" w14:textId="2F8141CC" w:rsidR="00B43F26" w:rsidRDefault="00B43F26" w:rsidP="00DC36F9">
            <w:pPr>
              <w:rPr>
                <w:lang w:eastAsia="en-AU"/>
              </w:rPr>
            </w:pPr>
            <w:r w:rsidRPr="00A86FCA">
              <w:rPr>
                <w:lang w:eastAsia="en-AU"/>
              </w:rPr>
              <w:t>in the current tax expense</w:t>
            </w:r>
            <w:r>
              <w:rPr>
                <w:lang w:eastAsia="en-AU"/>
              </w:rPr>
              <w:t>. So if there was a current tax expense for year 2 of $10, the decrease in the deferred tax expense in that year would be deducted from this to give covered taxes of $5.</w:t>
            </w:r>
          </w:p>
          <w:p w14:paraId="2BCE4100" w14:textId="77777777" w:rsidR="00B43F26" w:rsidRDefault="00B43F26" w:rsidP="00DC36F9">
            <w:pPr>
              <w:rPr>
                <w:lang w:eastAsia="en-AU"/>
              </w:rPr>
            </w:pPr>
            <w:r>
              <w:rPr>
                <w:lang w:eastAsia="en-AU"/>
              </w:rPr>
              <w:t>Recognising the deferred tax expense in each year</w:t>
            </w:r>
            <w:r w:rsidRPr="00A86FCA">
              <w:rPr>
                <w:lang w:eastAsia="en-AU"/>
              </w:rPr>
              <w:t xml:space="preserve"> effectively brings forward the </w:t>
            </w:r>
            <w:r>
              <w:rPr>
                <w:lang w:eastAsia="en-AU"/>
              </w:rPr>
              <w:t>$</w:t>
            </w:r>
            <w:r w:rsidRPr="00A86FCA">
              <w:rPr>
                <w:lang w:eastAsia="en-AU"/>
              </w:rPr>
              <w:t xml:space="preserve">5 of tax relating to the temporary difference </w:t>
            </w:r>
            <w:r>
              <w:rPr>
                <w:lang w:eastAsia="en-AU"/>
              </w:rPr>
              <w:t xml:space="preserve">to the year </w:t>
            </w:r>
            <w:r w:rsidRPr="00A86FCA">
              <w:rPr>
                <w:lang w:eastAsia="en-AU"/>
              </w:rPr>
              <w:t>when the deferred tax liability is first recognised</w:t>
            </w:r>
            <w:r>
              <w:rPr>
                <w:lang w:eastAsia="en-AU"/>
              </w:rPr>
              <w:t xml:space="preserve"> (rather than the year when the tax is actually paid)</w:t>
            </w:r>
            <w:r w:rsidRPr="00A86FCA">
              <w:rPr>
                <w:lang w:eastAsia="en-AU"/>
              </w:rPr>
              <w:t>.</w:t>
            </w:r>
          </w:p>
        </w:tc>
      </w:tr>
    </w:tbl>
    <w:p w14:paraId="42F6809B" w14:textId="0F105172" w:rsidR="00241076" w:rsidRDefault="00241076" w:rsidP="001728A5">
      <w:pPr>
        <w:pStyle w:val="NumberedParagraph"/>
      </w:pPr>
      <w:r>
        <w:t>There are</w:t>
      </w:r>
      <w:r w:rsidDel="00A8530F">
        <w:t xml:space="preserve"> </w:t>
      </w:r>
      <w:r>
        <w:t>some modifications to an entity’s deferred tax accounting used in its financial statements, which ensure the outcomes are appropriate for the GloBE.</w:t>
      </w:r>
    </w:p>
    <w:p w14:paraId="637AD89A" w14:textId="52E15C35" w:rsidR="00241076" w:rsidRPr="00AC018D" w:rsidRDefault="00241076" w:rsidP="00AC018D">
      <w:pPr>
        <w:pStyle w:val="Heading3"/>
        <w:rPr>
          <w:lang w:val="en-GB" w:eastAsia="en-AU"/>
        </w:rPr>
      </w:pPr>
      <w:r w:rsidRPr="00AC018D">
        <w:rPr>
          <w:lang w:val="en-GB" w:eastAsia="en-AU"/>
        </w:rPr>
        <w:t xml:space="preserve">Revaluing </w:t>
      </w:r>
      <w:r w:rsidR="00A16C40">
        <w:rPr>
          <w:lang w:val="en-GB" w:eastAsia="en-AU"/>
        </w:rPr>
        <w:t>d</w:t>
      </w:r>
      <w:r w:rsidRPr="00AC018D">
        <w:rPr>
          <w:lang w:val="en-GB" w:eastAsia="en-AU"/>
        </w:rPr>
        <w:t xml:space="preserve">eferred </w:t>
      </w:r>
      <w:r w:rsidR="00A16C40">
        <w:rPr>
          <w:lang w:val="en-GB" w:eastAsia="en-AU"/>
        </w:rPr>
        <w:t>t</w:t>
      </w:r>
      <w:r w:rsidRPr="00AC018D">
        <w:rPr>
          <w:lang w:val="en-GB" w:eastAsia="en-AU"/>
        </w:rPr>
        <w:t>axes</w:t>
      </w:r>
    </w:p>
    <w:p w14:paraId="44F7D7A9" w14:textId="4CC85828" w:rsidR="00241076" w:rsidRDefault="00241076" w:rsidP="001728A5">
      <w:pPr>
        <w:pStyle w:val="NumberedParagraph"/>
      </w:pPr>
      <w:r>
        <w:t xml:space="preserve">The Model Rules require </w:t>
      </w:r>
      <w:r w:rsidR="00566BA9">
        <w:t xml:space="preserve">the </w:t>
      </w:r>
      <w:r>
        <w:t xml:space="preserve">deferred tax </w:t>
      </w:r>
      <w:r w:rsidR="001A543C">
        <w:t>expense</w:t>
      </w:r>
      <w:r w:rsidR="00D90D07">
        <w:t xml:space="preserve"> for financial reporting purposes</w:t>
      </w:r>
      <w:r>
        <w:t xml:space="preserve"> to be valued at the lower of the minimum rate and the applicable tax rate. This ensures that there is no top</w:t>
      </w:r>
      <w:r w:rsidR="00A70522">
        <w:t>-</w:t>
      </w:r>
      <w:r>
        <w:t>up in respect of the timing difference where the local tax rate is above the minimum rate, without enabling additional upfront credits for DTLs to shelter other exempt income in that year.</w:t>
      </w:r>
    </w:p>
    <w:tbl>
      <w:tblPr>
        <w:tblStyle w:val="ExampleBox"/>
        <w:tblW w:w="0" w:type="auto"/>
        <w:tblLook w:val="04A0" w:firstRow="1" w:lastRow="0" w:firstColumn="1" w:lastColumn="0" w:noHBand="0" w:noVBand="1"/>
      </w:tblPr>
      <w:tblGrid>
        <w:gridCol w:w="7917"/>
      </w:tblGrid>
      <w:tr w:rsidR="00BE156A" w14:paraId="03C0CCBF" w14:textId="77777777" w:rsidTr="00A1232E">
        <w:tc>
          <w:tcPr>
            <w:tcW w:w="7917" w:type="dxa"/>
          </w:tcPr>
          <w:p w14:paraId="34589CF7" w14:textId="4B66CBF9" w:rsidR="00BE156A" w:rsidRPr="00C1406D" w:rsidRDefault="00BE156A" w:rsidP="00A1232E">
            <w:pPr>
              <w:pStyle w:val="Caption"/>
              <w:jc w:val="both"/>
            </w:pPr>
            <w:bookmarkStart w:id="39" w:name="_Hlk96955196"/>
            <w:r w:rsidRPr="00C1406D">
              <w:t xml:space="preserve">Example </w:t>
            </w:r>
            <w:r w:rsidR="00910D6B" w:rsidRPr="00C1406D">
              <w:t>2</w:t>
            </w:r>
            <w:r w:rsidRPr="00C1406D">
              <w:t>: Revaluing deferred taxes</w:t>
            </w:r>
          </w:p>
          <w:p w14:paraId="26A74FFC" w14:textId="53E3ADEB" w:rsidR="005E4A80" w:rsidRDefault="00BE156A" w:rsidP="008143BF">
            <w:pPr>
              <w:rPr>
                <w:lang w:eastAsia="en-AU"/>
              </w:rPr>
            </w:pPr>
            <w:r w:rsidRPr="00C1406D">
              <w:rPr>
                <w:lang w:eastAsia="en-AU"/>
              </w:rPr>
              <w:t xml:space="preserve">A constituent entity has a temporary difference between accounting and tax of </w:t>
            </w:r>
            <w:r w:rsidR="00F02CD2" w:rsidRPr="00C1406D">
              <w:rPr>
                <w:lang w:eastAsia="en-AU"/>
              </w:rPr>
              <w:t>$</w:t>
            </w:r>
            <w:r w:rsidRPr="00C1406D">
              <w:rPr>
                <w:lang w:eastAsia="en-AU"/>
              </w:rPr>
              <w:t>100 for</w:t>
            </w:r>
            <w:r w:rsidRPr="00BE156A">
              <w:rPr>
                <w:lang w:eastAsia="en-AU"/>
              </w:rPr>
              <w:t xml:space="preserve"> the Fiscal Year due to immediately expensing an asset under the local tax rules </w:t>
            </w:r>
            <w:r w:rsidR="004C22EE">
              <w:rPr>
                <w:lang w:eastAsia="en-AU"/>
              </w:rPr>
              <w:t>where it is resident</w:t>
            </w:r>
            <w:r w:rsidRPr="00BE156A">
              <w:rPr>
                <w:lang w:eastAsia="en-AU"/>
              </w:rPr>
              <w:t xml:space="preserve">. The local tax rate is 28% so the constituent entity recognises a deferred tax liability of </w:t>
            </w:r>
            <w:r w:rsidR="000513C2">
              <w:rPr>
                <w:lang w:eastAsia="en-AU"/>
              </w:rPr>
              <w:t>$</w:t>
            </w:r>
            <w:r w:rsidRPr="00BE156A">
              <w:rPr>
                <w:lang w:eastAsia="en-AU"/>
              </w:rPr>
              <w:t xml:space="preserve">28 for accounting purposes which increases the deferred tax expense by </w:t>
            </w:r>
            <w:r w:rsidR="000513C2">
              <w:rPr>
                <w:lang w:eastAsia="en-AU"/>
              </w:rPr>
              <w:t>$</w:t>
            </w:r>
            <w:r w:rsidRPr="00BE156A">
              <w:rPr>
                <w:lang w:eastAsia="en-AU"/>
              </w:rPr>
              <w:t>28.</w:t>
            </w:r>
          </w:p>
          <w:p w14:paraId="179D2C7F" w14:textId="32877F53" w:rsidR="00BE156A" w:rsidRDefault="00BE156A" w:rsidP="00A1232E">
            <w:pPr>
              <w:rPr>
                <w:lang w:eastAsia="en-AU"/>
              </w:rPr>
            </w:pPr>
            <w:r w:rsidRPr="00BE156A">
              <w:rPr>
                <w:lang w:eastAsia="en-AU"/>
              </w:rPr>
              <w:t>This deferred tax expense must be recast to the minimum rate for GloBE purposes (</w:t>
            </w:r>
            <w:r w:rsidR="00BE3033">
              <w:rPr>
                <w:lang w:eastAsia="en-AU"/>
              </w:rPr>
              <w:t>$</w:t>
            </w:r>
            <w:r w:rsidRPr="00BE156A">
              <w:rPr>
                <w:lang w:eastAsia="en-AU"/>
              </w:rPr>
              <w:t xml:space="preserve">100 temporary difference x 15% = </w:t>
            </w:r>
            <w:r w:rsidR="00486C8C">
              <w:rPr>
                <w:lang w:eastAsia="en-AU"/>
              </w:rPr>
              <w:t>$</w:t>
            </w:r>
            <w:r w:rsidRPr="00BE156A">
              <w:rPr>
                <w:lang w:eastAsia="en-AU"/>
              </w:rPr>
              <w:t xml:space="preserve">15) which means covered taxes can only be increased by </w:t>
            </w:r>
            <w:r w:rsidR="00486C8C">
              <w:rPr>
                <w:lang w:eastAsia="en-AU"/>
              </w:rPr>
              <w:t>$</w:t>
            </w:r>
            <w:r w:rsidRPr="00BE156A">
              <w:rPr>
                <w:lang w:eastAsia="en-AU"/>
              </w:rPr>
              <w:t>15 due to deferred tax.</w:t>
            </w:r>
          </w:p>
        </w:tc>
      </w:tr>
    </w:tbl>
    <w:bookmarkEnd w:id="39"/>
    <w:p w14:paraId="2C67F24C" w14:textId="66C066A0" w:rsidR="00241076" w:rsidRDefault="00241076" w:rsidP="001728A5">
      <w:pPr>
        <w:pStyle w:val="NumberedParagraph"/>
      </w:pPr>
      <w:r>
        <w:t>The Model Rules also exclude certain types of deferred tax movements. These include deferred tax movements in respect of income or expenses that are excluded from GloBE income and deferred tax from uncertain tax positions.</w:t>
      </w:r>
    </w:p>
    <w:p w14:paraId="3380CCA0" w14:textId="30E7B76B" w:rsidR="00241076" w:rsidRPr="00AC018D" w:rsidRDefault="00241076" w:rsidP="00AC018D">
      <w:pPr>
        <w:pStyle w:val="Heading3"/>
        <w:rPr>
          <w:lang w:val="en-GB" w:eastAsia="en-AU"/>
        </w:rPr>
      </w:pPr>
      <w:r w:rsidRPr="00AC018D">
        <w:rPr>
          <w:lang w:val="en-GB" w:eastAsia="en-AU"/>
        </w:rPr>
        <w:t xml:space="preserve">The </w:t>
      </w:r>
      <w:r w:rsidR="00F1685D">
        <w:rPr>
          <w:lang w:val="en-GB" w:eastAsia="en-AU"/>
        </w:rPr>
        <w:t>r</w:t>
      </w:r>
      <w:r w:rsidRPr="00AC018D">
        <w:rPr>
          <w:lang w:val="en-GB" w:eastAsia="en-AU"/>
        </w:rPr>
        <w:t>ecapture</w:t>
      </w:r>
    </w:p>
    <w:p w14:paraId="282AF937" w14:textId="71A2B503" w:rsidR="00241076" w:rsidRDefault="00241076" w:rsidP="001728A5">
      <w:pPr>
        <w:pStyle w:val="NumberedParagraph"/>
      </w:pPr>
      <w:r>
        <w:t xml:space="preserve">There is a recapture rule for </w:t>
      </w:r>
      <w:r w:rsidR="00974842">
        <w:t>deferred tax liabilities (</w:t>
      </w:r>
      <w:r>
        <w:t>DTLs</w:t>
      </w:r>
      <w:r w:rsidR="00974842">
        <w:t>)</w:t>
      </w:r>
      <w:r>
        <w:t xml:space="preserve"> which applies when a DTL has not unwound within </w:t>
      </w:r>
      <w:r w:rsidR="00B1490D">
        <w:t>five</w:t>
      </w:r>
      <w:r>
        <w:t xml:space="preserve"> years of the Fiscal Year in which the DTL was originally recognised.</w:t>
      </w:r>
    </w:p>
    <w:p w14:paraId="1D8D2911" w14:textId="2E5E4246" w:rsidR="00241076" w:rsidRDefault="00241076" w:rsidP="001728A5">
      <w:pPr>
        <w:pStyle w:val="NumberedParagraph"/>
      </w:pPr>
      <w:r>
        <w:t>When the recapture applies, the MNE group is required to recompute its ETR in the year the DTL was originally recognised. This ETR is recalculated without the DTL. If the revised ETR results in a top</w:t>
      </w:r>
      <w:r w:rsidR="00A70522">
        <w:t>-</w:t>
      </w:r>
      <w:r>
        <w:t>up, this top</w:t>
      </w:r>
      <w:r w:rsidR="00A70522">
        <w:t>-</w:t>
      </w:r>
      <w:r>
        <w:t>up is added to the top</w:t>
      </w:r>
      <w:r w:rsidR="00A70522">
        <w:t>-</w:t>
      </w:r>
      <w:r>
        <w:t>up in the current year.</w:t>
      </w:r>
    </w:p>
    <w:p w14:paraId="2078E8F8" w14:textId="77777777" w:rsidR="001A710B" w:rsidRDefault="00241076" w:rsidP="001728A5">
      <w:pPr>
        <w:pStyle w:val="NumberedParagraph"/>
      </w:pPr>
      <w:r>
        <w:t>Some types of timing difference are exempt from the recapture rule. These include those in respect of</w:t>
      </w:r>
      <w:r w:rsidR="001B2C9B">
        <w:t>:</w:t>
      </w:r>
    </w:p>
    <w:p w14:paraId="2AAD243B" w14:textId="712139AA" w:rsidR="001A710B" w:rsidRPr="00D228FF" w:rsidRDefault="001A710B" w:rsidP="00D228FF">
      <w:pPr>
        <w:pStyle w:val="NumberedParagraph-BulletL1"/>
      </w:pPr>
      <w:r w:rsidRPr="00D228FF">
        <w:t>A</w:t>
      </w:r>
      <w:r w:rsidR="00241076" w:rsidRPr="00D228FF">
        <w:t>ccelerated depreciation on tangible assets</w:t>
      </w:r>
      <w:r w:rsidR="00011D6F" w:rsidRPr="00D228FF">
        <w:t>.</w:t>
      </w:r>
    </w:p>
    <w:p w14:paraId="2044F089" w14:textId="22AE1E7A" w:rsidR="00EC11FF" w:rsidRPr="00D228FF" w:rsidRDefault="001A710B" w:rsidP="00D228FF">
      <w:pPr>
        <w:pStyle w:val="NumberedParagraph-BulletL1"/>
      </w:pPr>
      <w:r w:rsidRPr="00D228FF">
        <w:t>F</w:t>
      </w:r>
      <w:r w:rsidR="00241076" w:rsidRPr="00D228FF">
        <w:t>air value accounting</w:t>
      </w:r>
      <w:r w:rsidR="00011D6F" w:rsidRPr="00D228FF">
        <w:t>.</w:t>
      </w:r>
    </w:p>
    <w:p w14:paraId="14B9D734" w14:textId="6093E4BD" w:rsidR="00EC11FF" w:rsidRPr="00D228FF" w:rsidRDefault="00EC11FF" w:rsidP="00D228FF">
      <w:pPr>
        <w:pStyle w:val="NumberedParagraph-BulletL1"/>
      </w:pPr>
      <w:r w:rsidRPr="00D228FF">
        <w:t>R</w:t>
      </w:r>
      <w:r w:rsidR="00241076" w:rsidRPr="00D228FF">
        <w:t>esearch and development expenses.</w:t>
      </w:r>
    </w:p>
    <w:p w14:paraId="386586D6" w14:textId="6FE59BBC" w:rsidR="00241076" w:rsidRDefault="00241076" w:rsidP="00607B83">
      <w:pPr>
        <w:pStyle w:val="NumberedParagraph"/>
        <w:numPr>
          <w:ilvl w:val="0"/>
          <w:numId w:val="0"/>
        </w:numPr>
        <w:ind w:left="851"/>
      </w:pPr>
      <w:r>
        <w:lastRenderedPageBreak/>
        <w:t xml:space="preserve">These timing differences do not need to be recaptured even if it takes longer </w:t>
      </w:r>
      <w:r w:rsidR="00913D78">
        <w:t>th</w:t>
      </w:r>
      <w:r>
        <w:t xml:space="preserve">an </w:t>
      </w:r>
      <w:r w:rsidR="00B1490D">
        <w:t>five</w:t>
      </w:r>
      <w:r>
        <w:t xml:space="preserve"> years for the DTL to unwind.</w:t>
      </w:r>
    </w:p>
    <w:p w14:paraId="5A0945AA" w14:textId="3385AAD5" w:rsidR="00241076" w:rsidRPr="00AC018D" w:rsidRDefault="00241076" w:rsidP="00AC018D">
      <w:pPr>
        <w:pStyle w:val="Heading3"/>
        <w:rPr>
          <w:lang w:val="en-GB" w:eastAsia="en-AU"/>
        </w:rPr>
      </w:pPr>
      <w:r w:rsidRPr="00AC018D">
        <w:rPr>
          <w:lang w:val="en-GB" w:eastAsia="en-AU"/>
        </w:rPr>
        <w:t>Losses</w:t>
      </w:r>
    </w:p>
    <w:p w14:paraId="2CAB527B" w14:textId="4040DA8F" w:rsidR="00241076" w:rsidRDefault="00241076" w:rsidP="001728A5">
      <w:pPr>
        <w:pStyle w:val="NumberedParagraph"/>
      </w:pPr>
      <w:bookmarkStart w:id="40" w:name="_Ref96330784"/>
      <w:r>
        <w:t xml:space="preserve">The timing difference rules also address </w:t>
      </w:r>
      <w:r w:rsidR="00C30113">
        <w:t xml:space="preserve">tax </w:t>
      </w:r>
      <w:r>
        <w:t>loss</w:t>
      </w:r>
      <w:r w:rsidR="00D546A5">
        <w:t>es</w:t>
      </w:r>
      <w:r>
        <w:t xml:space="preserve">. These rules are similarly based on deferred tax accounting, which means </w:t>
      </w:r>
      <w:r w:rsidR="00ED67D2">
        <w:t>covered taxes are</w:t>
      </w:r>
      <w:r>
        <w:t xml:space="preserve"> reduced (potentially to a negative number) in the year the local tax loss </w:t>
      </w:r>
      <w:proofErr w:type="gramStart"/>
      <w:r>
        <w:t>arises</w:t>
      </w:r>
      <w:proofErr w:type="gramEnd"/>
      <w:r>
        <w:t xml:space="preserve"> and a </w:t>
      </w:r>
      <w:r w:rsidR="009D2702">
        <w:t>deferred tax asset (</w:t>
      </w:r>
      <w:r>
        <w:t>DTA</w:t>
      </w:r>
      <w:r w:rsidR="009D2702">
        <w:t>)</w:t>
      </w:r>
      <w:r>
        <w:t xml:space="preserve"> is recognised. </w:t>
      </w:r>
      <w:r w:rsidR="009D1B4B">
        <w:t>Covered taxes are</w:t>
      </w:r>
      <w:r>
        <w:t xml:space="preserve"> then increased in the year that the loss is utilised, and the DTA unwinds. This is done by taking account of the deferred tax expense accrued in the financial accounts, which could be a positive or negative figure.</w:t>
      </w:r>
      <w:bookmarkEnd w:id="40"/>
    </w:p>
    <w:tbl>
      <w:tblPr>
        <w:tblStyle w:val="ExampleBox"/>
        <w:tblW w:w="0" w:type="auto"/>
        <w:tblLook w:val="04A0" w:firstRow="1" w:lastRow="0" w:firstColumn="1" w:lastColumn="0" w:noHBand="0" w:noVBand="1"/>
      </w:tblPr>
      <w:tblGrid>
        <w:gridCol w:w="7917"/>
      </w:tblGrid>
      <w:tr w:rsidR="00E16E39" w14:paraId="142AF4AA" w14:textId="77777777" w:rsidTr="00A1232E">
        <w:tc>
          <w:tcPr>
            <w:tcW w:w="7917" w:type="dxa"/>
          </w:tcPr>
          <w:p w14:paraId="696DCA4B" w14:textId="7D4401B5" w:rsidR="00E16E39" w:rsidRPr="00C1406D" w:rsidRDefault="00E16E39" w:rsidP="00A1232E">
            <w:pPr>
              <w:pStyle w:val="Caption"/>
              <w:jc w:val="both"/>
            </w:pPr>
            <w:r w:rsidRPr="00C1406D">
              <w:t xml:space="preserve">Example </w:t>
            </w:r>
            <w:r w:rsidR="00910D6B" w:rsidRPr="00C1406D">
              <w:t>3</w:t>
            </w:r>
            <w:r w:rsidRPr="00C1406D">
              <w:t xml:space="preserve">: </w:t>
            </w:r>
            <w:r w:rsidR="00983AE8" w:rsidRPr="00C1406D">
              <w:t>Losses</w:t>
            </w:r>
          </w:p>
          <w:p w14:paraId="620A95B7" w14:textId="4C7D333F" w:rsidR="005A6C04" w:rsidRDefault="006A6A02" w:rsidP="00A1232E">
            <w:pPr>
              <w:rPr>
                <w:lang w:eastAsia="en-AU"/>
              </w:rPr>
            </w:pPr>
            <w:r w:rsidRPr="00C1406D">
              <w:rPr>
                <w:lang w:eastAsia="en-AU"/>
              </w:rPr>
              <w:t>A</w:t>
            </w:r>
            <w:r w:rsidR="00983AE8" w:rsidRPr="00C1406D">
              <w:rPr>
                <w:lang w:eastAsia="en-AU"/>
              </w:rPr>
              <w:t xml:space="preserve"> constituent entity has a tax loss and GloBE loss of </w:t>
            </w:r>
            <w:r w:rsidR="00473EC8" w:rsidRPr="00C1406D">
              <w:rPr>
                <w:lang w:eastAsia="en-AU"/>
              </w:rPr>
              <w:t>$</w:t>
            </w:r>
            <w:r w:rsidR="00983AE8" w:rsidRPr="00C1406D">
              <w:rPr>
                <w:lang w:eastAsia="en-AU"/>
              </w:rPr>
              <w:t>100 in Fiscal Year 1. The local tax rate is 15% so the constituent entity recognises a loss deferred tax asset</w:t>
            </w:r>
            <w:r w:rsidR="00983AE8" w:rsidRPr="00983AE8">
              <w:rPr>
                <w:lang w:eastAsia="en-AU"/>
              </w:rPr>
              <w:t xml:space="preserve"> in this year of </w:t>
            </w:r>
            <w:r w:rsidR="00473EC8">
              <w:rPr>
                <w:lang w:eastAsia="en-AU"/>
              </w:rPr>
              <w:t>$</w:t>
            </w:r>
            <w:r w:rsidR="00983AE8" w:rsidRPr="00983AE8">
              <w:rPr>
                <w:lang w:eastAsia="en-AU"/>
              </w:rPr>
              <w:t>15 (</w:t>
            </w:r>
            <w:r w:rsidR="00473EC8">
              <w:rPr>
                <w:lang w:eastAsia="en-AU"/>
              </w:rPr>
              <w:t>$</w:t>
            </w:r>
            <w:r w:rsidR="00983AE8" w:rsidRPr="00983AE8">
              <w:rPr>
                <w:lang w:eastAsia="en-AU"/>
              </w:rPr>
              <w:t>100 tax loss x 15%).</w:t>
            </w:r>
          </w:p>
          <w:p w14:paraId="33F68A78" w14:textId="68255358" w:rsidR="00E16E39" w:rsidRDefault="00983AE8" w:rsidP="00A1232E">
            <w:pPr>
              <w:rPr>
                <w:lang w:eastAsia="en-AU"/>
              </w:rPr>
            </w:pPr>
            <w:r w:rsidRPr="00983AE8">
              <w:rPr>
                <w:lang w:eastAsia="en-AU"/>
              </w:rPr>
              <w:t xml:space="preserve">In Fiscal Year 2, the constituent entity earns </w:t>
            </w:r>
            <w:r w:rsidR="00473EC8">
              <w:rPr>
                <w:lang w:eastAsia="en-AU"/>
              </w:rPr>
              <w:t>$</w:t>
            </w:r>
            <w:r w:rsidRPr="00983AE8">
              <w:rPr>
                <w:lang w:eastAsia="en-AU"/>
              </w:rPr>
              <w:t xml:space="preserve">100 of net income for local tax purposes (before tax losses brought forward) and </w:t>
            </w:r>
            <w:r w:rsidR="00473EC8">
              <w:rPr>
                <w:lang w:eastAsia="en-AU"/>
              </w:rPr>
              <w:t>$</w:t>
            </w:r>
            <w:r w:rsidRPr="00983AE8">
              <w:rPr>
                <w:lang w:eastAsia="en-AU"/>
              </w:rPr>
              <w:t xml:space="preserve">100 of GloBE income. For accounting purposes, there is no current tax expense in Fiscal Year 2 because the tax loss brought forward of </w:t>
            </w:r>
            <w:r w:rsidR="00473EC8">
              <w:rPr>
                <w:lang w:eastAsia="en-AU"/>
              </w:rPr>
              <w:t>$</w:t>
            </w:r>
            <w:r w:rsidRPr="00983AE8">
              <w:rPr>
                <w:lang w:eastAsia="en-AU"/>
              </w:rPr>
              <w:t xml:space="preserve">100 reduces taxable income to zero, but a deferred tax expense of </w:t>
            </w:r>
            <w:r w:rsidR="00473EC8">
              <w:rPr>
                <w:lang w:eastAsia="en-AU"/>
              </w:rPr>
              <w:t>$</w:t>
            </w:r>
            <w:r w:rsidRPr="00983AE8">
              <w:rPr>
                <w:lang w:eastAsia="en-AU"/>
              </w:rPr>
              <w:t xml:space="preserve">15 is recognised because the loss deferred tax asset is written off when the tax loss is used. The deferred tax expense increases covered taxes by </w:t>
            </w:r>
            <w:r w:rsidR="00473EC8">
              <w:rPr>
                <w:lang w:eastAsia="en-AU"/>
              </w:rPr>
              <w:t>$</w:t>
            </w:r>
            <w:r w:rsidRPr="00983AE8">
              <w:rPr>
                <w:lang w:eastAsia="en-AU"/>
              </w:rPr>
              <w:t>15 in Fiscal Year 2.</w:t>
            </w:r>
            <w:r w:rsidR="00395398">
              <w:rPr>
                <w:lang w:eastAsia="en-AU"/>
              </w:rPr>
              <w:t xml:space="preserve"> </w:t>
            </w:r>
            <w:r w:rsidR="006B22A1">
              <w:rPr>
                <w:lang w:eastAsia="en-AU"/>
              </w:rPr>
              <w:t>As a result</w:t>
            </w:r>
            <w:r w:rsidR="00C1406D">
              <w:rPr>
                <w:lang w:eastAsia="en-AU"/>
              </w:rPr>
              <w:t>,</w:t>
            </w:r>
            <w:r w:rsidR="00395398">
              <w:rPr>
                <w:lang w:eastAsia="en-AU"/>
              </w:rPr>
              <w:t xml:space="preserve"> there would be no top</w:t>
            </w:r>
            <w:r w:rsidR="00532AF7">
              <w:rPr>
                <w:lang w:eastAsia="en-AU"/>
              </w:rPr>
              <w:t>-</w:t>
            </w:r>
            <w:r w:rsidR="00395398">
              <w:rPr>
                <w:lang w:eastAsia="en-AU"/>
              </w:rPr>
              <w:t>up tax in Fiscal Year 2 (or Fiscal Year 1)</w:t>
            </w:r>
          </w:p>
        </w:tc>
      </w:tr>
    </w:tbl>
    <w:p w14:paraId="52759BCE" w14:textId="5683430A" w:rsidR="00241076" w:rsidRDefault="00241076" w:rsidP="001728A5">
      <w:pPr>
        <w:pStyle w:val="NumberedParagraph"/>
      </w:pPr>
      <w:r>
        <w:t>As the DTA is based on the tax loss available under the tax rules of the local jurisdiction, there are further rules to ensure the appropriate relief is given.</w:t>
      </w:r>
    </w:p>
    <w:p w14:paraId="2E970417" w14:textId="055C9F33" w:rsidR="00241076" w:rsidRDefault="00241076" w:rsidP="001728A5">
      <w:pPr>
        <w:pStyle w:val="NumberedParagraph"/>
      </w:pPr>
      <w:r>
        <w:t>For example, the DTA could be based on an economic loss which would also be recognised in the GloBE income or loss. These losses are rightly recognised in the Model Rules to prevent top</w:t>
      </w:r>
      <w:r w:rsidR="00E61832">
        <w:t>-</w:t>
      </w:r>
      <w:r>
        <w:t xml:space="preserve">up taxes being applied </w:t>
      </w:r>
      <w:r w:rsidR="00645832">
        <w:t xml:space="preserve">in a later (profit) year </w:t>
      </w:r>
      <w:r>
        <w:t>when the MNE has not made an economic profit</w:t>
      </w:r>
      <w:r w:rsidR="00326958">
        <w:t xml:space="preserve"> over time</w:t>
      </w:r>
      <w:r>
        <w:t>. The loss could also be created by a timing difference between the accounts and the local tax system, in which case the accounting will recognise both a DTA and a DTL. Again, it is appropriate to recognise this.</w:t>
      </w:r>
    </w:p>
    <w:p w14:paraId="66CBB27E" w14:textId="52368E51" w:rsidR="00241076" w:rsidRDefault="00241076" w:rsidP="001728A5">
      <w:pPr>
        <w:pStyle w:val="NumberedParagraph"/>
      </w:pPr>
      <w:r>
        <w:t>However, the local tax loss could also be caused by certain features of that jurisdiction’s tax rules – for instance, if the jurisdiction exempted certain types of income from tax or provided tax deductions in excess of the cost incurred (‘super deductions’).</w:t>
      </w:r>
    </w:p>
    <w:p w14:paraId="1643D5FB" w14:textId="11FE89D4" w:rsidR="00241076" w:rsidRDefault="00241076" w:rsidP="001728A5">
      <w:pPr>
        <w:pStyle w:val="NumberedParagraph"/>
      </w:pPr>
      <w:r>
        <w:t>These local tax concessions are not intended to be recognised in the GloBE base and should ordinarily reduce the ETR when there is net GloBE income in the jurisdiction. However, without further rules, they would be incorporated in the GloBE base if they produced a local tax loss and the related DTA could be used for GloBE purposes.</w:t>
      </w:r>
    </w:p>
    <w:p w14:paraId="65D3CB56" w14:textId="5DD378C8" w:rsidR="0041603A" w:rsidRDefault="0041603A" w:rsidP="0041603A">
      <w:pPr>
        <w:pStyle w:val="NumberedParagraph"/>
      </w:pPr>
      <w:r>
        <w:t>There is consequently a special rule which identifies the amount of loss relief that would have been available in the jurisdiction if the DTA was based on the GloBE base rather than the local tax rules. Any losses in excess of that are deemed to be losses arising from permanent differences and give rise to an additional top</w:t>
      </w:r>
      <w:r w:rsidR="00A257F7">
        <w:t>-</w:t>
      </w:r>
      <w:r>
        <w:t>up for that year.</w:t>
      </w:r>
    </w:p>
    <w:p w14:paraId="26E2506C" w14:textId="14CD877F" w:rsidR="00495B8A" w:rsidRDefault="00495B8A" w:rsidP="00495B8A">
      <w:pPr>
        <w:pStyle w:val="NumberedParagraph"/>
      </w:pPr>
      <w:r>
        <w:t>This ensures that MNEs receive appropriate relief in the GloBE rules for economic losses and for those created through timing differences, while preventing excessive relief when the loss arises from a permanent difference.</w:t>
      </w:r>
    </w:p>
    <w:tbl>
      <w:tblPr>
        <w:tblStyle w:val="ExampleBox"/>
        <w:tblW w:w="0" w:type="auto"/>
        <w:tblLook w:val="04A0" w:firstRow="1" w:lastRow="0" w:firstColumn="1" w:lastColumn="0" w:noHBand="0" w:noVBand="1"/>
      </w:tblPr>
      <w:tblGrid>
        <w:gridCol w:w="7917"/>
      </w:tblGrid>
      <w:tr w:rsidR="00C50F5B" w14:paraId="2139A51A" w14:textId="77777777" w:rsidTr="00A1232E">
        <w:tc>
          <w:tcPr>
            <w:tcW w:w="7917" w:type="dxa"/>
          </w:tcPr>
          <w:p w14:paraId="42902143" w14:textId="3913B0B0" w:rsidR="00C50F5B" w:rsidRPr="00C1406D" w:rsidRDefault="00C50F5B" w:rsidP="00A1232E">
            <w:pPr>
              <w:pStyle w:val="Caption"/>
              <w:jc w:val="both"/>
            </w:pPr>
            <w:bookmarkStart w:id="41" w:name="_Hlk96955867"/>
            <w:r w:rsidRPr="00C1406D">
              <w:lastRenderedPageBreak/>
              <w:t xml:space="preserve">Example </w:t>
            </w:r>
            <w:r w:rsidR="00910D6B" w:rsidRPr="00C1406D">
              <w:t>4</w:t>
            </w:r>
            <w:r w:rsidRPr="00C1406D">
              <w:t>: Losses</w:t>
            </w:r>
            <w:r w:rsidR="00F063CC" w:rsidRPr="00C1406D">
              <w:t xml:space="preserve"> and permanent differences</w:t>
            </w:r>
          </w:p>
          <w:p w14:paraId="36702BFD" w14:textId="4BDC787D" w:rsidR="001C4058" w:rsidRDefault="00F063CC" w:rsidP="001C4058">
            <w:pPr>
              <w:rPr>
                <w:lang w:eastAsia="en-AU"/>
              </w:rPr>
            </w:pPr>
            <w:r w:rsidRPr="00C1406D">
              <w:rPr>
                <w:lang w:eastAsia="en-AU"/>
              </w:rPr>
              <w:t>A</w:t>
            </w:r>
            <w:r w:rsidR="00FF6BE0" w:rsidRPr="00C1406D">
              <w:rPr>
                <w:lang w:eastAsia="en-AU"/>
              </w:rPr>
              <w:t>n</w:t>
            </w:r>
            <w:r w:rsidRPr="00C1406D">
              <w:rPr>
                <w:lang w:eastAsia="en-AU"/>
              </w:rPr>
              <w:t xml:space="preserve"> MNE has one constituent entity in </w:t>
            </w:r>
            <w:r w:rsidR="00BC2F66" w:rsidRPr="00C1406D">
              <w:rPr>
                <w:lang w:eastAsia="en-AU"/>
              </w:rPr>
              <w:t>a jurisdiction which has</w:t>
            </w:r>
            <w:r w:rsidRPr="00C1406D">
              <w:rPr>
                <w:lang w:eastAsia="en-AU"/>
              </w:rPr>
              <w:t xml:space="preserve"> a tax rate of 15%. Th</w:t>
            </w:r>
            <w:r w:rsidR="0060020A" w:rsidRPr="00C1406D">
              <w:rPr>
                <w:lang w:eastAsia="en-AU"/>
              </w:rPr>
              <w:t>is</w:t>
            </w:r>
            <w:r w:rsidRPr="00C1406D">
              <w:rPr>
                <w:lang w:eastAsia="en-AU"/>
              </w:rPr>
              <w:t xml:space="preserve"> constituent entity has a GloBE loss for the Fiscal Year of </w:t>
            </w:r>
            <w:r w:rsidR="00461A0C" w:rsidRPr="00C1406D">
              <w:rPr>
                <w:lang w:eastAsia="en-AU"/>
              </w:rPr>
              <w:t>$</w:t>
            </w:r>
            <w:r w:rsidRPr="00C1406D">
              <w:rPr>
                <w:lang w:eastAsia="en-AU"/>
              </w:rPr>
              <w:t>100 but a local tax</w:t>
            </w:r>
            <w:r w:rsidRPr="00F063CC">
              <w:rPr>
                <w:lang w:eastAsia="en-AU"/>
              </w:rPr>
              <w:t xml:space="preserve"> loss of </w:t>
            </w:r>
            <w:r w:rsidR="00461A0C">
              <w:rPr>
                <w:lang w:eastAsia="en-AU"/>
              </w:rPr>
              <w:t>$</w:t>
            </w:r>
            <w:r w:rsidRPr="00F063CC">
              <w:rPr>
                <w:lang w:eastAsia="en-AU"/>
              </w:rPr>
              <w:t xml:space="preserve">200 because </w:t>
            </w:r>
            <w:r w:rsidR="00461A0C">
              <w:rPr>
                <w:lang w:eastAsia="en-AU"/>
              </w:rPr>
              <w:t>$</w:t>
            </w:r>
            <w:r w:rsidRPr="00F063CC">
              <w:rPr>
                <w:lang w:eastAsia="en-AU"/>
              </w:rPr>
              <w:t xml:space="preserve">100 of income earned is exempt for local tax purposes. The constituent entity recognises a DTA of </w:t>
            </w:r>
            <w:r w:rsidR="00AE2B4F">
              <w:rPr>
                <w:lang w:eastAsia="en-AU"/>
              </w:rPr>
              <w:t>$</w:t>
            </w:r>
            <w:r w:rsidRPr="00F063CC">
              <w:rPr>
                <w:lang w:eastAsia="en-AU"/>
              </w:rPr>
              <w:t>30</w:t>
            </w:r>
            <w:r w:rsidR="00FF2095">
              <w:rPr>
                <w:lang w:eastAsia="en-AU"/>
              </w:rPr>
              <w:t> </w:t>
            </w:r>
            <w:r w:rsidRPr="00F063CC">
              <w:rPr>
                <w:lang w:eastAsia="en-AU"/>
              </w:rPr>
              <w:t>(</w:t>
            </w:r>
            <w:r w:rsidR="00AE2B4F">
              <w:rPr>
                <w:lang w:eastAsia="en-AU"/>
              </w:rPr>
              <w:t>$</w:t>
            </w:r>
            <w:r w:rsidRPr="00F063CC">
              <w:rPr>
                <w:lang w:eastAsia="en-AU"/>
              </w:rPr>
              <w:t>200</w:t>
            </w:r>
            <w:r w:rsidR="00336585">
              <w:rPr>
                <w:lang w:eastAsia="en-AU"/>
              </w:rPr>
              <w:t> </w:t>
            </w:r>
            <w:r w:rsidRPr="00F063CC">
              <w:rPr>
                <w:lang w:eastAsia="en-AU"/>
              </w:rPr>
              <w:t>tax loss x 15% tax rate) in the Fiscal Year.</w:t>
            </w:r>
          </w:p>
          <w:p w14:paraId="2E58D6EA" w14:textId="282CC5A8" w:rsidR="00C50F5B" w:rsidRDefault="00F063CC" w:rsidP="001C4058">
            <w:pPr>
              <w:rPr>
                <w:lang w:eastAsia="en-AU"/>
              </w:rPr>
            </w:pPr>
            <w:r w:rsidRPr="00F063CC">
              <w:rPr>
                <w:lang w:eastAsia="en-AU"/>
              </w:rPr>
              <w:t xml:space="preserve">Absent an adjustment, this DTA would increase covered taxes by </w:t>
            </w:r>
            <w:r w:rsidR="00FA7FC1">
              <w:rPr>
                <w:lang w:eastAsia="en-AU"/>
              </w:rPr>
              <w:t>$</w:t>
            </w:r>
            <w:r w:rsidRPr="00F063CC">
              <w:rPr>
                <w:lang w:eastAsia="en-AU"/>
              </w:rPr>
              <w:t xml:space="preserve">30 for GloBE purposes (when the tax loss is used in the future), sheltering </w:t>
            </w:r>
            <w:r w:rsidR="00FA7FC1">
              <w:rPr>
                <w:lang w:eastAsia="en-AU"/>
              </w:rPr>
              <w:t>$</w:t>
            </w:r>
            <w:r w:rsidRPr="00F063CC">
              <w:rPr>
                <w:lang w:eastAsia="en-AU"/>
              </w:rPr>
              <w:t>200</w:t>
            </w:r>
            <w:r w:rsidR="00336585">
              <w:rPr>
                <w:lang w:eastAsia="en-AU"/>
              </w:rPr>
              <w:t> </w:t>
            </w:r>
            <w:r w:rsidRPr="00F063CC">
              <w:rPr>
                <w:lang w:eastAsia="en-AU"/>
              </w:rPr>
              <w:t xml:space="preserve">of GloBE income. This would not be appropriate because the constituent entity has only suffered an economic loss of </w:t>
            </w:r>
            <w:r w:rsidR="00FA7FC1">
              <w:rPr>
                <w:lang w:eastAsia="en-AU"/>
              </w:rPr>
              <w:t>$</w:t>
            </w:r>
            <w:r w:rsidRPr="00F063CC">
              <w:rPr>
                <w:lang w:eastAsia="en-AU"/>
              </w:rPr>
              <w:t>100. The Model Rules address this issue by charging additional top</w:t>
            </w:r>
            <w:r w:rsidR="00A70522">
              <w:rPr>
                <w:lang w:eastAsia="en-AU"/>
              </w:rPr>
              <w:t>-</w:t>
            </w:r>
            <w:r w:rsidRPr="00F063CC">
              <w:rPr>
                <w:lang w:eastAsia="en-AU"/>
              </w:rPr>
              <w:t xml:space="preserve">up tax of </w:t>
            </w:r>
            <w:r w:rsidR="00FA7FC1">
              <w:rPr>
                <w:lang w:eastAsia="en-AU"/>
              </w:rPr>
              <w:t>$</w:t>
            </w:r>
            <w:r w:rsidRPr="00F063CC">
              <w:rPr>
                <w:lang w:eastAsia="en-AU"/>
              </w:rPr>
              <w:t xml:space="preserve">15 in the Fiscal Year </w:t>
            </w:r>
            <w:r w:rsidR="00065351">
              <w:rPr>
                <w:lang w:eastAsia="en-AU"/>
              </w:rPr>
              <w:t>(</w:t>
            </w:r>
            <w:r w:rsidR="00336585">
              <w:rPr>
                <w:lang w:eastAsia="en-AU"/>
              </w:rPr>
              <w:t xml:space="preserve">that is, </w:t>
            </w:r>
            <w:r w:rsidRPr="00F063CC">
              <w:rPr>
                <w:lang w:eastAsia="en-AU"/>
              </w:rPr>
              <w:t xml:space="preserve">in the year there is </w:t>
            </w:r>
            <w:r w:rsidR="00E855F4">
              <w:rPr>
                <w:lang w:eastAsia="en-AU"/>
              </w:rPr>
              <w:t>$</w:t>
            </w:r>
            <w:r w:rsidRPr="00F063CC">
              <w:rPr>
                <w:lang w:eastAsia="en-AU"/>
              </w:rPr>
              <w:t>100 of exempt income for local tax purposes).</w:t>
            </w:r>
          </w:p>
        </w:tc>
      </w:tr>
    </w:tbl>
    <w:bookmarkEnd w:id="41"/>
    <w:p w14:paraId="6A8CBB23" w14:textId="6D563020" w:rsidR="00241076" w:rsidRDefault="00241076" w:rsidP="008620E5">
      <w:pPr>
        <w:pStyle w:val="NumberedParagraph"/>
      </w:pPr>
      <w:r>
        <w:t xml:space="preserve">There is also an election </w:t>
      </w:r>
      <w:r w:rsidR="008C4E5A">
        <w:t>which</w:t>
      </w:r>
      <w:r>
        <w:t xml:space="preserve"> allows </w:t>
      </w:r>
      <w:r w:rsidR="008C4E5A">
        <w:t>an</w:t>
      </w:r>
      <w:r>
        <w:t xml:space="preserve"> MNE to create a DTA for the purposes of the GloBE rules based on the GloBE loss in the jurisdiction multiplied by the minimum rate</w:t>
      </w:r>
      <w:r w:rsidR="008D2B85">
        <w:t xml:space="preserve">. </w:t>
      </w:r>
      <w:r w:rsidR="008C4E5A">
        <w:t xml:space="preserve">This may be useful for </w:t>
      </w:r>
      <w:r w:rsidR="002609C2">
        <w:t xml:space="preserve">MNEs with operations in zero tax countries, where the MNE would get </w:t>
      </w:r>
      <w:r w:rsidR="001D5F0C">
        <w:t>no</w:t>
      </w:r>
      <w:r w:rsidR="002609C2">
        <w:t xml:space="preserve"> benefit under a system based on deferred tax.</w:t>
      </w:r>
    </w:p>
    <w:tbl>
      <w:tblPr>
        <w:tblStyle w:val="QuestionBox"/>
        <w:tblW w:w="8779" w:type="dxa"/>
        <w:tblLook w:val="04A0" w:firstRow="1" w:lastRow="0" w:firstColumn="1" w:lastColumn="0" w:noHBand="0" w:noVBand="1"/>
      </w:tblPr>
      <w:tblGrid>
        <w:gridCol w:w="8779"/>
      </w:tblGrid>
      <w:tr w:rsidR="00241076" w14:paraId="259FDA49" w14:textId="77777777" w:rsidTr="008D2B85">
        <w:tc>
          <w:tcPr>
            <w:tcW w:w="8779" w:type="dxa"/>
          </w:tcPr>
          <w:p w14:paraId="65F8B229" w14:textId="77777777" w:rsidR="00241076" w:rsidRPr="000E77C5" w:rsidRDefault="00241076" w:rsidP="00180725">
            <w:pPr>
              <w:rPr>
                <w:rStyle w:val="Strong"/>
              </w:rPr>
            </w:pPr>
            <w:r w:rsidRPr="000E77C5">
              <w:rPr>
                <w:rStyle w:val="Strong"/>
              </w:rPr>
              <w:t>Question</w:t>
            </w:r>
            <w:r>
              <w:rPr>
                <w:rStyle w:val="Strong"/>
              </w:rPr>
              <w:t>s</w:t>
            </w:r>
            <w:r w:rsidRPr="000E77C5">
              <w:rPr>
                <w:rStyle w:val="Strong"/>
              </w:rPr>
              <w:t xml:space="preserve"> for submitters</w:t>
            </w:r>
          </w:p>
          <w:p w14:paraId="3D489C45" w14:textId="16DE4DD1" w:rsidR="00241076" w:rsidRPr="00B07886" w:rsidRDefault="00B07886" w:rsidP="0047608F">
            <w:pPr>
              <w:pStyle w:val="ListBullet"/>
              <w:rPr>
                <w:b/>
              </w:rPr>
            </w:pPr>
            <w:r>
              <w:t>Do you have comments on the rules to address timing differences including whether there are any uncertainties around how the rules operate that could be further clarified in domestic law?</w:t>
            </w:r>
          </w:p>
        </w:tc>
      </w:tr>
    </w:tbl>
    <w:p w14:paraId="39B7434E" w14:textId="77777777" w:rsidR="00985FEF" w:rsidRPr="006C7F33" w:rsidRDefault="00985FEF" w:rsidP="006C7F33">
      <w:pPr>
        <w:pStyle w:val="Heading3"/>
        <w:rPr>
          <w:lang w:val="en-GB" w:eastAsia="en-AU"/>
        </w:rPr>
      </w:pPr>
      <w:r w:rsidRPr="006C7F33">
        <w:rPr>
          <w:lang w:val="en-GB" w:eastAsia="en-AU"/>
        </w:rPr>
        <w:t>Assigning taxes to a jurisdiction</w:t>
      </w:r>
    </w:p>
    <w:p w14:paraId="3116958E" w14:textId="0A822A69" w:rsidR="00985FEF" w:rsidRDefault="00985FEF" w:rsidP="009D3C74">
      <w:pPr>
        <w:pStyle w:val="NumberedParagraph"/>
      </w:pPr>
      <w:r>
        <w:t>As with the rules allocating income</w:t>
      </w:r>
      <w:r w:rsidR="00CF5ED4">
        <w:t xml:space="preserve"> between jurisdictions</w:t>
      </w:r>
      <w:r>
        <w:t xml:space="preserve">, the Model Rules contain </w:t>
      </w:r>
      <w:r w:rsidR="00CF5ED4">
        <w:t xml:space="preserve">similar </w:t>
      </w:r>
      <w:r>
        <w:t xml:space="preserve">rules </w:t>
      </w:r>
      <w:r w:rsidR="00CF5ED4">
        <w:t xml:space="preserve">allocating </w:t>
      </w:r>
      <w:r>
        <w:t xml:space="preserve">certain covered taxes. These generally seek to assign the tax to the jurisdiction </w:t>
      </w:r>
      <w:r w:rsidR="00CF5ED4">
        <w:t xml:space="preserve">to which the income is allocated </w:t>
      </w:r>
      <w:r>
        <w:t xml:space="preserve">so that all of the taxes paid on this income are </w:t>
      </w:r>
      <w:proofErr w:type="gramStart"/>
      <w:r>
        <w:t>taken into account</w:t>
      </w:r>
      <w:proofErr w:type="gramEnd"/>
      <w:r>
        <w:t>.</w:t>
      </w:r>
    </w:p>
    <w:p w14:paraId="69981C18" w14:textId="77777777" w:rsidR="00985FEF" w:rsidRDefault="00985FEF" w:rsidP="009D3C74">
      <w:pPr>
        <w:pStyle w:val="NumberedParagraph"/>
      </w:pPr>
      <w:r>
        <w:t>For example, taxes paid by a (head office) entity on the profits of its permanent establishments are assigned to the jurisdiction where the permanent establishment is located. Similarly, CFC charges are ‘pushed down’ to the CFC so that the tax and income are aligned. There are similar rules to assign taxes for transparent entities, hybrid entities and reverse hybrids.</w:t>
      </w:r>
    </w:p>
    <w:p w14:paraId="7E1B37D6" w14:textId="3EA1C002" w:rsidR="00985FEF" w:rsidRDefault="006C2522" w:rsidP="009D3C74">
      <w:pPr>
        <w:pStyle w:val="NumberedParagraph"/>
      </w:pPr>
      <w:r>
        <w:t>T</w:t>
      </w:r>
      <w:r w:rsidR="00985FEF">
        <w:t xml:space="preserve">here is a limit on the extent to which CFC tax charges and taxes on hybrid entities can be pushed down where the tax </w:t>
      </w:r>
      <w:r w:rsidR="00CF5ED4">
        <w:t>i</w:t>
      </w:r>
      <w:r w:rsidR="00985FEF">
        <w:t>s charged in respect of passive income. In these cases, the tax can only be pushed down to achieve the minimum rate on that income. Any tax that is not pushed down is included in the covered tax calculation for the owner that was subject to the tax charge.</w:t>
      </w:r>
    </w:p>
    <w:p w14:paraId="7515D77F" w14:textId="5E4FD99A" w:rsidR="00486836" w:rsidRDefault="00985FEF" w:rsidP="009D3C74">
      <w:pPr>
        <w:pStyle w:val="NumberedParagraph"/>
        <w:rPr>
          <w:lang w:eastAsia="en-US"/>
        </w:rPr>
      </w:pPr>
      <w:r>
        <w:t xml:space="preserve">Withholding taxes are generally assigned to the constituent entity who recognises the income in </w:t>
      </w:r>
      <w:r w:rsidR="00CF5ED4">
        <w:t>its</w:t>
      </w:r>
      <w:r>
        <w:t xml:space="preserve"> financial accounts rather than the entity that deducts the tax on payment. There is an exception for withholding taxes on dividends paid to other constituent entities, which also applies to net basis taxes on dividend income</w:t>
      </w:r>
      <w:r w:rsidR="00C028F0">
        <w:t xml:space="preserve">. </w:t>
      </w:r>
      <w:r>
        <w:t xml:space="preserve">Both of these taxes are assigned to the entity that paid the </w:t>
      </w:r>
      <w:r w:rsidR="003B2570">
        <w:t xml:space="preserve">taxable </w:t>
      </w:r>
      <w:r>
        <w:t>distribution. The logic is that these taxes can be seen as an additional tax on the profit of the distributing entity.</w:t>
      </w:r>
    </w:p>
    <w:tbl>
      <w:tblPr>
        <w:tblStyle w:val="QuestionBox"/>
        <w:tblW w:w="8779" w:type="dxa"/>
        <w:tblLook w:val="04A0" w:firstRow="1" w:lastRow="0" w:firstColumn="1" w:lastColumn="0" w:noHBand="0" w:noVBand="1"/>
      </w:tblPr>
      <w:tblGrid>
        <w:gridCol w:w="8779"/>
      </w:tblGrid>
      <w:tr w:rsidR="00534F97" w14:paraId="58D60ED7" w14:textId="77777777" w:rsidTr="00595624">
        <w:tc>
          <w:tcPr>
            <w:tcW w:w="8779" w:type="dxa"/>
          </w:tcPr>
          <w:p w14:paraId="75040FE0" w14:textId="27043D87" w:rsidR="00534F97" w:rsidRPr="000E77C5" w:rsidRDefault="00534F97" w:rsidP="00180725">
            <w:pPr>
              <w:rPr>
                <w:rStyle w:val="Strong"/>
              </w:rPr>
            </w:pPr>
            <w:r w:rsidRPr="000E77C5">
              <w:rPr>
                <w:rStyle w:val="Strong"/>
              </w:rPr>
              <w:lastRenderedPageBreak/>
              <w:t>Question for submitters</w:t>
            </w:r>
          </w:p>
          <w:p w14:paraId="715B5B9A" w14:textId="268E55A0" w:rsidR="00534F97" w:rsidRPr="00A82324" w:rsidRDefault="00A82324" w:rsidP="00FF2095">
            <w:pPr>
              <w:pStyle w:val="ListBullet"/>
              <w:jc w:val="left"/>
            </w:pPr>
            <w:r>
              <w:t>Do you have comments on the rules for assigning Covered Taxes to a jurisdiction?</w:t>
            </w:r>
          </w:p>
        </w:tc>
      </w:tr>
    </w:tbl>
    <w:p w14:paraId="1DC5A109" w14:textId="68C15700" w:rsidR="00916F17" w:rsidRDefault="00916F17" w:rsidP="00916F17">
      <w:pPr>
        <w:pStyle w:val="Heading2"/>
      </w:pPr>
      <w:bookmarkStart w:id="42" w:name="_Toc101095586"/>
      <w:r>
        <w:t xml:space="preserve">Step </w:t>
      </w:r>
      <w:r w:rsidR="00A8537D">
        <w:t>4</w:t>
      </w:r>
      <w:r>
        <w:t>: Calculate the ETR</w:t>
      </w:r>
      <w:bookmarkEnd w:id="42"/>
    </w:p>
    <w:p w14:paraId="149A4475" w14:textId="4A24B368" w:rsidR="00B44861" w:rsidRDefault="00916F17" w:rsidP="00A1232E">
      <w:pPr>
        <w:pStyle w:val="NumberedParagraph"/>
      </w:pPr>
      <w:r>
        <w:t xml:space="preserve">Finally, </w:t>
      </w:r>
      <w:r w:rsidRPr="00B3677A">
        <w:t xml:space="preserve">the ETR </w:t>
      </w:r>
      <w:r>
        <w:t xml:space="preserve">for a jurisdiction </w:t>
      </w:r>
      <w:r w:rsidRPr="00B3677A">
        <w:t xml:space="preserve">is </w:t>
      </w:r>
      <w:r w:rsidR="00EF24E0">
        <w:t xml:space="preserve">calculated </w:t>
      </w:r>
      <w:r w:rsidRPr="00B3677A">
        <w:t xml:space="preserve">by </w:t>
      </w:r>
      <w:r w:rsidR="00EF24E0">
        <w:t>dividing t</w:t>
      </w:r>
      <w:r>
        <w:t xml:space="preserve">he total </w:t>
      </w:r>
      <w:r w:rsidR="00F02997">
        <w:t>covered taxes</w:t>
      </w:r>
      <w:r>
        <w:t xml:space="preserve"> for a jurisdiction (</w:t>
      </w:r>
      <w:r w:rsidR="00F2027E">
        <w:t xml:space="preserve">the </w:t>
      </w:r>
      <w:r>
        <w:t xml:space="preserve">aggregate of </w:t>
      </w:r>
      <w:r w:rsidR="00650574">
        <w:t xml:space="preserve">covered taxes </w:t>
      </w:r>
      <w:r>
        <w:t xml:space="preserve">in Step </w:t>
      </w:r>
      <w:r w:rsidR="00F26009">
        <w:t xml:space="preserve">3 </w:t>
      </w:r>
      <w:r w:rsidR="00650574">
        <w:t>for each constituent entity</w:t>
      </w:r>
      <w:r>
        <w:t xml:space="preserve">) by the total GloBE income in that </w:t>
      </w:r>
      <w:r w:rsidRPr="00B3677A">
        <w:t>jurisdiction</w:t>
      </w:r>
      <w:r>
        <w:t xml:space="preserve"> (</w:t>
      </w:r>
      <w:r w:rsidR="00F2027E">
        <w:t xml:space="preserve">the </w:t>
      </w:r>
      <w:r>
        <w:t xml:space="preserve">aggregate of </w:t>
      </w:r>
      <w:r w:rsidR="008236E5">
        <w:t xml:space="preserve">the GloBE income or loss </w:t>
      </w:r>
      <w:r>
        <w:t xml:space="preserve">in Step </w:t>
      </w:r>
      <w:r w:rsidR="00F26009">
        <w:t xml:space="preserve">2 </w:t>
      </w:r>
      <w:r w:rsidR="008236E5">
        <w:t>for each constituent entity</w:t>
      </w:r>
      <w:r>
        <w:t>)</w:t>
      </w:r>
      <w:r w:rsidRPr="00B3677A">
        <w:t>.</w:t>
      </w:r>
    </w:p>
    <w:tbl>
      <w:tblPr>
        <w:tblStyle w:val="ExampleBox"/>
        <w:tblW w:w="0" w:type="auto"/>
        <w:tblLook w:val="04A0" w:firstRow="1" w:lastRow="0" w:firstColumn="1" w:lastColumn="0" w:noHBand="0" w:noVBand="1"/>
      </w:tblPr>
      <w:tblGrid>
        <w:gridCol w:w="7917"/>
      </w:tblGrid>
      <w:tr w:rsidR="00C81587" w14:paraId="70616F5D" w14:textId="77777777" w:rsidTr="00A1232E">
        <w:tc>
          <w:tcPr>
            <w:tcW w:w="7917" w:type="dxa"/>
          </w:tcPr>
          <w:p w14:paraId="7FF855EE" w14:textId="70AAD27A" w:rsidR="00C81587" w:rsidRPr="004102F0" w:rsidRDefault="00C81587" w:rsidP="00A1232E">
            <w:pPr>
              <w:pStyle w:val="Caption"/>
              <w:jc w:val="both"/>
            </w:pPr>
            <w:bookmarkStart w:id="43" w:name="_Hlk96956026"/>
            <w:r w:rsidRPr="004102F0">
              <w:t xml:space="preserve">Example </w:t>
            </w:r>
            <w:r w:rsidR="00910D6B" w:rsidRPr="004102F0">
              <w:t>5</w:t>
            </w:r>
            <w:r w:rsidRPr="004102F0">
              <w:t xml:space="preserve">: </w:t>
            </w:r>
            <w:r w:rsidR="00576AFE" w:rsidRPr="004102F0">
              <w:t xml:space="preserve">The </w:t>
            </w:r>
            <w:r w:rsidRPr="004102F0">
              <w:t>ETR calculation</w:t>
            </w:r>
          </w:p>
          <w:p w14:paraId="04841264" w14:textId="605EBE69" w:rsidR="00C81587" w:rsidRDefault="00C902B5" w:rsidP="00A1232E">
            <w:pPr>
              <w:rPr>
                <w:lang w:eastAsia="en-AU"/>
              </w:rPr>
            </w:pPr>
            <w:r w:rsidRPr="004102F0">
              <w:rPr>
                <w:lang w:eastAsia="en-AU"/>
              </w:rPr>
              <w:t xml:space="preserve">An MNE has two constituent entities in Jurisdiction A. Constituent Entity 1 has covered taxes of </w:t>
            </w:r>
            <w:r w:rsidR="00410403" w:rsidRPr="004102F0">
              <w:rPr>
                <w:snapToGrid w:val="0"/>
              </w:rPr>
              <w:t>€</w:t>
            </w:r>
            <w:r w:rsidR="005621D8" w:rsidRPr="004102F0">
              <w:rPr>
                <w:lang w:eastAsia="en-AU"/>
              </w:rPr>
              <w:t xml:space="preserve">6 </w:t>
            </w:r>
            <w:r w:rsidRPr="004102F0">
              <w:rPr>
                <w:lang w:eastAsia="en-AU"/>
              </w:rPr>
              <w:t xml:space="preserve">million and GloBE income of </w:t>
            </w:r>
            <w:r w:rsidR="00410403" w:rsidRPr="004102F0">
              <w:rPr>
                <w:snapToGrid w:val="0"/>
              </w:rPr>
              <w:t>€</w:t>
            </w:r>
            <w:r w:rsidRPr="004102F0">
              <w:rPr>
                <w:lang w:eastAsia="en-AU"/>
              </w:rPr>
              <w:t>80 million for the current Fiscal</w:t>
            </w:r>
            <w:r w:rsidRPr="00C902B5">
              <w:rPr>
                <w:lang w:eastAsia="en-AU"/>
              </w:rPr>
              <w:t xml:space="preserve"> Year, and Constituent Entity 2 has covered taxes of </w:t>
            </w:r>
            <w:r w:rsidR="00410403" w:rsidRPr="006E1F71">
              <w:rPr>
                <w:snapToGrid w:val="0"/>
              </w:rPr>
              <w:t>€</w:t>
            </w:r>
            <w:r w:rsidR="005621D8">
              <w:rPr>
                <w:snapToGrid w:val="0"/>
              </w:rPr>
              <w:t>4</w:t>
            </w:r>
            <w:r w:rsidRPr="00C902B5">
              <w:rPr>
                <w:lang w:eastAsia="en-AU"/>
              </w:rPr>
              <w:t xml:space="preserve"> million and GloBE income of </w:t>
            </w:r>
            <w:r w:rsidR="00410403" w:rsidRPr="006E1F71">
              <w:rPr>
                <w:snapToGrid w:val="0"/>
              </w:rPr>
              <w:t>€</w:t>
            </w:r>
            <w:r w:rsidR="005621D8">
              <w:rPr>
                <w:snapToGrid w:val="0"/>
              </w:rPr>
              <w:t>20</w:t>
            </w:r>
            <w:r w:rsidR="00015A6D">
              <w:rPr>
                <w:snapToGrid w:val="0"/>
              </w:rPr>
              <w:t xml:space="preserve"> </w:t>
            </w:r>
            <w:r w:rsidRPr="00C902B5">
              <w:rPr>
                <w:lang w:eastAsia="en-AU"/>
              </w:rPr>
              <w:t xml:space="preserve">million. The MNE’s ETR for Jurisdiction </w:t>
            </w:r>
            <w:r w:rsidR="00CE5F26">
              <w:rPr>
                <w:lang w:eastAsia="en-AU"/>
              </w:rPr>
              <w:t>A</w:t>
            </w:r>
            <w:r w:rsidRPr="00C902B5">
              <w:rPr>
                <w:lang w:eastAsia="en-AU"/>
              </w:rPr>
              <w:t xml:space="preserve"> is </w:t>
            </w:r>
            <w:r w:rsidR="005621D8">
              <w:rPr>
                <w:lang w:eastAsia="en-AU"/>
              </w:rPr>
              <w:t>10</w:t>
            </w:r>
            <w:r w:rsidRPr="00C902B5">
              <w:rPr>
                <w:lang w:eastAsia="en-AU"/>
              </w:rPr>
              <w:t xml:space="preserve">% (covered taxes of </w:t>
            </w:r>
            <w:r w:rsidR="00410403" w:rsidRPr="006E1F71">
              <w:rPr>
                <w:snapToGrid w:val="0"/>
              </w:rPr>
              <w:t>€</w:t>
            </w:r>
            <w:r w:rsidRPr="00C902B5">
              <w:rPr>
                <w:lang w:eastAsia="en-AU"/>
              </w:rPr>
              <w:t xml:space="preserve">10 million/GloBE income of </w:t>
            </w:r>
            <w:r w:rsidR="00410403" w:rsidRPr="006E1F71">
              <w:rPr>
                <w:snapToGrid w:val="0"/>
              </w:rPr>
              <w:t>€</w:t>
            </w:r>
            <w:r w:rsidR="007652F1">
              <w:rPr>
                <w:snapToGrid w:val="0"/>
              </w:rPr>
              <w:t>1</w:t>
            </w:r>
            <w:r w:rsidR="005621D8">
              <w:rPr>
                <w:snapToGrid w:val="0"/>
              </w:rPr>
              <w:t>00</w:t>
            </w:r>
            <w:r w:rsidRPr="00C902B5">
              <w:rPr>
                <w:lang w:eastAsia="en-AU"/>
              </w:rPr>
              <w:t xml:space="preserve"> million).</w:t>
            </w:r>
          </w:p>
          <w:p w14:paraId="750588E3" w14:textId="137DC9A5" w:rsidR="00951868" w:rsidRDefault="00951868" w:rsidP="00A1232E">
            <w:pPr>
              <w:rPr>
                <w:lang w:eastAsia="en-AU"/>
              </w:rPr>
            </w:pPr>
            <w:r w:rsidRPr="00951868">
              <w:rPr>
                <w:szCs w:val="20"/>
                <w:lang w:eastAsia="en-AU"/>
              </w:rPr>
              <w:t>On a standalone basis, Constituent Entity 1’s ETR is 7.5% (</w:t>
            </w:r>
            <w:r w:rsidRPr="00951868">
              <w:rPr>
                <w:snapToGrid w:val="0"/>
                <w:szCs w:val="20"/>
              </w:rPr>
              <w:t>€6</w:t>
            </w:r>
            <w:r w:rsidRPr="00951868">
              <w:rPr>
                <w:szCs w:val="20"/>
                <w:lang w:eastAsia="en-AU"/>
              </w:rPr>
              <w:t xml:space="preserve"> million/</w:t>
            </w:r>
            <w:r w:rsidRPr="00951868">
              <w:rPr>
                <w:snapToGrid w:val="0"/>
                <w:szCs w:val="20"/>
              </w:rPr>
              <w:t>€</w:t>
            </w:r>
            <w:r w:rsidRPr="00951868">
              <w:rPr>
                <w:szCs w:val="20"/>
                <w:lang w:eastAsia="en-AU"/>
              </w:rPr>
              <w:t>80 million) and Constituent Entity 2’s ETR is 20% (</w:t>
            </w:r>
            <w:r w:rsidRPr="00951868">
              <w:rPr>
                <w:snapToGrid w:val="0"/>
                <w:szCs w:val="20"/>
              </w:rPr>
              <w:t>€4</w:t>
            </w:r>
            <w:r w:rsidRPr="00951868">
              <w:rPr>
                <w:szCs w:val="20"/>
                <w:lang w:eastAsia="en-AU"/>
              </w:rPr>
              <w:t xml:space="preserve"> million/</w:t>
            </w:r>
            <w:r w:rsidRPr="00951868">
              <w:rPr>
                <w:snapToGrid w:val="0"/>
                <w:szCs w:val="20"/>
              </w:rPr>
              <w:t>€2</w:t>
            </w:r>
            <w:r w:rsidRPr="00951868">
              <w:rPr>
                <w:szCs w:val="20"/>
                <w:lang w:eastAsia="en-AU"/>
              </w:rPr>
              <w:t xml:space="preserve">0 million). Constituent Entity 1’s low ETR is due to tax concessions in Jurisdiction A that apply to its business activity. The GloBE rules permit outcomes within a jurisdiction to be blended which means Constituent Entity 2’s </w:t>
            </w:r>
            <w:r>
              <w:rPr>
                <w:szCs w:val="20"/>
                <w:lang w:eastAsia="en-AU"/>
              </w:rPr>
              <w:t>excess taxes (</w:t>
            </w:r>
            <w:r w:rsidR="00F445BC">
              <w:rPr>
                <w:szCs w:val="20"/>
                <w:lang w:eastAsia="en-AU"/>
              </w:rPr>
              <w:t>that is,</w:t>
            </w:r>
            <w:r w:rsidR="004B7A07">
              <w:rPr>
                <w:szCs w:val="20"/>
                <w:lang w:eastAsia="en-AU"/>
              </w:rPr>
              <w:t xml:space="preserve"> taxes in excess of 15%)</w:t>
            </w:r>
            <w:r w:rsidRPr="00951868">
              <w:rPr>
                <w:szCs w:val="20"/>
                <w:lang w:eastAsia="en-AU"/>
              </w:rPr>
              <w:t xml:space="preserve"> </w:t>
            </w:r>
            <w:r w:rsidR="004B7A07">
              <w:rPr>
                <w:szCs w:val="20"/>
                <w:lang w:eastAsia="en-AU"/>
              </w:rPr>
              <w:t xml:space="preserve">are used to </w:t>
            </w:r>
            <w:r w:rsidRPr="00951868">
              <w:rPr>
                <w:szCs w:val="20"/>
                <w:lang w:eastAsia="en-AU"/>
              </w:rPr>
              <w:t>increase the ETR for jurisdiction A.</w:t>
            </w:r>
          </w:p>
        </w:tc>
      </w:tr>
    </w:tbl>
    <w:p w14:paraId="67CB059A" w14:textId="19E05126" w:rsidR="00321368" w:rsidRDefault="00321368" w:rsidP="00321368">
      <w:pPr>
        <w:pStyle w:val="Heading2"/>
      </w:pPr>
      <w:bookmarkStart w:id="44" w:name="_Toc101095587"/>
      <w:bookmarkEnd w:id="43"/>
      <w:r>
        <w:t>Further s</w:t>
      </w:r>
      <w:r w:rsidRPr="00321368">
        <w:t xml:space="preserve">pecial rules for </w:t>
      </w:r>
      <w:r>
        <w:t>calculating ETRs</w:t>
      </w:r>
      <w:bookmarkEnd w:id="44"/>
    </w:p>
    <w:p w14:paraId="52694A90" w14:textId="7BF8FBC9" w:rsidR="00321368" w:rsidRDefault="00321368" w:rsidP="00A1232E">
      <w:pPr>
        <w:pStyle w:val="NumberedParagraph"/>
      </w:pPr>
      <w:r>
        <w:rPr>
          <w:lang w:eastAsia="en-AU"/>
        </w:rPr>
        <w:t>There</w:t>
      </w:r>
      <w:r>
        <w:t xml:space="preserve"> are </w:t>
      </w:r>
      <w:bookmarkStart w:id="45" w:name="_Hlk96951563"/>
      <w:r>
        <w:t xml:space="preserve">special rules for calculating the ETR of stateless entities, joint </w:t>
      </w:r>
      <w:proofErr w:type="gramStart"/>
      <w:r>
        <w:t>ventures</w:t>
      </w:r>
      <w:proofErr w:type="gramEnd"/>
      <w:r>
        <w:t xml:space="preserve"> and minority-owned constituent entities</w:t>
      </w:r>
      <w:bookmarkEnd w:id="45"/>
      <w:r>
        <w:t>.</w:t>
      </w:r>
    </w:p>
    <w:p w14:paraId="6C76AA18" w14:textId="77777777" w:rsidR="007E5E3B" w:rsidRPr="00243C7D" w:rsidRDefault="007E5E3B" w:rsidP="007E5E3B">
      <w:pPr>
        <w:pStyle w:val="Heading3"/>
        <w:rPr>
          <w:lang w:eastAsia="en-AU"/>
        </w:rPr>
      </w:pPr>
      <w:r w:rsidRPr="00243C7D">
        <w:rPr>
          <w:lang w:eastAsia="en-AU"/>
        </w:rPr>
        <w:t>Stateless entities</w:t>
      </w:r>
    </w:p>
    <w:p w14:paraId="1F684BB7" w14:textId="77777777" w:rsidR="007E5E3B" w:rsidRPr="00243C7D" w:rsidRDefault="007E5E3B" w:rsidP="007E5E3B">
      <w:pPr>
        <w:pStyle w:val="NumberedParagraph"/>
        <w:rPr>
          <w:lang w:eastAsia="en-AU"/>
        </w:rPr>
      </w:pPr>
      <w:r w:rsidRPr="00243C7D">
        <w:rPr>
          <w:lang w:eastAsia="en-AU"/>
        </w:rPr>
        <w:t>The ETR is calculated for each individual stateless entity (</w:t>
      </w:r>
      <w:r>
        <w:rPr>
          <w:lang w:eastAsia="en-AU"/>
        </w:rPr>
        <w:t xml:space="preserve">for example, </w:t>
      </w:r>
      <w:r w:rsidRPr="00243C7D">
        <w:rPr>
          <w:lang w:eastAsia="en-AU"/>
        </w:rPr>
        <w:t>a reverse hybrid) without any blending with other entities.</w:t>
      </w:r>
    </w:p>
    <w:p w14:paraId="7F2D5BA8" w14:textId="77777777" w:rsidR="007E5E3B" w:rsidRPr="00243C7D" w:rsidRDefault="007E5E3B" w:rsidP="007E5E3B">
      <w:pPr>
        <w:pStyle w:val="Heading3"/>
        <w:rPr>
          <w:lang w:eastAsia="en-AU"/>
        </w:rPr>
      </w:pPr>
      <w:r w:rsidRPr="00243C7D">
        <w:rPr>
          <w:lang w:eastAsia="en-AU"/>
        </w:rPr>
        <w:t>Investment entities</w:t>
      </w:r>
    </w:p>
    <w:p w14:paraId="0A22345F" w14:textId="3C07CD80" w:rsidR="007E5E3B" w:rsidRPr="00243C7D" w:rsidRDefault="007E5E3B" w:rsidP="007E5E3B">
      <w:pPr>
        <w:pStyle w:val="NumberedParagraph"/>
        <w:rPr>
          <w:lang w:eastAsia="en-AU"/>
        </w:rPr>
      </w:pPr>
      <w:r w:rsidRPr="00243C7D">
        <w:rPr>
          <w:lang w:eastAsia="en-AU"/>
        </w:rPr>
        <w:t>Chapter 7 of the Model Rules provides different rules for calculating the ETR of investment entities (</w:t>
      </w:r>
      <w:r w:rsidR="00653468">
        <w:rPr>
          <w:lang w:eastAsia="en-AU"/>
        </w:rPr>
        <w:t>that is,</w:t>
      </w:r>
      <w:r w:rsidRPr="00243C7D">
        <w:rPr>
          <w:lang w:eastAsia="en-AU"/>
        </w:rPr>
        <w:t xml:space="preserve"> investment funds, insurance investment entities and real estate investment entities) which do not qualify as excluded entities.</w:t>
      </w:r>
    </w:p>
    <w:p w14:paraId="5D3FC932" w14:textId="3CAC4FFC" w:rsidR="007E5E3B" w:rsidRPr="00243C7D" w:rsidRDefault="007E5E3B" w:rsidP="007E5E3B">
      <w:pPr>
        <w:pStyle w:val="NumberedParagraph"/>
        <w:rPr>
          <w:lang w:eastAsia="en-AU"/>
        </w:rPr>
      </w:pPr>
      <w:r w:rsidRPr="00243C7D">
        <w:rPr>
          <w:lang w:eastAsia="en-AU"/>
        </w:rPr>
        <w:t xml:space="preserve">Investment entities are required to calculate their ETR on a standalone basis without aggregating their results with other constituent entities in the jurisdiction. There is an exception to this standalone treatment </w:t>
      </w:r>
      <w:r w:rsidR="00AE4B4C">
        <w:rPr>
          <w:lang w:eastAsia="en-AU"/>
        </w:rPr>
        <w:t>–</w:t>
      </w:r>
      <w:r w:rsidRPr="00243C7D">
        <w:rPr>
          <w:lang w:eastAsia="en-AU"/>
        </w:rPr>
        <w:t xml:space="preserve"> where more than one investment entity is located in the jurisdiction their results must be combined to compute the ETR</w:t>
      </w:r>
      <w:r>
        <w:rPr>
          <w:lang w:eastAsia="en-AU"/>
        </w:rPr>
        <w:t xml:space="preserve"> for those entities</w:t>
      </w:r>
      <w:r w:rsidRPr="00243C7D">
        <w:rPr>
          <w:lang w:eastAsia="en-AU"/>
        </w:rPr>
        <w:t>.</w:t>
      </w:r>
    </w:p>
    <w:p w14:paraId="73167534" w14:textId="77777777" w:rsidR="007E5E3B" w:rsidRPr="00243C7D" w:rsidRDefault="007E5E3B" w:rsidP="007E5E3B">
      <w:pPr>
        <w:pStyle w:val="NumberedParagraph"/>
        <w:rPr>
          <w:lang w:eastAsia="en-AU"/>
        </w:rPr>
      </w:pPr>
      <w:r w:rsidRPr="00243C7D">
        <w:rPr>
          <w:lang w:eastAsia="en-AU"/>
        </w:rPr>
        <w:t xml:space="preserve">The ETR calculation is also based on the MNE’s share of the GloBE income and covered taxes of the </w:t>
      </w:r>
      <w:r>
        <w:rPr>
          <w:lang w:eastAsia="en-AU"/>
        </w:rPr>
        <w:t xml:space="preserve">investment </w:t>
      </w:r>
      <w:r w:rsidRPr="00243C7D">
        <w:rPr>
          <w:lang w:eastAsia="en-AU"/>
        </w:rPr>
        <w:t>entity, and therefore excludes any income or taxes which belong to minority shareholders.</w:t>
      </w:r>
    </w:p>
    <w:p w14:paraId="3F9B3743" w14:textId="77777777" w:rsidR="007E5E3B" w:rsidRPr="00243C7D" w:rsidRDefault="007E5E3B" w:rsidP="007E5E3B">
      <w:pPr>
        <w:pStyle w:val="NumberedParagraph"/>
        <w:rPr>
          <w:lang w:eastAsia="en-AU"/>
        </w:rPr>
      </w:pPr>
      <w:r w:rsidRPr="00243C7D">
        <w:rPr>
          <w:lang w:eastAsia="en-AU"/>
        </w:rPr>
        <w:lastRenderedPageBreak/>
        <w:t>The MNE can elect to treat the investment entity as a transparent entity for the purposes of the GloBE where the owner of the investment entity is subject to tax on a mark to market basis on the fair value of its interest in the entity. Where the election is made, the income and any taxes associated with that income will be included in the owner jurisdiction’s ETR calculation.</w:t>
      </w:r>
    </w:p>
    <w:p w14:paraId="40A3EA6B" w14:textId="4333BB7E" w:rsidR="007E5E3B" w:rsidRPr="00243C7D" w:rsidRDefault="007E5E3B" w:rsidP="007E5E3B">
      <w:pPr>
        <w:pStyle w:val="NumberedParagraph"/>
        <w:rPr>
          <w:lang w:eastAsia="en-AU"/>
        </w:rPr>
      </w:pPr>
      <w:r w:rsidRPr="00243C7D">
        <w:rPr>
          <w:lang w:eastAsia="en-AU"/>
        </w:rPr>
        <w:t xml:space="preserve">Alternatively, an MNE can elect to apply the Taxable Distribution Method to investment entities. Under this method, an investment entity owner includes distributions </w:t>
      </w:r>
      <w:r w:rsidR="00372273">
        <w:rPr>
          <w:lang w:eastAsia="en-AU"/>
        </w:rPr>
        <w:t>it</w:t>
      </w:r>
      <w:r w:rsidRPr="00243C7D">
        <w:rPr>
          <w:lang w:eastAsia="en-AU"/>
        </w:rPr>
        <w:t xml:space="preserve"> receive</w:t>
      </w:r>
      <w:r w:rsidR="00372273">
        <w:rPr>
          <w:lang w:eastAsia="en-AU"/>
        </w:rPr>
        <w:t>s</w:t>
      </w:r>
      <w:r w:rsidRPr="00243C7D">
        <w:rPr>
          <w:lang w:eastAsia="en-AU"/>
        </w:rPr>
        <w:t xml:space="preserve"> of the investment entity’s income in </w:t>
      </w:r>
      <w:r w:rsidR="00DC3019">
        <w:rPr>
          <w:lang w:eastAsia="en-AU"/>
        </w:rPr>
        <w:t>its</w:t>
      </w:r>
      <w:r w:rsidRPr="00243C7D">
        <w:rPr>
          <w:lang w:eastAsia="en-AU"/>
        </w:rPr>
        <w:t xml:space="preserve"> GloBE income, and undistributed income is included in the GloBE income of the investment entity and subject to top-up tax at a rate of 15%. Further details of this method are in Article 7.6 of the Model Rules.</w:t>
      </w:r>
    </w:p>
    <w:p w14:paraId="6B64E5FB" w14:textId="77777777" w:rsidR="007E5E3B" w:rsidRPr="00243C7D" w:rsidRDefault="007E5E3B" w:rsidP="007E5E3B">
      <w:pPr>
        <w:pStyle w:val="Heading3"/>
        <w:rPr>
          <w:lang w:eastAsia="en-AU"/>
        </w:rPr>
      </w:pPr>
      <w:r w:rsidRPr="00243C7D">
        <w:rPr>
          <w:lang w:eastAsia="en-AU"/>
        </w:rPr>
        <w:t>Joint ventures</w:t>
      </w:r>
    </w:p>
    <w:p w14:paraId="18D7C998" w14:textId="77777777" w:rsidR="007E5E3B" w:rsidRPr="00243C7D" w:rsidRDefault="007E5E3B" w:rsidP="007E5E3B">
      <w:pPr>
        <w:pStyle w:val="NumberedParagraph"/>
        <w:rPr>
          <w:lang w:eastAsia="en-AU"/>
        </w:rPr>
      </w:pPr>
      <w:r w:rsidRPr="00243C7D">
        <w:rPr>
          <w:lang w:eastAsia="en-AU"/>
        </w:rPr>
        <w:t>The GloBE rules also apply to Joint Ventures which are at least 50% owned by the MNE group, unless the Joint Venture is an excluded entity or is itself an MNE group in scope of the GloBE rules.</w:t>
      </w:r>
    </w:p>
    <w:p w14:paraId="295D85FD" w14:textId="32ACB029" w:rsidR="007E5E3B" w:rsidRPr="00243C7D" w:rsidRDefault="007E5E3B" w:rsidP="007E5E3B">
      <w:pPr>
        <w:pStyle w:val="NumberedParagraph"/>
        <w:rPr>
          <w:lang w:eastAsia="en-AU"/>
        </w:rPr>
      </w:pPr>
      <w:r w:rsidRPr="00243C7D">
        <w:rPr>
          <w:lang w:eastAsia="en-AU"/>
        </w:rPr>
        <w:t>Article 6.4 of the Model Rules requires the Joint Venture to calculate the ETR and any top</w:t>
      </w:r>
      <w:r w:rsidR="00A70522">
        <w:rPr>
          <w:lang w:eastAsia="en-AU"/>
        </w:rPr>
        <w:t>-</w:t>
      </w:r>
      <w:r w:rsidRPr="00243C7D">
        <w:rPr>
          <w:lang w:eastAsia="en-AU"/>
        </w:rPr>
        <w:t>up taxes of its Joint Venture subsidiaries which together are referred to as the JV group. This includes the entities which are consolidated in the Joint Venture’s consolidated financial statements or that would be if such statements were prepared.</w:t>
      </w:r>
    </w:p>
    <w:p w14:paraId="03EA167A" w14:textId="77777777" w:rsidR="007E5E3B" w:rsidRPr="00243C7D" w:rsidRDefault="007E5E3B" w:rsidP="007E5E3B">
      <w:pPr>
        <w:pStyle w:val="NumberedParagraph"/>
        <w:rPr>
          <w:lang w:eastAsia="en-AU"/>
        </w:rPr>
      </w:pPr>
      <w:r>
        <w:rPr>
          <w:lang w:eastAsia="en-AU"/>
        </w:rPr>
        <w:t>T</w:t>
      </w:r>
      <w:r w:rsidRPr="00243C7D">
        <w:rPr>
          <w:lang w:eastAsia="en-AU"/>
        </w:rPr>
        <w:t>he profits and taxes of the J</w:t>
      </w:r>
      <w:r>
        <w:rPr>
          <w:lang w:eastAsia="en-AU"/>
        </w:rPr>
        <w:t>V group</w:t>
      </w:r>
      <w:r w:rsidRPr="00243C7D">
        <w:rPr>
          <w:lang w:eastAsia="en-AU"/>
        </w:rPr>
        <w:t xml:space="preserve"> are not blended with other constituent entities in the MNE group. The ETR of the JV group is calculated separately from the rest of the MNE group to address the practical challenges both the MNE Group and the Joint Venture would experience in computing a full jurisdictional ETR </w:t>
      </w:r>
      <w:r>
        <w:rPr>
          <w:lang w:eastAsia="en-AU"/>
        </w:rPr>
        <w:t>for entities both within and outside of the JV</w:t>
      </w:r>
      <w:r w:rsidRPr="00243C7D">
        <w:rPr>
          <w:lang w:eastAsia="en-AU"/>
        </w:rPr>
        <w:t>.</w:t>
      </w:r>
    </w:p>
    <w:p w14:paraId="466CF873" w14:textId="77777777" w:rsidR="007E5E3B" w:rsidRPr="00243C7D" w:rsidRDefault="007E5E3B" w:rsidP="007E5E3B">
      <w:pPr>
        <w:pStyle w:val="Heading3"/>
        <w:rPr>
          <w:lang w:eastAsia="en-AU"/>
        </w:rPr>
      </w:pPr>
      <w:r w:rsidRPr="00243C7D">
        <w:rPr>
          <w:lang w:eastAsia="en-AU"/>
        </w:rPr>
        <w:t>Minority owned constituent entities</w:t>
      </w:r>
    </w:p>
    <w:p w14:paraId="5D841B1C" w14:textId="284D67AC" w:rsidR="007E5E3B" w:rsidRPr="00243C7D" w:rsidRDefault="00824CB4" w:rsidP="007E5E3B">
      <w:pPr>
        <w:pStyle w:val="NumberedParagraph"/>
        <w:rPr>
          <w:lang w:eastAsia="en-AU"/>
        </w:rPr>
      </w:pPr>
      <w:r>
        <w:rPr>
          <w:lang w:eastAsia="en-AU"/>
        </w:rPr>
        <w:t>F</w:t>
      </w:r>
      <w:r w:rsidR="007E5E3B" w:rsidRPr="00243C7D">
        <w:rPr>
          <w:lang w:eastAsia="en-AU"/>
        </w:rPr>
        <w:t>inancial standards can require entities to be consolidated even though the parent has less than 50% of the rights to profits.</w:t>
      </w:r>
    </w:p>
    <w:p w14:paraId="3010D804" w14:textId="3CDFCD02" w:rsidR="007E5E3B" w:rsidRPr="00243C7D" w:rsidRDefault="007E5E3B" w:rsidP="007E5E3B">
      <w:pPr>
        <w:pStyle w:val="NumberedParagraph"/>
        <w:rPr>
          <w:lang w:eastAsia="en-AU"/>
        </w:rPr>
      </w:pPr>
      <w:r w:rsidRPr="00243C7D">
        <w:rPr>
          <w:lang w:eastAsia="en-AU"/>
        </w:rPr>
        <w:t>For example, a UPE could own 51% of a constituent entity which owns 51% of a second constituent entity, giving the UPE control of the second constituent entity for accounting purposes despite only owning 26%.</w:t>
      </w:r>
    </w:p>
    <w:p w14:paraId="113BD8F0" w14:textId="77777777" w:rsidR="007E5E3B" w:rsidRPr="00243C7D" w:rsidRDefault="007E5E3B" w:rsidP="007E5E3B">
      <w:pPr>
        <w:pStyle w:val="NumberedParagraph"/>
        <w:rPr>
          <w:lang w:eastAsia="en-AU"/>
        </w:rPr>
      </w:pPr>
      <w:r w:rsidRPr="00243C7D">
        <w:rPr>
          <w:lang w:eastAsia="en-AU"/>
        </w:rPr>
        <w:t>The Model Rules include special provisions for entities where the ultimate parent holds 30% or less of the ownership rights in an entity it consolidates.</w:t>
      </w:r>
    </w:p>
    <w:p w14:paraId="3FFE2D9A" w14:textId="77777777" w:rsidR="007E5E3B" w:rsidRPr="00243C7D" w:rsidRDefault="007E5E3B" w:rsidP="007E5E3B">
      <w:pPr>
        <w:pStyle w:val="NumberedParagraph"/>
        <w:rPr>
          <w:lang w:eastAsia="en-AU"/>
        </w:rPr>
      </w:pPr>
      <w:r w:rsidRPr="00243C7D">
        <w:rPr>
          <w:lang w:eastAsia="en-AU"/>
        </w:rPr>
        <w:t>These rules require the ETR of these entities and their subsidiaries to be calculated separately from any other constituent entities in the MNE group.</w:t>
      </w:r>
    </w:p>
    <w:p w14:paraId="65D1D7ED" w14:textId="5A807FC1" w:rsidR="0098609D" w:rsidRDefault="00675E4D" w:rsidP="00675E4D">
      <w:pPr>
        <w:pStyle w:val="Heading1"/>
      </w:pPr>
      <w:r>
        <w:lastRenderedPageBreak/>
        <w:br/>
      </w:r>
      <w:r>
        <w:br/>
      </w:r>
      <w:bookmarkStart w:id="46" w:name="_Toc101095588"/>
      <w:r>
        <w:t>Calculating the top-up tax</w:t>
      </w:r>
      <w:bookmarkEnd w:id="46"/>
    </w:p>
    <w:p w14:paraId="2019673C" w14:textId="77777777" w:rsidR="00243C7D" w:rsidRPr="00243C7D" w:rsidRDefault="00243C7D" w:rsidP="00243C7D">
      <w:pPr>
        <w:pStyle w:val="Heading2"/>
        <w:rPr>
          <w:lang w:eastAsia="en-AU"/>
        </w:rPr>
      </w:pPr>
      <w:bookmarkStart w:id="47" w:name="_Toc101095589"/>
      <w:r w:rsidRPr="00243C7D">
        <w:rPr>
          <w:lang w:eastAsia="en-AU"/>
        </w:rPr>
        <w:t>Overview</w:t>
      </w:r>
      <w:bookmarkEnd w:id="47"/>
    </w:p>
    <w:p w14:paraId="7AA57F4B" w14:textId="7436ACB0" w:rsidR="00243C7D" w:rsidRPr="00243C7D" w:rsidRDefault="00243C7D" w:rsidP="00E2230B">
      <w:pPr>
        <w:pStyle w:val="NumberedParagraph"/>
        <w:rPr>
          <w:lang w:eastAsia="en-AU"/>
        </w:rPr>
      </w:pPr>
      <w:r w:rsidRPr="00243C7D">
        <w:rPr>
          <w:lang w:eastAsia="en-AU"/>
        </w:rPr>
        <w:t xml:space="preserve">When the ETR in a </w:t>
      </w:r>
      <w:r w:rsidR="00582CF1">
        <w:rPr>
          <w:lang w:eastAsia="en-AU"/>
        </w:rPr>
        <w:t>country</w:t>
      </w:r>
      <w:r w:rsidRPr="00243C7D">
        <w:rPr>
          <w:lang w:eastAsia="en-AU"/>
        </w:rPr>
        <w:t xml:space="preserve"> is below the 15% minimum rate, the next step is to determine how much top-up tax is owed</w:t>
      </w:r>
      <w:r w:rsidR="00582CF1">
        <w:rPr>
          <w:lang w:eastAsia="en-AU"/>
        </w:rPr>
        <w:t xml:space="preserve"> in respect of each entity in the country</w:t>
      </w:r>
      <w:r w:rsidRPr="00243C7D">
        <w:rPr>
          <w:lang w:eastAsia="en-AU"/>
        </w:rPr>
        <w:t>.</w:t>
      </w:r>
    </w:p>
    <w:p w14:paraId="470FD490" w14:textId="44A2AD44" w:rsidR="00243C7D" w:rsidRPr="00243C7D" w:rsidRDefault="00243C7D" w:rsidP="00E2230B">
      <w:pPr>
        <w:pStyle w:val="NumberedParagraph"/>
        <w:rPr>
          <w:lang w:eastAsia="en-AU"/>
        </w:rPr>
      </w:pPr>
      <w:r w:rsidRPr="00243C7D">
        <w:rPr>
          <w:lang w:eastAsia="en-AU"/>
        </w:rPr>
        <w:t>To do this, MNEs must work out the top-up tax percentage, which is the difference between the minimum rate and the ETR in the jurisdiction. That top-up tax percentage is applied to the MNE’s GloBE income in the jurisdiction, after deducting a substance-based income exclusion, to calculate the jurisdictional top-up tax. Finally, the jurisdictional top-up tax is allocated amongst the constituent entities located in the jurisdiction.</w:t>
      </w:r>
    </w:p>
    <w:p w14:paraId="3941BAB2" w14:textId="5B05F633" w:rsidR="00243C7D" w:rsidRPr="00243C7D" w:rsidRDefault="00243C7D" w:rsidP="00E2230B">
      <w:pPr>
        <w:pStyle w:val="NumberedParagraph"/>
        <w:rPr>
          <w:lang w:eastAsia="en-AU"/>
        </w:rPr>
      </w:pPr>
      <w:r w:rsidRPr="00243C7D">
        <w:rPr>
          <w:lang w:eastAsia="en-AU"/>
        </w:rPr>
        <w:t>This chapter explains these rules for calculating the top-up tax and allocating it amongst low tax constituent entities, which are in Chapter 5 of the Model Rules.</w:t>
      </w:r>
    </w:p>
    <w:p w14:paraId="1578539E" w14:textId="4F9D1A93" w:rsidR="00243C7D" w:rsidRPr="00243C7D" w:rsidRDefault="00243C7D" w:rsidP="00E2230B">
      <w:pPr>
        <w:pStyle w:val="Heading2"/>
        <w:rPr>
          <w:lang w:eastAsia="en-AU"/>
        </w:rPr>
      </w:pPr>
      <w:bookmarkStart w:id="48" w:name="_Toc101095590"/>
      <w:r w:rsidRPr="00243C7D">
        <w:rPr>
          <w:lang w:eastAsia="en-AU"/>
        </w:rPr>
        <w:t>The steps</w:t>
      </w:r>
      <w:bookmarkEnd w:id="48"/>
    </w:p>
    <w:p w14:paraId="7E426D11" w14:textId="0EC2F698" w:rsidR="00243C7D" w:rsidRPr="00243C7D" w:rsidRDefault="00243C7D" w:rsidP="00E2230B">
      <w:pPr>
        <w:pStyle w:val="NumberedParagraph"/>
        <w:rPr>
          <w:lang w:eastAsia="en-AU"/>
        </w:rPr>
      </w:pPr>
      <w:r w:rsidRPr="00243C7D">
        <w:rPr>
          <w:lang w:eastAsia="en-AU"/>
        </w:rPr>
        <w:t>There are several steps in the top</w:t>
      </w:r>
      <w:r w:rsidR="00FB7D72">
        <w:rPr>
          <w:lang w:eastAsia="en-AU"/>
        </w:rPr>
        <w:t>-</w:t>
      </w:r>
      <w:r w:rsidRPr="00243C7D">
        <w:rPr>
          <w:lang w:eastAsia="en-AU"/>
        </w:rPr>
        <w:t>up tax calculation in the Model Rules:</w:t>
      </w:r>
    </w:p>
    <w:p w14:paraId="555F15DE" w14:textId="3438FE04" w:rsidR="00243C7D" w:rsidRPr="00243C7D" w:rsidRDefault="00243C7D" w:rsidP="00E2230B">
      <w:pPr>
        <w:pStyle w:val="NumberedParagraph-BulletL1"/>
        <w:rPr>
          <w:lang w:eastAsia="en-AU"/>
        </w:rPr>
      </w:pPr>
      <w:r w:rsidRPr="00243C7D">
        <w:rPr>
          <w:lang w:eastAsia="en-AU"/>
        </w:rPr>
        <w:t>Identify whether there is net GloBE income in a jurisdiction</w:t>
      </w:r>
      <w:r w:rsidR="007C28D2">
        <w:rPr>
          <w:lang w:eastAsia="en-AU"/>
        </w:rPr>
        <w:t>.</w:t>
      </w:r>
    </w:p>
    <w:p w14:paraId="3BD6C6AE" w14:textId="0975A943" w:rsidR="00243C7D" w:rsidRPr="00243C7D" w:rsidRDefault="00243C7D" w:rsidP="00E2230B">
      <w:pPr>
        <w:pStyle w:val="NumberedParagraph-BulletL1"/>
        <w:rPr>
          <w:lang w:eastAsia="en-AU"/>
        </w:rPr>
      </w:pPr>
      <w:r w:rsidRPr="00243C7D">
        <w:rPr>
          <w:lang w:eastAsia="en-AU"/>
        </w:rPr>
        <w:t>Calculate the ETR in jurisdictions with net GloBE income to identify low tax jurisdictions</w:t>
      </w:r>
      <w:r w:rsidR="007C28D2">
        <w:rPr>
          <w:lang w:eastAsia="en-AU"/>
        </w:rPr>
        <w:t>.</w:t>
      </w:r>
    </w:p>
    <w:p w14:paraId="3990E3AB" w14:textId="01EB1F99" w:rsidR="00243C7D" w:rsidRPr="00243C7D" w:rsidRDefault="00243C7D" w:rsidP="00E2230B">
      <w:pPr>
        <w:pStyle w:val="NumberedParagraph-BulletL1"/>
        <w:rPr>
          <w:lang w:eastAsia="en-AU"/>
        </w:rPr>
      </w:pPr>
      <w:r w:rsidRPr="00243C7D">
        <w:rPr>
          <w:lang w:eastAsia="en-AU"/>
        </w:rPr>
        <w:t>Compute the top-up tax percentage</w:t>
      </w:r>
      <w:r w:rsidR="007C28D2">
        <w:rPr>
          <w:lang w:eastAsia="en-AU"/>
        </w:rPr>
        <w:t>.</w:t>
      </w:r>
    </w:p>
    <w:p w14:paraId="067AE487" w14:textId="3427E329" w:rsidR="00243C7D" w:rsidRPr="00243C7D" w:rsidRDefault="00243C7D" w:rsidP="00E2230B">
      <w:pPr>
        <w:pStyle w:val="NumberedParagraph-BulletL1"/>
        <w:rPr>
          <w:lang w:eastAsia="en-AU"/>
        </w:rPr>
      </w:pPr>
      <w:r w:rsidRPr="00243C7D">
        <w:rPr>
          <w:lang w:eastAsia="en-AU"/>
        </w:rPr>
        <w:t>Calculate the substance-based income exclusion</w:t>
      </w:r>
      <w:r w:rsidR="007C28D2">
        <w:rPr>
          <w:lang w:eastAsia="en-AU"/>
        </w:rPr>
        <w:t>.</w:t>
      </w:r>
    </w:p>
    <w:p w14:paraId="339DB482" w14:textId="794266AC" w:rsidR="00243C7D" w:rsidRPr="00243C7D" w:rsidRDefault="00243C7D" w:rsidP="00E2230B">
      <w:pPr>
        <w:pStyle w:val="NumberedParagraph-BulletL1"/>
        <w:rPr>
          <w:lang w:eastAsia="en-AU"/>
        </w:rPr>
      </w:pPr>
      <w:r w:rsidRPr="00243C7D">
        <w:rPr>
          <w:lang w:eastAsia="en-AU"/>
        </w:rPr>
        <w:t>Deduct the substance-based income exclusion from the net GloBE income in the jurisdiction to determine the excess income</w:t>
      </w:r>
      <w:r w:rsidR="007C28D2">
        <w:rPr>
          <w:lang w:eastAsia="en-AU"/>
        </w:rPr>
        <w:t>.</w:t>
      </w:r>
    </w:p>
    <w:p w14:paraId="4422B22C" w14:textId="1F72A3B5" w:rsidR="00243C7D" w:rsidRPr="00243C7D" w:rsidRDefault="00243C7D" w:rsidP="00E2230B">
      <w:pPr>
        <w:pStyle w:val="NumberedParagraph-BulletL1"/>
        <w:rPr>
          <w:lang w:eastAsia="en-AU"/>
        </w:rPr>
      </w:pPr>
      <w:r w:rsidRPr="00243C7D">
        <w:rPr>
          <w:lang w:eastAsia="en-AU"/>
        </w:rPr>
        <w:t>Calculate the top-up tax in the jurisdiction by:</w:t>
      </w:r>
    </w:p>
    <w:p w14:paraId="021A1EC0" w14:textId="5618157D" w:rsidR="00243C7D" w:rsidRPr="00243C7D" w:rsidRDefault="00243C7D" w:rsidP="007C66E3">
      <w:pPr>
        <w:pStyle w:val="NumberedParagraph-BulletL2"/>
        <w:rPr>
          <w:lang w:eastAsia="en-AU"/>
        </w:rPr>
      </w:pPr>
      <w:r w:rsidRPr="00243C7D">
        <w:rPr>
          <w:lang w:eastAsia="en-AU"/>
        </w:rPr>
        <w:t>multiplying the excess income by the top-up tax percentage</w:t>
      </w:r>
    </w:p>
    <w:p w14:paraId="3F1A5A48" w14:textId="708BCC67" w:rsidR="00243C7D" w:rsidRPr="00243C7D" w:rsidRDefault="00113459" w:rsidP="007C66E3">
      <w:pPr>
        <w:pStyle w:val="NumberedParagraph-BulletL2"/>
        <w:rPr>
          <w:lang w:eastAsia="en-AU"/>
        </w:rPr>
      </w:pPr>
      <w:r>
        <w:rPr>
          <w:lang w:eastAsia="en-AU"/>
        </w:rPr>
        <w:t>a</w:t>
      </w:r>
      <w:r w:rsidR="00243C7D" w:rsidRPr="00243C7D">
        <w:rPr>
          <w:lang w:eastAsia="en-AU"/>
        </w:rPr>
        <w:t>dding</w:t>
      </w:r>
      <w:r w:rsidR="00243C7D" w:rsidRPr="00243C7D" w:rsidDel="009E1BDB">
        <w:rPr>
          <w:lang w:eastAsia="en-AU"/>
        </w:rPr>
        <w:t xml:space="preserve"> </w:t>
      </w:r>
      <w:r w:rsidR="00243C7D" w:rsidRPr="00243C7D">
        <w:rPr>
          <w:lang w:eastAsia="en-AU"/>
        </w:rPr>
        <w:t xml:space="preserve">any additional top-up tax calculated in respect of earlier years, </w:t>
      </w:r>
      <w:r w:rsidR="00BD197D">
        <w:rPr>
          <w:lang w:eastAsia="en-AU"/>
        </w:rPr>
        <w:t>and</w:t>
      </w:r>
      <w:r w:rsidR="00243C7D" w:rsidRPr="00243C7D">
        <w:rPr>
          <w:lang w:eastAsia="en-AU"/>
        </w:rPr>
        <w:t xml:space="preserve"> in respect of current year permanent differences when there is a GloBE loss in a jurisdiction, and</w:t>
      </w:r>
    </w:p>
    <w:p w14:paraId="71064E47" w14:textId="706AC368" w:rsidR="00243C7D" w:rsidRPr="00243C7D" w:rsidRDefault="00113459" w:rsidP="007C66E3">
      <w:pPr>
        <w:pStyle w:val="NumberedParagraph-BulletL2"/>
        <w:rPr>
          <w:lang w:eastAsia="en-AU"/>
        </w:rPr>
      </w:pPr>
      <w:r>
        <w:rPr>
          <w:lang w:eastAsia="en-AU"/>
        </w:rPr>
        <w:t>su</w:t>
      </w:r>
      <w:r w:rsidR="00243C7D" w:rsidRPr="00243C7D">
        <w:rPr>
          <w:lang w:eastAsia="en-AU"/>
        </w:rPr>
        <w:t>btracting any taxes charged under a Qualified Domestic Minimum Tax in that jurisdiction</w:t>
      </w:r>
      <w:r w:rsidR="00865CD7">
        <w:rPr>
          <w:lang w:eastAsia="en-AU"/>
        </w:rPr>
        <w:t>.</w:t>
      </w:r>
    </w:p>
    <w:p w14:paraId="19F5EDA3" w14:textId="3BA4BFD2" w:rsidR="00243C7D" w:rsidRPr="00243C7D" w:rsidRDefault="00243C7D" w:rsidP="00E2230B">
      <w:pPr>
        <w:pStyle w:val="NumberedParagraph-BulletL1"/>
        <w:rPr>
          <w:lang w:eastAsia="en-AU"/>
        </w:rPr>
      </w:pPr>
      <w:r w:rsidRPr="00243C7D">
        <w:rPr>
          <w:lang w:eastAsia="en-AU"/>
        </w:rPr>
        <w:t xml:space="preserve">Allocate the top-up tax for the jurisdiction among </w:t>
      </w:r>
      <w:r w:rsidR="008C744F">
        <w:rPr>
          <w:lang w:eastAsia="en-AU"/>
        </w:rPr>
        <w:t>the</w:t>
      </w:r>
      <w:r w:rsidRPr="00243C7D">
        <w:rPr>
          <w:lang w:eastAsia="en-AU"/>
        </w:rPr>
        <w:t xml:space="preserve"> constituent entities</w:t>
      </w:r>
      <w:r w:rsidR="003B7F21">
        <w:rPr>
          <w:lang w:eastAsia="en-AU"/>
        </w:rPr>
        <w:t xml:space="preserve"> in that jurisdiction</w:t>
      </w:r>
      <w:r w:rsidRPr="00243C7D">
        <w:rPr>
          <w:lang w:eastAsia="en-AU"/>
        </w:rPr>
        <w:t>.</w:t>
      </w:r>
    </w:p>
    <w:p w14:paraId="3E6B98DF" w14:textId="77777777" w:rsidR="00243C7D" w:rsidRPr="00243C7D" w:rsidRDefault="00243C7D" w:rsidP="00E2230B">
      <w:pPr>
        <w:pStyle w:val="NumberedParagraph"/>
        <w:rPr>
          <w:lang w:eastAsia="en-AU"/>
        </w:rPr>
      </w:pPr>
      <w:r w:rsidRPr="00243C7D">
        <w:rPr>
          <w:lang w:eastAsia="en-AU"/>
        </w:rPr>
        <w:t>These steps are explained in more detail in the remainder of this chapter.</w:t>
      </w:r>
    </w:p>
    <w:p w14:paraId="3208D167" w14:textId="2A324F9F" w:rsidR="00243C7D" w:rsidRPr="00243C7D" w:rsidRDefault="00243C7D" w:rsidP="00032845">
      <w:pPr>
        <w:pStyle w:val="Heading2"/>
        <w:rPr>
          <w:lang w:eastAsia="en-AU"/>
        </w:rPr>
      </w:pPr>
      <w:bookmarkStart w:id="49" w:name="_Toc101095591"/>
      <w:r w:rsidRPr="00243C7D">
        <w:rPr>
          <w:lang w:eastAsia="en-AU"/>
        </w:rPr>
        <w:t>Identifying the net GloBE income</w:t>
      </w:r>
      <w:bookmarkEnd w:id="49"/>
    </w:p>
    <w:p w14:paraId="61DF4E79" w14:textId="687AE68E" w:rsidR="00243C7D" w:rsidRPr="00243C7D" w:rsidRDefault="00243C7D" w:rsidP="00032845">
      <w:pPr>
        <w:pStyle w:val="NumberedParagraph"/>
        <w:rPr>
          <w:lang w:eastAsia="en-AU"/>
        </w:rPr>
      </w:pPr>
      <w:r w:rsidRPr="00243C7D">
        <w:rPr>
          <w:lang w:eastAsia="en-AU"/>
        </w:rPr>
        <w:t>As the GloBE rules apply a minimum tax on the profits in each jurisdiction, the first step is to determine the profit in a jurisdiction. This is calculated by simply adding</w:t>
      </w:r>
      <w:r w:rsidR="00D841A3">
        <w:rPr>
          <w:lang w:eastAsia="en-AU"/>
        </w:rPr>
        <w:t xml:space="preserve"> together</w:t>
      </w:r>
      <w:r w:rsidRPr="00243C7D">
        <w:rPr>
          <w:lang w:eastAsia="en-AU"/>
        </w:rPr>
        <w:t xml:space="preserve"> the GloBE income and GloBE losses of all the constituent entities in the jurisdiction.</w:t>
      </w:r>
    </w:p>
    <w:p w14:paraId="799262FF" w14:textId="1D014DF2" w:rsidR="00243C7D" w:rsidRPr="00243C7D" w:rsidRDefault="00243C7D" w:rsidP="00032845">
      <w:pPr>
        <w:pStyle w:val="NumberedParagraph"/>
        <w:rPr>
          <w:lang w:eastAsia="en-AU"/>
        </w:rPr>
      </w:pPr>
      <w:r w:rsidRPr="00243C7D">
        <w:rPr>
          <w:lang w:eastAsia="en-AU"/>
        </w:rPr>
        <w:lastRenderedPageBreak/>
        <w:t xml:space="preserve">If </w:t>
      </w:r>
      <w:r w:rsidR="008F2F3F">
        <w:rPr>
          <w:lang w:eastAsia="en-AU"/>
        </w:rPr>
        <w:t>the result</w:t>
      </w:r>
      <w:r w:rsidR="008F2F3F" w:rsidRPr="00243C7D">
        <w:rPr>
          <w:lang w:eastAsia="en-AU"/>
        </w:rPr>
        <w:t xml:space="preserve"> </w:t>
      </w:r>
      <w:r w:rsidRPr="00243C7D">
        <w:rPr>
          <w:lang w:eastAsia="en-AU"/>
        </w:rPr>
        <w:t xml:space="preserve">is positive, the ETR will need to be calculated for that jurisdiction. The only exceptions to this are when the jurisdiction qualifies for the de minimis exclusion (which will be the case when the average GloBE revenue </w:t>
      </w:r>
      <w:r w:rsidR="00F2061A">
        <w:rPr>
          <w:lang w:eastAsia="en-AU"/>
        </w:rPr>
        <w:t>(that is, gross income before expenses)</w:t>
      </w:r>
      <w:r w:rsidRPr="00243C7D">
        <w:rPr>
          <w:lang w:eastAsia="en-AU"/>
        </w:rPr>
        <w:t xml:space="preserve"> and GloBE income</w:t>
      </w:r>
      <w:r w:rsidR="00F2061A">
        <w:rPr>
          <w:lang w:eastAsia="en-AU"/>
        </w:rPr>
        <w:t xml:space="preserve"> (that is, </w:t>
      </w:r>
      <w:r w:rsidR="006943A5">
        <w:rPr>
          <w:lang w:eastAsia="en-AU"/>
        </w:rPr>
        <w:t>net income</w:t>
      </w:r>
      <w:r w:rsidR="00F2061A">
        <w:rPr>
          <w:lang w:eastAsia="en-AU"/>
        </w:rPr>
        <w:t>)</w:t>
      </w:r>
      <w:r w:rsidRPr="00243C7D">
        <w:rPr>
          <w:lang w:eastAsia="en-AU"/>
        </w:rPr>
        <w:t xml:space="preserve"> in the jurisdiction for the current and </w:t>
      </w:r>
      <w:r w:rsidR="00E83702">
        <w:rPr>
          <w:lang w:eastAsia="en-AU"/>
        </w:rPr>
        <w:t>2</w:t>
      </w:r>
      <w:r w:rsidR="00E83702" w:rsidRPr="00243C7D">
        <w:rPr>
          <w:lang w:eastAsia="en-AU"/>
        </w:rPr>
        <w:t xml:space="preserve"> </w:t>
      </w:r>
      <w:r w:rsidRPr="00243C7D">
        <w:rPr>
          <w:lang w:eastAsia="en-AU"/>
        </w:rPr>
        <w:t>prior years are below €10</w:t>
      </w:r>
      <w:r w:rsidR="002B325F">
        <w:rPr>
          <w:lang w:eastAsia="en-AU"/>
        </w:rPr>
        <w:t xml:space="preserve"> </w:t>
      </w:r>
      <w:r w:rsidRPr="00243C7D">
        <w:rPr>
          <w:lang w:eastAsia="en-AU"/>
        </w:rPr>
        <w:t>m</w:t>
      </w:r>
      <w:r w:rsidR="002B325F">
        <w:rPr>
          <w:lang w:eastAsia="en-AU"/>
        </w:rPr>
        <w:t>illion</w:t>
      </w:r>
      <w:r w:rsidRPr="00243C7D">
        <w:rPr>
          <w:lang w:eastAsia="en-AU"/>
        </w:rPr>
        <w:t xml:space="preserve"> and €1</w:t>
      </w:r>
      <w:r w:rsidR="002B325F">
        <w:rPr>
          <w:lang w:eastAsia="en-AU"/>
        </w:rPr>
        <w:t xml:space="preserve"> </w:t>
      </w:r>
      <w:r w:rsidRPr="00243C7D">
        <w:rPr>
          <w:lang w:eastAsia="en-AU"/>
        </w:rPr>
        <w:t>m</w:t>
      </w:r>
      <w:r w:rsidR="002B325F">
        <w:rPr>
          <w:lang w:eastAsia="en-AU"/>
        </w:rPr>
        <w:t>illion</w:t>
      </w:r>
      <w:r w:rsidRPr="00243C7D">
        <w:rPr>
          <w:lang w:eastAsia="en-AU"/>
        </w:rPr>
        <w:t xml:space="preserve"> respectively) or when the jurisdiction qualifies for a GloBE safe harbour (in Chapter 8 of the Model Rules and not yet developed).</w:t>
      </w:r>
    </w:p>
    <w:p w14:paraId="3ADB1C70" w14:textId="77777777" w:rsidR="00243C7D" w:rsidRPr="00243C7D" w:rsidRDefault="00243C7D" w:rsidP="00032845">
      <w:pPr>
        <w:pStyle w:val="Heading2"/>
        <w:rPr>
          <w:lang w:eastAsia="en-AU"/>
        </w:rPr>
      </w:pPr>
      <w:bookmarkStart w:id="50" w:name="_Toc101095592"/>
      <w:r w:rsidRPr="00243C7D">
        <w:rPr>
          <w:lang w:eastAsia="en-AU"/>
        </w:rPr>
        <w:t>Calculating the ETR</w:t>
      </w:r>
      <w:bookmarkEnd w:id="50"/>
    </w:p>
    <w:p w14:paraId="1C2FACCD" w14:textId="385BD0B9" w:rsidR="00243C7D" w:rsidRPr="00243C7D" w:rsidRDefault="00243C7D" w:rsidP="002616C7">
      <w:pPr>
        <w:pStyle w:val="NumberedParagraph"/>
        <w:rPr>
          <w:lang w:eastAsia="en-AU"/>
        </w:rPr>
      </w:pPr>
      <w:r w:rsidRPr="00243C7D">
        <w:rPr>
          <w:lang w:eastAsia="en-AU"/>
        </w:rPr>
        <w:t>The next step is to calculate the ETR for the jurisdiction</w:t>
      </w:r>
      <w:r w:rsidR="003B7F21">
        <w:rPr>
          <w:lang w:eastAsia="en-AU"/>
        </w:rPr>
        <w:t xml:space="preserve"> </w:t>
      </w:r>
      <w:r w:rsidRPr="00243C7D">
        <w:rPr>
          <w:lang w:eastAsia="en-AU"/>
        </w:rPr>
        <w:t>following the process discussed in the previous chapter.</w:t>
      </w:r>
    </w:p>
    <w:p w14:paraId="55479D4A" w14:textId="4C747010" w:rsidR="00243C7D" w:rsidRPr="00243C7D" w:rsidRDefault="00243C7D" w:rsidP="008B2BE9">
      <w:pPr>
        <w:pStyle w:val="Heading2"/>
        <w:rPr>
          <w:lang w:eastAsia="en-AU"/>
        </w:rPr>
      </w:pPr>
      <w:bookmarkStart w:id="51" w:name="_Toc101095593"/>
      <w:r w:rsidRPr="00243C7D">
        <w:rPr>
          <w:lang w:eastAsia="en-AU"/>
        </w:rPr>
        <w:t>The top-up tax percentage</w:t>
      </w:r>
      <w:bookmarkEnd w:id="51"/>
    </w:p>
    <w:p w14:paraId="4E53CFCE" w14:textId="510F6004" w:rsidR="002C6567" w:rsidRDefault="00243C7D" w:rsidP="008B2BE9">
      <w:pPr>
        <w:pStyle w:val="NumberedParagraph"/>
        <w:rPr>
          <w:lang w:eastAsia="en-AU"/>
        </w:rPr>
      </w:pPr>
      <w:r w:rsidRPr="00243C7D">
        <w:rPr>
          <w:lang w:eastAsia="en-AU"/>
        </w:rPr>
        <w:t>The top</w:t>
      </w:r>
      <w:r w:rsidR="00176CAF">
        <w:rPr>
          <w:lang w:eastAsia="en-AU"/>
        </w:rPr>
        <w:t>-</w:t>
      </w:r>
      <w:r w:rsidRPr="00243C7D">
        <w:rPr>
          <w:lang w:eastAsia="en-AU"/>
        </w:rPr>
        <w:t>up tax percentage must be calculated when the ETR is below the 15%</w:t>
      </w:r>
      <w:r w:rsidR="00C700D3">
        <w:rPr>
          <w:lang w:eastAsia="en-AU"/>
        </w:rPr>
        <w:t> </w:t>
      </w:r>
      <w:r w:rsidRPr="00243C7D">
        <w:rPr>
          <w:lang w:eastAsia="en-AU"/>
        </w:rPr>
        <w:t>minimum rate. It is calculated simply by subtracting the ETR from the minimum rate and represents the additional tax rate that needs to be charged on the low taxed profits to bring the tax on those profits up to the minimum.</w:t>
      </w:r>
    </w:p>
    <w:tbl>
      <w:tblPr>
        <w:tblStyle w:val="ExampleBox"/>
        <w:tblW w:w="0" w:type="auto"/>
        <w:tblLook w:val="04A0" w:firstRow="1" w:lastRow="0" w:firstColumn="1" w:lastColumn="0" w:noHBand="0" w:noVBand="1"/>
      </w:tblPr>
      <w:tblGrid>
        <w:gridCol w:w="7917"/>
      </w:tblGrid>
      <w:tr w:rsidR="002C6567" w14:paraId="3FEDDACB" w14:textId="77777777" w:rsidTr="00A1232E">
        <w:tc>
          <w:tcPr>
            <w:tcW w:w="7917" w:type="dxa"/>
          </w:tcPr>
          <w:p w14:paraId="6C530BED" w14:textId="584BF366" w:rsidR="002C6567" w:rsidRPr="004102F0" w:rsidRDefault="002C6567" w:rsidP="00A1232E">
            <w:pPr>
              <w:pStyle w:val="Caption"/>
              <w:jc w:val="both"/>
            </w:pPr>
            <w:bookmarkStart w:id="52" w:name="_Hlk96960578"/>
            <w:r w:rsidRPr="004102F0">
              <w:t xml:space="preserve">Example </w:t>
            </w:r>
            <w:r w:rsidR="00910D6B" w:rsidRPr="004102F0">
              <w:t>6</w:t>
            </w:r>
            <w:r w:rsidRPr="004102F0">
              <w:t xml:space="preserve">: </w:t>
            </w:r>
            <w:r w:rsidR="00A03BCA" w:rsidRPr="004102F0">
              <w:t>The top-up tax percentage</w:t>
            </w:r>
          </w:p>
          <w:p w14:paraId="13D5A543" w14:textId="71006BE4" w:rsidR="009E1D2B" w:rsidRDefault="00302357" w:rsidP="00A1232E">
            <w:pPr>
              <w:rPr>
                <w:lang w:eastAsia="en-AU"/>
              </w:rPr>
            </w:pPr>
            <w:r w:rsidRPr="004102F0">
              <w:rPr>
                <w:lang w:eastAsia="en-AU"/>
              </w:rPr>
              <w:t>This example is a continuation of example</w:t>
            </w:r>
            <w:r w:rsidR="00910D6B" w:rsidRPr="004102F0">
              <w:rPr>
                <w:lang w:eastAsia="en-AU"/>
              </w:rPr>
              <w:t xml:space="preserve"> 5</w:t>
            </w:r>
            <w:r w:rsidRPr="004102F0">
              <w:rPr>
                <w:lang w:eastAsia="en-AU"/>
              </w:rPr>
              <w:t xml:space="preserve"> in the previous chapter</w:t>
            </w:r>
            <w:r w:rsidR="009E1D2B" w:rsidRPr="004102F0">
              <w:rPr>
                <w:lang w:eastAsia="en-AU"/>
              </w:rPr>
              <w:t xml:space="preserve"> involving a MNE that has two constituent entities in Jurisdiction A. Constituent</w:t>
            </w:r>
            <w:r w:rsidR="009E1D2B" w:rsidRPr="00C902B5">
              <w:rPr>
                <w:lang w:eastAsia="en-AU"/>
              </w:rPr>
              <w:t xml:space="preserve"> Entity 1 has covered taxes of </w:t>
            </w:r>
            <w:r w:rsidR="00410403" w:rsidRPr="006E1F71">
              <w:rPr>
                <w:snapToGrid w:val="0"/>
              </w:rPr>
              <w:t>€</w:t>
            </w:r>
            <w:r w:rsidR="00D10BF9">
              <w:rPr>
                <w:snapToGrid w:val="0"/>
              </w:rPr>
              <w:t>6</w:t>
            </w:r>
            <w:r w:rsidR="009E1D2B" w:rsidRPr="00C902B5">
              <w:rPr>
                <w:lang w:eastAsia="en-AU"/>
              </w:rPr>
              <w:t xml:space="preserve"> million and GloBE income of </w:t>
            </w:r>
            <w:r w:rsidR="00410403" w:rsidRPr="006E1F71">
              <w:rPr>
                <w:snapToGrid w:val="0"/>
              </w:rPr>
              <w:t>€</w:t>
            </w:r>
            <w:r w:rsidR="009E1D2B" w:rsidRPr="00C902B5">
              <w:rPr>
                <w:lang w:eastAsia="en-AU"/>
              </w:rPr>
              <w:t xml:space="preserve">80 million for the current Fiscal Year, and Constituent Entity 2 has covered taxes of </w:t>
            </w:r>
            <w:r w:rsidR="00410403" w:rsidRPr="006E1F71">
              <w:rPr>
                <w:snapToGrid w:val="0"/>
              </w:rPr>
              <w:t>€</w:t>
            </w:r>
            <w:r w:rsidR="00D10BF9">
              <w:rPr>
                <w:snapToGrid w:val="0"/>
              </w:rPr>
              <w:t>4</w:t>
            </w:r>
            <w:r w:rsidR="009E1D2B" w:rsidRPr="00C902B5">
              <w:rPr>
                <w:lang w:eastAsia="en-AU"/>
              </w:rPr>
              <w:t xml:space="preserve"> million and GloBE income of </w:t>
            </w:r>
            <w:r w:rsidR="00410403" w:rsidRPr="006E1F71">
              <w:rPr>
                <w:snapToGrid w:val="0"/>
              </w:rPr>
              <w:t>€</w:t>
            </w:r>
            <w:r w:rsidR="009E1D2B" w:rsidRPr="00C902B5">
              <w:rPr>
                <w:lang w:eastAsia="en-AU"/>
              </w:rPr>
              <w:t xml:space="preserve">20 million. The MNE’s ETR for Jurisdiction </w:t>
            </w:r>
            <w:r w:rsidR="009E1D2B">
              <w:rPr>
                <w:lang w:eastAsia="en-AU"/>
              </w:rPr>
              <w:t>A</w:t>
            </w:r>
            <w:r w:rsidR="009E1D2B" w:rsidRPr="00C902B5">
              <w:rPr>
                <w:lang w:eastAsia="en-AU"/>
              </w:rPr>
              <w:t xml:space="preserve"> is 10% (covered taxes of </w:t>
            </w:r>
            <w:r w:rsidR="00410403" w:rsidRPr="006E1F71">
              <w:rPr>
                <w:snapToGrid w:val="0"/>
              </w:rPr>
              <w:t>€</w:t>
            </w:r>
            <w:r w:rsidR="009E1D2B" w:rsidRPr="00C902B5">
              <w:rPr>
                <w:lang w:eastAsia="en-AU"/>
              </w:rPr>
              <w:t>10 million</w:t>
            </w:r>
            <w:r w:rsidR="000D4F97">
              <w:rPr>
                <w:lang w:eastAsia="en-AU"/>
              </w:rPr>
              <w:t xml:space="preserve"> </w:t>
            </w:r>
            <w:r w:rsidR="009E1D2B" w:rsidRPr="00C902B5">
              <w:rPr>
                <w:lang w:eastAsia="en-AU"/>
              </w:rPr>
              <w:t>/</w:t>
            </w:r>
            <w:r w:rsidR="000D4F97">
              <w:rPr>
                <w:lang w:eastAsia="en-AU"/>
              </w:rPr>
              <w:t xml:space="preserve"> </w:t>
            </w:r>
            <w:r w:rsidR="009E1D2B" w:rsidRPr="00C902B5">
              <w:rPr>
                <w:lang w:eastAsia="en-AU"/>
              </w:rPr>
              <w:t xml:space="preserve">GloBE income of </w:t>
            </w:r>
            <w:r w:rsidR="00410403" w:rsidRPr="006E1F71">
              <w:rPr>
                <w:snapToGrid w:val="0"/>
              </w:rPr>
              <w:t>€</w:t>
            </w:r>
            <w:r w:rsidR="009E1D2B" w:rsidRPr="00C902B5">
              <w:rPr>
                <w:lang w:eastAsia="en-AU"/>
              </w:rPr>
              <w:t>100</w:t>
            </w:r>
            <w:r w:rsidR="002B325F">
              <w:rPr>
                <w:lang w:eastAsia="en-AU"/>
              </w:rPr>
              <w:t> </w:t>
            </w:r>
            <w:r w:rsidR="009E1D2B" w:rsidRPr="00C902B5">
              <w:rPr>
                <w:lang w:eastAsia="en-AU"/>
              </w:rPr>
              <w:t>million).</w:t>
            </w:r>
          </w:p>
          <w:p w14:paraId="48FD7E94" w14:textId="469455DA" w:rsidR="00EF48AA" w:rsidRPr="00951868" w:rsidRDefault="00A03BCA" w:rsidP="00A1232E">
            <w:pPr>
              <w:rPr>
                <w:lang w:eastAsia="en-AU"/>
              </w:rPr>
            </w:pPr>
            <w:r>
              <w:rPr>
                <w:lang w:eastAsia="en-AU"/>
              </w:rPr>
              <w:t xml:space="preserve">The </w:t>
            </w:r>
            <w:r w:rsidRPr="00A03BCA">
              <w:rPr>
                <w:lang w:eastAsia="en-AU"/>
              </w:rPr>
              <w:t xml:space="preserve">top-up tax percentage </w:t>
            </w:r>
            <w:r w:rsidR="00117E0B">
              <w:rPr>
                <w:lang w:eastAsia="en-AU"/>
              </w:rPr>
              <w:t xml:space="preserve">for </w:t>
            </w:r>
            <w:r w:rsidR="00ED7935">
              <w:rPr>
                <w:lang w:eastAsia="en-AU"/>
              </w:rPr>
              <w:t>J</w:t>
            </w:r>
            <w:r w:rsidR="00117E0B">
              <w:rPr>
                <w:lang w:eastAsia="en-AU"/>
              </w:rPr>
              <w:t xml:space="preserve">urisdiction </w:t>
            </w:r>
            <w:r w:rsidR="00251361">
              <w:rPr>
                <w:lang w:eastAsia="en-AU"/>
              </w:rPr>
              <w:t>A</w:t>
            </w:r>
            <w:r w:rsidR="00ED7935">
              <w:rPr>
                <w:lang w:eastAsia="en-AU"/>
              </w:rPr>
              <w:t xml:space="preserve"> </w:t>
            </w:r>
            <w:r w:rsidR="00513C17">
              <w:rPr>
                <w:lang w:eastAsia="en-AU"/>
              </w:rPr>
              <w:t>is</w:t>
            </w:r>
            <w:r w:rsidRPr="00A03BCA">
              <w:rPr>
                <w:lang w:eastAsia="en-AU"/>
              </w:rPr>
              <w:t xml:space="preserve"> </w:t>
            </w:r>
            <w:r w:rsidR="003508A9">
              <w:rPr>
                <w:lang w:eastAsia="en-AU"/>
              </w:rPr>
              <w:t>calculated by subtracting the ETR of 1</w:t>
            </w:r>
            <w:r w:rsidR="00B12EB9">
              <w:rPr>
                <w:lang w:eastAsia="en-AU"/>
              </w:rPr>
              <w:t>0</w:t>
            </w:r>
            <w:r w:rsidR="003508A9">
              <w:rPr>
                <w:lang w:eastAsia="en-AU"/>
              </w:rPr>
              <w:t xml:space="preserve">% from the </w:t>
            </w:r>
            <w:r w:rsidR="00C1512D">
              <w:rPr>
                <w:lang w:eastAsia="en-AU"/>
              </w:rPr>
              <w:t xml:space="preserve">GloBE tax rate </w:t>
            </w:r>
            <w:r w:rsidR="00101434">
              <w:rPr>
                <w:lang w:eastAsia="en-AU"/>
              </w:rPr>
              <w:t xml:space="preserve">of </w:t>
            </w:r>
            <w:r w:rsidRPr="00A03BCA">
              <w:rPr>
                <w:lang w:eastAsia="en-AU"/>
              </w:rPr>
              <w:t>1</w:t>
            </w:r>
            <w:r w:rsidR="00101434">
              <w:rPr>
                <w:lang w:eastAsia="en-AU"/>
              </w:rPr>
              <w:t>5</w:t>
            </w:r>
            <w:r w:rsidRPr="00A03BCA">
              <w:rPr>
                <w:lang w:eastAsia="en-AU"/>
              </w:rPr>
              <w:t>%</w:t>
            </w:r>
            <w:r w:rsidR="00B83B5E">
              <w:rPr>
                <w:lang w:eastAsia="en-AU"/>
              </w:rPr>
              <w:t xml:space="preserve">. This </w:t>
            </w:r>
            <w:r w:rsidR="00574D1B">
              <w:rPr>
                <w:lang w:eastAsia="en-AU"/>
              </w:rPr>
              <w:t>results in a</w:t>
            </w:r>
            <w:r w:rsidR="00101434">
              <w:rPr>
                <w:lang w:eastAsia="en-AU"/>
              </w:rPr>
              <w:t xml:space="preserve"> top-up tax percentage for </w:t>
            </w:r>
            <w:r w:rsidR="00ED7935">
              <w:rPr>
                <w:lang w:eastAsia="en-AU"/>
              </w:rPr>
              <w:t>J</w:t>
            </w:r>
            <w:r w:rsidR="00101434">
              <w:rPr>
                <w:lang w:eastAsia="en-AU"/>
              </w:rPr>
              <w:t xml:space="preserve">urisdiction </w:t>
            </w:r>
            <w:r w:rsidR="00473717">
              <w:rPr>
                <w:lang w:eastAsia="en-AU"/>
              </w:rPr>
              <w:t>A</w:t>
            </w:r>
            <w:r w:rsidR="00ED7935">
              <w:rPr>
                <w:lang w:eastAsia="en-AU"/>
              </w:rPr>
              <w:t xml:space="preserve"> </w:t>
            </w:r>
            <w:r w:rsidR="00574D1B">
              <w:rPr>
                <w:lang w:eastAsia="en-AU"/>
              </w:rPr>
              <w:t>of</w:t>
            </w:r>
            <w:r w:rsidR="00101434">
              <w:rPr>
                <w:lang w:eastAsia="en-AU"/>
              </w:rPr>
              <w:t xml:space="preserve"> </w:t>
            </w:r>
            <w:r w:rsidR="00B12EB9">
              <w:rPr>
                <w:lang w:eastAsia="en-AU"/>
              </w:rPr>
              <w:t>5</w:t>
            </w:r>
            <w:r w:rsidR="00101434">
              <w:rPr>
                <w:lang w:eastAsia="en-AU"/>
              </w:rPr>
              <w:t>%.</w:t>
            </w:r>
          </w:p>
        </w:tc>
      </w:tr>
    </w:tbl>
    <w:p w14:paraId="26C0BBAE" w14:textId="036FDA27" w:rsidR="00243C7D" w:rsidRPr="00243C7D" w:rsidRDefault="00243C7D" w:rsidP="008B2BE9">
      <w:pPr>
        <w:pStyle w:val="Heading2"/>
        <w:rPr>
          <w:lang w:eastAsia="en-AU"/>
        </w:rPr>
      </w:pPr>
      <w:bookmarkStart w:id="53" w:name="_Toc101095594"/>
      <w:bookmarkEnd w:id="52"/>
      <w:r w:rsidRPr="00243C7D">
        <w:rPr>
          <w:lang w:eastAsia="en-AU"/>
        </w:rPr>
        <w:t>Substance-based income exclusion</w:t>
      </w:r>
      <w:bookmarkEnd w:id="53"/>
    </w:p>
    <w:p w14:paraId="7A446197" w14:textId="1A7F11AB" w:rsidR="00243C7D" w:rsidRPr="00243C7D" w:rsidRDefault="00243C7D" w:rsidP="00E6626D">
      <w:pPr>
        <w:pStyle w:val="NumberedParagraph"/>
        <w:rPr>
          <w:lang w:eastAsia="en-AU"/>
        </w:rPr>
      </w:pPr>
      <w:r w:rsidRPr="00243C7D">
        <w:rPr>
          <w:lang w:eastAsia="en-AU"/>
        </w:rPr>
        <w:t>The top-up tax percentage is applied to the net GloBE income in the jurisdiction in excess of the substance-based income exclusion. This approach ensures that the substance-based income exclusion does not inappropriately increase the ETR in the jurisdiction.</w:t>
      </w:r>
    </w:p>
    <w:p w14:paraId="1CC904E3" w14:textId="3FADD25A" w:rsidR="00243C7D" w:rsidRPr="00243C7D" w:rsidRDefault="00243C7D" w:rsidP="00E6626D">
      <w:pPr>
        <w:pStyle w:val="NumberedParagraph"/>
        <w:rPr>
          <w:lang w:eastAsia="en-AU"/>
        </w:rPr>
      </w:pPr>
      <w:r w:rsidRPr="00243C7D">
        <w:rPr>
          <w:lang w:eastAsia="en-AU"/>
        </w:rPr>
        <w:t>The substance-based income exclusion is a formulaic carve out which</w:t>
      </w:r>
      <w:r w:rsidR="00D20E3B">
        <w:rPr>
          <w:lang w:eastAsia="en-AU"/>
        </w:rPr>
        <w:t xml:space="preserve"> </w:t>
      </w:r>
      <w:r w:rsidRPr="00243C7D">
        <w:rPr>
          <w:lang w:eastAsia="en-AU"/>
        </w:rPr>
        <w:t>exclude</w:t>
      </w:r>
      <w:r w:rsidR="00AD0203">
        <w:rPr>
          <w:lang w:eastAsia="en-AU"/>
        </w:rPr>
        <w:t>s</w:t>
      </w:r>
      <w:r w:rsidRPr="00243C7D">
        <w:rPr>
          <w:lang w:eastAsia="en-AU"/>
        </w:rPr>
        <w:t xml:space="preserve"> from top-up tax a reasonable return to the level of substance in the jurisdiction. This is based on a percentage of the MNE’s payroll costs and tangible assets in the jurisdiction, on the grounds that employment costs and tangible assets tend to be relatively immobile factors of production and are therefore reasonable proxies for substantive economic activities.</w:t>
      </w:r>
    </w:p>
    <w:p w14:paraId="6CF2767B" w14:textId="652EA863" w:rsidR="00243C7D" w:rsidRPr="00243C7D" w:rsidRDefault="00243C7D" w:rsidP="00E6626D">
      <w:pPr>
        <w:pStyle w:val="Heading3"/>
        <w:rPr>
          <w:lang w:eastAsia="en-AU"/>
        </w:rPr>
      </w:pPr>
      <w:r w:rsidRPr="00243C7D">
        <w:rPr>
          <w:lang w:eastAsia="en-AU"/>
        </w:rPr>
        <w:t>The percentage</w:t>
      </w:r>
    </w:p>
    <w:p w14:paraId="288B43CC" w14:textId="5D54579C" w:rsidR="00243C7D" w:rsidRPr="00243C7D" w:rsidRDefault="00243C7D" w:rsidP="00A1232E">
      <w:pPr>
        <w:pStyle w:val="NumberedParagraph"/>
        <w:rPr>
          <w:lang w:eastAsia="en-AU"/>
        </w:rPr>
      </w:pPr>
      <w:r w:rsidRPr="00243C7D">
        <w:rPr>
          <w:lang w:eastAsia="en-AU"/>
        </w:rPr>
        <w:t>The</w:t>
      </w:r>
      <w:r w:rsidR="00D20E3B">
        <w:rPr>
          <w:lang w:eastAsia="en-AU"/>
        </w:rPr>
        <w:t xml:space="preserve"> </w:t>
      </w:r>
      <w:r w:rsidR="00D20E3B" w:rsidRPr="00243C7D">
        <w:rPr>
          <w:lang w:eastAsia="en-AU"/>
        </w:rPr>
        <w:t>substance-based income exclusion</w:t>
      </w:r>
      <w:r w:rsidR="00D20E3B">
        <w:rPr>
          <w:lang w:eastAsia="en-AU"/>
        </w:rPr>
        <w:t>, or</w:t>
      </w:r>
      <w:r w:rsidRPr="00243C7D">
        <w:rPr>
          <w:lang w:eastAsia="en-AU"/>
        </w:rPr>
        <w:t xml:space="preserve"> </w:t>
      </w:r>
      <w:r w:rsidR="00D20E3B">
        <w:rPr>
          <w:lang w:eastAsia="en-AU"/>
        </w:rPr>
        <w:t>“</w:t>
      </w:r>
      <w:r w:rsidRPr="00243C7D">
        <w:rPr>
          <w:lang w:eastAsia="en-AU"/>
        </w:rPr>
        <w:t>carve-out</w:t>
      </w:r>
      <w:r w:rsidR="00D20E3B">
        <w:rPr>
          <w:lang w:eastAsia="en-AU"/>
        </w:rPr>
        <w:t>”</w:t>
      </w:r>
      <w:r w:rsidRPr="00243C7D">
        <w:rPr>
          <w:lang w:eastAsia="en-AU"/>
        </w:rPr>
        <w:t xml:space="preserve"> will be 5% of the carrying value of the payroll costs and tangible assets in the jurisdiction. There is an increased amount in the transition period which begins from 1 January 2023 and lasts for 10 years</w:t>
      </w:r>
      <w:r w:rsidR="008D2B85">
        <w:rPr>
          <w:lang w:eastAsia="en-AU"/>
        </w:rPr>
        <w:t xml:space="preserve">. </w:t>
      </w:r>
      <w:r w:rsidRPr="00243C7D">
        <w:rPr>
          <w:lang w:eastAsia="en-AU"/>
        </w:rPr>
        <w:t xml:space="preserve">In this period, the carve-out for payroll costs is </w:t>
      </w:r>
      <w:r w:rsidRPr="00243C7D">
        <w:rPr>
          <w:lang w:eastAsia="en-AU"/>
        </w:rPr>
        <w:lastRenderedPageBreak/>
        <w:t xml:space="preserve">10% in the first year and then is reduced by 0.2% per year for the first </w:t>
      </w:r>
      <w:r w:rsidR="005F2F59">
        <w:rPr>
          <w:lang w:eastAsia="en-AU"/>
        </w:rPr>
        <w:t>5</w:t>
      </w:r>
      <w:r w:rsidR="005F2F59" w:rsidRPr="00243C7D">
        <w:rPr>
          <w:lang w:eastAsia="en-AU"/>
        </w:rPr>
        <w:t xml:space="preserve"> </w:t>
      </w:r>
      <w:r w:rsidRPr="00243C7D">
        <w:rPr>
          <w:lang w:eastAsia="en-AU"/>
        </w:rPr>
        <w:t xml:space="preserve">Fiscal Years and 0.8% per year for the remaining </w:t>
      </w:r>
      <w:r w:rsidR="005F2F59">
        <w:rPr>
          <w:lang w:eastAsia="en-AU"/>
        </w:rPr>
        <w:t>5</w:t>
      </w:r>
      <w:r w:rsidR="005F2F59" w:rsidRPr="00243C7D">
        <w:rPr>
          <w:lang w:eastAsia="en-AU"/>
        </w:rPr>
        <w:t xml:space="preserve"> </w:t>
      </w:r>
      <w:r w:rsidRPr="00243C7D">
        <w:rPr>
          <w:lang w:eastAsia="en-AU"/>
        </w:rPr>
        <w:t>Fiscal Years.</w:t>
      </w:r>
    </w:p>
    <w:p w14:paraId="0A384909" w14:textId="7F2F6971" w:rsidR="00243C7D" w:rsidRPr="00243C7D" w:rsidRDefault="00243C7D" w:rsidP="00E6626D">
      <w:pPr>
        <w:pStyle w:val="NumberedParagraph"/>
        <w:rPr>
          <w:lang w:eastAsia="en-AU"/>
        </w:rPr>
      </w:pPr>
      <w:r w:rsidRPr="00243C7D">
        <w:rPr>
          <w:lang w:eastAsia="en-AU"/>
        </w:rPr>
        <w:t xml:space="preserve">The carve out for tangible assets is 8% in the first year and then is reduced by 0.2% in the first </w:t>
      </w:r>
      <w:r w:rsidR="00287A86">
        <w:rPr>
          <w:lang w:eastAsia="en-AU"/>
        </w:rPr>
        <w:t>5</w:t>
      </w:r>
      <w:r w:rsidR="00287A86" w:rsidRPr="00243C7D">
        <w:rPr>
          <w:lang w:eastAsia="en-AU"/>
        </w:rPr>
        <w:t xml:space="preserve"> </w:t>
      </w:r>
      <w:r w:rsidRPr="00243C7D">
        <w:rPr>
          <w:lang w:eastAsia="en-AU"/>
        </w:rPr>
        <w:t xml:space="preserve">Fiscal Years and 0.4% for the remaining </w:t>
      </w:r>
      <w:r w:rsidR="00AF15B7">
        <w:rPr>
          <w:lang w:eastAsia="en-AU"/>
        </w:rPr>
        <w:t>5</w:t>
      </w:r>
      <w:r w:rsidR="00AF15B7" w:rsidRPr="00243C7D">
        <w:rPr>
          <w:lang w:eastAsia="en-AU"/>
        </w:rPr>
        <w:t xml:space="preserve"> </w:t>
      </w:r>
      <w:r w:rsidRPr="00243C7D">
        <w:rPr>
          <w:lang w:eastAsia="en-AU"/>
        </w:rPr>
        <w:t>Fiscal Years.</w:t>
      </w:r>
    </w:p>
    <w:p w14:paraId="128C3940" w14:textId="77777777" w:rsidR="00243C7D" w:rsidRPr="00243C7D" w:rsidRDefault="00243C7D" w:rsidP="00E6626D">
      <w:pPr>
        <w:pStyle w:val="Heading3"/>
        <w:rPr>
          <w:lang w:eastAsia="en-AU"/>
        </w:rPr>
      </w:pPr>
      <w:r w:rsidRPr="00243C7D">
        <w:rPr>
          <w:lang w:eastAsia="en-AU"/>
        </w:rPr>
        <w:t>Payroll costs</w:t>
      </w:r>
    </w:p>
    <w:p w14:paraId="5FE8331B" w14:textId="05232599" w:rsidR="00243C7D" w:rsidRPr="00243C7D" w:rsidRDefault="00243C7D" w:rsidP="00D62E58">
      <w:pPr>
        <w:pStyle w:val="NumberedParagraph"/>
        <w:rPr>
          <w:lang w:eastAsia="en-AU"/>
        </w:rPr>
      </w:pPr>
      <w:r w:rsidRPr="00243C7D">
        <w:rPr>
          <w:lang w:eastAsia="en-AU"/>
        </w:rPr>
        <w:t>The payroll carve out for a jurisdiction is based on payroll costs for a constituent entity that is located in the jurisdiction, for employees and independent contractors that perform activities for the MNE in that jurisdiction.</w:t>
      </w:r>
    </w:p>
    <w:p w14:paraId="3BB50D10" w14:textId="77777777" w:rsidR="00243C7D" w:rsidRPr="00243C7D" w:rsidRDefault="00243C7D" w:rsidP="00D62E58">
      <w:pPr>
        <w:pStyle w:val="NumberedParagraph"/>
        <w:rPr>
          <w:lang w:eastAsia="en-AU"/>
        </w:rPr>
      </w:pPr>
      <w:r w:rsidRPr="00243C7D">
        <w:rPr>
          <w:lang w:eastAsia="en-AU"/>
        </w:rPr>
        <w:t>For this purpose, independent contractors include only natural persons and may include natural persons who are employed by a staffing or employment company but whose daily activities are performed under the direction and control of the MNE. Independent contractors do not include employees of a corporate contractor providing goods or services to constituent entities in the jurisdiction.</w:t>
      </w:r>
    </w:p>
    <w:p w14:paraId="7117B85B" w14:textId="2F68CBA7" w:rsidR="00243C7D" w:rsidRPr="00243C7D" w:rsidRDefault="00243C7D" w:rsidP="00D62E58">
      <w:pPr>
        <w:pStyle w:val="NumberedParagraph"/>
        <w:rPr>
          <w:lang w:eastAsia="en-AU"/>
        </w:rPr>
      </w:pPr>
      <w:r w:rsidRPr="00243C7D">
        <w:rPr>
          <w:lang w:eastAsia="en-AU"/>
        </w:rPr>
        <w:t>The payroll costs include employee benefits that provide a direct personal benefit to the employee like health insurance and pension contributions as well as wages and salary costs. Payroll taxes and social security contributions borne by the employer are also included.</w:t>
      </w:r>
    </w:p>
    <w:p w14:paraId="7C68225D" w14:textId="77777777" w:rsidR="00243C7D" w:rsidRPr="00243C7D" w:rsidRDefault="00243C7D" w:rsidP="00D62E58">
      <w:pPr>
        <w:pStyle w:val="Heading3"/>
        <w:rPr>
          <w:lang w:eastAsia="en-AU"/>
        </w:rPr>
      </w:pPr>
      <w:r w:rsidRPr="00243C7D">
        <w:rPr>
          <w:lang w:eastAsia="en-AU"/>
        </w:rPr>
        <w:t>Tangible assets</w:t>
      </w:r>
    </w:p>
    <w:p w14:paraId="638BE605" w14:textId="62994730" w:rsidR="00243C7D" w:rsidRPr="00243C7D" w:rsidRDefault="00243C7D" w:rsidP="00606FDF">
      <w:pPr>
        <w:pStyle w:val="NumberedParagraph"/>
        <w:rPr>
          <w:lang w:eastAsia="en-AU"/>
        </w:rPr>
      </w:pPr>
      <w:r w:rsidRPr="00243C7D">
        <w:rPr>
          <w:lang w:eastAsia="en-AU"/>
        </w:rPr>
        <w:t>The tangible asset carve out is based on the</w:t>
      </w:r>
      <w:r w:rsidR="00D17FD4">
        <w:rPr>
          <w:lang w:eastAsia="en-AU"/>
        </w:rPr>
        <w:t xml:space="preserve"> </w:t>
      </w:r>
      <w:r w:rsidRPr="00243C7D">
        <w:rPr>
          <w:lang w:eastAsia="en-AU"/>
        </w:rPr>
        <w:t xml:space="preserve">average </w:t>
      </w:r>
      <w:r w:rsidR="00A52A89">
        <w:rPr>
          <w:lang w:eastAsia="en-AU"/>
        </w:rPr>
        <w:t xml:space="preserve">of the opening and closing </w:t>
      </w:r>
      <w:r w:rsidRPr="00243C7D">
        <w:rPr>
          <w:lang w:eastAsia="en-AU"/>
        </w:rPr>
        <w:t xml:space="preserve">carrying value (net of accumulated depreciation) </w:t>
      </w:r>
      <w:r w:rsidR="00F56B96">
        <w:rPr>
          <w:lang w:eastAsia="en-AU"/>
        </w:rPr>
        <w:t xml:space="preserve">of tangible assets </w:t>
      </w:r>
      <w:r w:rsidRPr="00243C7D">
        <w:rPr>
          <w:lang w:eastAsia="en-AU"/>
        </w:rPr>
        <w:t xml:space="preserve">in the financial statements. The tangible assets which qualify include property, plant and equipment, natural resources </w:t>
      </w:r>
      <w:r w:rsidR="002B4B3F">
        <w:rPr>
          <w:lang w:eastAsia="en-AU"/>
        </w:rPr>
        <w:t xml:space="preserve">(including land not held for sale, </w:t>
      </w:r>
      <w:proofErr w:type="gramStart"/>
      <w:r w:rsidR="004F6171">
        <w:rPr>
          <w:lang w:eastAsia="en-AU"/>
        </w:rPr>
        <w:t>lease</w:t>
      </w:r>
      <w:proofErr w:type="gramEnd"/>
      <w:r w:rsidR="004F6171">
        <w:rPr>
          <w:lang w:eastAsia="en-AU"/>
        </w:rPr>
        <w:t xml:space="preserve"> or investment) </w:t>
      </w:r>
      <w:r w:rsidRPr="00243C7D">
        <w:rPr>
          <w:lang w:eastAsia="en-AU"/>
        </w:rPr>
        <w:t>as well as licences for the use of immovable property or exploitation of natural resources.</w:t>
      </w:r>
      <w:r w:rsidR="00147791">
        <w:rPr>
          <w:lang w:eastAsia="en-AU"/>
        </w:rPr>
        <w:t xml:space="preserve"> </w:t>
      </w:r>
      <w:r w:rsidRPr="00243C7D">
        <w:rPr>
          <w:lang w:eastAsia="en-AU"/>
        </w:rPr>
        <w:t>The asset must be located in the jurisdiction</w:t>
      </w:r>
      <w:r w:rsidR="00D67258">
        <w:rPr>
          <w:lang w:eastAsia="en-AU"/>
        </w:rPr>
        <w:t xml:space="preserve"> of the </w:t>
      </w:r>
      <w:r w:rsidR="00F56B96">
        <w:rPr>
          <w:lang w:eastAsia="en-AU"/>
        </w:rPr>
        <w:t xml:space="preserve">constituent entity </w:t>
      </w:r>
      <w:r w:rsidR="00D67258">
        <w:rPr>
          <w:lang w:eastAsia="en-AU"/>
        </w:rPr>
        <w:t>that owns it</w:t>
      </w:r>
      <w:r w:rsidRPr="00243C7D">
        <w:rPr>
          <w:lang w:eastAsia="en-AU"/>
        </w:rPr>
        <w:t>.</w:t>
      </w:r>
    </w:p>
    <w:p w14:paraId="047CCFA4" w14:textId="6A3C0220" w:rsidR="00243C7D" w:rsidRPr="00243C7D" w:rsidRDefault="00243C7D" w:rsidP="00D62E58">
      <w:pPr>
        <w:pStyle w:val="NumberedParagraph"/>
        <w:rPr>
          <w:lang w:eastAsia="en-AU"/>
        </w:rPr>
      </w:pPr>
      <w:r w:rsidRPr="00243C7D">
        <w:rPr>
          <w:lang w:eastAsia="en-AU"/>
        </w:rPr>
        <w:t>Assets which are leased also qualify for the lessee, which provides consistency between owned and leased assets. Where an asset is leased from another group member, the asset will only be included in the jurisdiction of the lessee.</w:t>
      </w:r>
    </w:p>
    <w:p w14:paraId="3EF19C0C" w14:textId="37C832A1" w:rsidR="00633E25" w:rsidRDefault="00243C7D" w:rsidP="00633E25">
      <w:pPr>
        <w:pStyle w:val="NumberedParagraph"/>
        <w:rPr>
          <w:lang w:eastAsia="en-AU"/>
        </w:rPr>
      </w:pPr>
      <w:r w:rsidRPr="00243C7D">
        <w:rPr>
          <w:lang w:eastAsia="en-AU"/>
        </w:rPr>
        <w:t xml:space="preserve">There are special rules to determine how the carve-out is allocated for permanent establishments </w:t>
      </w:r>
      <w:r w:rsidR="003D49F7">
        <w:rPr>
          <w:lang w:eastAsia="en-AU"/>
        </w:rPr>
        <w:t xml:space="preserve">in Article </w:t>
      </w:r>
      <w:r w:rsidR="00722B2C">
        <w:rPr>
          <w:lang w:eastAsia="en-AU"/>
        </w:rPr>
        <w:t xml:space="preserve">5.3.6 </w:t>
      </w:r>
      <w:r w:rsidRPr="00243C7D">
        <w:rPr>
          <w:lang w:eastAsia="en-AU"/>
        </w:rPr>
        <w:t xml:space="preserve">and </w:t>
      </w:r>
      <w:r w:rsidR="00722B2C">
        <w:rPr>
          <w:lang w:eastAsia="en-AU"/>
        </w:rPr>
        <w:t xml:space="preserve">for </w:t>
      </w:r>
      <w:r w:rsidRPr="00243C7D">
        <w:rPr>
          <w:lang w:eastAsia="en-AU"/>
        </w:rPr>
        <w:t>transparent entities</w:t>
      </w:r>
      <w:r w:rsidR="003D49F7">
        <w:rPr>
          <w:lang w:eastAsia="en-AU"/>
        </w:rPr>
        <w:t xml:space="preserve"> in Article</w:t>
      </w:r>
      <w:r w:rsidR="008D2B85">
        <w:rPr>
          <w:lang w:eastAsia="en-AU"/>
        </w:rPr>
        <w:t> </w:t>
      </w:r>
      <w:r w:rsidR="003D49F7">
        <w:rPr>
          <w:lang w:eastAsia="en-AU"/>
        </w:rPr>
        <w:t>7.</w:t>
      </w:r>
      <w:r w:rsidR="00D36F1E">
        <w:rPr>
          <w:lang w:eastAsia="en-AU"/>
        </w:rPr>
        <w:t>4</w:t>
      </w:r>
      <w:r w:rsidR="003D49F7">
        <w:rPr>
          <w:lang w:eastAsia="en-AU"/>
        </w:rPr>
        <w:t>.6</w:t>
      </w:r>
      <w:r w:rsidRPr="00243C7D">
        <w:rPr>
          <w:lang w:eastAsia="en-AU"/>
        </w:rPr>
        <w:t>.</w:t>
      </w:r>
    </w:p>
    <w:tbl>
      <w:tblPr>
        <w:tblStyle w:val="ExampleBox"/>
        <w:tblW w:w="0" w:type="auto"/>
        <w:tblLook w:val="04A0" w:firstRow="1" w:lastRow="0" w:firstColumn="1" w:lastColumn="0" w:noHBand="0" w:noVBand="1"/>
      </w:tblPr>
      <w:tblGrid>
        <w:gridCol w:w="7917"/>
      </w:tblGrid>
      <w:tr w:rsidR="00613399" w14:paraId="2CAFE824" w14:textId="77777777" w:rsidTr="00606FDF">
        <w:tc>
          <w:tcPr>
            <w:tcW w:w="7917" w:type="dxa"/>
          </w:tcPr>
          <w:p w14:paraId="449390EC" w14:textId="77777777" w:rsidR="0062765F" w:rsidRDefault="0062765F" w:rsidP="00613399">
            <w:pPr>
              <w:rPr>
                <w:b/>
                <w:szCs w:val="22"/>
              </w:rPr>
            </w:pPr>
            <w:r w:rsidRPr="0062765F">
              <w:rPr>
                <w:b/>
                <w:szCs w:val="22"/>
              </w:rPr>
              <w:t>Example 7: Calculating the substance-based income exclusion</w:t>
            </w:r>
          </w:p>
          <w:p w14:paraId="0505ACBD" w14:textId="164B2993" w:rsidR="00613399" w:rsidRDefault="00613399" w:rsidP="00613399">
            <w:pPr>
              <w:rPr>
                <w:lang w:eastAsia="en-AU"/>
              </w:rPr>
            </w:pPr>
            <w:r>
              <w:rPr>
                <w:lang w:eastAsia="en-AU"/>
              </w:rPr>
              <w:t>Continuing example 6, Constituent Entity 1’s payroll costs for activities performed in Jurisdiction A is €30 million for the current Fiscal Year, and its tangible assets located in Jurisdiction A have an average accounting carrying value for the current Fiscal Year of €170 million. Constituent entity 2 has no payroll costs or tangible assets.</w:t>
            </w:r>
          </w:p>
          <w:p w14:paraId="45C0856F" w14:textId="5AE7F5E2" w:rsidR="00613399" w:rsidRDefault="00613399" w:rsidP="00613399">
            <w:pPr>
              <w:rPr>
                <w:lang w:eastAsia="en-AU"/>
              </w:rPr>
            </w:pPr>
            <w:r>
              <w:rPr>
                <w:lang w:eastAsia="en-AU"/>
              </w:rPr>
              <w:t>The substance-based income exclusion for Jurisdiction A is calculated as follows</w:t>
            </w:r>
            <w:r w:rsidRPr="0062765F">
              <w:rPr>
                <w:sz w:val="17"/>
                <w:szCs w:val="17"/>
                <w:lang w:eastAsia="en-AU"/>
              </w:rPr>
              <w:t>*</w:t>
            </w:r>
            <w:r>
              <w:rPr>
                <w:lang w:eastAsia="en-AU"/>
              </w:rPr>
              <w:t xml:space="preserve"> ((payroll costs of €30 million x 5%) + (tangible assets of €170</w:t>
            </w:r>
            <w:r w:rsidR="00661FB0">
              <w:rPr>
                <w:lang w:eastAsia="en-AU"/>
              </w:rPr>
              <w:t> </w:t>
            </w:r>
            <w:r>
              <w:rPr>
                <w:lang w:eastAsia="en-AU"/>
              </w:rPr>
              <w:t>million x 5%)) = €10 million</w:t>
            </w:r>
            <w:r w:rsidR="008D2B85">
              <w:rPr>
                <w:lang w:eastAsia="en-AU"/>
              </w:rPr>
              <w:t xml:space="preserve">. </w:t>
            </w:r>
            <w:r>
              <w:rPr>
                <w:lang w:eastAsia="en-AU"/>
              </w:rPr>
              <w:t>Therefore €10 million would be deducted from the MNE’s GloBE income for Jurisdiction A for the purposes of calculating the income subject to top-up tax.</w:t>
            </w:r>
          </w:p>
          <w:p w14:paraId="437CFAD7" w14:textId="05CBC4B3" w:rsidR="00613399" w:rsidRPr="0062765F" w:rsidRDefault="00613399" w:rsidP="00613399">
            <w:pPr>
              <w:rPr>
                <w:sz w:val="17"/>
                <w:szCs w:val="17"/>
                <w:lang w:eastAsia="en-AU"/>
              </w:rPr>
            </w:pPr>
            <w:r w:rsidRPr="0062765F">
              <w:rPr>
                <w:sz w:val="17"/>
                <w:szCs w:val="17"/>
                <w:lang w:eastAsia="en-AU"/>
              </w:rPr>
              <w:t>* The carve-out percentages have reduced to 5% in the year of the example.</w:t>
            </w:r>
          </w:p>
        </w:tc>
      </w:tr>
    </w:tbl>
    <w:p w14:paraId="5ADF6487" w14:textId="083BBD48" w:rsidR="00243C7D" w:rsidRPr="00243C7D" w:rsidRDefault="00243C7D" w:rsidP="00D62E58">
      <w:pPr>
        <w:pStyle w:val="Heading2"/>
        <w:rPr>
          <w:lang w:eastAsia="en-AU"/>
        </w:rPr>
      </w:pPr>
      <w:bookmarkStart w:id="54" w:name="_Toc101095595"/>
      <w:r w:rsidRPr="00243C7D">
        <w:rPr>
          <w:lang w:eastAsia="en-AU"/>
        </w:rPr>
        <w:lastRenderedPageBreak/>
        <w:t>Computing the top</w:t>
      </w:r>
      <w:r w:rsidR="00F86945">
        <w:rPr>
          <w:lang w:eastAsia="en-AU"/>
        </w:rPr>
        <w:t>-</w:t>
      </w:r>
      <w:r w:rsidRPr="00243C7D">
        <w:rPr>
          <w:lang w:eastAsia="en-AU"/>
        </w:rPr>
        <w:t>up tax in the jurisdiction</w:t>
      </w:r>
      <w:bookmarkEnd w:id="54"/>
    </w:p>
    <w:p w14:paraId="420290A9" w14:textId="5921DD4E" w:rsidR="00243C7D" w:rsidRDefault="00243C7D" w:rsidP="00BA00C7">
      <w:pPr>
        <w:pStyle w:val="NumberedParagraph"/>
        <w:rPr>
          <w:lang w:eastAsia="en-AU"/>
        </w:rPr>
      </w:pPr>
      <w:r w:rsidRPr="00243C7D">
        <w:rPr>
          <w:lang w:eastAsia="en-AU"/>
        </w:rPr>
        <w:t>The top</w:t>
      </w:r>
      <w:r w:rsidR="00F86945">
        <w:rPr>
          <w:lang w:eastAsia="en-AU"/>
        </w:rPr>
        <w:t>-</w:t>
      </w:r>
      <w:r w:rsidRPr="00243C7D">
        <w:rPr>
          <w:lang w:eastAsia="en-AU"/>
        </w:rPr>
        <w:t>up tax for the jurisdiction is calculated by deducting the substance</w:t>
      </w:r>
      <w:r w:rsidR="002C2B40">
        <w:rPr>
          <w:lang w:eastAsia="en-AU"/>
        </w:rPr>
        <w:t>-</w:t>
      </w:r>
      <w:r w:rsidRPr="00243C7D">
        <w:rPr>
          <w:lang w:eastAsia="en-AU"/>
        </w:rPr>
        <w:t>based income exclusion from the Net GloBE income in the jurisdiction and then multiplying the result by the top</w:t>
      </w:r>
      <w:r w:rsidR="00A70522">
        <w:rPr>
          <w:lang w:eastAsia="en-AU"/>
        </w:rPr>
        <w:t>-</w:t>
      </w:r>
      <w:r w:rsidRPr="00243C7D">
        <w:rPr>
          <w:lang w:eastAsia="en-AU"/>
        </w:rPr>
        <w:t>up tax percentage.</w:t>
      </w:r>
    </w:p>
    <w:tbl>
      <w:tblPr>
        <w:tblStyle w:val="ExampleBox"/>
        <w:tblW w:w="0" w:type="auto"/>
        <w:tblLook w:val="04A0" w:firstRow="1" w:lastRow="0" w:firstColumn="1" w:lastColumn="0" w:noHBand="0" w:noVBand="1"/>
      </w:tblPr>
      <w:tblGrid>
        <w:gridCol w:w="7917"/>
      </w:tblGrid>
      <w:tr w:rsidR="000D60AE" w14:paraId="75B3BDAB" w14:textId="77777777" w:rsidTr="00A1232E">
        <w:tc>
          <w:tcPr>
            <w:tcW w:w="7917" w:type="dxa"/>
          </w:tcPr>
          <w:p w14:paraId="402487F8" w14:textId="6060949B" w:rsidR="000D60AE" w:rsidRPr="00407199" w:rsidRDefault="000D60AE" w:rsidP="00A1232E">
            <w:pPr>
              <w:pStyle w:val="Caption"/>
              <w:jc w:val="both"/>
            </w:pPr>
            <w:bookmarkStart w:id="55" w:name="_Hlk99377005"/>
            <w:r w:rsidRPr="00407199">
              <w:t xml:space="preserve">Example </w:t>
            </w:r>
            <w:r w:rsidR="004F711B" w:rsidRPr="00407199">
              <w:t>8</w:t>
            </w:r>
            <w:r w:rsidRPr="00407199">
              <w:t>: Computing the top-up tax</w:t>
            </w:r>
          </w:p>
          <w:p w14:paraId="54810BEF" w14:textId="0F200590" w:rsidR="00A24EB5" w:rsidRDefault="000D60AE" w:rsidP="00315CDA">
            <w:pPr>
              <w:rPr>
                <w:lang w:eastAsia="en-AU"/>
              </w:rPr>
            </w:pPr>
            <w:r w:rsidRPr="00407199">
              <w:rPr>
                <w:lang w:eastAsia="en-AU"/>
              </w:rPr>
              <w:t>Continuing example</w:t>
            </w:r>
            <w:r w:rsidR="004F711B" w:rsidRPr="00407199">
              <w:rPr>
                <w:lang w:eastAsia="en-AU"/>
              </w:rPr>
              <w:t xml:space="preserve"> 7</w:t>
            </w:r>
            <w:r w:rsidRPr="00407199">
              <w:rPr>
                <w:lang w:eastAsia="en-AU"/>
              </w:rPr>
              <w:t xml:space="preserve">, </w:t>
            </w:r>
            <w:r w:rsidR="002D218E" w:rsidRPr="00407199">
              <w:rPr>
                <w:lang w:eastAsia="en-AU"/>
              </w:rPr>
              <w:t>the MNE’s</w:t>
            </w:r>
            <w:r w:rsidR="0035232E" w:rsidRPr="00407199">
              <w:rPr>
                <w:lang w:eastAsia="en-AU"/>
              </w:rPr>
              <w:t xml:space="preserve"> </w:t>
            </w:r>
            <w:r w:rsidR="00A24EB5" w:rsidRPr="00407199">
              <w:rPr>
                <w:lang w:eastAsia="en-AU"/>
              </w:rPr>
              <w:t xml:space="preserve">top-up </w:t>
            </w:r>
            <w:r w:rsidR="0005115B" w:rsidRPr="00407199">
              <w:rPr>
                <w:lang w:eastAsia="en-AU"/>
              </w:rPr>
              <w:t xml:space="preserve">tax </w:t>
            </w:r>
            <w:r w:rsidR="003C6497" w:rsidRPr="00407199">
              <w:rPr>
                <w:lang w:eastAsia="en-AU"/>
              </w:rPr>
              <w:t>for Jurisdiction A for the current Fiscal</w:t>
            </w:r>
            <w:r w:rsidR="003C6497">
              <w:rPr>
                <w:lang w:eastAsia="en-AU"/>
              </w:rPr>
              <w:t xml:space="preserve"> Year equals </w:t>
            </w:r>
            <w:r w:rsidR="00410403" w:rsidRPr="006E1F71">
              <w:rPr>
                <w:snapToGrid w:val="0"/>
              </w:rPr>
              <w:t>€</w:t>
            </w:r>
            <w:r w:rsidR="00CC34E7">
              <w:rPr>
                <w:snapToGrid w:val="0"/>
              </w:rPr>
              <w:t>4.5</w:t>
            </w:r>
            <w:r w:rsidR="006E30D5">
              <w:rPr>
                <w:lang w:eastAsia="en-AU"/>
              </w:rPr>
              <w:t xml:space="preserve"> million ((</w:t>
            </w:r>
            <w:r w:rsidR="005131FD">
              <w:rPr>
                <w:lang w:eastAsia="en-AU"/>
              </w:rPr>
              <w:t xml:space="preserve">net GloBE income of </w:t>
            </w:r>
            <w:r w:rsidR="00410403" w:rsidRPr="006E1F71">
              <w:rPr>
                <w:snapToGrid w:val="0"/>
              </w:rPr>
              <w:t>€</w:t>
            </w:r>
            <w:r w:rsidR="005131FD">
              <w:rPr>
                <w:lang w:eastAsia="en-AU"/>
              </w:rPr>
              <w:t xml:space="preserve">100 million – </w:t>
            </w:r>
            <w:r w:rsidR="00315CDA">
              <w:rPr>
                <w:lang w:eastAsia="en-AU"/>
              </w:rPr>
              <w:t xml:space="preserve">the </w:t>
            </w:r>
            <w:r w:rsidR="005131FD">
              <w:rPr>
                <w:lang w:eastAsia="en-AU"/>
              </w:rPr>
              <w:t xml:space="preserve">substance-based income exclusion of </w:t>
            </w:r>
            <w:r w:rsidR="00410403" w:rsidRPr="006E1F71">
              <w:rPr>
                <w:snapToGrid w:val="0"/>
              </w:rPr>
              <w:t>€</w:t>
            </w:r>
            <w:r w:rsidR="005131FD">
              <w:rPr>
                <w:lang w:eastAsia="en-AU"/>
              </w:rPr>
              <w:t>10 million)</w:t>
            </w:r>
            <w:r w:rsidR="00815223">
              <w:rPr>
                <w:lang w:eastAsia="en-AU"/>
              </w:rPr>
              <w:t xml:space="preserve"> x </w:t>
            </w:r>
            <w:r w:rsidR="00315CDA">
              <w:rPr>
                <w:lang w:eastAsia="en-AU"/>
              </w:rPr>
              <w:t xml:space="preserve">the </w:t>
            </w:r>
            <w:r w:rsidR="00815223">
              <w:rPr>
                <w:lang w:eastAsia="en-AU"/>
              </w:rPr>
              <w:t>top-up tax percentage of 5%)</w:t>
            </w:r>
          </w:p>
        </w:tc>
      </w:tr>
    </w:tbl>
    <w:bookmarkEnd w:id="55"/>
    <w:p w14:paraId="3B8FA34C" w14:textId="5EA558FF" w:rsidR="00EA371B" w:rsidRDefault="008279A1" w:rsidP="00BA00C7">
      <w:pPr>
        <w:pStyle w:val="NumberedParagraph"/>
        <w:rPr>
          <w:lang w:eastAsia="en-AU"/>
        </w:rPr>
      </w:pPr>
      <w:r>
        <w:rPr>
          <w:lang w:eastAsia="en-AU"/>
        </w:rPr>
        <w:t>If</w:t>
      </w:r>
      <w:r w:rsidRPr="00243C7D">
        <w:rPr>
          <w:lang w:eastAsia="en-AU"/>
        </w:rPr>
        <w:t xml:space="preserve"> </w:t>
      </w:r>
      <w:r w:rsidR="00243C7D" w:rsidRPr="00243C7D">
        <w:rPr>
          <w:lang w:eastAsia="en-AU"/>
        </w:rPr>
        <w:t>an adjustment is made that results in a decrease to the liability for covered taxes in a prior year</w:t>
      </w:r>
      <w:r>
        <w:rPr>
          <w:lang w:eastAsia="en-AU"/>
        </w:rPr>
        <w:t xml:space="preserve"> (for example</w:t>
      </w:r>
      <w:r w:rsidR="00815D97">
        <w:rPr>
          <w:lang w:eastAsia="en-AU"/>
        </w:rPr>
        <w:t xml:space="preserve">, </w:t>
      </w:r>
      <w:r w:rsidR="000D158A">
        <w:rPr>
          <w:lang w:eastAsia="en-AU"/>
        </w:rPr>
        <w:t xml:space="preserve">when </w:t>
      </w:r>
      <w:r w:rsidR="00815D97">
        <w:rPr>
          <w:lang w:eastAsia="en-AU"/>
        </w:rPr>
        <w:t xml:space="preserve">a tax return is reassessed </w:t>
      </w:r>
      <w:r w:rsidR="000D158A">
        <w:rPr>
          <w:lang w:eastAsia="en-AU"/>
        </w:rPr>
        <w:t>resulting in a reduction to</w:t>
      </w:r>
      <w:r w:rsidR="00E941D6">
        <w:rPr>
          <w:lang w:eastAsia="en-AU"/>
        </w:rPr>
        <w:t xml:space="preserve"> the tax liability for </w:t>
      </w:r>
      <w:r w:rsidR="001859FE">
        <w:rPr>
          <w:lang w:eastAsia="en-AU"/>
        </w:rPr>
        <w:t xml:space="preserve">a </w:t>
      </w:r>
      <w:r w:rsidR="00E76301">
        <w:rPr>
          <w:lang w:eastAsia="en-AU"/>
        </w:rPr>
        <w:t xml:space="preserve">prior </w:t>
      </w:r>
      <w:r w:rsidR="001859FE">
        <w:rPr>
          <w:lang w:eastAsia="en-AU"/>
        </w:rPr>
        <w:t>year</w:t>
      </w:r>
      <w:r>
        <w:rPr>
          <w:lang w:eastAsia="en-AU"/>
        </w:rPr>
        <w:t>)</w:t>
      </w:r>
      <w:r w:rsidR="00243C7D" w:rsidRPr="00243C7D">
        <w:rPr>
          <w:lang w:eastAsia="en-AU"/>
        </w:rPr>
        <w:t xml:space="preserve">, the GloBE rules require the ETR in the earlier year to be recalculated unless the decrease is less than </w:t>
      </w:r>
      <w:r w:rsidR="00A862D3" w:rsidRPr="006E1F71">
        <w:rPr>
          <w:snapToGrid w:val="0"/>
        </w:rPr>
        <w:t>€</w:t>
      </w:r>
      <w:r w:rsidR="00243C7D" w:rsidRPr="00243C7D">
        <w:rPr>
          <w:lang w:eastAsia="en-AU"/>
        </w:rPr>
        <w:t xml:space="preserve">1 million, in which case it can be included in the current year. This includes when the recapture rule is applied to deferred tax liabilities which have not unwound within </w:t>
      </w:r>
      <w:r w:rsidR="00FD5C2D">
        <w:rPr>
          <w:lang w:eastAsia="en-AU"/>
        </w:rPr>
        <w:t>five</w:t>
      </w:r>
      <w:r w:rsidR="00243C7D" w:rsidRPr="00243C7D">
        <w:rPr>
          <w:lang w:eastAsia="en-AU"/>
        </w:rPr>
        <w:t xml:space="preserve"> years. When these recalculations result in an ETR falling below the minimum rate, the </w:t>
      </w:r>
      <w:r w:rsidR="00F00C7E">
        <w:rPr>
          <w:lang w:eastAsia="en-AU"/>
        </w:rPr>
        <w:t xml:space="preserve">additional </w:t>
      </w:r>
      <w:r w:rsidR="00243C7D" w:rsidRPr="00243C7D">
        <w:rPr>
          <w:lang w:eastAsia="en-AU"/>
        </w:rPr>
        <w:t>top</w:t>
      </w:r>
      <w:r w:rsidR="006E1702">
        <w:rPr>
          <w:lang w:eastAsia="en-AU"/>
        </w:rPr>
        <w:t>-</w:t>
      </w:r>
      <w:r w:rsidR="00243C7D" w:rsidRPr="00243C7D">
        <w:rPr>
          <w:lang w:eastAsia="en-AU"/>
        </w:rPr>
        <w:t xml:space="preserve">up tax </w:t>
      </w:r>
      <w:r w:rsidR="00AD486A">
        <w:rPr>
          <w:lang w:eastAsia="en-AU"/>
        </w:rPr>
        <w:t xml:space="preserve">for that year </w:t>
      </w:r>
      <w:r w:rsidR="00243C7D" w:rsidRPr="00243C7D">
        <w:rPr>
          <w:lang w:eastAsia="en-AU"/>
        </w:rPr>
        <w:t>is added to the current year’s top</w:t>
      </w:r>
      <w:r w:rsidR="0046319A">
        <w:rPr>
          <w:lang w:eastAsia="en-AU"/>
        </w:rPr>
        <w:t>-</w:t>
      </w:r>
      <w:r w:rsidR="00243C7D" w:rsidRPr="00243C7D">
        <w:rPr>
          <w:lang w:eastAsia="en-AU"/>
        </w:rPr>
        <w:t>up and charged in the current Fiscal Year.</w:t>
      </w:r>
    </w:p>
    <w:tbl>
      <w:tblPr>
        <w:tblStyle w:val="ExampleBox"/>
        <w:tblW w:w="0" w:type="auto"/>
        <w:tblLook w:val="04A0" w:firstRow="1" w:lastRow="0" w:firstColumn="1" w:lastColumn="0" w:noHBand="0" w:noVBand="1"/>
      </w:tblPr>
      <w:tblGrid>
        <w:gridCol w:w="7917"/>
      </w:tblGrid>
      <w:tr w:rsidR="005D289D" w14:paraId="0C9D3219" w14:textId="77777777" w:rsidTr="00A1232E">
        <w:tc>
          <w:tcPr>
            <w:tcW w:w="7917" w:type="dxa"/>
          </w:tcPr>
          <w:p w14:paraId="110D9881" w14:textId="4C7C495D" w:rsidR="005D289D" w:rsidRPr="00407199" w:rsidRDefault="005D289D" w:rsidP="00A1232E">
            <w:pPr>
              <w:pStyle w:val="Caption"/>
              <w:jc w:val="both"/>
            </w:pPr>
            <w:bookmarkStart w:id="56" w:name="_Hlk96960520"/>
            <w:r w:rsidRPr="00407199">
              <w:t xml:space="preserve">Example </w:t>
            </w:r>
            <w:r w:rsidR="004F711B" w:rsidRPr="00407199">
              <w:t>9</w:t>
            </w:r>
            <w:r w:rsidRPr="00407199">
              <w:t xml:space="preserve">: </w:t>
            </w:r>
            <w:r w:rsidR="00A52AD1" w:rsidRPr="00407199">
              <w:t>Decrease in covered taxes for a prior year</w:t>
            </w:r>
          </w:p>
          <w:p w14:paraId="720D3BB3" w14:textId="5C477500" w:rsidR="00BD2119" w:rsidRPr="00407199" w:rsidRDefault="00581187" w:rsidP="00A20591">
            <w:pPr>
              <w:rPr>
                <w:lang w:eastAsia="en-AU"/>
              </w:rPr>
            </w:pPr>
            <w:r w:rsidRPr="00407199">
              <w:rPr>
                <w:lang w:eastAsia="en-AU"/>
              </w:rPr>
              <w:t>Continuing example</w:t>
            </w:r>
            <w:r w:rsidR="004F711B" w:rsidRPr="00407199">
              <w:rPr>
                <w:lang w:eastAsia="en-AU"/>
              </w:rPr>
              <w:t xml:space="preserve"> 8</w:t>
            </w:r>
            <w:r w:rsidRPr="00407199">
              <w:rPr>
                <w:lang w:eastAsia="en-AU"/>
              </w:rPr>
              <w:t xml:space="preserve">, </w:t>
            </w:r>
            <w:r w:rsidR="00852835" w:rsidRPr="00407199">
              <w:rPr>
                <w:lang w:eastAsia="en-AU"/>
              </w:rPr>
              <w:t xml:space="preserve">Constituent Entity 2’s </w:t>
            </w:r>
            <w:r w:rsidR="002513B4" w:rsidRPr="00407199">
              <w:rPr>
                <w:lang w:eastAsia="en-AU"/>
              </w:rPr>
              <w:t xml:space="preserve">Jurisdiction </w:t>
            </w:r>
            <w:proofErr w:type="spellStart"/>
            <w:r w:rsidR="002513B4" w:rsidRPr="00407199">
              <w:rPr>
                <w:lang w:eastAsia="en-AU"/>
              </w:rPr>
              <w:t>A</w:t>
            </w:r>
            <w:proofErr w:type="spellEnd"/>
            <w:r w:rsidR="002513B4" w:rsidRPr="00407199">
              <w:rPr>
                <w:lang w:eastAsia="en-AU"/>
              </w:rPr>
              <w:t xml:space="preserve"> income</w:t>
            </w:r>
            <w:r w:rsidR="00B710A7" w:rsidRPr="00407199">
              <w:rPr>
                <w:lang w:eastAsia="en-AU"/>
              </w:rPr>
              <w:t xml:space="preserve"> </w:t>
            </w:r>
            <w:r w:rsidR="00852835" w:rsidRPr="00407199">
              <w:rPr>
                <w:lang w:eastAsia="en-AU"/>
              </w:rPr>
              <w:t xml:space="preserve">tax return </w:t>
            </w:r>
            <w:r w:rsidR="008C118C" w:rsidRPr="00407199">
              <w:rPr>
                <w:lang w:eastAsia="en-AU"/>
              </w:rPr>
              <w:t xml:space="preserve">for a prior </w:t>
            </w:r>
            <w:r w:rsidR="00156497" w:rsidRPr="00407199">
              <w:rPr>
                <w:lang w:eastAsia="en-AU"/>
              </w:rPr>
              <w:t xml:space="preserve">year </w:t>
            </w:r>
            <w:r w:rsidR="008B039F" w:rsidRPr="00407199">
              <w:rPr>
                <w:lang w:eastAsia="en-AU"/>
              </w:rPr>
              <w:t xml:space="preserve">has been reassessed, resulting in a reduction in </w:t>
            </w:r>
            <w:r w:rsidR="00173685" w:rsidRPr="00407199">
              <w:rPr>
                <w:lang w:eastAsia="en-AU"/>
              </w:rPr>
              <w:t>its</w:t>
            </w:r>
            <w:r w:rsidR="008B039F" w:rsidRPr="00407199">
              <w:rPr>
                <w:lang w:eastAsia="en-AU"/>
              </w:rPr>
              <w:t xml:space="preserve"> </w:t>
            </w:r>
            <w:r w:rsidR="002513B4" w:rsidRPr="00407199">
              <w:rPr>
                <w:lang w:eastAsia="en-AU"/>
              </w:rPr>
              <w:t xml:space="preserve">local </w:t>
            </w:r>
            <w:r w:rsidR="008B039F" w:rsidRPr="00407199">
              <w:rPr>
                <w:lang w:eastAsia="en-AU"/>
              </w:rPr>
              <w:t xml:space="preserve">tax liability for the prior year </w:t>
            </w:r>
            <w:r w:rsidR="00046A4F" w:rsidRPr="00407199">
              <w:rPr>
                <w:lang w:eastAsia="en-AU"/>
              </w:rPr>
              <w:t>of</w:t>
            </w:r>
            <w:r w:rsidR="008B039F" w:rsidRPr="00407199">
              <w:rPr>
                <w:lang w:eastAsia="en-AU"/>
              </w:rPr>
              <w:t xml:space="preserve"> </w:t>
            </w:r>
            <w:r w:rsidR="00A862D3" w:rsidRPr="00407199">
              <w:rPr>
                <w:snapToGrid w:val="0"/>
              </w:rPr>
              <w:t>€</w:t>
            </w:r>
            <w:r w:rsidR="00E67010" w:rsidRPr="00407199">
              <w:rPr>
                <w:lang w:eastAsia="en-AU"/>
              </w:rPr>
              <w:t>1.2</w:t>
            </w:r>
            <w:r w:rsidR="008B039F" w:rsidRPr="00407199">
              <w:rPr>
                <w:lang w:eastAsia="en-AU"/>
              </w:rPr>
              <w:t xml:space="preserve"> million</w:t>
            </w:r>
            <w:r w:rsidR="00D641F9" w:rsidRPr="00407199">
              <w:rPr>
                <w:lang w:eastAsia="en-AU"/>
              </w:rPr>
              <w:t xml:space="preserve"> but no change in its G</w:t>
            </w:r>
            <w:r w:rsidR="00F8709D" w:rsidRPr="00407199">
              <w:rPr>
                <w:lang w:eastAsia="en-AU"/>
              </w:rPr>
              <w:t>loBE income</w:t>
            </w:r>
            <w:r w:rsidR="00B710A7" w:rsidRPr="00407199">
              <w:rPr>
                <w:lang w:eastAsia="en-AU"/>
              </w:rPr>
              <w:t xml:space="preserve"> for that year</w:t>
            </w:r>
            <w:r w:rsidR="00BB2FCC" w:rsidRPr="00407199">
              <w:rPr>
                <w:lang w:eastAsia="en-AU"/>
              </w:rPr>
              <w:t xml:space="preserve">. </w:t>
            </w:r>
            <w:r w:rsidR="00A20591" w:rsidRPr="00407199">
              <w:rPr>
                <w:lang w:eastAsia="en-AU"/>
              </w:rPr>
              <w:t>T</w:t>
            </w:r>
            <w:r w:rsidR="000E3F71" w:rsidRPr="00407199">
              <w:rPr>
                <w:lang w:eastAsia="en-AU"/>
              </w:rPr>
              <w:t xml:space="preserve">he </w:t>
            </w:r>
            <w:r w:rsidR="00A20591" w:rsidRPr="00407199">
              <w:rPr>
                <w:lang w:eastAsia="en-AU"/>
              </w:rPr>
              <w:t xml:space="preserve">Jurisdiction </w:t>
            </w:r>
            <w:r w:rsidR="00156497" w:rsidRPr="00407199">
              <w:rPr>
                <w:lang w:eastAsia="en-AU"/>
              </w:rPr>
              <w:t>A</w:t>
            </w:r>
            <w:r w:rsidR="00A20591" w:rsidRPr="00407199">
              <w:rPr>
                <w:lang w:eastAsia="en-AU"/>
              </w:rPr>
              <w:t xml:space="preserve"> </w:t>
            </w:r>
            <w:r w:rsidR="00173685" w:rsidRPr="00407199">
              <w:rPr>
                <w:lang w:eastAsia="en-AU"/>
              </w:rPr>
              <w:t>ETR</w:t>
            </w:r>
            <w:r w:rsidR="0005157F" w:rsidRPr="00407199">
              <w:rPr>
                <w:lang w:eastAsia="en-AU"/>
              </w:rPr>
              <w:t xml:space="preserve"> and top-up tax</w:t>
            </w:r>
            <w:r w:rsidR="00173685" w:rsidRPr="00407199">
              <w:rPr>
                <w:lang w:eastAsia="en-AU"/>
              </w:rPr>
              <w:t xml:space="preserve"> is </w:t>
            </w:r>
            <w:r w:rsidR="001B00BC" w:rsidRPr="00407199">
              <w:rPr>
                <w:lang w:eastAsia="en-AU"/>
              </w:rPr>
              <w:t>re</w:t>
            </w:r>
            <w:r w:rsidR="00347ED0" w:rsidRPr="00407199">
              <w:rPr>
                <w:lang w:eastAsia="en-AU"/>
              </w:rPr>
              <w:t>calculate</w:t>
            </w:r>
            <w:r w:rsidR="00173685" w:rsidRPr="00407199">
              <w:rPr>
                <w:lang w:eastAsia="en-AU"/>
              </w:rPr>
              <w:t>d for this prior year</w:t>
            </w:r>
            <w:r w:rsidR="00347ED0" w:rsidRPr="00407199">
              <w:rPr>
                <w:lang w:eastAsia="en-AU"/>
              </w:rPr>
              <w:t xml:space="preserve"> </w:t>
            </w:r>
            <w:r w:rsidR="00A20591" w:rsidRPr="00407199">
              <w:rPr>
                <w:lang w:eastAsia="en-AU"/>
              </w:rPr>
              <w:t>resulting in</w:t>
            </w:r>
            <w:r w:rsidR="0073741D" w:rsidRPr="00407199">
              <w:rPr>
                <w:lang w:eastAsia="en-AU"/>
              </w:rPr>
              <w:t xml:space="preserve"> additional </w:t>
            </w:r>
            <w:r w:rsidR="002513B4" w:rsidRPr="00407199">
              <w:rPr>
                <w:lang w:eastAsia="en-AU"/>
              </w:rPr>
              <w:t xml:space="preserve">GloBE </w:t>
            </w:r>
            <w:r w:rsidR="0073741D" w:rsidRPr="00407199">
              <w:rPr>
                <w:lang w:eastAsia="en-AU"/>
              </w:rPr>
              <w:t xml:space="preserve">top-up tax </w:t>
            </w:r>
            <w:r w:rsidR="00A20591" w:rsidRPr="00407199">
              <w:rPr>
                <w:lang w:eastAsia="en-AU"/>
              </w:rPr>
              <w:t xml:space="preserve">for the year </w:t>
            </w:r>
            <w:r w:rsidR="0073741D" w:rsidRPr="00407199">
              <w:rPr>
                <w:lang w:eastAsia="en-AU"/>
              </w:rPr>
              <w:t>of</w:t>
            </w:r>
            <w:r w:rsidR="003A50FB" w:rsidRPr="00407199">
              <w:rPr>
                <w:lang w:eastAsia="en-AU"/>
              </w:rPr>
              <w:t xml:space="preserve"> </w:t>
            </w:r>
            <w:r w:rsidR="00A862D3" w:rsidRPr="00407199">
              <w:rPr>
                <w:snapToGrid w:val="0"/>
              </w:rPr>
              <w:t>€</w:t>
            </w:r>
            <w:r w:rsidR="00E67010" w:rsidRPr="00407199">
              <w:rPr>
                <w:lang w:eastAsia="en-AU"/>
              </w:rPr>
              <w:t xml:space="preserve">1 </w:t>
            </w:r>
            <w:proofErr w:type="gramStart"/>
            <w:r w:rsidR="003A50FB" w:rsidRPr="00407199">
              <w:rPr>
                <w:lang w:eastAsia="en-AU"/>
              </w:rPr>
              <w:t>million</w:t>
            </w:r>
            <w:r w:rsidR="00EE1C99">
              <w:rPr>
                <w:lang w:eastAsia="en-AU"/>
              </w:rPr>
              <w:t>.</w:t>
            </w:r>
            <w:r w:rsidR="003D449E" w:rsidRPr="00407199">
              <w:rPr>
                <w:sz w:val="17"/>
                <w:szCs w:val="17"/>
                <w:lang w:eastAsia="en-AU"/>
              </w:rPr>
              <w:t>*</w:t>
            </w:r>
            <w:proofErr w:type="gramEnd"/>
          </w:p>
          <w:p w14:paraId="083C0A04" w14:textId="7614749D" w:rsidR="005D289D" w:rsidRDefault="005D289D" w:rsidP="00A20591">
            <w:pPr>
              <w:rPr>
                <w:lang w:eastAsia="en-AU"/>
              </w:rPr>
            </w:pPr>
            <w:r w:rsidRPr="00407199">
              <w:rPr>
                <w:lang w:eastAsia="en-AU"/>
              </w:rPr>
              <w:t>Th</w:t>
            </w:r>
            <w:r w:rsidR="00A058C2" w:rsidRPr="00407199">
              <w:rPr>
                <w:lang w:eastAsia="en-AU"/>
              </w:rPr>
              <w:t>is additional</w:t>
            </w:r>
            <w:r w:rsidR="00A058C2">
              <w:rPr>
                <w:lang w:eastAsia="en-AU"/>
              </w:rPr>
              <w:t xml:space="preserve"> top-up tax of </w:t>
            </w:r>
            <w:r w:rsidR="00A862D3" w:rsidRPr="006E1F71">
              <w:rPr>
                <w:snapToGrid w:val="0"/>
              </w:rPr>
              <w:t>€</w:t>
            </w:r>
            <w:r w:rsidR="00B25B03">
              <w:rPr>
                <w:lang w:eastAsia="en-AU"/>
              </w:rPr>
              <w:t>1</w:t>
            </w:r>
            <w:r w:rsidR="00A058C2">
              <w:rPr>
                <w:lang w:eastAsia="en-AU"/>
              </w:rPr>
              <w:t xml:space="preserve"> million</w:t>
            </w:r>
            <w:r w:rsidR="005C7910">
              <w:rPr>
                <w:lang w:eastAsia="en-AU"/>
              </w:rPr>
              <w:t xml:space="preserve"> is added to </w:t>
            </w:r>
            <w:r w:rsidR="00616F9A">
              <w:rPr>
                <w:lang w:eastAsia="en-AU"/>
              </w:rPr>
              <w:t xml:space="preserve">the </w:t>
            </w:r>
            <w:r w:rsidR="00A862D3" w:rsidRPr="006E1F71">
              <w:rPr>
                <w:snapToGrid w:val="0"/>
              </w:rPr>
              <w:t>€</w:t>
            </w:r>
            <w:r w:rsidR="00B25B03">
              <w:rPr>
                <w:lang w:eastAsia="en-AU"/>
              </w:rPr>
              <w:t xml:space="preserve">4.5 </w:t>
            </w:r>
            <w:r w:rsidR="00616F9A">
              <w:rPr>
                <w:lang w:eastAsia="en-AU"/>
              </w:rPr>
              <w:t xml:space="preserve">million </w:t>
            </w:r>
            <w:r w:rsidR="00D2490F">
              <w:rPr>
                <w:lang w:eastAsia="en-AU"/>
              </w:rPr>
              <w:t xml:space="preserve">top-up tax for </w:t>
            </w:r>
            <w:r w:rsidR="00A20591">
              <w:rPr>
                <w:lang w:eastAsia="en-AU"/>
              </w:rPr>
              <w:t xml:space="preserve">the current </w:t>
            </w:r>
            <w:r w:rsidR="00D2490F">
              <w:rPr>
                <w:lang w:eastAsia="en-AU"/>
              </w:rPr>
              <w:t>Fiscal Year</w:t>
            </w:r>
            <w:r w:rsidR="0005157F">
              <w:rPr>
                <w:lang w:eastAsia="en-AU"/>
              </w:rPr>
              <w:t xml:space="preserve"> resulting in </w:t>
            </w:r>
            <w:r w:rsidR="006D6719">
              <w:rPr>
                <w:lang w:eastAsia="en-AU"/>
              </w:rPr>
              <w:t xml:space="preserve">total top-up tax for the current Fiscal Year of </w:t>
            </w:r>
            <w:r w:rsidR="00A862D3" w:rsidRPr="006E1F71">
              <w:rPr>
                <w:snapToGrid w:val="0"/>
              </w:rPr>
              <w:t>€</w:t>
            </w:r>
            <w:r w:rsidR="00B25B03">
              <w:rPr>
                <w:snapToGrid w:val="0"/>
              </w:rPr>
              <w:t>5.</w:t>
            </w:r>
            <w:r w:rsidR="006D6719">
              <w:rPr>
                <w:lang w:eastAsia="en-AU"/>
              </w:rPr>
              <w:t>5 million</w:t>
            </w:r>
            <w:r w:rsidR="00D2490F">
              <w:rPr>
                <w:lang w:eastAsia="en-AU"/>
              </w:rPr>
              <w:t>.</w:t>
            </w:r>
            <w:r w:rsidR="00FE2206">
              <w:rPr>
                <w:lang w:eastAsia="en-AU"/>
              </w:rPr>
              <w:t xml:space="preserve"> The GloBE </w:t>
            </w:r>
            <w:r w:rsidR="00F161A3">
              <w:rPr>
                <w:lang w:eastAsia="en-AU"/>
              </w:rPr>
              <w:t xml:space="preserve">return for </w:t>
            </w:r>
            <w:r w:rsidR="00A20591">
              <w:rPr>
                <w:lang w:eastAsia="en-AU"/>
              </w:rPr>
              <w:t xml:space="preserve">the prior </w:t>
            </w:r>
            <w:r w:rsidR="00F161A3">
              <w:rPr>
                <w:lang w:eastAsia="en-AU"/>
              </w:rPr>
              <w:t>Fiscal Year is not reassessed.</w:t>
            </w:r>
          </w:p>
          <w:p w14:paraId="51A045A8" w14:textId="7B5DBC39" w:rsidR="00163C53" w:rsidRPr="0005157F" w:rsidRDefault="00163C53" w:rsidP="00A20591">
            <w:pPr>
              <w:rPr>
                <w:sz w:val="17"/>
                <w:szCs w:val="17"/>
                <w:lang w:eastAsia="en-AU"/>
              </w:rPr>
            </w:pPr>
            <w:r w:rsidRPr="0005157F">
              <w:rPr>
                <w:sz w:val="17"/>
                <w:szCs w:val="17"/>
                <w:lang w:eastAsia="en-AU"/>
              </w:rPr>
              <w:t>*</w:t>
            </w:r>
            <w:r w:rsidR="00661FB0">
              <w:rPr>
                <w:sz w:val="17"/>
                <w:szCs w:val="17"/>
                <w:lang w:eastAsia="en-AU"/>
              </w:rPr>
              <w:t xml:space="preserve"> </w:t>
            </w:r>
            <w:r w:rsidRPr="0005157F">
              <w:rPr>
                <w:sz w:val="17"/>
                <w:szCs w:val="17"/>
                <w:lang w:eastAsia="en-AU"/>
              </w:rPr>
              <w:t xml:space="preserve">The reduction in the </w:t>
            </w:r>
            <w:r w:rsidR="00163EB9" w:rsidRPr="0005157F">
              <w:rPr>
                <w:sz w:val="17"/>
                <w:szCs w:val="17"/>
                <w:lang w:eastAsia="en-AU"/>
              </w:rPr>
              <w:t xml:space="preserve">prior year </w:t>
            </w:r>
            <w:r w:rsidR="00B710A7">
              <w:rPr>
                <w:sz w:val="17"/>
                <w:szCs w:val="17"/>
                <w:lang w:eastAsia="en-AU"/>
              </w:rPr>
              <w:t xml:space="preserve">local </w:t>
            </w:r>
            <w:r w:rsidR="00163EB9" w:rsidRPr="0005157F">
              <w:rPr>
                <w:sz w:val="17"/>
                <w:szCs w:val="17"/>
                <w:lang w:eastAsia="en-AU"/>
              </w:rPr>
              <w:t xml:space="preserve">tax </w:t>
            </w:r>
            <w:r w:rsidRPr="0005157F">
              <w:rPr>
                <w:sz w:val="17"/>
                <w:szCs w:val="17"/>
                <w:lang w:eastAsia="en-AU"/>
              </w:rPr>
              <w:t xml:space="preserve">liability </w:t>
            </w:r>
            <w:r w:rsidR="00163EB9" w:rsidRPr="0005157F">
              <w:rPr>
                <w:sz w:val="17"/>
                <w:szCs w:val="17"/>
                <w:lang w:eastAsia="en-AU"/>
              </w:rPr>
              <w:t xml:space="preserve">doesn’t result in a </w:t>
            </w:r>
            <w:r w:rsidR="000A3C76">
              <w:rPr>
                <w:sz w:val="17"/>
                <w:szCs w:val="17"/>
                <w:lang w:eastAsia="en-AU"/>
              </w:rPr>
              <w:t>Euro</w:t>
            </w:r>
            <w:r w:rsidR="006D6719">
              <w:rPr>
                <w:sz w:val="17"/>
                <w:szCs w:val="17"/>
                <w:lang w:eastAsia="en-AU"/>
              </w:rPr>
              <w:t>-</w:t>
            </w:r>
            <w:r w:rsidR="00163EB9" w:rsidRPr="0005157F">
              <w:rPr>
                <w:sz w:val="17"/>
                <w:szCs w:val="17"/>
                <w:lang w:eastAsia="en-AU"/>
              </w:rPr>
              <w:t>for</w:t>
            </w:r>
            <w:r w:rsidR="006D6719">
              <w:rPr>
                <w:sz w:val="17"/>
                <w:szCs w:val="17"/>
                <w:lang w:eastAsia="en-AU"/>
              </w:rPr>
              <w:t>-</w:t>
            </w:r>
            <w:r w:rsidR="000A3C76">
              <w:rPr>
                <w:sz w:val="17"/>
                <w:szCs w:val="17"/>
                <w:lang w:eastAsia="en-AU"/>
              </w:rPr>
              <w:t>Euro</w:t>
            </w:r>
            <w:r w:rsidR="00163EB9" w:rsidRPr="0005157F">
              <w:rPr>
                <w:sz w:val="17"/>
                <w:szCs w:val="17"/>
                <w:lang w:eastAsia="en-AU"/>
              </w:rPr>
              <w:t xml:space="preserve"> increase in top-up tax </w:t>
            </w:r>
            <w:r w:rsidR="0005157F" w:rsidRPr="0005157F">
              <w:rPr>
                <w:sz w:val="17"/>
                <w:szCs w:val="17"/>
                <w:lang w:eastAsia="en-AU"/>
              </w:rPr>
              <w:t>because of the impact of the substance</w:t>
            </w:r>
            <w:r w:rsidR="00BF705A">
              <w:rPr>
                <w:sz w:val="17"/>
                <w:szCs w:val="17"/>
                <w:lang w:eastAsia="en-AU"/>
              </w:rPr>
              <w:t>-</w:t>
            </w:r>
            <w:r w:rsidR="0005157F" w:rsidRPr="0005157F">
              <w:rPr>
                <w:sz w:val="17"/>
                <w:szCs w:val="17"/>
                <w:lang w:eastAsia="en-AU"/>
              </w:rPr>
              <w:t xml:space="preserve">based income exclusion in </w:t>
            </w:r>
            <w:r w:rsidR="006D6719">
              <w:rPr>
                <w:sz w:val="17"/>
                <w:szCs w:val="17"/>
                <w:lang w:eastAsia="en-AU"/>
              </w:rPr>
              <w:t>the prior</w:t>
            </w:r>
            <w:r w:rsidR="0005157F" w:rsidRPr="0005157F">
              <w:rPr>
                <w:sz w:val="17"/>
                <w:szCs w:val="17"/>
                <w:lang w:eastAsia="en-AU"/>
              </w:rPr>
              <w:t xml:space="preserve"> year.</w:t>
            </w:r>
          </w:p>
        </w:tc>
      </w:tr>
    </w:tbl>
    <w:bookmarkEnd w:id="56"/>
    <w:p w14:paraId="685A98B3" w14:textId="4B2952C6" w:rsidR="00243C7D" w:rsidRPr="00243C7D" w:rsidRDefault="00243C7D" w:rsidP="00BA00C7">
      <w:pPr>
        <w:pStyle w:val="NumberedParagraph"/>
        <w:rPr>
          <w:lang w:eastAsia="en-AU"/>
        </w:rPr>
      </w:pPr>
      <w:r w:rsidRPr="00243C7D">
        <w:rPr>
          <w:lang w:eastAsia="en-AU"/>
        </w:rPr>
        <w:t>Some countries may decide to introduce a</w:t>
      </w:r>
      <w:r w:rsidR="00C1138E">
        <w:rPr>
          <w:lang w:eastAsia="en-AU"/>
        </w:rPr>
        <w:t xml:space="preserve"> domestic minimum tax, or</w:t>
      </w:r>
      <w:r w:rsidRPr="00243C7D">
        <w:rPr>
          <w:lang w:eastAsia="en-AU"/>
        </w:rPr>
        <w:t xml:space="preserve"> </w:t>
      </w:r>
      <w:r w:rsidR="0062590C">
        <w:rPr>
          <w:lang w:eastAsia="en-AU"/>
        </w:rPr>
        <w:t>DMT</w:t>
      </w:r>
      <w:r w:rsidR="00C1138E">
        <w:rPr>
          <w:lang w:eastAsia="en-AU"/>
        </w:rPr>
        <w:t>,</w:t>
      </w:r>
      <w:r w:rsidR="00A85D1A">
        <w:rPr>
          <w:lang w:eastAsia="en-AU"/>
        </w:rPr>
        <w:t xml:space="preserve"> </w:t>
      </w:r>
      <w:r w:rsidRPr="00243C7D">
        <w:rPr>
          <w:lang w:eastAsia="en-AU"/>
        </w:rPr>
        <w:t xml:space="preserve">in response to Pillar </w:t>
      </w:r>
      <w:r w:rsidR="006A729C">
        <w:rPr>
          <w:lang w:eastAsia="en-AU"/>
        </w:rPr>
        <w:t>Two</w:t>
      </w:r>
      <w:r w:rsidRPr="00243C7D">
        <w:rPr>
          <w:lang w:eastAsia="en-AU"/>
        </w:rPr>
        <w:t xml:space="preserve">, in order to </w:t>
      </w:r>
      <w:r w:rsidR="005A2341">
        <w:rPr>
          <w:lang w:eastAsia="en-AU"/>
        </w:rPr>
        <w:t xml:space="preserve">collect themselves </w:t>
      </w:r>
      <w:r w:rsidRPr="00243C7D">
        <w:rPr>
          <w:lang w:eastAsia="en-AU"/>
        </w:rPr>
        <w:t>any top</w:t>
      </w:r>
      <w:r w:rsidR="0046319A">
        <w:rPr>
          <w:lang w:eastAsia="en-AU"/>
        </w:rPr>
        <w:t>-</w:t>
      </w:r>
      <w:r w:rsidRPr="00243C7D">
        <w:rPr>
          <w:lang w:eastAsia="en-AU"/>
        </w:rPr>
        <w:t xml:space="preserve">up tax imposed on the profits of a group’s </w:t>
      </w:r>
      <w:r w:rsidR="005A2341">
        <w:rPr>
          <w:lang w:eastAsia="en-AU"/>
        </w:rPr>
        <w:t xml:space="preserve">domestic </w:t>
      </w:r>
      <w:r w:rsidRPr="00243C7D">
        <w:rPr>
          <w:lang w:eastAsia="en-AU"/>
        </w:rPr>
        <w:t>entities. The top</w:t>
      </w:r>
      <w:r w:rsidR="0046319A">
        <w:rPr>
          <w:lang w:eastAsia="en-AU"/>
        </w:rPr>
        <w:t>-</w:t>
      </w:r>
      <w:r w:rsidRPr="00243C7D">
        <w:rPr>
          <w:lang w:eastAsia="en-AU"/>
        </w:rPr>
        <w:t xml:space="preserve">up collected under a qualifying </w:t>
      </w:r>
      <w:r w:rsidR="005A2341">
        <w:rPr>
          <w:lang w:eastAsia="en-AU"/>
        </w:rPr>
        <w:t>DMT</w:t>
      </w:r>
      <w:r w:rsidRPr="00243C7D">
        <w:rPr>
          <w:lang w:eastAsia="en-AU"/>
        </w:rPr>
        <w:t xml:space="preserve"> is subtracted from the top</w:t>
      </w:r>
      <w:r w:rsidR="00AF0FC3">
        <w:rPr>
          <w:lang w:eastAsia="en-AU"/>
        </w:rPr>
        <w:t>-</w:t>
      </w:r>
      <w:r w:rsidRPr="00243C7D">
        <w:rPr>
          <w:lang w:eastAsia="en-AU"/>
        </w:rPr>
        <w:t xml:space="preserve">up tax charged under the GloBE rules. This means the </w:t>
      </w:r>
      <w:r w:rsidR="006D353C">
        <w:rPr>
          <w:lang w:eastAsia="en-AU"/>
        </w:rPr>
        <w:t>DMT</w:t>
      </w:r>
      <w:r w:rsidRPr="00243C7D">
        <w:rPr>
          <w:lang w:eastAsia="en-AU"/>
        </w:rPr>
        <w:t xml:space="preserve"> has a very different place in the rules from ordinary income taxes, which are included in the ETR calculation</w:t>
      </w:r>
      <w:r w:rsidR="00C028F0">
        <w:rPr>
          <w:lang w:eastAsia="en-AU"/>
        </w:rPr>
        <w:t xml:space="preserve">. </w:t>
      </w:r>
      <w:r w:rsidRPr="00243C7D">
        <w:rPr>
          <w:lang w:eastAsia="en-AU"/>
        </w:rPr>
        <w:t xml:space="preserve">A qualifying </w:t>
      </w:r>
      <w:r w:rsidR="006D353C">
        <w:rPr>
          <w:lang w:eastAsia="en-AU"/>
        </w:rPr>
        <w:t>DMT</w:t>
      </w:r>
      <w:r w:rsidRPr="00243C7D">
        <w:rPr>
          <w:lang w:eastAsia="en-AU"/>
        </w:rPr>
        <w:t xml:space="preserve"> reduces any top-up tax on a dollar-for-dollar basis whereas ordinary taxes are diluted by the substance-based income exclusion.</w:t>
      </w:r>
    </w:p>
    <w:p w14:paraId="1913A0CF" w14:textId="0088CE8E" w:rsidR="00243C7D" w:rsidRPr="00243C7D" w:rsidRDefault="00243C7D" w:rsidP="00BA00C7">
      <w:pPr>
        <w:pStyle w:val="NumberedParagraph"/>
        <w:rPr>
          <w:lang w:eastAsia="en-AU"/>
        </w:rPr>
      </w:pPr>
      <w:r w:rsidRPr="00243C7D">
        <w:rPr>
          <w:lang w:eastAsia="en-AU"/>
        </w:rPr>
        <w:t xml:space="preserve">A </w:t>
      </w:r>
      <w:r w:rsidR="006D353C">
        <w:rPr>
          <w:lang w:eastAsia="en-AU"/>
        </w:rPr>
        <w:t>DMT</w:t>
      </w:r>
      <w:r w:rsidRPr="00243C7D">
        <w:rPr>
          <w:lang w:eastAsia="en-AU"/>
        </w:rPr>
        <w:t xml:space="preserve"> will be qualifying if it imposes an additional top</w:t>
      </w:r>
      <w:r w:rsidR="006E1702">
        <w:rPr>
          <w:lang w:eastAsia="en-AU"/>
        </w:rPr>
        <w:t>-</w:t>
      </w:r>
      <w:r w:rsidRPr="00243C7D">
        <w:rPr>
          <w:lang w:eastAsia="en-AU"/>
        </w:rPr>
        <w:t>up tax to domestic entities and the top</w:t>
      </w:r>
      <w:r w:rsidR="00B34934">
        <w:rPr>
          <w:lang w:eastAsia="en-AU"/>
        </w:rPr>
        <w:t>-</w:t>
      </w:r>
      <w:r w:rsidRPr="00243C7D">
        <w:rPr>
          <w:lang w:eastAsia="en-AU"/>
        </w:rPr>
        <w:t>up is calculated on the same basis as the GloBE rules</w:t>
      </w:r>
      <w:r w:rsidR="008D2B85">
        <w:rPr>
          <w:lang w:eastAsia="en-AU"/>
        </w:rPr>
        <w:t xml:space="preserve">. </w:t>
      </w:r>
      <w:r w:rsidR="004A38C3">
        <w:rPr>
          <w:lang w:eastAsia="en-AU"/>
        </w:rPr>
        <w:t>The possibility of a DMT for New Zealand is discussed in chapter 14.</w:t>
      </w:r>
    </w:p>
    <w:p w14:paraId="07CC94E6" w14:textId="73C9CBB6" w:rsidR="00243C7D" w:rsidRPr="00243C7D" w:rsidRDefault="00243C7D" w:rsidP="00BA00C7">
      <w:pPr>
        <w:pStyle w:val="Heading2"/>
        <w:rPr>
          <w:lang w:eastAsia="en-AU"/>
        </w:rPr>
      </w:pPr>
      <w:bookmarkStart w:id="57" w:name="_Toc101095596"/>
      <w:r w:rsidRPr="00243C7D">
        <w:rPr>
          <w:lang w:eastAsia="en-AU"/>
        </w:rPr>
        <w:lastRenderedPageBreak/>
        <w:t>Allocation of a jurisdiction’s top</w:t>
      </w:r>
      <w:r w:rsidR="00765F0E">
        <w:rPr>
          <w:lang w:eastAsia="en-AU"/>
        </w:rPr>
        <w:t>-</w:t>
      </w:r>
      <w:r w:rsidRPr="00243C7D">
        <w:rPr>
          <w:lang w:eastAsia="en-AU"/>
        </w:rPr>
        <w:t>up tax to constituent entities</w:t>
      </w:r>
      <w:bookmarkEnd w:id="57"/>
    </w:p>
    <w:p w14:paraId="10CD13B4" w14:textId="1EA20A91" w:rsidR="00243C7D" w:rsidRPr="00243C7D" w:rsidRDefault="00243C7D" w:rsidP="006F20BB">
      <w:pPr>
        <w:pStyle w:val="NumberedParagraph"/>
        <w:rPr>
          <w:lang w:eastAsia="en-AU"/>
        </w:rPr>
      </w:pPr>
      <w:r w:rsidRPr="00243C7D">
        <w:rPr>
          <w:lang w:eastAsia="en-AU"/>
        </w:rPr>
        <w:t>The final step is to allocate the jurisdiction</w:t>
      </w:r>
      <w:r w:rsidR="00E00C7F">
        <w:rPr>
          <w:lang w:eastAsia="en-AU"/>
        </w:rPr>
        <w:t>al</w:t>
      </w:r>
      <w:r w:rsidRPr="00243C7D">
        <w:rPr>
          <w:lang w:eastAsia="en-AU"/>
        </w:rPr>
        <w:t xml:space="preserve"> top</w:t>
      </w:r>
      <w:r w:rsidR="006C7275">
        <w:rPr>
          <w:lang w:eastAsia="en-AU"/>
        </w:rPr>
        <w:t>-</w:t>
      </w:r>
      <w:r w:rsidRPr="00243C7D">
        <w:rPr>
          <w:lang w:eastAsia="en-AU"/>
        </w:rPr>
        <w:t>up tax to the individual constituent entities in the</w:t>
      </w:r>
      <w:r w:rsidR="00911824">
        <w:rPr>
          <w:lang w:eastAsia="en-AU"/>
        </w:rPr>
        <w:t xml:space="preserve"> low tax</w:t>
      </w:r>
      <w:r w:rsidRPr="00243C7D">
        <w:rPr>
          <w:lang w:eastAsia="en-AU"/>
        </w:rPr>
        <w:t xml:space="preserve"> jurisdiction</w:t>
      </w:r>
      <w:r w:rsidR="008D2B85">
        <w:rPr>
          <w:lang w:eastAsia="en-AU"/>
        </w:rPr>
        <w:t xml:space="preserve">. </w:t>
      </w:r>
      <w:r w:rsidRPr="00243C7D">
        <w:rPr>
          <w:lang w:eastAsia="en-AU"/>
        </w:rPr>
        <w:t xml:space="preserve">This </w:t>
      </w:r>
      <w:r w:rsidR="00BD3CAA">
        <w:rPr>
          <w:lang w:eastAsia="en-AU"/>
        </w:rPr>
        <w:t xml:space="preserve">paves the way for the final step in the process, which is for the tax allocated to the low tax entities to then </w:t>
      </w:r>
      <w:r w:rsidRPr="00243C7D">
        <w:rPr>
          <w:lang w:eastAsia="en-AU"/>
        </w:rPr>
        <w:t xml:space="preserve">be allocated under Article 2 of the Model Rules to the entities </w:t>
      </w:r>
      <w:r w:rsidR="00BD3CAA">
        <w:rPr>
          <w:lang w:eastAsia="en-AU"/>
        </w:rPr>
        <w:t xml:space="preserve">required to pay tax under </w:t>
      </w:r>
      <w:r w:rsidRPr="00243C7D">
        <w:rPr>
          <w:lang w:eastAsia="en-AU"/>
        </w:rPr>
        <w:t>the IIR and UTPR.</w:t>
      </w:r>
    </w:p>
    <w:p w14:paraId="1FD18CD7" w14:textId="068FDA8E" w:rsidR="00243C7D" w:rsidRPr="00243C7D" w:rsidRDefault="00243C7D" w:rsidP="006F20BB">
      <w:pPr>
        <w:pStyle w:val="NumberedParagraph"/>
        <w:rPr>
          <w:lang w:eastAsia="en-AU"/>
        </w:rPr>
      </w:pPr>
      <w:r w:rsidRPr="00243C7D">
        <w:rPr>
          <w:lang w:eastAsia="en-AU"/>
        </w:rPr>
        <w:t xml:space="preserve">This </w:t>
      </w:r>
      <w:r w:rsidR="003244D0">
        <w:rPr>
          <w:lang w:eastAsia="en-AU"/>
        </w:rPr>
        <w:t xml:space="preserve">allocation amongst the low tax constituent entities </w:t>
      </w:r>
      <w:r w:rsidRPr="00243C7D">
        <w:rPr>
          <w:lang w:eastAsia="en-AU"/>
        </w:rPr>
        <w:t>is necessary to deal with situations where some of the top</w:t>
      </w:r>
      <w:r w:rsidR="00903DE8">
        <w:rPr>
          <w:lang w:eastAsia="en-AU"/>
        </w:rPr>
        <w:t>-</w:t>
      </w:r>
      <w:r w:rsidRPr="00243C7D">
        <w:rPr>
          <w:lang w:eastAsia="en-AU"/>
        </w:rPr>
        <w:t xml:space="preserve">up tax is charged </w:t>
      </w:r>
      <w:r w:rsidR="00BD3CAA">
        <w:rPr>
          <w:lang w:eastAsia="en-AU"/>
        </w:rPr>
        <w:t xml:space="preserve">to </w:t>
      </w:r>
      <w:r w:rsidRPr="00243C7D">
        <w:rPr>
          <w:lang w:eastAsia="en-AU"/>
        </w:rPr>
        <w:t>an entity which is not the UPE. For example, if the UPE is not subject to a qualified IIR, the top</w:t>
      </w:r>
      <w:r w:rsidR="00D6370E">
        <w:rPr>
          <w:lang w:eastAsia="en-AU"/>
        </w:rPr>
        <w:t>-</w:t>
      </w:r>
      <w:r w:rsidRPr="00243C7D">
        <w:rPr>
          <w:lang w:eastAsia="en-AU"/>
        </w:rPr>
        <w:t>up tax may be collected through a combination of the IIR applied at different levels of the group structure and the UTPR (as described in the next chapter). Allocating the top</w:t>
      </w:r>
      <w:r w:rsidR="00195F8A">
        <w:rPr>
          <w:lang w:eastAsia="en-AU"/>
        </w:rPr>
        <w:t>-</w:t>
      </w:r>
      <w:r w:rsidRPr="00243C7D">
        <w:rPr>
          <w:lang w:eastAsia="en-AU"/>
        </w:rPr>
        <w:t>up tax to individual constituent entities ensures the different charging rules can be coordinated.</w:t>
      </w:r>
    </w:p>
    <w:p w14:paraId="4E46F69B" w14:textId="4D076AD7" w:rsidR="00243C7D" w:rsidRPr="00243C7D" w:rsidRDefault="00243C7D" w:rsidP="006F20BB">
      <w:pPr>
        <w:pStyle w:val="NumberedParagraph"/>
        <w:rPr>
          <w:lang w:eastAsia="en-AU"/>
        </w:rPr>
      </w:pPr>
      <w:r w:rsidRPr="00243C7D">
        <w:rPr>
          <w:lang w:eastAsia="en-AU"/>
        </w:rPr>
        <w:t>It is also necessary because the IIR is intended to collect top</w:t>
      </w:r>
      <w:r w:rsidR="0027581C">
        <w:rPr>
          <w:lang w:eastAsia="en-AU"/>
        </w:rPr>
        <w:t>-</w:t>
      </w:r>
      <w:r w:rsidRPr="00243C7D">
        <w:rPr>
          <w:lang w:eastAsia="en-AU"/>
        </w:rPr>
        <w:t>up tax from a parent entity based on its interest in a low</w:t>
      </w:r>
      <w:r w:rsidR="0096033D">
        <w:rPr>
          <w:lang w:eastAsia="en-AU"/>
        </w:rPr>
        <w:t>-</w:t>
      </w:r>
      <w:r w:rsidRPr="00243C7D">
        <w:rPr>
          <w:lang w:eastAsia="en-AU"/>
        </w:rPr>
        <w:t>taxed constituent entity. This means that where a parent applying the IIR does not wholly own a low</w:t>
      </w:r>
      <w:r w:rsidR="00504F24">
        <w:rPr>
          <w:lang w:eastAsia="en-AU"/>
        </w:rPr>
        <w:t>-</w:t>
      </w:r>
      <w:r w:rsidRPr="00243C7D">
        <w:rPr>
          <w:lang w:eastAsia="en-AU"/>
        </w:rPr>
        <w:t>taxed constituent entity, it will only bear the cost of its proportional share of top</w:t>
      </w:r>
      <w:r w:rsidR="00504F24">
        <w:rPr>
          <w:lang w:eastAsia="en-AU"/>
        </w:rPr>
        <w:t>-</w:t>
      </w:r>
      <w:r w:rsidRPr="00243C7D">
        <w:rPr>
          <w:lang w:eastAsia="en-AU"/>
        </w:rPr>
        <w:t>up tax. Allocating top</w:t>
      </w:r>
      <w:r w:rsidR="006E1702">
        <w:rPr>
          <w:lang w:eastAsia="en-AU"/>
        </w:rPr>
        <w:t>-</w:t>
      </w:r>
      <w:r w:rsidRPr="00243C7D">
        <w:rPr>
          <w:lang w:eastAsia="en-AU"/>
        </w:rPr>
        <w:t xml:space="preserve">up tax to </w:t>
      </w:r>
      <w:r w:rsidR="00BD3CAA">
        <w:rPr>
          <w:lang w:eastAsia="en-AU"/>
        </w:rPr>
        <w:t xml:space="preserve">low tax </w:t>
      </w:r>
      <w:r w:rsidRPr="00243C7D">
        <w:rPr>
          <w:lang w:eastAsia="en-AU"/>
        </w:rPr>
        <w:t>constituent entities is an important step in achieving this outcome.</w:t>
      </w:r>
    </w:p>
    <w:p w14:paraId="337584C2" w14:textId="31CD0498" w:rsidR="00243C7D" w:rsidRDefault="00243C7D" w:rsidP="006F20BB">
      <w:pPr>
        <w:pStyle w:val="NumberedParagraph"/>
        <w:rPr>
          <w:lang w:eastAsia="en-AU"/>
        </w:rPr>
      </w:pPr>
      <w:r w:rsidRPr="00243C7D">
        <w:rPr>
          <w:lang w:eastAsia="en-AU"/>
        </w:rPr>
        <w:t>The GloBE rules generally allocate the top</w:t>
      </w:r>
      <w:r w:rsidR="00504F24">
        <w:rPr>
          <w:lang w:eastAsia="en-AU"/>
        </w:rPr>
        <w:t>-</w:t>
      </w:r>
      <w:r w:rsidRPr="00243C7D">
        <w:rPr>
          <w:lang w:eastAsia="en-AU"/>
        </w:rPr>
        <w:t>up tax for a jurisdiction between the constituent entities located in the jurisdiction based on their proportion of the jurisdictional GloBE income.</w:t>
      </w:r>
    </w:p>
    <w:tbl>
      <w:tblPr>
        <w:tblStyle w:val="ExampleBox"/>
        <w:tblW w:w="0" w:type="auto"/>
        <w:tblLook w:val="04A0" w:firstRow="1" w:lastRow="0" w:firstColumn="1" w:lastColumn="0" w:noHBand="0" w:noVBand="1"/>
      </w:tblPr>
      <w:tblGrid>
        <w:gridCol w:w="7917"/>
      </w:tblGrid>
      <w:tr w:rsidR="00071B2E" w14:paraId="52F3B75A" w14:textId="77777777" w:rsidTr="00A1232E">
        <w:tc>
          <w:tcPr>
            <w:tcW w:w="7917" w:type="dxa"/>
          </w:tcPr>
          <w:p w14:paraId="3358F67E" w14:textId="0CADA574" w:rsidR="00071B2E" w:rsidRPr="00407199" w:rsidRDefault="00071B2E" w:rsidP="00A1232E">
            <w:pPr>
              <w:pStyle w:val="Caption"/>
              <w:jc w:val="both"/>
            </w:pPr>
            <w:r w:rsidRPr="00407199">
              <w:t xml:space="preserve">Example </w:t>
            </w:r>
            <w:r w:rsidR="00BA3215" w:rsidRPr="00407199">
              <w:t>10</w:t>
            </w:r>
            <w:r w:rsidRPr="00407199">
              <w:t>: Allocating top-up tax to constituent entities</w:t>
            </w:r>
          </w:p>
          <w:p w14:paraId="42352DAD" w14:textId="75D11B9E" w:rsidR="00071B2E" w:rsidRDefault="00334A62" w:rsidP="00070086">
            <w:pPr>
              <w:rPr>
                <w:lang w:eastAsia="en-AU"/>
              </w:rPr>
            </w:pPr>
            <w:r w:rsidRPr="00407199">
              <w:rPr>
                <w:lang w:eastAsia="en-AU"/>
              </w:rPr>
              <w:t>Continuing example</w:t>
            </w:r>
            <w:r w:rsidR="00BA3215" w:rsidRPr="00407199">
              <w:rPr>
                <w:lang w:eastAsia="en-AU"/>
              </w:rPr>
              <w:t xml:space="preserve"> 9</w:t>
            </w:r>
            <w:r w:rsidRPr="00407199">
              <w:rPr>
                <w:lang w:eastAsia="en-AU"/>
              </w:rPr>
              <w:t xml:space="preserve">, </w:t>
            </w:r>
            <w:r w:rsidR="00CB07BA" w:rsidRPr="00407199">
              <w:rPr>
                <w:lang w:eastAsia="en-AU"/>
              </w:rPr>
              <w:t xml:space="preserve">the </w:t>
            </w:r>
            <w:r w:rsidR="00B13652" w:rsidRPr="00407199">
              <w:rPr>
                <w:lang w:eastAsia="en-AU"/>
              </w:rPr>
              <w:t xml:space="preserve">total </w:t>
            </w:r>
            <w:r w:rsidR="00CB07BA" w:rsidRPr="00407199">
              <w:rPr>
                <w:lang w:eastAsia="en-AU"/>
              </w:rPr>
              <w:t xml:space="preserve">top-up tax for </w:t>
            </w:r>
            <w:r w:rsidR="00B13652" w:rsidRPr="00407199">
              <w:rPr>
                <w:lang w:eastAsia="en-AU"/>
              </w:rPr>
              <w:t xml:space="preserve">Jurisdiction A for </w:t>
            </w:r>
            <w:r w:rsidR="00CB07BA" w:rsidRPr="00407199">
              <w:rPr>
                <w:lang w:eastAsia="en-AU"/>
              </w:rPr>
              <w:t xml:space="preserve">the current Fiscal Year of </w:t>
            </w:r>
            <w:r w:rsidR="000A3C76" w:rsidRPr="00407199">
              <w:rPr>
                <w:snapToGrid w:val="0"/>
              </w:rPr>
              <w:t>€</w:t>
            </w:r>
            <w:r w:rsidR="00116365" w:rsidRPr="00407199">
              <w:rPr>
                <w:snapToGrid w:val="0"/>
              </w:rPr>
              <w:t>5.</w:t>
            </w:r>
            <w:r w:rsidR="00CB07BA" w:rsidRPr="00407199">
              <w:rPr>
                <w:lang w:eastAsia="en-AU"/>
              </w:rPr>
              <w:t xml:space="preserve">5 million is </w:t>
            </w:r>
            <w:r w:rsidR="00AE5DE6" w:rsidRPr="00407199">
              <w:rPr>
                <w:lang w:eastAsia="en-AU"/>
              </w:rPr>
              <w:t xml:space="preserve">allocated </w:t>
            </w:r>
            <w:r w:rsidR="00BF52B0" w:rsidRPr="00407199">
              <w:rPr>
                <w:lang w:eastAsia="en-AU"/>
              </w:rPr>
              <w:t xml:space="preserve">to each constituent entity </w:t>
            </w:r>
            <w:r w:rsidR="00B13652" w:rsidRPr="00407199">
              <w:rPr>
                <w:lang w:eastAsia="en-AU"/>
              </w:rPr>
              <w:t xml:space="preserve">located </w:t>
            </w:r>
            <w:r w:rsidR="00EC3DBE" w:rsidRPr="00407199">
              <w:rPr>
                <w:lang w:eastAsia="en-AU"/>
              </w:rPr>
              <w:t xml:space="preserve">in Jurisdiction A </w:t>
            </w:r>
            <w:r w:rsidR="00BF52B0" w:rsidRPr="00407199">
              <w:rPr>
                <w:lang w:eastAsia="en-AU"/>
              </w:rPr>
              <w:t>based</w:t>
            </w:r>
            <w:r w:rsidR="00BF52B0">
              <w:rPr>
                <w:lang w:eastAsia="en-AU"/>
              </w:rPr>
              <w:t xml:space="preserve"> on </w:t>
            </w:r>
            <w:r w:rsidR="00EC3DBE">
              <w:rPr>
                <w:lang w:eastAsia="en-AU"/>
              </w:rPr>
              <w:t xml:space="preserve">its proportion of the </w:t>
            </w:r>
            <w:r w:rsidR="0075327D">
              <w:rPr>
                <w:lang w:eastAsia="en-AU"/>
              </w:rPr>
              <w:t>net GloBE income for Jurisdiction A.</w:t>
            </w:r>
          </w:p>
          <w:p w14:paraId="0FA6DB90" w14:textId="6138B62F" w:rsidR="0075327D" w:rsidRDefault="0075327D" w:rsidP="00070086">
            <w:pPr>
              <w:rPr>
                <w:lang w:eastAsia="en-AU"/>
              </w:rPr>
            </w:pPr>
            <w:r>
              <w:rPr>
                <w:lang w:eastAsia="en-AU"/>
              </w:rPr>
              <w:t xml:space="preserve">Constituent Entity 1 is allocated </w:t>
            </w:r>
            <w:r w:rsidR="000A3C76" w:rsidRPr="006E1F71">
              <w:rPr>
                <w:snapToGrid w:val="0"/>
              </w:rPr>
              <w:t>€</w:t>
            </w:r>
            <w:r w:rsidR="00116365">
              <w:rPr>
                <w:snapToGrid w:val="0"/>
              </w:rPr>
              <w:t>4.</w:t>
            </w:r>
            <w:r w:rsidR="00116365">
              <w:rPr>
                <w:lang w:eastAsia="en-AU"/>
              </w:rPr>
              <w:t>4</w:t>
            </w:r>
            <w:r>
              <w:rPr>
                <w:lang w:eastAsia="en-AU"/>
              </w:rPr>
              <w:t xml:space="preserve"> million (</w:t>
            </w:r>
            <w:r w:rsidR="00146A88">
              <w:rPr>
                <w:lang w:eastAsia="en-AU"/>
              </w:rPr>
              <w:t xml:space="preserve">Constituent Entity 1 </w:t>
            </w:r>
            <w:r w:rsidR="00247DD4">
              <w:rPr>
                <w:lang w:eastAsia="en-AU"/>
              </w:rPr>
              <w:t xml:space="preserve">GloBE income of </w:t>
            </w:r>
            <w:r w:rsidR="000A3C76" w:rsidRPr="006E1F71">
              <w:rPr>
                <w:snapToGrid w:val="0"/>
              </w:rPr>
              <w:t>€</w:t>
            </w:r>
            <w:r w:rsidR="00247DD4">
              <w:rPr>
                <w:lang w:eastAsia="en-AU"/>
              </w:rPr>
              <w:t>80</w:t>
            </w:r>
            <w:r w:rsidR="00E33A78">
              <w:rPr>
                <w:lang w:eastAsia="en-AU"/>
              </w:rPr>
              <w:t xml:space="preserve"> million</w:t>
            </w:r>
            <w:r w:rsidR="00146A88">
              <w:rPr>
                <w:lang w:eastAsia="en-AU"/>
              </w:rPr>
              <w:t xml:space="preserve"> </w:t>
            </w:r>
            <w:r w:rsidR="00247DD4">
              <w:rPr>
                <w:lang w:eastAsia="en-AU"/>
              </w:rPr>
              <w:t>/</w:t>
            </w:r>
            <w:r w:rsidR="00146A88">
              <w:rPr>
                <w:lang w:eastAsia="en-AU"/>
              </w:rPr>
              <w:t xml:space="preserve"> </w:t>
            </w:r>
            <w:r w:rsidR="00B00995">
              <w:rPr>
                <w:lang w:eastAsia="en-AU"/>
              </w:rPr>
              <w:t xml:space="preserve">jurisdictional GloBE income of </w:t>
            </w:r>
            <w:r w:rsidR="000A3C76" w:rsidRPr="006E1F71">
              <w:rPr>
                <w:snapToGrid w:val="0"/>
              </w:rPr>
              <w:t>€</w:t>
            </w:r>
            <w:r w:rsidR="00B00995">
              <w:rPr>
                <w:lang w:eastAsia="en-AU"/>
              </w:rPr>
              <w:t>100 million</w:t>
            </w:r>
            <w:r w:rsidR="00E33A78">
              <w:rPr>
                <w:lang w:eastAsia="en-AU"/>
              </w:rPr>
              <w:t xml:space="preserve"> x top-up tax of </w:t>
            </w:r>
            <w:r w:rsidR="000A3C76" w:rsidRPr="006E1F71">
              <w:rPr>
                <w:snapToGrid w:val="0"/>
              </w:rPr>
              <w:t>€</w:t>
            </w:r>
            <w:r w:rsidR="00116365">
              <w:rPr>
                <w:snapToGrid w:val="0"/>
              </w:rPr>
              <w:t>5.5</w:t>
            </w:r>
            <w:r w:rsidR="00E33A78">
              <w:rPr>
                <w:lang w:eastAsia="en-AU"/>
              </w:rPr>
              <w:t xml:space="preserve"> million)</w:t>
            </w:r>
            <w:r w:rsidR="00146A88">
              <w:rPr>
                <w:lang w:eastAsia="en-AU"/>
              </w:rPr>
              <w:t>.</w:t>
            </w:r>
          </w:p>
          <w:p w14:paraId="7D16136A" w14:textId="443CEF93" w:rsidR="00E33A78" w:rsidRDefault="00E33A78" w:rsidP="00E33A78">
            <w:pPr>
              <w:rPr>
                <w:lang w:eastAsia="en-AU"/>
              </w:rPr>
            </w:pPr>
            <w:r>
              <w:rPr>
                <w:lang w:eastAsia="en-AU"/>
              </w:rPr>
              <w:t xml:space="preserve">Constituent Entity 2 is allocated </w:t>
            </w:r>
            <w:r w:rsidR="000A3C76" w:rsidRPr="006E1F71">
              <w:rPr>
                <w:snapToGrid w:val="0"/>
              </w:rPr>
              <w:t>€</w:t>
            </w:r>
            <w:r w:rsidR="00116365">
              <w:rPr>
                <w:snapToGrid w:val="0"/>
              </w:rPr>
              <w:t>1.</w:t>
            </w:r>
            <w:r w:rsidR="00116365">
              <w:rPr>
                <w:lang w:eastAsia="en-AU"/>
              </w:rPr>
              <w:t>1</w:t>
            </w:r>
            <w:r>
              <w:rPr>
                <w:lang w:eastAsia="en-AU"/>
              </w:rPr>
              <w:t xml:space="preserve"> million (</w:t>
            </w:r>
            <w:r w:rsidR="00146A88">
              <w:rPr>
                <w:lang w:eastAsia="en-AU"/>
              </w:rPr>
              <w:t xml:space="preserve">Constituent Entity 2 </w:t>
            </w:r>
            <w:r>
              <w:rPr>
                <w:lang w:eastAsia="en-AU"/>
              </w:rPr>
              <w:t xml:space="preserve">GloBE income of </w:t>
            </w:r>
            <w:r w:rsidR="000A3C76" w:rsidRPr="006E1F71">
              <w:rPr>
                <w:snapToGrid w:val="0"/>
              </w:rPr>
              <w:t>€</w:t>
            </w:r>
            <w:r w:rsidR="00116365">
              <w:rPr>
                <w:lang w:eastAsia="en-AU"/>
              </w:rPr>
              <w:t>20</w:t>
            </w:r>
            <w:r>
              <w:rPr>
                <w:lang w:eastAsia="en-AU"/>
              </w:rPr>
              <w:t xml:space="preserve"> milli</w:t>
            </w:r>
            <w:r w:rsidR="00146A88">
              <w:rPr>
                <w:lang w:eastAsia="en-AU"/>
              </w:rPr>
              <w:t>o</w:t>
            </w:r>
            <w:r>
              <w:rPr>
                <w:lang w:eastAsia="en-AU"/>
              </w:rPr>
              <w:t>n</w:t>
            </w:r>
            <w:r w:rsidR="00146A88">
              <w:rPr>
                <w:lang w:eastAsia="en-AU"/>
              </w:rPr>
              <w:t xml:space="preserve"> </w:t>
            </w:r>
            <w:r>
              <w:rPr>
                <w:lang w:eastAsia="en-AU"/>
              </w:rPr>
              <w:t>/</w:t>
            </w:r>
            <w:r w:rsidR="00146A88">
              <w:rPr>
                <w:lang w:eastAsia="en-AU"/>
              </w:rPr>
              <w:t xml:space="preserve"> </w:t>
            </w:r>
            <w:r>
              <w:rPr>
                <w:lang w:eastAsia="en-AU"/>
              </w:rPr>
              <w:t xml:space="preserve">jurisdictional GloBE income of </w:t>
            </w:r>
            <w:r w:rsidR="000A3C76" w:rsidRPr="006E1F71">
              <w:rPr>
                <w:snapToGrid w:val="0"/>
              </w:rPr>
              <w:t>€</w:t>
            </w:r>
            <w:r>
              <w:rPr>
                <w:lang w:eastAsia="en-AU"/>
              </w:rPr>
              <w:t>1</w:t>
            </w:r>
            <w:r w:rsidR="00116365">
              <w:rPr>
                <w:lang w:eastAsia="en-AU"/>
              </w:rPr>
              <w:t>00</w:t>
            </w:r>
            <w:r>
              <w:rPr>
                <w:lang w:eastAsia="en-AU"/>
              </w:rPr>
              <w:t xml:space="preserve"> million x top-up tax of </w:t>
            </w:r>
            <w:r w:rsidR="00C85C55" w:rsidRPr="006E1F71">
              <w:rPr>
                <w:snapToGrid w:val="0"/>
              </w:rPr>
              <w:t>€</w:t>
            </w:r>
            <w:r w:rsidR="00116365">
              <w:rPr>
                <w:snapToGrid w:val="0"/>
              </w:rPr>
              <w:t>5.5</w:t>
            </w:r>
            <w:r>
              <w:rPr>
                <w:lang w:eastAsia="en-AU"/>
              </w:rPr>
              <w:t xml:space="preserve"> million)</w:t>
            </w:r>
            <w:r w:rsidR="00146A88">
              <w:rPr>
                <w:lang w:eastAsia="en-AU"/>
              </w:rPr>
              <w:t>.</w:t>
            </w:r>
          </w:p>
        </w:tc>
      </w:tr>
    </w:tbl>
    <w:p w14:paraId="5FB94132" w14:textId="30884C81" w:rsidR="0098609D" w:rsidRDefault="00243C7D" w:rsidP="00E92D57">
      <w:pPr>
        <w:pStyle w:val="NumberedParagraph"/>
        <w:rPr>
          <w:lang w:eastAsia="en-AU"/>
        </w:rPr>
      </w:pPr>
      <w:r w:rsidRPr="00243C7D">
        <w:rPr>
          <w:lang w:eastAsia="en-AU"/>
        </w:rPr>
        <w:t>There are special rules to deal with situations when top</w:t>
      </w:r>
      <w:r w:rsidR="00730E7E">
        <w:rPr>
          <w:lang w:eastAsia="en-AU"/>
        </w:rPr>
        <w:t>-</w:t>
      </w:r>
      <w:r w:rsidRPr="00243C7D">
        <w:rPr>
          <w:lang w:eastAsia="en-AU"/>
        </w:rPr>
        <w:t xml:space="preserve">up taxes are payable when there is no GloBE income in the jurisdiction, for example when </w:t>
      </w:r>
      <w:r w:rsidR="007A64B0">
        <w:rPr>
          <w:lang w:eastAsia="en-AU"/>
        </w:rPr>
        <w:t xml:space="preserve">all </w:t>
      </w:r>
      <w:r w:rsidR="00D73749">
        <w:rPr>
          <w:lang w:eastAsia="en-AU"/>
        </w:rPr>
        <w:t xml:space="preserve">the top-up tax for the year relates to </w:t>
      </w:r>
      <w:r w:rsidRPr="00243C7D">
        <w:rPr>
          <w:lang w:eastAsia="en-AU"/>
        </w:rPr>
        <w:t>a recalculation of the ETR from an earlier year.</w:t>
      </w:r>
    </w:p>
    <w:tbl>
      <w:tblPr>
        <w:tblStyle w:val="QuestionBox"/>
        <w:tblW w:w="8779" w:type="dxa"/>
        <w:tblLook w:val="04A0" w:firstRow="1" w:lastRow="0" w:firstColumn="1" w:lastColumn="0" w:noHBand="0" w:noVBand="1"/>
      </w:tblPr>
      <w:tblGrid>
        <w:gridCol w:w="8779"/>
      </w:tblGrid>
      <w:tr w:rsidR="008F1428" w14:paraId="5DD6D6D0" w14:textId="77777777" w:rsidTr="004C6CC8">
        <w:tc>
          <w:tcPr>
            <w:tcW w:w="8779" w:type="dxa"/>
          </w:tcPr>
          <w:p w14:paraId="5473012F" w14:textId="77777777" w:rsidR="008F1428" w:rsidRPr="000E77C5" w:rsidRDefault="008F1428" w:rsidP="00180725">
            <w:pPr>
              <w:rPr>
                <w:rStyle w:val="Strong"/>
              </w:rPr>
            </w:pPr>
            <w:r w:rsidRPr="000E77C5">
              <w:rPr>
                <w:rStyle w:val="Strong"/>
              </w:rPr>
              <w:t>Question for submitters</w:t>
            </w:r>
          </w:p>
          <w:p w14:paraId="5B015997" w14:textId="2B792734" w:rsidR="008F1428" w:rsidRPr="00A675EB" w:rsidRDefault="008F1428" w:rsidP="00180725">
            <w:pPr>
              <w:pStyle w:val="ListBullet"/>
              <w:rPr>
                <w:lang w:eastAsia="en-AU"/>
              </w:rPr>
            </w:pPr>
            <w:r w:rsidRPr="00A675EB">
              <w:rPr>
                <w:lang w:eastAsia="en-AU"/>
              </w:rPr>
              <w:t>Do you have comments on the process for calculating top</w:t>
            </w:r>
            <w:r w:rsidR="004B6E1D">
              <w:rPr>
                <w:lang w:eastAsia="en-AU"/>
              </w:rPr>
              <w:t>-</w:t>
            </w:r>
            <w:r w:rsidRPr="00A675EB">
              <w:rPr>
                <w:lang w:eastAsia="en-AU"/>
              </w:rPr>
              <w:t>up tax and attributing it to entities in a particular low tax jurisdiction?</w:t>
            </w:r>
          </w:p>
        </w:tc>
      </w:tr>
    </w:tbl>
    <w:p w14:paraId="5AD4E043" w14:textId="4BE88379" w:rsidR="00D748D1" w:rsidRPr="003705F7" w:rsidRDefault="003705F7" w:rsidP="000237C4">
      <w:pPr>
        <w:pStyle w:val="Heading1"/>
        <w:rPr>
          <w:caps/>
          <w:lang w:eastAsia="en-AU"/>
        </w:rPr>
      </w:pPr>
      <w:r>
        <w:rPr>
          <w:lang w:eastAsia="en-AU"/>
        </w:rPr>
        <w:lastRenderedPageBreak/>
        <w:br/>
      </w:r>
      <w:r>
        <w:rPr>
          <w:lang w:eastAsia="en-AU"/>
        </w:rPr>
        <w:br/>
      </w:r>
      <w:bookmarkStart w:id="58" w:name="_Toc101095597"/>
      <w:r w:rsidR="00D748D1" w:rsidRPr="003705F7">
        <w:rPr>
          <w:lang w:eastAsia="en-AU"/>
        </w:rPr>
        <w:t>Imposition of top-up tax</w:t>
      </w:r>
      <w:bookmarkEnd w:id="58"/>
    </w:p>
    <w:p w14:paraId="0BDECAFB" w14:textId="1B877675" w:rsidR="00D748D1" w:rsidRPr="00D748D1" w:rsidRDefault="00D748D1" w:rsidP="003705F7">
      <w:pPr>
        <w:pStyle w:val="Heading2"/>
        <w:rPr>
          <w:lang w:eastAsia="en-AU"/>
        </w:rPr>
      </w:pPr>
      <w:bookmarkStart w:id="59" w:name="_Toc101095598"/>
      <w:r w:rsidRPr="00D748D1">
        <w:rPr>
          <w:lang w:eastAsia="en-AU"/>
        </w:rPr>
        <w:t>Overview</w:t>
      </w:r>
      <w:bookmarkEnd w:id="59"/>
    </w:p>
    <w:p w14:paraId="78B4BF8B" w14:textId="2CA8AF8D" w:rsidR="00D748D1" w:rsidRPr="00D748D1" w:rsidRDefault="00D748D1" w:rsidP="003705F7">
      <w:pPr>
        <w:pStyle w:val="NumberedParagraph"/>
        <w:rPr>
          <w:lang w:eastAsia="en-AU"/>
        </w:rPr>
      </w:pPr>
      <w:r w:rsidRPr="00D748D1">
        <w:rPr>
          <w:lang w:eastAsia="en-AU"/>
        </w:rPr>
        <w:t>As outlined in Chapter 2, the IIR and the UTPR both allocate the liability to pay top-up tax between the MNE’s entities.</w:t>
      </w:r>
    </w:p>
    <w:p w14:paraId="346C190D" w14:textId="57C01C6D" w:rsidR="00D748D1" w:rsidRPr="001D54D9" w:rsidRDefault="00D748D1" w:rsidP="003705F7">
      <w:pPr>
        <w:pStyle w:val="NumberedParagraph"/>
        <w:rPr>
          <w:lang w:eastAsia="en-AU"/>
        </w:rPr>
      </w:pPr>
      <w:r w:rsidRPr="00D748D1">
        <w:rPr>
          <w:lang w:eastAsia="en-AU"/>
        </w:rPr>
        <w:t xml:space="preserve">The </w:t>
      </w:r>
      <w:r w:rsidR="00C3341D">
        <w:rPr>
          <w:lang w:eastAsia="en-AU"/>
        </w:rPr>
        <w:t>2</w:t>
      </w:r>
      <w:r w:rsidRPr="00D748D1">
        <w:rPr>
          <w:lang w:eastAsia="en-AU"/>
        </w:rPr>
        <w:t xml:space="preserve"> rules are designed to work together and are also coordinated to ensure the right amount of top-up tax is collected when multiple IIRs or UTPRs are applied at the same time in different </w:t>
      </w:r>
      <w:r w:rsidRPr="001D54D9">
        <w:rPr>
          <w:lang w:eastAsia="en-AU"/>
        </w:rPr>
        <w:t xml:space="preserve">jurisdictions. Therefore, both rules start from the same top-up tax calculation explained in Chapter 6, which allocates top-up tax amongst </w:t>
      </w:r>
      <w:r w:rsidR="000B50CB">
        <w:rPr>
          <w:lang w:eastAsia="en-AU"/>
        </w:rPr>
        <w:t>constituent</w:t>
      </w:r>
      <w:r w:rsidRPr="001D54D9">
        <w:rPr>
          <w:lang w:eastAsia="en-AU"/>
        </w:rPr>
        <w:t xml:space="preserve"> entities in a low tax jurisdiction.</w:t>
      </w:r>
    </w:p>
    <w:p w14:paraId="3DBADE88" w14:textId="4ECC3DBC" w:rsidR="00D748D1" w:rsidRPr="00D748D1" w:rsidRDefault="00D748D1" w:rsidP="003705F7">
      <w:pPr>
        <w:pStyle w:val="NumberedParagraph"/>
        <w:rPr>
          <w:lang w:eastAsia="en-AU"/>
        </w:rPr>
      </w:pPr>
      <w:r w:rsidRPr="001D54D9">
        <w:rPr>
          <w:lang w:eastAsia="en-AU"/>
        </w:rPr>
        <w:t>This chapter sets out the ordering rules that prescribe how the IIR and UTPR operate together, and how top-up tax is imposed</w:t>
      </w:r>
      <w:r w:rsidRPr="00D748D1">
        <w:rPr>
          <w:lang w:eastAsia="en-AU"/>
        </w:rPr>
        <w:t xml:space="preserve"> on an MNE’s entities. The rules are in Chapter 2 of the GloBE </w:t>
      </w:r>
      <w:r w:rsidR="00F350D2">
        <w:rPr>
          <w:lang w:eastAsia="en-AU"/>
        </w:rPr>
        <w:t>r</w:t>
      </w:r>
      <w:r w:rsidRPr="00D748D1">
        <w:rPr>
          <w:lang w:eastAsia="en-AU"/>
        </w:rPr>
        <w:t>ules.</w:t>
      </w:r>
    </w:p>
    <w:p w14:paraId="73C86838" w14:textId="77777777" w:rsidR="00D748D1" w:rsidRPr="00D748D1" w:rsidRDefault="00D748D1" w:rsidP="003705F7">
      <w:pPr>
        <w:pStyle w:val="Heading2"/>
        <w:rPr>
          <w:lang w:eastAsia="en-AU"/>
        </w:rPr>
      </w:pPr>
      <w:bookmarkStart w:id="60" w:name="_Toc101095599"/>
      <w:r w:rsidRPr="00D748D1">
        <w:rPr>
          <w:lang w:eastAsia="en-AU"/>
        </w:rPr>
        <w:t>IIR ordering rules</w:t>
      </w:r>
      <w:bookmarkEnd w:id="60"/>
    </w:p>
    <w:p w14:paraId="14F1DC66" w14:textId="0CF6E4A7" w:rsidR="00D748D1" w:rsidRPr="00D748D1" w:rsidRDefault="00D748D1" w:rsidP="003705F7">
      <w:pPr>
        <w:pStyle w:val="NumberedParagraph"/>
        <w:rPr>
          <w:lang w:eastAsia="en-AU"/>
        </w:rPr>
      </w:pPr>
      <w:r w:rsidRPr="00D748D1">
        <w:rPr>
          <w:lang w:eastAsia="en-AU"/>
        </w:rPr>
        <w:t>The IIR takes the top-up tax calculated for a low-taxed constituent entity (LTCE) and then imposes this tax on a parent entity in the LTCE’s group.</w:t>
      </w:r>
    </w:p>
    <w:p w14:paraId="41DD1161" w14:textId="3E21D234" w:rsidR="00D748D1" w:rsidRPr="00D748D1" w:rsidRDefault="00D748D1" w:rsidP="003705F7">
      <w:pPr>
        <w:pStyle w:val="NumberedParagraph"/>
        <w:rPr>
          <w:lang w:eastAsia="en-AU"/>
        </w:rPr>
      </w:pPr>
      <w:r w:rsidRPr="00D748D1">
        <w:rPr>
          <w:lang w:eastAsia="en-AU"/>
        </w:rPr>
        <w:t>When a parent applies the IIR, the amount of top-up tax it is charged is based on the amount of top-up tax calculated for the relevant LTCE multiplied by the parent’s allocable share of the LTCE’s income.</w:t>
      </w:r>
    </w:p>
    <w:p w14:paraId="1F6F8577" w14:textId="33CE185E" w:rsidR="00D748D1" w:rsidRPr="00D748D1" w:rsidRDefault="00D748D1" w:rsidP="003705F7">
      <w:pPr>
        <w:pStyle w:val="NumberedParagraph"/>
        <w:rPr>
          <w:lang w:eastAsia="en-AU"/>
        </w:rPr>
      </w:pPr>
      <w:r w:rsidRPr="00D748D1">
        <w:rPr>
          <w:lang w:eastAsia="en-AU"/>
        </w:rPr>
        <w:t xml:space="preserve">The allocable share is a measure of the parent’s rights to the profit of the LTCE and is calculated based on accounting principles. The test works by determining </w:t>
      </w:r>
      <w:r w:rsidR="00A6239E">
        <w:rPr>
          <w:lang w:eastAsia="en-AU"/>
        </w:rPr>
        <w:t>the proportion</w:t>
      </w:r>
      <w:r w:rsidRPr="00D748D1">
        <w:rPr>
          <w:lang w:eastAsia="en-AU"/>
        </w:rPr>
        <w:t xml:space="preserve"> of the LTCE’s </w:t>
      </w:r>
      <w:r w:rsidR="00420F8B">
        <w:rPr>
          <w:lang w:eastAsia="en-AU"/>
        </w:rPr>
        <w:t xml:space="preserve">GloBE </w:t>
      </w:r>
      <w:r w:rsidRPr="00D748D1">
        <w:rPr>
          <w:lang w:eastAsia="en-AU"/>
        </w:rPr>
        <w:t xml:space="preserve">income </w:t>
      </w:r>
      <w:r w:rsidR="00A6239E">
        <w:rPr>
          <w:lang w:eastAsia="en-AU"/>
        </w:rPr>
        <w:t>that</w:t>
      </w:r>
      <w:r w:rsidRPr="00D748D1">
        <w:rPr>
          <w:lang w:eastAsia="en-AU"/>
        </w:rPr>
        <w:t xml:space="preserve"> </w:t>
      </w:r>
      <w:r w:rsidR="00A6239E">
        <w:rPr>
          <w:lang w:eastAsia="en-AU"/>
        </w:rPr>
        <w:t>is</w:t>
      </w:r>
      <w:r w:rsidR="00420F8B">
        <w:rPr>
          <w:lang w:eastAsia="en-AU"/>
        </w:rPr>
        <w:t xml:space="preserve"> attributable to </w:t>
      </w:r>
      <w:r w:rsidRPr="00D748D1">
        <w:rPr>
          <w:lang w:eastAsia="en-AU"/>
        </w:rPr>
        <w:t>the parent (</w:t>
      </w:r>
      <w:r w:rsidR="00653468">
        <w:rPr>
          <w:lang w:eastAsia="en-AU"/>
        </w:rPr>
        <w:t>that is,</w:t>
      </w:r>
      <w:r w:rsidRPr="00D748D1">
        <w:rPr>
          <w:lang w:eastAsia="en-AU"/>
        </w:rPr>
        <w:t xml:space="preserve"> after</w:t>
      </w:r>
      <w:r w:rsidR="00D76BC4">
        <w:rPr>
          <w:lang w:eastAsia="en-AU"/>
        </w:rPr>
        <w:t xml:space="preserve"> </w:t>
      </w:r>
      <w:r w:rsidRPr="00D748D1">
        <w:rPr>
          <w:lang w:eastAsia="en-AU"/>
        </w:rPr>
        <w:t>adjustment for interests</w:t>
      </w:r>
      <w:r w:rsidR="00FA20F5">
        <w:rPr>
          <w:lang w:eastAsia="en-AU"/>
        </w:rPr>
        <w:t xml:space="preserve"> held by other owners</w:t>
      </w:r>
      <w:r w:rsidRPr="00D748D1">
        <w:rPr>
          <w:lang w:eastAsia="en-AU"/>
        </w:rPr>
        <w:t>).</w:t>
      </w:r>
    </w:p>
    <w:p w14:paraId="0B34891D" w14:textId="0C693EE0" w:rsidR="00D748D1" w:rsidRPr="003705F7" w:rsidRDefault="00D748D1" w:rsidP="003705F7">
      <w:pPr>
        <w:pStyle w:val="NumberedParagraph"/>
        <w:rPr>
          <w:lang w:eastAsia="en-AU"/>
        </w:rPr>
      </w:pPr>
      <w:r w:rsidRPr="00D748D1">
        <w:rPr>
          <w:lang w:eastAsia="en-AU"/>
        </w:rPr>
        <w:t xml:space="preserve">The IIR is conceptually similar to a Controlled Foreign Company (CFC) rule in that it charges a parent company tax which is calculated by reference to its subsidiary’s profits. However, the IIR is different from a CFC rule in a number of </w:t>
      </w:r>
      <w:r w:rsidR="00021148">
        <w:rPr>
          <w:lang w:eastAsia="en-AU"/>
        </w:rPr>
        <w:t>important</w:t>
      </w:r>
      <w:r w:rsidRPr="00D748D1">
        <w:rPr>
          <w:lang w:eastAsia="en-AU"/>
        </w:rPr>
        <w:t xml:space="preserve"> ways.</w:t>
      </w:r>
    </w:p>
    <w:p w14:paraId="797CE1CB" w14:textId="0102090E" w:rsidR="00D748D1" w:rsidRPr="00D748D1" w:rsidRDefault="00D748D1" w:rsidP="005C6218">
      <w:pPr>
        <w:pStyle w:val="Heading3"/>
        <w:rPr>
          <w:lang w:val="en-GB" w:eastAsia="en-AU"/>
        </w:rPr>
      </w:pPr>
      <w:r w:rsidRPr="00D748D1">
        <w:rPr>
          <w:lang w:val="en-GB" w:eastAsia="en-AU"/>
        </w:rPr>
        <w:t>The top-down approach</w:t>
      </w:r>
    </w:p>
    <w:p w14:paraId="45875D41" w14:textId="5E63854B" w:rsidR="00D748D1" w:rsidRPr="00D748D1" w:rsidRDefault="00D748D1" w:rsidP="00140958">
      <w:pPr>
        <w:pStyle w:val="NumberedParagraph"/>
        <w:rPr>
          <w:lang w:val="en-GB" w:eastAsia="en-AU"/>
        </w:rPr>
      </w:pPr>
      <w:r w:rsidRPr="00D748D1">
        <w:rPr>
          <w:lang w:val="en-GB" w:eastAsia="en-AU"/>
        </w:rPr>
        <w:t>There will often be MNE structures where more than one group entity has an interest in the LTCE. The GloBE rules establish:</w:t>
      </w:r>
    </w:p>
    <w:p w14:paraId="1A7C6D96" w14:textId="1D61A1C2" w:rsidR="00D748D1" w:rsidRPr="00855371" w:rsidRDefault="00D748D1" w:rsidP="00D228FF">
      <w:pPr>
        <w:pStyle w:val="NumberedParagraph-BulletL1"/>
        <w:rPr>
          <w:lang w:val="en-GB" w:eastAsia="en-AU"/>
        </w:rPr>
      </w:pPr>
      <w:r w:rsidRPr="00140958">
        <w:rPr>
          <w:snapToGrid w:val="0"/>
          <w:lang w:eastAsia="en-US"/>
        </w:rPr>
        <w:t xml:space="preserve">which entities in the group apply the IIR, </w:t>
      </w:r>
      <w:proofErr w:type="gramStart"/>
      <w:r w:rsidRPr="00140958">
        <w:rPr>
          <w:snapToGrid w:val="0"/>
          <w:lang w:eastAsia="en-US"/>
        </w:rPr>
        <w:t>and</w:t>
      </w:r>
      <w:proofErr w:type="gramEnd"/>
    </w:p>
    <w:p w14:paraId="2CCEB2E0" w14:textId="348CDB42" w:rsidR="00D748D1" w:rsidRPr="00D748D1" w:rsidRDefault="00D748D1" w:rsidP="00D228FF">
      <w:pPr>
        <w:pStyle w:val="NumberedParagraph-BulletL1"/>
        <w:rPr>
          <w:snapToGrid w:val="0"/>
          <w:lang w:eastAsia="en-US"/>
        </w:rPr>
      </w:pPr>
      <w:r w:rsidRPr="00D748D1">
        <w:rPr>
          <w:snapToGrid w:val="0"/>
          <w:lang w:eastAsia="en-US"/>
        </w:rPr>
        <w:t>if more than one group entity applies the IIR in respect of the same LTCE, what adjustments are made</w:t>
      </w:r>
      <w:r w:rsidRPr="00D748D1" w:rsidDel="00A34F65">
        <w:rPr>
          <w:snapToGrid w:val="0"/>
          <w:lang w:eastAsia="en-US"/>
        </w:rPr>
        <w:t xml:space="preserve"> </w:t>
      </w:r>
      <w:r w:rsidRPr="00D748D1">
        <w:rPr>
          <w:snapToGrid w:val="0"/>
          <w:lang w:eastAsia="en-US"/>
        </w:rPr>
        <w:t>to avoid over-taxation.</w:t>
      </w:r>
    </w:p>
    <w:p w14:paraId="74625255" w14:textId="17B552C0" w:rsidR="00D748D1" w:rsidRPr="00D748D1" w:rsidRDefault="00D748D1" w:rsidP="00DE575D">
      <w:pPr>
        <w:pStyle w:val="Heading4"/>
        <w:rPr>
          <w:lang w:val="en-GB" w:eastAsia="en-AU"/>
        </w:rPr>
      </w:pPr>
      <w:r w:rsidRPr="00D748D1">
        <w:rPr>
          <w:lang w:val="en-GB" w:eastAsia="en-AU"/>
        </w:rPr>
        <w:t>Which entities apply the IIR</w:t>
      </w:r>
    </w:p>
    <w:p w14:paraId="67AA8B09" w14:textId="42207F6F" w:rsidR="00D748D1" w:rsidRPr="00D748D1" w:rsidRDefault="00D748D1" w:rsidP="005C6218">
      <w:pPr>
        <w:pStyle w:val="NumberedParagraph"/>
        <w:rPr>
          <w:lang w:val="en-GB" w:eastAsia="en-AU"/>
        </w:rPr>
      </w:pPr>
      <w:r w:rsidRPr="00D748D1">
        <w:rPr>
          <w:lang w:val="en-GB" w:eastAsia="en-AU"/>
        </w:rPr>
        <w:t xml:space="preserve">The GloBE rules include a priority order </w:t>
      </w:r>
      <w:r w:rsidR="00E133B1">
        <w:rPr>
          <w:lang w:val="en-GB" w:eastAsia="en-AU"/>
        </w:rPr>
        <w:t>for applying</w:t>
      </w:r>
      <w:r w:rsidRPr="00D748D1">
        <w:rPr>
          <w:lang w:val="en-GB" w:eastAsia="en-AU"/>
        </w:rPr>
        <w:t xml:space="preserve"> the IIR.</w:t>
      </w:r>
    </w:p>
    <w:p w14:paraId="12147703" w14:textId="5B038B92" w:rsidR="00D748D1" w:rsidRPr="00D748D1" w:rsidRDefault="00D748D1" w:rsidP="005C6218">
      <w:pPr>
        <w:pStyle w:val="NumberedParagraph"/>
        <w:rPr>
          <w:lang w:val="en-GB" w:eastAsia="en-AU"/>
        </w:rPr>
      </w:pPr>
      <w:r w:rsidRPr="00D748D1">
        <w:rPr>
          <w:lang w:val="en-GB" w:eastAsia="en-AU"/>
        </w:rPr>
        <w:t>The basic structure is a top-down approach. This means the UPE jurisdiction will usually have the first priority to charge the top-up tax in relation to low tax jurisdictions (other than the UPE jurisdiction itself</w:t>
      </w:r>
      <w:r w:rsidR="00451268">
        <w:rPr>
          <w:lang w:val="en-GB" w:eastAsia="en-AU"/>
        </w:rPr>
        <w:t>, unless it is in a country that has adopted a domestic IIR</w:t>
      </w:r>
      <w:r w:rsidRPr="00D748D1">
        <w:rPr>
          <w:lang w:val="en-GB" w:eastAsia="en-AU"/>
        </w:rPr>
        <w:t xml:space="preserve">). If the UPE is not subject to a qualified IIR, intermediate parent entities located in other jurisdictions and held directly by it (second tier entities) will apply the IIR to LTCEs in other jurisdictions to the </w:t>
      </w:r>
      <w:r w:rsidRPr="00D748D1">
        <w:rPr>
          <w:lang w:val="en-GB" w:eastAsia="en-AU"/>
        </w:rPr>
        <w:lastRenderedPageBreak/>
        <w:t>extent of their direct and indirect interest in those LTCEs. To the extent that this step does not result in the imposition of the full amount of top-up tax calculated under chapter 5 of the GloBE rules, third tier intermediate parent entities may have an IIR liability, and so on</w:t>
      </w:r>
      <w:r w:rsidR="00C028F0">
        <w:rPr>
          <w:lang w:val="en-GB" w:eastAsia="en-AU"/>
        </w:rPr>
        <w:t xml:space="preserve">. </w:t>
      </w:r>
      <w:r w:rsidRPr="00D748D1">
        <w:rPr>
          <w:lang w:val="en-GB" w:eastAsia="en-AU"/>
        </w:rPr>
        <w:t>Intermediate parent entities are entities that are controlled by the UPE and have an ownership interest in the LTCE, but investment entities are excluded.</w:t>
      </w:r>
    </w:p>
    <w:p w14:paraId="7C036C1E" w14:textId="4C46F21C" w:rsidR="00D748D1" w:rsidRPr="001D54D9" w:rsidRDefault="00D748D1" w:rsidP="005C6218">
      <w:pPr>
        <w:pStyle w:val="NumberedParagraph"/>
        <w:rPr>
          <w:lang w:val="en-GB" w:eastAsia="en-AU"/>
        </w:rPr>
      </w:pPr>
      <w:r w:rsidRPr="00D748D1">
        <w:rPr>
          <w:lang w:val="en-GB" w:eastAsia="en-AU"/>
        </w:rPr>
        <w:t>Unless the split ownership rules apply (</w:t>
      </w:r>
      <w:r w:rsidRPr="001D54D9">
        <w:rPr>
          <w:lang w:val="en-GB" w:eastAsia="en-AU"/>
        </w:rPr>
        <w:t>see below at [</w:t>
      </w:r>
      <w:r w:rsidR="00E83C64" w:rsidRPr="001D54D9">
        <w:rPr>
          <w:lang w:val="en-GB" w:eastAsia="en-AU"/>
        </w:rPr>
        <w:fldChar w:fldCharType="begin"/>
      </w:r>
      <w:r w:rsidR="00E83C64" w:rsidRPr="001D54D9">
        <w:rPr>
          <w:lang w:val="en-GB" w:eastAsia="en-AU"/>
        </w:rPr>
        <w:instrText xml:space="preserve"> REF _Ref96329359 \r \h </w:instrText>
      </w:r>
      <w:r w:rsidR="001D54D9">
        <w:rPr>
          <w:lang w:val="en-GB" w:eastAsia="en-AU"/>
        </w:rPr>
        <w:instrText xml:space="preserve"> \* MERGEFORMAT </w:instrText>
      </w:r>
      <w:r w:rsidR="00E83C64" w:rsidRPr="001D54D9">
        <w:rPr>
          <w:lang w:val="en-GB" w:eastAsia="en-AU"/>
        </w:rPr>
      </w:r>
      <w:r w:rsidR="00E83C64" w:rsidRPr="001D54D9">
        <w:rPr>
          <w:lang w:val="en-GB" w:eastAsia="en-AU"/>
        </w:rPr>
        <w:fldChar w:fldCharType="separate"/>
      </w:r>
      <w:r w:rsidR="00375916">
        <w:rPr>
          <w:lang w:val="en-GB" w:eastAsia="en-AU"/>
        </w:rPr>
        <w:t>7.14</w:t>
      </w:r>
      <w:r w:rsidR="00E83C64" w:rsidRPr="001D54D9">
        <w:rPr>
          <w:lang w:val="en-GB" w:eastAsia="en-AU"/>
        </w:rPr>
        <w:fldChar w:fldCharType="end"/>
      </w:r>
      <w:r w:rsidR="00E83C64" w:rsidRPr="001D54D9">
        <w:rPr>
          <w:lang w:val="en-GB" w:eastAsia="en-AU"/>
        </w:rPr>
        <w:t>]-[</w:t>
      </w:r>
      <w:r w:rsidR="00E83C64" w:rsidRPr="001D54D9">
        <w:rPr>
          <w:lang w:val="en-GB" w:eastAsia="en-AU"/>
        </w:rPr>
        <w:fldChar w:fldCharType="begin"/>
      </w:r>
      <w:r w:rsidR="00E83C64" w:rsidRPr="001D54D9">
        <w:rPr>
          <w:lang w:val="en-GB" w:eastAsia="en-AU"/>
        </w:rPr>
        <w:instrText xml:space="preserve"> REF _Ref96329362 \r \h </w:instrText>
      </w:r>
      <w:r w:rsidR="001D54D9">
        <w:rPr>
          <w:lang w:val="en-GB" w:eastAsia="en-AU"/>
        </w:rPr>
        <w:instrText xml:space="preserve"> \* MERGEFORMAT </w:instrText>
      </w:r>
      <w:r w:rsidR="00E83C64" w:rsidRPr="001D54D9">
        <w:rPr>
          <w:lang w:val="en-GB" w:eastAsia="en-AU"/>
        </w:rPr>
      </w:r>
      <w:r w:rsidR="00E83C64" w:rsidRPr="001D54D9">
        <w:rPr>
          <w:lang w:val="en-GB" w:eastAsia="en-AU"/>
        </w:rPr>
        <w:fldChar w:fldCharType="separate"/>
      </w:r>
      <w:r w:rsidR="00375916">
        <w:rPr>
          <w:lang w:val="en-GB" w:eastAsia="en-AU"/>
        </w:rPr>
        <w:t>7.17</w:t>
      </w:r>
      <w:r w:rsidR="00E83C64" w:rsidRPr="001D54D9">
        <w:rPr>
          <w:lang w:val="en-GB" w:eastAsia="en-AU"/>
        </w:rPr>
        <w:fldChar w:fldCharType="end"/>
      </w:r>
      <w:r w:rsidRPr="001D54D9">
        <w:rPr>
          <w:lang w:val="en-GB" w:eastAsia="en-AU"/>
        </w:rPr>
        <w:t>]), an intermediate parent entity (</w:t>
      </w:r>
      <w:r w:rsidRPr="001D54D9">
        <w:rPr>
          <w:i/>
          <w:iCs/>
          <w:lang w:val="en-GB" w:eastAsia="en-AU"/>
        </w:rPr>
        <w:t>lower IPE</w:t>
      </w:r>
      <w:r w:rsidRPr="001D54D9">
        <w:rPr>
          <w:lang w:val="en-GB" w:eastAsia="en-AU"/>
        </w:rPr>
        <w:t>) will not apply its IIR if:</w:t>
      </w:r>
    </w:p>
    <w:p w14:paraId="01083956" w14:textId="77777777" w:rsidR="00D748D1" w:rsidRPr="00D748D1" w:rsidRDefault="00D748D1" w:rsidP="00E4182D">
      <w:pPr>
        <w:pStyle w:val="NumberedParagraph-BulletL1"/>
        <w:rPr>
          <w:lang w:val="en-GB" w:eastAsia="en-AU"/>
        </w:rPr>
      </w:pPr>
      <w:r w:rsidRPr="00D748D1">
        <w:rPr>
          <w:lang w:val="en-GB" w:eastAsia="en-AU"/>
        </w:rPr>
        <w:t>the UPE is subject to a qualified IIR,</w:t>
      </w:r>
      <w:r w:rsidRPr="00D748D1">
        <w:rPr>
          <w:sz w:val="18"/>
          <w:szCs w:val="18"/>
          <w:vertAlign w:val="superscript"/>
          <w:lang w:val="en-GB" w:eastAsia="en-AU"/>
        </w:rPr>
        <w:footnoteReference w:id="9"/>
      </w:r>
      <w:r w:rsidRPr="00D748D1">
        <w:rPr>
          <w:lang w:val="en-GB" w:eastAsia="en-AU"/>
        </w:rPr>
        <w:t xml:space="preserve"> or</w:t>
      </w:r>
    </w:p>
    <w:p w14:paraId="0CCB5E05" w14:textId="33016968" w:rsidR="00D748D1" w:rsidRPr="00E4182D" w:rsidRDefault="00D748D1" w:rsidP="00E4182D">
      <w:pPr>
        <w:pStyle w:val="NumberedParagraph-BulletL1"/>
        <w:rPr>
          <w:lang w:val="en-GB" w:eastAsia="en-AU"/>
        </w:rPr>
      </w:pPr>
      <w:r w:rsidRPr="00D748D1">
        <w:rPr>
          <w:lang w:val="en-GB" w:eastAsia="en-AU"/>
        </w:rPr>
        <w:t>another intermediate parent entity (</w:t>
      </w:r>
      <w:r w:rsidRPr="00D748D1">
        <w:rPr>
          <w:i/>
          <w:iCs/>
          <w:lang w:val="en-GB" w:eastAsia="en-AU"/>
        </w:rPr>
        <w:t>higher IPE</w:t>
      </w:r>
      <w:r w:rsidRPr="00D748D1">
        <w:rPr>
          <w:lang w:val="en-GB" w:eastAsia="en-AU"/>
        </w:rPr>
        <w:t>) that owns, directly or indirectly, a ‘controlling interest’</w:t>
      </w:r>
      <w:r w:rsidRPr="00D748D1">
        <w:rPr>
          <w:sz w:val="18"/>
          <w:szCs w:val="18"/>
          <w:vertAlign w:val="superscript"/>
          <w:lang w:val="en-GB" w:eastAsia="en-AU"/>
        </w:rPr>
        <w:footnoteReference w:id="10"/>
      </w:r>
      <w:r w:rsidRPr="00D748D1">
        <w:rPr>
          <w:lang w:val="en-GB" w:eastAsia="en-AU"/>
        </w:rPr>
        <w:t xml:space="preserve"> in the lower IPE is subject to a qualified IIR.</w:t>
      </w:r>
    </w:p>
    <w:p w14:paraId="70E2A970" w14:textId="4916F2DF" w:rsidR="00D748D1" w:rsidRPr="00D748D1" w:rsidRDefault="00D748D1" w:rsidP="00E4182D">
      <w:pPr>
        <w:pStyle w:val="NumberedParagraph"/>
        <w:rPr>
          <w:lang w:val="en-GB" w:eastAsia="en-AU"/>
        </w:rPr>
      </w:pPr>
      <w:r w:rsidRPr="00D748D1">
        <w:rPr>
          <w:lang w:val="en-GB" w:eastAsia="en-AU"/>
        </w:rPr>
        <w:t xml:space="preserve">If the higher IPE does not have a controlling interest in the lower IPE, the lower IPE’s IIR will not be switched off. </w:t>
      </w:r>
      <w:r w:rsidR="00AF3159">
        <w:rPr>
          <w:lang w:val="en-GB" w:eastAsia="en-AU"/>
        </w:rPr>
        <w:t>As explained below, t</w:t>
      </w:r>
      <w:r w:rsidRPr="00D748D1">
        <w:rPr>
          <w:lang w:val="en-GB" w:eastAsia="en-AU"/>
        </w:rPr>
        <w:t xml:space="preserve">he lower IPE will charge its IIR, but the higher IPE </w:t>
      </w:r>
      <w:r w:rsidR="00896822">
        <w:rPr>
          <w:lang w:val="en-GB" w:eastAsia="en-AU"/>
        </w:rPr>
        <w:t>must</w:t>
      </w:r>
      <w:r w:rsidRPr="00D748D1">
        <w:rPr>
          <w:lang w:val="en-GB" w:eastAsia="en-AU"/>
        </w:rPr>
        <w:t xml:space="preserve"> reduce its share of the top-up tax by the tax charged by the lower IPE.</w:t>
      </w:r>
    </w:p>
    <w:p w14:paraId="6D266B3C" w14:textId="77777777" w:rsidR="00D748D1" w:rsidRPr="00D748D1" w:rsidRDefault="00D748D1" w:rsidP="00DE575D">
      <w:pPr>
        <w:pStyle w:val="Heading4"/>
        <w:rPr>
          <w:lang w:val="en-GB" w:eastAsia="en-AU"/>
        </w:rPr>
      </w:pPr>
      <w:r w:rsidRPr="00D748D1">
        <w:rPr>
          <w:lang w:val="en-GB" w:eastAsia="en-AU"/>
        </w:rPr>
        <w:t>Adjustments if more than one group entity applies the IIR</w:t>
      </w:r>
    </w:p>
    <w:p w14:paraId="176922E5" w14:textId="5F517A05" w:rsidR="00D748D1" w:rsidRDefault="00D748D1" w:rsidP="008D2A5D">
      <w:pPr>
        <w:pStyle w:val="NumberedParagraph"/>
        <w:rPr>
          <w:lang w:val="en-GB" w:eastAsia="en-AU"/>
        </w:rPr>
      </w:pPr>
      <w:r w:rsidRPr="00D748D1">
        <w:rPr>
          <w:lang w:val="en-GB" w:eastAsia="en-AU"/>
        </w:rPr>
        <w:t xml:space="preserve">If more than </w:t>
      </w:r>
      <w:r w:rsidR="00746E69">
        <w:rPr>
          <w:lang w:val="en-GB" w:eastAsia="en-AU"/>
        </w:rPr>
        <w:t>1</w:t>
      </w:r>
      <w:r w:rsidRPr="00D748D1">
        <w:rPr>
          <w:lang w:val="en-GB" w:eastAsia="en-AU"/>
        </w:rPr>
        <w:t xml:space="preserve"> parent entity in a group applies the IIR</w:t>
      </w:r>
      <w:r w:rsidR="001752E5">
        <w:rPr>
          <w:lang w:val="en-GB" w:eastAsia="en-AU"/>
        </w:rPr>
        <w:t xml:space="preserve"> with respect to a LTCE</w:t>
      </w:r>
      <w:r w:rsidRPr="00D748D1">
        <w:rPr>
          <w:lang w:val="en-GB" w:eastAsia="en-AU"/>
        </w:rPr>
        <w:t>, parent entities applying the IIR must reduce their own top-up tax liability by any top-up tax allocated to a parent entity further down the group structure. This prevents double allocation of the same top-up tax amount.</w:t>
      </w:r>
    </w:p>
    <w:tbl>
      <w:tblPr>
        <w:tblStyle w:val="ExampleBox"/>
        <w:tblW w:w="0" w:type="auto"/>
        <w:tblLook w:val="04A0" w:firstRow="1" w:lastRow="0" w:firstColumn="1" w:lastColumn="0" w:noHBand="0" w:noVBand="1"/>
      </w:tblPr>
      <w:tblGrid>
        <w:gridCol w:w="7917"/>
      </w:tblGrid>
      <w:tr w:rsidR="000237C4" w14:paraId="06144568" w14:textId="77777777" w:rsidTr="00180725">
        <w:tc>
          <w:tcPr>
            <w:tcW w:w="7917" w:type="dxa"/>
          </w:tcPr>
          <w:p w14:paraId="27C29B9F" w14:textId="738149DD" w:rsidR="000237C4" w:rsidRPr="001D54D9" w:rsidRDefault="000237C4" w:rsidP="00180725">
            <w:pPr>
              <w:pStyle w:val="Caption"/>
              <w:jc w:val="both"/>
            </w:pPr>
            <w:bookmarkStart w:id="61" w:name="_Hlk96957330"/>
            <w:r w:rsidRPr="001D54D9">
              <w:t xml:space="preserve">Example </w:t>
            </w:r>
            <w:r w:rsidR="00F20C52" w:rsidRPr="001D54D9">
              <w:t>11</w:t>
            </w:r>
            <w:r w:rsidRPr="001D54D9">
              <w:t xml:space="preserve">: </w:t>
            </w:r>
            <w:r w:rsidR="0034614C" w:rsidRPr="001D54D9">
              <w:t>Multiple intermediate parents</w:t>
            </w:r>
          </w:p>
          <w:p w14:paraId="435371B0" w14:textId="4BF44B50" w:rsidR="001878C9" w:rsidRPr="00482916" w:rsidRDefault="001878C9" w:rsidP="00B61C4F">
            <w:pPr>
              <w:rPr>
                <w:lang w:eastAsia="en-AU"/>
              </w:rPr>
            </w:pPr>
            <w:r w:rsidRPr="001D54D9">
              <w:rPr>
                <w:lang w:eastAsia="en-AU"/>
              </w:rPr>
              <w:t>The amount of top-up tax calculated for an MNE’s low-taxed constituent entity (LTCE) is $100. The LTCE is 100% directly owned by Parent B. Parent A owns 20%</w:t>
            </w:r>
            <w:r w:rsidRPr="00482916">
              <w:rPr>
                <w:lang w:eastAsia="en-AU"/>
              </w:rPr>
              <w:t xml:space="preserve"> of Parent B </w:t>
            </w:r>
            <w:r w:rsidR="003230B6">
              <w:rPr>
                <w:lang w:eastAsia="en-AU"/>
              </w:rPr>
              <w:t>–</w:t>
            </w:r>
            <w:r w:rsidRPr="00482916">
              <w:rPr>
                <w:lang w:eastAsia="en-AU"/>
              </w:rPr>
              <w:t xml:space="preserve"> it does not have a controlling interest.</w:t>
            </w:r>
          </w:p>
          <w:p w14:paraId="0F920053" w14:textId="77777777" w:rsidR="001878C9" w:rsidRPr="00482916" w:rsidRDefault="001878C9" w:rsidP="00B61C4F">
            <w:pPr>
              <w:rPr>
                <w:lang w:eastAsia="en-AU"/>
              </w:rPr>
            </w:pPr>
            <w:r w:rsidRPr="00482916">
              <w:rPr>
                <w:lang w:eastAsia="en-AU"/>
              </w:rPr>
              <w:t>Both Parent A and Parent B are in jurisdictions with a qualified IIR. The UPE of the group is not in a jurisdiction with a qualified IIR.</w:t>
            </w:r>
          </w:p>
          <w:p w14:paraId="3DCD3FC5" w14:textId="6A072ED5" w:rsidR="000237C4" w:rsidRDefault="001878C9" w:rsidP="00B61C4F">
            <w:r w:rsidRPr="00482916">
              <w:rPr>
                <w:lang w:eastAsia="en-AU"/>
              </w:rPr>
              <w:t xml:space="preserve">Since Parent A does not have a controlling interest in Parent B, both parents apply the IIR. However, since Parent B’s IIR will charge the full $100 of top-up tax, Parent A’s share of the top-up tax is reduced from $20 to nil. </w:t>
            </w:r>
            <w:r w:rsidR="008D41CF">
              <w:rPr>
                <w:lang w:eastAsia="en-AU"/>
              </w:rPr>
              <w:t>T</w:t>
            </w:r>
            <w:r w:rsidRPr="00482916">
              <w:rPr>
                <w:lang w:eastAsia="en-AU"/>
              </w:rPr>
              <w:t>he full amount of top-up tax is charged to Parent B under the IIR.</w:t>
            </w:r>
          </w:p>
        </w:tc>
      </w:tr>
    </w:tbl>
    <w:bookmarkEnd w:id="61"/>
    <w:p w14:paraId="23C07CBB" w14:textId="317E1E39" w:rsidR="00482916" w:rsidRPr="00482916" w:rsidRDefault="00482916" w:rsidP="00E76E78">
      <w:pPr>
        <w:pStyle w:val="Heading3"/>
        <w:rPr>
          <w:lang w:val="en-GB" w:eastAsia="en-AU"/>
        </w:rPr>
      </w:pPr>
      <w:r w:rsidRPr="00482916">
        <w:rPr>
          <w:lang w:val="en-GB" w:eastAsia="en-AU"/>
        </w:rPr>
        <w:t>Exception: the split ownership rules</w:t>
      </w:r>
    </w:p>
    <w:p w14:paraId="3B40E2CF" w14:textId="77777777" w:rsidR="00482916" w:rsidRPr="00482916" w:rsidRDefault="00482916" w:rsidP="00841B63">
      <w:pPr>
        <w:pStyle w:val="NumberedParagraph"/>
        <w:rPr>
          <w:lang w:val="en-GB" w:eastAsia="en-AU"/>
        </w:rPr>
      </w:pPr>
      <w:bookmarkStart w:id="62" w:name="_Ref96329359"/>
      <w:r w:rsidRPr="00482916">
        <w:rPr>
          <w:lang w:val="en-GB" w:eastAsia="en-AU"/>
        </w:rPr>
        <w:t xml:space="preserve">The split ownership rules are an exception to the IIR’s general top-down approach. Under the GloBE rules, an intermediate parent entity that is more than 20% owned by minority investors outside the MNE group is called a partially-owned parent entity (POPE). The POPE definition is satisfied even if minority investors </w:t>
      </w:r>
      <w:r w:rsidRPr="00482916">
        <w:rPr>
          <w:i/>
          <w:iCs/>
          <w:lang w:val="en-GB" w:eastAsia="en-AU"/>
        </w:rPr>
        <w:t>indirectly</w:t>
      </w:r>
      <w:r w:rsidRPr="00482916">
        <w:rPr>
          <w:lang w:val="en-GB" w:eastAsia="en-AU"/>
        </w:rPr>
        <w:t xml:space="preserve"> own more than 20% of the ownership interests in </w:t>
      </w:r>
      <w:r w:rsidRPr="00482916">
        <w:rPr>
          <w:lang w:val="en-GB" w:eastAsia="en-AU"/>
        </w:rPr>
        <w:lastRenderedPageBreak/>
        <w:t>the parent entity. A parent entity owned by a POPE will therefore usually also be a POPE.</w:t>
      </w:r>
      <w:bookmarkEnd w:id="62"/>
    </w:p>
    <w:p w14:paraId="289613A3" w14:textId="4E5A2F0C" w:rsidR="00482916" w:rsidRDefault="00482916" w:rsidP="00841B63">
      <w:pPr>
        <w:pStyle w:val="NumberedParagraph"/>
        <w:rPr>
          <w:lang w:val="en-GB" w:eastAsia="en-AU"/>
        </w:rPr>
      </w:pPr>
      <w:r w:rsidRPr="00482916">
        <w:rPr>
          <w:lang w:val="en-GB" w:eastAsia="en-AU"/>
        </w:rPr>
        <w:t>POPEs have the priority rights to apply the IIR notwithstanding the general top-down approach. The reason for this is that, where there are substantial minority interests, some amount of the top-up tax would not be collected at all if the IIR were only applied by parent entities higher up the ownership structure.</w:t>
      </w:r>
    </w:p>
    <w:tbl>
      <w:tblPr>
        <w:tblStyle w:val="ExampleBox"/>
        <w:tblW w:w="0" w:type="auto"/>
        <w:tblLook w:val="04A0" w:firstRow="1" w:lastRow="0" w:firstColumn="1" w:lastColumn="0" w:noHBand="0" w:noVBand="1"/>
      </w:tblPr>
      <w:tblGrid>
        <w:gridCol w:w="7917"/>
      </w:tblGrid>
      <w:tr w:rsidR="00624C41" w14:paraId="02F9B127" w14:textId="77777777" w:rsidTr="00180725">
        <w:tc>
          <w:tcPr>
            <w:tcW w:w="7917" w:type="dxa"/>
          </w:tcPr>
          <w:p w14:paraId="0E632259" w14:textId="1FA3F12B" w:rsidR="00624C41" w:rsidRPr="001D54D9" w:rsidRDefault="00624C41" w:rsidP="00180725">
            <w:pPr>
              <w:pStyle w:val="Caption"/>
              <w:jc w:val="both"/>
            </w:pPr>
            <w:r w:rsidRPr="001D54D9">
              <w:t xml:space="preserve">Example </w:t>
            </w:r>
            <w:r w:rsidR="00F20C52" w:rsidRPr="001D54D9">
              <w:t>12</w:t>
            </w:r>
            <w:r w:rsidRPr="001D54D9">
              <w:t xml:space="preserve">: </w:t>
            </w:r>
            <w:r w:rsidR="007D0F66" w:rsidRPr="001D54D9">
              <w:t>Partially-owned parent entities (POPEs)</w:t>
            </w:r>
          </w:p>
          <w:p w14:paraId="361CABD2" w14:textId="73C5A71A" w:rsidR="007D0F66" w:rsidRPr="00482916" w:rsidRDefault="007D0F66" w:rsidP="007D0F66">
            <w:pPr>
              <w:rPr>
                <w:lang w:eastAsia="en-AU"/>
              </w:rPr>
            </w:pPr>
            <w:r w:rsidRPr="001D54D9">
              <w:rPr>
                <w:lang w:eastAsia="en-AU"/>
              </w:rPr>
              <w:t>The amount of top-up tax calculated for an MNE’s LTCE is $100. The UPE indirectly owns the LTCE</w:t>
            </w:r>
            <w:r w:rsidRPr="00482916">
              <w:rPr>
                <w:lang w:eastAsia="en-AU"/>
              </w:rPr>
              <w:t xml:space="preserve"> through A Co. The UPE owns 60% of A Co and A Co owns 100% of the LTCE.</w:t>
            </w:r>
          </w:p>
          <w:p w14:paraId="48AEA0F4" w14:textId="0A372BF6" w:rsidR="007D0F66" w:rsidRPr="00482916" w:rsidRDefault="007D0F66" w:rsidP="007D0F66">
            <w:pPr>
              <w:rPr>
                <w:lang w:eastAsia="en-AU"/>
              </w:rPr>
            </w:pPr>
            <w:r w:rsidRPr="00482916">
              <w:rPr>
                <w:lang w:eastAsia="en-AU"/>
              </w:rPr>
              <w:t xml:space="preserve">Under the GloBE rules, A Co </w:t>
            </w:r>
            <w:r w:rsidR="009B7198">
              <w:rPr>
                <w:lang w:eastAsia="en-AU"/>
              </w:rPr>
              <w:t xml:space="preserve">(and not the UPE) </w:t>
            </w:r>
            <w:r w:rsidRPr="00482916">
              <w:rPr>
                <w:lang w:eastAsia="en-AU"/>
              </w:rPr>
              <w:t>would apply the IIR and pay $100 of top-up tax. By</w:t>
            </w:r>
            <w:r w:rsidRPr="00482916" w:rsidDel="00257F0D">
              <w:rPr>
                <w:lang w:eastAsia="en-AU"/>
              </w:rPr>
              <w:t xml:space="preserve"> </w:t>
            </w:r>
            <w:r w:rsidRPr="00482916">
              <w:rPr>
                <w:lang w:eastAsia="en-AU"/>
              </w:rPr>
              <w:t>charging all the top-up tax to A Co, the top-up tax is effectively borne 60% by the UPE and 40% by the minority shareholders.</w:t>
            </w:r>
          </w:p>
          <w:p w14:paraId="4A4CE4FE" w14:textId="59A2823A" w:rsidR="00624C41" w:rsidRDefault="007D0F66" w:rsidP="007D0F66">
            <w:r w:rsidRPr="00482916">
              <w:rPr>
                <w:lang w:eastAsia="en-AU"/>
              </w:rPr>
              <w:t>If this were not the case and only the UPE applied the IIR, the UPE would only be charged $60 of the top-up tax based on its allocable share. The remaining $40 would not be collected under either the UTPR or the IIR.</w:t>
            </w:r>
          </w:p>
        </w:tc>
      </w:tr>
    </w:tbl>
    <w:p w14:paraId="4F32E850" w14:textId="6ADCEAB5" w:rsidR="00482916" w:rsidRDefault="00482916" w:rsidP="00841B63">
      <w:pPr>
        <w:pStyle w:val="NumberedParagraph"/>
        <w:rPr>
          <w:lang w:val="en-GB" w:eastAsia="en-AU"/>
        </w:rPr>
      </w:pPr>
      <w:r w:rsidRPr="00482916">
        <w:rPr>
          <w:lang w:val="en-GB" w:eastAsia="en-AU"/>
        </w:rPr>
        <w:t>The ordering rules for POPEs require</w:t>
      </w:r>
      <w:r w:rsidR="001752E5">
        <w:rPr>
          <w:lang w:val="en-GB" w:eastAsia="en-AU"/>
        </w:rPr>
        <w:t xml:space="preserve"> a lower-tier POP</w:t>
      </w:r>
      <w:r w:rsidR="00D46B96">
        <w:rPr>
          <w:lang w:val="en-GB" w:eastAsia="en-AU"/>
        </w:rPr>
        <w:t>E</w:t>
      </w:r>
      <w:r w:rsidRPr="00482916">
        <w:rPr>
          <w:lang w:val="en-GB" w:eastAsia="en-AU"/>
        </w:rPr>
        <w:t xml:space="preserve"> to switch off its IIR </w:t>
      </w:r>
      <w:r w:rsidR="001752E5">
        <w:rPr>
          <w:lang w:val="en-GB" w:eastAsia="en-AU"/>
        </w:rPr>
        <w:t xml:space="preserve">only </w:t>
      </w:r>
      <w:r w:rsidRPr="00482916">
        <w:rPr>
          <w:lang w:val="en-GB" w:eastAsia="en-AU"/>
        </w:rPr>
        <w:t>if it is wholly-owned by a higher POPE which is subject to the IIR.</w:t>
      </w:r>
    </w:p>
    <w:tbl>
      <w:tblPr>
        <w:tblStyle w:val="ExampleBox"/>
        <w:tblW w:w="0" w:type="auto"/>
        <w:tblLook w:val="04A0" w:firstRow="1" w:lastRow="0" w:firstColumn="1" w:lastColumn="0" w:noHBand="0" w:noVBand="1"/>
      </w:tblPr>
      <w:tblGrid>
        <w:gridCol w:w="7917"/>
      </w:tblGrid>
      <w:tr w:rsidR="00266E65" w14:paraId="79444D2B" w14:textId="77777777" w:rsidTr="00A523C3">
        <w:tc>
          <w:tcPr>
            <w:tcW w:w="7917" w:type="dxa"/>
          </w:tcPr>
          <w:p w14:paraId="25416D00" w14:textId="77777777" w:rsidR="00DC17D5" w:rsidRPr="00DC17D5" w:rsidRDefault="00DC17D5" w:rsidP="00DC17D5">
            <w:pPr>
              <w:keepNext/>
              <w:rPr>
                <w:b/>
                <w:szCs w:val="22"/>
              </w:rPr>
            </w:pPr>
            <w:r w:rsidRPr="00DC17D5">
              <w:rPr>
                <w:b/>
                <w:szCs w:val="22"/>
              </w:rPr>
              <w:t>Example 13: POPE rules and corresponding tax reductions</w:t>
            </w:r>
          </w:p>
          <w:p w14:paraId="64CDAB37" w14:textId="1F9E3726" w:rsidR="00DC17D5" w:rsidRPr="00DC17D5" w:rsidRDefault="00DC17D5" w:rsidP="0039289E">
            <w:pPr>
              <w:rPr>
                <w:lang w:eastAsia="en-AU"/>
              </w:rPr>
            </w:pPr>
            <w:r w:rsidRPr="00DC17D5">
              <w:rPr>
                <w:lang w:eastAsia="en-AU"/>
              </w:rPr>
              <w:t>The amount of top-up tax calculated for an MNE’s LTCE is $100. The UPE indirectly owns the LTCE through a chain of POPEs</w:t>
            </w:r>
            <w:r w:rsidR="00A41D4B">
              <w:rPr>
                <w:lang w:eastAsia="en-AU"/>
              </w:rPr>
              <w:t xml:space="preserve">. </w:t>
            </w:r>
            <w:r w:rsidRPr="00DC17D5">
              <w:rPr>
                <w:lang w:eastAsia="en-AU"/>
              </w:rPr>
              <w:t>The UPE directly owns 75% of POPE A, with the remaining 25% held by minority investors outside the MNE group.</w:t>
            </w:r>
            <w:r w:rsidR="00A41D4B">
              <w:rPr>
                <w:lang w:eastAsia="en-AU"/>
              </w:rPr>
              <w:t xml:space="preserve"> </w:t>
            </w:r>
            <w:r w:rsidRPr="00DC17D5">
              <w:rPr>
                <w:lang w:eastAsia="en-AU"/>
              </w:rPr>
              <w:t>POPE A directly owns POPE B (ownership percentage varies under the two examples below).</w:t>
            </w:r>
            <w:r w:rsidR="0039289E">
              <w:rPr>
                <w:lang w:eastAsia="en-AU"/>
              </w:rPr>
              <w:t xml:space="preserve"> </w:t>
            </w:r>
            <w:r w:rsidRPr="00DC17D5">
              <w:rPr>
                <w:lang w:eastAsia="en-AU"/>
              </w:rPr>
              <w:t>POPE B directly owns 100% of the LTCE.</w:t>
            </w:r>
          </w:p>
          <w:p w14:paraId="412E56AA" w14:textId="77777777" w:rsidR="00DC17D5" w:rsidRPr="00CC5A83" w:rsidRDefault="00DC17D5" w:rsidP="00CC5A83">
            <w:pPr>
              <w:rPr>
                <w:b/>
                <w:bCs/>
              </w:rPr>
            </w:pPr>
            <w:r w:rsidRPr="00CC5A83">
              <w:rPr>
                <w:b/>
                <w:bCs/>
              </w:rPr>
              <w:t>POPE A owns 100% of POPE B</w:t>
            </w:r>
          </w:p>
          <w:p w14:paraId="29BF9100" w14:textId="77777777" w:rsidR="00DC17D5" w:rsidRPr="00DC17D5" w:rsidRDefault="00DC17D5" w:rsidP="00DC17D5">
            <w:pPr>
              <w:rPr>
                <w:lang w:eastAsia="en-AU"/>
              </w:rPr>
            </w:pPr>
            <w:r w:rsidRPr="00DC17D5">
              <w:rPr>
                <w:lang w:eastAsia="en-AU"/>
              </w:rPr>
              <w:t>If POPE B is 100% owned by POPE A, POPE A would apply the IIR and be charged $100 of top-up tax. POPE B would not be required to apply the IIR.</w:t>
            </w:r>
          </w:p>
          <w:p w14:paraId="06F828DD" w14:textId="0E88BEA0" w:rsidR="00E97F6A" w:rsidRDefault="00A11847" w:rsidP="00A11847">
            <w:pPr>
              <w:ind w:left="567"/>
              <w:jc w:val="left"/>
              <w:rPr>
                <w:lang w:eastAsia="en-AU"/>
              </w:rPr>
            </w:pPr>
            <w:r>
              <w:object w:dxaOrig="5460" w:dyaOrig="5850" w14:anchorId="151AC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215.25pt" o:ole="">
                  <v:imagedata r:id="rId16" o:title=""/>
                </v:shape>
                <o:OLEObject Type="Embed" ProgID="Visio.Drawing.15" ShapeID="_x0000_i1025" DrawAspect="Content" ObjectID="_1713261591" r:id="rId17"/>
              </w:object>
            </w:r>
          </w:p>
        </w:tc>
      </w:tr>
    </w:tbl>
    <w:p w14:paraId="54358ABB" w14:textId="77777777" w:rsidR="00266E65" w:rsidRPr="00A41D4B" w:rsidRDefault="00266E65" w:rsidP="00266E65">
      <w:pPr>
        <w:pStyle w:val="NumberedParagraph"/>
        <w:numPr>
          <w:ilvl w:val="0"/>
          <w:numId w:val="0"/>
        </w:numPr>
        <w:ind w:left="851"/>
        <w:rPr>
          <w:sz w:val="4"/>
          <w:szCs w:val="4"/>
          <w:lang w:val="en-GB" w:eastAsia="en-AU"/>
        </w:rPr>
      </w:pPr>
    </w:p>
    <w:tbl>
      <w:tblPr>
        <w:tblStyle w:val="ExampleBox"/>
        <w:tblW w:w="0" w:type="auto"/>
        <w:tblLook w:val="04A0" w:firstRow="1" w:lastRow="0" w:firstColumn="1" w:lastColumn="0" w:noHBand="0" w:noVBand="1"/>
      </w:tblPr>
      <w:tblGrid>
        <w:gridCol w:w="7917"/>
      </w:tblGrid>
      <w:tr w:rsidR="001431A8" w14:paraId="05829F2E" w14:textId="77777777" w:rsidTr="00180725">
        <w:tc>
          <w:tcPr>
            <w:tcW w:w="7917" w:type="dxa"/>
          </w:tcPr>
          <w:p w14:paraId="5F6052EA" w14:textId="5AAA1E0D" w:rsidR="0072132C" w:rsidRPr="00FE3975" w:rsidRDefault="0072132C" w:rsidP="00FE3975">
            <w:pPr>
              <w:rPr>
                <w:b/>
                <w:bCs/>
              </w:rPr>
            </w:pPr>
            <w:r w:rsidRPr="00FE3975">
              <w:rPr>
                <w:b/>
                <w:bCs/>
              </w:rPr>
              <w:lastRenderedPageBreak/>
              <w:t>POPE A owns 90% of POPE B, with remaining 10% owned by outside investors</w:t>
            </w:r>
          </w:p>
          <w:p w14:paraId="0D59D5F8" w14:textId="4B4FC55E" w:rsidR="0072132C" w:rsidRPr="00482916" w:rsidRDefault="0072132C" w:rsidP="0072132C">
            <w:pPr>
              <w:rPr>
                <w:lang w:eastAsia="en-AU"/>
              </w:rPr>
            </w:pPr>
            <w:r w:rsidRPr="00482916">
              <w:rPr>
                <w:lang w:eastAsia="en-AU"/>
              </w:rPr>
              <w:t>If POPE B is only 90% owned by POPE A, both POPEs would apply the IIR.</w:t>
            </w:r>
          </w:p>
          <w:p w14:paraId="00EC54EC" w14:textId="4A6ADA30" w:rsidR="001431A8" w:rsidRDefault="0072132C" w:rsidP="0072132C">
            <w:r w:rsidRPr="00482916">
              <w:rPr>
                <w:lang w:eastAsia="en-AU"/>
              </w:rPr>
              <w:t xml:space="preserve">POPE B would be charged $100 of top-up tax. POPE A would also apply the </w:t>
            </w:r>
            <w:proofErr w:type="gramStart"/>
            <w:r w:rsidRPr="00482916">
              <w:rPr>
                <w:lang w:eastAsia="en-AU"/>
              </w:rPr>
              <w:t>IIR</w:t>
            </w:r>
            <w:proofErr w:type="gramEnd"/>
            <w:r w:rsidRPr="00482916">
              <w:rPr>
                <w:lang w:eastAsia="en-AU"/>
              </w:rPr>
              <w:t xml:space="preserve"> but its top-up tax liability will be reduced </w:t>
            </w:r>
            <w:r w:rsidR="00847E74">
              <w:rPr>
                <w:lang w:eastAsia="en-AU"/>
              </w:rPr>
              <w:t xml:space="preserve">to zero </w:t>
            </w:r>
            <w:r w:rsidRPr="00482916">
              <w:rPr>
                <w:lang w:eastAsia="en-AU"/>
              </w:rPr>
              <w:t>by the amount of tax charged to POPE B.</w:t>
            </w:r>
          </w:p>
        </w:tc>
      </w:tr>
    </w:tbl>
    <w:p w14:paraId="3B03FFD5" w14:textId="2EBE9F7C" w:rsidR="00482916" w:rsidRPr="00482916" w:rsidRDefault="00482916" w:rsidP="00841B63">
      <w:pPr>
        <w:pStyle w:val="NumberedParagraph"/>
        <w:rPr>
          <w:lang w:val="en-GB" w:eastAsia="en-AU"/>
        </w:rPr>
      </w:pPr>
      <w:bookmarkStart w:id="63" w:name="_Ref96329362"/>
      <w:r w:rsidRPr="00482916">
        <w:rPr>
          <w:lang w:val="en-GB" w:eastAsia="en-AU"/>
        </w:rPr>
        <w:t>As noted above, if a parent entity further down the group structure has applied the IIR, the liability of any parent further up the group applying the IIR must be reduced. The amount of the reduction is</w:t>
      </w:r>
      <w:r w:rsidRPr="00482916" w:rsidDel="00331695">
        <w:rPr>
          <w:lang w:val="en-GB" w:eastAsia="en-AU"/>
        </w:rPr>
        <w:t xml:space="preserve"> </w:t>
      </w:r>
      <w:r w:rsidRPr="00482916">
        <w:rPr>
          <w:lang w:val="en-GB" w:eastAsia="en-AU"/>
        </w:rPr>
        <w:t xml:space="preserve">the </w:t>
      </w:r>
      <w:r w:rsidRPr="00482916" w:rsidDel="00D50677">
        <w:rPr>
          <w:lang w:val="en-GB" w:eastAsia="en-AU"/>
        </w:rPr>
        <w:t xml:space="preserve">top-up tax </w:t>
      </w:r>
      <w:r w:rsidR="00D50677">
        <w:rPr>
          <w:lang w:val="en-GB" w:eastAsia="en-AU"/>
        </w:rPr>
        <w:t xml:space="preserve">paid by the lower </w:t>
      </w:r>
      <w:r w:rsidR="002A4928">
        <w:rPr>
          <w:lang w:val="en-GB" w:eastAsia="en-AU"/>
        </w:rPr>
        <w:t xml:space="preserve">parent </w:t>
      </w:r>
      <w:r w:rsidR="009F3FA1">
        <w:rPr>
          <w:lang w:val="en-GB" w:eastAsia="en-AU"/>
        </w:rPr>
        <w:t xml:space="preserve">under an IIR </w:t>
      </w:r>
      <w:r w:rsidR="002A4928">
        <w:rPr>
          <w:lang w:val="en-GB" w:eastAsia="en-AU"/>
        </w:rPr>
        <w:t>multiplied by the higher parent’s ownership interest</w:t>
      </w:r>
      <w:r w:rsidR="00A7045E">
        <w:rPr>
          <w:lang w:val="en-GB" w:eastAsia="en-AU"/>
        </w:rPr>
        <w:t xml:space="preserve">s </w:t>
      </w:r>
      <w:r w:rsidRPr="00482916">
        <w:rPr>
          <w:lang w:val="en-GB" w:eastAsia="en-AU"/>
        </w:rPr>
        <w:t>in the low taxed entity</w:t>
      </w:r>
      <w:bookmarkEnd w:id="63"/>
      <w:r w:rsidR="00A7045E">
        <w:rPr>
          <w:lang w:val="en-GB" w:eastAsia="en-AU"/>
        </w:rPr>
        <w:t xml:space="preserve"> held indirectly through that lower parent</w:t>
      </w:r>
      <w:r w:rsidRPr="00482916">
        <w:rPr>
          <w:lang w:val="en-GB" w:eastAsia="en-AU"/>
        </w:rPr>
        <w:t>.</w:t>
      </w:r>
      <w:r w:rsidR="002A4928">
        <w:rPr>
          <w:lang w:val="en-GB" w:eastAsia="en-AU"/>
        </w:rPr>
        <w:t xml:space="preserve"> So for example if the lower parent pays top</w:t>
      </w:r>
      <w:r w:rsidR="00A72CD2">
        <w:rPr>
          <w:lang w:val="en-GB" w:eastAsia="en-AU"/>
        </w:rPr>
        <w:t>-</w:t>
      </w:r>
      <w:r w:rsidR="002A4928">
        <w:rPr>
          <w:lang w:val="en-GB" w:eastAsia="en-AU"/>
        </w:rPr>
        <w:t>up tax of $100</w:t>
      </w:r>
      <w:r w:rsidR="003B2563">
        <w:rPr>
          <w:lang w:val="en-GB" w:eastAsia="en-AU"/>
        </w:rPr>
        <w:t xml:space="preserve"> in respect of a low tax entity</w:t>
      </w:r>
      <w:r w:rsidR="002A4928">
        <w:rPr>
          <w:lang w:val="en-GB" w:eastAsia="en-AU"/>
        </w:rPr>
        <w:t xml:space="preserve"> and the higher parent </w:t>
      </w:r>
      <w:r w:rsidR="001D6FD8">
        <w:rPr>
          <w:lang w:val="en-GB" w:eastAsia="en-AU"/>
        </w:rPr>
        <w:t xml:space="preserve">indirectly holds </w:t>
      </w:r>
      <w:r w:rsidR="003B2563">
        <w:rPr>
          <w:lang w:val="en-GB" w:eastAsia="en-AU"/>
        </w:rPr>
        <w:t>a 60% ownership interest in that same low taxed entity</w:t>
      </w:r>
      <w:r w:rsidR="001D6FD8">
        <w:rPr>
          <w:lang w:val="en-GB" w:eastAsia="en-AU"/>
        </w:rPr>
        <w:t xml:space="preserve"> through the lower parent</w:t>
      </w:r>
      <w:r w:rsidR="003B2563">
        <w:rPr>
          <w:lang w:val="en-GB" w:eastAsia="en-AU"/>
        </w:rPr>
        <w:t xml:space="preserve">, then the </w:t>
      </w:r>
      <w:r w:rsidR="001155F0">
        <w:rPr>
          <w:lang w:val="en-GB" w:eastAsia="en-AU"/>
        </w:rPr>
        <w:t>amount of the reduction is $100</w:t>
      </w:r>
      <w:r w:rsidR="00154451">
        <w:rPr>
          <w:lang w:val="en-GB" w:eastAsia="en-AU"/>
        </w:rPr>
        <w:t> </w:t>
      </w:r>
      <w:r w:rsidR="001155F0">
        <w:rPr>
          <w:lang w:val="en-GB" w:eastAsia="en-AU"/>
        </w:rPr>
        <w:t>x</w:t>
      </w:r>
      <w:r w:rsidR="00154451">
        <w:rPr>
          <w:lang w:val="en-GB" w:eastAsia="en-AU"/>
        </w:rPr>
        <w:t> </w:t>
      </w:r>
      <w:r w:rsidR="001155F0">
        <w:rPr>
          <w:lang w:val="en-GB" w:eastAsia="en-AU"/>
        </w:rPr>
        <w:t>60% = $60</w:t>
      </w:r>
      <w:r w:rsidR="008D2B85">
        <w:rPr>
          <w:lang w:val="en-GB" w:eastAsia="en-AU"/>
        </w:rPr>
        <w:t>.</w:t>
      </w:r>
    </w:p>
    <w:tbl>
      <w:tblPr>
        <w:tblStyle w:val="ExampleBox"/>
        <w:tblW w:w="0" w:type="auto"/>
        <w:tblLook w:val="04A0" w:firstRow="1" w:lastRow="0" w:firstColumn="1" w:lastColumn="0" w:noHBand="0" w:noVBand="1"/>
      </w:tblPr>
      <w:tblGrid>
        <w:gridCol w:w="7917"/>
      </w:tblGrid>
      <w:tr w:rsidR="00A41D4B" w14:paraId="5377EE9E" w14:textId="77777777" w:rsidTr="00A523C3">
        <w:tc>
          <w:tcPr>
            <w:tcW w:w="7917" w:type="dxa"/>
          </w:tcPr>
          <w:p w14:paraId="5C55D889" w14:textId="77777777" w:rsidR="00A1796C" w:rsidRPr="001D54D9" w:rsidRDefault="00A1796C" w:rsidP="00A1796C">
            <w:pPr>
              <w:pStyle w:val="Caption"/>
              <w:jc w:val="both"/>
            </w:pPr>
            <w:r w:rsidRPr="001D54D9">
              <w:t>Example 14: Reduction for top-up tax charged to lower parent</w:t>
            </w:r>
          </w:p>
          <w:p w14:paraId="6460E7D8" w14:textId="77777777" w:rsidR="00A1796C" w:rsidRPr="00482916" w:rsidRDefault="00A1796C" w:rsidP="00A1796C">
            <w:pPr>
              <w:rPr>
                <w:lang w:eastAsia="en-AU"/>
              </w:rPr>
            </w:pPr>
            <w:r w:rsidRPr="001D54D9">
              <w:rPr>
                <w:lang w:eastAsia="en-AU"/>
              </w:rPr>
              <w:t>The amount of</w:t>
            </w:r>
            <w:r w:rsidRPr="00482916">
              <w:rPr>
                <w:lang w:eastAsia="en-AU"/>
              </w:rPr>
              <w:t xml:space="preserve"> top-up tax calculated for an MNE’s LTCE is $100.</w:t>
            </w:r>
          </w:p>
          <w:p w14:paraId="74AB2EC5" w14:textId="7AAD8B90" w:rsidR="00A1796C" w:rsidRPr="00FE3975" w:rsidRDefault="00A1796C" w:rsidP="00FE3975">
            <w:pPr>
              <w:rPr>
                <w:b/>
                <w:bCs/>
              </w:rPr>
            </w:pPr>
            <w:r w:rsidRPr="00FE3975">
              <w:rPr>
                <w:b/>
                <w:bCs/>
              </w:rPr>
              <w:t>The UPE indirectly owns the LTCE through a POPE</w:t>
            </w:r>
          </w:p>
          <w:p w14:paraId="662E2B95" w14:textId="77777777" w:rsidR="00A1796C" w:rsidRPr="00482916" w:rsidRDefault="00A1796C" w:rsidP="00A1796C">
            <w:pPr>
              <w:rPr>
                <w:lang w:eastAsia="en-AU"/>
              </w:rPr>
            </w:pPr>
            <w:r w:rsidRPr="00482916">
              <w:rPr>
                <w:lang w:eastAsia="en-AU"/>
              </w:rPr>
              <w:t>Assume the POPE directly owns 100% of the LTCE, and the UPE directly owns 60% of the POPE, with the remaining 40% held by minority investors outside the group.</w:t>
            </w:r>
          </w:p>
          <w:p w14:paraId="65AC98E5" w14:textId="2387DB79" w:rsidR="00F70610" w:rsidRPr="00482916" w:rsidRDefault="00A278BD" w:rsidP="00A80AE8">
            <w:pPr>
              <w:ind w:left="567"/>
              <w:rPr>
                <w:lang w:eastAsia="en-AU"/>
              </w:rPr>
            </w:pPr>
            <w:r>
              <w:object w:dxaOrig="5445" w:dyaOrig="4170" w14:anchorId="5EF26F92">
                <v:shape id="_x0000_i1026" type="#_x0000_t75" style="width:232.5pt;height:177.75pt" o:ole="">
                  <v:imagedata r:id="rId18" o:title=""/>
                </v:shape>
                <o:OLEObject Type="Embed" ProgID="Visio.Drawing.15" ShapeID="_x0000_i1026" DrawAspect="Content" ObjectID="_1713261592" r:id="rId19"/>
              </w:object>
            </w:r>
          </w:p>
          <w:p w14:paraId="17D6730A" w14:textId="77777777" w:rsidR="00A1796C" w:rsidRPr="00482916" w:rsidRDefault="00A1796C" w:rsidP="00A1796C">
            <w:pPr>
              <w:rPr>
                <w:lang w:eastAsia="en-AU"/>
              </w:rPr>
            </w:pPr>
            <w:r w:rsidRPr="00482916">
              <w:rPr>
                <w:lang w:eastAsia="en-AU"/>
              </w:rPr>
              <w:t>Both the UPE and the POPE apply the IIR:</w:t>
            </w:r>
          </w:p>
          <w:p w14:paraId="19080C8B" w14:textId="77777777" w:rsidR="00A1796C" w:rsidRPr="00482916" w:rsidRDefault="00A1796C" w:rsidP="00A1796C">
            <w:pPr>
              <w:pStyle w:val="ListBullet"/>
              <w:rPr>
                <w:lang w:eastAsia="en-AU"/>
              </w:rPr>
            </w:pPr>
            <w:r w:rsidRPr="00482916">
              <w:rPr>
                <w:lang w:eastAsia="en-AU"/>
              </w:rPr>
              <w:t>The POPE’s allocable share of the top-up tax is $100.</w:t>
            </w:r>
          </w:p>
          <w:p w14:paraId="0FA1F670" w14:textId="2AAE6EC9" w:rsidR="00A41D4B" w:rsidRDefault="00A1796C" w:rsidP="00A1796C">
            <w:pPr>
              <w:pStyle w:val="ListBullet"/>
              <w:keepNext/>
              <w:rPr>
                <w:lang w:eastAsia="en-AU"/>
              </w:rPr>
            </w:pPr>
            <w:r w:rsidRPr="00482916">
              <w:rPr>
                <w:lang w:eastAsia="en-AU"/>
              </w:rPr>
              <w:t>The UPE’s allocable share is initially $60 but this is reduced</w:t>
            </w:r>
            <w:r>
              <w:rPr>
                <w:lang w:eastAsia="en-AU"/>
              </w:rPr>
              <w:t xml:space="preserve"> by the top-up tax paid by the POPE multiplied by the UPE’s ownership interest in the LTCE held indirectly through the POPE. This reduction equals $60</w:t>
            </w:r>
            <w:r w:rsidR="00885012">
              <w:rPr>
                <w:lang w:eastAsia="en-AU"/>
              </w:rPr>
              <w:t> </w:t>
            </w:r>
            <w:r>
              <w:rPr>
                <w:lang w:eastAsia="en-AU"/>
              </w:rPr>
              <w:t xml:space="preserve">($100 x 60% = $60), meaning the UPE has zero allocable share. This is appropriate </w:t>
            </w:r>
            <w:r w:rsidRPr="00482916">
              <w:rPr>
                <w:lang w:eastAsia="en-AU"/>
              </w:rPr>
              <w:t>because the top-up tax has already been fully charged to the POPE.</w:t>
            </w:r>
          </w:p>
        </w:tc>
      </w:tr>
    </w:tbl>
    <w:p w14:paraId="34D03306" w14:textId="77777777" w:rsidR="008D2B85" w:rsidRDefault="008D2B85">
      <w:r>
        <w:br w:type="page"/>
      </w:r>
    </w:p>
    <w:tbl>
      <w:tblPr>
        <w:tblStyle w:val="ExampleBox"/>
        <w:tblW w:w="0" w:type="auto"/>
        <w:tblLook w:val="04A0" w:firstRow="1" w:lastRow="0" w:firstColumn="1" w:lastColumn="0" w:noHBand="0" w:noVBand="1"/>
      </w:tblPr>
      <w:tblGrid>
        <w:gridCol w:w="7917"/>
      </w:tblGrid>
      <w:tr w:rsidR="00D410A4" w14:paraId="04060F5D" w14:textId="77777777" w:rsidTr="00180725">
        <w:tc>
          <w:tcPr>
            <w:tcW w:w="7917" w:type="dxa"/>
          </w:tcPr>
          <w:p w14:paraId="14E5AF2B" w14:textId="6ED01A55" w:rsidR="00752766" w:rsidRPr="00CC5A83" w:rsidRDefault="00752766" w:rsidP="00CC5A83">
            <w:pPr>
              <w:rPr>
                <w:b/>
                <w:bCs/>
              </w:rPr>
            </w:pPr>
            <w:r w:rsidRPr="00CC5A83">
              <w:rPr>
                <w:b/>
                <w:bCs/>
              </w:rPr>
              <w:lastRenderedPageBreak/>
              <w:t>The UPE owns the LTCE both directly and indirectly through a POPE</w:t>
            </w:r>
          </w:p>
          <w:p w14:paraId="4A7DAEBB" w14:textId="718F11BF" w:rsidR="00752766" w:rsidRPr="00482916" w:rsidRDefault="00752766" w:rsidP="00A96929">
            <w:pPr>
              <w:rPr>
                <w:lang w:eastAsia="en-AU"/>
              </w:rPr>
            </w:pPr>
            <w:r w:rsidRPr="00482916">
              <w:rPr>
                <w:lang w:eastAsia="en-AU"/>
              </w:rPr>
              <w:t>Assume the POPE owns 50% of the LTCE, and the UPE owns the other 50%. AS above, the UPE also directly owns 60% of the POPE with the remaining 40% held by minority investors outside the group.</w:t>
            </w:r>
          </w:p>
          <w:p w14:paraId="6CD8472E" w14:textId="384D9C73" w:rsidR="00117EA6" w:rsidRPr="00482916" w:rsidRDefault="00A948AB" w:rsidP="00A948AB">
            <w:pPr>
              <w:ind w:left="567"/>
              <w:rPr>
                <w:lang w:eastAsia="en-AU"/>
              </w:rPr>
            </w:pPr>
            <w:r>
              <w:object w:dxaOrig="5730" w:dyaOrig="4170" w14:anchorId="353319E7">
                <v:shape id="_x0000_i1027" type="#_x0000_t75" style="width:243.75pt;height:177.75pt" o:ole="">
                  <v:imagedata r:id="rId20" o:title=""/>
                </v:shape>
                <o:OLEObject Type="Embed" ProgID="Visio.Drawing.15" ShapeID="_x0000_i1027" DrawAspect="Content" ObjectID="_1713261593" r:id="rId21"/>
              </w:object>
            </w:r>
          </w:p>
          <w:p w14:paraId="2473155C" w14:textId="77777777" w:rsidR="00752766" w:rsidRPr="00482916" w:rsidRDefault="00752766" w:rsidP="00A96929">
            <w:pPr>
              <w:rPr>
                <w:lang w:eastAsia="en-AU"/>
              </w:rPr>
            </w:pPr>
            <w:r w:rsidRPr="00482916">
              <w:rPr>
                <w:lang w:eastAsia="en-AU"/>
              </w:rPr>
              <w:t>Again, both the UPE and the POPE apply the IIR:</w:t>
            </w:r>
          </w:p>
          <w:p w14:paraId="6E0720E4" w14:textId="77777777" w:rsidR="00752766" w:rsidRPr="00482916" w:rsidRDefault="00752766" w:rsidP="00A96929">
            <w:pPr>
              <w:pStyle w:val="ListBullet"/>
              <w:rPr>
                <w:lang w:eastAsia="en-AU"/>
              </w:rPr>
            </w:pPr>
            <w:r w:rsidRPr="00482916">
              <w:rPr>
                <w:lang w:eastAsia="en-AU"/>
              </w:rPr>
              <w:t>The POPE’s allocable share of the top-up tax is $50.</w:t>
            </w:r>
          </w:p>
          <w:p w14:paraId="4C8962A1" w14:textId="77777777" w:rsidR="00D410A4" w:rsidRDefault="00752766" w:rsidP="00180725">
            <w:pPr>
              <w:pStyle w:val="ListBullet"/>
              <w:rPr>
                <w:lang w:eastAsia="en-AU"/>
              </w:rPr>
            </w:pPr>
            <w:r w:rsidRPr="00482916">
              <w:rPr>
                <w:lang w:eastAsia="en-AU"/>
              </w:rPr>
              <w:t xml:space="preserve">The UPE’s allocable share is initially $80, being $50 from its direct interest in the LTCE plus $30 from its indirect interest through the POPE (60% * $50 = $30). The UPE reduces its top-up tax liability by $30 to $50, as the $30 from its indirect interest </w:t>
            </w:r>
            <w:r w:rsidR="00774061">
              <w:rPr>
                <w:lang w:eastAsia="en-AU"/>
              </w:rPr>
              <w:t xml:space="preserve">through the POPE </w:t>
            </w:r>
            <w:r w:rsidRPr="00482916">
              <w:rPr>
                <w:lang w:eastAsia="en-AU"/>
              </w:rPr>
              <w:t>has already been charged to the POPE.</w:t>
            </w:r>
          </w:p>
          <w:p w14:paraId="26361666" w14:textId="6C4CCAEA" w:rsidR="00C41483" w:rsidRDefault="00C41483" w:rsidP="00180725">
            <w:pPr>
              <w:pStyle w:val="ListBullet"/>
              <w:rPr>
                <w:lang w:eastAsia="en-AU"/>
              </w:rPr>
            </w:pPr>
            <w:r>
              <w:rPr>
                <w:lang w:eastAsia="en-AU"/>
              </w:rPr>
              <w:t>The result is that the full $100 of top-up tax is collected.</w:t>
            </w:r>
          </w:p>
        </w:tc>
      </w:tr>
    </w:tbl>
    <w:p w14:paraId="78AFCB0E" w14:textId="00A0BA9A" w:rsidR="00482916" w:rsidRPr="00482916" w:rsidRDefault="00482916" w:rsidP="004E7B1D">
      <w:pPr>
        <w:pStyle w:val="Heading2"/>
        <w:rPr>
          <w:lang w:val="en-GB" w:eastAsia="en-AU"/>
        </w:rPr>
      </w:pPr>
      <w:bookmarkStart w:id="64" w:name="_Toc101095600"/>
      <w:r w:rsidRPr="00482916">
        <w:rPr>
          <w:lang w:val="en-GB" w:eastAsia="en-AU"/>
        </w:rPr>
        <w:t>UTPR interaction with IIR</w:t>
      </w:r>
      <w:bookmarkEnd w:id="64"/>
    </w:p>
    <w:p w14:paraId="2DE4788F" w14:textId="76BF40E4" w:rsidR="00482916" w:rsidRPr="00482916" w:rsidRDefault="00482916" w:rsidP="004E7B1D">
      <w:pPr>
        <w:pStyle w:val="NumberedParagraph"/>
        <w:rPr>
          <w:lang w:val="en-GB" w:eastAsia="en-AU"/>
        </w:rPr>
      </w:pPr>
      <w:r w:rsidRPr="00482916">
        <w:rPr>
          <w:lang w:val="en-GB" w:eastAsia="en-AU"/>
        </w:rPr>
        <w:t>Like the IIR, the UTPR allocates top-up tax. The UTPR primarily functions as a backstop to the IIR.</w:t>
      </w:r>
      <w:r w:rsidRPr="00482916">
        <w:rPr>
          <w:sz w:val="18"/>
          <w:szCs w:val="18"/>
          <w:vertAlign w:val="superscript"/>
          <w:lang w:val="en-GB" w:eastAsia="en-AU"/>
        </w:rPr>
        <w:footnoteReference w:id="11"/>
      </w:r>
      <w:r w:rsidRPr="00482916">
        <w:rPr>
          <w:lang w:val="en-GB" w:eastAsia="en-AU"/>
        </w:rPr>
        <w:t xml:space="preserve"> It aims to ensure that top-up tax for an LTCE is paid even if its parent entities are located in jurisdictions without a qualified IIR. This eliminates the incentive for a</w:t>
      </w:r>
      <w:r w:rsidR="00813EEE">
        <w:rPr>
          <w:lang w:val="en-GB" w:eastAsia="en-AU"/>
        </w:rPr>
        <w:t>n</w:t>
      </w:r>
      <w:r w:rsidRPr="00482916">
        <w:rPr>
          <w:lang w:val="en-GB" w:eastAsia="en-AU"/>
        </w:rPr>
        <w:t xml:space="preserve"> MNE to headquarter in a country without an IIR.</w:t>
      </w:r>
    </w:p>
    <w:p w14:paraId="47BED59A" w14:textId="36DFEB11" w:rsidR="00482916" w:rsidRPr="00482916" w:rsidRDefault="00482916" w:rsidP="004E7B1D">
      <w:pPr>
        <w:pStyle w:val="NumberedParagraph"/>
        <w:rPr>
          <w:lang w:val="en-GB" w:eastAsia="en-AU"/>
        </w:rPr>
      </w:pPr>
      <w:r w:rsidRPr="00482916">
        <w:rPr>
          <w:lang w:val="en-GB" w:eastAsia="en-AU"/>
        </w:rPr>
        <w:t>As the UTPR is a backstop, the GloBE rules give the IIR priority over the UTPR in charging tax on low-taxed profits outside of the UPE jurisdiction. The UTPR therefore does not apply when all of the interests in the LTCE are held by parent entities subject to a qualified IIR.</w:t>
      </w:r>
    </w:p>
    <w:p w14:paraId="6EBBAF5B" w14:textId="71AB180F" w:rsidR="00482916" w:rsidRPr="00482916" w:rsidRDefault="00482916" w:rsidP="004E7B1D">
      <w:pPr>
        <w:pStyle w:val="NumberedParagraph"/>
        <w:rPr>
          <w:lang w:val="en-GB" w:eastAsia="en-AU"/>
        </w:rPr>
      </w:pPr>
      <w:r w:rsidRPr="00482916">
        <w:rPr>
          <w:lang w:val="en-GB" w:eastAsia="en-AU"/>
        </w:rPr>
        <w:t>The UTPR appl</w:t>
      </w:r>
      <w:r w:rsidR="00447CF0">
        <w:rPr>
          <w:lang w:val="en-GB" w:eastAsia="en-AU"/>
        </w:rPr>
        <w:t>ies</w:t>
      </w:r>
      <w:r w:rsidRPr="00482916">
        <w:rPr>
          <w:lang w:val="en-GB" w:eastAsia="en-AU"/>
        </w:rPr>
        <w:t xml:space="preserve"> if some of the interests in an LTCE are not held by parent entities which are subject to a qualified IIR. However, any top-up tax collected under the UTPR is reduced by the amount which is charged under an IIR. This ensures the IIR takes priority.</w:t>
      </w:r>
    </w:p>
    <w:tbl>
      <w:tblPr>
        <w:tblStyle w:val="ExampleBox"/>
        <w:tblW w:w="0" w:type="auto"/>
        <w:tblLook w:val="04A0" w:firstRow="1" w:lastRow="0" w:firstColumn="1" w:lastColumn="0" w:noHBand="0" w:noVBand="1"/>
      </w:tblPr>
      <w:tblGrid>
        <w:gridCol w:w="7917"/>
      </w:tblGrid>
      <w:tr w:rsidR="00B03EED" w14:paraId="449350C1" w14:textId="77777777" w:rsidTr="00180725">
        <w:tc>
          <w:tcPr>
            <w:tcW w:w="7917" w:type="dxa"/>
          </w:tcPr>
          <w:p w14:paraId="54D77DC2" w14:textId="013FA91A" w:rsidR="00B03EED" w:rsidRPr="001D54D9" w:rsidRDefault="00B03EED" w:rsidP="00180725">
            <w:pPr>
              <w:pStyle w:val="Caption"/>
              <w:jc w:val="both"/>
            </w:pPr>
            <w:r w:rsidRPr="001D54D9">
              <w:lastRenderedPageBreak/>
              <w:t xml:space="preserve">Example </w:t>
            </w:r>
            <w:r w:rsidR="00F20C52" w:rsidRPr="001D54D9">
              <w:t>15</w:t>
            </w:r>
            <w:r w:rsidRPr="001D54D9">
              <w:t xml:space="preserve">: </w:t>
            </w:r>
            <w:r w:rsidR="004A60B1" w:rsidRPr="001D54D9">
              <w:t>Interaction between IIR and UTPR</w:t>
            </w:r>
          </w:p>
          <w:p w14:paraId="71C73861" w14:textId="18BAFAC7" w:rsidR="000044BB" w:rsidRDefault="004A60B1" w:rsidP="00631FB7">
            <w:pPr>
              <w:rPr>
                <w:lang w:eastAsia="en-AU"/>
              </w:rPr>
            </w:pPr>
            <w:r w:rsidRPr="001D54D9">
              <w:rPr>
                <w:lang w:eastAsia="en-AU"/>
              </w:rPr>
              <w:t>The amount of top-up tax calculated for an MNE’s LTCE is $100. The MNE’s UPE indirectly</w:t>
            </w:r>
            <w:r w:rsidRPr="00482916">
              <w:rPr>
                <w:lang w:eastAsia="en-AU"/>
              </w:rPr>
              <w:t xml:space="preserve"> owns 100% of the LTCE, through two companies </w:t>
            </w:r>
            <w:r w:rsidR="001D5930">
              <w:rPr>
                <w:lang w:eastAsia="en-AU"/>
              </w:rPr>
              <w:t>–</w:t>
            </w:r>
            <w:r w:rsidRPr="00482916">
              <w:rPr>
                <w:lang w:eastAsia="en-AU"/>
              </w:rPr>
              <w:t xml:space="preserve"> A Co (which owns 60%) and B Co (which owns 40%). A Co is in a jurisdiction with a qualified IIR, B Co and the UPE are not.</w:t>
            </w:r>
          </w:p>
          <w:p w14:paraId="6D67DCED" w14:textId="0D6B8B2F" w:rsidR="00B03EED" w:rsidRDefault="004A60B1" w:rsidP="004A60B1">
            <w:pPr>
              <w:rPr>
                <w:lang w:eastAsia="en-AU"/>
              </w:rPr>
            </w:pPr>
            <w:r w:rsidRPr="00482916">
              <w:rPr>
                <w:lang w:eastAsia="en-AU"/>
              </w:rPr>
              <w:t>Applying the IIR, A Co’s allocable share of the top-up tax is $60. The remaining $40 of top-up tax is allocated to the MNE’s constituent entities under the UTPR</w:t>
            </w:r>
            <w:r w:rsidR="00C028F0">
              <w:rPr>
                <w:lang w:eastAsia="en-AU"/>
              </w:rPr>
              <w:t>.</w:t>
            </w:r>
          </w:p>
        </w:tc>
      </w:tr>
    </w:tbl>
    <w:p w14:paraId="5FA59B99" w14:textId="639AB798" w:rsidR="00482916" w:rsidRPr="00482916" w:rsidRDefault="00482916" w:rsidP="00B13E5B">
      <w:pPr>
        <w:pStyle w:val="Heading2"/>
        <w:rPr>
          <w:lang w:eastAsia="en-AU"/>
        </w:rPr>
      </w:pPr>
      <w:bookmarkStart w:id="65" w:name="_Toc101095601"/>
      <w:r w:rsidRPr="00482916">
        <w:rPr>
          <w:lang w:eastAsia="en-AU"/>
        </w:rPr>
        <w:t>How the UTPR allocates top-up tax to different jurisdictions</w:t>
      </w:r>
      <w:bookmarkEnd w:id="65"/>
    </w:p>
    <w:p w14:paraId="4797C4DB" w14:textId="1971F769" w:rsidR="00482916" w:rsidRPr="00482916" w:rsidRDefault="00482916" w:rsidP="00676340">
      <w:pPr>
        <w:pStyle w:val="NumberedParagraph"/>
        <w:rPr>
          <w:lang w:val="en-GB" w:eastAsia="en-AU"/>
        </w:rPr>
      </w:pPr>
      <w:r w:rsidRPr="00482916">
        <w:rPr>
          <w:lang w:val="en-GB" w:eastAsia="en-AU"/>
        </w:rPr>
        <w:t xml:space="preserve">Unlike the IIR which allocates top-up tax to entities by allocable share or ownership, the UTPR allocates top-up tax to </w:t>
      </w:r>
      <w:r w:rsidRPr="00482916">
        <w:rPr>
          <w:i/>
          <w:iCs/>
          <w:lang w:val="en-GB" w:eastAsia="en-AU"/>
        </w:rPr>
        <w:t>jurisdictions</w:t>
      </w:r>
      <w:r w:rsidRPr="00482916">
        <w:rPr>
          <w:lang w:val="en-GB" w:eastAsia="en-AU"/>
        </w:rPr>
        <w:t xml:space="preserve"> based on where the group’s tangible assets and employees are located</w:t>
      </w:r>
      <w:r w:rsidR="00C028F0">
        <w:rPr>
          <w:lang w:val="en-GB" w:eastAsia="en-AU"/>
        </w:rPr>
        <w:t>.</w:t>
      </w:r>
    </w:p>
    <w:p w14:paraId="3F8AA262" w14:textId="1ECB480C" w:rsidR="00482916" w:rsidRPr="00482916" w:rsidRDefault="00482916" w:rsidP="00676340">
      <w:pPr>
        <w:pStyle w:val="NumberedParagraph"/>
        <w:rPr>
          <w:lang w:val="en-GB" w:eastAsia="en-AU"/>
        </w:rPr>
      </w:pPr>
      <w:r w:rsidRPr="00482916">
        <w:rPr>
          <w:lang w:val="en-GB" w:eastAsia="en-AU"/>
        </w:rPr>
        <w:t xml:space="preserve">The UTPR uses an allocation key to allocate the top-up tax between the different jurisdictions in which the MNE has constituent entities. The top-up tax is only allocated to jurisdictions that have implemented a qualified UTPR (a ‘UTPR </w:t>
      </w:r>
      <w:r w:rsidRPr="00482916">
        <w:rPr>
          <w:lang w:eastAsia="en-AU"/>
        </w:rPr>
        <w:t>jurisdiction’</w:t>
      </w:r>
      <w:r w:rsidRPr="00482916">
        <w:rPr>
          <w:lang w:val="en-GB" w:eastAsia="en-AU"/>
        </w:rPr>
        <w:t>).</w:t>
      </w:r>
    </w:p>
    <w:p w14:paraId="2513014B" w14:textId="7797C893" w:rsidR="00482916" w:rsidRPr="00482916" w:rsidRDefault="00482916" w:rsidP="00676340">
      <w:pPr>
        <w:pStyle w:val="NumberedParagraph"/>
        <w:rPr>
          <w:lang w:val="en-GB" w:eastAsia="en-AU"/>
        </w:rPr>
      </w:pPr>
      <w:r w:rsidRPr="00482916">
        <w:rPr>
          <w:lang w:val="en-GB" w:eastAsia="en-AU"/>
        </w:rPr>
        <w:t xml:space="preserve">The allocation is calculated at a jurisdictional level. The top-up tax is allocated based on the proportion of the tangible assets and number of </w:t>
      </w:r>
      <w:r w:rsidRPr="00482916">
        <w:rPr>
          <w:lang w:eastAsia="en-AU"/>
        </w:rPr>
        <w:t>employees</w:t>
      </w:r>
      <w:r w:rsidRPr="00482916">
        <w:rPr>
          <w:lang w:val="en-GB" w:eastAsia="en-AU"/>
        </w:rPr>
        <w:t xml:space="preserve"> in each UTPR jurisdiction. There are equal weights for the asset and employee factors.</w:t>
      </w:r>
    </w:p>
    <w:tbl>
      <w:tblPr>
        <w:tblStyle w:val="ExampleBox"/>
        <w:tblW w:w="0" w:type="auto"/>
        <w:tblLook w:val="04A0" w:firstRow="1" w:lastRow="0" w:firstColumn="1" w:lastColumn="0" w:noHBand="0" w:noVBand="1"/>
      </w:tblPr>
      <w:tblGrid>
        <w:gridCol w:w="7917"/>
      </w:tblGrid>
      <w:tr w:rsidR="003B0869" w14:paraId="799AA80B" w14:textId="77777777" w:rsidTr="00A523C3">
        <w:tc>
          <w:tcPr>
            <w:tcW w:w="7917" w:type="dxa"/>
          </w:tcPr>
          <w:p w14:paraId="2C05F39E" w14:textId="77777777" w:rsidR="003B0869" w:rsidRPr="001D54D9" w:rsidRDefault="003B0869" w:rsidP="00A523C3">
            <w:pPr>
              <w:pStyle w:val="Caption"/>
              <w:jc w:val="both"/>
            </w:pPr>
            <w:bookmarkStart w:id="66" w:name="_Hlk99377815"/>
            <w:r w:rsidRPr="001D54D9">
              <w:t>Example 16: UTPR allocation</w:t>
            </w:r>
          </w:p>
          <w:p w14:paraId="7B5FB91B" w14:textId="324233CD" w:rsidR="003B0869" w:rsidRDefault="003B0869" w:rsidP="00A523C3">
            <w:pPr>
              <w:rPr>
                <w:lang w:val="en-GB" w:eastAsia="en-AU"/>
              </w:rPr>
            </w:pPr>
            <w:r w:rsidRPr="001D54D9">
              <w:rPr>
                <w:lang w:val="en-GB" w:eastAsia="en-AU"/>
              </w:rPr>
              <w:t>An MNE consists of one company (</w:t>
            </w:r>
            <w:proofErr w:type="spellStart"/>
            <w:r w:rsidRPr="001D54D9">
              <w:rPr>
                <w:lang w:val="en-GB" w:eastAsia="en-AU"/>
              </w:rPr>
              <w:t>ParentCo</w:t>
            </w:r>
            <w:proofErr w:type="spellEnd"/>
            <w:r w:rsidRPr="001D54D9">
              <w:rPr>
                <w:lang w:val="en-GB" w:eastAsia="en-AU"/>
              </w:rPr>
              <w:t>) in jurisdiction P with permanent establishments</w:t>
            </w:r>
            <w:r>
              <w:rPr>
                <w:lang w:val="en-GB" w:eastAsia="en-AU"/>
              </w:rPr>
              <w:t xml:space="preserve"> in jurisdictions A, B, C, D and E.</w:t>
            </w:r>
          </w:p>
          <w:p w14:paraId="224D304E" w14:textId="77777777" w:rsidR="003B0869" w:rsidRDefault="003B0869" w:rsidP="00A523C3">
            <w:pPr>
              <w:rPr>
                <w:lang w:val="en-GB" w:eastAsia="en-AU"/>
              </w:rPr>
            </w:pPr>
            <w:r>
              <w:rPr>
                <w:lang w:val="en-GB" w:eastAsia="en-AU"/>
              </w:rPr>
              <w:t xml:space="preserve">Jurisdiction P has not adopted the GloBE rules. Jurisdictions A, B, C, D and E have all adopted the GloBE rules and implemented the UTPR. </w:t>
            </w:r>
          </w:p>
          <w:p w14:paraId="0642DE9B" w14:textId="77777777" w:rsidR="003B0869" w:rsidRDefault="003B0869" w:rsidP="00A523C3">
            <w:pPr>
              <w:rPr>
                <w:lang w:val="en-GB" w:eastAsia="en-AU"/>
              </w:rPr>
            </w:pPr>
            <w:r>
              <w:rPr>
                <w:lang w:val="en-GB" w:eastAsia="en-AU"/>
              </w:rPr>
              <w:t xml:space="preserve">The value of tangible assets and number of employees owned by the MNE located in each jurisdiction are: </w:t>
            </w:r>
          </w:p>
          <w:p w14:paraId="4E62919C" w14:textId="065B530D" w:rsidR="003B0869" w:rsidRDefault="003B0869" w:rsidP="00A523C3">
            <w:pPr>
              <w:pStyle w:val="ListBullet"/>
              <w:rPr>
                <w:lang w:val="en-GB" w:eastAsia="en-AU"/>
              </w:rPr>
            </w:pPr>
            <w:r>
              <w:rPr>
                <w:lang w:val="en-GB" w:eastAsia="en-AU"/>
              </w:rPr>
              <w:t>Jurisdiction A: $400</w:t>
            </w:r>
            <w:r w:rsidR="00885012">
              <w:rPr>
                <w:lang w:val="en-GB" w:eastAsia="en-AU"/>
              </w:rPr>
              <w:t xml:space="preserve"> </w:t>
            </w:r>
            <w:r>
              <w:rPr>
                <w:lang w:val="en-GB" w:eastAsia="en-AU"/>
              </w:rPr>
              <w:t>m</w:t>
            </w:r>
            <w:r w:rsidR="00885012">
              <w:rPr>
                <w:lang w:val="en-GB" w:eastAsia="en-AU"/>
              </w:rPr>
              <w:t>illion</w:t>
            </w:r>
            <w:r>
              <w:rPr>
                <w:lang w:val="en-GB" w:eastAsia="en-AU"/>
              </w:rPr>
              <w:t xml:space="preserve"> tangible assets, 500 employees</w:t>
            </w:r>
          </w:p>
          <w:p w14:paraId="3678FB71" w14:textId="6BEEC5CF" w:rsidR="003B0869" w:rsidRDefault="003B0869" w:rsidP="00A523C3">
            <w:pPr>
              <w:pStyle w:val="ListBullet"/>
              <w:rPr>
                <w:lang w:val="en-GB" w:eastAsia="en-AU"/>
              </w:rPr>
            </w:pPr>
            <w:r>
              <w:rPr>
                <w:lang w:val="en-GB" w:eastAsia="en-AU"/>
              </w:rPr>
              <w:t>Jurisdiction B: $400</w:t>
            </w:r>
            <w:r w:rsidR="00885012">
              <w:rPr>
                <w:lang w:val="en-GB" w:eastAsia="en-AU"/>
              </w:rPr>
              <w:t xml:space="preserve"> </w:t>
            </w:r>
            <w:r>
              <w:rPr>
                <w:lang w:val="en-GB" w:eastAsia="en-AU"/>
              </w:rPr>
              <w:t>m</w:t>
            </w:r>
            <w:r w:rsidR="00885012">
              <w:rPr>
                <w:lang w:val="en-GB" w:eastAsia="en-AU"/>
              </w:rPr>
              <w:t>illion</w:t>
            </w:r>
            <w:r>
              <w:rPr>
                <w:lang w:val="en-GB" w:eastAsia="en-AU"/>
              </w:rPr>
              <w:t xml:space="preserve"> tangible assets, 300 employees</w:t>
            </w:r>
          </w:p>
          <w:p w14:paraId="5A52FBDC" w14:textId="55DF53EB" w:rsidR="003B0869" w:rsidRDefault="003B0869" w:rsidP="00A523C3">
            <w:pPr>
              <w:pStyle w:val="ListBullet"/>
              <w:rPr>
                <w:lang w:val="en-GB" w:eastAsia="en-AU"/>
              </w:rPr>
            </w:pPr>
            <w:r>
              <w:rPr>
                <w:lang w:val="en-GB" w:eastAsia="en-AU"/>
              </w:rPr>
              <w:t>Jurisdiction C: $100</w:t>
            </w:r>
            <w:r w:rsidR="00885012">
              <w:rPr>
                <w:lang w:val="en-GB" w:eastAsia="en-AU"/>
              </w:rPr>
              <w:t xml:space="preserve"> </w:t>
            </w:r>
            <w:r>
              <w:rPr>
                <w:lang w:val="en-GB" w:eastAsia="en-AU"/>
              </w:rPr>
              <w:t>m</w:t>
            </w:r>
            <w:r w:rsidR="00885012">
              <w:rPr>
                <w:lang w:val="en-GB" w:eastAsia="en-AU"/>
              </w:rPr>
              <w:t>illion</w:t>
            </w:r>
            <w:r>
              <w:rPr>
                <w:lang w:val="en-GB" w:eastAsia="en-AU"/>
              </w:rPr>
              <w:t xml:space="preserve"> tangible assets, 200 employees</w:t>
            </w:r>
          </w:p>
          <w:p w14:paraId="3C9510A5" w14:textId="300A0C8E" w:rsidR="003B0869" w:rsidRDefault="003B0869" w:rsidP="00A523C3">
            <w:pPr>
              <w:pStyle w:val="ListBullet"/>
              <w:rPr>
                <w:lang w:val="en-GB" w:eastAsia="en-AU"/>
              </w:rPr>
            </w:pPr>
            <w:r>
              <w:rPr>
                <w:lang w:val="en-GB" w:eastAsia="en-AU"/>
              </w:rPr>
              <w:t>Jurisdiction D: $100</w:t>
            </w:r>
            <w:r w:rsidR="00885012">
              <w:rPr>
                <w:lang w:val="en-GB" w:eastAsia="en-AU"/>
              </w:rPr>
              <w:t xml:space="preserve"> </w:t>
            </w:r>
            <w:r>
              <w:rPr>
                <w:lang w:val="en-GB" w:eastAsia="en-AU"/>
              </w:rPr>
              <w:t>m</w:t>
            </w:r>
            <w:r w:rsidR="00885012">
              <w:rPr>
                <w:lang w:val="en-GB" w:eastAsia="en-AU"/>
              </w:rPr>
              <w:t>illion</w:t>
            </w:r>
            <w:r>
              <w:rPr>
                <w:lang w:val="en-GB" w:eastAsia="en-AU"/>
              </w:rPr>
              <w:t xml:space="preserve"> tangible assets, no employees</w:t>
            </w:r>
          </w:p>
          <w:p w14:paraId="3DAC6F18" w14:textId="30CA0DA9" w:rsidR="003B0869" w:rsidRDefault="003B0869" w:rsidP="00A523C3">
            <w:pPr>
              <w:pStyle w:val="ListBullet"/>
              <w:rPr>
                <w:lang w:val="en-GB" w:eastAsia="en-AU"/>
              </w:rPr>
            </w:pPr>
            <w:r>
              <w:rPr>
                <w:lang w:val="en-GB" w:eastAsia="en-AU"/>
              </w:rPr>
              <w:t>Jurisdiction E: No tangible assets or employees.</w:t>
            </w:r>
          </w:p>
          <w:p w14:paraId="516A6467" w14:textId="381FFC8D" w:rsidR="003B0869" w:rsidRPr="00CC04F6" w:rsidRDefault="003B0869" w:rsidP="00786941">
            <w:pPr>
              <w:rPr>
                <w:lang w:val="en-GB" w:eastAsia="en-AU"/>
              </w:rPr>
            </w:pPr>
            <w:r>
              <w:rPr>
                <w:lang w:val="en-GB" w:eastAsia="en-AU"/>
              </w:rPr>
              <w:t>The MNE’s total value of tangible assets in all UTPR jurisdictions is $1</w:t>
            </w:r>
            <w:r w:rsidR="00885012">
              <w:rPr>
                <w:lang w:val="en-GB" w:eastAsia="en-AU"/>
              </w:rPr>
              <w:t xml:space="preserve"> </w:t>
            </w:r>
            <w:r>
              <w:rPr>
                <w:lang w:val="en-GB" w:eastAsia="en-AU"/>
              </w:rPr>
              <w:t>b</w:t>
            </w:r>
            <w:r w:rsidR="00885012">
              <w:rPr>
                <w:lang w:val="en-GB" w:eastAsia="en-AU"/>
              </w:rPr>
              <w:t>illion</w:t>
            </w:r>
            <w:r>
              <w:rPr>
                <w:lang w:val="en-GB" w:eastAsia="en-AU"/>
              </w:rPr>
              <w:t>, and the total number of employees in all UTPR jurisdictions is 1,000.</w:t>
            </w:r>
          </w:p>
        </w:tc>
      </w:tr>
      <w:bookmarkEnd w:id="66"/>
    </w:tbl>
    <w:p w14:paraId="54FDFBBE" w14:textId="77777777" w:rsidR="008D2B85" w:rsidRDefault="008D2B85">
      <w:r>
        <w:br w:type="page"/>
      </w:r>
    </w:p>
    <w:tbl>
      <w:tblPr>
        <w:tblStyle w:val="ExampleBox"/>
        <w:tblW w:w="0" w:type="auto"/>
        <w:tblLook w:val="04A0" w:firstRow="1" w:lastRow="0" w:firstColumn="1" w:lastColumn="0" w:noHBand="0" w:noVBand="1"/>
      </w:tblPr>
      <w:tblGrid>
        <w:gridCol w:w="7917"/>
      </w:tblGrid>
      <w:tr w:rsidR="008147B3" w14:paraId="5F4B957D" w14:textId="77777777" w:rsidTr="00B05A6F">
        <w:tc>
          <w:tcPr>
            <w:tcW w:w="7917" w:type="dxa"/>
          </w:tcPr>
          <w:p w14:paraId="08B5D69C" w14:textId="05EFA0F1" w:rsidR="00161FA9" w:rsidRDefault="000800FE" w:rsidP="00643B9C">
            <w:pPr>
              <w:rPr>
                <w:lang w:val="en-GB" w:eastAsia="en-AU"/>
              </w:rPr>
            </w:pPr>
            <w:r>
              <w:rPr>
                <w:lang w:val="en-GB" w:eastAsia="en-AU"/>
              </w:rPr>
              <w:lastRenderedPageBreak/>
              <w:t xml:space="preserve">Jurisdiction </w:t>
            </w:r>
            <w:r w:rsidR="00293CE8">
              <w:rPr>
                <w:lang w:val="en-GB" w:eastAsia="en-AU"/>
              </w:rPr>
              <w:t>P</w:t>
            </w:r>
            <w:r>
              <w:rPr>
                <w:lang w:val="en-GB" w:eastAsia="en-AU"/>
              </w:rPr>
              <w:t xml:space="preserve"> has not adopted the </w:t>
            </w:r>
            <w:r w:rsidR="007F4F6E">
              <w:rPr>
                <w:lang w:val="en-GB" w:eastAsia="en-AU"/>
              </w:rPr>
              <w:t>GloBE rules</w:t>
            </w:r>
            <w:r>
              <w:rPr>
                <w:lang w:val="en-GB" w:eastAsia="en-AU"/>
              </w:rPr>
              <w:t>. J</w:t>
            </w:r>
            <w:r w:rsidR="00CE5EA5">
              <w:rPr>
                <w:lang w:val="en-GB" w:eastAsia="en-AU"/>
              </w:rPr>
              <w:t xml:space="preserve">urisdictions </w:t>
            </w:r>
            <w:r w:rsidR="00203046">
              <w:rPr>
                <w:lang w:val="en-GB" w:eastAsia="en-AU"/>
              </w:rPr>
              <w:t>A</w:t>
            </w:r>
            <w:r w:rsidR="00CE5EA5">
              <w:rPr>
                <w:lang w:val="en-GB" w:eastAsia="en-AU"/>
              </w:rPr>
              <w:t>, B, C, D and E</w:t>
            </w:r>
            <w:r w:rsidR="00203046">
              <w:rPr>
                <w:lang w:val="en-GB" w:eastAsia="en-AU"/>
              </w:rPr>
              <w:t xml:space="preserve"> </w:t>
            </w:r>
            <w:r w:rsidR="00293CE8">
              <w:rPr>
                <w:lang w:val="en-GB" w:eastAsia="en-AU"/>
              </w:rPr>
              <w:t xml:space="preserve">have all </w:t>
            </w:r>
            <w:r w:rsidR="0086636B">
              <w:rPr>
                <w:lang w:val="en-GB" w:eastAsia="en-AU"/>
              </w:rPr>
              <w:t xml:space="preserve">adopted the GloBE rules and </w:t>
            </w:r>
            <w:r w:rsidR="00293CE8">
              <w:rPr>
                <w:lang w:val="en-GB" w:eastAsia="en-AU"/>
              </w:rPr>
              <w:t>implemented</w:t>
            </w:r>
            <w:r w:rsidR="00203046">
              <w:rPr>
                <w:lang w:val="en-GB" w:eastAsia="en-AU"/>
              </w:rPr>
              <w:t xml:space="preserve"> the UTPR</w:t>
            </w:r>
            <w:r w:rsidR="00560E00">
              <w:rPr>
                <w:lang w:val="en-GB" w:eastAsia="en-AU"/>
              </w:rPr>
              <w:t xml:space="preserve">. </w:t>
            </w:r>
            <w:r w:rsidR="00704FBF">
              <w:rPr>
                <w:lang w:val="en-GB" w:eastAsia="en-AU"/>
              </w:rPr>
              <w:t>The PE in Jurisdiction A is low tax, having a top-up tax amount under Article 5 of $100,000.</w:t>
            </w:r>
          </w:p>
          <w:p w14:paraId="6A0A9307" w14:textId="42C0861D" w:rsidR="00264E9F" w:rsidRDefault="00422546" w:rsidP="003A57A3">
            <w:pPr>
              <w:rPr>
                <w:lang w:val="en-GB" w:eastAsia="en-AU"/>
              </w:rPr>
            </w:pPr>
            <w:r>
              <w:rPr>
                <w:lang w:val="en-GB" w:eastAsia="en-AU"/>
              </w:rPr>
              <w:t xml:space="preserve">The </w:t>
            </w:r>
            <w:r w:rsidR="00264E9F">
              <w:rPr>
                <w:lang w:val="en-GB" w:eastAsia="en-AU"/>
              </w:rPr>
              <w:t>share</w:t>
            </w:r>
            <w:r>
              <w:rPr>
                <w:lang w:val="en-GB" w:eastAsia="en-AU"/>
              </w:rPr>
              <w:t xml:space="preserve"> of </w:t>
            </w:r>
            <w:r w:rsidR="00704FBF">
              <w:rPr>
                <w:lang w:val="en-GB" w:eastAsia="en-AU"/>
              </w:rPr>
              <w:t xml:space="preserve">Jurisdiction A </w:t>
            </w:r>
            <w:r w:rsidR="00C64D75">
              <w:rPr>
                <w:lang w:val="en-GB" w:eastAsia="en-AU"/>
              </w:rPr>
              <w:t xml:space="preserve">top-up tax allocated to </w:t>
            </w:r>
            <w:r w:rsidR="00311198">
              <w:rPr>
                <w:lang w:val="en-GB" w:eastAsia="en-AU"/>
              </w:rPr>
              <w:t>Jurisdictions A, B, C and D under the UTPR</w:t>
            </w:r>
            <w:r w:rsidR="00264E9F">
              <w:rPr>
                <w:lang w:val="en-GB" w:eastAsia="en-AU"/>
              </w:rPr>
              <w:t xml:space="preserve"> is calculated as follows:</w:t>
            </w:r>
          </w:p>
          <w:p w14:paraId="7D4A36B0" w14:textId="3AB51CB5" w:rsidR="00422546" w:rsidRDefault="006166BE" w:rsidP="006166BE">
            <w:pPr>
              <w:pStyle w:val="ListBullet"/>
              <w:rPr>
                <w:lang w:val="en-GB" w:eastAsia="en-AU"/>
              </w:rPr>
            </w:pPr>
            <w:r>
              <w:rPr>
                <w:lang w:val="en-GB" w:eastAsia="en-AU"/>
              </w:rPr>
              <w:t xml:space="preserve">Jurisdiction A: 50% x </w:t>
            </w:r>
            <w:r w:rsidR="00616756">
              <w:rPr>
                <w:lang w:val="en-GB" w:eastAsia="en-AU"/>
              </w:rPr>
              <w:t>(</w:t>
            </w:r>
            <w:r w:rsidR="005F640D">
              <w:rPr>
                <w:lang w:val="en-GB" w:eastAsia="en-AU"/>
              </w:rPr>
              <w:t>400</w:t>
            </w:r>
            <w:r w:rsidR="00CC04F6">
              <w:rPr>
                <w:lang w:val="en-GB" w:eastAsia="en-AU"/>
              </w:rPr>
              <w:t>m/1b) + 50% x (</w:t>
            </w:r>
            <w:r w:rsidR="00FA44F6">
              <w:rPr>
                <w:lang w:val="en-GB" w:eastAsia="en-AU"/>
              </w:rPr>
              <w:t>5</w:t>
            </w:r>
            <w:r w:rsidR="00CC04F6">
              <w:rPr>
                <w:lang w:val="en-GB" w:eastAsia="en-AU"/>
              </w:rPr>
              <w:t xml:space="preserve">00/1,000) = </w:t>
            </w:r>
            <w:r w:rsidR="007E0321">
              <w:rPr>
                <w:lang w:val="en-GB" w:eastAsia="en-AU"/>
              </w:rPr>
              <w:t>45%</w:t>
            </w:r>
          </w:p>
          <w:p w14:paraId="424CCF1B" w14:textId="6DEF4FBC" w:rsidR="00CC04F6" w:rsidRDefault="00CC04F6" w:rsidP="00CC04F6">
            <w:pPr>
              <w:pStyle w:val="ListBullet"/>
              <w:rPr>
                <w:lang w:val="en-GB" w:eastAsia="en-AU"/>
              </w:rPr>
            </w:pPr>
            <w:r>
              <w:rPr>
                <w:lang w:val="en-GB" w:eastAsia="en-AU"/>
              </w:rPr>
              <w:t xml:space="preserve">Jurisdiction B: 50% x (400m/1b) + 50% x (300/1,000) = </w:t>
            </w:r>
            <w:r w:rsidR="00386E90">
              <w:rPr>
                <w:lang w:val="en-GB" w:eastAsia="en-AU"/>
              </w:rPr>
              <w:t>35%</w:t>
            </w:r>
          </w:p>
          <w:p w14:paraId="270F227A" w14:textId="26F5CE5E" w:rsidR="00CC04F6" w:rsidRDefault="00CC04F6" w:rsidP="00CC04F6">
            <w:pPr>
              <w:pStyle w:val="ListBullet"/>
              <w:rPr>
                <w:lang w:val="en-GB" w:eastAsia="en-AU"/>
              </w:rPr>
            </w:pPr>
            <w:r>
              <w:rPr>
                <w:lang w:val="en-GB" w:eastAsia="en-AU"/>
              </w:rPr>
              <w:t>Jurisdiction C: 50% x (100m/1b) + 50% x (</w:t>
            </w:r>
            <w:r w:rsidR="00FA44F6">
              <w:rPr>
                <w:lang w:val="en-GB" w:eastAsia="en-AU"/>
              </w:rPr>
              <w:t>2</w:t>
            </w:r>
            <w:r>
              <w:rPr>
                <w:lang w:val="en-GB" w:eastAsia="en-AU"/>
              </w:rPr>
              <w:t xml:space="preserve">00/1,000) = </w:t>
            </w:r>
            <w:r w:rsidR="00890246">
              <w:rPr>
                <w:lang w:val="en-GB" w:eastAsia="en-AU"/>
              </w:rPr>
              <w:t>15%</w:t>
            </w:r>
          </w:p>
          <w:p w14:paraId="5C0A5FC2" w14:textId="04F1C1F5" w:rsidR="00CC04F6" w:rsidRDefault="00CC04F6" w:rsidP="003A57A3">
            <w:pPr>
              <w:pStyle w:val="ListBullet"/>
              <w:rPr>
                <w:lang w:val="en-GB" w:eastAsia="en-AU"/>
              </w:rPr>
            </w:pPr>
            <w:r>
              <w:rPr>
                <w:lang w:val="en-GB" w:eastAsia="en-AU"/>
              </w:rPr>
              <w:t xml:space="preserve">Jurisdiction D: 50% x (100m/1b) + 50% x </w:t>
            </w:r>
            <w:r w:rsidR="00FA44F6">
              <w:rPr>
                <w:lang w:val="en-GB" w:eastAsia="en-AU"/>
              </w:rPr>
              <w:t>0</w:t>
            </w:r>
            <w:r>
              <w:rPr>
                <w:lang w:val="en-GB" w:eastAsia="en-AU"/>
              </w:rPr>
              <w:t xml:space="preserve"> = </w:t>
            </w:r>
            <w:r w:rsidR="00386E90">
              <w:rPr>
                <w:lang w:val="en-GB" w:eastAsia="en-AU"/>
              </w:rPr>
              <w:t>5%</w:t>
            </w:r>
          </w:p>
          <w:p w14:paraId="74C25BE0" w14:textId="2EAF78B9" w:rsidR="008147B3" w:rsidRPr="00CC04F6" w:rsidRDefault="00311198" w:rsidP="00CC04F6">
            <w:pPr>
              <w:pStyle w:val="ListBullet"/>
              <w:rPr>
                <w:lang w:val="en-GB" w:eastAsia="en-AU"/>
              </w:rPr>
            </w:pPr>
            <w:r>
              <w:rPr>
                <w:lang w:val="en-GB" w:eastAsia="en-AU"/>
              </w:rPr>
              <w:t xml:space="preserve">Jurisdiction E will not be allocated any top-up tax as it has no tangible assets or </w:t>
            </w:r>
            <w:r w:rsidR="008147B3" w:rsidRPr="00482916">
              <w:rPr>
                <w:lang w:val="en-GB" w:eastAsia="en-AU"/>
              </w:rPr>
              <w:t>employees</w:t>
            </w:r>
            <w:r w:rsidR="00CC04F6">
              <w:rPr>
                <w:lang w:val="en-GB" w:eastAsia="en-AU"/>
              </w:rPr>
              <w:t>, even though it is a UTPR jurisdiction</w:t>
            </w:r>
            <w:r w:rsidR="008D2B85">
              <w:rPr>
                <w:lang w:val="en-GB" w:eastAsia="en-AU"/>
              </w:rPr>
              <w:t>.</w:t>
            </w:r>
          </w:p>
        </w:tc>
      </w:tr>
    </w:tbl>
    <w:p w14:paraId="5F31A98A" w14:textId="3E52801C" w:rsidR="00482916" w:rsidRPr="00482916" w:rsidRDefault="00482916" w:rsidP="00676340">
      <w:pPr>
        <w:pStyle w:val="NumberedParagraph"/>
        <w:rPr>
          <w:lang w:val="en-GB" w:eastAsia="en-AU"/>
        </w:rPr>
      </w:pPr>
      <w:r w:rsidRPr="00482916">
        <w:rPr>
          <w:lang w:val="en-GB" w:eastAsia="en-AU"/>
        </w:rPr>
        <w:t xml:space="preserve">The data for this allocation can be taken from the MNE’s CbC report, </w:t>
      </w:r>
      <w:r w:rsidR="00C53900">
        <w:rPr>
          <w:lang w:val="en-GB" w:eastAsia="en-AU"/>
        </w:rPr>
        <w:t xml:space="preserve">provided the report is prepared </w:t>
      </w:r>
      <w:r w:rsidR="0009795E">
        <w:rPr>
          <w:lang w:val="en-GB" w:eastAsia="en-AU"/>
        </w:rPr>
        <w:t>in accordance with the</w:t>
      </w:r>
      <w:r w:rsidR="003678BB">
        <w:rPr>
          <w:lang w:val="en-GB" w:eastAsia="en-AU"/>
        </w:rPr>
        <w:t xml:space="preserve"> GloBE rules</w:t>
      </w:r>
      <w:r w:rsidR="00916939">
        <w:rPr>
          <w:lang w:val="en-GB" w:eastAsia="en-AU"/>
        </w:rPr>
        <w:t>’</w:t>
      </w:r>
      <w:r w:rsidR="003B19B2">
        <w:rPr>
          <w:lang w:val="en-GB" w:eastAsia="en-AU"/>
        </w:rPr>
        <w:t xml:space="preserve"> </w:t>
      </w:r>
      <w:r w:rsidR="0009795E">
        <w:rPr>
          <w:lang w:val="en-GB" w:eastAsia="en-AU"/>
        </w:rPr>
        <w:t xml:space="preserve">definitions for </w:t>
      </w:r>
      <w:r w:rsidR="003B19B2">
        <w:rPr>
          <w:lang w:val="en-GB" w:eastAsia="en-AU"/>
        </w:rPr>
        <w:t>Number of Employees and Tangible Assets.</w:t>
      </w:r>
      <w:r w:rsidRPr="00482916">
        <w:rPr>
          <w:lang w:val="en-GB" w:eastAsia="en-AU"/>
        </w:rPr>
        <w:t xml:space="preserve"> </w:t>
      </w:r>
      <w:r w:rsidR="0009795E">
        <w:rPr>
          <w:lang w:val="en-GB" w:eastAsia="en-AU"/>
        </w:rPr>
        <w:t>This</w:t>
      </w:r>
      <w:r w:rsidRPr="00482916">
        <w:rPr>
          <w:lang w:val="en-GB" w:eastAsia="en-AU"/>
        </w:rPr>
        <w:t xml:space="preserve"> will minimise the additional compliance burdens on MNEs and improve coordination by basing the calculation on existing, readily available, and objective data.</w:t>
      </w:r>
    </w:p>
    <w:p w14:paraId="7274385D" w14:textId="2E86570F" w:rsidR="00482916" w:rsidRPr="00482916" w:rsidRDefault="00482916" w:rsidP="00676340">
      <w:pPr>
        <w:pStyle w:val="NumberedParagraph"/>
        <w:rPr>
          <w:lang w:val="en-GB" w:eastAsia="en-AU"/>
        </w:rPr>
      </w:pPr>
      <w:r w:rsidRPr="00482916">
        <w:rPr>
          <w:lang w:val="en-GB" w:eastAsia="en-AU"/>
        </w:rPr>
        <w:t xml:space="preserve">Once top-up tax has been allocated to a jurisdiction under the UTPR, the jurisdiction must decide in its own domestic laws how to collect that top-up tax from the MNE’s constituent entities in that jurisdiction. A proposal for how this could be done in New Zealand is outlined in </w:t>
      </w:r>
      <w:r w:rsidRPr="001D54D9">
        <w:rPr>
          <w:lang w:val="en-GB" w:eastAsia="en-AU"/>
        </w:rPr>
        <w:t>Chapter</w:t>
      </w:r>
      <w:r w:rsidR="000578B9" w:rsidRPr="001D54D9">
        <w:rPr>
          <w:lang w:val="en-GB" w:eastAsia="en-AU"/>
        </w:rPr>
        <w:t>s</w:t>
      </w:r>
      <w:r w:rsidRPr="001D54D9">
        <w:rPr>
          <w:lang w:val="en-GB" w:eastAsia="en-AU"/>
        </w:rPr>
        <w:t xml:space="preserve"> 11</w:t>
      </w:r>
      <w:r w:rsidR="000578B9" w:rsidRPr="001D54D9">
        <w:rPr>
          <w:lang w:val="en-GB" w:eastAsia="en-AU"/>
        </w:rPr>
        <w:t xml:space="preserve"> and 12</w:t>
      </w:r>
      <w:r w:rsidR="00C028F0" w:rsidRPr="001D54D9">
        <w:rPr>
          <w:lang w:val="en-GB" w:eastAsia="en-AU"/>
        </w:rPr>
        <w:t>.</w:t>
      </w:r>
    </w:p>
    <w:tbl>
      <w:tblPr>
        <w:tblStyle w:val="QuestionBox"/>
        <w:tblW w:w="8779" w:type="dxa"/>
        <w:tblLook w:val="04A0" w:firstRow="1" w:lastRow="0" w:firstColumn="1" w:lastColumn="0" w:noHBand="0" w:noVBand="1"/>
      </w:tblPr>
      <w:tblGrid>
        <w:gridCol w:w="8779"/>
      </w:tblGrid>
      <w:tr w:rsidR="00676340" w14:paraId="2B1334BF" w14:textId="77777777" w:rsidTr="00510C9B">
        <w:tc>
          <w:tcPr>
            <w:tcW w:w="8779" w:type="dxa"/>
          </w:tcPr>
          <w:p w14:paraId="6FB788B8" w14:textId="457670D9" w:rsidR="00676340" w:rsidRPr="000E77C5" w:rsidRDefault="00676340" w:rsidP="00180725">
            <w:pPr>
              <w:rPr>
                <w:rStyle w:val="Strong"/>
              </w:rPr>
            </w:pPr>
            <w:r w:rsidRPr="000E77C5">
              <w:rPr>
                <w:rStyle w:val="Strong"/>
              </w:rPr>
              <w:t>Question</w:t>
            </w:r>
            <w:r>
              <w:rPr>
                <w:rStyle w:val="Strong"/>
              </w:rPr>
              <w:t>s</w:t>
            </w:r>
            <w:r w:rsidRPr="000E77C5">
              <w:rPr>
                <w:rStyle w:val="Strong"/>
              </w:rPr>
              <w:t xml:space="preserve"> for submitters</w:t>
            </w:r>
          </w:p>
          <w:p w14:paraId="1210698B" w14:textId="77540470" w:rsidR="00786608" w:rsidRDefault="00786608" w:rsidP="00786608">
            <w:pPr>
              <w:pStyle w:val="ListBullet"/>
            </w:pPr>
            <w:r>
              <w:t>Do submitters have any comments on how the IIR ordering rules should be implemented in New Zealand?</w:t>
            </w:r>
          </w:p>
          <w:p w14:paraId="1308672F" w14:textId="6D3B2702" w:rsidR="00786608" w:rsidRDefault="00786608" w:rsidP="00786608">
            <w:pPr>
              <w:pStyle w:val="ListBullet"/>
            </w:pPr>
            <w:r>
              <w:t>Do submitters have any views on information or administration challenges with the split ownership POPE rules and how these challenges could be addressed in the implementation framework?</w:t>
            </w:r>
          </w:p>
          <w:p w14:paraId="6F04ED5E" w14:textId="11546E57" w:rsidR="00676340" w:rsidRPr="00786608" w:rsidRDefault="00786608" w:rsidP="00786608">
            <w:pPr>
              <w:pStyle w:val="ListBullet"/>
              <w:rPr>
                <w:b/>
              </w:rPr>
            </w:pPr>
            <w:r>
              <w:t>Do submitters have any comments on the interaction between the IIR the and UTPR and how it should be addressed in implementation?</w:t>
            </w:r>
          </w:p>
        </w:tc>
      </w:tr>
    </w:tbl>
    <w:p w14:paraId="4B4DCCD2" w14:textId="1D6F2B98" w:rsidR="00E92D57" w:rsidRDefault="00786608" w:rsidP="00E92D57">
      <w:pPr>
        <w:pStyle w:val="Heading1"/>
        <w:rPr>
          <w:lang w:eastAsia="en-AU"/>
        </w:rPr>
      </w:pPr>
      <w:r>
        <w:rPr>
          <w:lang w:eastAsia="en-AU"/>
        </w:rPr>
        <w:lastRenderedPageBreak/>
        <w:br/>
      </w:r>
      <w:r>
        <w:rPr>
          <w:lang w:eastAsia="en-AU"/>
        </w:rPr>
        <w:br/>
      </w:r>
      <w:bookmarkStart w:id="67" w:name="_Toc101095602"/>
      <w:r>
        <w:rPr>
          <w:lang w:eastAsia="en-AU"/>
        </w:rPr>
        <w:t>Transition</w:t>
      </w:r>
      <w:bookmarkEnd w:id="67"/>
    </w:p>
    <w:p w14:paraId="4CE83096" w14:textId="58205691" w:rsidR="00786608" w:rsidRDefault="003D75E0" w:rsidP="003D75E0">
      <w:pPr>
        <w:pStyle w:val="Heading2"/>
        <w:rPr>
          <w:lang w:eastAsia="en-AU"/>
        </w:rPr>
      </w:pPr>
      <w:bookmarkStart w:id="68" w:name="_Toc101095603"/>
      <w:r>
        <w:rPr>
          <w:lang w:eastAsia="en-AU"/>
        </w:rPr>
        <w:t>Overview</w:t>
      </w:r>
      <w:bookmarkEnd w:id="68"/>
    </w:p>
    <w:p w14:paraId="01B1E399" w14:textId="0DA6E935" w:rsidR="002E499F" w:rsidRDefault="002E499F" w:rsidP="00202407">
      <w:pPr>
        <w:pStyle w:val="NumberedParagraph"/>
      </w:pPr>
      <w:r w:rsidRPr="00430C6B">
        <w:t xml:space="preserve">Chapter 9 of the Model Rules </w:t>
      </w:r>
      <w:r>
        <w:t xml:space="preserve">sets out transitional rules. Some of these rules apply to all MNEs as they address transition issues arising from the fact that the GloBE rules are new. Other transitional rules apply to entities and groups </w:t>
      </w:r>
      <w:r w:rsidR="002101BC">
        <w:t>when they</w:t>
      </w:r>
      <w:r>
        <w:t xml:space="preserve"> first come within scope of the GloBE rules (for example, through organic growth or a merger), even if that occurs after the GloBE rules have been in place for some time.</w:t>
      </w:r>
    </w:p>
    <w:p w14:paraId="47F7BFD0" w14:textId="5102E6FB" w:rsidR="002E499F" w:rsidRDefault="002E499F" w:rsidP="00202407">
      <w:pPr>
        <w:pStyle w:val="NumberedParagraph"/>
      </w:pPr>
      <w:r>
        <w:t xml:space="preserve">An MNE’s transition year is determined </w:t>
      </w:r>
      <w:r w:rsidR="00B6164E">
        <w:t>o</w:t>
      </w:r>
      <w:r>
        <w:t>n a jurisdictional basis. For a jurisdiction, the first fiscal year that the MNE comes within scope of the GloBE rules in respect of that jurisdiction is a “Transition Year”.</w:t>
      </w:r>
      <w:r w:rsidR="006B0985">
        <w:t xml:space="preserve"> An MNE may therefore have different Transition Years in respect of different jurisdictions.</w:t>
      </w:r>
    </w:p>
    <w:p w14:paraId="6C8872C9" w14:textId="77777777" w:rsidR="002E499F" w:rsidRDefault="002E499F" w:rsidP="00202407">
      <w:pPr>
        <w:pStyle w:val="NumberedParagraph"/>
      </w:pPr>
      <w:r>
        <w:t>The transitional rules described in this chapter:</w:t>
      </w:r>
    </w:p>
    <w:p w14:paraId="61E73E8D" w14:textId="11B45005" w:rsidR="002E499F" w:rsidRDefault="00272613" w:rsidP="00D16FD5">
      <w:pPr>
        <w:pStyle w:val="NumberedParagraph-BulletL1"/>
      </w:pPr>
      <w:r>
        <w:t>A</w:t>
      </w:r>
      <w:r w:rsidR="002E499F">
        <w:t>llow higher percentages to be used in calculating the substance-based income exclusion in the first 10 years of the GloBE rules</w:t>
      </w:r>
      <w:r>
        <w:t>.</w:t>
      </w:r>
    </w:p>
    <w:p w14:paraId="600F7A28" w14:textId="4D6E95F3" w:rsidR="002E499F" w:rsidRDefault="00272613" w:rsidP="00D16FD5">
      <w:pPr>
        <w:pStyle w:val="NumberedParagraph-BulletL1"/>
      </w:pPr>
      <w:r>
        <w:t>A</w:t>
      </w:r>
      <w:r w:rsidR="002E499F">
        <w:t>llow for a longer filing deadline in an MNE’s Transition Year</w:t>
      </w:r>
      <w:r>
        <w:t>.</w:t>
      </w:r>
    </w:p>
    <w:p w14:paraId="1F5B6C3C" w14:textId="66FA0089" w:rsidR="002E499F" w:rsidRDefault="00272613" w:rsidP="00D16FD5">
      <w:pPr>
        <w:pStyle w:val="NumberedParagraph-BulletL1"/>
      </w:pPr>
      <w:r>
        <w:t>A</w:t>
      </w:r>
      <w:r w:rsidR="002E499F">
        <w:t>ddress the treatment of losses and other timing differences</w:t>
      </w:r>
      <w:r w:rsidR="008C0BF1">
        <w:t>.</w:t>
      </w:r>
      <w:r w:rsidR="002E499F">
        <w:t xml:space="preserve"> </w:t>
      </w:r>
    </w:p>
    <w:p w14:paraId="5C7A5FD3" w14:textId="1FF3668E" w:rsidR="002E499F" w:rsidRDefault="00272613" w:rsidP="00D16FD5">
      <w:pPr>
        <w:pStyle w:val="NumberedParagraph-BulletL1"/>
      </w:pPr>
      <w:r>
        <w:t>P</w:t>
      </w:r>
      <w:r w:rsidR="002E499F">
        <w:t>rovide temporary relief from the UTPR for MNEs in the initial phase of international activity.</w:t>
      </w:r>
    </w:p>
    <w:p w14:paraId="69F59AF1" w14:textId="77777777" w:rsidR="002E499F" w:rsidRPr="001D54D9" w:rsidRDefault="002E499F" w:rsidP="00D16FD5">
      <w:pPr>
        <w:pStyle w:val="Heading2"/>
      </w:pPr>
      <w:bookmarkStart w:id="69" w:name="_Toc95379380"/>
      <w:bookmarkStart w:id="70" w:name="_Toc101095604"/>
      <w:bookmarkStart w:id="71" w:name="_Toc95379379"/>
      <w:r>
        <w:t xml:space="preserve">Substance-based </w:t>
      </w:r>
      <w:r w:rsidRPr="001D54D9">
        <w:t>income exclusion</w:t>
      </w:r>
      <w:bookmarkEnd w:id="69"/>
      <w:bookmarkEnd w:id="70"/>
    </w:p>
    <w:p w14:paraId="2F72C0D3" w14:textId="3770B108" w:rsidR="002E499F" w:rsidRPr="001D54D9" w:rsidRDefault="002E499F" w:rsidP="00AD03B9">
      <w:pPr>
        <w:pStyle w:val="NumberedParagraph"/>
      </w:pPr>
      <w:r w:rsidRPr="001D54D9">
        <w:t xml:space="preserve">As described above </w:t>
      </w:r>
      <w:r w:rsidR="002B3214" w:rsidRPr="001D54D9">
        <w:t xml:space="preserve">in </w:t>
      </w:r>
      <w:r w:rsidR="008C495B" w:rsidRPr="001D54D9">
        <w:t>C</w:t>
      </w:r>
      <w:r w:rsidR="002B3214" w:rsidRPr="001D54D9">
        <w:t>hapter 6</w:t>
      </w:r>
      <w:r w:rsidRPr="001D54D9">
        <w:t xml:space="preserve"> the percentages used in the substance-based income exclusion are higher for the first 10 years of the GloBE rules.</w:t>
      </w:r>
    </w:p>
    <w:p w14:paraId="48F6793A" w14:textId="4A68A2BA" w:rsidR="002E499F" w:rsidRDefault="002E499F" w:rsidP="00AD03B9">
      <w:pPr>
        <w:pStyle w:val="NumberedParagraph"/>
      </w:pPr>
      <w:r w:rsidRPr="001D54D9">
        <w:t>The percentages start at 10% for payroll</w:t>
      </w:r>
      <w:r>
        <w:t xml:space="preserve"> costs and 8% for tangible assets, and taper down to the 5% rates over a 10-year period. For the fiscal year beginning 2033, the percentages are both 5%</w:t>
      </w:r>
      <w:r w:rsidR="00C028F0">
        <w:t>.</w:t>
      </w:r>
    </w:p>
    <w:p w14:paraId="2C6FDE49" w14:textId="77777777" w:rsidR="002E499F" w:rsidRDefault="002E499F" w:rsidP="00AD03B9">
      <w:pPr>
        <w:pStyle w:val="Heading2"/>
      </w:pPr>
      <w:bookmarkStart w:id="72" w:name="_Toc101095605"/>
      <w:r>
        <w:t xml:space="preserve">Longer filing deadline in </w:t>
      </w:r>
      <w:bookmarkEnd w:id="71"/>
      <w:r>
        <w:t>Transition Year</w:t>
      </w:r>
      <w:bookmarkEnd w:id="72"/>
    </w:p>
    <w:p w14:paraId="127444C7" w14:textId="77777777" w:rsidR="002E499F" w:rsidRDefault="002E499F" w:rsidP="00AD03B9">
      <w:pPr>
        <w:pStyle w:val="NumberedParagraph"/>
      </w:pPr>
      <w:r>
        <w:t>An MNE is normally required to file its GloBE return and other notifications within 15 months after the end of its accounting period. In an MNE’s Transition Year, this deadline is extended to 18 months.</w:t>
      </w:r>
    </w:p>
    <w:p w14:paraId="584292F6" w14:textId="77777777" w:rsidR="002E499F" w:rsidRDefault="002E499F" w:rsidP="00AD03B9">
      <w:pPr>
        <w:pStyle w:val="Heading2"/>
      </w:pPr>
      <w:bookmarkStart w:id="73" w:name="_Toc95379378"/>
      <w:bookmarkStart w:id="74" w:name="_Toc101095606"/>
      <w:r>
        <w:t>Losses and timing differences</w:t>
      </w:r>
      <w:bookmarkEnd w:id="73"/>
      <w:bookmarkEnd w:id="74"/>
      <w:r>
        <w:t xml:space="preserve"> </w:t>
      </w:r>
    </w:p>
    <w:p w14:paraId="40A9F9E7" w14:textId="092E2ADB" w:rsidR="002E499F" w:rsidRDefault="002E499F" w:rsidP="00AD03B9">
      <w:pPr>
        <w:pStyle w:val="NumberedParagraph"/>
      </w:pPr>
      <w:r>
        <w:t xml:space="preserve">Once an MNE becomes subject to the GloBE </w:t>
      </w:r>
      <w:r w:rsidR="00CD62FA">
        <w:t>r</w:t>
      </w:r>
      <w:r>
        <w:t>ules it will have to calculate its ETR in each jurisdiction where it operates. There may be losses and accounting-tax timing differences occurring before an MNE’s Transition Year that affect its ETR calculation in its Transition Year and later years.</w:t>
      </w:r>
    </w:p>
    <w:p w14:paraId="12B18540" w14:textId="511AEE1F" w:rsidR="002E499F" w:rsidRDefault="002E499F" w:rsidP="00AD03B9">
      <w:pPr>
        <w:pStyle w:val="NumberedParagraph"/>
      </w:pPr>
      <w:r>
        <w:t xml:space="preserve">For example, if an MNE’s pre-Transition Year losses were not </w:t>
      </w:r>
      <w:proofErr w:type="gramStart"/>
      <w:r>
        <w:t>taken into account</w:t>
      </w:r>
      <w:proofErr w:type="gramEnd"/>
      <w:r>
        <w:t xml:space="preserve"> at all, the MNE could have an inappropriately low ETR in a year when those losses are used to reduce local taxable income.</w:t>
      </w:r>
    </w:p>
    <w:p w14:paraId="3C849591" w14:textId="68AD3321" w:rsidR="002E499F" w:rsidRDefault="002E499F" w:rsidP="00AD03B9">
      <w:pPr>
        <w:pStyle w:val="NumberedParagraph"/>
      </w:pPr>
      <w:r>
        <w:lastRenderedPageBreak/>
        <w:t xml:space="preserve">To prevent this, </w:t>
      </w:r>
      <w:r w:rsidR="008530CA">
        <w:t xml:space="preserve">where there are </w:t>
      </w:r>
      <w:r>
        <w:t xml:space="preserve">losses and other timing differences arising before a Transition Year </w:t>
      </w:r>
      <w:r w:rsidR="00E525C4">
        <w:t>the MNE</w:t>
      </w:r>
      <w:r>
        <w:t xml:space="preserve"> will generally be treated as though </w:t>
      </w:r>
      <w:r w:rsidR="00E525C4">
        <w:t>it</w:t>
      </w:r>
      <w:r>
        <w:t xml:space="preserve"> were already subject to the GloBE rules at the time the losses or timing differences arose. This is done by </w:t>
      </w:r>
      <w:proofErr w:type="gramStart"/>
      <w:r>
        <w:t>taking into account</w:t>
      </w:r>
      <w:proofErr w:type="gramEnd"/>
      <w:r>
        <w:t xml:space="preserve"> existing deferred tax accounting attributes (including deferred tax assets from earlier losses) in the ETR calculation described in </w:t>
      </w:r>
      <w:r w:rsidR="00DD3741">
        <w:t>Chapter 5</w:t>
      </w:r>
      <w:r>
        <w:t xml:space="preserve">. Consistent with that treatment, deferred tax assets and deferred tax liabilities are generally </w:t>
      </w:r>
      <w:proofErr w:type="gramStart"/>
      <w:r>
        <w:t>taken into account</w:t>
      </w:r>
      <w:proofErr w:type="gramEnd"/>
      <w:r>
        <w:t xml:space="preserve"> at the lower of 15% and the applicable domestic tax rate.</w:t>
      </w:r>
      <w:r>
        <w:rPr>
          <w:rStyle w:val="FootnoteReference"/>
        </w:rPr>
        <w:footnoteReference w:id="12"/>
      </w:r>
    </w:p>
    <w:p w14:paraId="271BF926" w14:textId="4B4D7849" w:rsidR="002E499F" w:rsidRPr="002F41DE" w:rsidRDefault="002E499F" w:rsidP="00AD03B9">
      <w:pPr>
        <w:pStyle w:val="NumberedParagraph"/>
      </w:pPr>
      <w:r>
        <w:t xml:space="preserve">The </w:t>
      </w:r>
      <w:r w:rsidRPr="002F41DE">
        <w:t>treatment of losses under the GloBE rules is described at para</w:t>
      </w:r>
      <w:r w:rsidR="00C700D3">
        <w:t>graphs</w:t>
      </w:r>
      <w:r w:rsidRPr="002F41DE">
        <w:t xml:space="preserve"> </w:t>
      </w:r>
      <w:r w:rsidR="00637E03" w:rsidRPr="002F41DE">
        <w:fldChar w:fldCharType="begin"/>
      </w:r>
      <w:r w:rsidR="00637E03" w:rsidRPr="002F41DE">
        <w:instrText xml:space="preserve"> REF _Ref96330784 \r \h </w:instrText>
      </w:r>
      <w:r w:rsidR="002F41DE">
        <w:instrText xml:space="preserve"> \* MERGEFORMAT </w:instrText>
      </w:r>
      <w:r w:rsidR="00637E03" w:rsidRPr="002F41DE">
        <w:fldChar w:fldCharType="separate"/>
      </w:r>
      <w:r w:rsidR="00375916">
        <w:t>5.61</w:t>
      </w:r>
      <w:r w:rsidR="00637E03" w:rsidRPr="002F41DE">
        <w:fldChar w:fldCharType="end"/>
      </w:r>
      <w:r w:rsidR="00B14A27">
        <w:t> </w:t>
      </w:r>
      <w:r w:rsidR="00637E03" w:rsidRPr="002F41DE">
        <w:t>onwards in Chapter 5</w:t>
      </w:r>
      <w:r w:rsidRPr="002F41DE">
        <w:t>.</w:t>
      </w:r>
    </w:p>
    <w:p w14:paraId="5083F753" w14:textId="6D23CA92" w:rsidR="002E499F" w:rsidRDefault="003E115B" w:rsidP="00AD03B9">
      <w:pPr>
        <w:pStyle w:val="NumberedParagraph"/>
      </w:pPr>
      <w:r w:rsidRPr="002F41DE">
        <w:t>D</w:t>
      </w:r>
      <w:r w:rsidR="002E499F" w:rsidRPr="002F41DE">
        <w:t>eferred tax assets generated</w:t>
      </w:r>
      <w:r w:rsidR="009D41DE" w:rsidRPr="002F41DE">
        <w:t xml:space="preserve"> </w:t>
      </w:r>
      <w:r w:rsidR="002E499F" w:rsidRPr="002F41DE">
        <w:t>after 30 November 2021</w:t>
      </w:r>
      <w:r w:rsidR="001727F5" w:rsidRPr="002F41DE">
        <w:t xml:space="preserve"> from items that are excluded from the GloBE</w:t>
      </w:r>
      <w:r w:rsidR="001727F5">
        <w:t xml:space="preserve"> base must be</w:t>
      </w:r>
      <w:r w:rsidR="002E499F">
        <w:t xml:space="preserve"> disregarded for GloBE purposes</w:t>
      </w:r>
      <w:r w:rsidR="008D2B85">
        <w:t xml:space="preserve">. </w:t>
      </w:r>
      <w:r w:rsidR="0024217A">
        <w:t>In addition, t</w:t>
      </w:r>
      <w:r w:rsidR="008A7C65" w:rsidRPr="008A7C65">
        <w:t xml:space="preserve">he </w:t>
      </w:r>
      <w:r w:rsidR="00A25B0B">
        <w:t xml:space="preserve">GloBE tax </w:t>
      </w:r>
      <w:r w:rsidR="008A7C65" w:rsidRPr="008A7C65">
        <w:t xml:space="preserve">basis in </w:t>
      </w:r>
      <w:r w:rsidR="008A7C65" w:rsidRPr="008A7C65" w:rsidDel="00934770">
        <w:t>a</w:t>
      </w:r>
      <w:r w:rsidR="008A7C65" w:rsidRPr="008A7C65">
        <w:t xml:space="preserve">ssets acquired </w:t>
      </w:r>
      <w:r w:rsidR="00982B54">
        <w:t xml:space="preserve">in an intragroup transaction </w:t>
      </w:r>
      <w:r w:rsidR="00CB130E">
        <w:t xml:space="preserve">after 30 November 2021 </w:t>
      </w:r>
      <w:r w:rsidR="008A7C65" w:rsidRPr="008A7C65">
        <w:t xml:space="preserve">must be based on historical carrying values and </w:t>
      </w:r>
      <w:r w:rsidR="00DB4B55">
        <w:t>related deferred tax assets and liabilities must similarly be</w:t>
      </w:r>
      <w:r w:rsidR="008A7C65" w:rsidRPr="008A7C65">
        <w:t xml:space="preserve"> determined based on historical carrying values.</w:t>
      </w:r>
      <w:r w:rsidR="004D26F5">
        <w:t xml:space="preserve"> </w:t>
      </w:r>
      <w:r w:rsidR="001F55DA">
        <w:t>The purpose of this is to defeat inappropriate tax planning transactions.</w:t>
      </w:r>
    </w:p>
    <w:p w14:paraId="23E5424A" w14:textId="77777777" w:rsidR="002E499F" w:rsidRDefault="002E499F" w:rsidP="00AD03B9">
      <w:pPr>
        <w:pStyle w:val="Heading2"/>
      </w:pPr>
      <w:bookmarkStart w:id="75" w:name="_Toc95379381"/>
      <w:bookmarkStart w:id="76" w:name="_Toc101095607"/>
      <w:r>
        <w:t xml:space="preserve">MNEs in the initial phase of international </w:t>
      </w:r>
      <w:bookmarkEnd w:id="75"/>
      <w:r>
        <w:t>activity</w:t>
      </w:r>
      <w:bookmarkEnd w:id="76"/>
    </w:p>
    <w:p w14:paraId="2D472320" w14:textId="799C00F6" w:rsidR="002E499F" w:rsidRDefault="002E499F" w:rsidP="00AD03B9">
      <w:pPr>
        <w:pStyle w:val="NumberedParagraph"/>
      </w:pPr>
      <w:r>
        <w:t xml:space="preserve">There is temporary relief from the UTPR for MNEs in the initial phase of international activity. An MNE is in its “initial phase of international activity” if it has constituent entities in no more than </w:t>
      </w:r>
      <w:r w:rsidR="00E152BA">
        <w:t>six</w:t>
      </w:r>
      <w:r w:rsidR="00224F54">
        <w:t xml:space="preserve"> </w:t>
      </w:r>
      <w:r>
        <w:t xml:space="preserve">jurisdictions and has less than </w:t>
      </w:r>
      <w:bookmarkStart w:id="77" w:name="_Ref95319829"/>
      <w:r>
        <w:t>€50</w:t>
      </w:r>
      <w:r w:rsidR="005B6312">
        <w:t> </w:t>
      </w:r>
      <w:r>
        <w:t>m</w:t>
      </w:r>
      <w:r w:rsidR="005B6312">
        <w:t>illion</w:t>
      </w:r>
      <w:r>
        <w:t xml:space="preserve"> of tangible assets (by book value) outside of the jurisdiction in which it has the most tangible assets (again, by book value).</w:t>
      </w:r>
      <w:bookmarkEnd w:id="77"/>
      <w:r>
        <w:t xml:space="preserve"> The relief applies on an annual basis.</w:t>
      </w:r>
    </w:p>
    <w:p w14:paraId="2F67A522" w14:textId="1041D342" w:rsidR="00387949" w:rsidRDefault="00387949" w:rsidP="00AD03B9">
      <w:pPr>
        <w:pStyle w:val="NumberedParagraph"/>
      </w:pPr>
      <w:r w:rsidDel="00933C98">
        <w:t xml:space="preserve">Because it does not apply for the IIR, </w:t>
      </w:r>
      <w:r>
        <w:t>this relief is only relevant for groups that are headquartered in a country that does not have an IIR, and even then</w:t>
      </w:r>
      <w:r w:rsidR="00CD62FA">
        <w:t>,</w:t>
      </w:r>
      <w:r>
        <w:t xml:space="preserve"> will be somewhat undercut if the group has a lower tier parent company in a country with an IIR.</w:t>
      </w:r>
    </w:p>
    <w:p w14:paraId="3AA37657" w14:textId="6DE549B8" w:rsidR="002E499F" w:rsidRDefault="002E499F" w:rsidP="00AD03B9">
      <w:pPr>
        <w:pStyle w:val="NumberedParagraph"/>
      </w:pPr>
      <w:r>
        <w:t xml:space="preserve">The temporary relief expires after the MNE has been in scope of the GloBE rules for </w:t>
      </w:r>
      <w:r w:rsidR="00E152BA">
        <w:t>five</w:t>
      </w:r>
      <w:r w:rsidR="00224F54">
        <w:t xml:space="preserve"> </w:t>
      </w:r>
      <w:r>
        <w:t xml:space="preserve">years. This five-year period is not suspended if, for example, the MNE’s revenues decline so that it falls outside the scope of the rules during those </w:t>
      </w:r>
      <w:r w:rsidR="00E152BA">
        <w:t>five</w:t>
      </w:r>
      <w:r w:rsidR="005B6312">
        <w:t> </w:t>
      </w:r>
      <w:r>
        <w:t>years.</w:t>
      </w:r>
    </w:p>
    <w:tbl>
      <w:tblPr>
        <w:tblStyle w:val="ExampleBox"/>
        <w:tblW w:w="0" w:type="auto"/>
        <w:tblLook w:val="04A0" w:firstRow="1" w:lastRow="0" w:firstColumn="1" w:lastColumn="0" w:noHBand="0" w:noVBand="1"/>
      </w:tblPr>
      <w:tblGrid>
        <w:gridCol w:w="7917"/>
      </w:tblGrid>
      <w:tr w:rsidR="002A61C4" w14:paraId="06FB8DF4" w14:textId="77777777" w:rsidTr="006D0EEB">
        <w:trPr>
          <w:trHeight w:val="2953"/>
        </w:trPr>
        <w:tc>
          <w:tcPr>
            <w:tcW w:w="7917" w:type="dxa"/>
          </w:tcPr>
          <w:p w14:paraId="3ACC1685" w14:textId="77777777" w:rsidR="002A61C4" w:rsidRPr="00186AB6" w:rsidRDefault="002A61C4" w:rsidP="00186AB6">
            <w:pPr>
              <w:keepNext/>
              <w:rPr>
                <w:b/>
                <w:szCs w:val="22"/>
              </w:rPr>
            </w:pPr>
            <w:r w:rsidRPr="00186AB6">
              <w:rPr>
                <w:b/>
                <w:szCs w:val="22"/>
              </w:rPr>
              <w:t>Example 17: Five-year limit to initial phase relief</w:t>
            </w:r>
          </w:p>
          <w:p w14:paraId="4288B7EB" w14:textId="595D4BAA" w:rsidR="002A61C4" w:rsidRPr="00186AB6" w:rsidRDefault="002A61C4" w:rsidP="005B6312">
            <w:pPr>
              <w:spacing w:after="100"/>
            </w:pPr>
            <w:r w:rsidRPr="00186AB6">
              <w:t>A multinational group (</w:t>
            </w:r>
            <w:proofErr w:type="spellStart"/>
            <w:r w:rsidRPr="00186AB6">
              <w:t>NewGroup</w:t>
            </w:r>
            <w:proofErr w:type="spellEnd"/>
            <w:r w:rsidRPr="00186AB6">
              <w:t xml:space="preserve">) crosses the €750 </w:t>
            </w:r>
            <w:r>
              <w:t xml:space="preserve">million </w:t>
            </w:r>
            <w:r w:rsidRPr="00186AB6">
              <w:t>consolidated annual revenue threshold for the first time in its fiscal year ended 31</w:t>
            </w:r>
            <w:r>
              <w:t> </w:t>
            </w:r>
            <w:r w:rsidRPr="00186AB6">
              <w:t>December 2030. Its consolidated annual revenues for the following four fiscal years are as follows:</w:t>
            </w:r>
          </w:p>
          <w:p w14:paraId="120496C7" w14:textId="6A794F06" w:rsidR="002A61C4" w:rsidRPr="00186AB6" w:rsidRDefault="002A61C4" w:rsidP="00B50487">
            <w:pPr>
              <w:pStyle w:val="ListBullet"/>
              <w:spacing w:before="100" w:after="100"/>
              <w:ind w:left="357" w:hanging="357"/>
            </w:pPr>
            <w:r w:rsidRPr="00186AB6">
              <w:t xml:space="preserve">2031: </w:t>
            </w:r>
            <w:r w:rsidRPr="00186AB6">
              <w:rPr>
                <w:snapToGrid w:val="0"/>
                <w:lang w:eastAsia="en-US"/>
              </w:rPr>
              <w:t>€780</w:t>
            </w:r>
            <w:r>
              <w:rPr>
                <w:snapToGrid w:val="0"/>
                <w:lang w:eastAsia="en-US"/>
              </w:rPr>
              <w:t xml:space="preserve"> </w:t>
            </w:r>
            <w:r w:rsidRPr="00186AB6">
              <w:rPr>
                <w:snapToGrid w:val="0"/>
                <w:lang w:eastAsia="en-US"/>
              </w:rPr>
              <w:t>m</w:t>
            </w:r>
            <w:r>
              <w:rPr>
                <w:snapToGrid w:val="0"/>
                <w:lang w:eastAsia="en-US"/>
              </w:rPr>
              <w:t>illion</w:t>
            </w:r>
          </w:p>
          <w:p w14:paraId="5519130E" w14:textId="596E2672" w:rsidR="002A61C4" w:rsidRPr="00186AB6" w:rsidRDefault="002A61C4" w:rsidP="00B50487">
            <w:pPr>
              <w:pStyle w:val="ListBullet"/>
              <w:spacing w:before="100" w:after="100"/>
              <w:ind w:left="357" w:hanging="357"/>
            </w:pPr>
            <w:r w:rsidRPr="00186AB6">
              <w:rPr>
                <w:snapToGrid w:val="0"/>
                <w:lang w:eastAsia="en-US"/>
              </w:rPr>
              <w:t>2032: €600</w:t>
            </w:r>
            <w:r>
              <w:rPr>
                <w:snapToGrid w:val="0"/>
                <w:lang w:eastAsia="en-US"/>
              </w:rPr>
              <w:t xml:space="preserve"> </w:t>
            </w:r>
            <w:r w:rsidRPr="00186AB6">
              <w:rPr>
                <w:snapToGrid w:val="0"/>
                <w:lang w:eastAsia="en-US"/>
              </w:rPr>
              <w:t>m</w:t>
            </w:r>
            <w:r>
              <w:rPr>
                <w:snapToGrid w:val="0"/>
                <w:lang w:eastAsia="en-US"/>
              </w:rPr>
              <w:t>illion</w:t>
            </w:r>
          </w:p>
          <w:p w14:paraId="3EB992BA" w14:textId="10C7D79D" w:rsidR="002A61C4" w:rsidRPr="00B50487" w:rsidRDefault="002A61C4" w:rsidP="00B50487">
            <w:pPr>
              <w:pStyle w:val="ListBullet"/>
              <w:spacing w:before="100" w:after="100"/>
              <w:ind w:left="357" w:hanging="357"/>
              <w:rPr>
                <w:lang w:val="en-GB" w:eastAsia="en-AU"/>
              </w:rPr>
            </w:pPr>
            <w:r w:rsidRPr="00186AB6">
              <w:t xml:space="preserve">2033: </w:t>
            </w:r>
            <w:r w:rsidRPr="00186AB6">
              <w:rPr>
                <w:snapToGrid w:val="0"/>
                <w:lang w:eastAsia="en-US"/>
              </w:rPr>
              <w:t>€640</w:t>
            </w:r>
            <w:r>
              <w:rPr>
                <w:snapToGrid w:val="0"/>
                <w:lang w:eastAsia="en-US"/>
              </w:rPr>
              <w:t xml:space="preserve"> </w:t>
            </w:r>
            <w:r w:rsidRPr="00186AB6">
              <w:rPr>
                <w:snapToGrid w:val="0"/>
                <w:lang w:eastAsia="en-US"/>
              </w:rPr>
              <w:t>m</w:t>
            </w:r>
            <w:r>
              <w:rPr>
                <w:snapToGrid w:val="0"/>
                <w:lang w:eastAsia="en-US"/>
              </w:rPr>
              <w:t>illion</w:t>
            </w:r>
          </w:p>
          <w:p w14:paraId="26C24C73" w14:textId="033F957D" w:rsidR="002A61C4" w:rsidRPr="00B50487" w:rsidRDefault="002A61C4" w:rsidP="006D0EEB">
            <w:pPr>
              <w:pStyle w:val="ListBullet"/>
              <w:spacing w:before="100"/>
              <w:ind w:left="357" w:hanging="357"/>
            </w:pPr>
            <w:r>
              <w:t xml:space="preserve">2034: </w:t>
            </w:r>
            <w:r w:rsidRPr="006E1F71">
              <w:rPr>
                <w:snapToGrid w:val="0"/>
                <w:lang w:eastAsia="en-US"/>
              </w:rPr>
              <w:t>€</w:t>
            </w:r>
            <w:r>
              <w:rPr>
                <w:snapToGrid w:val="0"/>
                <w:lang w:eastAsia="en-US"/>
              </w:rPr>
              <w:t>720 million</w:t>
            </w:r>
          </w:p>
        </w:tc>
      </w:tr>
    </w:tbl>
    <w:p w14:paraId="0C1631D1" w14:textId="77777777" w:rsidR="006D0EEB" w:rsidRPr="006D0EEB" w:rsidRDefault="006D0EEB" w:rsidP="006D0EEB">
      <w:pPr>
        <w:spacing w:before="0" w:after="0"/>
      </w:pPr>
    </w:p>
    <w:tbl>
      <w:tblPr>
        <w:tblStyle w:val="ExampleBox"/>
        <w:tblW w:w="0" w:type="auto"/>
        <w:tblLook w:val="04A0" w:firstRow="1" w:lastRow="0" w:firstColumn="1" w:lastColumn="0" w:noHBand="0" w:noVBand="1"/>
      </w:tblPr>
      <w:tblGrid>
        <w:gridCol w:w="7917"/>
      </w:tblGrid>
      <w:tr w:rsidR="006D0EEB" w14:paraId="694B62B2" w14:textId="77777777" w:rsidTr="006D0EEB">
        <w:trPr>
          <w:trHeight w:val="2528"/>
        </w:trPr>
        <w:tc>
          <w:tcPr>
            <w:tcW w:w="7917" w:type="dxa"/>
          </w:tcPr>
          <w:p w14:paraId="08F921BC" w14:textId="77777777" w:rsidR="006D0EEB" w:rsidRDefault="006D0EEB" w:rsidP="006D0EEB">
            <w:pPr>
              <w:rPr>
                <w:snapToGrid w:val="0"/>
                <w:lang w:eastAsia="en-US"/>
              </w:rPr>
            </w:pPr>
            <w:r>
              <w:lastRenderedPageBreak/>
              <w:t xml:space="preserve">As explained in Chapter 4, the GloBE rules apply to MNEs that have consolidated annual revenues of at least </w:t>
            </w:r>
            <w:r w:rsidRPr="006E1F71">
              <w:rPr>
                <w:snapToGrid w:val="0"/>
                <w:lang w:eastAsia="en-US"/>
              </w:rPr>
              <w:t>€</w:t>
            </w:r>
            <w:r>
              <w:rPr>
                <w:snapToGrid w:val="0"/>
                <w:lang w:eastAsia="en-US"/>
              </w:rPr>
              <w:t xml:space="preserve">750 million in at least two of the last four fiscal years. The first year in which the GloBE rules apply to </w:t>
            </w:r>
            <w:proofErr w:type="spellStart"/>
            <w:r>
              <w:rPr>
                <w:snapToGrid w:val="0"/>
                <w:lang w:eastAsia="en-US"/>
              </w:rPr>
              <w:t>NewGroup</w:t>
            </w:r>
            <w:proofErr w:type="spellEnd"/>
            <w:r>
              <w:rPr>
                <w:snapToGrid w:val="0"/>
                <w:lang w:eastAsia="en-US"/>
              </w:rPr>
              <w:t xml:space="preserve"> is therefore 2032.</w:t>
            </w:r>
          </w:p>
          <w:p w14:paraId="5B2D05FB" w14:textId="3D5F3821" w:rsidR="006D0EEB" w:rsidRPr="006D0EEB" w:rsidRDefault="006D0EEB" w:rsidP="006D0EEB">
            <w:r>
              <w:t xml:space="preserve">Assuming </w:t>
            </w:r>
            <w:proofErr w:type="spellStart"/>
            <w:r>
              <w:t>NewGroup</w:t>
            </w:r>
            <w:proofErr w:type="spellEnd"/>
            <w:r>
              <w:t xml:space="preserve"> meets the other requirements for the initial phase relief from the UTPR, it will qualify for the relief in 2032 and the last year it can obtain the relief is for the 2036 year. It does not matter that </w:t>
            </w:r>
            <w:proofErr w:type="spellStart"/>
            <w:r>
              <w:t>NewGroup’s</w:t>
            </w:r>
            <w:proofErr w:type="spellEnd"/>
            <w:r>
              <w:t xml:space="preserve"> annual revenues fell below the </w:t>
            </w:r>
            <w:r w:rsidRPr="006E1F71">
              <w:rPr>
                <w:snapToGrid w:val="0"/>
                <w:lang w:eastAsia="en-US"/>
              </w:rPr>
              <w:t>€</w:t>
            </w:r>
            <w:r>
              <w:rPr>
                <w:snapToGrid w:val="0"/>
                <w:lang w:eastAsia="en-US"/>
              </w:rPr>
              <w:t>750 million threshold from 2032 to 2034.</w:t>
            </w:r>
          </w:p>
        </w:tc>
      </w:tr>
    </w:tbl>
    <w:p w14:paraId="0A5A2A5F" w14:textId="77777777" w:rsidR="002E499F" w:rsidRDefault="002E499F" w:rsidP="0044498A">
      <w:pPr>
        <w:pStyle w:val="Heading3"/>
      </w:pPr>
      <w:r>
        <w:t>Optional provisions</w:t>
      </w:r>
    </w:p>
    <w:p w14:paraId="7A0656CE" w14:textId="735DF841" w:rsidR="002E499F" w:rsidRDefault="002E499F" w:rsidP="0044498A">
      <w:pPr>
        <w:pStyle w:val="NumberedParagraph"/>
      </w:pPr>
      <w:r>
        <w:t>The Model Rules contain an optional provision in Article 9.3.5 for implementing jurisdictions that is intended to reduce the risk of locally-headquartered MNEs establishing a new UPE in a jurisdiction without an IIR</w:t>
      </w:r>
      <w:r w:rsidR="001C38FA">
        <w:t xml:space="preserve"> in order to take advantage of the initial phase relief</w:t>
      </w:r>
      <w:r>
        <w:t>.</w:t>
      </w:r>
    </w:p>
    <w:p w14:paraId="22706750" w14:textId="595A12D9" w:rsidR="002E499F" w:rsidRDefault="002E499F" w:rsidP="0044498A">
      <w:pPr>
        <w:pStyle w:val="NumberedParagraph"/>
      </w:pPr>
      <w:r>
        <w:t xml:space="preserve">Because the temporary relief only applies to the UTPR, a New Zealand-headquartered MNE in the initial phase of its international activity </w:t>
      </w:r>
      <w:r w:rsidR="008178C2">
        <w:t xml:space="preserve">with LTCEs </w:t>
      </w:r>
      <w:r>
        <w:t>would still be charged top-up tax in New Zealand under the IIR</w:t>
      </w:r>
      <w:r w:rsidR="00934770">
        <w:t xml:space="preserve"> (if New Zealand were to adopt one)</w:t>
      </w:r>
      <w:r>
        <w:t xml:space="preserve">. If, however, it established a new UPE in a jurisdiction without an IIR, </w:t>
      </w:r>
      <w:r w:rsidR="00FB5E30">
        <w:t>and transferred the LTCEs to that new UPE</w:t>
      </w:r>
      <w:r>
        <w:t xml:space="preserve">, it </w:t>
      </w:r>
      <w:r w:rsidR="00F758F4">
        <w:t>might</w:t>
      </w:r>
      <w:r>
        <w:t xml:space="preserve"> not be charged top-up tax in respect of its </w:t>
      </w:r>
      <w:r w:rsidR="00F758F4">
        <w:t xml:space="preserve">LTCEs </w:t>
      </w:r>
      <w:r>
        <w:t xml:space="preserve">at all during the </w:t>
      </w:r>
      <w:r w:rsidR="00513D52">
        <w:t>5</w:t>
      </w:r>
      <w:r>
        <w:t>-year period it qualified for temporary relief.</w:t>
      </w:r>
    </w:p>
    <w:p w14:paraId="01C3B26A" w14:textId="70D51164" w:rsidR="002E499F" w:rsidRDefault="002E499F" w:rsidP="0044498A">
      <w:pPr>
        <w:pStyle w:val="NumberedParagraph"/>
      </w:pPr>
      <w:r>
        <w:t>The optional provision is intended to address this risk</w:t>
      </w:r>
      <w:r w:rsidR="00C028F0">
        <w:t xml:space="preserve">. </w:t>
      </w:r>
      <w:r>
        <w:t xml:space="preserve">If an MNE in the initial phase of international activity has most of its tangible assets in New Zealand, </w:t>
      </w:r>
      <w:r w:rsidR="005574E5">
        <w:t>New Zealand would be the “Reference Jurisdiction” of the MNE Group.</w:t>
      </w:r>
      <w:r>
        <w:t xml:space="preserve"> </w:t>
      </w:r>
      <w:r w:rsidR="005574E5">
        <w:t>T</w:t>
      </w:r>
      <w:r>
        <w:t xml:space="preserve">he optional provision would allow </w:t>
      </w:r>
      <w:r w:rsidR="005574E5">
        <w:t>the Reference Jurisdiction (</w:t>
      </w:r>
      <w:r w:rsidR="00E47723">
        <w:t>that is,</w:t>
      </w:r>
      <w:r w:rsidR="005574E5">
        <w:t xml:space="preserve"> </w:t>
      </w:r>
      <w:r>
        <w:t>New Zealand</w:t>
      </w:r>
      <w:r w:rsidR="005574E5">
        <w:t>)</w:t>
      </w:r>
      <w:r>
        <w:t xml:space="preserve"> to collect the full amount of top-up tax arising in a low tax jurisdiction under the UTPR</w:t>
      </w:r>
      <w:r w:rsidR="005574E5">
        <w:t xml:space="preserve">, </w:t>
      </w:r>
      <w:r w:rsidR="00973C7C">
        <w:t xml:space="preserve">no matter where the </w:t>
      </w:r>
      <w:r w:rsidR="00F72712">
        <w:t>UPE is located</w:t>
      </w:r>
      <w:r>
        <w:t>.</w:t>
      </w:r>
      <w:r w:rsidR="00525A0D">
        <w:t xml:space="preserve"> This is shown in </w:t>
      </w:r>
      <w:r w:rsidR="00FD41EB">
        <w:t xml:space="preserve">example </w:t>
      </w:r>
      <w:r w:rsidR="00C33E87">
        <w:t>18</w:t>
      </w:r>
      <w:r w:rsidR="00FD41EB">
        <w:t>.</w:t>
      </w:r>
    </w:p>
    <w:tbl>
      <w:tblPr>
        <w:tblStyle w:val="ExampleBox"/>
        <w:tblW w:w="0" w:type="auto"/>
        <w:tblLook w:val="04A0" w:firstRow="1" w:lastRow="0" w:firstColumn="1" w:lastColumn="0" w:noHBand="0" w:noVBand="1"/>
      </w:tblPr>
      <w:tblGrid>
        <w:gridCol w:w="7917"/>
      </w:tblGrid>
      <w:tr w:rsidR="002A61C4" w14:paraId="17A6CCB7" w14:textId="77777777" w:rsidTr="006D0EEB">
        <w:trPr>
          <w:trHeight w:val="4371"/>
        </w:trPr>
        <w:tc>
          <w:tcPr>
            <w:tcW w:w="7917" w:type="dxa"/>
          </w:tcPr>
          <w:p w14:paraId="069A1381" w14:textId="77777777" w:rsidR="002A61C4" w:rsidRPr="002F41DE" w:rsidRDefault="002A61C4" w:rsidP="00A523C3">
            <w:pPr>
              <w:pStyle w:val="Caption"/>
              <w:jc w:val="both"/>
            </w:pPr>
            <w:r w:rsidRPr="002F41DE">
              <w:t>Example 18: Inversion risk from initial phase relief</w:t>
            </w:r>
          </w:p>
          <w:p w14:paraId="5FEAED2A" w14:textId="3EC63D23" w:rsidR="002A61C4" w:rsidRDefault="002A61C4" w:rsidP="00A523C3">
            <w:proofErr w:type="spellStart"/>
            <w:r w:rsidRPr="002F41DE">
              <w:t>NZGroup</w:t>
            </w:r>
            <w:proofErr w:type="spellEnd"/>
            <w:r w:rsidRPr="002F41DE">
              <w:t xml:space="preserve"> is a multinational group that started out in New Zealand. The UPE of the </w:t>
            </w:r>
            <w:proofErr w:type="spellStart"/>
            <w:r w:rsidRPr="002F41DE">
              <w:t>NZGroup</w:t>
            </w:r>
            <w:proofErr w:type="spellEnd"/>
            <w:r w:rsidRPr="002F41DE">
              <w:t xml:space="preserve"> is in New Zealand. Most of the group’s tangible assets by value are also in New Zealand, such that New Zealand is the Reference Jurisdiction for the</w:t>
            </w:r>
            <w:r>
              <w:t xml:space="preserve"> group.</w:t>
            </w:r>
          </w:p>
          <w:p w14:paraId="39CFCA6B" w14:textId="6485733E" w:rsidR="002A61C4" w:rsidRDefault="002A61C4" w:rsidP="0001592B">
            <w:r>
              <w:t xml:space="preserve">The UPE of </w:t>
            </w:r>
            <w:proofErr w:type="spellStart"/>
            <w:r>
              <w:t>NZGroup</w:t>
            </w:r>
            <w:proofErr w:type="spellEnd"/>
            <w:r>
              <w:t xml:space="preserve"> has two wholly-owned foreign subsidiaries, Sub A in Jurisdiction A and Sub B in Jurisdiction B.</w:t>
            </w:r>
          </w:p>
          <w:p w14:paraId="319C8D8A" w14:textId="56242E12" w:rsidR="002A61C4" w:rsidRDefault="002A61C4" w:rsidP="00186AB6">
            <w:proofErr w:type="spellStart"/>
            <w:r>
              <w:t>NZGroup</w:t>
            </w:r>
            <w:proofErr w:type="spellEnd"/>
            <w:r>
              <w:t xml:space="preserve"> becomes subject to the GloBE rules for the first time for the fiscal year ended 31 March 2030 and qualifies for initial phase relief.</w:t>
            </w:r>
          </w:p>
          <w:p w14:paraId="767D2433" w14:textId="77777777" w:rsidR="002A61C4" w:rsidRDefault="002A61C4" w:rsidP="007D15F7">
            <w:r>
              <w:t>Sub B is a low-taxed entity and the top-up tax for Sub B is $100. Assume that New Zealand and Jurisdiction A have implemented the GloBE rules (both the IIR and the UTPR) but Jurisdiction B has not.</w:t>
            </w:r>
          </w:p>
          <w:p w14:paraId="1E540093" w14:textId="025B8AF7" w:rsidR="002A61C4" w:rsidRDefault="002A61C4" w:rsidP="006D0EEB">
            <w:r>
              <w:t xml:space="preserve">If </w:t>
            </w:r>
            <w:proofErr w:type="spellStart"/>
            <w:r>
              <w:t>NZGroup’s</w:t>
            </w:r>
            <w:proofErr w:type="spellEnd"/>
            <w:r>
              <w:t xml:space="preserve"> UPE remained headquartered in New Zealand, the full $100 of top-up tax would be charged to the UPE under New Zealand’s IIR.</w:t>
            </w:r>
          </w:p>
        </w:tc>
      </w:tr>
    </w:tbl>
    <w:p w14:paraId="0CEEDD41" w14:textId="77777777" w:rsidR="006D0EEB" w:rsidRDefault="006D0EEB"/>
    <w:tbl>
      <w:tblPr>
        <w:tblStyle w:val="ExampleBox"/>
        <w:tblW w:w="0" w:type="auto"/>
        <w:tblLook w:val="04A0" w:firstRow="1" w:lastRow="0" w:firstColumn="1" w:lastColumn="0" w:noHBand="0" w:noVBand="1"/>
      </w:tblPr>
      <w:tblGrid>
        <w:gridCol w:w="7917"/>
      </w:tblGrid>
      <w:tr w:rsidR="006D0EEB" w14:paraId="0962C5B7" w14:textId="77777777" w:rsidTr="006D0EEB">
        <w:trPr>
          <w:trHeight w:val="2953"/>
        </w:trPr>
        <w:tc>
          <w:tcPr>
            <w:tcW w:w="7917" w:type="dxa"/>
          </w:tcPr>
          <w:p w14:paraId="4297262F" w14:textId="77777777" w:rsidR="006D0EEB" w:rsidRDefault="006D0EEB" w:rsidP="006D0EEB">
            <w:r>
              <w:lastRenderedPageBreak/>
              <w:t xml:space="preserve">Assume </w:t>
            </w:r>
            <w:proofErr w:type="spellStart"/>
            <w:r>
              <w:t>NZGroup</w:t>
            </w:r>
            <w:proofErr w:type="spellEnd"/>
            <w:r>
              <w:t xml:space="preserve"> moved its UPE to Jurisdiction B:</w:t>
            </w:r>
          </w:p>
          <w:p w14:paraId="742521C1" w14:textId="77777777" w:rsidR="006D0EEB" w:rsidRDefault="006D0EEB" w:rsidP="006D0EEB">
            <w:pPr>
              <w:pStyle w:val="ListBullet"/>
            </w:pPr>
            <w:r>
              <w:t xml:space="preserve">If New Zealand did not adopt the optional provision in Article 9.3.5, </w:t>
            </w:r>
            <w:proofErr w:type="spellStart"/>
            <w:r>
              <w:t>NZGroup</w:t>
            </w:r>
            <w:proofErr w:type="spellEnd"/>
            <w:r>
              <w:t xml:space="preserve"> could avoid all liability for top-up tax during the initial relief phase. The IIR would not apply (as Jurisdiction B has not implemented the GloBE rules), but New Zealand and Jurisdiction A would not be allowed to collect the top-up tax in respect of Sub B under the UTPR either if </w:t>
            </w:r>
            <w:proofErr w:type="spellStart"/>
            <w:r>
              <w:t>NZGroup</w:t>
            </w:r>
            <w:proofErr w:type="spellEnd"/>
            <w:r>
              <w:t xml:space="preserve"> qualifies for initial relief.</w:t>
            </w:r>
          </w:p>
          <w:p w14:paraId="31078AC0" w14:textId="1C7EE70F" w:rsidR="006D0EEB" w:rsidRPr="006D0EEB" w:rsidRDefault="006D0EEB" w:rsidP="006D0EEB">
            <w:pPr>
              <w:pStyle w:val="ListBullet"/>
            </w:pPr>
            <w:r>
              <w:t xml:space="preserve">If New Zealand adopted Article 9.3.5, New Zealand could collect the full $100 top-up tax under the UTPR as it is the Reference Jurisdiction for the Group. Moving the UPE to Jurisdiction B therefore does not change group’s top-up tax liability </w:t>
            </w:r>
            <w:r w:rsidR="004E2FB4">
              <w:t>–</w:t>
            </w:r>
            <w:r>
              <w:t xml:space="preserve"> it just means the top-up tax will be collected under the UTPR rather than the IIR.</w:t>
            </w:r>
          </w:p>
        </w:tc>
      </w:tr>
    </w:tbl>
    <w:p w14:paraId="5CBDE3FD" w14:textId="23B69F1A" w:rsidR="002E499F" w:rsidRDefault="002E499F" w:rsidP="0044498A">
      <w:pPr>
        <w:pStyle w:val="NumberedParagraph"/>
      </w:pPr>
      <w:r>
        <w:t>Officials consider the optional provision in Article 9.3.5 should be adopted to mitigate the risk of New Zealand MNEs establishing UPEs in low-tax jurisdictions to take undue advantage of the temporary relief.</w:t>
      </w:r>
    </w:p>
    <w:p w14:paraId="6651515D" w14:textId="77777777" w:rsidR="002E499F" w:rsidRDefault="002E499F" w:rsidP="002E499F">
      <w:pPr>
        <w:pStyle w:val="Heading3"/>
      </w:pPr>
      <w:r>
        <w:t>Further sub-option</w:t>
      </w:r>
    </w:p>
    <w:p w14:paraId="4126A711" w14:textId="2EA1FEA8" w:rsidR="002E499F" w:rsidRDefault="002E499F" w:rsidP="0044498A">
      <w:pPr>
        <w:pStyle w:val="NumberedParagraph"/>
      </w:pPr>
      <w:r>
        <w:t xml:space="preserve">If </w:t>
      </w:r>
      <w:r w:rsidR="00FB6DA3">
        <w:t xml:space="preserve">New Zealand </w:t>
      </w:r>
      <w:r>
        <w:t>decides to adopt the optional provision in Article 9.3.5, there is a further sub-option in Article 9.3.5(a) of the Model Rules for New Zealand to limit the application of the UTPR to top-up tax arising in jurisdictions other than New Zealand.</w:t>
      </w:r>
      <w:r w:rsidR="005E3111">
        <w:t xml:space="preserve"> </w:t>
      </w:r>
      <w:r w:rsidR="00FB6DA3">
        <w:t xml:space="preserve">Adopting this sub-option would </w:t>
      </w:r>
      <w:r w:rsidR="005E3111">
        <w:t>mean that</w:t>
      </w:r>
      <w:r w:rsidR="000B5797">
        <w:t xml:space="preserve">, where New Zealand is the Reference Jurisdiction for an MNE, New Zealand will be able to collect </w:t>
      </w:r>
      <w:r w:rsidR="00C1595D">
        <w:t xml:space="preserve">top-up tax </w:t>
      </w:r>
      <w:r w:rsidR="000E020E">
        <w:t xml:space="preserve">under the UTPR </w:t>
      </w:r>
      <w:r w:rsidR="00AF7438">
        <w:t xml:space="preserve">in respect of the </w:t>
      </w:r>
      <w:r w:rsidR="000E020E">
        <w:t xml:space="preserve">MNE’s low-taxed entities located in </w:t>
      </w:r>
      <w:r w:rsidR="00AF7438">
        <w:t xml:space="preserve">any </w:t>
      </w:r>
      <w:r w:rsidR="000E020E">
        <w:t xml:space="preserve">jurisdiction other than New Zealand. But top-up tax in respect of </w:t>
      </w:r>
      <w:r w:rsidR="00A4003E">
        <w:t>any</w:t>
      </w:r>
      <w:r w:rsidR="000E020E">
        <w:t xml:space="preserve"> low-taxed entities in New Zealand will not be collected by New Zealand, or any other </w:t>
      </w:r>
      <w:r w:rsidR="00494605">
        <w:t>jurisdiction</w:t>
      </w:r>
      <w:r w:rsidR="000E020E">
        <w:t>.</w:t>
      </w:r>
    </w:p>
    <w:p w14:paraId="7FE3F559" w14:textId="760C6D5F" w:rsidR="002E499F" w:rsidRDefault="002E499F" w:rsidP="0044498A">
      <w:pPr>
        <w:pStyle w:val="NumberedParagraph"/>
      </w:pPr>
      <w:r>
        <w:t>The effect of this sub-option is to preserve the tax outcomes that arise under New Zealand tax law, even if those outcomes mean that a New Zealand MNE’s ETR is less than 15%. If this sub-option were not adopted, top-up tax arising in New Zealand during an MNE’s initial phase would be collected by New Zealand under the UTPR, even though no other country would be allowed to collect that tax.</w:t>
      </w:r>
      <w:r w:rsidR="00F445C1">
        <w:t xml:space="preserve"> This is illustrated in example</w:t>
      </w:r>
      <w:r w:rsidR="00C33E87">
        <w:t xml:space="preserve"> 19</w:t>
      </w:r>
      <w:r w:rsidR="00F445C1">
        <w:t>.</w:t>
      </w:r>
    </w:p>
    <w:tbl>
      <w:tblPr>
        <w:tblStyle w:val="ExampleBox"/>
        <w:tblW w:w="0" w:type="auto"/>
        <w:tblLook w:val="04A0" w:firstRow="1" w:lastRow="0" w:firstColumn="1" w:lastColumn="0" w:noHBand="0" w:noVBand="1"/>
      </w:tblPr>
      <w:tblGrid>
        <w:gridCol w:w="7917"/>
      </w:tblGrid>
      <w:tr w:rsidR="002A61C4" w14:paraId="506DFBB4" w14:textId="77777777" w:rsidTr="00375916">
        <w:trPr>
          <w:trHeight w:val="4233"/>
        </w:trPr>
        <w:tc>
          <w:tcPr>
            <w:tcW w:w="7917" w:type="dxa"/>
          </w:tcPr>
          <w:p w14:paraId="366E2F8D" w14:textId="77777777" w:rsidR="002A61C4" w:rsidRPr="002E2D26" w:rsidRDefault="002A61C4" w:rsidP="00A523C3">
            <w:pPr>
              <w:pStyle w:val="Caption"/>
              <w:jc w:val="both"/>
            </w:pPr>
            <w:r w:rsidRPr="002E2D26">
              <w:t>Example 19: Effect of further sub-option in Article 9.3.5(a)</w:t>
            </w:r>
          </w:p>
          <w:p w14:paraId="5A36172E" w14:textId="0CB0A802" w:rsidR="002A61C4" w:rsidRPr="002E2D26" w:rsidRDefault="002A61C4" w:rsidP="00A523C3">
            <w:pPr>
              <w:pStyle w:val="ListBullet"/>
            </w:pPr>
            <w:r w:rsidRPr="002E2D26">
              <w:t>Assume the same facts as in Example 18, with the UPE in Jurisdiction</w:t>
            </w:r>
            <w:r>
              <w:t> </w:t>
            </w:r>
            <w:r w:rsidRPr="002E2D26">
              <w:t>B.</w:t>
            </w:r>
          </w:p>
          <w:p w14:paraId="74C5B8C5" w14:textId="77777777" w:rsidR="002A61C4" w:rsidRDefault="002A61C4" w:rsidP="00345616">
            <w:pPr>
              <w:pStyle w:val="ListBullet"/>
            </w:pPr>
            <w:r w:rsidRPr="002E2D26">
              <w:t>Sub B is still a low taxed</w:t>
            </w:r>
            <w:r>
              <w:t xml:space="preserve"> entity and the top-up tax for Sub B is $100. However, assume now that Sub A is located in New Zealand and is also a low-taxed entity with top-up tax of $50. This happened even though New Zealand’s 28% company tax rate is well above the minimum 15% rate, because Sub A earned capital gains that are treated as GloBE income but are not taxed in New Zealand.</w:t>
            </w:r>
          </w:p>
          <w:p w14:paraId="1AF8A8BC" w14:textId="0DE00E31" w:rsidR="002A61C4" w:rsidRDefault="002A61C4" w:rsidP="00375916">
            <w:pPr>
              <w:pStyle w:val="ListBullet"/>
            </w:pPr>
            <w:r>
              <w:t>If New Zealand adopted Article 9.3.5 without the sub-option in paragraph (a), New Zealand would collect top-up tax for both Sub A and Sub B, totalling $150, under the UTPR as it is the Reference Jurisdiction for the Group. This effectively taxes the capital gains earned by Sub A.</w:t>
            </w:r>
          </w:p>
        </w:tc>
      </w:tr>
    </w:tbl>
    <w:p w14:paraId="1E5313C4" w14:textId="77777777" w:rsidR="00375916" w:rsidRDefault="00375916" w:rsidP="00375916">
      <w:pPr>
        <w:pStyle w:val="NumberedParagraph"/>
        <w:numPr>
          <w:ilvl w:val="0"/>
          <w:numId w:val="0"/>
        </w:numPr>
        <w:ind w:left="851"/>
      </w:pPr>
    </w:p>
    <w:tbl>
      <w:tblPr>
        <w:tblStyle w:val="ExampleBox"/>
        <w:tblW w:w="0" w:type="auto"/>
        <w:tblLook w:val="04A0" w:firstRow="1" w:lastRow="0" w:firstColumn="1" w:lastColumn="0" w:noHBand="0" w:noVBand="1"/>
      </w:tblPr>
      <w:tblGrid>
        <w:gridCol w:w="7917"/>
      </w:tblGrid>
      <w:tr w:rsidR="00375916" w14:paraId="1C0A15BA" w14:textId="77777777" w:rsidTr="00375916">
        <w:tc>
          <w:tcPr>
            <w:tcW w:w="8778" w:type="dxa"/>
          </w:tcPr>
          <w:p w14:paraId="76970E3C" w14:textId="49F032D9" w:rsidR="00375916" w:rsidRDefault="00375916" w:rsidP="00375916">
            <w:pPr>
              <w:pStyle w:val="ListBullet"/>
            </w:pPr>
            <w:r>
              <w:lastRenderedPageBreak/>
              <w:t>If New Zealand also adopted the sub-option in paragraph (a), New Zealand would collect $100 of top-up tax in respect of Sub B only. The top-up tax calculated for Sub A would be reduced to zero, because Sub A is also located in New Zealand. This preserves the non-taxation of the capital gains for Sub A.</w:t>
            </w:r>
          </w:p>
        </w:tc>
      </w:tr>
    </w:tbl>
    <w:p w14:paraId="6D6D4954" w14:textId="7429FE52" w:rsidR="00C04E15" w:rsidRDefault="001A022C" w:rsidP="0044498A">
      <w:pPr>
        <w:pStyle w:val="NumberedParagraph"/>
      </w:pPr>
      <w:r>
        <w:t>Given the reality of the New Zealand economy</w:t>
      </w:r>
      <w:r w:rsidR="00E83AFB">
        <w:t xml:space="preserve"> and tax system</w:t>
      </w:r>
      <w:r>
        <w:t>, whether or not this provision should be adopted is a largely academic question</w:t>
      </w:r>
      <w:r w:rsidR="008D2B85">
        <w:t xml:space="preserve">. </w:t>
      </w:r>
      <w:r w:rsidR="00E83AFB">
        <w:t xml:space="preserve">Officials suggest that in the interests of simplicity it be adopted, </w:t>
      </w:r>
      <w:r w:rsidR="003964FF">
        <w:t>since it produces the same result as would have applied if the MNE were headquartered in New Zealand (the UTPR would not have applied</w:t>
      </w:r>
      <w:r w:rsidR="005B1D9C">
        <w:t xml:space="preserve"> due to </w:t>
      </w:r>
      <w:r w:rsidR="00993551">
        <w:t>9.3.1</w:t>
      </w:r>
      <w:r w:rsidR="003964FF">
        <w:t xml:space="preserve">, </w:t>
      </w:r>
      <w:r w:rsidR="005B1D9C">
        <w:t>and the IIR does not apply to domestic profits)</w:t>
      </w:r>
      <w:r w:rsidR="008D2B85">
        <w:t xml:space="preserve">. </w:t>
      </w:r>
      <w:r w:rsidR="00B35966">
        <w:t>This is without pr</w:t>
      </w:r>
      <w:r w:rsidR="006B1420">
        <w:t>ejudice</w:t>
      </w:r>
      <w:r w:rsidR="00E83AFB">
        <w:t xml:space="preserve"> to the question of </w:t>
      </w:r>
      <w:r w:rsidR="006B1420">
        <w:t>whether New Zealand should adopt a domestic top</w:t>
      </w:r>
      <w:r w:rsidR="006E1702">
        <w:t>-</w:t>
      </w:r>
      <w:r w:rsidR="006B1420">
        <w:t>up tax, considered in a later chapter</w:t>
      </w:r>
      <w:r w:rsidR="008D2B85">
        <w:t>.</w:t>
      </w:r>
    </w:p>
    <w:tbl>
      <w:tblPr>
        <w:tblStyle w:val="QuestionBox"/>
        <w:tblW w:w="8779" w:type="dxa"/>
        <w:tblLook w:val="04A0" w:firstRow="1" w:lastRow="0" w:firstColumn="1" w:lastColumn="0" w:noHBand="0" w:noVBand="1"/>
      </w:tblPr>
      <w:tblGrid>
        <w:gridCol w:w="8779"/>
      </w:tblGrid>
      <w:tr w:rsidR="006E02CE" w14:paraId="547FC5EF" w14:textId="77777777" w:rsidTr="00AD352F">
        <w:tc>
          <w:tcPr>
            <w:tcW w:w="8779" w:type="dxa"/>
          </w:tcPr>
          <w:p w14:paraId="4FB2EA9A" w14:textId="77777777" w:rsidR="006E02CE" w:rsidRPr="000E77C5" w:rsidRDefault="006E02CE" w:rsidP="00180725">
            <w:pPr>
              <w:rPr>
                <w:rStyle w:val="Strong"/>
              </w:rPr>
            </w:pPr>
            <w:r w:rsidRPr="000E77C5">
              <w:rPr>
                <w:rStyle w:val="Strong"/>
              </w:rPr>
              <w:t>Question</w:t>
            </w:r>
            <w:r>
              <w:rPr>
                <w:rStyle w:val="Strong"/>
              </w:rPr>
              <w:t>s</w:t>
            </w:r>
            <w:r w:rsidRPr="000E77C5">
              <w:rPr>
                <w:rStyle w:val="Strong"/>
              </w:rPr>
              <w:t xml:space="preserve"> for submitters</w:t>
            </w:r>
          </w:p>
          <w:p w14:paraId="505E3EBA" w14:textId="328E325E" w:rsidR="006E02CE" w:rsidRDefault="006E02CE" w:rsidP="006E02CE">
            <w:pPr>
              <w:pStyle w:val="ListBullet"/>
            </w:pPr>
            <w:r>
              <w:t>Do submitters have views on how the transitional rules work?</w:t>
            </w:r>
          </w:p>
          <w:p w14:paraId="7780CA04" w14:textId="77777777" w:rsidR="006E02CE" w:rsidRDefault="006E02CE" w:rsidP="006E02CE">
            <w:pPr>
              <w:pStyle w:val="ListBullet"/>
            </w:pPr>
            <w:r>
              <w:t>Do submitters agree that New Zealand should adopt the optional provision in Article 9.3.5? If no, why not?</w:t>
            </w:r>
          </w:p>
          <w:p w14:paraId="7814E41B" w14:textId="31AA611A" w:rsidR="006E02CE" w:rsidRPr="006E02CE" w:rsidRDefault="006E02CE" w:rsidP="006E02CE">
            <w:pPr>
              <w:pStyle w:val="ListBullet"/>
            </w:pPr>
            <w:r>
              <w:t>Do submitters agree that, if New Zealand adopted the optional provision, it should also adopt the further sub-option in Article 9.3.5(a)</w:t>
            </w:r>
            <w:r w:rsidR="00B95B74">
              <w:t xml:space="preserve"> if it does not adopt a domestic top</w:t>
            </w:r>
            <w:r w:rsidR="006E1702">
              <w:t>-</w:t>
            </w:r>
            <w:r w:rsidR="00B95B74">
              <w:t>up tax</w:t>
            </w:r>
            <w:r>
              <w:t>? Why or why not?</w:t>
            </w:r>
          </w:p>
        </w:tc>
      </w:tr>
    </w:tbl>
    <w:p w14:paraId="1F5D234C" w14:textId="67482A7F" w:rsidR="006E02CE" w:rsidRDefault="00CF5925" w:rsidP="006E02CE">
      <w:pPr>
        <w:pStyle w:val="Heading1"/>
      </w:pPr>
      <w:r>
        <w:lastRenderedPageBreak/>
        <w:br/>
      </w:r>
      <w:r>
        <w:br/>
      </w:r>
      <w:bookmarkStart w:id="78" w:name="_Toc101095608"/>
      <w:r>
        <w:t>Simplification</w:t>
      </w:r>
      <w:bookmarkEnd w:id="78"/>
    </w:p>
    <w:p w14:paraId="4FA58E33" w14:textId="142F1E90" w:rsidR="00861D1A" w:rsidRPr="00861D1A" w:rsidRDefault="00861D1A" w:rsidP="00B23692">
      <w:pPr>
        <w:pStyle w:val="NumberedParagraph"/>
        <w:rPr>
          <w:lang w:eastAsia="en-AU"/>
        </w:rPr>
      </w:pPr>
      <w:r w:rsidRPr="00861D1A">
        <w:rPr>
          <w:lang w:eastAsia="en-AU"/>
        </w:rPr>
        <w:t>The OECD will be developing an implementation framework for the GloBE rules during 2022. Part of this work will consider the possible use of safe harbours to simplify both compliance by MNEs and administration by tax authorities.</w:t>
      </w:r>
    </w:p>
    <w:p w14:paraId="32271F68" w14:textId="6EB428B1" w:rsidR="00861D1A" w:rsidRPr="00861D1A" w:rsidRDefault="00861D1A" w:rsidP="00B23692">
      <w:pPr>
        <w:pStyle w:val="NumberedParagraph"/>
        <w:rPr>
          <w:lang w:eastAsia="en-AU"/>
        </w:rPr>
      </w:pPr>
      <w:r w:rsidRPr="00861D1A">
        <w:rPr>
          <w:lang w:eastAsia="en-AU"/>
        </w:rPr>
        <w:t>The general idea would be that where a business qualifies for an agreed safe harbour, the MNE group would not need to provide the full ETR calculation for a jurisdiction but would instead provide a simpler computation or certain information to evidence eligibility for the safe harbour.</w:t>
      </w:r>
    </w:p>
    <w:p w14:paraId="0EB024E8" w14:textId="705BDDDC" w:rsidR="00861D1A" w:rsidRDefault="00861D1A" w:rsidP="00B23692">
      <w:pPr>
        <w:pStyle w:val="NumberedParagraph"/>
        <w:rPr>
          <w:lang w:eastAsia="en-AU"/>
        </w:rPr>
      </w:pPr>
      <w:r w:rsidRPr="00861D1A">
        <w:rPr>
          <w:lang w:eastAsia="en-AU"/>
        </w:rPr>
        <w:t xml:space="preserve">The programme of work on the implementation framework is still to be agreed, but this chapter explains one of the simplification approaches </w:t>
      </w:r>
      <w:r w:rsidR="002A788D">
        <w:rPr>
          <w:lang w:eastAsia="en-AU"/>
        </w:rPr>
        <w:t>that</w:t>
      </w:r>
      <w:r w:rsidR="002A788D" w:rsidRPr="00861D1A">
        <w:rPr>
          <w:lang w:eastAsia="en-AU"/>
        </w:rPr>
        <w:t xml:space="preserve"> </w:t>
      </w:r>
      <w:r w:rsidRPr="00861D1A">
        <w:rPr>
          <w:lang w:eastAsia="en-AU"/>
        </w:rPr>
        <w:t>have been considered in OECD discussions.</w:t>
      </w:r>
    </w:p>
    <w:p w14:paraId="13C55909" w14:textId="39E592A2" w:rsidR="0099030B" w:rsidRPr="00861D1A" w:rsidRDefault="0099030B" w:rsidP="00180725">
      <w:pPr>
        <w:pStyle w:val="NumberedParagraph"/>
        <w:rPr>
          <w:lang w:eastAsia="en-AU"/>
        </w:rPr>
      </w:pPr>
      <w:r>
        <w:t xml:space="preserve">Submissions received in </w:t>
      </w:r>
      <w:r w:rsidR="00A16263">
        <w:t>response</w:t>
      </w:r>
      <w:r>
        <w:t xml:space="preserve"> to the questions raised in this Chapter will assist in upcoming OECD discussions on simplification measures.</w:t>
      </w:r>
      <w:r w:rsidR="00611C95">
        <w:t xml:space="preserve"> However f</w:t>
      </w:r>
      <w:r>
        <w:t xml:space="preserve">inal decisions on </w:t>
      </w:r>
      <w:r w:rsidR="002A788D">
        <w:t>safe</w:t>
      </w:r>
      <w:r w:rsidR="00611C95">
        <w:t xml:space="preserve"> harbours</w:t>
      </w:r>
      <w:r w:rsidR="002A788D">
        <w:t xml:space="preserve"> </w:t>
      </w:r>
      <w:r>
        <w:t>will rest with</w:t>
      </w:r>
      <w:r w:rsidR="00611C95">
        <w:t xml:space="preserve"> Inclusive Framework and not</w:t>
      </w:r>
      <w:r>
        <w:t xml:space="preserve"> the New Zealand Government</w:t>
      </w:r>
      <w:r w:rsidR="00611C95">
        <w:t xml:space="preserve"> alone</w:t>
      </w:r>
      <w:r>
        <w:t>.</w:t>
      </w:r>
      <w:r w:rsidR="006B0218">
        <w:t xml:space="preserve"> Officials do not propose to consult </w:t>
      </w:r>
      <w:r w:rsidR="007E37A8">
        <w:t xml:space="preserve">again on simplification measures once </w:t>
      </w:r>
      <w:r w:rsidR="003E55FB">
        <w:t xml:space="preserve">the </w:t>
      </w:r>
      <w:r w:rsidR="00215158">
        <w:t>OECD</w:t>
      </w:r>
      <w:r w:rsidR="005557A5">
        <w:t xml:space="preserve"> has finished designing </w:t>
      </w:r>
      <w:proofErr w:type="gramStart"/>
      <w:r w:rsidR="005557A5">
        <w:t xml:space="preserve">them, </w:t>
      </w:r>
      <w:r w:rsidR="00215158">
        <w:t>but</w:t>
      </w:r>
      <w:proofErr w:type="gramEnd"/>
      <w:r w:rsidR="00215158">
        <w:t xml:space="preserve"> will </w:t>
      </w:r>
      <w:r w:rsidR="004C01F2">
        <w:t>discuss the measures further with affected taxpayers</w:t>
      </w:r>
      <w:r w:rsidR="008D2B85">
        <w:t>.</w:t>
      </w:r>
    </w:p>
    <w:p w14:paraId="74E9EF0B" w14:textId="0F5B42B3" w:rsidR="00861D1A" w:rsidRPr="00861D1A" w:rsidRDefault="00861D1A" w:rsidP="00B23692">
      <w:pPr>
        <w:pStyle w:val="Heading2"/>
        <w:rPr>
          <w:lang w:eastAsia="en-AU"/>
        </w:rPr>
      </w:pPr>
      <w:bookmarkStart w:id="79" w:name="_Toc101095609"/>
      <w:r w:rsidRPr="00861D1A">
        <w:rPr>
          <w:lang w:eastAsia="en-AU"/>
        </w:rPr>
        <w:t>A safe harbour based on C</w:t>
      </w:r>
      <w:r w:rsidR="000769E3">
        <w:rPr>
          <w:lang w:eastAsia="en-AU"/>
        </w:rPr>
        <w:t>b</w:t>
      </w:r>
      <w:r w:rsidRPr="00861D1A">
        <w:rPr>
          <w:lang w:eastAsia="en-AU"/>
        </w:rPr>
        <w:t>CR</w:t>
      </w:r>
      <w:bookmarkEnd w:id="79"/>
    </w:p>
    <w:p w14:paraId="6D6CB3CF" w14:textId="7CD71572" w:rsidR="00861D1A" w:rsidRPr="00861D1A" w:rsidRDefault="00861D1A" w:rsidP="00B23692">
      <w:pPr>
        <w:pStyle w:val="NumberedParagraph"/>
        <w:rPr>
          <w:lang w:eastAsia="en-AU"/>
        </w:rPr>
      </w:pPr>
      <w:r w:rsidRPr="00861D1A">
        <w:rPr>
          <w:lang w:eastAsia="en-AU"/>
        </w:rPr>
        <w:t>There have previously been discussions about using a simplified ETR calculation based on data in a MNE’s C</w:t>
      </w:r>
      <w:r w:rsidR="000769E3">
        <w:rPr>
          <w:lang w:eastAsia="en-AU"/>
        </w:rPr>
        <w:t>b</w:t>
      </w:r>
      <w:r w:rsidRPr="00861D1A">
        <w:rPr>
          <w:lang w:eastAsia="en-AU"/>
        </w:rPr>
        <w:t>C report to approximate the risk the full GloBE ETR is below the minimum rate.</w:t>
      </w:r>
    </w:p>
    <w:p w14:paraId="36162E1B" w14:textId="645D367E" w:rsidR="00861D1A" w:rsidRPr="00861D1A" w:rsidRDefault="00861D1A" w:rsidP="00B23692">
      <w:pPr>
        <w:pStyle w:val="NumberedParagraph"/>
        <w:rPr>
          <w:lang w:eastAsia="en-AU"/>
        </w:rPr>
      </w:pPr>
      <w:r w:rsidRPr="00861D1A">
        <w:rPr>
          <w:lang w:eastAsia="en-AU"/>
        </w:rPr>
        <w:t>The group would qualify for this safe harbour when the simplified ETR is above a certain C</w:t>
      </w:r>
      <w:r w:rsidR="000769E3">
        <w:rPr>
          <w:lang w:eastAsia="en-AU"/>
        </w:rPr>
        <w:t>b</w:t>
      </w:r>
      <w:r w:rsidRPr="00861D1A">
        <w:rPr>
          <w:lang w:eastAsia="en-AU"/>
        </w:rPr>
        <w:t>CR safe harbour minimum rate. This could be higher than the 15% minimum rate in the GloBE rules to reflect the risk that the C</w:t>
      </w:r>
      <w:r w:rsidR="000769E3">
        <w:rPr>
          <w:lang w:eastAsia="en-AU"/>
        </w:rPr>
        <w:t>b</w:t>
      </w:r>
      <w:r w:rsidRPr="00861D1A">
        <w:rPr>
          <w:lang w:eastAsia="en-AU"/>
        </w:rPr>
        <w:t>CR ETR is different because of differences in how the GloBE income and adjusted covered taxes are calculated.</w:t>
      </w:r>
    </w:p>
    <w:p w14:paraId="19F214A3" w14:textId="6700623A" w:rsidR="00861D1A" w:rsidRPr="00861D1A" w:rsidRDefault="00861D1A" w:rsidP="00B23692">
      <w:pPr>
        <w:pStyle w:val="NumberedParagraph"/>
        <w:rPr>
          <w:lang w:eastAsia="en-AU"/>
        </w:rPr>
      </w:pPr>
      <w:r w:rsidRPr="00861D1A">
        <w:rPr>
          <w:lang w:eastAsia="en-AU"/>
        </w:rPr>
        <w:t>There is an important policy design question whether that risk should be addressed solely through increasing this rate premium over 15% or whether there should also be adjustments to the C</w:t>
      </w:r>
      <w:r w:rsidR="000769E3">
        <w:rPr>
          <w:lang w:eastAsia="en-AU"/>
        </w:rPr>
        <w:t>b</w:t>
      </w:r>
      <w:r w:rsidRPr="00861D1A">
        <w:rPr>
          <w:lang w:eastAsia="en-AU"/>
        </w:rPr>
        <w:t>CR figures to bring the ETR calculation closer into line with how the GloBE ETR is calculated.</w:t>
      </w:r>
    </w:p>
    <w:p w14:paraId="000B5707" w14:textId="27ED954E" w:rsidR="00861D1A" w:rsidRPr="00861D1A" w:rsidRDefault="00861D1A" w:rsidP="00B23692">
      <w:pPr>
        <w:pStyle w:val="NumberedParagraph"/>
        <w:rPr>
          <w:lang w:eastAsia="en-AU"/>
        </w:rPr>
      </w:pPr>
      <w:r w:rsidRPr="00861D1A">
        <w:rPr>
          <w:lang w:eastAsia="en-AU"/>
        </w:rPr>
        <w:t>There is a trade-off between accuracy and simplicity here. Increasing the number of adjustments reduces the risk that a MNE inappropriately qualifies for the safe harbour. Equally, it reduces the risk a MNE is inappropriately excluded from the safe harbour.</w:t>
      </w:r>
    </w:p>
    <w:p w14:paraId="484D3BE8" w14:textId="60858BC7" w:rsidR="00861D1A" w:rsidRPr="00861D1A" w:rsidRDefault="00861D1A" w:rsidP="00B23692">
      <w:pPr>
        <w:pStyle w:val="NumberedParagraph"/>
        <w:rPr>
          <w:lang w:eastAsia="en-AU"/>
        </w:rPr>
      </w:pPr>
      <w:r w:rsidRPr="00861D1A">
        <w:rPr>
          <w:lang w:eastAsia="en-AU"/>
        </w:rPr>
        <w:t>However, it also increases the complexity of the calculation, and therefore reduces some of the simplification benefits the safe harbour is intended to provide.</w:t>
      </w:r>
    </w:p>
    <w:p w14:paraId="5BB0A82C" w14:textId="77777777" w:rsidR="00861D1A" w:rsidRPr="00861D1A" w:rsidRDefault="00861D1A" w:rsidP="00B23692">
      <w:pPr>
        <w:pStyle w:val="NumberedParagraph"/>
        <w:rPr>
          <w:lang w:eastAsia="en-AU"/>
        </w:rPr>
      </w:pPr>
      <w:r w:rsidRPr="00861D1A">
        <w:rPr>
          <w:lang w:eastAsia="en-AU"/>
        </w:rPr>
        <w:t>The adjustments that could be made broadly fall into two categories.</w:t>
      </w:r>
    </w:p>
    <w:p w14:paraId="18DD8160" w14:textId="14C53ED6" w:rsidR="00861D1A" w:rsidRPr="00861D1A" w:rsidRDefault="00861D1A" w:rsidP="00B23692">
      <w:pPr>
        <w:pStyle w:val="NumberedParagraph"/>
        <w:rPr>
          <w:lang w:eastAsia="en-AU"/>
        </w:rPr>
      </w:pPr>
      <w:r w:rsidRPr="00861D1A">
        <w:rPr>
          <w:lang w:eastAsia="en-AU"/>
        </w:rPr>
        <w:t>The first would mirror some of the adjustments made to GloBE income in Chapter 3 of the Model Rules. So, for example, the C</w:t>
      </w:r>
      <w:r w:rsidR="000769E3">
        <w:rPr>
          <w:lang w:eastAsia="en-AU"/>
        </w:rPr>
        <w:t>b</w:t>
      </w:r>
      <w:r w:rsidRPr="00861D1A">
        <w:rPr>
          <w:lang w:eastAsia="en-AU"/>
        </w:rPr>
        <w:t>CR profit could be adjusted where this includes gains and losses from the sale of &gt;10% shareholdings, so the figure more accurately represents the profit in the GloBE base (and in most cases also the taxable profit in the local tax jurisdiction).</w:t>
      </w:r>
    </w:p>
    <w:p w14:paraId="47148D17" w14:textId="687BDC04" w:rsidR="00861D1A" w:rsidRPr="00861D1A" w:rsidRDefault="00861D1A" w:rsidP="00B23692">
      <w:pPr>
        <w:pStyle w:val="NumberedParagraph"/>
        <w:rPr>
          <w:lang w:eastAsia="en-AU"/>
        </w:rPr>
      </w:pPr>
      <w:r w:rsidRPr="00861D1A">
        <w:rPr>
          <w:lang w:eastAsia="en-AU"/>
        </w:rPr>
        <w:lastRenderedPageBreak/>
        <w:t>These adjustments wouldn’t necessarily need to reflect all of the adjustments in the GloBE rules but could identify those which are most significant or are most likely to lead to the ETR being inappropriately inflated (those which might lead to it being deflated could be optional).</w:t>
      </w:r>
    </w:p>
    <w:p w14:paraId="0A2A5957" w14:textId="6E086391" w:rsidR="00861D1A" w:rsidRPr="00861D1A" w:rsidRDefault="00861D1A" w:rsidP="00B23692">
      <w:pPr>
        <w:pStyle w:val="NumberedParagraph"/>
        <w:rPr>
          <w:lang w:eastAsia="en-AU"/>
        </w:rPr>
      </w:pPr>
      <w:r w:rsidRPr="00861D1A">
        <w:rPr>
          <w:lang w:eastAsia="en-AU"/>
        </w:rPr>
        <w:t>The second category would be intended to reflect timing differences and bring the C</w:t>
      </w:r>
      <w:r w:rsidR="000769E3">
        <w:rPr>
          <w:lang w:eastAsia="en-AU"/>
        </w:rPr>
        <w:t>b</w:t>
      </w:r>
      <w:r w:rsidRPr="00861D1A">
        <w:rPr>
          <w:lang w:eastAsia="en-AU"/>
        </w:rPr>
        <w:t>CR ETR closer into line with the outcomes achieved by the timing differences rules in Chapter 4 of the Model Rules.</w:t>
      </w:r>
    </w:p>
    <w:p w14:paraId="6A081156" w14:textId="52E0AAFC" w:rsidR="00861D1A" w:rsidRPr="00861D1A" w:rsidRDefault="00861D1A" w:rsidP="00B23692">
      <w:pPr>
        <w:pStyle w:val="NumberedParagraph"/>
        <w:rPr>
          <w:lang w:eastAsia="en-AU"/>
        </w:rPr>
      </w:pPr>
      <w:r w:rsidRPr="00861D1A">
        <w:rPr>
          <w:lang w:eastAsia="en-AU"/>
        </w:rPr>
        <w:t>Without these adjustments, a taxpayer could have a low ETR in the C</w:t>
      </w:r>
      <w:r w:rsidR="000769E3">
        <w:rPr>
          <w:lang w:eastAsia="en-AU"/>
        </w:rPr>
        <w:t>b</w:t>
      </w:r>
      <w:r w:rsidRPr="00861D1A">
        <w:rPr>
          <w:lang w:eastAsia="en-AU"/>
        </w:rPr>
        <w:t>CR even though this low ETR is simply a consequence of the taxpayer having used losses from earlier years to offset its profits.</w:t>
      </w:r>
    </w:p>
    <w:p w14:paraId="2B2024DE" w14:textId="77777777" w:rsidR="00861D1A" w:rsidRPr="00861D1A" w:rsidRDefault="00861D1A" w:rsidP="00B23692">
      <w:pPr>
        <w:pStyle w:val="NumberedParagraph"/>
        <w:rPr>
          <w:lang w:eastAsia="en-AU"/>
        </w:rPr>
      </w:pPr>
      <w:r w:rsidRPr="00861D1A">
        <w:rPr>
          <w:lang w:eastAsia="en-AU"/>
        </w:rPr>
        <w:t>The design could also seek to reduce some of the complexities in the jurisdictional blending rules. For example, there may be limited risk a branch is low-taxed when it is taxed in the head office jurisdiction at a high rate.</w:t>
      </w:r>
    </w:p>
    <w:p w14:paraId="463BB60C" w14:textId="0593CBCD" w:rsidR="00861D1A" w:rsidRPr="00861D1A" w:rsidRDefault="00861D1A" w:rsidP="00B23692">
      <w:pPr>
        <w:pStyle w:val="NumberedParagraph"/>
        <w:rPr>
          <w:lang w:eastAsia="en-AU"/>
        </w:rPr>
      </w:pPr>
      <w:r w:rsidRPr="00861D1A">
        <w:rPr>
          <w:lang w:eastAsia="en-AU"/>
        </w:rPr>
        <w:t>There may be scope to consider whether the safe harbour could be designed to take account of this and reduce the allocations between jurisdictions required under the main rules.</w:t>
      </w:r>
    </w:p>
    <w:tbl>
      <w:tblPr>
        <w:tblStyle w:val="QuestionBox"/>
        <w:tblW w:w="8779" w:type="dxa"/>
        <w:tblLook w:val="04A0" w:firstRow="1" w:lastRow="0" w:firstColumn="1" w:lastColumn="0" w:noHBand="0" w:noVBand="1"/>
      </w:tblPr>
      <w:tblGrid>
        <w:gridCol w:w="8779"/>
      </w:tblGrid>
      <w:tr w:rsidR="00A95108" w14:paraId="44ACB1C1" w14:textId="77777777" w:rsidTr="001373D9">
        <w:tc>
          <w:tcPr>
            <w:tcW w:w="8779" w:type="dxa"/>
          </w:tcPr>
          <w:p w14:paraId="3FFA5238" w14:textId="77777777" w:rsidR="00A95108" w:rsidRPr="000E77C5" w:rsidRDefault="00A95108" w:rsidP="00180725">
            <w:pPr>
              <w:rPr>
                <w:rStyle w:val="Strong"/>
              </w:rPr>
            </w:pPr>
            <w:r w:rsidRPr="000E77C5">
              <w:rPr>
                <w:rStyle w:val="Strong"/>
              </w:rPr>
              <w:t>Question</w:t>
            </w:r>
            <w:r>
              <w:rPr>
                <w:rStyle w:val="Strong"/>
              </w:rPr>
              <w:t>s</w:t>
            </w:r>
            <w:r w:rsidRPr="000E77C5">
              <w:rPr>
                <w:rStyle w:val="Strong"/>
              </w:rPr>
              <w:t xml:space="preserve"> for submitters</w:t>
            </w:r>
          </w:p>
          <w:p w14:paraId="5CDCD4A0" w14:textId="100C6263" w:rsidR="00A95108" w:rsidRDefault="00A95108" w:rsidP="00A95108">
            <w:pPr>
              <w:pStyle w:val="ListBullet"/>
            </w:pPr>
            <w:r w:rsidRPr="009C198B">
              <w:t>Do you have any comments on a C</w:t>
            </w:r>
            <w:r w:rsidR="000769E3">
              <w:t>b</w:t>
            </w:r>
            <w:r w:rsidRPr="009C198B">
              <w:t>CR based safe harbour and how it could be designed?</w:t>
            </w:r>
          </w:p>
          <w:p w14:paraId="0EC4D9A5" w14:textId="5F6096D6" w:rsidR="00A95108" w:rsidRDefault="00A95108" w:rsidP="00A95108">
            <w:pPr>
              <w:pStyle w:val="ListBullet"/>
            </w:pPr>
            <w:r w:rsidRPr="009C198B">
              <w:t>What adjustments do you think should be made to give an appropriate approximation of the full ETR calculation?</w:t>
            </w:r>
          </w:p>
          <w:p w14:paraId="3B18E241" w14:textId="46272577" w:rsidR="00A95108" w:rsidRPr="006E02CE" w:rsidRDefault="00A95108" w:rsidP="00A95108">
            <w:pPr>
              <w:pStyle w:val="ListBullet"/>
            </w:pPr>
            <w:r w:rsidRPr="009C198B">
              <w:t>How could timing differences be addressed within a C</w:t>
            </w:r>
            <w:r w:rsidR="000769E3">
              <w:t>b</w:t>
            </w:r>
            <w:r w:rsidRPr="009C198B">
              <w:t>CR safe harbour design? Do they need to be?</w:t>
            </w:r>
          </w:p>
        </w:tc>
      </w:tr>
    </w:tbl>
    <w:p w14:paraId="59978CB3" w14:textId="77777777" w:rsidR="00861D1A" w:rsidRPr="00861D1A" w:rsidRDefault="00861D1A" w:rsidP="00A95108">
      <w:pPr>
        <w:pStyle w:val="Heading2"/>
        <w:rPr>
          <w:lang w:eastAsia="en-AU"/>
        </w:rPr>
      </w:pPr>
      <w:bookmarkStart w:id="80" w:name="_Toc101095610"/>
      <w:r w:rsidRPr="00861D1A">
        <w:rPr>
          <w:lang w:eastAsia="en-AU"/>
        </w:rPr>
        <w:t>Other safe harbours</w:t>
      </w:r>
      <w:bookmarkEnd w:id="80"/>
    </w:p>
    <w:p w14:paraId="0C6F87B1" w14:textId="66D5143B" w:rsidR="00861D1A" w:rsidRPr="00861D1A" w:rsidRDefault="00861D1A" w:rsidP="003D265C">
      <w:pPr>
        <w:pStyle w:val="NumberedParagraph"/>
        <w:rPr>
          <w:lang w:eastAsia="en-AU"/>
        </w:rPr>
      </w:pPr>
      <w:r w:rsidRPr="00861D1A">
        <w:rPr>
          <w:lang w:eastAsia="en-AU"/>
        </w:rPr>
        <w:t>A key feature of the Model Rules is that ETRs and top</w:t>
      </w:r>
      <w:r w:rsidR="006E1702">
        <w:rPr>
          <w:lang w:eastAsia="en-AU"/>
        </w:rPr>
        <w:t>-</w:t>
      </w:r>
      <w:r w:rsidRPr="00861D1A">
        <w:rPr>
          <w:lang w:eastAsia="en-AU"/>
        </w:rPr>
        <w:t>up tax are calculated on a jurisdictional basis – in other words, covered tax and GloBE income from different jurisdictions cannot be blended. During OECD discussions it has been clear that safe harbours will only be available on a jurisdictional basis to support the jurisdictional design of the rules.</w:t>
      </w:r>
    </w:p>
    <w:p w14:paraId="52D2C507" w14:textId="7319BEE4" w:rsidR="00832BFD" w:rsidRDefault="00861D1A" w:rsidP="00724BEA">
      <w:pPr>
        <w:pStyle w:val="NumberedParagraph"/>
        <w:rPr>
          <w:lang w:eastAsia="en-AU"/>
        </w:rPr>
      </w:pPr>
      <w:proofErr w:type="gramStart"/>
      <w:r w:rsidRPr="00861D1A">
        <w:rPr>
          <w:lang w:eastAsia="en-AU"/>
        </w:rPr>
        <w:t>Officials</w:t>
      </w:r>
      <w:proofErr w:type="gramEnd"/>
      <w:r w:rsidRPr="00861D1A">
        <w:rPr>
          <w:lang w:eastAsia="en-AU"/>
        </w:rPr>
        <w:t xml:space="preserve"> welcome ideas on other safe harbours that could be developed for application on a jurisdictional basis.</w:t>
      </w:r>
    </w:p>
    <w:tbl>
      <w:tblPr>
        <w:tblStyle w:val="QuestionBox"/>
        <w:tblW w:w="8779" w:type="dxa"/>
        <w:tblLook w:val="04A0" w:firstRow="1" w:lastRow="0" w:firstColumn="1" w:lastColumn="0" w:noHBand="0" w:noVBand="1"/>
      </w:tblPr>
      <w:tblGrid>
        <w:gridCol w:w="8779"/>
      </w:tblGrid>
      <w:tr w:rsidR="00724BEA" w14:paraId="616C8AFA" w14:textId="77777777" w:rsidTr="001373D9">
        <w:tc>
          <w:tcPr>
            <w:tcW w:w="8779" w:type="dxa"/>
          </w:tcPr>
          <w:p w14:paraId="4B1D9BB5" w14:textId="77777777" w:rsidR="00724BEA" w:rsidRDefault="00724BEA" w:rsidP="00180725">
            <w:pPr>
              <w:rPr>
                <w:rStyle w:val="Strong"/>
              </w:rPr>
            </w:pPr>
            <w:r w:rsidRPr="000E77C5">
              <w:rPr>
                <w:rStyle w:val="Strong"/>
              </w:rPr>
              <w:t>Question for submitters</w:t>
            </w:r>
          </w:p>
          <w:p w14:paraId="49EB42C0" w14:textId="77777777" w:rsidR="00724BEA" w:rsidRPr="006E02CE" w:rsidRDefault="00724BEA" w:rsidP="00180725">
            <w:pPr>
              <w:pStyle w:val="ListBullet"/>
            </w:pPr>
            <w:r w:rsidRPr="009C198B">
              <w:t>Do you have any suggestions about alternative safe harbours that could be developed for application on a jurisdictional basis?</w:t>
            </w:r>
          </w:p>
        </w:tc>
      </w:tr>
    </w:tbl>
    <w:p w14:paraId="2C2F7B2A" w14:textId="77777777" w:rsidR="00D42789" w:rsidRDefault="00D42789" w:rsidP="00D42789">
      <w:pPr>
        <w:sectPr w:rsidR="00D42789" w:rsidSect="00D42789">
          <w:type w:val="oddPage"/>
          <w:pgSz w:w="11906" w:h="16838" w:code="9"/>
          <w:pgMar w:top="1304" w:right="1559" w:bottom="1134" w:left="1559" w:header="720" w:footer="567" w:gutter="0"/>
          <w:cols w:space="720"/>
          <w:docGrid w:linePitch="326"/>
        </w:sectPr>
      </w:pPr>
    </w:p>
    <w:p w14:paraId="33752A3A" w14:textId="4B75E657" w:rsidR="00B77302" w:rsidRDefault="00075573" w:rsidP="00D42789">
      <w:pPr>
        <w:pStyle w:val="Heading1-Part"/>
      </w:pPr>
      <w:bookmarkStart w:id="81" w:name="_Toc101095611"/>
      <w:r w:rsidRPr="00D42789">
        <w:lastRenderedPageBreak/>
        <w:t>PART II</w:t>
      </w:r>
      <w:r w:rsidR="0095302F" w:rsidRPr="00D42789">
        <w:t>I</w:t>
      </w:r>
      <w:r w:rsidRPr="00D42789">
        <w:t>: Explaining New Zealand-</w:t>
      </w:r>
      <w:r w:rsidR="00D42789">
        <w:t>s</w:t>
      </w:r>
      <w:r w:rsidRPr="00D42789">
        <w:t xml:space="preserve">pecific Pillar </w:t>
      </w:r>
      <w:r w:rsidR="006A729C" w:rsidRPr="00D42789">
        <w:t>Two</w:t>
      </w:r>
      <w:r w:rsidRPr="00D42789">
        <w:t xml:space="preserve"> </w:t>
      </w:r>
      <w:r w:rsidR="00D42789">
        <w:t>i</w:t>
      </w:r>
      <w:r w:rsidR="00F500C7" w:rsidRPr="00D42789">
        <w:t>ssues</w:t>
      </w:r>
      <w:bookmarkEnd w:id="81"/>
    </w:p>
    <w:p w14:paraId="1EFAFF2E" w14:textId="77777777" w:rsidR="00D42789" w:rsidRDefault="00D42789" w:rsidP="00D42789"/>
    <w:p w14:paraId="2EED5BB8" w14:textId="720E05A2" w:rsidR="00A474E5" w:rsidRDefault="00A474E5" w:rsidP="00D42789">
      <w:pPr>
        <w:sectPr w:rsidR="00A474E5" w:rsidSect="00D42789">
          <w:type w:val="oddPage"/>
          <w:pgSz w:w="11906" w:h="16838" w:code="9"/>
          <w:pgMar w:top="1304" w:right="1559" w:bottom="1134" w:left="1559" w:header="720" w:footer="567" w:gutter="0"/>
          <w:cols w:space="720"/>
          <w:docGrid w:linePitch="326"/>
        </w:sectPr>
      </w:pPr>
    </w:p>
    <w:p w14:paraId="20471D5F" w14:textId="1E5EBDE0" w:rsidR="00724BEA" w:rsidRDefault="004E7A69" w:rsidP="00724BEA">
      <w:pPr>
        <w:pStyle w:val="Heading1"/>
        <w:rPr>
          <w:lang w:eastAsia="en-AU"/>
        </w:rPr>
      </w:pPr>
      <w:r>
        <w:rPr>
          <w:lang w:eastAsia="en-AU"/>
        </w:rPr>
        <w:lastRenderedPageBreak/>
        <w:br/>
      </w:r>
      <w:r>
        <w:rPr>
          <w:lang w:eastAsia="en-AU"/>
        </w:rPr>
        <w:br/>
      </w:r>
      <w:bookmarkStart w:id="82" w:name="_Toc101095612"/>
      <w:r>
        <w:rPr>
          <w:lang w:eastAsia="en-AU"/>
        </w:rPr>
        <w:t>Mode of Implementation</w:t>
      </w:r>
      <w:r w:rsidR="000B0145">
        <w:rPr>
          <w:lang w:eastAsia="en-AU"/>
        </w:rPr>
        <w:t xml:space="preserve"> in New Zealand</w:t>
      </w:r>
      <w:bookmarkEnd w:id="82"/>
    </w:p>
    <w:p w14:paraId="6713606D" w14:textId="77777777" w:rsidR="00806434" w:rsidRDefault="00806434" w:rsidP="00F96271">
      <w:pPr>
        <w:pStyle w:val="Heading2"/>
        <w:rPr>
          <w:lang w:eastAsia="en-AU"/>
        </w:rPr>
      </w:pPr>
      <w:bookmarkStart w:id="83" w:name="_Toc101095613"/>
      <w:r>
        <w:rPr>
          <w:lang w:eastAsia="en-AU"/>
        </w:rPr>
        <w:t>Overview</w:t>
      </w:r>
      <w:bookmarkEnd w:id="83"/>
    </w:p>
    <w:p w14:paraId="40F67685" w14:textId="439AF57E" w:rsidR="00806434" w:rsidRPr="00806434" w:rsidRDefault="00806434" w:rsidP="00806434">
      <w:pPr>
        <w:pStyle w:val="NumberedParagraph"/>
        <w:rPr>
          <w:lang w:eastAsia="en-AU"/>
        </w:rPr>
      </w:pPr>
      <w:r>
        <w:rPr>
          <w:lang w:eastAsia="en-AU"/>
        </w:rPr>
        <w:t>This chapter considers what form enactment of the GloBE rules in New Zealand should take.</w:t>
      </w:r>
    </w:p>
    <w:p w14:paraId="6CE38D09" w14:textId="61613367" w:rsidR="00F96271" w:rsidRPr="00861D1A" w:rsidRDefault="00F96271" w:rsidP="00F96271">
      <w:pPr>
        <w:pStyle w:val="Heading2"/>
        <w:rPr>
          <w:lang w:eastAsia="en-AU"/>
        </w:rPr>
      </w:pPr>
      <w:bookmarkStart w:id="84" w:name="_Toc101095614"/>
      <w:r w:rsidRPr="00861D1A">
        <w:rPr>
          <w:lang w:eastAsia="en-AU"/>
        </w:rPr>
        <w:t>Aligning NZ law with OECD Model Rules</w:t>
      </w:r>
      <w:bookmarkEnd w:id="84"/>
    </w:p>
    <w:p w14:paraId="7CB33D3C" w14:textId="366F6A75" w:rsidR="00861D1A" w:rsidRPr="00861D1A" w:rsidRDefault="00861D1A" w:rsidP="00F96271">
      <w:pPr>
        <w:pStyle w:val="NumberedParagraph"/>
        <w:rPr>
          <w:lang w:eastAsia="en-AU"/>
        </w:rPr>
      </w:pPr>
      <w:r w:rsidRPr="00861D1A">
        <w:rPr>
          <w:lang w:eastAsia="en-AU"/>
        </w:rPr>
        <w:t xml:space="preserve">One of the most important aspects of Pillar </w:t>
      </w:r>
      <w:r w:rsidR="006A729C">
        <w:rPr>
          <w:lang w:eastAsia="en-AU"/>
        </w:rPr>
        <w:t>Two</w:t>
      </w:r>
      <w:r w:rsidRPr="00861D1A">
        <w:rPr>
          <w:lang w:eastAsia="en-AU"/>
        </w:rPr>
        <w:t xml:space="preserve"> is the status of the rules. The Inclusive Framework ha</w:t>
      </w:r>
      <w:r w:rsidR="00426D0F">
        <w:rPr>
          <w:lang w:eastAsia="en-AU"/>
        </w:rPr>
        <w:t>s</w:t>
      </w:r>
      <w:r w:rsidRPr="00861D1A">
        <w:rPr>
          <w:lang w:eastAsia="en-AU"/>
        </w:rPr>
        <w:t xml:space="preserve"> agreed that the GloBE rules are a common approach. This means that jurisdictions that choose to implement the GloBE rules must implement them in line with the Pillar</w:t>
      </w:r>
      <w:r w:rsidR="00CB4821">
        <w:rPr>
          <w:lang w:eastAsia="en-AU"/>
        </w:rPr>
        <w:t> </w:t>
      </w:r>
      <w:r w:rsidR="006A729C">
        <w:rPr>
          <w:lang w:eastAsia="en-AU"/>
        </w:rPr>
        <w:t>Two</w:t>
      </w:r>
      <w:r w:rsidRPr="00861D1A">
        <w:rPr>
          <w:lang w:eastAsia="en-AU"/>
        </w:rPr>
        <w:t xml:space="preserve"> agreement.</w:t>
      </w:r>
    </w:p>
    <w:p w14:paraId="732657E7" w14:textId="6B53D7D4" w:rsidR="00861D1A" w:rsidRPr="00861D1A" w:rsidRDefault="00861D1A" w:rsidP="00F96271">
      <w:pPr>
        <w:pStyle w:val="NumberedParagraph"/>
        <w:rPr>
          <w:lang w:eastAsia="en-AU"/>
        </w:rPr>
      </w:pPr>
      <w:r w:rsidRPr="00861D1A">
        <w:rPr>
          <w:lang w:eastAsia="en-AU"/>
        </w:rPr>
        <w:t>There are</w:t>
      </w:r>
      <w:r w:rsidRPr="00861D1A" w:rsidDel="00D4387D">
        <w:rPr>
          <w:lang w:eastAsia="en-AU"/>
        </w:rPr>
        <w:t xml:space="preserve"> </w:t>
      </w:r>
      <w:r w:rsidRPr="00861D1A">
        <w:rPr>
          <w:lang w:eastAsia="en-AU"/>
        </w:rPr>
        <w:t xml:space="preserve">good reasons for this. The Pillar </w:t>
      </w:r>
      <w:r w:rsidR="006A729C">
        <w:rPr>
          <w:lang w:eastAsia="en-AU"/>
        </w:rPr>
        <w:t>Two</w:t>
      </w:r>
      <w:r w:rsidRPr="00861D1A">
        <w:rPr>
          <w:lang w:eastAsia="en-AU"/>
        </w:rPr>
        <w:t xml:space="preserve"> agreement was reached after extensive negotiations and consultation with businesses and other stakeholders and represents a compromise agreed between over 130 jurisdictions. Consequently, it is important that jurisdictions respect</w:t>
      </w:r>
      <w:r w:rsidR="007C4D36">
        <w:rPr>
          <w:lang w:eastAsia="en-AU"/>
        </w:rPr>
        <w:t xml:space="preserve"> it</w:t>
      </w:r>
      <w:r w:rsidRPr="00861D1A">
        <w:rPr>
          <w:lang w:eastAsia="en-AU"/>
        </w:rPr>
        <w:t>. The effectiveness of the GloBE rules also depends on a high degree of consistency in the implementation in different jurisdictions.</w:t>
      </w:r>
    </w:p>
    <w:p w14:paraId="2B97B4FD" w14:textId="0A8BCB3E" w:rsidR="00861D1A" w:rsidRPr="00861D1A" w:rsidRDefault="00861D1A" w:rsidP="00F96271">
      <w:pPr>
        <w:pStyle w:val="NumberedParagraph"/>
        <w:rPr>
          <w:lang w:eastAsia="en-AU"/>
        </w:rPr>
      </w:pPr>
      <w:r w:rsidRPr="00861D1A">
        <w:rPr>
          <w:lang w:eastAsia="en-AU"/>
        </w:rPr>
        <w:t>For example, there would be a high risk of double taxation or double non-taxation if implementing jurisdictions adopted different rules to measure the level of taxation and top</w:t>
      </w:r>
      <w:r w:rsidR="006E1702">
        <w:rPr>
          <w:lang w:eastAsia="en-AU"/>
        </w:rPr>
        <w:t>-</w:t>
      </w:r>
      <w:r w:rsidRPr="00861D1A">
        <w:rPr>
          <w:lang w:eastAsia="en-AU"/>
        </w:rPr>
        <w:t>ups required in each jurisdiction. Similarly, there could be significant double taxation and disputes between jurisdictions and taxpayers if some countries do not respect the agreed rule order.</w:t>
      </w:r>
    </w:p>
    <w:p w14:paraId="0AC66B59" w14:textId="64343936" w:rsidR="00861D1A" w:rsidRPr="00861D1A" w:rsidRDefault="00861D1A" w:rsidP="00F96271">
      <w:pPr>
        <w:pStyle w:val="NumberedParagraph"/>
        <w:rPr>
          <w:lang w:eastAsia="en-AU"/>
        </w:rPr>
      </w:pPr>
      <w:r w:rsidRPr="00861D1A">
        <w:rPr>
          <w:lang w:eastAsia="en-AU"/>
        </w:rPr>
        <w:t>The</w:t>
      </w:r>
      <w:r w:rsidR="00ED7FBB">
        <w:rPr>
          <w:lang w:eastAsia="en-AU"/>
        </w:rPr>
        <w:t>refore if the</w:t>
      </w:r>
      <w:r w:rsidRPr="00861D1A">
        <w:rPr>
          <w:lang w:eastAsia="en-AU"/>
        </w:rPr>
        <w:t xml:space="preserve"> </w:t>
      </w:r>
      <w:r w:rsidR="00ED7FBB">
        <w:rPr>
          <w:lang w:eastAsia="en-AU"/>
        </w:rPr>
        <w:t>G</w:t>
      </w:r>
      <w:r w:rsidRPr="00861D1A">
        <w:rPr>
          <w:lang w:eastAsia="en-AU"/>
        </w:rPr>
        <w:t xml:space="preserve">overnment </w:t>
      </w:r>
      <w:r w:rsidR="007723BD">
        <w:rPr>
          <w:lang w:eastAsia="en-AU"/>
        </w:rPr>
        <w:t>decides to adopt</w:t>
      </w:r>
      <w:r w:rsidRPr="00861D1A">
        <w:rPr>
          <w:lang w:eastAsia="en-AU"/>
        </w:rPr>
        <w:t xml:space="preserve"> </w:t>
      </w:r>
      <w:r w:rsidR="00387CB2">
        <w:rPr>
          <w:lang w:eastAsia="en-AU"/>
        </w:rPr>
        <w:t>GloBE rules</w:t>
      </w:r>
      <w:r w:rsidR="00767C0D">
        <w:rPr>
          <w:lang w:eastAsia="en-AU"/>
        </w:rPr>
        <w:t>,</w:t>
      </w:r>
      <w:r w:rsidR="00387CB2">
        <w:rPr>
          <w:lang w:eastAsia="en-AU"/>
        </w:rPr>
        <w:t xml:space="preserve"> it</w:t>
      </w:r>
      <w:r w:rsidRPr="00861D1A">
        <w:rPr>
          <w:lang w:eastAsia="en-AU"/>
        </w:rPr>
        <w:t xml:space="preserve"> </w:t>
      </w:r>
      <w:r w:rsidR="007723BD">
        <w:rPr>
          <w:lang w:eastAsia="en-AU"/>
        </w:rPr>
        <w:t xml:space="preserve">will implement </w:t>
      </w:r>
      <w:r w:rsidR="00D52AC5">
        <w:rPr>
          <w:lang w:eastAsia="en-AU"/>
        </w:rPr>
        <w:t>them</w:t>
      </w:r>
      <w:r w:rsidR="0072304E">
        <w:rPr>
          <w:lang w:eastAsia="en-AU"/>
        </w:rPr>
        <w:t xml:space="preserve"> </w:t>
      </w:r>
      <w:r w:rsidR="007723BD">
        <w:rPr>
          <w:lang w:eastAsia="en-AU"/>
        </w:rPr>
        <w:t xml:space="preserve">in New Zealand </w:t>
      </w:r>
      <w:r w:rsidRPr="00861D1A">
        <w:rPr>
          <w:lang w:eastAsia="en-AU"/>
        </w:rPr>
        <w:t xml:space="preserve">as closely to the OECD Model Rules as possible. There may be limited areas where the rules need to be adapted, for example to reflect concepts in </w:t>
      </w:r>
      <w:r w:rsidR="00205604">
        <w:rPr>
          <w:lang w:eastAsia="en-AU"/>
        </w:rPr>
        <w:t>New Zealand</w:t>
      </w:r>
      <w:r w:rsidR="00205604" w:rsidRPr="00861D1A">
        <w:rPr>
          <w:lang w:eastAsia="en-AU"/>
        </w:rPr>
        <w:t xml:space="preserve"> </w:t>
      </w:r>
      <w:r w:rsidRPr="00861D1A">
        <w:rPr>
          <w:lang w:eastAsia="en-AU"/>
        </w:rPr>
        <w:t>law, but the general approach will be to follow the agreed OECD Model Rules where possible. If changes are required, these will respect the intended outcomes agreed in the OECD.</w:t>
      </w:r>
    </w:p>
    <w:p w14:paraId="1B10443C" w14:textId="77777777" w:rsidR="00861D1A" w:rsidRPr="00861D1A" w:rsidRDefault="00861D1A" w:rsidP="00F96271">
      <w:pPr>
        <w:pStyle w:val="Heading2"/>
        <w:rPr>
          <w:lang w:eastAsia="en-AU"/>
        </w:rPr>
      </w:pPr>
      <w:bookmarkStart w:id="85" w:name="_Toc101095615"/>
      <w:r w:rsidRPr="00861D1A">
        <w:rPr>
          <w:lang w:eastAsia="en-AU"/>
        </w:rPr>
        <w:t>How to best implement the Model Rules</w:t>
      </w:r>
      <w:bookmarkEnd w:id="85"/>
    </w:p>
    <w:p w14:paraId="2769096A" w14:textId="03415C6B" w:rsidR="00861D1A" w:rsidRPr="00861D1A" w:rsidRDefault="00861D1A" w:rsidP="00F96271">
      <w:pPr>
        <w:pStyle w:val="NumberedParagraph"/>
        <w:rPr>
          <w:lang w:eastAsia="en-AU"/>
        </w:rPr>
      </w:pPr>
      <w:r w:rsidRPr="00861D1A">
        <w:rPr>
          <w:lang w:eastAsia="en-AU"/>
        </w:rPr>
        <w:t xml:space="preserve">Adopting the Model Rules will require government to pass a Bill incorporating the rules into </w:t>
      </w:r>
      <w:r w:rsidR="0065447B">
        <w:rPr>
          <w:lang w:eastAsia="en-AU"/>
        </w:rPr>
        <w:t>New Zealand</w:t>
      </w:r>
      <w:r w:rsidR="0065447B" w:rsidRPr="00861D1A">
        <w:rPr>
          <w:lang w:eastAsia="en-AU"/>
        </w:rPr>
        <w:t xml:space="preserve"> </w:t>
      </w:r>
      <w:r w:rsidRPr="00861D1A">
        <w:rPr>
          <w:lang w:eastAsia="en-AU"/>
        </w:rPr>
        <w:t xml:space="preserve">law. The method used for this incorporation is a decision for </w:t>
      </w:r>
      <w:r w:rsidR="008145CC">
        <w:rPr>
          <w:lang w:eastAsia="en-AU"/>
        </w:rPr>
        <w:t>New Zealand</w:t>
      </w:r>
      <w:r w:rsidRPr="00861D1A">
        <w:rPr>
          <w:lang w:eastAsia="en-AU"/>
        </w:rPr>
        <w:t xml:space="preserve">. Previous OECD tax reforms have been legislated in </w:t>
      </w:r>
      <w:r w:rsidR="008145CC">
        <w:rPr>
          <w:lang w:eastAsia="en-AU"/>
        </w:rPr>
        <w:t>New Zealand</w:t>
      </w:r>
      <w:r w:rsidR="008145CC" w:rsidRPr="00861D1A">
        <w:rPr>
          <w:lang w:eastAsia="en-AU"/>
        </w:rPr>
        <w:t xml:space="preserve"> </w:t>
      </w:r>
      <w:r w:rsidRPr="00861D1A">
        <w:rPr>
          <w:lang w:eastAsia="en-AU"/>
        </w:rPr>
        <w:t xml:space="preserve">using one of the </w:t>
      </w:r>
      <w:r w:rsidR="0072304E">
        <w:rPr>
          <w:lang w:eastAsia="en-AU"/>
        </w:rPr>
        <w:t xml:space="preserve">following </w:t>
      </w:r>
      <w:r w:rsidRPr="00861D1A">
        <w:rPr>
          <w:lang w:eastAsia="en-AU"/>
        </w:rPr>
        <w:t>methods:</w:t>
      </w:r>
    </w:p>
    <w:p w14:paraId="6AF7575E" w14:textId="581CC34E" w:rsidR="00861D1A" w:rsidRPr="00861D1A" w:rsidRDefault="00861D1A" w:rsidP="00F96271">
      <w:pPr>
        <w:pStyle w:val="NumberedParagraph-BulletL1"/>
        <w:rPr>
          <w:lang w:eastAsia="en-AU"/>
        </w:rPr>
      </w:pPr>
      <w:r w:rsidRPr="00861D1A">
        <w:rPr>
          <w:lang w:eastAsia="en-AU"/>
        </w:rPr>
        <w:t xml:space="preserve">Repetition: OECD rules are rewritten into </w:t>
      </w:r>
      <w:r w:rsidR="0038492E">
        <w:rPr>
          <w:lang w:eastAsia="en-AU"/>
        </w:rPr>
        <w:t>New Zealand</w:t>
      </w:r>
      <w:r w:rsidR="0038492E" w:rsidRPr="00861D1A">
        <w:rPr>
          <w:lang w:eastAsia="en-AU"/>
        </w:rPr>
        <w:t xml:space="preserve"> </w:t>
      </w:r>
      <w:r w:rsidRPr="00861D1A">
        <w:rPr>
          <w:lang w:eastAsia="en-AU"/>
        </w:rPr>
        <w:t xml:space="preserve">legislation in full, with adaptations in limited areas, for example to reflect concepts in </w:t>
      </w:r>
      <w:r w:rsidR="00F320EE">
        <w:rPr>
          <w:lang w:eastAsia="en-AU"/>
        </w:rPr>
        <w:t>New Zealand</w:t>
      </w:r>
      <w:r w:rsidR="00F320EE" w:rsidRPr="00861D1A">
        <w:rPr>
          <w:lang w:eastAsia="en-AU"/>
        </w:rPr>
        <w:t xml:space="preserve"> </w:t>
      </w:r>
      <w:r w:rsidRPr="00861D1A">
        <w:rPr>
          <w:lang w:eastAsia="en-AU"/>
        </w:rPr>
        <w:t>law</w:t>
      </w:r>
      <w:r w:rsidR="008D2B85">
        <w:rPr>
          <w:lang w:eastAsia="en-AU"/>
        </w:rPr>
        <w:t xml:space="preserve">. </w:t>
      </w:r>
      <w:r w:rsidR="00E11408">
        <w:rPr>
          <w:lang w:eastAsia="en-AU"/>
        </w:rPr>
        <w:t>This was generally the approach taken to the anti-hybrid rules in subpart FH of the Act, though reference was made to the OECD’s Hybrids Report in a number of places</w:t>
      </w:r>
      <w:r w:rsidR="00C1287E">
        <w:rPr>
          <w:lang w:eastAsia="en-AU"/>
        </w:rPr>
        <w:t>.</w:t>
      </w:r>
    </w:p>
    <w:p w14:paraId="2DDF9448" w14:textId="7E1CF77E" w:rsidR="00861D1A" w:rsidRPr="00861D1A" w:rsidRDefault="00822948" w:rsidP="00F96271">
      <w:pPr>
        <w:pStyle w:val="NumberedParagraph-BulletL1"/>
        <w:rPr>
          <w:lang w:eastAsia="en-AU"/>
        </w:rPr>
      </w:pPr>
      <w:r>
        <w:rPr>
          <w:lang w:eastAsia="en-AU"/>
        </w:rPr>
        <w:t>I</w:t>
      </w:r>
      <w:r w:rsidR="00861D1A" w:rsidRPr="00861D1A">
        <w:rPr>
          <w:lang w:eastAsia="en-AU"/>
        </w:rPr>
        <w:t>ncorporation</w:t>
      </w:r>
      <w:r>
        <w:rPr>
          <w:lang w:eastAsia="en-AU"/>
        </w:rPr>
        <w:t xml:space="preserve"> by reference</w:t>
      </w:r>
      <w:r w:rsidR="00861D1A" w:rsidRPr="00861D1A">
        <w:rPr>
          <w:lang w:eastAsia="en-AU"/>
        </w:rPr>
        <w:t xml:space="preserve">: </w:t>
      </w:r>
      <w:r w:rsidR="00F320EE">
        <w:rPr>
          <w:lang w:eastAsia="en-AU"/>
        </w:rPr>
        <w:t>New Zealand</w:t>
      </w:r>
      <w:r w:rsidR="00F320EE" w:rsidRPr="00861D1A">
        <w:rPr>
          <w:lang w:eastAsia="en-AU"/>
        </w:rPr>
        <w:t xml:space="preserve"> </w:t>
      </w:r>
      <w:r w:rsidR="00861D1A" w:rsidRPr="00861D1A">
        <w:rPr>
          <w:lang w:eastAsia="en-AU"/>
        </w:rPr>
        <w:t>legislation provides the legal scaffolding necessary to support the OECD rules but gives effect to them by reference to the rules themselves, rather than re-writing them in the legislation</w:t>
      </w:r>
      <w:r w:rsidR="008D2B85">
        <w:rPr>
          <w:lang w:eastAsia="en-AU"/>
        </w:rPr>
        <w:t xml:space="preserve">. </w:t>
      </w:r>
      <w:r w:rsidR="004B34AF">
        <w:rPr>
          <w:lang w:eastAsia="en-AU"/>
        </w:rPr>
        <w:t>Even in this case, it is likely that some amendment to particular OECD rules might be desirable</w:t>
      </w:r>
      <w:r w:rsidR="00C776B8">
        <w:rPr>
          <w:lang w:eastAsia="en-AU"/>
        </w:rPr>
        <w:t>, to ensure that they are interpreted consistently with their intention and the Commentary.</w:t>
      </w:r>
    </w:p>
    <w:p w14:paraId="71D6A0D4" w14:textId="1DC47242" w:rsidR="00861D1A" w:rsidRPr="00861D1A" w:rsidRDefault="00861D1A" w:rsidP="00F4674C">
      <w:pPr>
        <w:pStyle w:val="NumberedParagraph"/>
        <w:rPr>
          <w:lang w:eastAsia="en-AU"/>
        </w:rPr>
      </w:pPr>
      <w:r w:rsidRPr="00861D1A">
        <w:rPr>
          <w:lang w:eastAsia="en-AU"/>
        </w:rPr>
        <w:lastRenderedPageBreak/>
        <w:t xml:space="preserve">Each method has its pros and cons. Repetition </w:t>
      </w:r>
      <w:r w:rsidR="004B78D6">
        <w:rPr>
          <w:lang w:eastAsia="en-AU"/>
        </w:rPr>
        <w:t xml:space="preserve">is better at </w:t>
      </w:r>
      <w:r w:rsidRPr="00861D1A">
        <w:rPr>
          <w:lang w:eastAsia="en-AU"/>
        </w:rPr>
        <w:t>allow</w:t>
      </w:r>
      <w:r w:rsidR="004B78D6">
        <w:rPr>
          <w:lang w:eastAsia="en-AU"/>
        </w:rPr>
        <w:t>ing</w:t>
      </w:r>
      <w:r w:rsidRPr="00861D1A">
        <w:rPr>
          <w:lang w:eastAsia="en-AU"/>
        </w:rPr>
        <w:t xml:space="preserve"> legislation to be adapted to reflect New Zealand circumstances </w:t>
      </w:r>
      <w:r w:rsidR="00905778">
        <w:rPr>
          <w:lang w:eastAsia="en-AU"/>
        </w:rPr>
        <w:t>when that is appropriate</w:t>
      </w:r>
      <w:r w:rsidRPr="00861D1A">
        <w:rPr>
          <w:lang w:eastAsia="en-AU"/>
        </w:rPr>
        <w:t xml:space="preserve">. </w:t>
      </w:r>
      <w:r w:rsidR="00F320EE" w:rsidRPr="00861D1A">
        <w:rPr>
          <w:lang w:eastAsia="en-AU"/>
        </w:rPr>
        <w:t>However,</w:t>
      </w:r>
      <w:r w:rsidRPr="00861D1A">
        <w:rPr>
          <w:lang w:eastAsia="en-AU"/>
        </w:rPr>
        <w:t xml:space="preserve"> it creates a far greater administrative burden in terms of initial drafting and for updating any changes than direct incorporation. It also creates risk that some aspects of the rules may be translated inaccurately and not reflect the intent of Pillar </w:t>
      </w:r>
      <w:r w:rsidR="003F63B5">
        <w:rPr>
          <w:lang w:eastAsia="en-AU"/>
        </w:rPr>
        <w:t>Two</w:t>
      </w:r>
      <w:r w:rsidRPr="00861D1A">
        <w:rPr>
          <w:lang w:eastAsia="en-AU"/>
        </w:rPr>
        <w:t xml:space="preserve">. And the use of local translations increases the risk that administrators or courts </w:t>
      </w:r>
      <w:r w:rsidR="003D778C">
        <w:rPr>
          <w:lang w:eastAsia="en-AU"/>
        </w:rPr>
        <w:t xml:space="preserve">in different countries </w:t>
      </w:r>
      <w:r w:rsidRPr="00861D1A">
        <w:rPr>
          <w:lang w:eastAsia="en-AU"/>
        </w:rPr>
        <w:t>will come to different views on the application of the rules</w:t>
      </w:r>
      <w:r w:rsidR="00C028F0">
        <w:rPr>
          <w:lang w:eastAsia="en-AU"/>
        </w:rPr>
        <w:t xml:space="preserve">. </w:t>
      </w:r>
      <w:r w:rsidRPr="00861D1A">
        <w:rPr>
          <w:lang w:eastAsia="en-AU"/>
        </w:rPr>
        <w:t xml:space="preserve">Pillar </w:t>
      </w:r>
      <w:r w:rsidR="009C2983">
        <w:rPr>
          <w:lang w:eastAsia="en-AU"/>
        </w:rPr>
        <w:t>Two</w:t>
      </w:r>
      <w:r w:rsidRPr="00861D1A">
        <w:rPr>
          <w:lang w:eastAsia="en-AU"/>
        </w:rPr>
        <w:t xml:space="preserve"> like many OECD initiatives is likely to be subject to a peer review process whereby its implementation by countries is reviewed to ensure correct translation has taken place.</w:t>
      </w:r>
    </w:p>
    <w:p w14:paraId="291060A6" w14:textId="430D6656" w:rsidR="00861D1A" w:rsidRPr="00F4674C" w:rsidRDefault="00861D1A" w:rsidP="00F4674C">
      <w:pPr>
        <w:pStyle w:val="NumberedParagraph"/>
        <w:rPr>
          <w:lang w:eastAsia="en-AU"/>
        </w:rPr>
      </w:pPr>
      <w:r w:rsidRPr="00861D1A">
        <w:rPr>
          <w:lang w:eastAsia="en-AU"/>
        </w:rPr>
        <w:t xml:space="preserve">If New Zealand decides to incorporate the </w:t>
      </w:r>
      <w:r w:rsidR="00826649">
        <w:rPr>
          <w:lang w:eastAsia="en-AU"/>
        </w:rPr>
        <w:t>Model</w:t>
      </w:r>
      <w:r w:rsidRPr="00861D1A">
        <w:rPr>
          <w:lang w:eastAsia="en-AU"/>
        </w:rPr>
        <w:t xml:space="preserve"> </w:t>
      </w:r>
      <w:r w:rsidR="00573294">
        <w:rPr>
          <w:lang w:eastAsia="en-AU"/>
        </w:rPr>
        <w:t>R</w:t>
      </w:r>
      <w:r w:rsidRPr="00861D1A">
        <w:rPr>
          <w:lang w:eastAsia="en-AU"/>
        </w:rPr>
        <w:t>ules directly, there is also a decision on how adaptable we want our legislation to be to changes made at the OECD level</w:t>
      </w:r>
      <w:r w:rsidR="00BE5643">
        <w:rPr>
          <w:lang w:eastAsia="en-AU"/>
        </w:rPr>
        <w:t>, either explicitly or through changes to interpretation</w:t>
      </w:r>
      <w:r w:rsidRPr="00861D1A">
        <w:rPr>
          <w:lang w:eastAsia="en-AU"/>
        </w:rPr>
        <w:t>. Again, there are broadly two options:</w:t>
      </w:r>
    </w:p>
    <w:p w14:paraId="74588B4E" w14:textId="741BD618" w:rsidR="00861D1A" w:rsidRPr="00861D1A" w:rsidRDefault="00861D1A" w:rsidP="00F4674C">
      <w:pPr>
        <w:pStyle w:val="NumberedParagraph-BulletL1"/>
        <w:rPr>
          <w:lang w:eastAsia="en-AU"/>
        </w:rPr>
      </w:pPr>
      <w:r w:rsidRPr="00861D1A">
        <w:rPr>
          <w:lang w:eastAsia="en-AU"/>
        </w:rPr>
        <w:t xml:space="preserve">Fully ambulatory: any changes made to the Model Rules at the OECD will automatically be adopted into </w:t>
      </w:r>
      <w:r w:rsidR="00F320EE">
        <w:rPr>
          <w:lang w:eastAsia="en-AU"/>
        </w:rPr>
        <w:t>New Zealand</w:t>
      </w:r>
      <w:r w:rsidR="00F320EE" w:rsidRPr="00861D1A">
        <w:rPr>
          <w:lang w:eastAsia="en-AU"/>
        </w:rPr>
        <w:t xml:space="preserve"> </w:t>
      </w:r>
      <w:r w:rsidRPr="00861D1A">
        <w:rPr>
          <w:lang w:eastAsia="en-AU"/>
        </w:rPr>
        <w:t>law.</w:t>
      </w:r>
    </w:p>
    <w:p w14:paraId="0957FE94" w14:textId="44AF4F5D" w:rsidR="00861D1A" w:rsidRPr="00F4674C" w:rsidRDefault="00861D1A" w:rsidP="00F4674C">
      <w:pPr>
        <w:pStyle w:val="NumberedParagraph-BulletL1"/>
        <w:rPr>
          <w:lang w:eastAsia="en-AU"/>
        </w:rPr>
      </w:pPr>
      <w:r w:rsidRPr="00861D1A">
        <w:rPr>
          <w:lang w:eastAsia="en-AU"/>
        </w:rPr>
        <w:t xml:space="preserve">Partially ambulatory: changes made to the Model Rules at the OECD may be adopted into </w:t>
      </w:r>
      <w:r w:rsidR="00F320EE">
        <w:rPr>
          <w:lang w:eastAsia="en-AU"/>
        </w:rPr>
        <w:t>New Zealand</w:t>
      </w:r>
      <w:r w:rsidR="00F320EE" w:rsidRPr="00861D1A">
        <w:rPr>
          <w:lang w:eastAsia="en-AU"/>
        </w:rPr>
        <w:t xml:space="preserve"> </w:t>
      </w:r>
      <w:r w:rsidRPr="00861D1A">
        <w:rPr>
          <w:lang w:eastAsia="en-AU"/>
        </w:rPr>
        <w:t xml:space="preserve">law pending action by the </w:t>
      </w:r>
      <w:r w:rsidR="00F320EE">
        <w:rPr>
          <w:lang w:eastAsia="en-AU"/>
        </w:rPr>
        <w:t>New Zealand</w:t>
      </w:r>
      <w:r w:rsidR="00F320EE" w:rsidRPr="00861D1A">
        <w:rPr>
          <w:lang w:eastAsia="en-AU"/>
        </w:rPr>
        <w:t xml:space="preserve"> </w:t>
      </w:r>
      <w:r w:rsidRPr="00861D1A">
        <w:rPr>
          <w:lang w:eastAsia="en-AU"/>
        </w:rPr>
        <w:t>government</w:t>
      </w:r>
      <w:r w:rsidR="003A19E6">
        <w:rPr>
          <w:lang w:eastAsia="en-AU"/>
        </w:rPr>
        <w:t>,</w:t>
      </w:r>
      <w:r w:rsidRPr="00861D1A">
        <w:rPr>
          <w:lang w:eastAsia="en-AU"/>
        </w:rPr>
        <w:t xml:space="preserve"> </w:t>
      </w:r>
      <w:r w:rsidR="003A19E6">
        <w:rPr>
          <w:lang w:eastAsia="en-AU"/>
        </w:rPr>
        <w:t xml:space="preserve">for example, </w:t>
      </w:r>
      <w:r w:rsidRPr="00861D1A">
        <w:rPr>
          <w:lang w:eastAsia="en-AU"/>
        </w:rPr>
        <w:t>passing an Order in Council to enact the changes.</w:t>
      </w:r>
    </w:p>
    <w:p w14:paraId="0FCE1E2E" w14:textId="68FDD042" w:rsidR="00861D1A" w:rsidRPr="00861D1A" w:rsidRDefault="008145CC" w:rsidP="00F4674C">
      <w:pPr>
        <w:pStyle w:val="NumberedParagraph"/>
        <w:rPr>
          <w:lang w:eastAsia="en-AU"/>
        </w:rPr>
      </w:pPr>
      <w:r>
        <w:rPr>
          <w:lang w:eastAsia="en-AU"/>
        </w:rPr>
        <w:t>New Zealand</w:t>
      </w:r>
      <w:r w:rsidR="00861D1A" w:rsidRPr="00861D1A">
        <w:rPr>
          <w:lang w:eastAsia="en-AU"/>
        </w:rPr>
        <w:t xml:space="preserve"> has used a partially ambulatory, direct incorporation approach to enact recent OECD tax reforms like the Automatic Exchange of Information (AEOI) multilateral agreement and Transfer Pricing guidelines. This approach has been generally well received and has functioned well in retaining </w:t>
      </w:r>
      <w:r>
        <w:rPr>
          <w:lang w:eastAsia="en-AU"/>
        </w:rPr>
        <w:t>New Zealand’s</w:t>
      </w:r>
      <w:r w:rsidRPr="00861D1A">
        <w:rPr>
          <w:lang w:eastAsia="en-AU"/>
        </w:rPr>
        <w:t xml:space="preserve"> </w:t>
      </w:r>
      <w:r w:rsidR="00861D1A" w:rsidRPr="00861D1A">
        <w:rPr>
          <w:lang w:eastAsia="en-AU"/>
        </w:rPr>
        <w:t>legislative sovereignty while reducing the administrative burden of enacting and updating laws.</w:t>
      </w:r>
      <w:r w:rsidR="005B12CF">
        <w:rPr>
          <w:lang w:eastAsia="en-AU"/>
        </w:rPr>
        <w:t xml:space="preserve"> For these reasons </w:t>
      </w:r>
      <w:r w:rsidR="00982CE7">
        <w:rPr>
          <w:lang w:eastAsia="en-AU"/>
        </w:rPr>
        <w:t>it is</w:t>
      </w:r>
      <w:r w:rsidR="005B12CF">
        <w:rPr>
          <w:lang w:eastAsia="en-AU"/>
        </w:rPr>
        <w:t xml:space="preserve"> offici</w:t>
      </w:r>
      <w:r w:rsidR="009B4CE7">
        <w:rPr>
          <w:lang w:eastAsia="en-AU"/>
        </w:rPr>
        <w:t xml:space="preserve">als’ preferred approach if New Zealand were to adopt Pillar </w:t>
      </w:r>
      <w:r w:rsidR="006A729C">
        <w:rPr>
          <w:lang w:eastAsia="en-AU"/>
        </w:rPr>
        <w:t>Two</w:t>
      </w:r>
      <w:r w:rsidR="008D2B85">
        <w:rPr>
          <w:lang w:eastAsia="en-AU"/>
        </w:rPr>
        <w:t>.</w:t>
      </w:r>
    </w:p>
    <w:p w14:paraId="4FA415C8" w14:textId="77777777" w:rsidR="00861D1A" w:rsidRPr="00861D1A" w:rsidRDefault="00861D1A" w:rsidP="00F4674C">
      <w:pPr>
        <w:pStyle w:val="Heading2"/>
        <w:rPr>
          <w:lang w:eastAsia="en-AU"/>
        </w:rPr>
      </w:pPr>
      <w:bookmarkStart w:id="86" w:name="_Toc101095616"/>
      <w:r w:rsidRPr="00861D1A">
        <w:rPr>
          <w:lang w:eastAsia="en-AU"/>
        </w:rPr>
        <w:t>Updating mechanism</w:t>
      </w:r>
      <w:bookmarkEnd w:id="86"/>
    </w:p>
    <w:p w14:paraId="2E267EAB" w14:textId="4CFF2BF9" w:rsidR="00861D1A" w:rsidRPr="00861D1A" w:rsidRDefault="00861D1A" w:rsidP="00F4674C">
      <w:pPr>
        <w:pStyle w:val="NumberedParagraph"/>
        <w:rPr>
          <w:lang w:eastAsia="en-AU"/>
        </w:rPr>
      </w:pPr>
      <w:r w:rsidRPr="00861D1A">
        <w:rPr>
          <w:lang w:eastAsia="en-AU"/>
        </w:rPr>
        <w:t xml:space="preserve">If </w:t>
      </w:r>
      <w:r w:rsidR="008145CC">
        <w:rPr>
          <w:lang w:eastAsia="en-AU"/>
        </w:rPr>
        <w:t>New Zealand</w:t>
      </w:r>
      <w:r w:rsidRPr="00861D1A">
        <w:rPr>
          <w:lang w:eastAsia="en-AU"/>
        </w:rPr>
        <w:t xml:space="preserve"> chooses to adopt a partially ambulatory approach, there is also a decision to be made on mechanically how any OECD changes could come into force in </w:t>
      </w:r>
      <w:r w:rsidR="008145CC">
        <w:rPr>
          <w:lang w:eastAsia="en-AU"/>
        </w:rPr>
        <w:t>New Zealand</w:t>
      </w:r>
      <w:r w:rsidRPr="00861D1A">
        <w:rPr>
          <w:lang w:eastAsia="en-AU"/>
        </w:rPr>
        <w:t>.</w:t>
      </w:r>
    </w:p>
    <w:p w14:paraId="553E6A9C" w14:textId="5B2F3412" w:rsidR="00861D1A" w:rsidRPr="00861D1A" w:rsidRDefault="00861D1A" w:rsidP="00F4674C">
      <w:pPr>
        <w:pStyle w:val="NumberedParagraph"/>
        <w:rPr>
          <w:lang w:eastAsia="en-AU"/>
        </w:rPr>
      </w:pPr>
      <w:r w:rsidRPr="00861D1A">
        <w:rPr>
          <w:lang w:eastAsia="en-AU"/>
        </w:rPr>
        <w:t xml:space="preserve">AEOI and the Transfer Pricing guidelines use different approaches. For AEOI, changes flow through to </w:t>
      </w:r>
      <w:r w:rsidR="008145CC">
        <w:rPr>
          <w:lang w:eastAsia="en-AU"/>
        </w:rPr>
        <w:t>New Zealand</w:t>
      </w:r>
      <w:r w:rsidR="008145CC" w:rsidRPr="00861D1A">
        <w:rPr>
          <w:lang w:eastAsia="en-AU"/>
        </w:rPr>
        <w:t xml:space="preserve"> </w:t>
      </w:r>
      <w:r w:rsidRPr="00861D1A">
        <w:rPr>
          <w:lang w:eastAsia="en-AU"/>
        </w:rPr>
        <w:t xml:space="preserve">law automatically, but this can be prevented by the passing of an Order in Council. New Zealand's Transfer Pricing legislation on the other hand refers to a specific version of the OECD Transfer Pricing guidelines, and so requires legislation to be passed to incorporate any updates to the guidelines into </w:t>
      </w:r>
      <w:r w:rsidR="008145CC">
        <w:rPr>
          <w:lang w:eastAsia="en-AU"/>
        </w:rPr>
        <w:t>New Zealand</w:t>
      </w:r>
      <w:r w:rsidR="008145CC" w:rsidRPr="00861D1A">
        <w:rPr>
          <w:lang w:eastAsia="en-AU"/>
        </w:rPr>
        <w:t xml:space="preserve"> </w:t>
      </w:r>
      <w:r w:rsidRPr="00861D1A">
        <w:rPr>
          <w:lang w:eastAsia="en-AU"/>
        </w:rPr>
        <w:t>law.</w:t>
      </w:r>
    </w:p>
    <w:p w14:paraId="727324E0" w14:textId="36254C48" w:rsidR="00861D1A" w:rsidRPr="00861D1A" w:rsidRDefault="00861D1A" w:rsidP="00180725">
      <w:pPr>
        <w:pStyle w:val="NumberedParagraph"/>
        <w:rPr>
          <w:lang w:eastAsia="en-AU"/>
        </w:rPr>
      </w:pPr>
      <w:r w:rsidRPr="00861D1A">
        <w:rPr>
          <w:lang w:eastAsia="en-AU"/>
        </w:rPr>
        <w:t xml:space="preserve">There are pros and cons to each of these approaches. A ‘negative-update’ approach as for AEOI keeps </w:t>
      </w:r>
      <w:r w:rsidR="008145CC">
        <w:rPr>
          <w:lang w:eastAsia="en-AU"/>
        </w:rPr>
        <w:t>New Zealand</w:t>
      </w:r>
      <w:r w:rsidR="008145CC" w:rsidRPr="00861D1A">
        <w:rPr>
          <w:lang w:eastAsia="en-AU"/>
        </w:rPr>
        <w:t xml:space="preserve"> </w:t>
      </w:r>
      <w:r w:rsidRPr="00861D1A">
        <w:rPr>
          <w:lang w:eastAsia="en-AU"/>
        </w:rPr>
        <w:t xml:space="preserve">law aligned as closely as possible with international norms and best practice and reduces administrative burden if changes are usually likely to be ones </w:t>
      </w:r>
      <w:r w:rsidR="008145CC">
        <w:rPr>
          <w:lang w:eastAsia="en-AU"/>
        </w:rPr>
        <w:t>New Zealand</w:t>
      </w:r>
      <w:r w:rsidR="008145CC" w:rsidRPr="00861D1A">
        <w:rPr>
          <w:lang w:eastAsia="en-AU"/>
        </w:rPr>
        <w:t xml:space="preserve"> </w:t>
      </w:r>
      <w:r w:rsidRPr="00861D1A">
        <w:rPr>
          <w:lang w:eastAsia="en-AU"/>
        </w:rPr>
        <w:t xml:space="preserve">agrees with. However, this administrative burden is flipped if changes are more likely to be ones </w:t>
      </w:r>
      <w:r w:rsidR="008145CC">
        <w:rPr>
          <w:lang w:eastAsia="en-AU"/>
        </w:rPr>
        <w:t>New Zealand</w:t>
      </w:r>
      <w:r w:rsidR="008145CC" w:rsidRPr="00861D1A">
        <w:rPr>
          <w:lang w:eastAsia="en-AU"/>
        </w:rPr>
        <w:t xml:space="preserve"> </w:t>
      </w:r>
      <w:r w:rsidRPr="00861D1A">
        <w:rPr>
          <w:lang w:eastAsia="en-AU"/>
        </w:rPr>
        <w:t xml:space="preserve">does not agree with. A ‘positive-update’ approach grants greater legislative sovereignty to </w:t>
      </w:r>
      <w:r w:rsidR="008145CC">
        <w:rPr>
          <w:lang w:eastAsia="en-AU"/>
        </w:rPr>
        <w:t>New Zealand</w:t>
      </w:r>
      <w:r w:rsidR="008145CC" w:rsidRPr="00861D1A">
        <w:rPr>
          <w:lang w:eastAsia="en-AU"/>
        </w:rPr>
        <w:t xml:space="preserve"> </w:t>
      </w:r>
      <w:r w:rsidRPr="00861D1A">
        <w:rPr>
          <w:lang w:eastAsia="en-AU"/>
        </w:rPr>
        <w:t>and allows interested parties the ability to submit on any potential changes that may be made in future to Pillar Two through the New Zealand legislative process.</w:t>
      </w:r>
    </w:p>
    <w:p w14:paraId="1EFC2B9A" w14:textId="6C2B511C" w:rsidR="00861D1A" w:rsidRPr="00861D1A" w:rsidRDefault="00861D1A" w:rsidP="00AC6D8D">
      <w:pPr>
        <w:pStyle w:val="NumberedParagraph"/>
        <w:rPr>
          <w:lang w:eastAsia="en-AU"/>
        </w:rPr>
      </w:pPr>
      <w:r w:rsidRPr="00861D1A">
        <w:rPr>
          <w:lang w:eastAsia="en-AU"/>
        </w:rPr>
        <w:t>In the interest of maintain</w:t>
      </w:r>
      <w:r w:rsidR="006535AF">
        <w:rPr>
          <w:lang w:eastAsia="en-AU"/>
        </w:rPr>
        <w:t>ing</w:t>
      </w:r>
      <w:r w:rsidRPr="00861D1A">
        <w:rPr>
          <w:lang w:eastAsia="en-AU"/>
        </w:rPr>
        <w:t xml:space="preserve"> international best practice and based on the experience of the AEOI regime, officials’ view is that a ‘negative-update’ approach </w:t>
      </w:r>
      <w:r w:rsidR="00342291">
        <w:rPr>
          <w:lang w:eastAsia="en-AU"/>
        </w:rPr>
        <w:t>may be</w:t>
      </w:r>
      <w:r w:rsidRPr="00861D1A">
        <w:rPr>
          <w:lang w:eastAsia="en-AU"/>
        </w:rPr>
        <w:t xml:space="preserve"> the best option for </w:t>
      </w:r>
      <w:r w:rsidR="008145CC">
        <w:rPr>
          <w:lang w:eastAsia="en-AU"/>
        </w:rPr>
        <w:t>New Zealand</w:t>
      </w:r>
      <w:r w:rsidR="008145CC" w:rsidRPr="00861D1A">
        <w:rPr>
          <w:lang w:eastAsia="en-AU"/>
        </w:rPr>
        <w:t xml:space="preserve"> </w:t>
      </w:r>
      <w:r w:rsidRPr="00861D1A">
        <w:rPr>
          <w:lang w:eastAsia="en-AU"/>
        </w:rPr>
        <w:t>to adopt</w:t>
      </w:r>
      <w:r w:rsidR="008D2B85">
        <w:rPr>
          <w:lang w:eastAsia="en-AU"/>
        </w:rPr>
        <w:t xml:space="preserve">. </w:t>
      </w:r>
      <w:r w:rsidR="00844AE6">
        <w:rPr>
          <w:lang w:eastAsia="en-AU"/>
        </w:rPr>
        <w:t xml:space="preserve">This would mean that any changes to Model Rules were automatically incorporated into New </w:t>
      </w:r>
      <w:r w:rsidR="00844AE6">
        <w:rPr>
          <w:lang w:eastAsia="en-AU"/>
        </w:rPr>
        <w:lastRenderedPageBreak/>
        <w:t>Zealand law unless action to prevent that is taken</w:t>
      </w:r>
      <w:r w:rsidR="008D2B85">
        <w:rPr>
          <w:lang w:eastAsia="en-AU"/>
        </w:rPr>
        <w:t xml:space="preserve">. </w:t>
      </w:r>
      <w:r w:rsidR="00844AE6">
        <w:rPr>
          <w:lang w:eastAsia="en-AU"/>
        </w:rPr>
        <w:t>This would not preclude other</w:t>
      </w:r>
      <w:r w:rsidR="0060289B">
        <w:rPr>
          <w:lang w:eastAsia="en-AU"/>
        </w:rPr>
        <w:t xml:space="preserve"> (positive) </w:t>
      </w:r>
      <w:r w:rsidR="00844AE6">
        <w:rPr>
          <w:lang w:eastAsia="en-AU"/>
        </w:rPr>
        <w:t>amendments being made to</w:t>
      </w:r>
      <w:r w:rsidR="00380831">
        <w:rPr>
          <w:lang w:eastAsia="en-AU"/>
        </w:rPr>
        <w:t xml:space="preserve"> the application of the rules in</w:t>
      </w:r>
      <w:r w:rsidR="00844AE6">
        <w:rPr>
          <w:lang w:eastAsia="en-AU"/>
        </w:rPr>
        <w:t xml:space="preserve"> </w:t>
      </w:r>
      <w:r w:rsidR="002F0395">
        <w:rPr>
          <w:lang w:eastAsia="en-AU"/>
        </w:rPr>
        <w:t>New Zealand</w:t>
      </w:r>
      <w:r w:rsidR="00FB1026">
        <w:rPr>
          <w:lang w:eastAsia="en-AU"/>
        </w:rPr>
        <w:t>,</w:t>
      </w:r>
      <w:r w:rsidR="002F0395">
        <w:rPr>
          <w:lang w:eastAsia="en-AU"/>
        </w:rPr>
        <w:t xml:space="preserve"> where that was necessary to </w:t>
      </w:r>
      <w:r w:rsidR="0060289B">
        <w:rPr>
          <w:lang w:eastAsia="en-AU"/>
        </w:rPr>
        <w:t>improve international consistency of the rules</w:t>
      </w:r>
      <w:r w:rsidR="008D2B85">
        <w:rPr>
          <w:lang w:eastAsia="en-AU"/>
        </w:rPr>
        <w:t xml:space="preserve">. </w:t>
      </w:r>
      <w:r w:rsidR="004066A4">
        <w:rPr>
          <w:lang w:eastAsia="en-AU"/>
        </w:rPr>
        <w:t xml:space="preserve">For example, </w:t>
      </w:r>
      <w:r w:rsidR="007A76C6">
        <w:rPr>
          <w:lang w:eastAsia="en-AU"/>
        </w:rPr>
        <w:t>it may be that</w:t>
      </w:r>
      <w:r w:rsidR="00A409B1">
        <w:rPr>
          <w:lang w:eastAsia="en-AU"/>
        </w:rPr>
        <w:t xml:space="preserve"> where there are gaps </w:t>
      </w:r>
      <w:r w:rsidR="00A218AF">
        <w:rPr>
          <w:lang w:eastAsia="en-AU"/>
        </w:rPr>
        <w:t xml:space="preserve">in the Model Rules, or </w:t>
      </w:r>
      <w:r w:rsidR="00910A08">
        <w:rPr>
          <w:lang w:eastAsia="en-AU"/>
        </w:rPr>
        <w:t xml:space="preserve">further </w:t>
      </w:r>
      <w:r w:rsidR="005B5C66">
        <w:rPr>
          <w:lang w:eastAsia="en-AU"/>
        </w:rPr>
        <w:t xml:space="preserve">developments make aspects of those rules seem undesirable, it may be that </w:t>
      </w:r>
      <w:r w:rsidR="005A30B3">
        <w:rPr>
          <w:lang w:eastAsia="en-AU"/>
        </w:rPr>
        <w:t xml:space="preserve">at an Inclusive </w:t>
      </w:r>
      <w:r w:rsidR="008145CC">
        <w:rPr>
          <w:lang w:eastAsia="en-AU"/>
        </w:rPr>
        <w:t>Framework</w:t>
      </w:r>
      <w:r w:rsidR="005A30B3">
        <w:rPr>
          <w:lang w:eastAsia="en-AU"/>
        </w:rPr>
        <w:t xml:space="preserve"> level, </w:t>
      </w:r>
      <w:r w:rsidR="005B5C66">
        <w:rPr>
          <w:lang w:eastAsia="en-AU"/>
        </w:rPr>
        <w:t xml:space="preserve">the matter is </w:t>
      </w:r>
      <w:r w:rsidR="005A30B3">
        <w:rPr>
          <w:lang w:eastAsia="en-AU"/>
        </w:rPr>
        <w:t>easier to resolve</w:t>
      </w:r>
      <w:r w:rsidR="005B5C66">
        <w:rPr>
          <w:lang w:eastAsia="en-AU"/>
        </w:rPr>
        <w:t xml:space="preserve"> through changes to the Commentary rather than the Model Rules themselves</w:t>
      </w:r>
      <w:r w:rsidR="008D2B85">
        <w:rPr>
          <w:lang w:eastAsia="en-AU"/>
        </w:rPr>
        <w:t xml:space="preserve">. </w:t>
      </w:r>
      <w:r w:rsidR="005B5C66">
        <w:rPr>
          <w:lang w:eastAsia="en-AU"/>
        </w:rPr>
        <w:t>Changes of this sort could be expressly incorporated into New Zealand law</w:t>
      </w:r>
      <w:r w:rsidR="008D2B85">
        <w:rPr>
          <w:lang w:eastAsia="en-AU"/>
        </w:rPr>
        <w:t>.</w:t>
      </w:r>
    </w:p>
    <w:p w14:paraId="5BE46916" w14:textId="38F49636" w:rsidR="00861D1A" w:rsidRPr="00861D1A" w:rsidRDefault="00861D1A" w:rsidP="00AC6D8D">
      <w:pPr>
        <w:pStyle w:val="Heading2"/>
        <w:rPr>
          <w:lang w:eastAsia="en-AU"/>
        </w:rPr>
      </w:pPr>
      <w:bookmarkStart w:id="87" w:name="_Toc101095617"/>
      <w:r w:rsidRPr="00861D1A">
        <w:rPr>
          <w:lang w:eastAsia="en-AU"/>
        </w:rPr>
        <w:t>Whether to exist in the Income Tax Act (ITA)</w:t>
      </w:r>
      <w:bookmarkEnd w:id="87"/>
    </w:p>
    <w:p w14:paraId="7546B4D5" w14:textId="29626A85" w:rsidR="00861D1A" w:rsidRDefault="0091102F" w:rsidP="00AC6D8D">
      <w:pPr>
        <w:pStyle w:val="NumberedParagraph"/>
        <w:rPr>
          <w:lang w:eastAsia="en-AU"/>
        </w:rPr>
      </w:pPr>
      <w:r>
        <w:rPr>
          <w:lang w:eastAsia="en-AU"/>
        </w:rPr>
        <w:t xml:space="preserve">The GloBE </w:t>
      </w:r>
      <w:r w:rsidR="00674DAF">
        <w:rPr>
          <w:lang w:eastAsia="en-AU"/>
        </w:rPr>
        <w:t>r</w:t>
      </w:r>
      <w:r>
        <w:rPr>
          <w:lang w:eastAsia="en-AU"/>
        </w:rPr>
        <w:t xml:space="preserve">ules </w:t>
      </w:r>
      <w:r w:rsidR="00861D1A" w:rsidRPr="00861D1A">
        <w:rPr>
          <w:lang w:eastAsia="en-AU"/>
        </w:rPr>
        <w:t xml:space="preserve">tax income, but </w:t>
      </w:r>
      <w:r>
        <w:rPr>
          <w:lang w:eastAsia="en-AU"/>
        </w:rPr>
        <w:t>they</w:t>
      </w:r>
      <w:r w:rsidR="00861D1A" w:rsidRPr="00861D1A">
        <w:rPr>
          <w:lang w:eastAsia="en-AU"/>
        </w:rPr>
        <w:t xml:space="preserve"> do so in a very different way from New Zealand’s existing income tax</w:t>
      </w:r>
      <w:r w:rsidR="00C028F0">
        <w:rPr>
          <w:lang w:eastAsia="en-AU"/>
        </w:rPr>
        <w:t xml:space="preserve">. </w:t>
      </w:r>
      <w:r w:rsidR="00861D1A" w:rsidRPr="00861D1A">
        <w:rPr>
          <w:lang w:eastAsia="en-AU"/>
        </w:rPr>
        <w:t>Other taxes which also are income tax related but differ in some way (</w:t>
      </w:r>
      <w:r w:rsidR="003A19E6">
        <w:rPr>
          <w:lang w:eastAsia="en-AU"/>
        </w:rPr>
        <w:t xml:space="preserve">for example, </w:t>
      </w:r>
      <w:r w:rsidR="00861D1A" w:rsidRPr="00861D1A">
        <w:rPr>
          <w:lang w:eastAsia="en-AU"/>
        </w:rPr>
        <w:t>Fringe Benefit Tax, Employer Superannuation Contribution Tax) are imposed by provisions in the Income Tax Act 2007 but their different status is recognised by their being listed in subpart BF of the Income Tax Act. Officials propose a similar approach is taken for the IIR and UTPR under Pillar Two</w:t>
      </w:r>
      <w:r w:rsidR="00C028F0">
        <w:rPr>
          <w:lang w:eastAsia="en-AU"/>
        </w:rPr>
        <w:t xml:space="preserve">. </w:t>
      </w:r>
      <w:r w:rsidR="00861D1A" w:rsidRPr="00861D1A">
        <w:rPr>
          <w:lang w:eastAsia="en-AU"/>
        </w:rPr>
        <w:t xml:space="preserve">They would be included in the Income Tax </w:t>
      </w:r>
      <w:proofErr w:type="gramStart"/>
      <w:r w:rsidR="00861D1A" w:rsidRPr="00861D1A">
        <w:rPr>
          <w:lang w:eastAsia="en-AU"/>
        </w:rPr>
        <w:t>Act, but</w:t>
      </w:r>
      <w:proofErr w:type="gramEnd"/>
      <w:r w:rsidR="00861D1A" w:rsidRPr="00861D1A">
        <w:rPr>
          <w:lang w:eastAsia="en-AU"/>
        </w:rPr>
        <w:t xml:space="preserve"> would be imposed under separate provisions from income tax.</w:t>
      </w:r>
    </w:p>
    <w:tbl>
      <w:tblPr>
        <w:tblStyle w:val="QuestionBox"/>
        <w:tblW w:w="8779" w:type="dxa"/>
        <w:tblLook w:val="04A0" w:firstRow="1" w:lastRow="0" w:firstColumn="1" w:lastColumn="0" w:noHBand="0" w:noVBand="1"/>
      </w:tblPr>
      <w:tblGrid>
        <w:gridCol w:w="8779"/>
      </w:tblGrid>
      <w:tr w:rsidR="007C3BBB" w14:paraId="1211A149" w14:textId="77777777" w:rsidTr="001373D9">
        <w:tc>
          <w:tcPr>
            <w:tcW w:w="8779" w:type="dxa"/>
          </w:tcPr>
          <w:p w14:paraId="45CDA17A" w14:textId="78BA05D0" w:rsidR="00046131" w:rsidRDefault="00046131" w:rsidP="00046131">
            <w:pPr>
              <w:rPr>
                <w:b/>
                <w:bCs/>
              </w:rPr>
            </w:pPr>
            <w:r w:rsidRPr="0097039F">
              <w:rPr>
                <w:b/>
                <w:bCs/>
              </w:rPr>
              <w:t>Questions for submitters</w:t>
            </w:r>
          </w:p>
          <w:p w14:paraId="533748A0" w14:textId="2AF19437" w:rsidR="00046131" w:rsidRPr="00F22B9F" w:rsidRDefault="00046131" w:rsidP="00115626">
            <w:r w:rsidRPr="00F22B9F">
              <w:t xml:space="preserve">If </w:t>
            </w:r>
            <w:r w:rsidR="00D75620">
              <w:t>New Zealand</w:t>
            </w:r>
            <w:r w:rsidR="00D75620" w:rsidRPr="00F22B9F">
              <w:t xml:space="preserve"> </w:t>
            </w:r>
            <w:r w:rsidRPr="00F22B9F">
              <w:t>were to adopt the Pillar Two Model Rules:</w:t>
            </w:r>
          </w:p>
          <w:p w14:paraId="4CFB49D5" w14:textId="10F47BAE" w:rsidR="00046131" w:rsidRPr="00F22B9F" w:rsidRDefault="00046131" w:rsidP="00046131">
            <w:pPr>
              <w:pStyle w:val="ListBullet"/>
            </w:pPr>
            <w:r w:rsidRPr="00F22B9F">
              <w:t xml:space="preserve">Should </w:t>
            </w:r>
            <w:r w:rsidR="00D75620">
              <w:t>New Zealand</w:t>
            </w:r>
            <w:r w:rsidR="00D75620" w:rsidRPr="00F22B9F">
              <w:t xml:space="preserve"> </w:t>
            </w:r>
            <w:r w:rsidRPr="00F22B9F">
              <w:t>use repetition, incorporation</w:t>
            </w:r>
            <w:r w:rsidR="006F3A3F">
              <w:t xml:space="preserve"> by reference</w:t>
            </w:r>
            <w:r w:rsidRPr="00F22B9F">
              <w:t>, or some other method to implement Pillar Two into our domestic legislation?</w:t>
            </w:r>
          </w:p>
          <w:p w14:paraId="0FA7F6E9" w14:textId="47F73206" w:rsidR="00046131" w:rsidRPr="00F22B9F" w:rsidRDefault="00046131" w:rsidP="00046131">
            <w:pPr>
              <w:pStyle w:val="ListBullet"/>
            </w:pPr>
            <w:r w:rsidRPr="00F22B9F">
              <w:t xml:space="preserve">If incorporation </w:t>
            </w:r>
            <w:r w:rsidR="006F3A3F">
              <w:t>by reference</w:t>
            </w:r>
            <w:r w:rsidRPr="00F22B9F">
              <w:t xml:space="preserve"> </w:t>
            </w:r>
            <w:r w:rsidR="006F3A3F">
              <w:t>is</w:t>
            </w:r>
            <w:r w:rsidRPr="00F22B9F">
              <w:t xml:space="preserve"> used, is a fully or partially ambulatory approach the best approach?</w:t>
            </w:r>
          </w:p>
          <w:p w14:paraId="3AF865F1" w14:textId="77777777" w:rsidR="007C3BBB" w:rsidRDefault="00046131" w:rsidP="00046131">
            <w:pPr>
              <w:pStyle w:val="ListBullet"/>
            </w:pPr>
            <w:r w:rsidRPr="00F22B9F">
              <w:t xml:space="preserve">If a partially ambulatory approach </w:t>
            </w:r>
            <w:r w:rsidR="00C9757F">
              <w:t xml:space="preserve">is </w:t>
            </w:r>
            <w:r w:rsidRPr="00F22B9F">
              <w:t>used, what type of updating mechanism should be used?</w:t>
            </w:r>
          </w:p>
          <w:p w14:paraId="69663BD1" w14:textId="10E628C1" w:rsidR="00375A7A" w:rsidRPr="006E02CE" w:rsidRDefault="00375A7A" w:rsidP="00046131">
            <w:pPr>
              <w:pStyle w:val="ListBullet"/>
            </w:pPr>
            <w:r>
              <w:t>Is there a reason for not imposing them using the Income Tax Act 2007?</w:t>
            </w:r>
          </w:p>
        </w:tc>
      </w:tr>
    </w:tbl>
    <w:p w14:paraId="2A9958F7" w14:textId="7332D2F5" w:rsidR="00861D1A" w:rsidRPr="00861D1A" w:rsidRDefault="00A812B7" w:rsidP="004F5AAE">
      <w:pPr>
        <w:pStyle w:val="Heading1"/>
        <w:rPr>
          <w:caps/>
          <w:lang w:eastAsia="en-AU"/>
        </w:rPr>
      </w:pPr>
      <w:r>
        <w:rPr>
          <w:lang w:eastAsia="en-AU"/>
        </w:rPr>
        <w:lastRenderedPageBreak/>
        <w:br/>
      </w:r>
      <w:r>
        <w:rPr>
          <w:lang w:eastAsia="en-AU"/>
        </w:rPr>
        <w:br/>
      </w:r>
      <w:bookmarkStart w:id="88" w:name="_Toc101095618"/>
      <w:r w:rsidR="00861D1A" w:rsidRPr="00861D1A">
        <w:rPr>
          <w:lang w:eastAsia="en-AU"/>
        </w:rPr>
        <w:t>Undertaxed Profits Rule implementation in New Zealand</w:t>
      </w:r>
      <w:bookmarkEnd w:id="88"/>
    </w:p>
    <w:p w14:paraId="1603149E" w14:textId="7FD40938" w:rsidR="00861D1A" w:rsidRPr="00861D1A" w:rsidRDefault="00861D1A" w:rsidP="00A812B7">
      <w:pPr>
        <w:pStyle w:val="Heading2"/>
        <w:rPr>
          <w:lang w:eastAsia="en-AU"/>
        </w:rPr>
      </w:pPr>
      <w:bookmarkStart w:id="89" w:name="_Toc101095619"/>
      <w:r w:rsidRPr="00861D1A">
        <w:rPr>
          <w:lang w:eastAsia="en-AU"/>
        </w:rPr>
        <w:t>Overview</w:t>
      </w:r>
      <w:bookmarkEnd w:id="89"/>
    </w:p>
    <w:p w14:paraId="575B3C7A" w14:textId="49021252" w:rsidR="00861D1A" w:rsidRPr="00861D1A" w:rsidRDefault="00861D1A" w:rsidP="00765FDA">
      <w:pPr>
        <w:pStyle w:val="NumberedParagraph"/>
        <w:rPr>
          <w:lang w:eastAsia="en-AU"/>
        </w:rPr>
      </w:pPr>
      <w:r w:rsidRPr="00861D1A">
        <w:rPr>
          <w:lang w:eastAsia="en-AU"/>
        </w:rPr>
        <w:t>As explained in Chapter 6, the UTPR primarily functions as a backstop to the IIR and aims to ensure that top-up tax for an LTCE is paid even if its parent entities are located in jurisdictions without a qualified IIR.</w:t>
      </w:r>
    </w:p>
    <w:p w14:paraId="4D3C4B75" w14:textId="513DEEF8" w:rsidR="00861D1A" w:rsidRPr="00861D1A" w:rsidRDefault="00861D1A" w:rsidP="00765FDA">
      <w:pPr>
        <w:pStyle w:val="NumberedParagraph"/>
        <w:rPr>
          <w:lang w:eastAsia="en-AU"/>
        </w:rPr>
      </w:pPr>
      <w:r w:rsidRPr="00861D1A">
        <w:rPr>
          <w:lang w:eastAsia="en-AU"/>
        </w:rPr>
        <w:t>The UTPR also ensur</w:t>
      </w:r>
      <w:r w:rsidR="00DE0B52">
        <w:rPr>
          <w:lang w:eastAsia="en-AU"/>
        </w:rPr>
        <w:t>es</w:t>
      </w:r>
      <w:r w:rsidRPr="00861D1A">
        <w:rPr>
          <w:lang w:eastAsia="en-AU"/>
        </w:rPr>
        <w:t xml:space="preserve"> that any LTCEs in the UPE’s jurisdiction are subject to top-up taxation, to prevent distortions and level playing field concerns that could arise if those entities were outside the GloBE rules.</w:t>
      </w:r>
    </w:p>
    <w:p w14:paraId="6FABC1CA" w14:textId="04077962" w:rsidR="00861D1A" w:rsidRPr="00861D1A" w:rsidRDefault="00861D1A" w:rsidP="00667FE7">
      <w:pPr>
        <w:pStyle w:val="NumberedParagraph"/>
        <w:rPr>
          <w:lang w:eastAsia="en-AU"/>
        </w:rPr>
      </w:pPr>
      <w:r w:rsidRPr="00861D1A">
        <w:rPr>
          <w:lang w:eastAsia="en-AU"/>
        </w:rPr>
        <w:t>This chapter discusses</w:t>
      </w:r>
      <w:r w:rsidR="00667FE7">
        <w:rPr>
          <w:lang w:eastAsia="en-AU"/>
        </w:rPr>
        <w:t xml:space="preserve"> </w:t>
      </w:r>
      <w:r w:rsidRPr="00861D1A">
        <w:rPr>
          <w:lang w:eastAsia="en-AU"/>
        </w:rPr>
        <w:t>how top-up tax allocated to New Zealand under the UTPR should be brought to</w:t>
      </w:r>
      <w:r w:rsidRPr="00861D1A" w:rsidDel="00223322">
        <w:rPr>
          <w:lang w:eastAsia="en-AU"/>
        </w:rPr>
        <w:t xml:space="preserve"> </w:t>
      </w:r>
      <w:r w:rsidRPr="00861D1A">
        <w:rPr>
          <w:lang w:eastAsia="en-AU"/>
        </w:rPr>
        <w:t>charge.</w:t>
      </w:r>
    </w:p>
    <w:p w14:paraId="1C192A4C" w14:textId="77777777" w:rsidR="00861D1A" w:rsidRPr="00861D1A" w:rsidRDefault="00861D1A" w:rsidP="00A812B7">
      <w:pPr>
        <w:pStyle w:val="Heading2"/>
        <w:rPr>
          <w:rFonts w:ascii="Times New Roman" w:hAnsi="Times New Roman"/>
          <w:szCs w:val="20"/>
          <w:lang w:eastAsia="en-AU"/>
        </w:rPr>
      </w:pPr>
      <w:bookmarkStart w:id="90" w:name="_Toc101095620"/>
      <w:r w:rsidRPr="00861D1A">
        <w:rPr>
          <w:lang w:eastAsia="en-AU"/>
        </w:rPr>
        <w:t>How top-up tax allocated to New Zealand under the UTPR should be brought to charge</w:t>
      </w:r>
      <w:bookmarkEnd w:id="90"/>
    </w:p>
    <w:p w14:paraId="031D8EB7" w14:textId="45B8253F" w:rsidR="00861D1A" w:rsidRPr="00861D1A" w:rsidRDefault="00861D1A" w:rsidP="000E0BE1">
      <w:pPr>
        <w:pStyle w:val="NumberedParagraph"/>
        <w:rPr>
          <w:lang w:val="en-GB" w:eastAsia="en-AU"/>
        </w:rPr>
      </w:pPr>
      <w:r w:rsidRPr="00861D1A">
        <w:rPr>
          <w:lang w:val="en-GB" w:eastAsia="en-AU"/>
        </w:rPr>
        <w:t xml:space="preserve">The Model Rules do not prescribe how tax allocated to a jurisdiction by the UTPR </w:t>
      </w:r>
      <w:r w:rsidRPr="00861D1A">
        <w:rPr>
          <w:lang w:eastAsia="en-AU"/>
        </w:rPr>
        <w:t>should</w:t>
      </w:r>
      <w:r w:rsidRPr="00861D1A">
        <w:rPr>
          <w:lang w:val="en-GB" w:eastAsia="en-AU"/>
        </w:rPr>
        <w:t xml:space="preserve"> be brought to charge. This is left to individual jurisdictions</w:t>
      </w:r>
      <w:r w:rsidR="00582F68">
        <w:rPr>
          <w:lang w:val="en-GB" w:eastAsia="en-AU"/>
        </w:rPr>
        <w:t>.</w:t>
      </w:r>
      <w:r w:rsidR="00BA2FF8">
        <w:rPr>
          <w:lang w:val="en-GB" w:eastAsia="en-AU"/>
        </w:rPr>
        <w:t xml:space="preserve"> </w:t>
      </w:r>
      <w:r w:rsidR="00582F68">
        <w:rPr>
          <w:lang w:val="en-GB" w:eastAsia="en-AU"/>
        </w:rPr>
        <w:t>T</w:t>
      </w:r>
      <w:r w:rsidRPr="00861D1A">
        <w:rPr>
          <w:lang w:val="en-GB" w:eastAsia="en-AU"/>
        </w:rPr>
        <w:t xml:space="preserve">he outcome must be to produce an additional cash tax impost in that </w:t>
      </w:r>
      <w:r w:rsidR="009068D4">
        <w:rPr>
          <w:lang w:val="en-GB" w:eastAsia="en-AU"/>
        </w:rPr>
        <w:t>jurisdiction</w:t>
      </w:r>
      <w:r w:rsidR="0043765A">
        <w:rPr>
          <w:lang w:val="en-GB" w:eastAsia="en-AU"/>
        </w:rPr>
        <w:t xml:space="preserve"> </w:t>
      </w:r>
      <w:r w:rsidRPr="00861D1A">
        <w:rPr>
          <w:lang w:val="en-GB" w:eastAsia="en-AU"/>
        </w:rPr>
        <w:t>equal to the top-up tax allocated to it</w:t>
      </w:r>
      <w:r w:rsidR="00C028F0">
        <w:rPr>
          <w:lang w:val="en-GB" w:eastAsia="en-AU"/>
        </w:rPr>
        <w:t xml:space="preserve">. </w:t>
      </w:r>
      <w:r w:rsidRPr="00861D1A">
        <w:rPr>
          <w:lang w:val="en-GB" w:eastAsia="en-AU"/>
        </w:rPr>
        <w:t>The amount of this impost in a particular year is subject to the limit that it should not exceed the tax benefit of tax deductions otherwise available to constituent entities in that country in that year</w:t>
      </w:r>
      <w:r w:rsidRPr="00861D1A" w:rsidDel="005762A1">
        <w:rPr>
          <w:lang w:val="en-GB" w:eastAsia="en-AU"/>
        </w:rPr>
        <w:t>.</w:t>
      </w:r>
    </w:p>
    <w:p w14:paraId="24214167" w14:textId="0D1820C3" w:rsidR="00861D1A" w:rsidRPr="00FC3A7A" w:rsidRDefault="00861D1A" w:rsidP="000E0BE1">
      <w:pPr>
        <w:pStyle w:val="NumberedParagraph"/>
        <w:rPr>
          <w:lang w:val="en-GB" w:eastAsia="en-AU"/>
        </w:rPr>
      </w:pPr>
      <w:r w:rsidRPr="00861D1A">
        <w:rPr>
          <w:lang w:val="en-GB" w:eastAsia="en-AU"/>
        </w:rPr>
        <w:t xml:space="preserve">While the top-up tax allocated to a jurisdiction will be charged </w:t>
      </w:r>
      <w:r w:rsidR="0043765A">
        <w:rPr>
          <w:lang w:val="en-GB" w:eastAsia="en-AU"/>
        </w:rPr>
        <w:t>to</w:t>
      </w:r>
      <w:r w:rsidRPr="00861D1A">
        <w:rPr>
          <w:lang w:val="en-GB" w:eastAsia="en-AU"/>
        </w:rPr>
        <w:t xml:space="preserve"> the MNE’s constituent entities in that jurisdiction, an MNE may have multiple constituent entities and countries are free to determine how that liability is </w:t>
      </w:r>
      <w:r w:rsidR="0043765A">
        <w:rPr>
          <w:lang w:val="en-GB" w:eastAsia="en-AU"/>
        </w:rPr>
        <w:t xml:space="preserve">allocated and charged </w:t>
      </w:r>
      <w:r w:rsidR="0043765A" w:rsidRPr="00FC3A7A">
        <w:rPr>
          <w:lang w:val="en-GB" w:eastAsia="en-AU"/>
        </w:rPr>
        <w:t>between them</w:t>
      </w:r>
      <w:r w:rsidRPr="00FC3A7A">
        <w:rPr>
          <w:lang w:val="en-GB" w:eastAsia="en-AU"/>
        </w:rPr>
        <w:t>.</w:t>
      </w:r>
    </w:p>
    <w:p w14:paraId="0FA5B6AA" w14:textId="1F622FEB" w:rsidR="00861D1A" w:rsidRPr="00FC3A7A" w:rsidRDefault="00861D1A" w:rsidP="000E0BE1">
      <w:pPr>
        <w:pStyle w:val="NumberedParagraph"/>
        <w:rPr>
          <w:lang w:val="en-GB" w:eastAsia="en-AU"/>
        </w:rPr>
      </w:pPr>
      <w:r w:rsidRPr="00FC3A7A">
        <w:rPr>
          <w:lang w:val="en-GB" w:eastAsia="en-AU"/>
        </w:rPr>
        <w:t xml:space="preserve">The tax administration aspects of Pillar Two are discussed in more detail in Chapter </w:t>
      </w:r>
      <w:r w:rsidR="004E2CCE" w:rsidRPr="00FC3A7A">
        <w:rPr>
          <w:lang w:val="en-GB" w:eastAsia="en-AU"/>
        </w:rPr>
        <w:t>1</w:t>
      </w:r>
      <w:r w:rsidR="00176696">
        <w:rPr>
          <w:lang w:val="en-GB" w:eastAsia="en-AU"/>
        </w:rPr>
        <w:t>2</w:t>
      </w:r>
      <w:r w:rsidRPr="00FC3A7A">
        <w:rPr>
          <w:lang w:val="en-GB" w:eastAsia="en-AU"/>
        </w:rPr>
        <w:t xml:space="preserve">, however, one key issue is what approach to take to charging the top-up tax under the UTPR. </w:t>
      </w:r>
      <w:r w:rsidRPr="00FC3A7A">
        <w:rPr>
          <w:lang w:eastAsia="en-AU"/>
        </w:rPr>
        <w:t>Officials</w:t>
      </w:r>
      <w:r w:rsidRPr="00FC3A7A">
        <w:rPr>
          <w:lang w:val="en-GB" w:eastAsia="en-AU"/>
        </w:rPr>
        <w:t xml:space="preserve"> are interested in submitters’ views on the preferred approach.</w:t>
      </w:r>
    </w:p>
    <w:p w14:paraId="5B4F2D56" w14:textId="2C53F56C" w:rsidR="00861D1A" w:rsidRPr="000E0BE1" w:rsidRDefault="00861D1A" w:rsidP="000E0BE1">
      <w:pPr>
        <w:pStyle w:val="Heading3"/>
        <w:rPr>
          <w:lang w:val="en-GB" w:eastAsia="en-AU"/>
        </w:rPr>
      </w:pPr>
      <w:r w:rsidRPr="00861D1A">
        <w:rPr>
          <w:lang w:val="en-GB" w:eastAsia="en-AU"/>
        </w:rPr>
        <w:t xml:space="preserve">Option </w:t>
      </w:r>
      <w:r w:rsidR="00361EA6">
        <w:rPr>
          <w:lang w:val="en-GB" w:eastAsia="en-AU"/>
        </w:rPr>
        <w:t>1</w:t>
      </w:r>
      <w:r w:rsidRPr="00861D1A">
        <w:rPr>
          <w:lang w:val="en-GB" w:eastAsia="en-AU"/>
        </w:rPr>
        <w:t>: Denying a deduction</w:t>
      </w:r>
    </w:p>
    <w:p w14:paraId="078B2CDD" w14:textId="0EAD430F" w:rsidR="00861D1A" w:rsidRPr="00861D1A" w:rsidRDefault="00861D1A" w:rsidP="000E0BE1">
      <w:pPr>
        <w:pStyle w:val="NumberedParagraph"/>
        <w:rPr>
          <w:lang w:val="en-GB" w:eastAsia="en-AU"/>
        </w:rPr>
      </w:pPr>
      <w:r w:rsidRPr="00861D1A">
        <w:rPr>
          <w:lang w:val="en-GB" w:eastAsia="en-AU"/>
        </w:rPr>
        <w:t>The first approach which is set out in the Model Rules would be to deny an income tax deduction on otherwise deductible expenses of the MNE group.</w:t>
      </w:r>
    </w:p>
    <w:p w14:paraId="479F2320" w14:textId="58BE4C93" w:rsidR="00861D1A" w:rsidRPr="00861D1A" w:rsidRDefault="00861D1A" w:rsidP="000E0BE1">
      <w:pPr>
        <w:pStyle w:val="NumberedParagraph"/>
        <w:rPr>
          <w:lang w:val="en-GB" w:eastAsia="en-AU"/>
        </w:rPr>
      </w:pPr>
      <w:r w:rsidRPr="00861D1A">
        <w:rPr>
          <w:lang w:val="en-GB" w:eastAsia="en-AU"/>
        </w:rPr>
        <w:t xml:space="preserve">The top-up tax allocated to New Zealand would be converted </w:t>
      </w:r>
      <w:r w:rsidR="0043765A">
        <w:rPr>
          <w:lang w:val="en-GB" w:eastAsia="en-AU"/>
        </w:rPr>
        <w:t xml:space="preserve">to denied deductions </w:t>
      </w:r>
      <w:r w:rsidRPr="00861D1A">
        <w:rPr>
          <w:lang w:val="en-GB" w:eastAsia="en-AU"/>
        </w:rPr>
        <w:t xml:space="preserve">by dividing the top-up tax allocated to New </w:t>
      </w:r>
      <w:r w:rsidRPr="00861D1A">
        <w:rPr>
          <w:lang w:eastAsia="en-AU"/>
        </w:rPr>
        <w:t>Zealand</w:t>
      </w:r>
      <w:r w:rsidRPr="00861D1A">
        <w:rPr>
          <w:lang w:val="en-GB" w:eastAsia="en-AU"/>
        </w:rPr>
        <w:t xml:space="preserve"> by the company tax rate. For example, a top-up tax liability of $1,000 would be converted into denial of a deduction for $3,571 of otherwise deductible expenditure, in the year the top-up tax relates to</w:t>
      </w:r>
      <w:r w:rsidR="00C028F0">
        <w:rPr>
          <w:lang w:val="en-GB" w:eastAsia="en-AU"/>
        </w:rPr>
        <w:t xml:space="preserve">. </w:t>
      </w:r>
      <w:r w:rsidRPr="00861D1A">
        <w:rPr>
          <w:lang w:val="en-GB" w:eastAsia="en-AU"/>
        </w:rPr>
        <w:t xml:space="preserve">This would cap the </w:t>
      </w:r>
      <w:r w:rsidR="0043765A">
        <w:rPr>
          <w:lang w:val="en-GB" w:eastAsia="en-AU"/>
        </w:rPr>
        <w:t xml:space="preserve">top-up tax </w:t>
      </w:r>
      <w:r w:rsidR="007D7B9D">
        <w:rPr>
          <w:lang w:val="en-GB" w:eastAsia="en-AU"/>
        </w:rPr>
        <w:t>based on</w:t>
      </w:r>
      <w:r w:rsidRPr="00861D1A">
        <w:rPr>
          <w:lang w:val="en-GB" w:eastAsia="en-AU"/>
        </w:rPr>
        <w:t xml:space="preserve"> the total deductions of the entity</w:t>
      </w:r>
      <w:r w:rsidR="00C028F0">
        <w:rPr>
          <w:lang w:val="en-GB" w:eastAsia="en-AU"/>
        </w:rPr>
        <w:t xml:space="preserve">. </w:t>
      </w:r>
      <w:r w:rsidRPr="00861D1A">
        <w:rPr>
          <w:lang w:val="en-GB" w:eastAsia="en-AU"/>
        </w:rPr>
        <w:t>If deductions in that year were les</w:t>
      </w:r>
      <w:r w:rsidR="00C46BDD">
        <w:rPr>
          <w:lang w:val="en-GB" w:eastAsia="en-AU"/>
        </w:rPr>
        <w:t>s</w:t>
      </w:r>
      <w:r w:rsidRPr="00861D1A">
        <w:rPr>
          <w:lang w:val="en-GB" w:eastAsia="en-AU"/>
        </w:rPr>
        <w:t xml:space="preserve"> than $3,571, the shortfall would be carried forward and used to reduce deductions in the next year.</w:t>
      </w:r>
    </w:p>
    <w:p w14:paraId="62E3947B" w14:textId="77777777" w:rsidR="00861D1A" w:rsidRPr="00861D1A" w:rsidRDefault="00861D1A" w:rsidP="009E2B97">
      <w:pPr>
        <w:pStyle w:val="NumberedParagraph"/>
        <w:rPr>
          <w:lang w:val="en-GB" w:eastAsia="en-AU"/>
        </w:rPr>
      </w:pPr>
      <w:r w:rsidRPr="00861D1A">
        <w:rPr>
          <w:lang w:val="en-GB" w:eastAsia="en-AU"/>
        </w:rPr>
        <w:t>As the top-up is allocated for the jurisdiction as a whole, there would need to be rules to specify how the MNE should apply the adjustment when there are multiple entities within New Zealand.</w:t>
      </w:r>
    </w:p>
    <w:p w14:paraId="2FFBB886" w14:textId="0DF3CC12" w:rsidR="00861D1A" w:rsidRPr="00861D1A" w:rsidRDefault="00861D1A" w:rsidP="009E2B97">
      <w:pPr>
        <w:pStyle w:val="NumberedParagraph"/>
        <w:rPr>
          <w:lang w:val="en-GB" w:eastAsia="en-AU"/>
        </w:rPr>
      </w:pPr>
      <w:r w:rsidRPr="00861D1A">
        <w:rPr>
          <w:lang w:val="en-GB" w:eastAsia="en-AU"/>
        </w:rPr>
        <w:t>This could be achieved by specifying that the deduction</w:t>
      </w:r>
      <w:r w:rsidR="004030F8">
        <w:rPr>
          <w:lang w:val="en-GB" w:eastAsia="en-AU"/>
        </w:rPr>
        <w:t>s</w:t>
      </w:r>
      <w:r w:rsidRPr="00861D1A">
        <w:rPr>
          <w:lang w:val="en-GB" w:eastAsia="en-AU"/>
        </w:rPr>
        <w:t xml:space="preserve"> should be </w:t>
      </w:r>
      <w:r w:rsidR="008E7460">
        <w:rPr>
          <w:lang w:val="en-GB" w:eastAsia="en-AU"/>
        </w:rPr>
        <w:t xml:space="preserve">denied </w:t>
      </w:r>
      <w:r w:rsidRPr="00861D1A">
        <w:rPr>
          <w:lang w:val="en-GB" w:eastAsia="en-AU"/>
        </w:rPr>
        <w:t xml:space="preserve">first in the </w:t>
      </w:r>
      <w:r w:rsidR="008E7460">
        <w:rPr>
          <w:lang w:val="en-GB" w:eastAsia="en-AU"/>
        </w:rPr>
        <w:t>constituent entity</w:t>
      </w:r>
      <w:r w:rsidR="008E7460" w:rsidRPr="00861D1A">
        <w:rPr>
          <w:lang w:val="en-GB" w:eastAsia="en-AU"/>
        </w:rPr>
        <w:t xml:space="preserve"> </w:t>
      </w:r>
      <w:r w:rsidRPr="00861D1A">
        <w:rPr>
          <w:lang w:val="en-GB" w:eastAsia="en-AU"/>
        </w:rPr>
        <w:t xml:space="preserve">in the group </w:t>
      </w:r>
      <w:r w:rsidR="008D7EE2">
        <w:rPr>
          <w:lang w:val="en-GB" w:eastAsia="en-AU"/>
        </w:rPr>
        <w:t xml:space="preserve">with the highest taxable income </w:t>
      </w:r>
      <w:r w:rsidR="00694B7E">
        <w:rPr>
          <w:lang w:val="en-GB" w:eastAsia="en-AU"/>
        </w:rPr>
        <w:t xml:space="preserve">(ignoring </w:t>
      </w:r>
      <w:r w:rsidR="004030F8">
        <w:rPr>
          <w:lang w:val="en-GB" w:eastAsia="en-AU"/>
        </w:rPr>
        <w:t>any</w:t>
      </w:r>
      <w:r w:rsidR="00694B7E">
        <w:rPr>
          <w:lang w:val="en-GB" w:eastAsia="en-AU"/>
        </w:rPr>
        <w:t xml:space="preserve"> deduction</w:t>
      </w:r>
      <w:r w:rsidR="00163B55">
        <w:rPr>
          <w:lang w:val="en-GB" w:eastAsia="en-AU"/>
        </w:rPr>
        <w:t xml:space="preserve"> denial</w:t>
      </w:r>
      <w:r w:rsidR="00694B7E">
        <w:rPr>
          <w:lang w:val="en-GB" w:eastAsia="en-AU"/>
        </w:rPr>
        <w:t xml:space="preserve">) </w:t>
      </w:r>
      <w:r w:rsidRPr="00861D1A">
        <w:rPr>
          <w:lang w:val="en-GB" w:eastAsia="en-AU"/>
        </w:rPr>
        <w:t xml:space="preserve">and then continue on to the </w:t>
      </w:r>
      <w:r w:rsidR="0031711A">
        <w:rPr>
          <w:lang w:val="en-GB" w:eastAsia="en-AU"/>
        </w:rPr>
        <w:t xml:space="preserve">constituent entity </w:t>
      </w:r>
      <w:r w:rsidR="008D7EE2">
        <w:rPr>
          <w:lang w:val="en-GB" w:eastAsia="en-AU"/>
        </w:rPr>
        <w:t xml:space="preserve">with the </w:t>
      </w:r>
      <w:r w:rsidR="008D7EE2">
        <w:rPr>
          <w:lang w:val="en-GB" w:eastAsia="en-AU"/>
        </w:rPr>
        <w:lastRenderedPageBreak/>
        <w:t xml:space="preserve">next highest taxable income </w:t>
      </w:r>
      <w:r w:rsidRPr="00861D1A">
        <w:rPr>
          <w:lang w:val="en-GB" w:eastAsia="en-AU"/>
        </w:rPr>
        <w:t>if that is still insufficient to collect the tax and so on.</w:t>
      </w:r>
    </w:p>
    <w:tbl>
      <w:tblPr>
        <w:tblStyle w:val="ExampleBox"/>
        <w:tblW w:w="0" w:type="auto"/>
        <w:tblLook w:val="04A0" w:firstRow="1" w:lastRow="0" w:firstColumn="1" w:lastColumn="0" w:noHBand="0" w:noVBand="1"/>
      </w:tblPr>
      <w:tblGrid>
        <w:gridCol w:w="7917"/>
      </w:tblGrid>
      <w:tr w:rsidR="00DE7051" w:rsidRPr="00FD06AF" w14:paraId="1F3B9340" w14:textId="77777777" w:rsidTr="00A8755A">
        <w:tc>
          <w:tcPr>
            <w:tcW w:w="7917" w:type="dxa"/>
          </w:tcPr>
          <w:p w14:paraId="3CB1E158" w14:textId="49FC80F3" w:rsidR="00DE7051" w:rsidRPr="00B12EB9" w:rsidRDefault="00DE7051" w:rsidP="00A8755A">
            <w:pPr>
              <w:pStyle w:val="Caption"/>
              <w:jc w:val="both"/>
            </w:pPr>
            <w:bookmarkStart w:id="91" w:name="_Hlk97285401"/>
            <w:r w:rsidRPr="00B12EB9">
              <w:t xml:space="preserve">Example </w:t>
            </w:r>
            <w:r w:rsidR="009157A7">
              <w:t>2</w:t>
            </w:r>
            <w:r w:rsidR="00EB5CF6">
              <w:t>0</w:t>
            </w:r>
            <w:r w:rsidRPr="00B12EB9">
              <w:t xml:space="preserve">: </w:t>
            </w:r>
            <w:r w:rsidR="008D7EE2">
              <w:t>Ordering of denied deductions under UTPR</w:t>
            </w:r>
          </w:p>
          <w:p w14:paraId="105018D9" w14:textId="174D349F" w:rsidR="00700E6C" w:rsidRDefault="00497903" w:rsidP="000F538F">
            <w:pPr>
              <w:rPr>
                <w:lang w:eastAsia="en-AU"/>
              </w:rPr>
            </w:pPr>
            <w:r>
              <w:rPr>
                <w:lang w:eastAsia="en-AU"/>
              </w:rPr>
              <w:t xml:space="preserve">An MNE has </w:t>
            </w:r>
            <w:r w:rsidR="00C01053">
              <w:rPr>
                <w:lang w:eastAsia="en-AU"/>
              </w:rPr>
              <w:t>its</w:t>
            </w:r>
            <w:r>
              <w:rPr>
                <w:lang w:eastAsia="en-AU"/>
              </w:rPr>
              <w:t xml:space="preserve"> UPE in a jurisdiction that does not have an IIR</w:t>
            </w:r>
            <w:r w:rsidR="000F538F">
              <w:rPr>
                <w:lang w:eastAsia="en-AU"/>
              </w:rPr>
              <w:t>.</w:t>
            </w:r>
            <w:r>
              <w:rPr>
                <w:lang w:eastAsia="en-AU"/>
              </w:rPr>
              <w:t xml:space="preserve"> </w:t>
            </w:r>
            <w:r w:rsidR="000F538F">
              <w:rPr>
                <w:lang w:eastAsia="en-AU"/>
              </w:rPr>
              <w:t>T</w:t>
            </w:r>
            <w:r w:rsidR="008D7EE2">
              <w:rPr>
                <w:lang w:eastAsia="en-AU"/>
              </w:rPr>
              <w:t xml:space="preserve">op-up tax of $100 </w:t>
            </w:r>
            <w:r w:rsidR="000F538F">
              <w:rPr>
                <w:lang w:eastAsia="en-AU"/>
              </w:rPr>
              <w:t xml:space="preserve">has been </w:t>
            </w:r>
            <w:r w:rsidR="008D7EE2">
              <w:rPr>
                <w:lang w:eastAsia="en-AU"/>
              </w:rPr>
              <w:t>allocated to New Zealand</w:t>
            </w:r>
            <w:r>
              <w:rPr>
                <w:lang w:eastAsia="en-AU"/>
              </w:rPr>
              <w:t xml:space="preserve"> </w:t>
            </w:r>
            <w:r w:rsidR="000F538F">
              <w:rPr>
                <w:lang w:eastAsia="en-AU"/>
              </w:rPr>
              <w:t>under the UTPR</w:t>
            </w:r>
            <w:r w:rsidR="00C01053">
              <w:rPr>
                <w:lang w:eastAsia="en-AU"/>
              </w:rPr>
              <w:t xml:space="preserve"> for the </w:t>
            </w:r>
            <w:r w:rsidR="00327DF7">
              <w:rPr>
                <w:lang w:eastAsia="en-AU"/>
              </w:rPr>
              <w:t xml:space="preserve">MNE’s </w:t>
            </w:r>
            <w:r w:rsidR="00C01053">
              <w:rPr>
                <w:lang w:eastAsia="en-AU"/>
              </w:rPr>
              <w:t>2030 Fiscal Year</w:t>
            </w:r>
            <w:r>
              <w:rPr>
                <w:lang w:eastAsia="en-AU"/>
              </w:rPr>
              <w:t>.</w:t>
            </w:r>
          </w:p>
          <w:p w14:paraId="6DC998E9" w14:textId="07E87C7A" w:rsidR="000F538F" w:rsidRDefault="00700E6C" w:rsidP="000F538F">
            <w:pPr>
              <w:rPr>
                <w:lang w:eastAsia="en-AU"/>
              </w:rPr>
            </w:pPr>
            <w:r>
              <w:rPr>
                <w:lang w:eastAsia="en-AU"/>
              </w:rPr>
              <w:t>At a 28% company tax rate, t</w:t>
            </w:r>
            <w:r w:rsidR="00302932">
              <w:rPr>
                <w:lang w:eastAsia="en-AU"/>
              </w:rPr>
              <w:t xml:space="preserve">he </w:t>
            </w:r>
            <w:r>
              <w:rPr>
                <w:lang w:eastAsia="en-AU"/>
              </w:rPr>
              <w:t xml:space="preserve">$100 of </w:t>
            </w:r>
            <w:r w:rsidR="00302932">
              <w:rPr>
                <w:lang w:eastAsia="en-AU"/>
              </w:rPr>
              <w:t xml:space="preserve">top-up tax converts to $357 of denied deductions </w:t>
            </w:r>
            <w:r>
              <w:rPr>
                <w:lang w:eastAsia="en-AU"/>
              </w:rPr>
              <w:t>($100 / 0.28).</w:t>
            </w:r>
          </w:p>
          <w:p w14:paraId="5F2BF507" w14:textId="7CFBF715" w:rsidR="00C01053" w:rsidRDefault="00C01053" w:rsidP="000F538F">
            <w:pPr>
              <w:rPr>
                <w:lang w:eastAsia="en-AU"/>
              </w:rPr>
            </w:pPr>
            <w:r>
              <w:rPr>
                <w:lang w:eastAsia="en-AU"/>
              </w:rPr>
              <w:t xml:space="preserve">The MNE has </w:t>
            </w:r>
            <w:r w:rsidR="00BA5679">
              <w:rPr>
                <w:lang w:eastAsia="en-AU"/>
              </w:rPr>
              <w:t>3 New Zealand subsidiaries</w:t>
            </w:r>
            <w:r w:rsidR="0031711A">
              <w:rPr>
                <w:lang w:eastAsia="en-AU"/>
              </w:rPr>
              <w:t xml:space="preserve">. Before </w:t>
            </w:r>
            <w:r w:rsidR="001B32FD">
              <w:rPr>
                <w:lang w:eastAsia="en-AU"/>
              </w:rPr>
              <w:t xml:space="preserve">denying any deductions under the UTPR, the subs have the following </w:t>
            </w:r>
            <w:r w:rsidR="00005B50">
              <w:rPr>
                <w:lang w:eastAsia="en-AU"/>
              </w:rPr>
              <w:t xml:space="preserve">gross income, </w:t>
            </w:r>
            <w:proofErr w:type="gramStart"/>
            <w:r w:rsidR="00005B50">
              <w:rPr>
                <w:lang w:eastAsia="en-AU"/>
              </w:rPr>
              <w:t>deductions</w:t>
            </w:r>
            <w:proofErr w:type="gramEnd"/>
            <w:r w:rsidR="00005B50">
              <w:rPr>
                <w:lang w:eastAsia="en-AU"/>
              </w:rPr>
              <w:t xml:space="preserve"> and </w:t>
            </w:r>
            <w:r w:rsidR="001B32FD">
              <w:rPr>
                <w:lang w:eastAsia="en-AU"/>
              </w:rPr>
              <w:t>taxable income</w:t>
            </w:r>
            <w:r w:rsidR="00005B50">
              <w:rPr>
                <w:lang w:eastAsia="en-AU"/>
              </w:rPr>
              <w:t>:</w:t>
            </w:r>
          </w:p>
          <w:p w14:paraId="58F50058" w14:textId="43BAB6BF" w:rsidR="00BA5679" w:rsidRDefault="00BA5679" w:rsidP="00C313C3">
            <w:pPr>
              <w:pStyle w:val="ListBullet"/>
              <w:numPr>
                <w:ilvl w:val="0"/>
                <w:numId w:val="13"/>
              </w:numPr>
              <w:tabs>
                <w:tab w:val="clear" w:pos="567"/>
                <w:tab w:val="num" w:pos="383"/>
              </w:tabs>
              <w:ind w:left="383" w:hanging="383"/>
              <w:rPr>
                <w:lang w:eastAsia="en-AU"/>
              </w:rPr>
            </w:pPr>
            <w:r>
              <w:rPr>
                <w:lang w:eastAsia="en-AU"/>
              </w:rPr>
              <w:t xml:space="preserve">Sub A has </w:t>
            </w:r>
            <w:r w:rsidR="00903600">
              <w:rPr>
                <w:lang w:eastAsia="en-AU"/>
              </w:rPr>
              <w:t>gross income of $</w:t>
            </w:r>
            <w:r w:rsidR="006F4A00">
              <w:rPr>
                <w:lang w:eastAsia="en-AU"/>
              </w:rPr>
              <w:t>300, deductions of $250</w:t>
            </w:r>
            <w:r w:rsidR="00E77A92">
              <w:rPr>
                <w:lang w:eastAsia="en-AU"/>
              </w:rPr>
              <w:t xml:space="preserve"> and </w:t>
            </w:r>
            <w:r w:rsidR="001B32FD">
              <w:rPr>
                <w:lang w:eastAsia="en-AU"/>
              </w:rPr>
              <w:t xml:space="preserve">taxable </w:t>
            </w:r>
            <w:r>
              <w:rPr>
                <w:lang w:eastAsia="en-AU"/>
              </w:rPr>
              <w:t xml:space="preserve">income </w:t>
            </w:r>
            <w:r w:rsidR="00C43814">
              <w:rPr>
                <w:lang w:eastAsia="en-AU"/>
              </w:rPr>
              <w:t xml:space="preserve">of </w:t>
            </w:r>
            <w:r w:rsidR="001B32FD">
              <w:rPr>
                <w:lang w:eastAsia="en-AU"/>
              </w:rPr>
              <w:t>$</w:t>
            </w:r>
            <w:r w:rsidR="007E3F1C">
              <w:rPr>
                <w:lang w:eastAsia="en-AU"/>
              </w:rPr>
              <w:t>50</w:t>
            </w:r>
          </w:p>
          <w:p w14:paraId="0C2F1032" w14:textId="737A8210" w:rsidR="008E7460" w:rsidRDefault="008E7460" w:rsidP="00C313C3">
            <w:pPr>
              <w:pStyle w:val="ListBullet"/>
              <w:numPr>
                <w:ilvl w:val="0"/>
                <w:numId w:val="13"/>
              </w:numPr>
              <w:tabs>
                <w:tab w:val="clear" w:pos="567"/>
                <w:tab w:val="num" w:pos="383"/>
              </w:tabs>
              <w:ind w:left="383" w:hanging="383"/>
              <w:rPr>
                <w:lang w:eastAsia="en-AU"/>
              </w:rPr>
            </w:pPr>
            <w:r>
              <w:rPr>
                <w:lang w:eastAsia="en-AU"/>
              </w:rPr>
              <w:t xml:space="preserve">Sub B has </w:t>
            </w:r>
            <w:r w:rsidR="007E3F1C">
              <w:rPr>
                <w:lang w:eastAsia="en-AU"/>
              </w:rPr>
              <w:t xml:space="preserve">gross income of </w:t>
            </w:r>
            <w:r w:rsidR="00D66C3F">
              <w:rPr>
                <w:lang w:eastAsia="en-AU"/>
              </w:rPr>
              <w:t>$</w:t>
            </w:r>
            <w:r w:rsidR="008243AC">
              <w:rPr>
                <w:lang w:eastAsia="en-AU"/>
              </w:rPr>
              <w:t xml:space="preserve">140, deductions of $100 and </w:t>
            </w:r>
            <w:r w:rsidR="0049317A">
              <w:rPr>
                <w:lang w:eastAsia="en-AU"/>
              </w:rPr>
              <w:t>taxable income of $</w:t>
            </w:r>
            <w:r w:rsidR="008243AC">
              <w:rPr>
                <w:lang w:eastAsia="en-AU"/>
              </w:rPr>
              <w:t>4</w:t>
            </w:r>
            <w:r w:rsidR="0049317A">
              <w:rPr>
                <w:lang w:eastAsia="en-AU"/>
              </w:rPr>
              <w:t>0</w:t>
            </w:r>
          </w:p>
          <w:p w14:paraId="5AB4C3AB" w14:textId="3DDCA004" w:rsidR="0049317A" w:rsidRDefault="0049317A" w:rsidP="00C313C3">
            <w:pPr>
              <w:pStyle w:val="ListBullet"/>
              <w:numPr>
                <w:ilvl w:val="0"/>
                <w:numId w:val="13"/>
              </w:numPr>
              <w:tabs>
                <w:tab w:val="clear" w:pos="567"/>
                <w:tab w:val="num" w:pos="383"/>
              </w:tabs>
              <w:ind w:left="383" w:hanging="383"/>
              <w:rPr>
                <w:lang w:eastAsia="en-AU"/>
              </w:rPr>
            </w:pPr>
            <w:r>
              <w:rPr>
                <w:lang w:eastAsia="en-AU"/>
              </w:rPr>
              <w:t xml:space="preserve">Sub C has </w:t>
            </w:r>
            <w:r w:rsidR="008243AC">
              <w:rPr>
                <w:lang w:eastAsia="en-AU"/>
              </w:rPr>
              <w:t xml:space="preserve">gross income of </w:t>
            </w:r>
            <w:r w:rsidR="00190FAB">
              <w:rPr>
                <w:lang w:eastAsia="en-AU"/>
              </w:rPr>
              <w:t>$</w:t>
            </w:r>
            <w:r w:rsidR="00627205">
              <w:rPr>
                <w:lang w:eastAsia="en-AU"/>
              </w:rPr>
              <w:t xml:space="preserve">200, deductions of $170 and </w:t>
            </w:r>
            <w:r>
              <w:rPr>
                <w:lang w:eastAsia="en-AU"/>
              </w:rPr>
              <w:t>taxable income of $</w:t>
            </w:r>
            <w:r w:rsidR="008A095A">
              <w:rPr>
                <w:lang w:eastAsia="en-AU"/>
              </w:rPr>
              <w:t>3</w:t>
            </w:r>
            <w:r>
              <w:rPr>
                <w:lang w:eastAsia="en-AU"/>
              </w:rPr>
              <w:t>0</w:t>
            </w:r>
          </w:p>
          <w:p w14:paraId="315EDC70" w14:textId="6942EB9E" w:rsidR="00DE7051" w:rsidRPr="00FD06AF" w:rsidRDefault="00567E1C" w:rsidP="00A8755A">
            <w:pPr>
              <w:rPr>
                <w:sz w:val="17"/>
                <w:szCs w:val="17"/>
                <w:lang w:eastAsia="en-AU"/>
              </w:rPr>
            </w:pPr>
            <w:r>
              <w:rPr>
                <w:lang w:eastAsia="en-AU"/>
              </w:rPr>
              <w:t>If New Zealand chose to collect tax under the UTPR by denying deductions,</w:t>
            </w:r>
            <w:r w:rsidR="00046901">
              <w:rPr>
                <w:lang w:eastAsia="en-AU"/>
              </w:rPr>
              <w:t xml:space="preserve"> </w:t>
            </w:r>
            <w:r w:rsidR="00AB3261" w:rsidRPr="00861D1A">
              <w:rPr>
                <w:lang w:val="en-GB" w:eastAsia="en-AU"/>
              </w:rPr>
              <w:t xml:space="preserve">first in the </w:t>
            </w:r>
            <w:r w:rsidR="00AB3261">
              <w:rPr>
                <w:lang w:val="en-GB" w:eastAsia="en-AU"/>
              </w:rPr>
              <w:t>constituent entity</w:t>
            </w:r>
            <w:r w:rsidR="00AB3261" w:rsidRPr="00861D1A">
              <w:rPr>
                <w:lang w:val="en-GB" w:eastAsia="en-AU"/>
              </w:rPr>
              <w:t xml:space="preserve"> </w:t>
            </w:r>
            <w:r w:rsidR="00AB3261">
              <w:rPr>
                <w:lang w:val="en-GB" w:eastAsia="en-AU"/>
              </w:rPr>
              <w:t>with the highest taxable income</w:t>
            </w:r>
            <w:r w:rsidR="00795CD3">
              <w:rPr>
                <w:lang w:val="en-GB" w:eastAsia="en-AU"/>
              </w:rPr>
              <w:t xml:space="preserve"> (and so on)</w:t>
            </w:r>
            <w:r w:rsidR="00AB3261">
              <w:rPr>
                <w:lang w:val="en-GB" w:eastAsia="en-AU"/>
              </w:rPr>
              <w:t xml:space="preserve">, </w:t>
            </w:r>
            <w:r>
              <w:rPr>
                <w:lang w:eastAsia="en-AU"/>
              </w:rPr>
              <w:t>Sub A would be denied deductions of $2</w:t>
            </w:r>
            <w:r w:rsidR="00AB3261">
              <w:rPr>
                <w:lang w:eastAsia="en-AU"/>
              </w:rPr>
              <w:t>5</w:t>
            </w:r>
            <w:r>
              <w:rPr>
                <w:lang w:eastAsia="en-AU"/>
              </w:rPr>
              <w:t xml:space="preserve">0, </w:t>
            </w:r>
            <w:r w:rsidR="00046901">
              <w:rPr>
                <w:lang w:eastAsia="en-AU"/>
              </w:rPr>
              <w:t xml:space="preserve">Sub B would be denied deductions of </w:t>
            </w:r>
            <w:proofErr w:type="gramStart"/>
            <w:r w:rsidR="00046901">
              <w:rPr>
                <w:lang w:eastAsia="en-AU"/>
              </w:rPr>
              <w:t>$1</w:t>
            </w:r>
            <w:r w:rsidR="00AB3261">
              <w:rPr>
                <w:lang w:eastAsia="en-AU"/>
              </w:rPr>
              <w:t>0</w:t>
            </w:r>
            <w:r w:rsidR="00046901">
              <w:rPr>
                <w:lang w:eastAsia="en-AU"/>
              </w:rPr>
              <w:t>0</w:t>
            </w:r>
            <w:proofErr w:type="gramEnd"/>
            <w:r w:rsidR="00046901">
              <w:rPr>
                <w:lang w:eastAsia="en-AU"/>
              </w:rPr>
              <w:t xml:space="preserve"> and Sub C would be denied deductions of $7.</w:t>
            </w:r>
          </w:p>
        </w:tc>
      </w:tr>
    </w:tbl>
    <w:bookmarkEnd w:id="91"/>
    <w:p w14:paraId="23E3F9A1" w14:textId="77777777" w:rsidR="00861D1A" w:rsidRPr="00861D1A" w:rsidRDefault="00861D1A" w:rsidP="009E2B97">
      <w:pPr>
        <w:pStyle w:val="NumberedParagraph"/>
        <w:rPr>
          <w:lang w:val="en-GB" w:eastAsia="en-AU"/>
        </w:rPr>
      </w:pPr>
      <w:r w:rsidRPr="00861D1A">
        <w:rPr>
          <w:lang w:val="en-GB" w:eastAsia="en-AU"/>
        </w:rPr>
        <w:t>There are a number of disadvantages to this approach in the New Zealand context:</w:t>
      </w:r>
    </w:p>
    <w:p w14:paraId="367DD1F3" w14:textId="47560A81" w:rsidR="00861D1A" w:rsidRPr="00861D1A" w:rsidRDefault="00861D1A" w:rsidP="009E2B97">
      <w:pPr>
        <w:pStyle w:val="NumberedParagraph-BulletL1"/>
        <w:rPr>
          <w:lang w:eastAsia="en-AU"/>
        </w:rPr>
      </w:pPr>
      <w:r w:rsidRPr="00861D1A">
        <w:rPr>
          <w:lang w:eastAsia="en-AU"/>
        </w:rPr>
        <w:t>Denying deductions to taxpayers would have flow on effects to provisional tax liabilities of the company</w:t>
      </w:r>
      <w:r w:rsidR="00662E47">
        <w:rPr>
          <w:lang w:eastAsia="en-AU"/>
        </w:rPr>
        <w:t>.</w:t>
      </w:r>
    </w:p>
    <w:p w14:paraId="668FA44B" w14:textId="110EAA23" w:rsidR="00861D1A" w:rsidRPr="00861D1A" w:rsidRDefault="00861D1A" w:rsidP="009E2B97">
      <w:pPr>
        <w:pStyle w:val="NumberedParagraph-BulletL1"/>
        <w:rPr>
          <w:lang w:eastAsia="en-AU"/>
        </w:rPr>
      </w:pPr>
      <w:r w:rsidRPr="00861D1A">
        <w:rPr>
          <w:lang w:eastAsia="en-AU"/>
        </w:rPr>
        <w:t>Denying a deduction will not result in an additional cash tax expense when the relevant New Zealand entity is in a loss position. While the additional cash tax expense may materialise at a future point if the entity becomes profitable, this may not occur for a long time. This is inconsistent with the OECD’s intention that the UTPR should give rise to an additional cash tax expenses as early as possible</w:t>
      </w:r>
      <w:r w:rsidR="00662E47">
        <w:rPr>
          <w:lang w:eastAsia="en-AU"/>
        </w:rPr>
        <w:t>.</w:t>
      </w:r>
    </w:p>
    <w:p w14:paraId="786356A4" w14:textId="4F108E0D" w:rsidR="00861D1A" w:rsidRPr="00861D1A" w:rsidRDefault="00861D1A" w:rsidP="009E2B97">
      <w:pPr>
        <w:pStyle w:val="NumberedParagraph-BulletL1"/>
        <w:rPr>
          <w:lang w:eastAsia="en-AU"/>
        </w:rPr>
      </w:pPr>
      <w:r w:rsidRPr="00861D1A">
        <w:rPr>
          <w:lang w:eastAsia="en-AU"/>
        </w:rPr>
        <w:t>Denying a deduction would result in a company paying more income tax, which would result in more credits to its imputation credit account</w:t>
      </w:r>
      <w:r w:rsidR="00C028F0">
        <w:rPr>
          <w:lang w:eastAsia="en-AU"/>
        </w:rPr>
        <w:t xml:space="preserve">. </w:t>
      </w:r>
      <w:r w:rsidRPr="00861D1A">
        <w:rPr>
          <w:lang w:eastAsia="en-AU"/>
        </w:rPr>
        <w:t xml:space="preserve">For the reasons set out in </w:t>
      </w:r>
      <w:r w:rsidR="009157A7">
        <w:rPr>
          <w:lang w:eastAsia="en-AU"/>
        </w:rPr>
        <w:t>C</w:t>
      </w:r>
      <w:r w:rsidRPr="00861D1A">
        <w:rPr>
          <w:lang w:eastAsia="en-AU"/>
        </w:rPr>
        <w:t xml:space="preserve">hapter </w:t>
      </w:r>
      <w:r w:rsidR="004E2CCE">
        <w:rPr>
          <w:lang w:eastAsia="en-AU"/>
        </w:rPr>
        <w:t>13</w:t>
      </w:r>
      <w:r w:rsidRPr="00861D1A">
        <w:rPr>
          <w:lang w:eastAsia="en-AU"/>
        </w:rPr>
        <w:t>, this seems particularly inappropriate in relation to tax imposed under the UTPR</w:t>
      </w:r>
      <w:r w:rsidR="00662E47">
        <w:rPr>
          <w:lang w:eastAsia="en-AU"/>
        </w:rPr>
        <w:t>.</w:t>
      </w:r>
    </w:p>
    <w:p w14:paraId="0EB5DEB9" w14:textId="4B6024E5" w:rsidR="00861D1A" w:rsidRPr="00861D1A" w:rsidRDefault="00861D1A" w:rsidP="009E2B97">
      <w:pPr>
        <w:pStyle w:val="NumberedParagraph-BulletL1"/>
        <w:rPr>
          <w:lang w:eastAsia="en-AU"/>
        </w:rPr>
      </w:pPr>
      <w:r w:rsidRPr="00861D1A">
        <w:rPr>
          <w:lang w:eastAsia="en-AU"/>
        </w:rPr>
        <w:t xml:space="preserve">New Zealand allows a relatively long period for taxpayers to file tax returns compared to other jurisdictions. However, the filing dates for </w:t>
      </w:r>
      <w:r w:rsidR="00F70D8F">
        <w:rPr>
          <w:lang w:eastAsia="en-AU"/>
        </w:rPr>
        <w:t>these income tax returns is still before the filing date</w:t>
      </w:r>
      <w:r w:rsidRPr="00861D1A">
        <w:rPr>
          <w:lang w:eastAsia="en-AU"/>
        </w:rPr>
        <w:t xml:space="preserve"> for the GloBE </w:t>
      </w:r>
      <w:r w:rsidR="008C6D5A">
        <w:rPr>
          <w:lang w:eastAsia="en-AU"/>
        </w:rPr>
        <w:t xml:space="preserve">information </w:t>
      </w:r>
      <w:r w:rsidRPr="00861D1A">
        <w:rPr>
          <w:lang w:eastAsia="en-AU"/>
        </w:rPr>
        <w:t>returns</w:t>
      </w:r>
      <w:r w:rsidR="005D3F75">
        <w:rPr>
          <w:lang w:eastAsia="en-AU"/>
        </w:rPr>
        <w:t>.</w:t>
      </w:r>
      <w:r w:rsidRPr="00861D1A">
        <w:rPr>
          <w:lang w:eastAsia="en-AU"/>
        </w:rPr>
        <w:t xml:space="preserve"> </w:t>
      </w:r>
      <w:r w:rsidR="005D3F75">
        <w:rPr>
          <w:lang w:eastAsia="en-AU"/>
        </w:rPr>
        <w:t>T</w:t>
      </w:r>
      <w:r w:rsidRPr="00861D1A">
        <w:rPr>
          <w:lang w:eastAsia="en-AU"/>
        </w:rPr>
        <w:t xml:space="preserve">his could result in a taxpayer having to limit deductions in an income tax return that is due for filing prior to the taxpayer calculating that denial of expenditure in their </w:t>
      </w:r>
      <w:r w:rsidR="005D3F75">
        <w:rPr>
          <w:lang w:eastAsia="en-AU"/>
        </w:rPr>
        <w:t xml:space="preserve">subsequent </w:t>
      </w:r>
      <w:r w:rsidRPr="00861D1A">
        <w:rPr>
          <w:lang w:eastAsia="en-AU"/>
        </w:rPr>
        <w:t xml:space="preserve">GloBE </w:t>
      </w:r>
      <w:r w:rsidR="008C6D5A">
        <w:rPr>
          <w:lang w:eastAsia="en-AU"/>
        </w:rPr>
        <w:t xml:space="preserve">information </w:t>
      </w:r>
      <w:r w:rsidRPr="00861D1A">
        <w:rPr>
          <w:lang w:eastAsia="en-AU"/>
        </w:rPr>
        <w:t>return. For example, a taxpayer with a 31 March 2024 balance date would generally have to file its tax return for that income year by 31</w:t>
      </w:r>
      <w:r w:rsidR="00217903">
        <w:rPr>
          <w:lang w:eastAsia="en-AU"/>
        </w:rPr>
        <w:t> </w:t>
      </w:r>
      <w:r w:rsidRPr="00861D1A">
        <w:rPr>
          <w:lang w:eastAsia="en-AU"/>
        </w:rPr>
        <w:t xml:space="preserve">March 2025 but the GloBE </w:t>
      </w:r>
      <w:r w:rsidR="008C6D5A">
        <w:rPr>
          <w:lang w:eastAsia="en-AU"/>
        </w:rPr>
        <w:t xml:space="preserve">information </w:t>
      </w:r>
      <w:r w:rsidRPr="00861D1A">
        <w:rPr>
          <w:lang w:eastAsia="en-AU"/>
        </w:rPr>
        <w:t xml:space="preserve">return would be due on 30 June 2025. This could result in taxpayer having to request reassessments </w:t>
      </w:r>
      <w:r w:rsidRPr="00861D1A">
        <w:rPr>
          <w:lang w:eastAsia="en-AU"/>
        </w:rPr>
        <w:lastRenderedPageBreak/>
        <w:t>which will also have flow on impacts for use of money interest charges (UOMI) and compliance costs for taxpayers.</w:t>
      </w:r>
    </w:p>
    <w:p w14:paraId="6B8FC0C1" w14:textId="44CDBA01" w:rsidR="00861D1A" w:rsidRPr="00861D1A" w:rsidRDefault="00861D1A" w:rsidP="00F81D32">
      <w:pPr>
        <w:pStyle w:val="Heading3"/>
        <w:rPr>
          <w:lang w:val="en-GB" w:eastAsia="en-AU"/>
        </w:rPr>
      </w:pPr>
      <w:r w:rsidRPr="00861D1A">
        <w:rPr>
          <w:lang w:val="en-GB" w:eastAsia="en-AU"/>
        </w:rPr>
        <w:t xml:space="preserve">Option </w:t>
      </w:r>
      <w:r w:rsidR="00DF260B">
        <w:rPr>
          <w:lang w:val="en-GB" w:eastAsia="en-AU"/>
        </w:rPr>
        <w:t>2</w:t>
      </w:r>
      <w:r w:rsidRPr="00861D1A">
        <w:rPr>
          <w:lang w:val="en-GB" w:eastAsia="en-AU"/>
        </w:rPr>
        <w:t>: Separate tax liability</w:t>
      </w:r>
    </w:p>
    <w:p w14:paraId="04644EEC" w14:textId="73AF0029" w:rsidR="00861D1A" w:rsidRPr="00861D1A" w:rsidRDefault="00861D1A" w:rsidP="00982E32">
      <w:pPr>
        <w:pStyle w:val="NumberedParagraph"/>
        <w:rPr>
          <w:lang w:val="en-GB" w:eastAsia="en-AU"/>
        </w:rPr>
      </w:pPr>
      <w:r w:rsidRPr="00861D1A">
        <w:rPr>
          <w:lang w:val="en-GB" w:eastAsia="en-AU"/>
        </w:rPr>
        <w:t>The second approach would be to treat the GloBE calculation and any resulting tax liability as a separate tax liability independent of income tax</w:t>
      </w:r>
      <w:r w:rsidR="00C028F0">
        <w:rPr>
          <w:lang w:val="en-GB" w:eastAsia="en-AU"/>
        </w:rPr>
        <w:t xml:space="preserve">. </w:t>
      </w:r>
      <w:r w:rsidRPr="00861D1A">
        <w:rPr>
          <w:lang w:val="en-GB" w:eastAsia="en-AU"/>
        </w:rPr>
        <w:t>This would apply to the UTPR as well as the IIR.</w:t>
      </w:r>
    </w:p>
    <w:p w14:paraId="4238753E" w14:textId="77777777" w:rsidR="00E70BBC" w:rsidRPr="00861D1A" w:rsidRDefault="00E70BBC" w:rsidP="00E70BBC">
      <w:pPr>
        <w:pStyle w:val="NumberedParagraph"/>
        <w:rPr>
          <w:lang w:val="en-GB" w:eastAsia="en-AU"/>
        </w:rPr>
      </w:pPr>
      <w:r>
        <w:rPr>
          <w:lang w:val="en-GB" w:eastAsia="en-AU"/>
        </w:rPr>
        <w:t>The tax would be a joint and several liability of all New Zealand constituent entities.</w:t>
      </w:r>
    </w:p>
    <w:p w14:paraId="4FB33C70" w14:textId="4ADDC53D" w:rsidR="00861D1A" w:rsidRPr="00861D1A" w:rsidRDefault="00861D1A" w:rsidP="00982E32">
      <w:pPr>
        <w:pStyle w:val="NumberedParagraph"/>
        <w:rPr>
          <w:lang w:val="en-GB" w:eastAsia="en-AU"/>
        </w:rPr>
      </w:pPr>
      <w:r w:rsidRPr="00861D1A">
        <w:rPr>
          <w:lang w:val="en-GB" w:eastAsia="en-AU"/>
        </w:rPr>
        <w:t xml:space="preserve">In relation to the UTPR, this charge would </w:t>
      </w:r>
      <w:r w:rsidR="005D3F75">
        <w:rPr>
          <w:lang w:val="en-GB" w:eastAsia="en-AU"/>
        </w:rPr>
        <w:t xml:space="preserve">still </w:t>
      </w:r>
      <w:r w:rsidRPr="00861D1A">
        <w:rPr>
          <w:lang w:val="en-GB" w:eastAsia="en-AU"/>
        </w:rPr>
        <w:t>be capped by reference to deductions in order to meet the “equivalent adjustment” requirements in the Model Rules.</w:t>
      </w:r>
      <w:r w:rsidR="00A31375">
        <w:rPr>
          <w:lang w:val="en-GB" w:eastAsia="en-AU"/>
        </w:rPr>
        <w:t xml:space="preserve"> But</w:t>
      </w:r>
      <w:r w:rsidR="00E70BBC">
        <w:rPr>
          <w:lang w:val="en-GB" w:eastAsia="en-AU"/>
        </w:rPr>
        <w:t xml:space="preserve"> it </w:t>
      </w:r>
      <w:r w:rsidR="00A31375">
        <w:rPr>
          <w:lang w:val="en-GB" w:eastAsia="en-AU"/>
        </w:rPr>
        <w:t xml:space="preserve">will be capped by the </w:t>
      </w:r>
      <w:r w:rsidR="00A31375" w:rsidRPr="001E3AF7">
        <w:rPr>
          <w:i/>
          <w:iCs/>
          <w:lang w:val="en-GB" w:eastAsia="en-AU"/>
        </w:rPr>
        <w:t>total</w:t>
      </w:r>
      <w:r w:rsidR="00A31375">
        <w:rPr>
          <w:lang w:val="en-GB" w:eastAsia="en-AU"/>
        </w:rPr>
        <w:t xml:space="preserve"> deductions claimed by all New Zealand constituent entities.</w:t>
      </w:r>
    </w:p>
    <w:p w14:paraId="048FB2E2" w14:textId="4B56B251" w:rsidR="00861D1A" w:rsidRPr="00861D1A" w:rsidRDefault="00861D1A" w:rsidP="00982E32">
      <w:pPr>
        <w:pStyle w:val="NumberedParagraph"/>
        <w:rPr>
          <w:lang w:val="en-GB" w:eastAsia="en-AU"/>
        </w:rPr>
      </w:pPr>
      <w:r w:rsidRPr="00861D1A">
        <w:rPr>
          <w:lang w:val="en-GB" w:eastAsia="en-AU"/>
        </w:rPr>
        <w:t xml:space="preserve">Officials see this approach as avoiding the disadvantages of using the income tax system to account for the UTPR as this will not impact provisional tax and being a stand-alone tax will not have flow on effects to other taxes. </w:t>
      </w:r>
      <w:r w:rsidR="00D42022">
        <w:rPr>
          <w:lang w:val="en-GB" w:eastAsia="en-AU"/>
        </w:rPr>
        <w:t>Officials consider that the UTPR’s</w:t>
      </w:r>
      <w:r w:rsidRPr="00861D1A">
        <w:rPr>
          <w:lang w:val="en-GB" w:eastAsia="en-AU"/>
        </w:rPr>
        <w:t xml:space="preserve"> type of calculation and payment is better dealt with as a separate tax type.</w:t>
      </w:r>
    </w:p>
    <w:p w14:paraId="6034B2E4" w14:textId="38E48EDA" w:rsidR="00861D1A" w:rsidRPr="00FC3A7A" w:rsidRDefault="00861D1A" w:rsidP="00982E32">
      <w:pPr>
        <w:pStyle w:val="NumberedParagraph"/>
        <w:rPr>
          <w:lang w:val="en-GB" w:eastAsia="en-AU"/>
        </w:rPr>
      </w:pPr>
      <w:r w:rsidRPr="00861D1A">
        <w:rPr>
          <w:lang w:val="en-GB" w:eastAsia="en-AU"/>
        </w:rPr>
        <w:t xml:space="preserve">It will also eliminate some of the complexity of using the income tax system such as having to identify entities with the </w:t>
      </w:r>
      <w:r w:rsidR="008D2B85" w:rsidRPr="00861D1A">
        <w:rPr>
          <w:lang w:val="en-GB" w:eastAsia="en-AU"/>
        </w:rPr>
        <w:t>most</w:t>
      </w:r>
      <w:r w:rsidR="008D2B85" w:rsidRPr="00FC3A7A">
        <w:rPr>
          <w:lang w:val="en-GB" w:eastAsia="en-AU"/>
        </w:rPr>
        <w:t xml:space="preserve"> capacity</w:t>
      </w:r>
      <w:r w:rsidRPr="00FC3A7A">
        <w:rPr>
          <w:lang w:val="en-GB" w:eastAsia="en-AU"/>
        </w:rPr>
        <w:t xml:space="preserve"> to absorb any top-up and creating ordering rules where deductions are subject to some sort of limitation under other tax rules or where the group </w:t>
      </w:r>
      <w:r w:rsidR="00CE2AC8">
        <w:rPr>
          <w:lang w:val="en-GB" w:eastAsia="en-AU"/>
        </w:rPr>
        <w:t xml:space="preserve">or a member of it </w:t>
      </w:r>
      <w:r w:rsidRPr="00FC3A7A">
        <w:rPr>
          <w:lang w:val="en-GB" w:eastAsia="en-AU"/>
        </w:rPr>
        <w:t>has losses.</w:t>
      </w:r>
      <w:r w:rsidR="00006CE7" w:rsidRPr="00FC3A7A">
        <w:rPr>
          <w:lang w:val="en-GB" w:eastAsia="en-AU"/>
        </w:rPr>
        <w:t xml:space="preserve"> Therefore officials currently prefer Option </w:t>
      </w:r>
      <w:r w:rsidR="005D4DE2" w:rsidRPr="00FC3A7A">
        <w:rPr>
          <w:lang w:val="en-GB" w:eastAsia="en-AU"/>
        </w:rPr>
        <w:t>2</w:t>
      </w:r>
      <w:r w:rsidR="00006CE7" w:rsidRPr="00FC3A7A">
        <w:rPr>
          <w:lang w:val="en-GB" w:eastAsia="en-AU"/>
        </w:rPr>
        <w:t>.</w:t>
      </w:r>
    </w:p>
    <w:p w14:paraId="353AC0AE" w14:textId="4EB2EA9C" w:rsidR="00861D1A" w:rsidRPr="00FC3A7A" w:rsidRDefault="00861D1A" w:rsidP="00982E32">
      <w:pPr>
        <w:pStyle w:val="NumberedParagraph"/>
        <w:rPr>
          <w:lang w:val="en-GB" w:eastAsia="en-AU"/>
        </w:rPr>
      </w:pPr>
      <w:r w:rsidRPr="00FC3A7A">
        <w:rPr>
          <w:lang w:val="en-GB" w:eastAsia="en-AU"/>
        </w:rPr>
        <w:t xml:space="preserve">Other tax administration aspects of GloBE reporting are covered in Chapter </w:t>
      </w:r>
      <w:r w:rsidR="00B17FA6" w:rsidRPr="00FC3A7A">
        <w:rPr>
          <w:lang w:val="en-GB" w:eastAsia="en-AU"/>
        </w:rPr>
        <w:t>1</w:t>
      </w:r>
      <w:r w:rsidR="00176696">
        <w:rPr>
          <w:lang w:val="en-GB" w:eastAsia="en-AU"/>
        </w:rPr>
        <w:t>2</w:t>
      </w:r>
      <w:r w:rsidRPr="00FC3A7A">
        <w:rPr>
          <w:lang w:val="en-GB" w:eastAsia="en-AU"/>
        </w:rPr>
        <w:t>.</w:t>
      </w:r>
    </w:p>
    <w:tbl>
      <w:tblPr>
        <w:tblStyle w:val="QuestionBox"/>
        <w:tblW w:w="8779" w:type="dxa"/>
        <w:tblLook w:val="04A0" w:firstRow="1" w:lastRow="0" w:firstColumn="1" w:lastColumn="0" w:noHBand="0" w:noVBand="1"/>
      </w:tblPr>
      <w:tblGrid>
        <w:gridCol w:w="8779"/>
      </w:tblGrid>
      <w:tr w:rsidR="00982E32" w14:paraId="0643F293" w14:textId="77777777" w:rsidTr="001373D9">
        <w:tc>
          <w:tcPr>
            <w:tcW w:w="8779" w:type="dxa"/>
          </w:tcPr>
          <w:p w14:paraId="5DF1708B" w14:textId="77777777" w:rsidR="00982E32" w:rsidRDefault="00982E32" w:rsidP="00180725">
            <w:pPr>
              <w:rPr>
                <w:b/>
                <w:bCs/>
              </w:rPr>
            </w:pPr>
            <w:r w:rsidRPr="0097039F">
              <w:rPr>
                <w:b/>
                <w:bCs/>
              </w:rPr>
              <w:t xml:space="preserve">Questions for submitters </w:t>
            </w:r>
          </w:p>
          <w:p w14:paraId="445FB0CC" w14:textId="26F55C32" w:rsidR="00982E32" w:rsidRPr="00982E32" w:rsidRDefault="00982E32" w:rsidP="00982E32">
            <w:pPr>
              <w:pStyle w:val="ListBullet"/>
            </w:pPr>
            <w:r w:rsidRPr="00982E32">
              <w:t xml:space="preserve">Do you prefer Option </w:t>
            </w:r>
            <w:r w:rsidR="00850B92">
              <w:t>1</w:t>
            </w:r>
            <w:r w:rsidR="00850B92" w:rsidRPr="00982E32">
              <w:t xml:space="preserve"> </w:t>
            </w:r>
            <w:r w:rsidRPr="00982E32">
              <w:t xml:space="preserve">(denying a deduction) or Option </w:t>
            </w:r>
            <w:r w:rsidR="00850B92">
              <w:t>2</w:t>
            </w:r>
            <w:r w:rsidR="00850B92" w:rsidRPr="00982E32">
              <w:t xml:space="preserve"> </w:t>
            </w:r>
            <w:r w:rsidRPr="00982E32">
              <w:t>(separate tax liability) for implementing the UTPR in New Zealand? Why?</w:t>
            </w:r>
          </w:p>
          <w:p w14:paraId="0F21298E" w14:textId="44D2EFE4" w:rsidR="00982E32" w:rsidRPr="00C4571D" w:rsidRDefault="25A57369" w:rsidP="00982E32">
            <w:pPr>
              <w:pStyle w:val="ListBullet"/>
            </w:pPr>
            <w:r>
              <w:t xml:space="preserve">If you prefer Option </w:t>
            </w:r>
            <w:r w:rsidR="2DA5D1F4">
              <w:t>1</w:t>
            </w:r>
            <w:r>
              <w:t xml:space="preserve">, do you have suggestions to resolve the issues outlined </w:t>
            </w:r>
            <w:r w:rsidR="001851AB">
              <w:t>in this chapter</w:t>
            </w:r>
            <w:r>
              <w:t>?</w:t>
            </w:r>
          </w:p>
        </w:tc>
      </w:tr>
    </w:tbl>
    <w:p w14:paraId="1DD68DEE" w14:textId="77777777" w:rsidR="00D714EF" w:rsidRDefault="00D714EF" w:rsidP="00D714EF">
      <w:pPr>
        <w:pStyle w:val="Heading1"/>
        <w:rPr>
          <w:lang w:eastAsia="en-AU"/>
        </w:rPr>
      </w:pPr>
      <w:r>
        <w:rPr>
          <w:lang w:eastAsia="en-AU"/>
        </w:rPr>
        <w:lastRenderedPageBreak/>
        <w:br/>
      </w:r>
      <w:r>
        <w:rPr>
          <w:lang w:eastAsia="en-AU"/>
        </w:rPr>
        <w:br/>
      </w:r>
      <w:bookmarkStart w:id="92" w:name="_Toc101095621"/>
      <w:r>
        <w:rPr>
          <w:lang w:eastAsia="en-AU"/>
        </w:rPr>
        <w:t>Tax administration impacts</w:t>
      </w:r>
      <w:bookmarkEnd w:id="92"/>
    </w:p>
    <w:p w14:paraId="4B0F9D28" w14:textId="77777777" w:rsidR="00D714EF" w:rsidRPr="00935744" w:rsidRDefault="00D714EF" w:rsidP="00D714EF">
      <w:pPr>
        <w:pStyle w:val="NumberedParagraph"/>
        <w:rPr>
          <w:rFonts w:eastAsia="Verdana"/>
        </w:rPr>
      </w:pPr>
      <w:r w:rsidRPr="00861D1A">
        <w:rPr>
          <w:lang w:eastAsia="en-AU"/>
        </w:rPr>
        <w:t xml:space="preserve">Chapter 8 </w:t>
      </w:r>
      <w:r>
        <w:rPr>
          <w:lang w:eastAsia="en-AU"/>
        </w:rPr>
        <w:t xml:space="preserve">of </w:t>
      </w:r>
      <w:r w:rsidRPr="00861D1A">
        <w:rPr>
          <w:lang w:eastAsia="en-AU"/>
        </w:rPr>
        <w:t>the Model Rules provides a coordinated and standardised approach to reporting which is designed to reduce the compliance burden for businesses and facilitate the effective administration of the GloBE.</w:t>
      </w:r>
    </w:p>
    <w:p w14:paraId="694149F6" w14:textId="72CB93A1" w:rsidR="00F12053" w:rsidRPr="00935744" w:rsidRDefault="794134C2" w:rsidP="4B114B9C">
      <w:pPr>
        <w:pStyle w:val="NumberedParagraph"/>
        <w:rPr>
          <w:rFonts w:eastAsia="Verdana"/>
        </w:rPr>
      </w:pPr>
      <w:r>
        <w:t>The model rules</w:t>
      </w:r>
      <w:r w:rsidR="60EDCCEC">
        <w:t xml:space="preserve"> place an obligation on each constituent entity to file a GloBE information return with the local tax administration</w:t>
      </w:r>
      <w:r w:rsidR="24E534BA">
        <w:t>.</w:t>
      </w:r>
      <w:r w:rsidR="3126B9F2">
        <w:t xml:space="preserve"> However,</w:t>
      </w:r>
      <w:r>
        <w:t xml:space="preserve"> a constituent entity is discharged from this obligation when the UPE or a designated filing entity files the GloBE information return with the tax administration of the jurisdiction where it is </w:t>
      </w:r>
      <w:proofErr w:type="gramStart"/>
      <w:r w:rsidR="24E534BA">
        <w:t>located</w:t>
      </w:r>
      <w:proofErr w:type="gramEnd"/>
      <w:r>
        <w:t xml:space="preserve"> and the Competent Authority of that jurisdiction has a</w:t>
      </w:r>
      <w:r w:rsidR="24E534BA">
        <w:t>n</w:t>
      </w:r>
      <w:r>
        <w:t xml:space="preserve"> agreement in effect to automatically exchange the GloBE information return with the Competent Authority of the jurisdiction of the constituent entity.</w:t>
      </w:r>
    </w:p>
    <w:p w14:paraId="310CDC20" w14:textId="2672FC84" w:rsidR="00D714EF" w:rsidRDefault="00D714EF" w:rsidP="00D714EF">
      <w:pPr>
        <w:pStyle w:val="NumberedParagraph"/>
        <w:rPr>
          <w:lang w:eastAsia="en-AU"/>
        </w:rPr>
      </w:pPr>
      <w:r w:rsidRPr="00861D1A">
        <w:rPr>
          <w:lang w:eastAsia="en-AU"/>
        </w:rPr>
        <w:t xml:space="preserve">Under </w:t>
      </w:r>
      <w:r>
        <w:rPr>
          <w:lang w:eastAsia="en-AU"/>
        </w:rPr>
        <w:t>this</w:t>
      </w:r>
      <w:r w:rsidRPr="00861D1A">
        <w:rPr>
          <w:lang w:eastAsia="en-AU"/>
        </w:rPr>
        <w:t xml:space="preserve"> approach </w:t>
      </w:r>
      <w:r w:rsidR="008F6177">
        <w:rPr>
          <w:lang w:eastAsia="en-AU"/>
        </w:rPr>
        <w:t xml:space="preserve">a </w:t>
      </w:r>
      <w:r>
        <w:rPr>
          <w:lang w:eastAsia="en-AU"/>
        </w:rPr>
        <w:t xml:space="preserve">New Zealand </w:t>
      </w:r>
      <w:r w:rsidR="008F6177">
        <w:rPr>
          <w:lang w:eastAsia="en-AU"/>
        </w:rPr>
        <w:t xml:space="preserve">resident UPE </w:t>
      </w:r>
      <w:r>
        <w:rPr>
          <w:lang w:eastAsia="en-AU"/>
        </w:rPr>
        <w:t xml:space="preserve">of an </w:t>
      </w:r>
      <w:r w:rsidRPr="00861D1A">
        <w:rPr>
          <w:lang w:eastAsia="en-AU"/>
        </w:rPr>
        <w:t>MNE</w:t>
      </w:r>
      <w:r>
        <w:rPr>
          <w:lang w:eastAsia="en-AU"/>
        </w:rPr>
        <w:t xml:space="preserve"> Group (or other </w:t>
      </w:r>
      <w:r w:rsidR="003A537A">
        <w:rPr>
          <w:lang w:eastAsia="en-AU"/>
        </w:rPr>
        <w:t>New Zealand resident</w:t>
      </w:r>
      <w:r>
        <w:rPr>
          <w:lang w:eastAsia="en-AU"/>
        </w:rPr>
        <w:t xml:space="preserve"> designated filing entity)</w:t>
      </w:r>
      <w:r w:rsidRPr="00861D1A">
        <w:rPr>
          <w:lang w:eastAsia="en-AU"/>
        </w:rPr>
        <w:t xml:space="preserve"> will be required to submit a GloBE </w:t>
      </w:r>
      <w:r>
        <w:rPr>
          <w:lang w:eastAsia="en-AU"/>
        </w:rPr>
        <w:t xml:space="preserve">information </w:t>
      </w:r>
      <w:r w:rsidRPr="00861D1A">
        <w:rPr>
          <w:lang w:eastAsia="en-AU"/>
        </w:rPr>
        <w:t>return providing detailed information to support their GloBE calculation, including information about the calculation of their ETR, any top-up tax liabilities and how they are allocated between different jurisdictions.</w:t>
      </w:r>
    </w:p>
    <w:p w14:paraId="5565943C" w14:textId="13E1E839" w:rsidR="00D714EF" w:rsidRPr="00861D1A" w:rsidRDefault="00D714EF" w:rsidP="00D714EF">
      <w:pPr>
        <w:pStyle w:val="NumberedParagraph"/>
        <w:rPr>
          <w:lang w:eastAsia="en-AU"/>
        </w:rPr>
      </w:pPr>
      <w:r>
        <w:rPr>
          <w:lang w:eastAsia="en-AU"/>
        </w:rPr>
        <w:t xml:space="preserve">In addition, a New Zealand GloBE </w:t>
      </w:r>
      <w:r w:rsidRPr="001E3AF7">
        <w:rPr>
          <w:i/>
          <w:lang w:eastAsia="en-AU"/>
        </w:rPr>
        <w:t>tax</w:t>
      </w:r>
      <w:r>
        <w:rPr>
          <w:lang w:eastAsia="en-AU"/>
        </w:rPr>
        <w:t xml:space="preserve"> return will be filed with the calculation and assessment of any </w:t>
      </w:r>
      <w:r w:rsidRPr="00861D1A">
        <w:rPr>
          <w:lang w:eastAsia="en-AU"/>
        </w:rPr>
        <w:t>top-up tax liabilities</w:t>
      </w:r>
      <w:r>
        <w:rPr>
          <w:lang w:eastAsia="en-AU"/>
        </w:rPr>
        <w:t xml:space="preserve"> by the New Zealand </w:t>
      </w:r>
      <w:r w:rsidR="00123DA3">
        <w:rPr>
          <w:lang w:eastAsia="en-AU"/>
        </w:rPr>
        <w:t xml:space="preserve">UPE </w:t>
      </w:r>
      <w:r>
        <w:rPr>
          <w:lang w:eastAsia="en-AU"/>
        </w:rPr>
        <w:t xml:space="preserve">of an MNE group (or other </w:t>
      </w:r>
      <w:r w:rsidR="003A2C22">
        <w:rPr>
          <w:lang w:eastAsia="en-AU"/>
        </w:rPr>
        <w:t xml:space="preserve">New Zealand resident </w:t>
      </w:r>
      <w:r>
        <w:rPr>
          <w:lang w:eastAsia="en-AU"/>
        </w:rPr>
        <w:t xml:space="preserve">designated filing entity) and any </w:t>
      </w:r>
      <w:r w:rsidR="00873B34">
        <w:rPr>
          <w:lang w:eastAsia="en-AU"/>
        </w:rPr>
        <w:t>constituent entities</w:t>
      </w:r>
      <w:r>
        <w:rPr>
          <w:lang w:eastAsia="en-AU"/>
        </w:rPr>
        <w:t xml:space="preserve"> in New Zealand with a UTPR liability.</w:t>
      </w:r>
    </w:p>
    <w:p w14:paraId="34F4AF1E" w14:textId="5C96A1AE" w:rsidR="00D714EF" w:rsidRPr="00861D1A" w:rsidRDefault="00D714EF" w:rsidP="00D714EF">
      <w:pPr>
        <w:pStyle w:val="NumberedParagraph"/>
        <w:rPr>
          <w:lang w:eastAsia="en-AU"/>
        </w:rPr>
      </w:pPr>
      <w:r w:rsidRPr="00861D1A">
        <w:rPr>
          <w:lang w:eastAsia="en-AU"/>
        </w:rPr>
        <w:t>Th</w:t>
      </w:r>
      <w:r>
        <w:rPr>
          <w:lang w:eastAsia="en-AU"/>
        </w:rPr>
        <w:t xml:space="preserve">e GloBE </w:t>
      </w:r>
      <w:r w:rsidRPr="00861D1A">
        <w:rPr>
          <w:lang w:eastAsia="en-AU"/>
        </w:rPr>
        <w:t xml:space="preserve">information </w:t>
      </w:r>
      <w:r>
        <w:rPr>
          <w:lang w:eastAsia="en-AU"/>
        </w:rPr>
        <w:t xml:space="preserve">return </w:t>
      </w:r>
      <w:r w:rsidRPr="00861D1A">
        <w:rPr>
          <w:lang w:eastAsia="en-AU"/>
        </w:rPr>
        <w:t xml:space="preserve">will need to be provided in a global standardised return which is to be developed as part of the </w:t>
      </w:r>
      <w:r>
        <w:rPr>
          <w:lang w:eastAsia="en-AU"/>
        </w:rPr>
        <w:t>I</w:t>
      </w:r>
      <w:r w:rsidRPr="00861D1A">
        <w:rPr>
          <w:lang w:eastAsia="en-AU"/>
        </w:rPr>
        <w:t xml:space="preserve">mplementation </w:t>
      </w:r>
      <w:r>
        <w:rPr>
          <w:lang w:eastAsia="en-AU"/>
        </w:rPr>
        <w:t>F</w:t>
      </w:r>
      <w:r w:rsidRPr="00861D1A">
        <w:rPr>
          <w:lang w:eastAsia="en-AU"/>
        </w:rPr>
        <w:t xml:space="preserve">ramework for </w:t>
      </w:r>
      <w:r>
        <w:rPr>
          <w:lang w:eastAsia="en-AU"/>
        </w:rPr>
        <w:t>Pillar Two</w:t>
      </w:r>
      <w:r w:rsidRPr="00861D1A">
        <w:rPr>
          <w:lang w:eastAsia="en-AU"/>
        </w:rPr>
        <w:t xml:space="preserve">. A standardised return will enable the smooth transfer of information between various tax authorities ensuring that the same information is provided to every tax authority which will reduce the scope for error and help </w:t>
      </w:r>
      <w:r w:rsidR="001851AB">
        <w:rPr>
          <w:lang w:eastAsia="en-AU"/>
        </w:rPr>
        <w:t xml:space="preserve">to </w:t>
      </w:r>
      <w:r w:rsidRPr="00861D1A">
        <w:rPr>
          <w:lang w:eastAsia="en-AU"/>
        </w:rPr>
        <w:t>reduce compliance costs across jurisdictions.</w:t>
      </w:r>
    </w:p>
    <w:p w14:paraId="29EEEC43" w14:textId="77777777" w:rsidR="00D714EF" w:rsidRPr="00861D1A" w:rsidRDefault="00D714EF" w:rsidP="00D714EF">
      <w:pPr>
        <w:pStyle w:val="NumberedParagraph"/>
        <w:rPr>
          <w:lang w:eastAsia="en-AU"/>
        </w:rPr>
      </w:pPr>
      <w:r w:rsidRPr="00861D1A">
        <w:rPr>
          <w:lang w:eastAsia="en-AU"/>
        </w:rPr>
        <w:t xml:space="preserve">The Model Rules allow for </w:t>
      </w:r>
      <w:r>
        <w:rPr>
          <w:lang w:eastAsia="en-AU"/>
        </w:rPr>
        <w:t xml:space="preserve">GloBE information </w:t>
      </w:r>
      <w:r w:rsidRPr="00861D1A">
        <w:rPr>
          <w:lang w:eastAsia="en-AU"/>
        </w:rPr>
        <w:t>returns to be exchanged between tax authorities using a similar approach to the framework developed for C</w:t>
      </w:r>
      <w:r>
        <w:rPr>
          <w:lang w:eastAsia="en-AU"/>
        </w:rPr>
        <w:t>b</w:t>
      </w:r>
      <w:r w:rsidRPr="00861D1A">
        <w:rPr>
          <w:lang w:eastAsia="en-AU"/>
        </w:rPr>
        <w:t>C reporting.</w:t>
      </w:r>
    </w:p>
    <w:p w14:paraId="4DEAA26D" w14:textId="4E24E421" w:rsidR="00D714EF" w:rsidRDefault="00D714EF" w:rsidP="00D714EF">
      <w:pPr>
        <w:pStyle w:val="NumberedParagraph"/>
        <w:rPr>
          <w:lang w:eastAsia="en-AU"/>
        </w:rPr>
      </w:pPr>
      <w:r w:rsidRPr="00861D1A">
        <w:rPr>
          <w:lang w:eastAsia="en-AU"/>
        </w:rPr>
        <w:t xml:space="preserve">GloBE </w:t>
      </w:r>
      <w:r>
        <w:rPr>
          <w:lang w:eastAsia="en-AU"/>
        </w:rPr>
        <w:t xml:space="preserve">information </w:t>
      </w:r>
      <w:r w:rsidRPr="00861D1A">
        <w:rPr>
          <w:lang w:eastAsia="en-AU"/>
        </w:rPr>
        <w:t xml:space="preserve">returns must be filed within 15 months of the end of the fiscal year </w:t>
      </w:r>
      <w:r w:rsidRPr="00D566AD">
        <w:rPr>
          <w:lang w:eastAsia="en-AU"/>
        </w:rPr>
        <w:t>although for the initial reporting year this has been extended to 18</w:t>
      </w:r>
      <w:r w:rsidR="00B14A27">
        <w:rPr>
          <w:lang w:eastAsia="en-AU"/>
        </w:rPr>
        <w:t> </w:t>
      </w:r>
      <w:r w:rsidRPr="00D566AD">
        <w:rPr>
          <w:lang w:eastAsia="en-AU"/>
        </w:rPr>
        <w:t xml:space="preserve">months. </w:t>
      </w:r>
      <w:r w:rsidR="00E021D6">
        <w:rPr>
          <w:lang w:eastAsia="en-AU"/>
        </w:rPr>
        <w:t>I</w:t>
      </w:r>
      <w:r w:rsidR="008B4D3F">
        <w:rPr>
          <w:lang w:eastAsia="en-AU"/>
        </w:rPr>
        <w:t>f</w:t>
      </w:r>
      <w:r w:rsidRPr="00D566AD" w:rsidDel="00D52529">
        <w:rPr>
          <w:lang w:eastAsia="en-AU"/>
        </w:rPr>
        <w:t xml:space="preserve"> New Zealand </w:t>
      </w:r>
      <w:r w:rsidR="008B4D3F">
        <w:rPr>
          <w:lang w:eastAsia="en-AU"/>
        </w:rPr>
        <w:t>enact</w:t>
      </w:r>
      <w:r w:rsidR="00176DEC">
        <w:rPr>
          <w:lang w:eastAsia="en-AU"/>
        </w:rPr>
        <w:t>ed</w:t>
      </w:r>
      <w:r w:rsidR="008B4D3F">
        <w:rPr>
          <w:lang w:eastAsia="en-AU"/>
        </w:rPr>
        <w:t xml:space="preserve"> GloBE rules at the end of September 2023, effective for income years </w:t>
      </w:r>
      <w:r w:rsidR="00B004A6">
        <w:rPr>
          <w:lang w:eastAsia="en-AU"/>
        </w:rPr>
        <w:t>beginning after enactment,</w:t>
      </w:r>
      <w:r w:rsidR="008B4D3F">
        <w:rPr>
          <w:lang w:eastAsia="en-AU"/>
        </w:rPr>
        <w:t xml:space="preserve"> </w:t>
      </w:r>
      <w:r w:rsidRPr="00D566AD">
        <w:rPr>
          <w:lang w:eastAsia="en-AU"/>
        </w:rPr>
        <w:t xml:space="preserve">the first full year GloBE information return would be due in March 2026 (for taxpayers balancing </w:t>
      </w:r>
      <w:proofErr w:type="gramStart"/>
      <w:r w:rsidRPr="00D566AD">
        <w:rPr>
          <w:lang w:eastAsia="en-AU"/>
        </w:rPr>
        <w:t>at</w:t>
      </w:r>
      <w:proofErr w:type="gramEnd"/>
      <w:r w:rsidRPr="00D566AD">
        <w:rPr>
          <w:lang w:eastAsia="en-AU"/>
        </w:rPr>
        <w:t xml:space="preserve"> 30</w:t>
      </w:r>
      <w:r w:rsidR="00B14A27">
        <w:rPr>
          <w:lang w:eastAsia="en-AU"/>
        </w:rPr>
        <w:t> </w:t>
      </w:r>
      <w:r w:rsidRPr="00D566AD">
        <w:rPr>
          <w:lang w:eastAsia="en-AU"/>
        </w:rPr>
        <w:t xml:space="preserve">September 2024). This initial extended date </w:t>
      </w:r>
      <w:r w:rsidR="000B1DAC">
        <w:rPr>
          <w:lang w:eastAsia="en-AU"/>
        </w:rPr>
        <w:t>would</w:t>
      </w:r>
      <w:r w:rsidRPr="00D566AD">
        <w:rPr>
          <w:lang w:eastAsia="en-AU"/>
        </w:rPr>
        <w:t xml:space="preserve"> allow affected taxpayers</w:t>
      </w:r>
      <w:r w:rsidRPr="00861D1A">
        <w:rPr>
          <w:lang w:eastAsia="en-AU"/>
        </w:rPr>
        <w:t xml:space="preserve"> more time to establish reporting systems and processes for the new return</w:t>
      </w:r>
      <w:r>
        <w:rPr>
          <w:lang w:eastAsia="en-AU"/>
        </w:rPr>
        <w:t>s</w:t>
      </w:r>
      <w:r w:rsidRPr="00861D1A">
        <w:rPr>
          <w:lang w:eastAsia="en-AU"/>
        </w:rPr>
        <w:t>.</w:t>
      </w:r>
    </w:p>
    <w:p w14:paraId="3D661281" w14:textId="3F2CA29B" w:rsidR="00D714EF" w:rsidRDefault="00D714EF" w:rsidP="00D714EF">
      <w:pPr>
        <w:pStyle w:val="NumberedParagraph"/>
        <w:rPr>
          <w:lang w:eastAsia="en-AU"/>
        </w:rPr>
      </w:pPr>
      <w:r>
        <w:rPr>
          <w:lang w:eastAsia="en-AU"/>
        </w:rPr>
        <w:t xml:space="preserve">The due date for the New Zealand GloBE tax returns required is proposed to be one month (two months in the initial year) after the GloBE information return due date to allow foreign groups to arrange filing of the New Zealand GloBE tax return. </w:t>
      </w:r>
      <w:r w:rsidR="002E53E5">
        <w:rPr>
          <w:lang w:eastAsia="en-AU"/>
        </w:rPr>
        <w:t>I</w:t>
      </w:r>
      <w:r w:rsidR="00B004A6">
        <w:rPr>
          <w:lang w:eastAsia="en-AU"/>
        </w:rPr>
        <w:t>f</w:t>
      </w:r>
      <w:r>
        <w:rPr>
          <w:lang w:eastAsia="en-AU"/>
        </w:rPr>
        <w:t xml:space="preserve"> New Zealand </w:t>
      </w:r>
      <w:r w:rsidR="00B004A6">
        <w:rPr>
          <w:lang w:eastAsia="en-AU"/>
        </w:rPr>
        <w:t>enact</w:t>
      </w:r>
      <w:r w:rsidR="00A02D4D">
        <w:rPr>
          <w:lang w:eastAsia="en-AU"/>
        </w:rPr>
        <w:t>ed</w:t>
      </w:r>
      <w:r w:rsidR="00B004A6">
        <w:rPr>
          <w:lang w:eastAsia="en-AU"/>
        </w:rPr>
        <w:t xml:space="preserve"> GloBE rules at the end of September 2023, effective for income years beginning after enactment, </w:t>
      </w:r>
      <w:r>
        <w:rPr>
          <w:lang w:eastAsia="en-AU"/>
        </w:rPr>
        <w:t xml:space="preserve">the first New Zealand GloBE tax return would be due </w:t>
      </w:r>
      <w:r w:rsidR="00B004A6">
        <w:rPr>
          <w:lang w:eastAsia="en-AU"/>
        </w:rPr>
        <w:t>in</w:t>
      </w:r>
      <w:r>
        <w:rPr>
          <w:lang w:eastAsia="en-AU"/>
        </w:rPr>
        <w:t xml:space="preserve"> May 2026</w:t>
      </w:r>
      <w:r w:rsidR="00B004A6">
        <w:rPr>
          <w:lang w:eastAsia="en-AU"/>
        </w:rPr>
        <w:t xml:space="preserve"> </w:t>
      </w:r>
      <w:r w:rsidR="00B004A6" w:rsidRPr="00D566AD">
        <w:rPr>
          <w:lang w:eastAsia="en-AU"/>
        </w:rPr>
        <w:t xml:space="preserve">(for taxpayers balancing </w:t>
      </w:r>
      <w:proofErr w:type="gramStart"/>
      <w:r w:rsidR="00B004A6" w:rsidRPr="00D566AD">
        <w:rPr>
          <w:lang w:eastAsia="en-AU"/>
        </w:rPr>
        <w:t>at</w:t>
      </w:r>
      <w:proofErr w:type="gramEnd"/>
      <w:r w:rsidR="00B004A6" w:rsidRPr="00D566AD">
        <w:rPr>
          <w:lang w:eastAsia="en-AU"/>
        </w:rPr>
        <w:t xml:space="preserve"> 30</w:t>
      </w:r>
      <w:r w:rsidR="00B14A27">
        <w:rPr>
          <w:lang w:eastAsia="en-AU"/>
        </w:rPr>
        <w:t> </w:t>
      </w:r>
      <w:r w:rsidR="00B004A6" w:rsidRPr="00D566AD">
        <w:rPr>
          <w:lang w:eastAsia="en-AU"/>
        </w:rPr>
        <w:t>September 2024)</w:t>
      </w:r>
      <w:r>
        <w:rPr>
          <w:lang w:eastAsia="en-AU"/>
        </w:rPr>
        <w:t>.</w:t>
      </w:r>
    </w:p>
    <w:p w14:paraId="0FE0AFB7" w14:textId="77777777" w:rsidR="00D714EF" w:rsidRPr="00EA79D0" w:rsidRDefault="00D714EF" w:rsidP="00D714EF">
      <w:pPr>
        <w:pStyle w:val="NumberedParagraph"/>
        <w:rPr>
          <w:lang w:eastAsia="en-AU"/>
        </w:rPr>
      </w:pPr>
      <w:r>
        <w:rPr>
          <w:lang w:eastAsia="en-AU"/>
        </w:rPr>
        <w:t>This proposed timeframe reflects the fact that completing the New Zealand GloBE tax return should be relatively straightforward and is likely to be little more than transposing facts or figures from the GloBE information return.</w:t>
      </w:r>
    </w:p>
    <w:p w14:paraId="39C1B295" w14:textId="4D466259" w:rsidR="00D714EF" w:rsidRPr="00861D1A" w:rsidRDefault="00D714EF" w:rsidP="00D714EF">
      <w:pPr>
        <w:pStyle w:val="NumberedParagraph"/>
        <w:rPr>
          <w:lang w:eastAsia="en-AU"/>
        </w:rPr>
      </w:pPr>
      <w:r>
        <w:lastRenderedPageBreak/>
        <w:t xml:space="preserve">If New Zealand does not enact the GloBE rules effective from 2024, New Zealand headquartered MNE groups </w:t>
      </w:r>
      <w:r w:rsidR="005A29D7">
        <w:t>may</w:t>
      </w:r>
      <w:r>
        <w:t xml:space="preserve"> still have to file GloBE information returns by no later than 18 months after their balance date for that year, under GloBE rules enacted by other countries.</w:t>
      </w:r>
    </w:p>
    <w:p w14:paraId="56ECD352" w14:textId="77777777" w:rsidR="00D714EF" w:rsidRPr="00861D1A" w:rsidRDefault="00D714EF" w:rsidP="00D714EF">
      <w:pPr>
        <w:pStyle w:val="Heading2"/>
        <w:rPr>
          <w:lang w:eastAsia="en-AU"/>
        </w:rPr>
      </w:pPr>
      <w:bookmarkStart w:id="93" w:name="_Toc101095622"/>
      <w:r w:rsidRPr="00861D1A">
        <w:rPr>
          <w:lang w:eastAsia="en-AU"/>
        </w:rPr>
        <w:t>Filing the return</w:t>
      </w:r>
      <w:r>
        <w:rPr>
          <w:lang w:eastAsia="en-AU"/>
        </w:rPr>
        <w:t>s</w:t>
      </w:r>
      <w:bookmarkEnd w:id="93"/>
    </w:p>
    <w:p w14:paraId="5673DEC8" w14:textId="6190EC58" w:rsidR="00D714EF" w:rsidRDefault="00D714EF" w:rsidP="00D714EF">
      <w:pPr>
        <w:pStyle w:val="NumberedParagraph"/>
        <w:rPr>
          <w:lang w:eastAsia="en-AU"/>
        </w:rPr>
      </w:pPr>
      <w:r w:rsidRPr="00861D1A">
        <w:rPr>
          <w:lang w:eastAsia="en-AU"/>
        </w:rPr>
        <w:t>Taxpayers subject to the GloBE will have the associated tax type set up as a new IRD number or separate tax type within its existing IRD number depending on the final system design.</w:t>
      </w:r>
    </w:p>
    <w:p w14:paraId="3636915F" w14:textId="77777777" w:rsidR="00D714EF" w:rsidRDefault="00D714EF" w:rsidP="00CA3960">
      <w:pPr>
        <w:pStyle w:val="Heading3"/>
        <w:rPr>
          <w:lang w:eastAsia="en-AU"/>
        </w:rPr>
      </w:pPr>
      <w:r>
        <w:rPr>
          <w:lang w:eastAsia="en-AU"/>
        </w:rPr>
        <w:t>Registration</w:t>
      </w:r>
    </w:p>
    <w:p w14:paraId="212FD31C" w14:textId="0FC7E3DB" w:rsidR="00291FF6" w:rsidRDefault="00D714EF" w:rsidP="00D714EF">
      <w:pPr>
        <w:pStyle w:val="NumberedParagraph"/>
        <w:rPr>
          <w:lang w:eastAsia="en-AU"/>
        </w:rPr>
      </w:pPr>
      <w:r w:rsidRPr="00861D1A">
        <w:rPr>
          <w:lang w:eastAsia="en-AU"/>
        </w:rPr>
        <w:t xml:space="preserve">Taxpayers will be required to notify Inland Revenue that they are within the scope of the GloBE through a new </w:t>
      </w:r>
      <w:r>
        <w:rPr>
          <w:lang w:eastAsia="en-AU"/>
        </w:rPr>
        <w:t xml:space="preserve">annual </w:t>
      </w:r>
      <w:r w:rsidRPr="00861D1A">
        <w:rPr>
          <w:lang w:eastAsia="en-AU"/>
        </w:rPr>
        <w:t xml:space="preserve">registration process. It is proposed that taxpayers would be </w:t>
      </w:r>
      <w:r>
        <w:rPr>
          <w:lang w:eastAsia="en-AU"/>
        </w:rPr>
        <w:t>given</w:t>
      </w:r>
      <w:r w:rsidRPr="00861D1A">
        <w:rPr>
          <w:lang w:eastAsia="en-AU"/>
        </w:rPr>
        <w:t xml:space="preserve"> </w:t>
      </w:r>
      <w:r w:rsidRPr="003178E1">
        <w:rPr>
          <w:lang w:eastAsia="en-AU"/>
        </w:rPr>
        <w:t xml:space="preserve">6 to 9 months </w:t>
      </w:r>
      <w:r w:rsidRPr="0090046B">
        <w:rPr>
          <w:lang w:eastAsia="en-AU"/>
        </w:rPr>
        <w:t>from</w:t>
      </w:r>
      <w:r w:rsidRPr="00861D1A">
        <w:rPr>
          <w:lang w:eastAsia="en-AU"/>
        </w:rPr>
        <w:t xml:space="preserve"> the end of their income year to complete this annual registration</w:t>
      </w:r>
      <w:r>
        <w:rPr>
          <w:lang w:eastAsia="en-AU"/>
        </w:rPr>
        <w:t xml:space="preserve">. </w:t>
      </w:r>
      <w:r w:rsidRPr="00861D1A">
        <w:rPr>
          <w:lang w:eastAsia="en-AU"/>
        </w:rPr>
        <w:t>This process would apply to both New Zealand headquartered MNEs and foreign MNEs with constituent entities located in New Zealand.</w:t>
      </w:r>
    </w:p>
    <w:p w14:paraId="6673C6DF" w14:textId="032686F9" w:rsidR="00D714EF" w:rsidRPr="00861D1A" w:rsidRDefault="6617DE2B" w:rsidP="00D714EF">
      <w:pPr>
        <w:pStyle w:val="NumberedParagraph"/>
        <w:rPr>
          <w:lang w:eastAsia="en-AU"/>
        </w:rPr>
      </w:pPr>
      <w:r w:rsidRPr="4B114B9C">
        <w:rPr>
          <w:lang w:eastAsia="en-AU"/>
        </w:rPr>
        <w:t xml:space="preserve">Part of this registration will be </w:t>
      </w:r>
      <w:r w:rsidR="0AB44173" w:rsidRPr="4B114B9C">
        <w:rPr>
          <w:lang w:eastAsia="en-AU"/>
        </w:rPr>
        <w:t xml:space="preserve">informing Inland Revenue of </w:t>
      </w:r>
      <w:r w:rsidR="4B9CAFAA" w:rsidRPr="4B114B9C">
        <w:rPr>
          <w:lang w:eastAsia="en-AU"/>
        </w:rPr>
        <w:t>the identity and location of the UPE or the designated filing entity</w:t>
      </w:r>
      <w:r w:rsidR="7647F61E" w:rsidRPr="4B114B9C">
        <w:rPr>
          <w:lang w:eastAsia="en-AU"/>
        </w:rPr>
        <w:t xml:space="preserve"> that will be filing the GloBE </w:t>
      </w:r>
      <w:r w:rsidR="0365281D" w:rsidRPr="4B114B9C">
        <w:rPr>
          <w:lang w:eastAsia="en-AU"/>
        </w:rPr>
        <w:t>information return.</w:t>
      </w:r>
      <w:r w:rsidR="25346703" w:rsidRPr="4B114B9C">
        <w:rPr>
          <w:lang w:eastAsia="en-AU"/>
        </w:rPr>
        <w:t xml:space="preserve"> This will provide Inland Revenue with notice </w:t>
      </w:r>
      <w:r w:rsidR="4543EE6F" w:rsidRPr="4B114B9C">
        <w:rPr>
          <w:lang w:eastAsia="en-AU"/>
        </w:rPr>
        <w:t>of where it will receive the GloBE information return from (</w:t>
      </w:r>
      <w:r w:rsidR="00653468">
        <w:rPr>
          <w:lang w:eastAsia="en-AU"/>
        </w:rPr>
        <w:t>that is</w:t>
      </w:r>
      <w:r w:rsidR="4543EE6F" w:rsidRPr="4B114B9C">
        <w:rPr>
          <w:lang w:eastAsia="en-AU"/>
        </w:rPr>
        <w:t>, directly or through information exchange channels.</w:t>
      </w:r>
    </w:p>
    <w:p w14:paraId="02A13F4B" w14:textId="77777777" w:rsidR="00D714EF" w:rsidRDefault="00D714EF" w:rsidP="00D714EF">
      <w:pPr>
        <w:pStyle w:val="NumberedParagraph"/>
        <w:rPr>
          <w:lang w:eastAsia="en-AU"/>
        </w:rPr>
      </w:pPr>
      <w:r w:rsidRPr="00861D1A">
        <w:rPr>
          <w:lang w:eastAsia="en-AU"/>
        </w:rPr>
        <w:t>As most of the taxpayers subject to the GloBE requirements will already be subject to CbC reporting Inland Revenue can work with those taxpayers to assist in the registration process</w:t>
      </w:r>
    </w:p>
    <w:p w14:paraId="7F05D165" w14:textId="77777777" w:rsidR="00D714EF" w:rsidRPr="00861D1A" w:rsidRDefault="00D714EF" w:rsidP="00CA3960">
      <w:pPr>
        <w:pStyle w:val="Heading3"/>
        <w:rPr>
          <w:lang w:eastAsia="en-AU"/>
        </w:rPr>
      </w:pPr>
      <w:r>
        <w:rPr>
          <w:lang w:val="en-GB" w:eastAsia="en-AU"/>
        </w:rPr>
        <w:t>The GloBE information return</w:t>
      </w:r>
    </w:p>
    <w:p w14:paraId="1D3F15E5" w14:textId="77777777" w:rsidR="00D714EF" w:rsidRPr="00861D1A" w:rsidRDefault="00D714EF" w:rsidP="00D714EF">
      <w:pPr>
        <w:pStyle w:val="NumberedParagraph"/>
        <w:rPr>
          <w:lang w:eastAsia="en-AU"/>
        </w:rPr>
      </w:pPr>
      <w:r w:rsidRPr="00861D1A">
        <w:rPr>
          <w:lang w:eastAsia="en-AU"/>
        </w:rPr>
        <w:t xml:space="preserve">The current reporting model for CbC used within New Zealand is not suitable for GloBE </w:t>
      </w:r>
      <w:r>
        <w:rPr>
          <w:lang w:eastAsia="en-AU"/>
        </w:rPr>
        <w:t xml:space="preserve">information </w:t>
      </w:r>
      <w:r w:rsidRPr="00861D1A">
        <w:rPr>
          <w:lang w:eastAsia="en-AU"/>
        </w:rPr>
        <w:t>reporting as the CbC model involves the collection of a wider range of financial information to facilitate the risk assessment of particular taxpayers by tax administrations</w:t>
      </w:r>
      <w:r>
        <w:rPr>
          <w:lang w:eastAsia="en-AU"/>
        </w:rPr>
        <w:t xml:space="preserve">. </w:t>
      </w:r>
      <w:r w:rsidRPr="00861D1A">
        <w:rPr>
          <w:lang w:eastAsia="en-AU"/>
        </w:rPr>
        <w:t xml:space="preserve">It is not designed specifically to </w:t>
      </w:r>
      <w:r>
        <w:rPr>
          <w:lang w:eastAsia="en-AU"/>
        </w:rPr>
        <w:t>contribute to a</w:t>
      </w:r>
      <w:r w:rsidRPr="00861D1A">
        <w:rPr>
          <w:lang w:eastAsia="en-AU"/>
        </w:rPr>
        <w:t xml:space="preserve"> tax assessment for a liability whereas the GloBE </w:t>
      </w:r>
      <w:r>
        <w:rPr>
          <w:lang w:eastAsia="en-AU"/>
        </w:rPr>
        <w:t xml:space="preserve">information </w:t>
      </w:r>
      <w:r w:rsidRPr="00861D1A">
        <w:rPr>
          <w:lang w:eastAsia="en-AU"/>
        </w:rPr>
        <w:t xml:space="preserve">reporting could result in the assessment of a tax liability </w:t>
      </w:r>
      <w:r>
        <w:rPr>
          <w:lang w:eastAsia="en-AU"/>
        </w:rPr>
        <w:t xml:space="preserve">in the New Zealand GloBE tax return </w:t>
      </w:r>
      <w:r w:rsidRPr="00861D1A">
        <w:rPr>
          <w:lang w:eastAsia="en-AU"/>
        </w:rPr>
        <w:t>and therefore a more tailored process is appropriate.</w:t>
      </w:r>
    </w:p>
    <w:p w14:paraId="1837A286" w14:textId="027D1404" w:rsidR="00D714EF" w:rsidRPr="00861D1A" w:rsidRDefault="00D714EF" w:rsidP="00D714EF">
      <w:pPr>
        <w:pStyle w:val="NumberedParagraph"/>
        <w:rPr>
          <w:lang w:eastAsia="en-AU"/>
        </w:rPr>
      </w:pPr>
      <w:r w:rsidRPr="00861D1A">
        <w:rPr>
          <w:lang w:eastAsia="en-AU"/>
        </w:rPr>
        <w:t xml:space="preserve">Because of the proposed internationally standardised nature of the GloBE </w:t>
      </w:r>
      <w:r>
        <w:rPr>
          <w:lang w:eastAsia="en-AU"/>
        </w:rPr>
        <w:t xml:space="preserve">information </w:t>
      </w:r>
      <w:r w:rsidRPr="00861D1A">
        <w:rPr>
          <w:lang w:eastAsia="en-AU"/>
        </w:rPr>
        <w:t>return</w:t>
      </w:r>
      <w:r>
        <w:rPr>
          <w:lang w:eastAsia="en-AU"/>
        </w:rPr>
        <w:t>,</w:t>
      </w:r>
      <w:r w:rsidRPr="00861D1A">
        <w:rPr>
          <w:lang w:eastAsia="en-AU"/>
        </w:rPr>
        <w:t xml:space="preserve"> to enable the sharing of these between tax authorities</w:t>
      </w:r>
      <w:r>
        <w:rPr>
          <w:lang w:eastAsia="en-AU"/>
        </w:rPr>
        <w:t>,</w:t>
      </w:r>
      <w:r w:rsidRPr="00861D1A">
        <w:rPr>
          <w:lang w:eastAsia="en-AU"/>
        </w:rPr>
        <w:t xml:space="preserve"> it is also proposed that the GloBE </w:t>
      </w:r>
      <w:r>
        <w:rPr>
          <w:lang w:eastAsia="en-AU"/>
        </w:rPr>
        <w:t xml:space="preserve">information </w:t>
      </w:r>
      <w:r w:rsidRPr="00861D1A">
        <w:rPr>
          <w:lang w:eastAsia="en-AU"/>
        </w:rPr>
        <w:t>return is filed electronically with Inland Revenue in the Extensible Markup Language (XML) format which is the standard used to exchange CbC reporting between tax authorities.</w:t>
      </w:r>
    </w:p>
    <w:p w14:paraId="2962A83A" w14:textId="77777777" w:rsidR="00D714EF" w:rsidRPr="00861D1A" w:rsidRDefault="00D714EF" w:rsidP="00CA3960">
      <w:pPr>
        <w:pStyle w:val="Heading3"/>
        <w:rPr>
          <w:lang w:eastAsia="en-AU"/>
        </w:rPr>
      </w:pPr>
      <w:r>
        <w:rPr>
          <w:lang w:val="en-GB" w:eastAsia="en-AU"/>
        </w:rPr>
        <w:t>The New Zealand GloBE tax return</w:t>
      </w:r>
    </w:p>
    <w:p w14:paraId="48DC7FBA" w14:textId="77777777" w:rsidR="00D714EF" w:rsidRDefault="00D714EF" w:rsidP="00D714EF">
      <w:pPr>
        <w:pStyle w:val="NumberedParagraph"/>
        <w:rPr>
          <w:lang w:eastAsia="en-AU"/>
        </w:rPr>
      </w:pPr>
      <w:r>
        <w:rPr>
          <w:lang w:eastAsia="en-AU"/>
        </w:rPr>
        <w:t>The New Zealand GloBE tax return will contain the calculation of any top-up tax required and will be filed as a separate tax return.</w:t>
      </w:r>
    </w:p>
    <w:p w14:paraId="4E1CE76C" w14:textId="77777777" w:rsidR="00D714EF" w:rsidRPr="00861D1A" w:rsidRDefault="00D714EF" w:rsidP="00D714EF">
      <w:pPr>
        <w:pStyle w:val="NumberedParagraph"/>
        <w:rPr>
          <w:lang w:eastAsia="en-AU"/>
        </w:rPr>
      </w:pPr>
      <w:r w:rsidRPr="00861D1A">
        <w:rPr>
          <w:lang w:eastAsia="en-AU"/>
        </w:rPr>
        <w:t xml:space="preserve">Given the preference to treat the GloBE as a separate tax type an assessment will </w:t>
      </w:r>
      <w:r>
        <w:rPr>
          <w:lang w:eastAsia="en-AU"/>
        </w:rPr>
        <w:t>result</w:t>
      </w:r>
      <w:r w:rsidRPr="00861D1A">
        <w:rPr>
          <w:lang w:eastAsia="en-AU"/>
        </w:rPr>
        <w:t xml:space="preserve"> from the </w:t>
      </w:r>
      <w:r>
        <w:rPr>
          <w:lang w:eastAsia="en-AU"/>
        </w:rPr>
        <w:t xml:space="preserve">New Zealand </w:t>
      </w:r>
      <w:r w:rsidRPr="00861D1A">
        <w:rPr>
          <w:lang w:eastAsia="en-AU"/>
        </w:rPr>
        <w:t xml:space="preserve">GloBE </w:t>
      </w:r>
      <w:r>
        <w:rPr>
          <w:lang w:eastAsia="en-AU"/>
        </w:rPr>
        <w:t xml:space="preserve">tax </w:t>
      </w:r>
      <w:r w:rsidRPr="00861D1A">
        <w:rPr>
          <w:lang w:eastAsia="en-AU"/>
        </w:rPr>
        <w:t>return filed by taxpayers</w:t>
      </w:r>
      <w:r>
        <w:rPr>
          <w:lang w:eastAsia="en-AU"/>
        </w:rPr>
        <w:t xml:space="preserve"> as with any other tax type</w:t>
      </w:r>
      <w:r w:rsidRPr="00861D1A">
        <w:rPr>
          <w:lang w:eastAsia="en-AU"/>
        </w:rPr>
        <w:t>.</w:t>
      </w:r>
    </w:p>
    <w:p w14:paraId="45E706CE" w14:textId="77777777" w:rsidR="00D714EF" w:rsidRPr="00861D1A" w:rsidRDefault="00D714EF" w:rsidP="00D714EF">
      <w:pPr>
        <w:pStyle w:val="Heading2"/>
        <w:rPr>
          <w:lang w:eastAsia="en-AU"/>
        </w:rPr>
      </w:pPr>
      <w:bookmarkStart w:id="94" w:name="_Toc101095623"/>
      <w:r>
        <w:rPr>
          <w:lang w:eastAsia="en-AU"/>
        </w:rPr>
        <w:t xml:space="preserve">Returning and paying </w:t>
      </w:r>
      <w:r w:rsidRPr="00861D1A">
        <w:rPr>
          <w:lang w:eastAsia="en-AU"/>
        </w:rPr>
        <w:t>tax</w:t>
      </w:r>
      <w:r>
        <w:rPr>
          <w:lang w:eastAsia="en-AU"/>
        </w:rPr>
        <w:t xml:space="preserve"> under the UTPR</w:t>
      </w:r>
      <w:bookmarkEnd w:id="94"/>
    </w:p>
    <w:p w14:paraId="4AFCEE3E" w14:textId="4F6EDBC5" w:rsidR="00D714EF" w:rsidRPr="00D566AD" w:rsidRDefault="00D714EF" w:rsidP="00D714EF">
      <w:pPr>
        <w:pStyle w:val="NumberedParagraph"/>
        <w:rPr>
          <w:lang w:eastAsia="en-AU"/>
        </w:rPr>
      </w:pPr>
      <w:r w:rsidRPr="00861D1A">
        <w:rPr>
          <w:lang w:eastAsia="en-AU"/>
        </w:rPr>
        <w:t xml:space="preserve">As </w:t>
      </w:r>
      <w:r w:rsidRPr="00D566AD">
        <w:rPr>
          <w:lang w:eastAsia="en-AU"/>
        </w:rPr>
        <w:t>noted in Chapter 1</w:t>
      </w:r>
      <w:r w:rsidR="00176696">
        <w:rPr>
          <w:lang w:eastAsia="en-AU"/>
        </w:rPr>
        <w:t>1</w:t>
      </w:r>
      <w:r w:rsidRPr="00D566AD">
        <w:rPr>
          <w:lang w:eastAsia="en-AU"/>
        </w:rPr>
        <w:t xml:space="preserve"> there are two approaches being considered to bring the UTPR top-up tax to account. The first is the denial of expenses of liable entities </w:t>
      </w:r>
      <w:r w:rsidRPr="00D566AD">
        <w:rPr>
          <w:lang w:eastAsia="en-AU"/>
        </w:rPr>
        <w:lastRenderedPageBreak/>
        <w:t>which would result in increased income tax paid by the entity equating to the minimum tax (subject to the limit imposed by the amount of otherwise-deductible expenses).</w:t>
      </w:r>
    </w:p>
    <w:p w14:paraId="644C9F75" w14:textId="23B4A8CD" w:rsidR="00D714EF" w:rsidRPr="00861D1A" w:rsidRDefault="00D714EF" w:rsidP="00D714EF">
      <w:pPr>
        <w:pStyle w:val="NumberedParagraph"/>
        <w:rPr>
          <w:lang w:eastAsia="en-AU"/>
        </w:rPr>
      </w:pPr>
      <w:r w:rsidRPr="00D566AD">
        <w:rPr>
          <w:lang w:eastAsia="en-AU"/>
        </w:rPr>
        <w:t>The second option is a stand-alone tax liability dealt with independently from any other income tax liability of the New Zealand constituent entities, but again limited by reference to their deductions in the relevant year. As outlined in Chapter 1</w:t>
      </w:r>
      <w:r w:rsidR="00EA480B">
        <w:rPr>
          <w:lang w:eastAsia="en-AU"/>
        </w:rPr>
        <w:t>1</w:t>
      </w:r>
      <w:r w:rsidRPr="00D566AD">
        <w:rPr>
          <w:lang w:eastAsia="en-AU"/>
        </w:rPr>
        <w:t xml:space="preserve"> officials’ preference</w:t>
      </w:r>
      <w:r w:rsidRPr="00861D1A">
        <w:rPr>
          <w:lang w:eastAsia="en-AU"/>
        </w:rPr>
        <w:t xml:space="preserve"> is for this second option which avoids many of the complexities of denying deductions.</w:t>
      </w:r>
    </w:p>
    <w:p w14:paraId="6A8E2AA9" w14:textId="77777777" w:rsidR="00D714EF" w:rsidRPr="00861D1A" w:rsidRDefault="00D714EF" w:rsidP="00D714EF">
      <w:pPr>
        <w:pStyle w:val="NumberedParagraph"/>
        <w:rPr>
          <w:lang w:eastAsia="en-AU"/>
        </w:rPr>
      </w:pPr>
      <w:r w:rsidRPr="00861D1A">
        <w:rPr>
          <w:lang w:eastAsia="en-AU"/>
        </w:rPr>
        <w:t>In the New Zealand context there are several additional complications that make this second option more workable:</w:t>
      </w:r>
    </w:p>
    <w:p w14:paraId="6B078975" w14:textId="77777777" w:rsidR="00D714EF" w:rsidRPr="00861D1A" w:rsidRDefault="00D714EF" w:rsidP="00D714EF">
      <w:pPr>
        <w:pStyle w:val="NumberedParagraph-BulletL1"/>
        <w:rPr>
          <w:lang w:eastAsia="en-AU"/>
        </w:rPr>
      </w:pPr>
      <w:r w:rsidRPr="00861D1A">
        <w:rPr>
          <w:lang w:eastAsia="en-AU"/>
        </w:rPr>
        <w:t>Denying deductions to taxpayers would have flow on effects to provisional tax liabilities of the company. By isolating any top</w:t>
      </w:r>
      <w:r>
        <w:rPr>
          <w:lang w:eastAsia="en-AU"/>
        </w:rPr>
        <w:t>-</w:t>
      </w:r>
      <w:r w:rsidRPr="00861D1A">
        <w:rPr>
          <w:lang w:eastAsia="en-AU"/>
        </w:rPr>
        <w:t>up as a separate tax liability this impact is eliminated</w:t>
      </w:r>
      <w:r>
        <w:rPr>
          <w:lang w:eastAsia="en-AU"/>
        </w:rPr>
        <w:t>.</w:t>
      </w:r>
    </w:p>
    <w:p w14:paraId="1B313535" w14:textId="77777777" w:rsidR="00D714EF" w:rsidRPr="00D566AD" w:rsidRDefault="00D714EF" w:rsidP="00D714EF">
      <w:pPr>
        <w:pStyle w:val="NumberedParagraph-BulletL1"/>
        <w:rPr>
          <w:lang w:eastAsia="en-AU"/>
        </w:rPr>
      </w:pPr>
      <w:r w:rsidRPr="00861D1A">
        <w:rPr>
          <w:lang w:eastAsia="en-AU"/>
        </w:rPr>
        <w:t xml:space="preserve">New Zealand allows a relatively long period for taxpayers to file tax returns compared to other </w:t>
      </w:r>
      <w:r w:rsidRPr="00D566AD">
        <w:rPr>
          <w:lang w:eastAsia="en-AU"/>
        </w:rPr>
        <w:t>jurisdictions. However, when considering the filing dates for the GloBE information returns compared to the filing dates for New Zealand income tax returns this could result in a taxpayer having to limit deductions in an income tax return that is due for filing prior to the taxpayer calculating that denial of expenditure in their GloBE information return.</w:t>
      </w:r>
    </w:p>
    <w:p w14:paraId="49D2F4B7" w14:textId="77777777" w:rsidR="00D714EF" w:rsidRPr="00D566AD" w:rsidRDefault="00D714EF" w:rsidP="00D714EF">
      <w:pPr>
        <w:pStyle w:val="NumberedParagraph-BulletL1"/>
        <w:rPr>
          <w:lang w:eastAsia="en-AU"/>
        </w:rPr>
      </w:pPr>
      <w:r w:rsidRPr="00D566AD">
        <w:rPr>
          <w:lang w:eastAsia="en-AU"/>
        </w:rPr>
        <w:t>Denying deductions would prima facie mean the additional tax would give rise to imputation credits. As set out in Chapter 13, officials do not think this would be appropriate.</w:t>
      </w:r>
    </w:p>
    <w:p w14:paraId="3D02EEBE" w14:textId="77777777" w:rsidR="00D714EF" w:rsidRPr="00861D1A" w:rsidRDefault="00D714EF" w:rsidP="00D714EF">
      <w:pPr>
        <w:pStyle w:val="NumberedParagraph"/>
        <w:rPr>
          <w:lang w:eastAsia="en-AU"/>
        </w:rPr>
      </w:pPr>
      <w:r w:rsidRPr="00861D1A">
        <w:rPr>
          <w:lang w:eastAsia="en-AU"/>
        </w:rPr>
        <w:t xml:space="preserve">Given these issues, this chapter proceeds on the basis that GloBE </w:t>
      </w:r>
      <w:r>
        <w:rPr>
          <w:lang w:eastAsia="en-AU"/>
        </w:rPr>
        <w:t xml:space="preserve">information </w:t>
      </w:r>
      <w:r w:rsidRPr="00861D1A">
        <w:rPr>
          <w:lang w:eastAsia="en-AU"/>
        </w:rPr>
        <w:t>return and any resulting tax liability</w:t>
      </w:r>
      <w:r>
        <w:rPr>
          <w:lang w:eastAsia="en-AU"/>
        </w:rPr>
        <w:t xml:space="preserve"> in the New Zealand GloBE tax return</w:t>
      </w:r>
      <w:r w:rsidRPr="00861D1A">
        <w:rPr>
          <w:lang w:eastAsia="en-AU"/>
        </w:rPr>
        <w:t>, both under the IIR and the UTPR, will be treated as a separate tax type and charged independently from income tax.</w:t>
      </w:r>
    </w:p>
    <w:p w14:paraId="348DB5D5" w14:textId="77777777" w:rsidR="00D714EF" w:rsidRPr="00CC60AE" w:rsidRDefault="00D714EF" w:rsidP="00CC60AE">
      <w:pPr>
        <w:pStyle w:val="Heading2"/>
        <w:rPr>
          <w:lang w:eastAsia="en-AU"/>
        </w:rPr>
      </w:pPr>
      <w:bookmarkStart w:id="95" w:name="_Toc101095624"/>
      <w:r w:rsidRPr="00CC60AE">
        <w:rPr>
          <w:lang w:eastAsia="en-AU"/>
        </w:rPr>
        <w:t>Proposal for change to CbC Reporting process</w:t>
      </w:r>
      <w:bookmarkEnd w:id="95"/>
    </w:p>
    <w:p w14:paraId="3B8578CE" w14:textId="77777777" w:rsidR="00D714EF" w:rsidRPr="00861D1A" w:rsidRDefault="00D714EF" w:rsidP="00D714EF">
      <w:pPr>
        <w:pStyle w:val="NumberedParagraph"/>
        <w:rPr>
          <w:lang w:eastAsia="en-AU"/>
        </w:rPr>
      </w:pPr>
      <w:r w:rsidRPr="00861D1A">
        <w:rPr>
          <w:lang w:eastAsia="en-AU"/>
        </w:rPr>
        <w:t xml:space="preserve">As part of the introduction of GloBE </w:t>
      </w:r>
      <w:r>
        <w:rPr>
          <w:lang w:eastAsia="en-AU"/>
        </w:rPr>
        <w:t xml:space="preserve">information </w:t>
      </w:r>
      <w:r w:rsidRPr="00861D1A">
        <w:rPr>
          <w:lang w:eastAsia="en-AU"/>
        </w:rPr>
        <w:t>reporting for Pillar Two Inland Revenue also consider that the CbC reporting process should be modernised by moving to electronic filing using the XML format. This will reduce compliance costs for taxpayers and administration costs for Inland Revenue and bring New Zealand into line with other jurisdictions such as Australia and the United Kingdom who also require CbC reporting electronically in XML format.</w:t>
      </w:r>
    </w:p>
    <w:p w14:paraId="0A785B2B" w14:textId="77777777" w:rsidR="00D714EF" w:rsidRPr="00D566AD" w:rsidRDefault="00D714EF" w:rsidP="00D714EF">
      <w:pPr>
        <w:pStyle w:val="NumberedParagraph"/>
        <w:rPr>
          <w:lang w:eastAsia="en-AU"/>
        </w:rPr>
      </w:pPr>
      <w:r w:rsidRPr="00861D1A">
        <w:rPr>
          <w:lang w:eastAsia="en-AU"/>
        </w:rPr>
        <w:t>The current process for C</w:t>
      </w:r>
      <w:r>
        <w:rPr>
          <w:lang w:eastAsia="en-AU"/>
        </w:rPr>
        <w:t>b</w:t>
      </w:r>
      <w:r w:rsidRPr="00861D1A">
        <w:rPr>
          <w:lang w:eastAsia="en-AU"/>
        </w:rPr>
        <w:t xml:space="preserve">C reporting can be cumbersome and result in queries to taxpayers and </w:t>
      </w:r>
      <w:r w:rsidRPr="00D566AD">
        <w:rPr>
          <w:lang w:eastAsia="en-AU"/>
        </w:rPr>
        <w:t>rework by Inland Revenue. Streamlining the process into a single XML electronic filing process will reduce these costs for both taxpayers and Inland Revenue.</w:t>
      </w:r>
    </w:p>
    <w:p w14:paraId="464E3C6A" w14:textId="77777777" w:rsidR="00D714EF" w:rsidRPr="00861D1A" w:rsidRDefault="00D714EF" w:rsidP="00D714EF">
      <w:pPr>
        <w:pStyle w:val="NumberedParagraph"/>
        <w:rPr>
          <w:lang w:eastAsia="en-AU"/>
        </w:rPr>
      </w:pPr>
      <w:r w:rsidRPr="00D566AD">
        <w:rPr>
          <w:lang w:eastAsia="en-AU"/>
        </w:rPr>
        <w:t>Officials also see benefits in aligning these two processes as the simplification measures discussed in Chapter 9 may allow CbC information to be used as the basis for the ETR calculations required</w:t>
      </w:r>
      <w:r w:rsidRPr="00861D1A">
        <w:rPr>
          <w:lang w:eastAsia="en-AU"/>
        </w:rPr>
        <w:t xml:space="preserve"> for GloBE reporting.</w:t>
      </w:r>
    </w:p>
    <w:p w14:paraId="42708666" w14:textId="77777777" w:rsidR="00D714EF" w:rsidRPr="00E84E85" w:rsidRDefault="00D714EF" w:rsidP="00E84E85">
      <w:pPr>
        <w:pStyle w:val="Heading2"/>
        <w:rPr>
          <w:lang w:eastAsia="en-AU"/>
        </w:rPr>
      </w:pPr>
      <w:bookmarkStart w:id="96" w:name="_Toc101095625"/>
      <w:r w:rsidRPr="00E84E85">
        <w:rPr>
          <w:lang w:eastAsia="en-AU"/>
        </w:rPr>
        <w:t>Penalties for late filing</w:t>
      </w:r>
      <w:bookmarkEnd w:id="96"/>
    </w:p>
    <w:p w14:paraId="71E0D35D" w14:textId="77777777" w:rsidR="00D714EF" w:rsidRPr="00C33484" w:rsidRDefault="00D714EF" w:rsidP="00E84E85">
      <w:pPr>
        <w:pStyle w:val="Heading3"/>
        <w:rPr>
          <w:lang w:val="en-GB" w:eastAsia="en-AU"/>
        </w:rPr>
      </w:pPr>
      <w:r>
        <w:rPr>
          <w:lang w:val="en-GB" w:eastAsia="en-AU"/>
        </w:rPr>
        <w:t>The GloBE information return and CbC reporting</w:t>
      </w:r>
    </w:p>
    <w:p w14:paraId="59198E98" w14:textId="77777777" w:rsidR="00D714EF" w:rsidRPr="00861D1A" w:rsidRDefault="00D714EF" w:rsidP="00D714EF">
      <w:pPr>
        <w:pStyle w:val="NumberedParagraph"/>
        <w:rPr>
          <w:lang w:eastAsia="en-AU"/>
        </w:rPr>
      </w:pPr>
      <w:r w:rsidRPr="00861D1A">
        <w:rPr>
          <w:lang w:eastAsia="en-AU"/>
        </w:rPr>
        <w:t xml:space="preserve">The due date for the GloBE </w:t>
      </w:r>
      <w:r>
        <w:rPr>
          <w:lang w:eastAsia="en-AU"/>
        </w:rPr>
        <w:t xml:space="preserve">information </w:t>
      </w:r>
      <w:r w:rsidRPr="00861D1A">
        <w:rPr>
          <w:lang w:eastAsia="en-AU"/>
        </w:rPr>
        <w:t>return will be 15 months after the end of the income year of the taxpayer (18 months in the initial reporting year).</w:t>
      </w:r>
    </w:p>
    <w:p w14:paraId="44804824" w14:textId="77777777" w:rsidR="00D714EF" w:rsidRPr="00861D1A" w:rsidRDefault="00D714EF" w:rsidP="00D714EF">
      <w:pPr>
        <w:pStyle w:val="NumberedParagraph"/>
        <w:rPr>
          <w:lang w:eastAsia="en-AU"/>
        </w:rPr>
      </w:pPr>
      <w:r w:rsidRPr="00861D1A">
        <w:rPr>
          <w:lang w:eastAsia="en-AU"/>
        </w:rPr>
        <w:lastRenderedPageBreak/>
        <w:t xml:space="preserve">For the exchange of information with other tax authorities it is important that Inland Revenue receives the GloBE </w:t>
      </w:r>
      <w:r>
        <w:rPr>
          <w:lang w:eastAsia="en-AU"/>
        </w:rPr>
        <w:t xml:space="preserve">information </w:t>
      </w:r>
      <w:r w:rsidRPr="00861D1A">
        <w:rPr>
          <w:lang w:eastAsia="en-AU"/>
        </w:rPr>
        <w:t xml:space="preserve">return on time and in the correct format to </w:t>
      </w:r>
      <w:r>
        <w:rPr>
          <w:lang w:eastAsia="en-AU"/>
        </w:rPr>
        <w:t>give</w:t>
      </w:r>
      <w:r w:rsidRPr="00861D1A">
        <w:rPr>
          <w:lang w:eastAsia="en-AU"/>
        </w:rPr>
        <w:t xml:space="preserve"> time for the information to be checked before it is provided to other jurisdictions.</w:t>
      </w:r>
    </w:p>
    <w:p w14:paraId="085C6EA3" w14:textId="13758D8F" w:rsidR="00D714EF" w:rsidRPr="00861D1A" w:rsidRDefault="00D714EF" w:rsidP="00D714EF">
      <w:pPr>
        <w:pStyle w:val="NumberedParagraph"/>
        <w:rPr>
          <w:lang w:eastAsia="en-AU"/>
        </w:rPr>
      </w:pPr>
      <w:r w:rsidRPr="00861D1A">
        <w:rPr>
          <w:lang w:eastAsia="en-AU"/>
        </w:rPr>
        <w:t>In comparison with international standards, New Zealand has relatively low penalties for the late filing of information. For example, a significant global entity in Australia who does not file a tax return (including CbC reports) by the due date could be liable for a late filing penalty of between $111,000 to $555,000 depending on how overdue the return is.</w:t>
      </w:r>
    </w:p>
    <w:p w14:paraId="5D0D29B9" w14:textId="77777777" w:rsidR="00D714EF" w:rsidRPr="00861D1A" w:rsidRDefault="00D714EF" w:rsidP="00D714EF">
      <w:pPr>
        <w:pStyle w:val="NumberedParagraph"/>
        <w:rPr>
          <w:lang w:eastAsia="en-AU"/>
        </w:rPr>
      </w:pPr>
      <w:r w:rsidRPr="00861D1A">
        <w:rPr>
          <w:lang w:eastAsia="en-AU"/>
        </w:rPr>
        <w:t xml:space="preserve">Because the taxpayers subject to GloBE </w:t>
      </w:r>
      <w:r>
        <w:rPr>
          <w:lang w:eastAsia="en-AU"/>
        </w:rPr>
        <w:t xml:space="preserve">information </w:t>
      </w:r>
      <w:r w:rsidRPr="00861D1A">
        <w:rPr>
          <w:lang w:eastAsia="en-AU"/>
        </w:rPr>
        <w:t xml:space="preserve">reporting are MNEs it is considered that the current penalties for late filing are not appropriate for GloBE </w:t>
      </w:r>
      <w:r>
        <w:rPr>
          <w:lang w:eastAsia="en-AU"/>
        </w:rPr>
        <w:t xml:space="preserve">information </w:t>
      </w:r>
      <w:r w:rsidRPr="00861D1A">
        <w:rPr>
          <w:lang w:eastAsia="en-AU"/>
        </w:rPr>
        <w:t>returns or CbC reporting.</w:t>
      </w:r>
    </w:p>
    <w:p w14:paraId="5D06751F" w14:textId="77777777" w:rsidR="00D714EF" w:rsidRPr="00861D1A" w:rsidRDefault="00D714EF" w:rsidP="00D714EF">
      <w:pPr>
        <w:pStyle w:val="NumberedParagraph"/>
        <w:rPr>
          <w:lang w:eastAsia="en-AU"/>
        </w:rPr>
      </w:pPr>
      <w:r w:rsidRPr="00861D1A">
        <w:rPr>
          <w:lang w:eastAsia="en-AU"/>
        </w:rPr>
        <w:t xml:space="preserve">Officials are considering an appropriate level </w:t>
      </w:r>
      <w:r>
        <w:rPr>
          <w:lang w:eastAsia="en-AU"/>
        </w:rPr>
        <w:t xml:space="preserve">for </w:t>
      </w:r>
      <w:r w:rsidRPr="00861D1A">
        <w:rPr>
          <w:lang w:eastAsia="en-AU"/>
        </w:rPr>
        <w:t>a late filing penalty and seek submitters’ views on this</w:t>
      </w:r>
      <w:r>
        <w:rPr>
          <w:lang w:eastAsia="en-AU"/>
        </w:rPr>
        <w:t xml:space="preserve">. </w:t>
      </w:r>
      <w:r w:rsidRPr="00861D1A">
        <w:rPr>
          <w:lang w:eastAsia="en-AU"/>
        </w:rPr>
        <w:t>To be effective such a penalty should be sufficient to deter MNEs from not filing on time.</w:t>
      </w:r>
    </w:p>
    <w:p w14:paraId="5BC81B13" w14:textId="77777777" w:rsidR="00D714EF" w:rsidRPr="00861D1A" w:rsidRDefault="00D714EF" w:rsidP="00D714EF">
      <w:pPr>
        <w:pStyle w:val="NumberedParagraph"/>
        <w:rPr>
          <w:lang w:eastAsia="en-AU"/>
        </w:rPr>
      </w:pPr>
      <w:r w:rsidRPr="00861D1A">
        <w:rPr>
          <w:lang w:eastAsia="en-AU"/>
        </w:rPr>
        <w:t xml:space="preserve">Section 139AB of the </w:t>
      </w:r>
      <w:r w:rsidRPr="00791A99">
        <w:rPr>
          <w:i/>
          <w:iCs/>
          <w:lang w:eastAsia="en-AU"/>
        </w:rPr>
        <w:t>Tax Administration Act 1994</w:t>
      </w:r>
      <w:r w:rsidRPr="00861D1A">
        <w:rPr>
          <w:lang w:eastAsia="en-AU"/>
        </w:rPr>
        <w:t xml:space="preserve"> contains a penalty for large multinational groups failing to provide information required under section 17 of $100,000</w:t>
      </w:r>
      <w:r>
        <w:rPr>
          <w:lang w:eastAsia="en-AU"/>
        </w:rPr>
        <w:t xml:space="preserve">. </w:t>
      </w:r>
      <w:r w:rsidRPr="00861D1A">
        <w:rPr>
          <w:lang w:eastAsia="en-AU"/>
        </w:rPr>
        <w:t xml:space="preserve">This provides a useful point of </w:t>
      </w:r>
      <w:proofErr w:type="gramStart"/>
      <w:r w:rsidRPr="00861D1A">
        <w:rPr>
          <w:lang w:eastAsia="en-AU"/>
        </w:rPr>
        <w:t>comparison,</w:t>
      </w:r>
      <w:r>
        <w:rPr>
          <w:lang w:eastAsia="en-AU"/>
        </w:rPr>
        <w:t xml:space="preserve"> </w:t>
      </w:r>
      <w:r w:rsidRPr="00861D1A">
        <w:rPr>
          <w:lang w:eastAsia="en-AU"/>
        </w:rPr>
        <w:t>and</w:t>
      </w:r>
      <w:proofErr w:type="gramEnd"/>
      <w:r w:rsidRPr="00861D1A">
        <w:rPr>
          <w:lang w:eastAsia="en-AU"/>
        </w:rPr>
        <w:t xml:space="preserve"> may also be appropriate for GloBE </w:t>
      </w:r>
      <w:r>
        <w:rPr>
          <w:lang w:eastAsia="en-AU"/>
        </w:rPr>
        <w:t xml:space="preserve">information </w:t>
      </w:r>
      <w:r w:rsidRPr="00861D1A">
        <w:rPr>
          <w:lang w:eastAsia="en-AU"/>
        </w:rPr>
        <w:t>and CbC reporting</w:t>
      </w:r>
      <w:r>
        <w:rPr>
          <w:lang w:eastAsia="en-AU"/>
        </w:rPr>
        <w:t>.</w:t>
      </w:r>
    </w:p>
    <w:p w14:paraId="26C38890" w14:textId="77777777" w:rsidR="00D714EF" w:rsidRPr="00861D1A" w:rsidRDefault="00D714EF" w:rsidP="00D714EF">
      <w:pPr>
        <w:pStyle w:val="NumberedParagraph"/>
        <w:rPr>
          <w:lang w:eastAsia="en-AU"/>
        </w:rPr>
      </w:pPr>
      <w:r w:rsidRPr="00861D1A">
        <w:rPr>
          <w:lang w:eastAsia="en-AU"/>
        </w:rPr>
        <w:t>The current rules around the imposition of late filing penalties would apply in that Inland Revenue would have to advise the taxpayer that a penalty may be imposed if a return is not filed prior to the penalty being applied.</w:t>
      </w:r>
    </w:p>
    <w:p w14:paraId="365ABBED" w14:textId="4283AED9" w:rsidR="00D714EF" w:rsidRDefault="00D714EF" w:rsidP="00D714EF">
      <w:pPr>
        <w:pStyle w:val="NumberedParagraph"/>
        <w:rPr>
          <w:lang w:eastAsia="en-AU"/>
        </w:rPr>
      </w:pPr>
      <w:r w:rsidRPr="00861D1A">
        <w:rPr>
          <w:lang w:eastAsia="en-AU"/>
        </w:rPr>
        <w:t xml:space="preserve">A return not filed electronically in the XML format would </w:t>
      </w:r>
      <w:r w:rsidRPr="00861D1A" w:rsidDel="009C661F">
        <w:rPr>
          <w:lang w:eastAsia="en-AU"/>
        </w:rPr>
        <w:t xml:space="preserve">not be </w:t>
      </w:r>
      <w:r>
        <w:rPr>
          <w:lang w:eastAsia="en-AU"/>
        </w:rPr>
        <w:t>treated as filed for this purpose.</w:t>
      </w:r>
    </w:p>
    <w:p w14:paraId="51E8551A" w14:textId="77777777" w:rsidR="00D714EF" w:rsidRPr="00E84E85" w:rsidRDefault="00D714EF" w:rsidP="00E84E85">
      <w:pPr>
        <w:pStyle w:val="Heading3"/>
        <w:rPr>
          <w:lang w:val="en-GB" w:eastAsia="en-AU"/>
        </w:rPr>
      </w:pPr>
      <w:r w:rsidRPr="00E84E85">
        <w:rPr>
          <w:lang w:val="en-GB" w:eastAsia="en-AU"/>
        </w:rPr>
        <w:t>The New Zealand GloBE tax return</w:t>
      </w:r>
    </w:p>
    <w:p w14:paraId="5915B6C3" w14:textId="77777777" w:rsidR="00D714EF" w:rsidRDefault="00D714EF" w:rsidP="00D714EF">
      <w:pPr>
        <w:pStyle w:val="NumberedParagraph"/>
        <w:rPr>
          <w:lang w:eastAsia="en-AU"/>
        </w:rPr>
      </w:pPr>
      <w:r>
        <w:rPr>
          <w:lang w:eastAsia="en-AU"/>
        </w:rPr>
        <w:t>To give foreign headquartered groups time to arrange filing of any required New Zealand GloBE tax return, officials propose that this return would be due for filing on the last day of the month following the due date for GloBE information return for that MNE Group.</w:t>
      </w:r>
    </w:p>
    <w:p w14:paraId="31113B65" w14:textId="13DCA5E8" w:rsidR="00D714EF" w:rsidRPr="00861D1A" w:rsidRDefault="00D714EF" w:rsidP="00D714EF">
      <w:pPr>
        <w:pStyle w:val="NumberedParagraph"/>
        <w:rPr>
          <w:lang w:eastAsia="en-AU"/>
        </w:rPr>
      </w:pPr>
      <w:r>
        <w:rPr>
          <w:lang w:eastAsia="en-AU"/>
        </w:rPr>
        <w:t>T</w:t>
      </w:r>
      <w:r w:rsidRPr="00861D1A">
        <w:rPr>
          <w:lang w:eastAsia="en-AU"/>
        </w:rPr>
        <w:t xml:space="preserve">here is a natural incentive for taxpayers to file their </w:t>
      </w:r>
      <w:r>
        <w:rPr>
          <w:lang w:eastAsia="en-AU"/>
        </w:rPr>
        <w:t xml:space="preserve">New Zealand </w:t>
      </w:r>
      <w:r w:rsidRPr="00861D1A">
        <w:rPr>
          <w:lang w:eastAsia="en-AU"/>
        </w:rPr>
        <w:t xml:space="preserve">GloBE </w:t>
      </w:r>
      <w:r>
        <w:rPr>
          <w:lang w:eastAsia="en-AU"/>
        </w:rPr>
        <w:t xml:space="preserve">tax </w:t>
      </w:r>
      <w:r w:rsidRPr="00861D1A">
        <w:rPr>
          <w:lang w:eastAsia="en-AU"/>
        </w:rPr>
        <w:t xml:space="preserve">return on time </w:t>
      </w:r>
      <w:r>
        <w:rPr>
          <w:lang w:eastAsia="en-AU"/>
        </w:rPr>
        <w:t xml:space="preserve">because </w:t>
      </w:r>
      <w:r w:rsidRPr="00861D1A">
        <w:rPr>
          <w:lang w:eastAsia="en-AU"/>
        </w:rPr>
        <w:t>as the consequence of not doing this the Commissioner could make a “default” assessment in the absence of a return</w:t>
      </w:r>
      <w:r>
        <w:rPr>
          <w:lang w:eastAsia="en-AU"/>
        </w:rPr>
        <w:t>.</w:t>
      </w:r>
    </w:p>
    <w:p w14:paraId="7D206263" w14:textId="1FC471F5" w:rsidR="00D714EF" w:rsidRPr="00861D1A" w:rsidRDefault="00D714EF" w:rsidP="00D714EF">
      <w:pPr>
        <w:pStyle w:val="NumberedParagraph"/>
        <w:rPr>
          <w:lang w:eastAsia="en-AU"/>
        </w:rPr>
      </w:pPr>
      <w:r>
        <w:rPr>
          <w:lang w:eastAsia="en-AU"/>
        </w:rPr>
        <w:t xml:space="preserve">Given this the current penalties in the </w:t>
      </w:r>
      <w:r w:rsidRPr="00791A99">
        <w:rPr>
          <w:i/>
          <w:iCs/>
          <w:lang w:eastAsia="en-AU"/>
        </w:rPr>
        <w:t>Tax Administration Act 1994</w:t>
      </w:r>
      <w:r>
        <w:rPr>
          <w:lang w:eastAsia="en-AU"/>
        </w:rPr>
        <w:t xml:space="preserve"> for late filing returns would seem appropriate for the GloBE New Zealand tax return.</w:t>
      </w:r>
    </w:p>
    <w:p w14:paraId="5E6B61DB" w14:textId="77777777" w:rsidR="00D714EF" w:rsidRPr="00861D1A" w:rsidRDefault="00D714EF" w:rsidP="00D714EF">
      <w:pPr>
        <w:pStyle w:val="Heading2"/>
        <w:rPr>
          <w:lang w:eastAsia="en-AU"/>
        </w:rPr>
      </w:pPr>
      <w:bookmarkStart w:id="97" w:name="_Toc101095626"/>
      <w:r w:rsidRPr="00861D1A">
        <w:rPr>
          <w:lang w:eastAsia="en-AU"/>
        </w:rPr>
        <w:t xml:space="preserve">Paying the </w:t>
      </w:r>
      <w:r>
        <w:rPr>
          <w:lang w:eastAsia="en-AU"/>
        </w:rPr>
        <w:t>t</w:t>
      </w:r>
      <w:r w:rsidRPr="00861D1A">
        <w:rPr>
          <w:lang w:eastAsia="en-AU"/>
        </w:rPr>
        <w:t>ax</w:t>
      </w:r>
      <w:bookmarkEnd w:id="97"/>
    </w:p>
    <w:p w14:paraId="5895EBFE" w14:textId="77777777" w:rsidR="00D714EF" w:rsidRPr="00861D1A" w:rsidRDefault="00D714EF" w:rsidP="00D714EF">
      <w:pPr>
        <w:pStyle w:val="NumberedParagraph"/>
        <w:rPr>
          <w:lang w:eastAsia="en-AU"/>
        </w:rPr>
      </w:pPr>
      <w:r w:rsidRPr="00861D1A">
        <w:rPr>
          <w:lang w:eastAsia="en-AU"/>
        </w:rPr>
        <w:t>As the GloBE liability would be a separate tax type</w:t>
      </w:r>
      <w:r>
        <w:rPr>
          <w:lang w:eastAsia="en-AU"/>
        </w:rPr>
        <w:t>,</w:t>
      </w:r>
      <w:r w:rsidRPr="00861D1A">
        <w:rPr>
          <w:lang w:eastAsia="en-AU"/>
        </w:rPr>
        <w:t xml:space="preserve"> payment of the tax would be due separately from any income tax liability of the company and have its own payment date.</w:t>
      </w:r>
    </w:p>
    <w:p w14:paraId="0A8B5C86" w14:textId="2FEEDB80" w:rsidR="00D714EF" w:rsidRPr="00861D1A" w:rsidRDefault="00D714EF" w:rsidP="00D714EF">
      <w:pPr>
        <w:pStyle w:val="NumberedParagraph"/>
        <w:rPr>
          <w:lang w:eastAsia="en-AU"/>
        </w:rPr>
      </w:pPr>
      <w:r w:rsidRPr="00861D1A">
        <w:rPr>
          <w:lang w:eastAsia="en-AU"/>
        </w:rPr>
        <w:t xml:space="preserve">It is envisaged that any payment would be due on the same date as the </w:t>
      </w:r>
      <w:r>
        <w:rPr>
          <w:lang w:eastAsia="en-AU"/>
        </w:rPr>
        <w:t xml:space="preserve">New Zealand GloBE tax </w:t>
      </w:r>
      <w:r w:rsidRPr="00861D1A">
        <w:rPr>
          <w:lang w:eastAsia="en-AU"/>
        </w:rPr>
        <w:t>return is due with Inland Revenue</w:t>
      </w:r>
      <w:r>
        <w:rPr>
          <w:lang w:eastAsia="en-AU"/>
        </w:rPr>
        <w:t xml:space="preserve"> (</w:t>
      </w:r>
      <w:r w:rsidR="00C5684A">
        <w:rPr>
          <w:lang w:eastAsia="en-AU"/>
        </w:rPr>
        <w:t xml:space="preserve">that is, </w:t>
      </w:r>
      <w:r>
        <w:rPr>
          <w:lang w:eastAsia="en-AU"/>
        </w:rPr>
        <w:t>the last day of the month following the date the GloBE information return is due).</w:t>
      </w:r>
      <w:r w:rsidRPr="00861D1A">
        <w:rPr>
          <w:lang w:eastAsia="en-AU"/>
        </w:rPr>
        <w:t xml:space="preserve"> </w:t>
      </w:r>
      <w:r>
        <w:rPr>
          <w:lang w:eastAsia="en-AU"/>
        </w:rPr>
        <w:t xml:space="preserve">This should give sufficient time for foreign headquartered groups to arrange filing of a New Zealand GloBE tax return. </w:t>
      </w:r>
      <w:r w:rsidRPr="00861D1A">
        <w:rPr>
          <w:lang w:eastAsia="en-AU"/>
        </w:rPr>
        <w:t>Payments under GloBE would not be subject to provisional tax.</w:t>
      </w:r>
    </w:p>
    <w:p w14:paraId="1F692DB7" w14:textId="6CFB7D9B" w:rsidR="00D714EF" w:rsidRDefault="00D714EF" w:rsidP="00D714EF">
      <w:pPr>
        <w:pStyle w:val="NumberedParagraph"/>
        <w:rPr>
          <w:lang w:eastAsia="en-AU"/>
        </w:rPr>
      </w:pPr>
      <w:r w:rsidRPr="00861D1A">
        <w:rPr>
          <w:lang w:eastAsia="en-AU"/>
        </w:rPr>
        <w:lastRenderedPageBreak/>
        <w:t xml:space="preserve">The standard rules in Parts 7 and 9 (Interest and Penalties) within the </w:t>
      </w:r>
      <w:r w:rsidRPr="00791A99">
        <w:rPr>
          <w:i/>
          <w:iCs/>
          <w:lang w:eastAsia="en-AU"/>
        </w:rPr>
        <w:t>Tax Administration Act 1994</w:t>
      </w:r>
      <w:r w:rsidRPr="00861D1A">
        <w:rPr>
          <w:lang w:eastAsia="en-AU"/>
        </w:rPr>
        <w:t xml:space="preserve"> would apply to GloBE payments that are paid after the due date.</w:t>
      </w:r>
    </w:p>
    <w:tbl>
      <w:tblPr>
        <w:tblStyle w:val="ExampleBox"/>
        <w:tblW w:w="0" w:type="auto"/>
        <w:tblLook w:val="04A0" w:firstRow="1" w:lastRow="0" w:firstColumn="1" w:lastColumn="0" w:noHBand="0" w:noVBand="1"/>
      </w:tblPr>
      <w:tblGrid>
        <w:gridCol w:w="7917"/>
      </w:tblGrid>
      <w:tr w:rsidR="00EB5CF6" w:rsidRPr="00FD06AF" w14:paraId="342750F7" w14:textId="77777777" w:rsidTr="00606FDF">
        <w:tc>
          <w:tcPr>
            <w:tcW w:w="7917" w:type="dxa"/>
          </w:tcPr>
          <w:p w14:paraId="23469FC6" w14:textId="4CEF4EA8" w:rsidR="00EB5CF6" w:rsidRPr="008A0073" w:rsidRDefault="00EB5CF6" w:rsidP="00EB5CF6">
            <w:pPr>
              <w:pStyle w:val="NumberedParagraph"/>
              <w:numPr>
                <w:ilvl w:val="0"/>
                <w:numId w:val="0"/>
              </w:numPr>
              <w:rPr>
                <w:b/>
                <w:lang w:eastAsia="en-AU"/>
              </w:rPr>
            </w:pPr>
            <w:r w:rsidRPr="008A0073">
              <w:rPr>
                <w:b/>
                <w:lang w:eastAsia="en-AU"/>
              </w:rPr>
              <w:t>Example 2</w:t>
            </w:r>
            <w:r>
              <w:rPr>
                <w:b/>
                <w:lang w:eastAsia="en-AU"/>
              </w:rPr>
              <w:t>1</w:t>
            </w:r>
            <w:r w:rsidRPr="008A0073">
              <w:rPr>
                <w:b/>
                <w:lang w:eastAsia="en-AU"/>
              </w:rPr>
              <w:t>:</w:t>
            </w:r>
            <w:r w:rsidRPr="008A0073">
              <w:rPr>
                <w:b/>
                <w:bCs/>
                <w:lang w:eastAsia="en-AU"/>
              </w:rPr>
              <w:t xml:space="preserve"> Reporting dates</w:t>
            </w:r>
          </w:p>
          <w:p w14:paraId="676C38E2" w14:textId="77777777" w:rsidR="00EB5CF6" w:rsidRDefault="00EB5CF6" w:rsidP="00EB5CF6">
            <w:pPr>
              <w:pStyle w:val="NumberedParagraph"/>
              <w:numPr>
                <w:ilvl w:val="0"/>
                <w:numId w:val="0"/>
              </w:numPr>
              <w:rPr>
                <w:lang w:eastAsia="en-AU"/>
              </w:rPr>
            </w:pPr>
            <w:r>
              <w:rPr>
                <w:lang w:eastAsia="en-AU"/>
              </w:rPr>
              <w:t>World is my Oyster Limited (WOL) is the New Zealand resident UPE of a MNE that produces specialist Oyster fishing equipment. It has operations in 15 countries and meets the requirements to be subject to the GloBE.</w:t>
            </w:r>
          </w:p>
          <w:p w14:paraId="3DCF1AA8" w14:textId="7967843B" w:rsidR="00EB5CF6" w:rsidRDefault="00EB5CF6" w:rsidP="00EB5CF6">
            <w:pPr>
              <w:pStyle w:val="NumberedParagraph"/>
              <w:numPr>
                <w:ilvl w:val="0"/>
                <w:numId w:val="0"/>
              </w:numPr>
              <w:rPr>
                <w:lang w:eastAsia="en-AU"/>
              </w:rPr>
            </w:pPr>
            <w:r>
              <w:rPr>
                <w:lang w:eastAsia="en-AU"/>
              </w:rPr>
              <w:t>WOL has a June balance date and the first fiscal year it will be required to report under GloBE will be for the year ended 30 June 2025. WOL has a New Zealand tax agent and an extension of time to file its New Zealand income tax return.</w:t>
            </w:r>
          </w:p>
          <w:p w14:paraId="4D3E6FBB" w14:textId="77777777" w:rsidR="00EB5CF6" w:rsidRDefault="00EB5CF6" w:rsidP="00EB5CF6">
            <w:pPr>
              <w:pStyle w:val="NumberedParagraph"/>
              <w:numPr>
                <w:ilvl w:val="0"/>
                <w:numId w:val="0"/>
              </w:numPr>
              <w:rPr>
                <w:lang w:eastAsia="en-AU"/>
              </w:rPr>
            </w:pPr>
            <w:r>
              <w:rPr>
                <w:lang w:eastAsia="en-AU"/>
              </w:rPr>
              <w:t>WOL’s reporting dates for the initial 30 June 2025 year will be as follows:</w:t>
            </w:r>
          </w:p>
          <w:p w14:paraId="6F512475" w14:textId="77777777" w:rsidR="00EB5CF6" w:rsidRDefault="00EB5CF6" w:rsidP="00C313C3">
            <w:pPr>
              <w:pStyle w:val="NumberedParagraph"/>
              <w:numPr>
                <w:ilvl w:val="0"/>
                <w:numId w:val="14"/>
              </w:numPr>
              <w:ind w:left="383" w:hanging="383"/>
              <w:rPr>
                <w:lang w:eastAsia="en-AU"/>
              </w:rPr>
            </w:pPr>
            <w:r>
              <w:rPr>
                <w:lang w:eastAsia="en-AU"/>
              </w:rPr>
              <w:t>New Zealand Income Tax return – due 31 March 2026.</w:t>
            </w:r>
          </w:p>
          <w:p w14:paraId="16F0A04E" w14:textId="77777777" w:rsidR="00EB5CF6" w:rsidRDefault="00EB5CF6" w:rsidP="00C313C3">
            <w:pPr>
              <w:pStyle w:val="NumberedParagraph"/>
              <w:numPr>
                <w:ilvl w:val="0"/>
                <w:numId w:val="14"/>
              </w:numPr>
              <w:ind w:left="383" w:hanging="383"/>
              <w:rPr>
                <w:lang w:eastAsia="en-AU"/>
              </w:rPr>
            </w:pPr>
            <w:r>
              <w:rPr>
                <w:lang w:eastAsia="en-AU"/>
              </w:rPr>
              <w:t>GloBE information return – due 31 December 2026 (18 months after balance date – normally this will be due 15 months after balance date on the 30 September).</w:t>
            </w:r>
          </w:p>
          <w:p w14:paraId="1DADEB44" w14:textId="2842974B" w:rsidR="00EB5CF6" w:rsidRPr="00FD06AF" w:rsidRDefault="00EB5CF6" w:rsidP="00EB5CF6">
            <w:pPr>
              <w:rPr>
                <w:sz w:val="17"/>
                <w:szCs w:val="17"/>
                <w:lang w:eastAsia="en-AU"/>
              </w:rPr>
            </w:pPr>
            <w:r>
              <w:rPr>
                <w:lang w:eastAsia="en-AU"/>
              </w:rPr>
              <w:t>New Zealand GloBE tax return – due 28 February 2027 (20 months after balance date – normally this will be due on 31 October).</w:t>
            </w:r>
          </w:p>
        </w:tc>
      </w:tr>
    </w:tbl>
    <w:p w14:paraId="219C4537" w14:textId="77777777" w:rsidR="00D714EF" w:rsidRPr="00861D1A" w:rsidRDefault="00D714EF" w:rsidP="00D714EF">
      <w:pPr>
        <w:pStyle w:val="Heading2"/>
        <w:rPr>
          <w:lang w:eastAsia="en-AU"/>
        </w:rPr>
      </w:pPr>
      <w:bookmarkStart w:id="98" w:name="_Toc101095627"/>
      <w:r w:rsidRPr="00861D1A">
        <w:rPr>
          <w:lang w:eastAsia="en-AU"/>
        </w:rPr>
        <w:t xml:space="preserve">Joint and </w:t>
      </w:r>
      <w:r>
        <w:rPr>
          <w:lang w:eastAsia="en-AU"/>
        </w:rPr>
        <w:t>s</w:t>
      </w:r>
      <w:r w:rsidRPr="00861D1A">
        <w:rPr>
          <w:lang w:eastAsia="en-AU"/>
        </w:rPr>
        <w:t xml:space="preserve">everal </w:t>
      </w:r>
      <w:r>
        <w:rPr>
          <w:lang w:eastAsia="en-AU"/>
        </w:rPr>
        <w:t>l</w:t>
      </w:r>
      <w:r w:rsidRPr="00861D1A">
        <w:rPr>
          <w:lang w:eastAsia="en-AU"/>
        </w:rPr>
        <w:t>iability</w:t>
      </w:r>
      <w:bookmarkEnd w:id="98"/>
    </w:p>
    <w:p w14:paraId="031810EC" w14:textId="42266DB6" w:rsidR="00D714EF" w:rsidRPr="00861D1A" w:rsidRDefault="00D714EF" w:rsidP="00D714EF">
      <w:pPr>
        <w:pStyle w:val="NumberedParagraph"/>
        <w:rPr>
          <w:lang w:eastAsia="en-AU"/>
        </w:rPr>
      </w:pPr>
      <w:r>
        <w:rPr>
          <w:lang w:eastAsia="en-AU"/>
        </w:rPr>
        <w:t xml:space="preserve">Officials </w:t>
      </w:r>
      <w:r w:rsidRPr="00861D1A">
        <w:rPr>
          <w:lang w:eastAsia="en-AU"/>
        </w:rPr>
        <w:t>propose that all New Zealand resident entities of the MNE group will be jointly and severally liable for any top-up payments that are charged to any one New Zealand resident entity of the MNE group under GloBE reporting</w:t>
      </w:r>
      <w:r w:rsidR="008D2B85">
        <w:rPr>
          <w:lang w:eastAsia="en-AU"/>
        </w:rPr>
        <w:t xml:space="preserve">. </w:t>
      </w:r>
      <w:r>
        <w:rPr>
          <w:lang w:eastAsia="en-AU"/>
        </w:rPr>
        <w:t>This approach is also proposed in the United Kingdom.</w:t>
      </w:r>
    </w:p>
    <w:p w14:paraId="4D4DDB37" w14:textId="77777777" w:rsidR="00D714EF" w:rsidRPr="00861D1A" w:rsidRDefault="00D714EF" w:rsidP="00D714EF">
      <w:pPr>
        <w:pStyle w:val="NumberedParagraph"/>
        <w:rPr>
          <w:lang w:eastAsia="en-AU"/>
        </w:rPr>
      </w:pPr>
      <w:r w:rsidRPr="00861D1A">
        <w:rPr>
          <w:lang w:eastAsia="en-AU"/>
        </w:rPr>
        <w:t xml:space="preserve">Officials consider this is appropriate given these liabilities </w:t>
      </w:r>
      <w:r>
        <w:rPr>
          <w:lang w:eastAsia="en-AU"/>
        </w:rPr>
        <w:t xml:space="preserve">result from </w:t>
      </w:r>
      <w:r w:rsidRPr="00861D1A">
        <w:rPr>
          <w:lang w:eastAsia="en-AU"/>
        </w:rPr>
        <w:t xml:space="preserve">undertaxed profits of the MNE group </w:t>
      </w:r>
      <w:r>
        <w:rPr>
          <w:lang w:eastAsia="en-AU"/>
        </w:rPr>
        <w:t>measured on a jurisdictional basis</w:t>
      </w:r>
      <w:r w:rsidRPr="00861D1A">
        <w:rPr>
          <w:lang w:eastAsia="en-AU"/>
        </w:rPr>
        <w:t>.</w:t>
      </w:r>
    </w:p>
    <w:p w14:paraId="3EDFB0A3" w14:textId="77777777" w:rsidR="00D714EF" w:rsidRPr="00861D1A" w:rsidRDefault="00D714EF" w:rsidP="00D714EF">
      <w:pPr>
        <w:pStyle w:val="NumberedParagraph"/>
        <w:rPr>
          <w:lang w:eastAsia="en-AU"/>
        </w:rPr>
      </w:pPr>
      <w:r w:rsidRPr="00861D1A">
        <w:rPr>
          <w:lang w:eastAsia="en-AU"/>
        </w:rPr>
        <w:t xml:space="preserve">As all groups with liabilities in New Zealand will have a New Zealand tax presence </w:t>
      </w:r>
      <w:r>
        <w:rPr>
          <w:lang w:eastAsia="en-AU"/>
        </w:rPr>
        <w:t xml:space="preserve">it </w:t>
      </w:r>
      <w:r w:rsidRPr="00861D1A">
        <w:rPr>
          <w:lang w:eastAsia="en-AU"/>
        </w:rPr>
        <w:t xml:space="preserve">would </w:t>
      </w:r>
      <w:r>
        <w:rPr>
          <w:lang w:eastAsia="en-AU"/>
        </w:rPr>
        <w:t xml:space="preserve">not </w:t>
      </w:r>
      <w:r w:rsidRPr="00861D1A">
        <w:rPr>
          <w:lang w:eastAsia="en-AU"/>
        </w:rPr>
        <w:t>be necessary to extend this joint and several liability to non-resident members of the MNE group.</w:t>
      </w:r>
    </w:p>
    <w:p w14:paraId="26883E06" w14:textId="77777777" w:rsidR="00D714EF" w:rsidRPr="00861D1A" w:rsidRDefault="00D714EF" w:rsidP="00D714EF">
      <w:pPr>
        <w:pStyle w:val="Heading2"/>
        <w:rPr>
          <w:lang w:eastAsia="en-AU"/>
        </w:rPr>
      </w:pPr>
      <w:bookmarkStart w:id="99" w:name="_Toc101095628"/>
      <w:r w:rsidRPr="00861D1A">
        <w:rPr>
          <w:lang w:eastAsia="en-AU"/>
        </w:rPr>
        <w:t>Other provisions of the Tax Administration Act 1994</w:t>
      </w:r>
      <w:bookmarkEnd w:id="99"/>
    </w:p>
    <w:p w14:paraId="53C039BB" w14:textId="5496EEDA" w:rsidR="00D714EF" w:rsidRDefault="00D714EF" w:rsidP="00D714EF">
      <w:pPr>
        <w:pStyle w:val="NumberedParagraph"/>
        <w:rPr>
          <w:lang w:eastAsia="en-AU"/>
        </w:rPr>
      </w:pPr>
      <w:r w:rsidRPr="00861D1A">
        <w:rPr>
          <w:lang w:eastAsia="en-AU"/>
        </w:rPr>
        <w:t xml:space="preserve">As a preliminary position, officials envisage that other provisions within the </w:t>
      </w:r>
      <w:r w:rsidRPr="00791A99">
        <w:rPr>
          <w:i/>
          <w:iCs/>
          <w:lang w:eastAsia="en-AU"/>
        </w:rPr>
        <w:t>Tax Administration Act 1994</w:t>
      </w:r>
      <w:r w:rsidRPr="00861D1A">
        <w:rPr>
          <w:lang w:eastAsia="en-AU"/>
        </w:rPr>
        <w:t xml:space="preserve"> (as applicable) will apply to </w:t>
      </w:r>
      <w:r>
        <w:rPr>
          <w:lang w:eastAsia="en-AU"/>
        </w:rPr>
        <w:t>the</w:t>
      </w:r>
      <w:r w:rsidRPr="00861D1A">
        <w:rPr>
          <w:lang w:eastAsia="en-AU"/>
        </w:rPr>
        <w:t xml:space="preserve"> </w:t>
      </w:r>
      <w:r>
        <w:rPr>
          <w:lang w:eastAsia="en-AU"/>
        </w:rPr>
        <w:t>New Zealand GloBE tax return</w:t>
      </w:r>
      <w:r w:rsidRPr="00861D1A">
        <w:rPr>
          <w:lang w:eastAsia="en-AU"/>
        </w:rPr>
        <w:t xml:space="preserve"> and any tax liability as with any other tax liability (</w:t>
      </w:r>
      <w:r w:rsidR="00653468">
        <w:rPr>
          <w:lang w:eastAsia="en-AU"/>
        </w:rPr>
        <w:t>for example</w:t>
      </w:r>
      <w:r w:rsidRPr="00861D1A">
        <w:rPr>
          <w:lang w:eastAsia="en-AU"/>
        </w:rPr>
        <w:t>, disputes and recovery processes)</w:t>
      </w:r>
      <w:r>
        <w:rPr>
          <w:lang w:eastAsia="en-AU"/>
        </w:rPr>
        <w:t xml:space="preserve">. </w:t>
      </w:r>
      <w:r w:rsidRPr="00861D1A">
        <w:rPr>
          <w:lang w:eastAsia="en-AU"/>
        </w:rPr>
        <w:t>However, there may be matters where closer examination suggests this is not appropriate</w:t>
      </w:r>
      <w:r>
        <w:rPr>
          <w:lang w:eastAsia="en-AU"/>
        </w:rPr>
        <w:t xml:space="preserve">. </w:t>
      </w:r>
      <w:r w:rsidRPr="00861D1A">
        <w:rPr>
          <w:lang w:eastAsia="en-AU"/>
        </w:rPr>
        <w:t xml:space="preserve">The OECD work on an </w:t>
      </w:r>
      <w:r>
        <w:rPr>
          <w:lang w:eastAsia="en-AU"/>
        </w:rPr>
        <w:t>I</w:t>
      </w:r>
      <w:r w:rsidRPr="00861D1A">
        <w:rPr>
          <w:lang w:eastAsia="en-AU"/>
        </w:rPr>
        <w:t xml:space="preserve">mplementation </w:t>
      </w:r>
      <w:r>
        <w:rPr>
          <w:lang w:eastAsia="en-AU"/>
        </w:rPr>
        <w:t>F</w:t>
      </w:r>
      <w:r w:rsidRPr="00861D1A">
        <w:rPr>
          <w:lang w:eastAsia="en-AU"/>
        </w:rPr>
        <w:t>ramework may also require a particular approach to be adopted to these matters.</w:t>
      </w:r>
    </w:p>
    <w:p w14:paraId="107394B3" w14:textId="77777777" w:rsidR="00D714EF" w:rsidRDefault="00D714EF" w:rsidP="00D714EF">
      <w:pPr>
        <w:pStyle w:val="NumberedParagraph"/>
        <w:rPr>
          <w:lang w:eastAsia="en-AU"/>
        </w:rPr>
      </w:pPr>
      <w:r w:rsidRPr="00861D1A">
        <w:rPr>
          <w:lang w:eastAsia="en-AU"/>
        </w:rPr>
        <w:t>Officials are interested in submitters</w:t>
      </w:r>
      <w:r>
        <w:rPr>
          <w:lang w:eastAsia="en-AU"/>
        </w:rPr>
        <w:t>’</w:t>
      </w:r>
      <w:r w:rsidRPr="00861D1A">
        <w:rPr>
          <w:lang w:eastAsia="en-AU"/>
        </w:rPr>
        <w:t xml:space="preserve"> views as to whether there are any areas of the Tax Administration Act 1994 that would need modification to deal with the specialised nature of GloBE </w:t>
      </w:r>
      <w:r>
        <w:rPr>
          <w:lang w:eastAsia="en-AU"/>
        </w:rPr>
        <w:t>taxation</w:t>
      </w:r>
      <w:r w:rsidRPr="00861D1A">
        <w:rPr>
          <w:lang w:eastAsia="en-AU"/>
        </w:rPr>
        <w:t>.</w:t>
      </w:r>
    </w:p>
    <w:tbl>
      <w:tblPr>
        <w:tblStyle w:val="QuestionBox"/>
        <w:tblW w:w="8779" w:type="dxa"/>
        <w:tblLook w:val="04A0" w:firstRow="1" w:lastRow="0" w:firstColumn="1" w:lastColumn="0" w:noHBand="0" w:noVBand="1"/>
      </w:tblPr>
      <w:tblGrid>
        <w:gridCol w:w="8779"/>
      </w:tblGrid>
      <w:tr w:rsidR="00D714EF" w14:paraId="0A9FE90B" w14:textId="77777777" w:rsidTr="001373D9">
        <w:tc>
          <w:tcPr>
            <w:tcW w:w="8779" w:type="dxa"/>
          </w:tcPr>
          <w:p w14:paraId="04DE2073" w14:textId="77777777" w:rsidR="00D714EF" w:rsidRDefault="00D714EF" w:rsidP="00606FDF">
            <w:pPr>
              <w:rPr>
                <w:b/>
                <w:bCs/>
              </w:rPr>
            </w:pPr>
            <w:r w:rsidRPr="0097039F">
              <w:rPr>
                <w:b/>
                <w:bCs/>
              </w:rPr>
              <w:lastRenderedPageBreak/>
              <w:t xml:space="preserve">Questions for submitters </w:t>
            </w:r>
          </w:p>
          <w:p w14:paraId="588F8343" w14:textId="77777777" w:rsidR="00D714EF" w:rsidRDefault="00D714EF" w:rsidP="00606FDF">
            <w:pPr>
              <w:pStyle w:val="ListBullet"/>
            </w:pPr>
            <w:r>
              <w:t>Is treating GloBE as a separate tax type appropriate?</w:t>
            </w:r>
          </w:p>
          <w:p w14:paraId="14AB96FB" w14:textId="77777777" w:rsidR="00D714EF" w:rsidRDefault="00D714EF" w:rsidP="00606FDF">
            <w:pPr>
              <w:pStyle w:val="ListBullet"/>
            </w:pPr>
            <w:r>
              <w:t>Do submitters see any issues with filing GloBE information returns and CbC reports in an electronic XML format?</w:t>
            </w:r>
          </w:p>
          <w:p w14:paraId="15CBD568" w14:textId="77777777" w:rsidR="00D714EF" w:rsidRDefault="00D714EF" w:rsidP="00606FDF">
            <w:pPr>
              <w:pStyle w:val="ListBullet"/>
            </w:pPr>
            <w:r>
              <w:t>Do submitters think that payment of any top-up should be aligned with the due date for the New Zealand GloBE tax return?</w:t>
            </w:r>
          </w:p>
          <w:p w14:paraId="47C6AF6D" w14:textId="337AF845" w:rsidR="00D714EF" w:rsidRDefault="00D714EF" w:rsidP="00606FDF">
            <w:pPr>
              <w:pStyle w:val="ListBullet"/>
            </w:pPr>
            <w:r>
              <w:t xml:space="preserve">Is the end of the month following the due date for the GloBE information return a suitable due date for filing the New Zealand GloBE tax </w:t>
            </w:r>
            <w:r w:rsidR="008D2B85">
              <w:t>return?</w:t>
            </w:r>
          </w:p>
          <w:p w14:paraId="2C44CEBA" w14:textId="77777777" w:rsidR="00D714EF" w:rsidRDefault="00D714EF" w:rsidP="00606FDF">
            <w:pPr>
              <w:pStyle w:val="ListBullet"/>
            </w:pPr>
            <w:r>
              <w:t>What level of monetary penalty do submitters consider appropriate for late or non-electronic filing of GloBE information returns?</w:t>
            </w:r>
          </w:p>
          <w:p w14:paraId="66BB7F26" w14:textId="77777777" w:rsidR="00D714EF" w:rsidRDefault="00D714EF" w:rsidP="00606FDF">
            <w:pPr>
              <w:pStyle w:val="ListBullet"/>
            </w:pPr>
            <w:r>
              <w:t>Do submitters consider any of the other provisions in the TAA may require modification to deal with the new GloBE reporting and associated local tax returns?</w:t>
            </w:r>
          </w:p>
          <w:p w14:paraId="4209BCE1" w14:textId="77777777" w:rsidR="00D714EF" w:rsidRPr="00C4571D" w:rsidRDefault="00D714EF" w:rsidP="00606FDF">
            <w:pPr>
              <w:pStyle w:val="ListBullet"/>
              <w:rPr>
                <w:b/>
                <w:bCs/>
              </w:rPr>
            </w:pPr>
            <w:r>
              <w:t>Are there any other practical tax administration issues submitters see with the proposals for GloBE reporting outlined in the chapter?</w:t>
            </w:r>
          </w:p>
        </w:tc>
      </w:tr>
    </w:tbl>
    <w:p w14:paraId="36C2839F" w14:textId="5AD65DA4" w:rsidR="00982E32" w:rsidRDefault="00A270F5" w:rsidP="00982E32">
      <w:pPr>
        <w:pStyle w:val="Heading1"/>
        <w:rPr>
          <w:lang w:eastAsia="en-AU"/>
        </w:rPr>
      </w:pPr>
      <w:r>
        <w:rPr>
          <w:lang w:eastAsia="en-AU"/>
        </w:rPr>
        <w:lastRenderedPageBreak/>
        <w:br/>
      </w:r>
      <w:r>
        <w:rPr>
          <w:lang w:eastAsia="en-AU"/>
        </w:rPr>
        <w:br/>
      </w:r>
      <w:bookmarkStart w:id="100" w:name="_Toc101095629"/>
      <w:r>
        <w:rPr>
          <w:lang w:eastAsia="en-AU"/>
        </w:rPr>
        <w:t>Interaction with imputation</w:t>
      </w:r>
      <w:bookmarkEnd w:id="100"/>
    </w:p>
    <w:p w14:paraId="763B4E2D" w14:textId="54ADBC12" w:rsidR="00861D1A" w:rsidRPr="00861D1A" w:rsidRDefault="00861D1A" w:rsidP="00A270F5">
      <w:pPr>
        <w:pStyle w:val="NumberedParagraph"/>
        <w:rPr>
          <w:lang w:eastAsia="en-AU"/>
        </w:rPr>
      </w:pPr>
      <w:r w:rsidRPr="00861D1A">
        <w:rPr>
          <w:lang w:eastAsia="en-AU"/>
        </w:rPr>
        <w:t>Generally New Zealand income tax paid by a New Zealand company gives rise to an imputation credit, which can be passed on to the company’s shareholders when the company pays a dividend (including a taxable bonus issue)</w:t>
      </w:r>
      <w:r w:rsidR="00C028F0">
        <w:rPr>
          <w:lang w:eastAsia="en-AU"/>
        </w:rPr>
        <w:t xml:space="preserve">. </w:t>
      </w:r>
      <w:r w:rsidRPr="00861D1A">
        <w:rPr>
          <w:lang w:eastAsia="en-AU"/>
        </w:rPr>
        <w:t>This includes tax paid on income recognised under the controlled foreign company rules.</w:t>
      </w:r>
    </w:p>
    <w:p w14:paraId="3023A5E6" w14:textId="59E5F7B3" w:rsidR="00861D1A" w:rsidRPr="00861D1A" w:rsidRDefault="00861D1A" w:rsidP="00A270F5">
      <w:pPr>
        <w:pStyle w:val="NumberedParagraph"/>
        <w:rPr>
          <w:lang w:eastAsia="en-AU"/>
        </w:rPr>
      </w:pPr>
      <w:r w:rsidRPr="00861D1A">
        <w:rPr>
          <w:lang w:eastAsia="en-AU"/>
        </w:rPr>
        <w:t xml:space="preserve">However, </w:t>
      </w:r>
      <w:r w:rsidR="003C1B90">
        <w:rPr>
          <w:lang w:eastAsia="en-AU"/>
        </w:rPr>
        <w:t xml:space="preserve">the payment of </w:t>
      </w:r>
      <w:r w:rsidRPr="00861D1A">
        <w:rPr>
          <w:lang w:eastAsia="en-AU"/>
        </w:rPr>
        <w:t>foreign income tax does not give rise to imputation credits</w:t>
      </w:r>
      <w:r w:rsidR="00C028F0">
        <w:rPr>
          <w:lang w:eastAsia="en-AU"/>
        </w:rPr>
        <w:t xml:space="preserve">. </w:t>
      </w:r>
      <w:r w:rsidRPr="00861D1A">
        <w:rPr>
          <w:lang w:eastAsia="en-AU"/>
        </w:rPr>
        <w:t>The issue considered in this chapter is whether tax paid under the GloBE rules should give rise to an imputation credit or not.</w:t>
      </w:r>
    </w:p>
    <w:p w14:paraId="39118F03" w14:textId="77777777" w:rsidR="00861D1A" w:rsidRPr="00861D1A" w:rsidRDefault="00861D1A" w:rsidP="00A270F5">
      <w:pPr>
        <w:pStyle w:val="Heading2"/>
        <w:rPr>
          <w:lang w:eastAsia="en-AU"/>
        </w:rPr>
      </w:pPr>
      <w:bookmarkStart w:id="101" w:name="_Toc101095630"/>
      <w:r w:rsidRPr="00861D1A">
        <w:rPr>
          <w:lang w:eastAsia="en-AU"/>
        </w:rPr>
        <w:t>Purpose of imputation</w:t>
      </w:r>
      <w:bookmarkEnd w:id="101"/>
    </w:p>
    <w:p w14:paraId="5BEEDE8F" w14:textId="375D0E0A" w:rsidR="00861D1A" w:rsidRPr="00861D1A" w:rsidRDefault="00861D1A" w:rsidP="00CF056E">
      <w:pPr>
        <w:pStyle w:val="NumberedParagraph"/>
        <w:rPr>
          <w:lang w:eastAsia="en-AU"/>
        </w:rPr>
      </w:pPr>
      <w:r w:rsidRPr="00861D1A">
        <w:rPr>
          <w:lang w:eastAsia="en-AU"/>
        </w:rPr>
        <w:t>The broad purpose of the imputation credit regime is to ensure that income earned through a company is taxed at the shareholder’s marginal rate</w:t>
      </w:r>
      <w:r w:rsidR="00C028F0">
        <w:rPr>
          <w:lang w:eastAsia="en-AU"/>
        </w:rPr>
        <w:t xml:space="preserve">. </w:t>
      </w:r>
      <w:r w:rsidRPr="00861D1A">
        <w:rPr>
          <w:lang w:eastAsia="en-AU"/>
        </w:rPr>
        <w:t>The exclusion of foreign income tax from the regime reflects a policy choice not to give shareholders in New Zealand companies a credit for foreign income tax</w:t>
      </w:r>
      <w:r w:rsidR="003C1B90">
        <w:rPr>
          <w:lang w:eastAsia="en-AU"/>
        </w:rPr>
        <w:t xml:space="preserve"> paid</w:t>
      </w:r>
      <w:r w:rsidRPr="00861D1A">
        <w:rPr>
          <w:lang w:eastAsia="en-AU"/>
        </w:rPr>
        <w:t xml:space="preserve">, even though a </w:t>
      </w:r>
      <w:r w:rsidR="003C1B90">
        <w:rPr>
          <w:lang w:eastAsia="en-AU"/>
        </w:rPr>
        <w:t xml:space="preserve">foreign tax </w:t>
      </w:r>
      <w:r w:rsidRPr="00861D1A">
        <w:rPr>
          <w:lang w:eastAsia="en-AU"/>
        </w:rPr>
        <w:t>credit generally is available on income earned by the shareholders directly</w:t>
      </w:r>
      <w:r w:rsidR="00C028F0">
        <w:rPr>
          <w:lang w:eastAsia="en-AU"/>
        </w:rPr>
        <w:t xml:space="preserve">. </w:t>
      </w:r>
      <w:r w:rsidRPr="00861D1A">
        <w:rPr>
          <w:lang w:eastAsia="en-AU"/>
        </w:rPr>
        <w:t xml:space="preserve">This can be justified on the </w:t>
      </w:r>
      <w:r w:rsidR="00F33525">
        <w:rPr>
          <w:lang w:eastAsia="en-AU"/>
        </w:rPr>
        <w:t>following</w:t>
      </w:r>
      <w:r w:rsidRPr="00861D1A">
        <w:rPr>
          <w:lang w:eastAsia="en-AU"/>
        </w:rPr>
        <w:t xml:space="preserve"> basis</w:t>
      </w:r>
      <w:r w:rsidR="00E42230">
        <w:rPr>
          <w:lang w:eastAsia="en-AU"/>
        </w:rPr>
        <w:t>:</w:t>
      </w:r>
    </w:p>
    <w:p w14:paraId="382529D9" w14:textId="7338EC92" w:rsidR="00861D1A" w:rsidRPr="00861D1A" w:rsidRDefault="00570881" w:rsidP="00CF056E">
      <w:pPr>
        <w:pStyle w:val="NumberedParagraph-BulletL1"/>
        <w:rPr>
          <w:lang w:eastAsia="en-AU"/>
        </w:rPr>
      </w:pPr>
      <w:r w:rsidRPr="00403537">
        <w:rPr>
          <w:bCs/>
        </w:rPr>
        <w:t xml:space="preserve">The payment of foreign taxes does not benefit New Zealand, as those foreign taxes are not available for the Government to spend on services here. Accordingly, providing a deduction rather than a credit for foreign taxes maximises national welfare </w:t>
      </w:r>
      <w:r>
        <w:rPr>
          <w:bCs/>
        </w:rPr>
        <w:t>and encourages companies to pay taxes in New Zealand rather than offshore</w:t>
      </w:r>
      <w:r w:rsidR="008E5295">
        <w:rPr>
          <w:lang w:eastAsia="en-AU"/>
        </w:rPr>
        <w:t>.</w:t>
      </w:r>
    </w:p>
    <w:p w14:paraId="04C33D62" w14:textId="69D89692" w:rsidR="00861D1A" w:rsidRPr="00861D1A" w:rsidRDefault="008E5295" w:rsidP="00CF056E">
      <w:pPr>
        <w:pStyle w:val="NumberedParagraph-BulletL1"/>
        <w:rPr>
          <w:lang w:eastAsia="en-AU"/>
        </w:rPr>
      </w:pPr>
      <w:r>
        <w:rPr>
          <w:lang w:eastAsia="en-AU"/>
        </w:rPr>
        <w:t>F</w:t>
      </w:r>
      <w:r w:rsidR="00861D1A" w:rsidRPr="00861D1A">
        <w:rPr>
          <w:lang w:eastAsia="en-AU"/>
        </w:rPr>
        <w:t xml:space="preserve">oreign tax credits are also not available for New Zealand shareholders in foreign companies with respect to underlying foreign tax, </w:t>
      </w:r>
      <w:r w:rsidR="00012FB9">
        <w:rPr>
          <w:lang w:eastAsia="en-AU"/>
        </w:rPr>
        <w:t xml:space="preserve">that is, </w:t>
      </w:r>
      <w:r w:rsidR="00861D1A" w:rsidRPr="00861D1A">
        <w:rPr>
          <w:lang w:eastAsia="en-AU"/>
        </w:rPr>
        <w:t>tax paid by the company</w:t>
      </w:r>
      <w:r>
        <w:rPr>
          <w:lang w:eastAsia="en-AU"/>
        </w:rPr>
        <w:t>.</w:t>
      </w:r>
    </w:p>
    <w:p w14:paraId="51167A05" w14:textId="351550DB" w:rsidR="00861D1A" w:rsidRPr="00861D1A" w:rsidRDefault="008E5295" w:rsidP="00CF056E">
      <w:pPr>
        <w:pStyle w:val="NumberedParagraph-BulletL1"/>
        <w:rPr>
          <w:lang w:eastAsia="en-AU"/>
        </w:rPr>
      </w:pPr>
      <w:r>
        <w:rPr>
          <w:lang w:eastAsia="en-AU"/>
        </w:rPr>
        <w:t>W</w:t>
      </w:r>
      <w:r w:rsidR="00861D1A" w:rsidRPr="00861D1A">
        <w:rPr>
          <w:lang w:eastAsia="en-AU"/>
        </w:rPr>
        <w:t>hen a foreign company earns income and pays tax in New Zealand, no foreign country gives a credit to the foreign company’s shareholders for the New Zealand tax paid</w:t>
      </w:r>
      <w:r w:rsidR="00C028F0">
        <w:rPr>
          <w:lang w:eastAsia="en-AU"/>
        </w:rPr>
        <w:t xml:space="preserve">. </w:t>
      </w:r>
      <w:r w:rsidR="00861D1A" w:rsidRPr="00861D1A">
        <w:rPr>
          <w:lang w:eastAsia="en-AU"/>
        </w:rPr>
        <w:t>There is an argument that a country should only give residents tax credits for another country’s taxes if the other country reciprocates (though New Zealand gives a unilateral foreign tax credit on directly earned income).</w:t>
      </w:r>
    </w:p>
    <w:p w14:paraId="3C959CED" w14:textId="1E11BF8F" w:rsidR="00861D1A" w:rsidRPr="00861D1A" w:rsidRDefault="00861D1A" w:rsidP="00426A9B">
      <w:pPr>
        <w:pStyle w:val="NumberedParagraph"/>
        <w:rPr>
          <w:lang w:eastAsia="en-AU"/>
        </w:rPr>
      </w:pPr>
      <w:r w:rsidRPr="00861D1A">
        <w:rPr>
          <w:lang w:eastAsia="en-AU"/>
        </w:rPr>
        <w:t>Tax imposed in New Zealand under the IIR is clearly New Zealand tax, which does benefit the New Zealand economy, and therefore presents a prima facie case for an imputation credit</w:t>
      </w:r>
      <w:r w:rsidR="00C028F0">
        <w:rPr>
          <w:lang w:eastAsia="en-AU"/>
        </w:rPr>
        <w:t xml:space="preserve">. </w:t>
      </w:r>
      <w:r w:rsidRPr="00861D1A">
        <w:rPr>
          <w:lang w:eastAsia="en-AU"/>
        </w:rPr>
        <w:t>However, there are also a number of arguments against giving a credit.</w:t>
      </w:r>
    </w:p>
    <w:p w14:paraId="152DF71A" w14:textId="0DCBB807" w:rsidR="00861D1A" w:rsidRPr="00861D1A" w:rsidRDefault="00861D1A" w:rsidP="00426A9B">
      <w:pPr>
        <w:pStyle w:val="Heading2"/>
        <w:rPr>
          <w:lang w:eastAsia="en-AU"/>
        </w:rPr>
      </w:pPr>
      <w:bookmarkStart w:id="102" w:name="_Toc101095631"/>
      <w:r w:rsidRPr="00861D1A">
        <w:rPr>
          <w:lang w:eastAsia="en-AU"/>
        </w:rPr>
        <w:t xml:space="preserve">Reasons Pillar </w:t>
      </w:r>
      <w:r w:rsidR="0095634A">
        <w:rPr>
          <w:lang w:eastAsia="en-AU"/>
        </w:rPr>
        <w:t>Two</w:t>
      </w:r>
      <w:r w:rsidRPr="00861D1A">
        <w:rPr>
          <w:lang w:eastAsia="en-AU"/>
        </w:rPr>
        <w:t xml:space="preserve"> tax should not give rise to imputation credits</w:t>
      </w:r>
      <w:bookmarkEnd w:id="102"/>
    </w:p>
    <w:p w14:paraId="40B210FA" w14:textId="582EA92D" w:rsidR="00861D1A" w:rsidRPr="00861D1A" w:rsidRDefault="00861D1A" w:rsidP="00426A9B">
      <w:pPr>
        <w:pStyle w:val="NumberedParagraph"/>
        <w:rPr>
          <w:lang w:eastAsia="en-AU"/>
        </w:rPr>
      </w:pPr>
      <w:r w:rsidRPr="00861D1A">
        <w:rPr>
          <w:lang w:eastAsia="en-AU"/>
        </w:rPr>
        <w:t xml:space="preserve">First, the reason for </w:t>
      </w:r>
      <w:r w:rsidR="00F05A10">
        <w:rPr>
          <w:lang w:eastAsia="en-AU"/>
        </w:rPr>
        <w:t>the</w:t>
      </w:r>
      <w:r w:rsidRPr="00861D1A">
        <w:rPr>
          <w:lang w:eastAsia="en-AU"/>
        </w:rPr>
        <w:t xml:space="preserve"> imposition of the IIR is that insufficient tax has been paid in a country outside New Zealand</w:t>
      </w:r>
      <w:r w:rsidR="00C028F0">
        <w:rPr>
          <w:lang w:eastAsia="en-AU"/>
        </w:rPr>
        <w:t xml:space="preserve">. </w:t>
      </w:r>
      <w:r w:rsidRPr="00861D1A">
        <w:rPr>
          <w:lang w:eastAsia="en-AU"/>
        </w:rPr>
        <w:t>The purpose of the GloB</w:t>
      </w:r>
      <w:r w:rsidR="00CB4821">
        <w:rPr>
          <w:lang w:eastAsia="en-AU"/>
        </w:rPr>
        <w:t>E</w:t>
      </w:r>
      <w:r w:rsidRPr="00861D1A">
        <w:rPr>
          <w:lang w:eastAsia="en-AU"/>
        </w:rPr>
        <w:t xml:space="preserve"> rules is to correct that insufficiency</w:t>
      </w:r>
      <w:r w:rsidR="00C028F0">
        <w:rPr>
          <w:lang w:eastAsia="en-AU"/>
        </w:rPr>
        <w:t xml:space="preserve">. </w:t>
      </w:r>
      <w:r w:rsidRPr="00861D1A">
        <w:rPr>
          <w:lang w:eastAsia="en-AU"/>
        </w:rPr>
        <w:t>If the IIR gives rise to an imputation credit, this policy is significantly undermined</w:t>
      </w:r>
      <w:r w:rsidR="00C028F0">
        <w:rPr>
          <w:lang w:eastAsia="en-AU"/>
        </w:rPr>
        <w:t xml:space="preserve">. </w:t>
      </w:r>
      <w:r w:rsidRPr="00861D1A">
        <w:rPr>
          <w:lang w:eastAsia="en-AU"/>
        </w:rPr>
        <w:t xml:space="preserve">Although sufficient tax is paid at a corporate level, the entire top-up amount is available as a </w:t>
      </w:r>
      <w:proofErr w:type="gramStart"/>
      <w:r w:rsidR="00F05A10">
        <w:rPr>
          <w:lang w:eastAsia="en-AU"/>
        </w:rPr>
        <w:t>dollar</w:t>
      </w:r>
      <w:r w:rsidRPr="00861D1A">
        <w:rPr>
          <w:lang w:eastAsia="en-AU"/>
        </w:rPr>
        <w:t xml:space="preserve"> for </w:t>
      </w:r>
      <w:r w:rsidR="00F05A10">
        <w:rPr>
          <w:lang w:eastAsia="en-AU"/>
        </w:rPr>
        <w:t>dollar</w:t>
      </w:r>
      <w:proofErr w:type="gramEnd"/>
      <w:r w:rsidRPr="00861D1A">
        <w:rPr>
          <w:lang w:eastAsia="en-AU"/>
        </w:rPr>
        <w:t xml:space="preserve"> tax reduction to the shareholder</w:t>
      </w:r>
      <w:r w:rsidR="00C028F0">
        <w:rPr>
          <w:lang w:eastAsia="en-AU"/>
        </w:rPr>
        <w:t xml:space="preserve">. </w:t>
      </w:r>
      <w:r w:rsidRPr="00861D1A">
        <w:rPr>
          <w:lang w:eastAsia="en-AU"/>
        </w:rPr>
        <w:t>This means the imposition of the IIR would be unwound on distribution.</w:t>
      </w:r>
    </w:p>
    <w:p w14:paraId="22E967BA" w14:textId="19C57B49" w:rsidR="00861D1A" w:rsidRPr="00861D1A" w:rsidRDefault="00861D1A" w:rsidP="00426A9B">
      <w:pPr>
        <w:pStyle w:val="NumberedParagraph"/>
        <w:rPr>
          <w:lang w:eastAsia="en-AU"/>
        </w:rPr>
      </w:pPr>
      <w:r w:rsidRPr="00861D1A">
        <w:rPr>
          <w:lang w:eastAsia="en-AU"/>
        </w:rPr>
        <w:lastRenderedPageBreak/>
        <w:t xml:space="preserve">This is conceptually different from the imposition of tax under the CFC regime. </w:t>
      </w:r>
      <w:r w:rsidR="00F7273C">
        <w:rPr>
          <w:lang w:eastAsia="en-AU"/>
        </w:rPr>
        <w:t xml:space="preserve">Our CFC regime generally only </w:t>
      </w:r>
      <w:r w:rsidR="003632B4">
        <w:rPr>
          <w:lang w:eastAsia="en-AU"/>
        </w:rPr>
        <w:t>taxes</w:t>
      </w:r>
      <w:r w:rsidR="00F7273C">
        <w:rPr>
          <w:lang w:eastAsia="en-AU"/>
        </w:rPr>
        <w:t xml:space="preserve"> mobile, passive income, which could as easily have been </w:t>
      </w:r>
      <w:r w:rsidR="00EF3F8E">
        <w:rPr>
          <w:lang w:eastAsia="en-AU"/>
        </w:rPr>
        <w:t xml:space="preserve">derived in </w:t>
      </w:r>
      <w:r w:rsidR="00F7273C">
        <w:rPr>
          <w:lang w:eastAsia="en-AU"/>
        </w:rPr>
        <w:t>New Zealand</w:t>
      </w:r>
      <w:r w:rsidR="00EF3F8E">
        <w:rPr>
          <w:lang w:eastAsia="en-AU"/>
        </w:rPr>
        <w:t xml:space="preserve"> as overseas. So the kind of income on which CFC tax is imposed does</w:t>
      </w:r>
      <w:r w:rsidR="00F7273C">
        <w:rPr>
          <w:lang w:eastAsia="en-AU"/>
        </w:rPr>
        <w:t xml:space="preserve"> </w:t>
      </w:r>
      <w:r w:rsidRPr="00861D1A">
        <w:rPr>
          <w:lang w:eastAsia="en-AU"/>
        </w:rPr>
        <w:t xml:space="preserve">not have a sufficiently strong connection with the foreign country where </w:t>
      </w:r>
      <w:proofErr w:type="gramStart"/>
      <w:r w:rsidRPr="00861D1A">
        <w:rPr>
          <w:lang w:eastAsia="en-AU"/>
        </w:rPr>
        <w:t>it</w:t>
      </w:r>
      <w:proofErr w:type="gramEnd"/>
      <w:r w:rsidRPr="00861D1A">
        <w:rPr>
          <w:lang w:eastAsia="en-AU"/>
        </w:rPr>
        <w:t xml:space="preserve"> prima facie is taxable to justify exempting it from New Zealand tax</w:t>
      </w:r>
      <w:r w:rsidR="00C028F0">
        <w:rPr>
          <w:lang w:eastAsia="en-AU"/>
        </w:rPr>
        <w:t xml:space="preserve">. </w:t>
      </w:r>
      <w:r w:rsidRPr="00861D1A">
        <w:rPr>
          <w:lang w:eastAsia="en-AU"/>
        </w:rPr>
        <w:t>The amount of foreign tax paid on the income is generally not relevant to making this determination (though it will affect the amount of New Zealand tax)</w:t>
      </w:r>
      <w:r w:rsidR="00C028F0">
        <w:rPr>
          <w:lang w:eastAsia="en-AU"/>
        </w:rPr>
        <w:t xml:space="preserve">. </w:t>
      </w:r>
      <w:r w:rsidRPr="00861D1A">
        <w:rPr>
          <w:lang w:eastAsia="en-AU"/>
        </w:rPr>
        <w:t>Since the income is treated effectively as income directly earned by the New Zealand shareholder, it is logical to provide an imputation credit in that case</w:t>
      </w:r>
      <w:r w:rsidR="00C028F0">
        <w:rPr>
          <w:lang w:eastAsia="en-AU"/>
        </w:rPr>
        <w:t xml:space="preserve">. </w:t>
      </w:r>
      <w:r w:rsidRPr="00861D1A">
        <w:rPr>
          <w:lang w:eastAsia="en-AU"/>
        </w:rPr>
        <w:t xml:space="preserve">The same </w:t>
      </w:r>
      <w:r w:rsidR="0058129E">
        <w:rPr>
          <w:lang w:eastAsia="en-AU"/>
        </w:rPr>
        <w:t>analys</w:t>
      </w:r>
      <w:r w:rsidR="00B32416">
        <w:rPr>
          <w:lang w:eastAsia="en-AU"/>
        </w:rPr>
        <w:t>is</w:t>
      </w:r>
      <w:r w:rsidRPr="00861D1A">
        <w:rPr>
          <w:lang w:eastAsia="en-AU"/>
        </w:rPr>
        <w:t xml:space="preserve"> does not apply to IIR tax.</w:t>
      </w:r>
    </w:p>
    <w:p w14:paraId="1662F090" w14:textId="4B3887D6" w:rsidR="00861D1A" w:rsidRPr="00861D1A" w:rsidRDefault="00D66189" w:rsidP="00426A9B">
      <w:pPr>
        <w:pStyle w:val="NumberedParagraph"/>
        <w:rPr>
          <w:lang w:eastAsia="en-AU"/>
        </w:rPr>
      </w:pPr>
      <w:r>
        <w:rPr>
          <w:lang w:eastAsia="en-AU"/>
        </w:rPr>
        <w:t xml:space="preserve">Consistent with this line of reasoning, </w:t>
      </w:r>
      <w:r w:rsidR="00861D1A" w:rsidRPr="00861D1A">
        <w:rPr>
          <w:lang w:eastAsia="en-AU"/>
        </w:rPr>
        <w:t>the GloBE rules seem explicit that if the payment of tax under New Zealand’s IIR gives rise to an imputation credit, it will not be a Qualified IIR</w:t>
      </w:r>
      <w:r w:rsidR="00C028F0">
        <w:rPr>
          <w:lang w:eastAsia="en-AU"/>
        </w:rPr>
        <w:t xml:space="preserve">. </w:t>
      </w:r>
      <w:r w:rsidR="00F30918">
        <w:rPr>
          <w:lang w:eastAsia="en-AU"/>
        </w:rPr>
        <w:t>This means that other countries’ UTPRs would still apply to New Zealand headquartered MNEs (in addition to our IIR). This is an unacceptable result, meaning we are effectively required by the Model Rules not to allow an imputation credit.</w:t>
      </w:r>
      <w:r w:rsidR="00F30918">
        <w:rPr>
          <w:rStyle w:val="FootnoteReference"/>
          <w:lang w:eastAsia="en-AU"/>
        </w:rPr>
        <w:footnoteReference w:id="13"/>
      </w:r>
    </w:p>
    <w:p w14:paraId="3D604289" w14:textId="180DEA7C" w:rsidR="00861D1A" w:rsidRPr="00861D1A" w:rsidRDefault="00861D1A" w:rsidP="00426A9B">
      <w:pPr>
        <w:pStyle w:val="NumberedParagraph"/>
        <w:rPr>
          <w:lang w:eastAsia="en-AU"/>
        </w:rPr>
      </w:pPr>
      <w:r w:rsidRPr="00861D1A">
        <w:rPr>
          <w:lang w:eastAsia="en-AU"/>
        </w:rPr>
        <w:t>Third, allowing an imputation credit for tax paid under the IIR would be complex due to the rate at which such tax is imposed</w:t>
      </w:r>
      <w:r w:rsidR="00C028F0">
        <w:rPr>
          <w:lang w:eastAsia="en-AU"/>
        </w:rPr>
        <w:t xml:space="preserve">. </w:t>
      </w:r>
      <w:r w:rsidRPr="00861D1A">
        <w:rPr>
          <w:lang w:eastAsia="en-AU"/>
        </w:rPr>
        <w:t>Generally, the maximum rate at which imputation credits can be attached to a dividend reflects the rate of corporate tax</w:t>
      </w:r>
      <w:r w:rsidR="00C028F0">
        <w:rPr>
          <w:lang w:eastAsia="en-AU"/>
        </w:rPr>
        <w:t xml:space="preserve">. </w:t>
      </w:r>
      <w:r w:rsidRPr="00861D1A">
        <w:rPr>
          <w:lang w:eastAsia="en-AU"/>
        </w:rPr>
        <w:t>When that rate changes, the maximum rate also changes</w:t>
      </w:r>
      <w:r w:rsidR="00C028F0">
        <w:rPr>
          <w:lang w:eastAsia="en-AU"/>
        </w:rPr>
        <w:t xml:space="preserve">. </w:t>
      </w:r>
      <w:r w:rsidRPr="00861D1A">
        <w:rPr>
          <w:lang w:eastAsia="en-AU"/>
        </w:rPr>
        <w:t>The rate of tax imposed under the IIR depends on the rate of tax imposed in the relevant country</w:t>
      </w:r>
      <w:r w:rsidR="00C028F0">
        <w:rPr>
          <w:lang w:eastAsia="en-AU"/>
        </w:rPr>
        <w:t xml:space="preserve">. </w:t>
      </w:r>
      <w:r w:rsidRPr="00861D1A">
        <w:rPr>
          <w:lang w:eastAsia="en-AU"/>
        </w:rPr>
        <w:t>For example, if there is $100 of excess income in a foreign country, and $10 of tax, the IIR liability will be $5, representing a tax rate of 5.2%</w:t>
      </w:r>
      <w:r w:rsidR="00C028F0">
        <w:rPr>
          <w:lang w:eastAsia="en-AU"/>
        </w:rPr>
        <w:t xml:space="preserve">. </w:t>
      </w:r>
      <w:r w:rsidRPr="00861D1A">
        <w:rPr>
          <w:lang w:eastAsia="en-AU"/>
        </w:rPr>
        <w:t>Any credit that did arise from the payment of this tax should only be creditable at a rate of $0.052 of credit for each $0.948 of cash distributed</w:t>
      </w:r>
      <w:r w:rsidR="00C028F0">
        <w:rPr>
          <w:lang w:eastAsia="en-AU"/>
        </w:rPr>
        <w:t xml:space="preserve">. </w:t>
      </w:r>
      <w:r w:rsidRPr="00861D1A">
        <w:rPr>
          <w:lang w:eastAsia="en-AU"/>
        </w:rPr>
        <w:t>Setting up a system to achieve this, or a reasonable approximation of it, would be complex.</w:t>
      </w:r>
    </w:p>
    <w:p w14:paraId="6A8DBA9E" w14:textId="6F310762" w:rsidR="00861D1A" w:rsidRPr="00861D1A" w:rsidRDefault="00861D1A" w:rsidP="00426A9B">
      <w:pPr>
        <w:pStyle w:val="NumberedParagraph"/>
        <w:rPr>
          <w:lang w:eastAsia="en-AU"/>
        </w:rPr>
      </w:pPr>
      <w:r w:rsidRPr="00861D1A">
        <w:rPr>
          <w:lang w:eastAsia="en-AU"/>
        </w:rPr>
        <w:t>Fourth, allowing an imputation credit for tax paid under the UTPR seem</w:t>
      </w:r>
      <w:r w:rsidR="009F5EE0">
        <w:rPr>
          <w:lang w:eastAsia="en-AU"/>
        </w:rPr>
        <w:t>s</w:t>
      </w:r>
      <w:r w:rsidRPr="00861D1A">
        <w:rPr>
          <w:lang w:eastAsia="en-AU"/>
        </w:rPr>
        <w:t xml:space="preserve"> particularly anomalous</w:t>
      </w:r>
      <w:r w:rsidR="00C028F0">
        <w:rPr>
          <w:lang w:eastAsia="en-AU"/>
        </w:rPr>
        <w:t xml:space="preserve">. </w:t>
      </w:r>
      <w:r w:rsidRPr="00861D1A">
        <w:rPr>
          <w:lang w:eastAsia="en-AU"/>
        </w:rPr>
        <w:t>Tax paid under the UTPR will often be paid by a MNE member other than the shareholder of the low tax member</w:t>
      </w:r>
      <w:r w:rsidR="00C028F0">
        <w:rPr>
          <w:lang w:eastAsia="en-AU"/>
        </w:rPr>
        <w:t xml:space="preserve">. </w:t>
      </w:r>
      <w:r w:rsidRPr="00861D1A">
        <w:rPr>
          <w:lang w:eastAsia="en-AU"/>
        </w:rPr>
        <w:t xml:space="preserve">So there will be no cash earnings included in the </w:t>
      </w:r>
      <w:r w:rsidR="009126B7">
        <w:rPr>
          <w:lang w:eastAsia="en-AU"/>
        </w:rPr>
        <w:t xml:space="preserve">paying </w:t>
      </w:r>
      <w:r w:rsidRPr="00861D1A">
        <w:rPr>
          <w:lang w:eastAsia="en-AU"/>
        </w:rPr>
        <w:t>company’s assets (either directly owned or through participation in lower tier companies) corresponding to the tax paid</w:t>
      </w:r>
      <w:r w:rsidR="00C028F0">
        <w:rPr>
          <w:lang w:eastAsia="en-AU"/>
        </w:rPr>
        <w:t>.</w:t>
      </w:r>
    </w:p>
    <w:p w14:paraId="774E3030" w14:textId="481768A6" w:rsidR="00861D1A" w:rsidRPr="00861D1A" w:rsidRDefault="00861D1A" w:rsidP="00426A9B">
      <w:pPr>
        <w:pStyle w:val="NumberedParagraph"/>
        <w:rPr>
          <w:lang w:eastAsia="en-AU"/>
        </w:rPr>
      </w:pPr>
      <w:r w:rsidRPr="00861D1A">
        <w:rPr>
          <w:lang w:eastAsia="en-AU"/>
        </w:rPr>
        <w:t xml:space="preserve">Accordingly, officials do not propose that tax paid in New Zealand under the GloBE rules </w:t>
      </w:r>
      <w:r w:rsidRPr="00861D1A" w:rsidDel="003632B4">
        <w:rPr>
          <w:lang w:eastAsia="en-AU"/>
        </w:rPr>
        <w:t>g</w:t>
      </w:r>
      <w:r w:rsidRPr="00861D1A">
        <w:rPr>
          <w:lang w:eastAsia="en-AU"/>
        </w:rPr>
        <w:t>ive</w:t>
      </w:r>
      <w:r w:rsidR="003632B4">
        <w:rPr>
          <w:lang w:eastAsia="en-AU"/>
        </w:rPr>
        <w:t>s</w:t>
      </w:r>
      <w:r w:rsidRPr="00861D1A">
        <w:rPr>
          <w:lang w:eastAsia="en-AU"/>
        </w:rPr>
        <w:t xml:space="preserve"> rise to an imputation credit.</w:t>
      </w:r>
    </w:p>
    <w:tbl>
      <w:tblPr>
        <w:tblStyle w:val="QuestionBox"/>
        <w:tblW w:w="8779" w:type="dxa"/>
        <w:tblLook w:val="04A0" w:firstRow="1" w:lastRow="0" w:firstColumn="1" w:lastColumn="0" w:noHBand="0" w:noVBand="1"/>
      </w:tblPr>
      <w:tblGrid>
        <w:gridCol w:w="8779"/>
      </w:tblGrid>
      <w:tr w:rsidR="00426A9B" w14:paraId="5D581BB6" w14:textId="77777777" w:rsidTr="001373D9">
        <w:tc>
          <w:tcPr>
            <w:tcW w:w="8779" w:type="dxa"/>
          </w:tcPr>
          <w:p w14:paraId="55B1E94F" w14:textId="1AAECD20" w:rsidR="00426A9B" w:rsidRDefault="00426A9B" w:rsidP="00180725">
            <w:pPr>
              <w:rPr>
                <w:b/>
                <w:bCs/>
              </w:rPr>
            </w:pPr>
            <w:r w:rsidRPr="0097039F">
              <w:rPr>
                <w:b/>
                <w:bCs/>
              </w:rPr>
              <w:t xml:space="preserve">Question for submitters </w:t>
            </w:r>
          </w:p>
          <w:p w14:paraId="16307DD5" w14:textId="52BFF754" w:rsidR="00426A9B" w:rsidRPr="001A091C" w:rsidRDefault="001A091C" w:rsidP="00FF25E1">
            <w:pPr>
              <w:pStyle w:val="ListBullet"/>
              <w:rPr>
                <w:b/>
                <w:bCs/>
              </w:rPr>
            </w:pPr>
            <w:r>
              <w:t>Do you agree that tax paid in New Zealand under the GloBE rules should not give rise to an imputation credit? If not, please explain.</w:t>
            </w:r>
          </w:p>
        </w:tc>
      </w:tr>
    </w:tbl>
    <w:p w14:paraId="25C5EBA3" w14:textId="3B7B610E" w:rsidR="00861D1A" w:rsidRDefault="007634E6" w:rsidP="00132ED9">
      <w:pPr>
        <w:pStyle w:val="Heading1"/>
        <w:rPr>
          <w:lang w:eastAsia="en-AU"/>
        </w:rPr>
      </w:pPr>
      <w:r>
        <w:rPr>
          <w:lang w:eastAsia="en-AU"/>
        </w:rPr>
        <w:lastRenderedPageBreak/>
        <w:br/>
      </w:r>
      <w:r>
        <w:rPr>
          <w:lang w:eastAsia="en-AU"/>
        </w:rPr>
        <w:br/>
      </w:r>
      <w:bookmarkStart w:id="103" w:name="_Toc101095632"/>
      <w:r w:rsidR="009C4471">
        <w:rPr>
          <w:lang w:eastAsia="en-AU"/>
        </w:rPr>
        <w:t>Domestic minimum tax</w:t>
      </w:r>
      <w:bookmarkEnd w:id="103"/>
    </w:p>
    <w:p w14:paraId="4B39D941" w14:textId="4599492B" w:rsidR="00861D1A" w:rsidRPr="00861D1A" w:rsidRDefault="00861D1A" w:rsidP="007634E6">
      <w:pPr>
        <w:pStyle w:val="NumberedParagraph"/>
        <w:rPr>
          <w:lang w:eastAsia="en-AU"/>
        </w:rPr>
      </w:pPr>
      <w:r w:rsidRPr="00861D1A">
        <w:rPr>
          <w:lang w:eastAsia="en-AU"/>
        </w:rPr>
        <w:t xml:space="preserve">The GloBE rules contemplate </w:t>
      </w:r>
      <w:proofErr w:type="gramStart"/>
      <w:r w:rsidRPr="00861D1A">
        <w:rPr>
          <w:lang w:eastAsia="en-AU"/>
        </w:rPr>
        <w:t>that countries</w:t>
      </w:r>
      <w:proofErr w:type="gramEnd"/>
      <w:r w:rsidRPr="00861D1A">
        <w:rPr>
          <w:lang w:eastAsia="en-AU"/>
        </w:rPr>
        <w:t xml:space="preserve"> may introduce a domestic minimum top</w:t>
      </w:r>
      <w:r w:rsidR="00E654B4">
        <w:rPr>
          <w:lang w:eastAsia="en-AU"/>
        </w:rPr>
        <w:t>-</w:t>
      </w:r>
      <w:r w:rsidRPr="00861D1A">
        <w:rPr>
          <w:lang w:eastAsia="en-AU"/>
        </w:rPr>
        <w:t xml:space="preserve">up tax (DMT), which would </w:t>
      </w:r>
      <w:r w:rsidR="005A3783">
        <w:rPr>
          <w:lang w:eastAsia="en-AU"/>
        </w:rPr>
        <w:t>use</w:t>
      </w:r>
      <w:r w:rsidRPr="00861D1A">
        <w:rPr>
          <w:lang w:eastAsia="en-AU"/>
        </w:rPr>
        <w:t xml:space="preserve"> the </w:t>
      </w:r>
      <w:r w:rsidR="005A3783">
        <w:rPr>
          <w:lang w:eastAsia="en-AU"/>
        </w:rPr>
        <w:t>same tax base as the GloBE rules but take priority over them.</w:t>
      </w:r>
      <w:r w:rsidR="00C028F0">
        <w:rPr>
          <w:lang w:eastAsia="en-AU"/>
        </w:rPr>
        <w:t xml:space="preserve"> </w:t>
      </w:r>
      <w:r w:rsidRPr="00861D1A">
        <w:rPr>
          <w:lang w:eastAsia="en-AU"/>
        </w:rPr>
        <w:t>For New Zealand, this tax would be closely based on the GloBE rules but would apply to undertaxed profits in New Zealand</w:t>
      </w:r>
      <w:r w:rsidR="00C028F0">
        <w:rPr>
          <w:lang w:eastAsia="en-AU"/>
        </w:rPr>
        <w:t xml:space="preserve">. </w:t>
      </w:r>
      <w:r w:rsidRPr="00861D1A">
        <w:rPr>
          <w:lang w:eastAsia="en-AU"/>
        </w:rPr>
        <w:t>It would mean that New Zealand would collect</w:t>
      </w:r>
      <w:r w:rsidR="00657598">
        <w:rPr>
          <w:lang w:eastAsia="en-AU"/>
        </w:rPr>
        <w:t xml:space="preserve"> all of</w:t>
      </w:r>
      <w:r w:rsidRPr="00861D1A">
        <w:rPr>
          <w:lang w:eastAsia="en-AU"/>
        </w:rPr>
        <w:t xml:space="preserve"> the </w:t>
      </w:r>
      <w:r w:rsidR="005E1F86">
        <w:rPr>
          <w:lang w:eastAsia="en-AU"/>
        </w:rPr>
        <w:t xml:space="preserve">top-up </w:t>
      </w:r>
      <w:r w:rsidRPr="00861D1A">
        <w:rPr>
          <w:lang w:eastAsia="en-AU"/>
        </w:rPr>
        <w:t xml:space="preserve">tax on such profits, rather than </w:t>
      </w:r>
      <w:r w:rsidR="0004328B">
        <w:rPr>
          <w:lang w:eastAsia="en-AU"/>
        </w:rPr>
        <w:t xml:space="preserve">sharing it with </w:t>
      </w:r>
      <w:r w:rsidRPr="00861D1A">
        <w:rPr>
          <w:lang w:eastAsia="en-AU"/>
        </w:rPr>
        <w:t xml:space="preserve">other countries with Pillar </w:t>
      </w:r>
      <w:r w:rsidR="006A729C">
        <w:rPr>
          <w:lang w:eastAsia="en-AU"/>
        </w:rPr>
        <w:t>Two</w:t>
      </w:r>
      <w:r w:rsidRPr="00861D1A">
        <w:rPr>
          <w:lang w:eastAsia="en-AU"/>
        </w:rPr>
        <w:t xml:space="preserve"> rules</w:t>
      </w:r>
      <w:r w:rsidR="00C028F0">
        <w:rPr>
          <w:lang w:eastAsia="en-AU"/>
        </w:rPr>
        <w:t xml:space="preserve">. </w:t>
      </w:r>
      <w:r w:rsidRPr="00861D1A">
        <w:rPr>
          <w:lang w:eastAsia="en-AU"/>
        </w:rPr>
        <w:t>So there would be no additional tax cost for MNEs subject to the tax, just a change in what country they pay the tax to.</w:t>
      </w:r>
    </w:p>
    <w:p w14:paraId="789718BC" w14:textId="77EB36E1" w:rsidR="00861D1A" w:rsidRPr="00861D1A" w:rsidRDefault="00861D1A" w:rsidP="007634E6">
      <w:pPr>
        <w:pStyle w:val="NumberedParagraph"/>
        <w:rPr>
          <w:lang w:eastAsia="en-AU"/>
        </w:rPr>
      </w:pPr>
      <w:r w:rsidRPr="00861D1A">
        <w:rPr>
          <w:lang w:eastAsia="en-AU"/>
        </w:rPr>
        <w:t>A DMT</w:t>
      </w:r>
      <w:r w:rsidRPr="00861D1A" w:rsidDel="00E44530">
        <w:rPr>
          <w:lang w:eastAsia="en-AU"/>
        </w:rPr>
        <w:t xml:space="preserve"> </w:t>
      </w:r>
      <w:r w:rsidRPr="00861D1A">
        <w:rPr>
          <w:lang w:eastAsia="en-AU"/>
        </w:rPr>
        <w:t>could be imposed solely on New Zealand headquartered in-scope MNEs</w:t>
      </w:r>
      <w:r w:rsidR="00C028F0">
        <w:rPr>
          <w:lang w:eastAsia="en-AU"/>
        </w:rPr>
        <w:t xml:space="preserve">. </w:t>
      </w:r>
      <w:r w:rsidRPr="00861D1A">
        <w:rPr>
          <w:lang w:eastAsia="en-AU"/>
        </w:rPr>
        <w:t>For these MNEs, top-up tax on undertaxed New Zealand profits would ordinarily be collected under the UTPR</w:t>
      </w:r>
      <w:r w:rsidR="00C028F0">
        <w:rPr>
          <w:lang w:eastAsia="en-AU"/>
        </w:rPr>
        <w:t xml:space="preserve">. </w:t>
      </w:r>
      <w:r w:rsidRPr="00861D1A">
        <w:rPr>
          <w:lang w:eastAsia="en-AU"/>
        </w:rPr>
        <w:t>The UTPR allocation mechanism (based on tangible assets and number of employees in each UTPR country) means that in many cases much of this tax would be allocated to New Zealand, but this would depend on the level of overseas assets and employees</w:t>
      </w:r>
      <w:r w:rsidR="00C028F0">
        <w:rPr>
          <w:lang w:eastAsia="en-AU"/>
        </w:rPr>
        <w:t xml:space="preserve">. </w:t>
      </w:r>
      <w:r w:rsidRPr="00861D1A">
        <w:rPr>
          <w:lang w:eastAsia="en-AU"/>
        </w:rPr>
        <w:t xml:space="preserve">A DMT would avoid them having to pay any part of the Pillar </w:t>
      </w:r>
      <w:r w:rsidR="006A729C">
        <w:rPr>
          <w:lang w:eastAsia="en-AU"/>
        </w:rPr>
        <w:t>Two</w:t>
      </w:r>
      <w:r w:rsidRPr="00861D1A">
        <w:rPr>
          <w:lang w:eastAsia="en-AU"/>
        </w:rPr>
        <w:t xml:space="preserve"> tax on undertaxed New Zealand income in other countries under the UTPR</w:t>
      </w:r>
      <w:r w:rsidR="00C028F0">
        <w:rPr>
          <w:lang w:eastAsia="en-AU"/>
        </w:rPr>
        <w:t>.</w:t>
      </w:r>
      <w:r w:rsidR="009967D5" w:rsidRPr="009967D5">
        <w:rPr>
          <w:lang w:eastAsia="en-AU"/>
        </w:rPr>
        <w:t xml:space="preserve"> </w:t>
      </w:r>
      <w:r w:rsidR="009967D5">
        <w:rPr>
          <w:lang w:eastAsia="en-AU"/>
        </w:rPr>
        <w:t>This would benefit New Zealand, by allowing us to retain all of the tax that our MNEs would otherwise need to pay offshore under the UTPR.</w:t>
      </w:r>
    </w:p>
    <w:p w14:paraId="35845BE0" w14:textId="15A54CF4" w:rsidR="00861D1A" w:rsidRPr="00861D1A" w:rsidRDefault="00861D1A" w:rsidP="007634E6">
      <w:pPr>
        <w:pStyle w:val="NumberedParagraph"/>
        <w:rPr>
          <w:lang w:eastAsia="en-AU"/>
        </w:rPr>
      </w:pPr>
      <w:r w:rsidRPr="00861D1A">
        <w:rPr>
          <w:lang w:eastAsia="en-AU"/>
        </w:rPr>
        <w:t>A DMT could be expanded to apply also to foreign headquartered in-scope MNEs operating in New Zealand</w:t>
      </w:r>
      <w:r w:rsidR="00C028F0">
        <w:rPr>
          <w:lang w:eastAsia="en-AU"/>
        </w:rPr>
        <w:t xml:space="preserve">. </w:t>
      </w:r>
      <w:r w:rsidRPr="00861D1A">
        <w:rPr>
          <w:lang w:eastAsia="en-AU"/>
        </w:rPr>
        <w:t xml:space="preserve">In this case it would allow New Zealand to collect a tax equivalent to the Pillar </w:t>
      </w:r>
      <w:r w:rsidR="006A729C">
        <w:rPr>
          <w:lang w:eastAsia="en-AU"/>
        </w:rPr>
        <w:t>Two</w:t>
      </w:r>
      <w:r w:rsidRPr="00861D1A">
        <w:rPr>
          <w:lang w:eastAsia="en-AU"/>
        </w:rPr>
        <w:t xml:space="preserve"> tax on any low-tax New Zealand income that would otherwise arise under either another country’s IIR (in most cases) or other countries' UTPRs.</w:t>
      </w:r>
    </w:p>
    <w:p w14:paraId="7FBD83D9" w14:textId="0AE9D737" w:rsidR="00861D1A" w:rsidRPr="00861D1A" w:rsidRDefault="00861D1A" w:rsidP="007634E6">
      <w:pPr>
        <w:pStyle w:val="NumberedParagraph"/>
        <w:rPr>
          <w:lang w:eastAsia="en-AU"/>
        </w:rPr>
      </w:pPr>
      <w:r w:rsidRPr="00861D1A">
        <w:rPr>
          <w:lang w:eastAsia="en-AU"/>
        </w:rPr>
        <w:t xml:space="preserve">Given New Zealand’s small Pillar </w:t>
      </w:r>
      <w:r w:rsidR="006A729C">
        <w:rPr>
          <w:lang w:eastAsia="en-AU"/>
        </w:rPr>
        <w:t>Two</w:t>
      </w:r>
      <w:r w:rsidRPr="00861D1A">
        <w:rPr>
          <w:lang w:eastAsia="en-AU"/>
        </w:rPr>
        <w:t xml:space="preserve"> population, relatively high tax corporate income tax rate and general lack of tax preferences (other than for capital gains) it may be that there is insufficient benefit from a DMT to make it worthwhile implementing.</w:t>
      </w:r>
      <w:r w:rsidR="00CA7BFC">
        <w:rPr>
          <w:lang w:eastAsia="en-AU"/>
        </w:rPr>
        <w:t xml:space="preserve"> In considering the size of any benefit, it also needs to be remembered that the DMT would be determined after </w:t>
      </w:r>
      <w:proofErr w:type="gramStart"/>
      <w:r w:rsidR="00CA7BFC">
        <w:rPr>
          <w:lang w:eastAsia="en-AU"/>
        </w:rPr>
        <w:t>taking into account</w:t>
      </w:r>
      <w:proofErr w:type="gramEnd"/>
      <w:r w:rsidR="00CA7BFC">
        <w:rPr>
          <w:lang w:eastAsia="en-AU"/>
        </w:rPr>
        <w:t xml:space="preserve"> not just New Zealand tax, but also foreign taxes (primarily CFC taxes and taxes imposed by worldwide taxing regimes) imposed on New Zealand income, since these are included in the ETR numerator.</w:t>
      </w:r>
    </w:p>
    <w:p w14:paraId="2DC7433B" w14:textId="760C99A3" w:rsidR="00861D1A" w:rsidRPr="00861D1A" w:rsidRDefault="008F7FB4" w:rsidP="007634E6">
      <w:pPr>
        <w:pStyle w:val="NumberedParagraph"/>
        <w:rPr>
          <w:lang w:eastAsia="en-AU"/>
        </w:rPr>
      </w:pPr>
      <w:r>
        <w:rPr>
          <w:lang w:eastAsia="en-AU"/>
        </w:rPr>
        <w:t>In favour of adopting a DMT</w:t>
      </w:r>
      <w:r w:rsidR="00861D1A" w:rsidRPr="00861D1A">
        <w:rPr>
          <w:lang w:eastAsia="en-AU"/>
        </w:rPr>
        <w:t>, it:</w:t>
      </w:r>
    </w:p>
    <w:p w14:paraId="30860C84" w14:textId="07E83117" w:rsidR="00861D1A" w:rsidRPr="00861D1A" w:rsidRDefault="00861D1A" w:rsidP="007634E6">
      <w:pPr>
        <w:pStyle w:val="NumberedParagraph-BulletL1"/>
        <w:rPr>
          <w:lang w:eastAsia="en-AU"/>
        </w:rPr>
      </w:pPr>
      <w:r w:rsidRPr="00861D1A">
        <w:rPr>
          <w:lang w:eastAsia="en-AU"/>
        </w:rPr>
        <w:t xml:space="preserve">Would mean that </w:t>
      </w:r>
      <w:r w:rsidR="009967D5">
        <w:rPr>
          <w:lang w:eastAsia="en-AU"/>
        </w:rPr>
        <w:t xml:space="preserve">any </w:t>
      </w:r>
      <w:r w:rsidRPr="00861D1A">
        <w:rPr>
          <w:lang w:eastAsia="en-AU"/>
        </w:rPr>
        <w:t>tax on undertaxed profits is paid in New Zealand rather than offshore</w:t>
      </w:r>
      <w:r w:rsidR="00CB4821">
        <w:rPr>
          <w:lang w:eastAsia="en-AU"/>
        </w:rPr>
        <w:t>.</w:t>
      </w:r>
    </w:p>
    <w:p w14:paraId="219AE4FE" w14:textId="66BB7BFC" w:rsidR="00861D1A" w:rsidRPr="00861D1A" w:rsidRDefault="00861D1A" w:rsidP="007634E6">
      <w:pPr>
        <w:pStyle w:val="NumberedParagraph-BulletL1"/>
        <w:rPr>
          <w:lang w:eastAsia="en-AU"/>
        </w:rPr>
      </w:pPr>
      <w:r w:rsidRPr="00861D1A">
        <w:rPr>
          <w:lang w:eastAsia="en-AU"/>
        </w:rPr>
        <w:t>Would largely rely on rules already developed to impose tax on non-New Zealand income</w:t>
      </w:r>
      <w:r w:rsidR="00CB4821">
        <w:rPr>
          <w:lang w:eastAsia="en-AU"/>
        </w:rPr>
        <w:t>.</w:t>
      </w:r>
    </w:p>
    <w:p w14:paraId="4E4FB139" w14:textId="5C1F11F9" w:rsidR="00861D1A" w:rsidRPr="00861D1A" w:rsidRDefault="00861D1A" w:rsidP="007634E6">
      <w:pPr>
        <w:pStyle w:val="NumberedParagraph-BulletL1"/>
        <w:rPr>
          <w:lang w:eastAsia="en-AU"/>
        </w:rPr>
      </w:pPr>
      <w:r w:rsidRPr="00861D1A">
        <w:rPr>
          <w:lang w:eastAsia="en-AU"/>
        </w:rPr>
        <w:t>Would not impose any additional tax or compliance burden on MNEs</w:t>
      </w:r>
      <w:r w:rsidR="00CB4821">
        <w:rPr>
          <w:lang w:eastAsia="en-AU"/>
        </w:rPr>
        <w:t>.</w:t>
      </w:r>
    </w:p>
    <w:p w14:paraId="624EC673" w14:textId="5C6F088F" w:rsidR="00861D1A" w:rsidRPr="00861D1A" w:rsidRDefault="00861D1A" w:rsidP="007634E6">
      <w:pPr>
        <w:pStyle w:val="NumberedParagraph-BulletL1"/>
        <w:rPr>
          <w:lang w:eastAsia="en-AU"/>
        </w:rPr>
      </w:pPr>
      <w:r w:rsidRPr="00861D1A">
        <w:rPr>
          <w:lang w:eastAsia="en-AU"/>
        </w:rPr>
        <w:t>Might in fact simplify compliance</w:t>
      </w:r>
      <w:r w:rsidR="00A9586C">
        <w:rPr>
          <w:lang w:eastAsia="en-AU"/>
        </w:rPr>
        <w:t xml:space="preserve"> for New Zealand headquartered groups at least</w:t>
      </w:r>
      <w:r w:rsidRPr="00861D1A">
        <w:rPr>
          <w:lang w:eastAsia="en-AU"/>
        </w:rPr>
        <w:t>, where it allow</w:t>
      </w:r>
      <w:r w:rsidR="00A9586C">
        <w:rPr>
          <w:lang w:eastAsia="en-AU"/>
        </w:rPr>
        <w:t>s</w:t>
      </w:r>
      <w:r w:rsidRPr="00861D1A">
        <w:rPr>
          <w:lang w:eastAsia="en-AU"/>
        </w:rPr>
        <w:t xml:space="preserve"> tax to be paid in New Zealand under the IIR rather than to multiple other countries under their UTPRs.</w:t>
      </w:r>
    </w:p>
    <w:p w14:paraId="00E3B74B" w14:textId="35ED696B" w:rsidR="00861D1A" w:rsidRDefault="00861D1A" w:rsidP="007634E6">
      <w:pPr>
        <w:pStyle w:val="NumberedParagraph"/>
        <w:rPr>
          <w:lang w:val="en-GB" w:eastAsia="en-AU"/>
        </w:rPr>
      </w:pPr>
      <w:r w:rsidRPr="00861D1A">
        <w:rPr>
          <w:lang w:val="en-GB" w:eastAsia="en-AU"/>
        </w:rPr>
        <w:t xml:space="preserve">Another issue to consider is that the introduction of a DMT would mean </w:t>
      </w:r>
      <w:r w:rsidR="005D027A">
        <w:rPr>
          <w:lang w:val="en-GB" w:eastAsia="en-AU"/>
        </w:rPr>
        <w:t xml:space="preserve">capital gains made by </w:t>
      </w:r>
      <w:r w:rsidR="0092527D">
        <w:rPr>
          <w:lang w:val="en-GB" w:eastAsia="en-AU"/>
        </w:rPr>
        <w:t>in-scope groups</w:t>
      </w:r>
      <w:r w:rsidR="005D027A">
        <w:rPr>
          <w:lang w:val="en-GB" w:eastAsia="en-AU"/>
        </w:rPr>
        <w:t xml:space="preserve"> would be taxed to the extent they resulted in </w:t>
      </w:r>
      <w:r w:rsidR="005D027A">
        <w:rPr>
          <w:lang w:val="en-GB" w:eastAsia="en-AU"/>
        </w:rPr>
        <w:lastRenderedPageBreak/>
        <w:t>an ETR below 15% for the New Zealand group</w:t>
      </w:r>
      <w:r w:rsidR="00C028F0">
        <w:rPr>
          <w:lang w:val="en-GB" w:eastAsia="en-AU"/>
        </w:rPr>
        <w:t>.</w:t>
      </w:r>
      <w:r w:rsidR="005D027A">
        <w:rPr>
          <w:rStyle w:val="FootnoteReference"/>
          <w:lang w:val="en-GB" w:eastAsia="en-AU"/>
        </w:rPr>
        <w:footnoteReference w:id="14"/>
      </w:r>
      <w:r w:rsidR="00C028F0">
        <w:rPr>
          <w:lang w:val="en-GB" w:eastAsia="en-AU"/>
        </w:rPr>
        <w:t xml:space="preserve"> </w:t>
      </w:r>
      <w:r w:rsidRPr="00861D1A">
        <w:rPr>
          <w:lang w:val="en-GB" w:eastAsia="en-AU"/>
        </w:rPr>
        <w:t>As set out above, the nature of the GloBE rules means that this tax will apply whether New Zealand enacts it or not</w:t>
      </w:r>
      <w:r w:rsidR="00C028F0">
        <w:rPr>
          <w:lang w:val="en-GB" w:eastAsia="en-AU"/>
        </w:rPr>
        <w:t xml:space="preserve">. </w:t>
      </w:r>
      <w:r w:rsidRPr="00861D1A">
        <w:rPr>
          <w:lang w:val="en-GB" w:eastAsia="en-AU"/>
        </w:rPr>
        <w:t>However, submitters may feel that there is a point of principle regarding capital gains taxes which would be contravened if New Zealand were to enact a DMT.</w:t>
      </w:r>
    </w:p>
    <w:p w14:paraId="27E71ADD" w14:textId="02BF48F9" w:rsidR="00B51D34" w:rsidRPr="00DE575D" w:rsidRDefault="00B51D34" w:rsidP="00DE575D">
      <w:pPr>
        <w:pStyle w:val="NumberedParagraph"/>
        <w:numPr>
          <w:ilvl w:val="0"/>
          <w:numId w:val="0"/>
        </w:numPr>
        <w:rPr>
          <w:b/>
          <w:bCs/>
          <w:lang w:val="en-GB" w:eastAsia="en-AU"/>
        </w:rPr>
      </w:pPr>
      <w:r>
        <w:rPr>
          <w:b/>
          <w:bCs/>
          <w:lang w:val="en-GB" w:eastAsia="en-AU"/>
        </w:rPr>
        <w:t>Domestic minimum tax and initial phase relief</w:t>
      </w:r>
    </w:p>
    <w:p w14:paraId="496B6292" w14:textId="0C2381C9" w:rsidR="00B51D34" w:rsidRDefault="00C82A60" w:rsidP="007634E6">
      <w:pPr>
        <w:pStyle w:val="NumberedParagraph"/>
        <w:rPr>
          <w:lang w:val="en-GB" w:eastAsia="en-AU"/>
        </w:rPr>
      </w:pPr>
      <w:r>
        <w:rPr>
          <w:lang w:val="en-GB" w:eastAsia="en-AU"/>
        </w:rPr>
        <w:t xml:space="preserve">There is a question as to whether </w:t>
      </w:r>
      <w:r w:rsidR="0084530B">
        <w:rPr>
          <w:lang w:val="en-GB" w:eastAsia="en-AU"/>
        </w:rPr>
        <w:t xml:space="preserve">a DMT </w:t>
      </w:r>
      <w:r>
        <w:rPr>
          <w:lang w:val="en-GB" w:eastAsia="en-AU"/>
        </w:rPr>
        <w:t xml:space="preserve">should apply to a group which is entitled to </w:t>
      </w:r>
      <w:r w:rsidR="006E189D">
        <w:rPr>
          <w:lang w:val="en-GB" w:eastAsia="en-AU"/>
        </w:rPr>
        <w:t>initial phase relief</w:t>
      </w:r>
      <w:r w:rsidR="008D2B85">
        <w:rPr>
          <w:lang w:val="en-GB" w:eastAsia="en-AU"/>
        </w:rPr>
        <w:t xml:space="preserve">. </w:t>
      </w:r>
      <w:r w:rsidR="0084530B">
        <w:rPr>
          <w:lang w:val="en-GB" w:eastAsia="en-AU"/>
        </w:rPr>
        <w:t>Officials propose that if the group is headquartered in New Zealand, a DMT</w:t>
      </w:r>
      <w:r w:rsidR="001137DE">
        <w:rPr>
          <w:lang w:val="en-GB" w:eastAsia="en-AU"/>
        </w:rPr>
        <w:t xml:space="preserve"> would not apply to it</w:t>
      </w:r>
      <w:r w:rsidR="001E3065">
        <w:rPr>
          <w:lang w:val="en-GB" w:eastAsia="en-AU"/>
        </w:rPr>
        <w:t xml:space="preserve"> during the initial phase</w:t>
      </w:r>
      <w:r w:rsidR="001137DE">
        <w:rPr>
          <w:lang w:val="en-GB" w:eastAsia="en-AU"/>
        </w:rPr>
        <w:t xml:space="preserve">. </w:t>
      </w:r>
      <w:r w:rsidR="00A7500F">
        <w:rPr>
          <w:lang w:val="en-GB" w:eastAsia="en-AU"/>
        </w:rPr>
        <w:t xml:space="preserve">That is because any </w:t>
      </w:r>
      <w:r w:rsidR="00250C38">
        <w:rPr>
          <w:lang w:val="en-GB" w:eastAsia="en-AU"/>
        </w:rPr>
        <w:t>undertaxed New Zealand profits would not be subject to any other country’s UTPR or IIR</w:t>
      </w:r>
      <w:r w:rsidR="002D1C01">
        <w:rPr>
          <w:lang w:val="en-GB" w:eastAsia="en-AU"/>
        </w:rPr>
        <w:t xml:space="preserve"> during the period</w:t>
      </w:r>
      <w:r w:rsidR="00250C38">
        <w:rPr>
          <w:lang w:val="en-GB" w:eastAsia="en-AU"/>
        </w:rPr>
        <w:t xml:space="preserve">. If the group is not headquartered in New Zealand, another country’s IIR could apply, so the rationale for a DMT (to allow New Zealand </w:t>
      </w:r>
      <w:r w:rsidR="0075576E">
        <w:rPr>
          <w:lang w:val="en-GB" w:eastAsia="en-AU"/>
        </w:rPr>
        <w:t>priority in collecting top-up tax on low tax New Zealand profits) would potentially still apply.</w:t>
      </w:r>
    </w:p>
    <w:p w14:paraId="2FD0916E" w14:textId="3ABCDC88" w:rsidR="0043343C" w:rsidRPr="00DE575D" w:rsidRDefault="0043343C" w:rsidP="00DE575D">
      <w:pPr>
        <w:pStyle w:val="NumberedParagraph"/>
        <w:numPr>
          <w:ilvl w:val="0"/>
          <w:numId w:val="0"/>
        </w:numPr>
        <w:rPr>
          <w:b/>
          <w:bCs/>
          <w:lang w:val="en-GB" w:eastAsia="en-AU"/>
        </w:rPr>
      </w:pPr>
      <w:r>
        <w:rPr>
          <w:b/>
          <w:bCs/>
          <w:lang w:val="en-GB" w:eastAsia="en-AU"/>
        </w:rPr>
        <w:t>Domestic minimum tax and imputation</w:t>
      </w:r>
    </w:p>
    <w:p w14:paraId="7DFD8E76" w14:textId="2D3CC1F8" w:rsidR="00A23801" w:rsidRDefault="009035E8" w:rsidP="007634E6">
      <w:pPr>
        <w:pStyle w:val="NumberedParagraph"/>
        <w:rPr>
          <w:lang w:val="en-GB" w:eastAsia="en-AU"/>
        </w:rPr>
      </w:pPr>
      <w:r>
        <w:rPr>
          <w:lang w:val="en-GB" w:eastAsia="en-AU"/>
        </w:rPr>
        <w:t>The</w:t>
      </w:r>
      <w:r w:rsidR="00BD4262">
        <w:rPr>
          <w:lang w:val="en-GB" w:eastAsia="en-AU"/>
        </w:rPr>
        <w:t xml:space="preserve"> interaction between imputation and GloBE taxation</w:t>
      </w:r>
      <w:r w:rsidR="00EC4FCA">
        <w:rPr>
          <w:lang w:val="en-GB" w:eastAsia="en-AU"/>
        </w:rPr>
        <w:t xml:space="preserve"> considered in chapter 13 </w:t>
      </w:r>
      <w:r w:rsidR="00BD4262">
        <w:rPr>
          <w:lang w:val="en-GB" w:eastAsia="en-AU"/>
        </w:rPr>
        <w:t>takes on a different aspect when the GloBE taxation is applying to New Zealand income</w:t>
      </w:r>
      <w:r w:rsidR="008D2B85">
        <w:rPr>
          <w:lang w:val="en-GB" w:eastAsia="en-AU"/>
        </w:rPr>
        <w:t xml:space="preserve">. </w:t>
      </w:r>
      <w:r w:rsidR="005E7A30">
        <w:rPr>
          <w:lang w:val="en-GB" w:eastAsia="en-AU"/>
        </w:rPr>
        <w:t xml:space="preserve">The Model Rules </w:t>
      </w:r>
      <w:r w:rsidR="005D212F">
        <w:rPr>
          <w:lang w:val="en-GB" w:eastAsia="en-AU"/>
        </w:rPr>
        <w:t xml:space="preserve">do not treat the existence of a shareholder level credit as </w:t>
      </w:r>
      <w:r w:rsidR="009B7969">
        <w:rPr>
          <w:lang w:val="en-GB" w:eastAsia="en-AU"/>
        </w:rPr>
        <w:t>inconsistent with the recognition of the corporate level tax</w:t>
      </w:r>
      <w:r w:rsidR="00DB78B7">
        <w:rPr>
          <w:lang w:val="en-GB" w:eastAsia="en-AU"/>
        </w:rPr>
        <w:t xml:space="preserve"> as a covered tax</w:t>
      </w:r>
      <w:r w:rsidR="009B7969">
        <w:rPr>
          <w:lang w:val="en-GB" w:eastAsia="en-AU"/>
        </w:rPr>
        <w:t xml:space="preserve"> for GloBE purposes if the tax is imposed pursuant to a Qualified Imputation Tax</w:t>
      </w:r>
      <w:r w:rsidR="00090BAF">
        <w:rPr>
          <w:lang w:val="en-GB" w:eastAsia="en-AU"/>
        </w:rPr>
        <w:t xml:space="preserve"> such as New Zealand’s</w:t>
      </w:r>
      <w:r w:rsidR="008D2B85">
        <w:rPr>
          <w:lang w:val="en-GB" w:eastAsia="en-AU"/>
        </w:rPr>
        <w:t xml:space="preserve">. </w:t>
      </w:r>
      <w:r w:rsidR="00090BAF">
        <w:rPr>
          <w:lang w:val="en-GB" w:eastAsia="en-AU"/>
        </w:rPr>
        <w:t xml:space="preserve">This suggests that </w:t>
      </w:r>
      <w:r w:rsidR="00DB78B7">
        <w:rPr>
          <w:lang w:val="en-GB" w:eastAsia="en-AU"/>
        </w:rPr>
        <w:t>the credit also should not prevent a domestic minimum tax being a</w:t>
      </w:r>
      <w:r w:rsidR="00A23801">
        <w:rPr>
          <w:lang w:val="en-GB" w:eastAsia="en-AU"/>
        </w:rPr>
        <w:t xml:space="preserve"> Qualified Domestic Minimum Top-up Tax</w:t>
      </w:r>
      <w:r w:rsidR="00C016DD">
        <w:rPr>
          <w:lang w:val="en-GB" w:eastAsia="en-AU"/>
        </w:rPr>
        <w:t xml:space="preserve"> (QDMTT)</w:t>
      </w:r>
      <w:r w:rsidR="00DD3185">
        <w:rPr>
          <w:lang w:val="en-GB" w:eastAsia="en-AU"/>
        </w:rPr>
        <w:t xml:space="preserve">, and thus as reducing any GloBE tax liability on a </w:t>
      </w:r>
      <w:proofErr w:type="gramStart"/>
      <w:r w:rsidR="002D1C01">
        <w:rPr>
          <w:lang w:val="en-GB" w:eastAsia="en-AU"/>
        </w:rPr>
        <w:t>dollar</w:t>
      </w:r>
      <w:r w:rsidR="00DD3185">
        <w:rPr>
          <w:lang w:val="en-GB" w:eastAsia="en-AU"/>
        </w:rPr>
        <w:t xml:space="preserve"> for </w:t>
      </w:r>
      <w:r w:rsidR="002D1C01">
        <w:rPr>
          <w:lang w:val="en-GB" w:eastAsia="en-AU"/>
        </w:rPr>
        <w:t>dollar</w:t>
      </w:r>
      <w:proofErr w:type="gramEnd"/>
      <w:r w:rsidR="00DD3185">
        <w:rPr>
          <w:lang w:val="en-GB" w:eastAsia="en-AU"/>
        </w:rPr>
        <w:t xml:space="preserve"> basis</w:t>
      </w:r>
      <w:r w:rsidR="008D2B85">
        <w:rPr>
          <w:lang w:val="en-GB" w:eastAsia="en-AU"/>
        </w:rPr>
        <w:t>.</w:t>
      </w:r>
    </w:p>
    <w:p w14:paraId="03E46BE8" w14:textId="45E1AF4D" w:rsidR="0092527D" w:rsidRPr="00A23801" w:rsidRDefault="00A23801" w:rsidP="00A23801">
      <w:pPr>
        <w:pStyle w:val="NumberedParagraph"/>
        <w:rPr>
          <w:lang w:val="en-GB" w:eastAsia="en-AU"/>
        </w:rPr>
      </w:pPr>
      <w:r>
        <w:rPr>
          <w:lang w:val="en-GB" w:eastAsia="en-AU"/>
        </w:rPr>
        <w:t>However, there are some issues</w:t>
      </w:r>
      <w:r w:rsidR="008D2B85">
        <w:rPr>
          <w:lang w:val="en-GB" w:eastAsia="en-AU"/>
        </w:rPr>
        <w:t>.</w:t>
      </w:r>
    </w:p>
    <w:p w14:paraId="69601147" w14:textId="7A4D35D8" w:rsidR="00944FE7" w:rsidRDefault="005506E3" w:rsidP="002D1C01">
      <w:pPr>
        <w:pStyle w:val="NumberedParagraph-BulletL1"/>
        <w:rPr>
          <w:lang w:val="en-GB" w:eastAsia="en-AU"/>
        </w:rPr>
      </w:pPr>
      <w:r>
        <w:rPr>
          <w:lang w:val="en-GB" w:eastAsia="en-AU"/>
        </w:rPr>
        <w:t xml:space="preserve">Paragraph (c) of the </w:t>
      </w:r>
      <w:r w:rsidR="00DD3185">
        <w:rPr>
          <w:lang w:val="en-GB" w:eastAsia="en-AU"/>
        </w:rPr>
        <w:t xml:space="preserve">definition of a </w:t>
      </w:r>
      <w:r w:rsidR="00C016DD">
        <w:rPr>
          <w:lang w:val="en-GB" w:eastAsia="en-AU"/>
        </w:rPr>
        <w:t xml:space="preserve">QDMTT excludes a tax where </w:t>
      </w:r>
      <w:r>
        <w:rPr>
          <w:lang w:val="en-GB" w:eastAsia="en-AU"/>
        </w:rPr>
        <w:t xml:space="preserve">the jurisdiction provides </w:t>
      </w:r>
      <w:r w:rsidR="00C016DD">
        <w:rPr>
          <w:lang w:val="en-GB" w:eastAsia="en-AU"/>
        </w:rPr>
        <w:t xml:space="preserve">any </w:t>
      </w:r>
      <w:r>
        <w:rPr>
          <w:lang w:val="en-GB" w:eastAsia="en-AU"/>
        </w:rPr>
        <w:t>benefits that are related to the rules</w:t>
      </w:r>
      <w:r w:rsidR="008D2B85">
        <w:rPr>
          <w:lang w:val="en-GB" w:eastAsia="en-AU"/>
        </w:rPr>
        <w:t xml:space="preserve">. </w:t>
      </w:r>
      <w:r w:rsidR="009E718A">
        <w:rPr>
          <w:lang w:val="en-GB" w:eastAsia="en-AU"/>
        </w:rPr>
        <w:t>Providing a shareholder-</w:t>
      </w:r>
      <w:r w:rsidR="009E718A" w:rsidRPr="002D1C01">
        <w:rPr>
          <w:lang w:eastAsia="en-AU"/>
        </w:rPr>
        <w:t>level</w:t>
      </w:r>
      <w:r w:rsidR="009E718A">
        <w:rPr>
          <w:lang w:val="en-GB" w:eastAsia="en-AU"/>
        </w:rPr>
        <w:t xml:space="preserve"> credit could be such a benefit.</w:t>
      </w:r>
      <w:r w:rsidR="001B31FE">
        <w:rPr>
          <w:lang w:val="en-GB" w:eastAsia="en-AU"/>
        </w:rPr>
        <w:t xml:space="preserve"> This would likely need to be discussed at an Inclusive Framework level.</w:t>
      </w:r>
    </w:p>
    <w:p w14:paraId="2E426746" w14:textId="7E0EE859" w:rsidR="00E051F3" w:rsidRDefault="009E718A" w:rsidP="002D1C01">
      <w:pPr>
        <w:pStyle w:val="NumberedParagraph-BulletL1"/>
        <w:rPr>
          <w:lang w:val="en-GB" w:eastAsia="en-AU"/>
        </w:rPr>
      </w:pPr>
      <w:r>
        <w:rPr>
          <w:lang w:val="en-GB" w:eastAsia="en-AU"/>
        </w:rPr>
        <w:t xml:space="preserve">As </w:t>
      </w:r>
      <w:r w:rsidRPr="002D1C01">
        <w:rPr>
          <w:lang w:eastAsia="en-AU"/>
        </w:rPr>
        <w:t>discussed</w:t>
      </w:r>
      <w:r>
        <w:rPr>
          <w:lang w:val="en-GB" w:eastAsia="en-AU"/>
        </w:rPr>
        <w:t xml:space="preserve"> in chapter 13,</w:t>
      </w:r>
      <w:r w:rsidR="00D82EA3">
        <w:rPr>
          <w:lang w:val="en-GB" w:eastAsia="en-AU"/>
        </w:rPr>
        <w:t xml:space="preserve"> the</w:t>
      </w:r>
      <w:r w:rsidR="00CA77C1">
        <w:rPr>
          <w:lang w:val="en-GB" w:eastAsia="en-AU"/>
        </w:rPr>
        <w:t xml:space="preserve"> maximum</w:t>
      </w:r>
      <w:r w:rsidR="00D82EA3">
        <w:rPr>
          <w:lang w:val="en-GB" w:eastAsia="en-AU"/>
        </w:rPr>
        <w:t xml:space="preserve"> rate at which such credits </w:t>
      </w:r>
      <w:r w:rsidR="00CA77C1">
        <w:rPr>
          <w:lang w:val="en-GB" w:eastAsia="en-AU"/>
        </w:rPr>
        <w:t>sh</w:t>
      </w:r>
      <w:r w:rsidR="00D82EA3">
        <w:rPr>
          <w:lang w:val="en-GB" w:eastAsia="en-AU"/>
        </w:rPr>
        <w:t xml:space="preserve">ould be </w:t>
      </w:r>
      <w:r w:rsidR="00CA77C1">
        <w:rPr>
          <w:lang w:val="en-GB" w:eastAsia="en-AU"/>
        </w:rPr>
        <w:t xml:space="preserve">able to be </w:t>
      </w:r>
      <w:r w:rsidR="00D82EA3">
        <w:rPr>
          <w:lang w:val="en-GB" w:eastAsia="en-AU"/>
        </w:rPr>
        <w:t>attached to</w:t>
      </w:r>
      <w:r w:rsidR="00CA77C1">
        <w:rPr>
          <w:lang w:val="en-GB" w:eastAsia="en-AU"/>
        </w:rPr>
        <w:t xml:space="preserve"> dividends is not clear</w:t>
      </w:r>
      <w:r w:rsidR="008D2B85">
        <w:rPr>
          <w:lang w:val="en-GB" w:eastAsia="en-AU"/>
        </w:rPr>
        <w:t xml:space="preserve">. </w:t>
      </w:r>
      <w:r w:rsidR="00EB213A">
        <w:rPr>
          <w:lang w:val="en-GB" w:eastAsia="en-AU"/>
        </w:rPr>
        <w:t>Possibly a 15% rate would make sense</w:t>
      </w:r>
      <w:r w:rsidR="008D2B85">
        <w:rPr>
          <w:lang w:val="en-GB" w:eastAsia="en-AU"/>
        </w:rPr>
        <w:t xml:space="preserve">. </w:t>
      </w:r>
      <w:r w:rsidR="008E7E3C">
        <w:rPr>
          <w:lang w:val="en-GB" w:eastAsia="en-AU"/>
        </w:rPr>
        <w:t xml:space="preserve">This would require treating the </w:t>
      </w:r>
      <w:r w:rsidR="00BB0FEF">
        <w:rPr>
          <w:lang w:val="en-GB" w:eastAsia="en-AU"/>
        </w:rPr>
        <w:t>DMT</w:t>
      </w:r>
      <w:r w:rsidR="00613DB0">
        <w:rPr>
          <w:lang w:val="en-GB" w:eastAsia="en-AU"/>
        </w:rPr>
        <w:t xml:space="preserve"> </w:t>
      </w:r>
      <w:r w:rsidR="008E7E3C">
        <w:rPr>
          <w:lang w:val="en-GB" w:eastAsia="en-AU"/>
        </w:rPr>
        <w:t xml:space="preserve">tax credit as </w:t>
      </w:r>
      <w:r w:rsidR="009519D7">
        <w:rPr>
          <w:lang w:val="en-GB" w:eastAsia="en-AU"/>
        </w:rPr>
        <w:t>different from ordinary imputation credits, which would require redesign of the relevant forms and other administrative and legislative measures</w:t>
      </w:r>
      <w:r w:rsidR="008D2B85">
        <w:rPr>
          <w:lang w:val="en-GB" w:eastAsia="en-AU"/>
        </w:rPr>
        <w:t>.</w:t>
      </w:r>
    </w:p>
    <w:p w14:paraId="3C5141BB" w14:textId="21D018CF" w:rsidR="009E718A" w:rsidRDefault="005B46E9" w:rsidP="00DE575D">
      <w:pPr>
        <w:pStyle w:val="NumberedParagraph"/>
        <w:numPr>
          <w:ilvl w:val="0"/>
          <w:numId w:val="0"/>
        </w:numPr>
        <w:ind w:left="720"/>
        <w:rPr>
          <w:lang w:val="en-GB" w:eastAsia="en-AU"/>
        </w:rPr>
      </w:pPr>
      <w:r>
        <w:rPr>
          <w:lang w:val="en-GB" w:eastAsia="en-AU"/>
        </w:rPr>
        <w:t xml:space="preserve">Given the relatively low amount of </w:t>
      </w:r>
      <w:r w:rsidR="00BB0FEF">
        <w:rPr>
          <w:lang w:val="en-GB" w:eastAsia="en-AU"/>
        </w:rPr>
        <w:t>DMT</w:t>
      </w:r>
      <w:r w:rsidR="00613DB0">
        <w:rPr>
          <w:lang w:val="en-GB" w:eastAsia="en-AU"/>
        </w:rPr>
        <w:t xml:space="preserve"> </w:t>
      </w:r>
      <w:r>
        <w:rPr>
          <w:lang w:val="en-GB" w:eastAsia="en-AU"/>
        </w:rPr>
        <w:t>likely to be imposed</w:t>
      </w:r>
      <w:r w:rsidR="00E051F3">
        <w:rPr>
          <w:lang w:val="en-GB" w:eastAsia="en-AU"/>
        </w:rPr>
        <w:t>, it may not be worth bringing the tax into the imputation regime</w:t>
      </w:r>
      <w:r w:rsidR="008D2B85">
        <w:rPr>
          <w:lang w:val="en-GB" w:eastAsia="en-AU"/>
        </w:rPr>
        <w:t xml:space="preserve">. </w:t>
      </w:r>
      <w:proofErr w:type="gramStart"/>
      <w:r w:rsidR="007F09A0">
        <w:rPr>
          <w:lang w:val="en-GB" w:eastAsia="en-AU"/>
        </w:rPr>
        <w:t>Officials</w:t>
      </w:r>
      <w:proofErr w:type="gramEnd"/>
      <w:r w:rsidR="007F09A0">
        <w:rPr>
          <w:lang w:val="en-GB" w:eastAsia="en-AU"/>
        </w:rPr>
        <w:t xml:space="preserve"> welcome submissions on this issue.</w:t>
      </w:r>
    </w:p>
    <w:tbl>
      <w:tblPr>
        <w:tblStyle w:val="QuestionBox"/>
        <w:tblW w:w="8779" w:type="dxa"/>
        <w:tblLook w:val="04A0" w:firstRow="1" w:lastRow="0" w:firstColumn="1" w:lastColumn="0" w:noHBand="0" w:noVBand="1"/>
      </w:tblPr>
      <w:tblGrid>
        <w:gridCol w:w="8779"/>
      </w:tblGrid>
      <w:tr w:rsidR="008A31D0" w14:paraId="15C5288F" w14:textId="77777777" w:rsidTr="001373D9">
        <w:tc>
          <w:tcPr>
            <w:tcW w:w="8779" w:type="dxa"/>
          </w:tcPr>
          <w:p w14:paraId="0305E013" w14:textId="3D824E49" w:rsidR="008A31D0" w:rsidRDefault="008A31D0" w:rsidP="00180725">
            <w:pPr>
              <w:rPr>
                <w:b/>
                <w:bCs/>
              </w:rPr>
            </w:pPr>
            <w:r w:rsidRPr="0097039F">
              <w:rPr>
                <w:b/>
                <w:bCs/>
              </w:rPr>
              <w:t>Questions for submitters</w:t>
            </w:r>
          </w:p>
          <w:p w14:paraId="681016EB" w14:textId="5D0A9C85" w:rsidR="00944FE7" w:rsidRDefault="00944FE7" w:rsidP="00944FE7">
            <w:pPr>
              <w:pStyle w:val="ListBullet"/>
            </w:pPr>
            <w:r>
              <w:t xml:space="preserve">What are your views on whether or not New Zealand should adopt a </w:t>
            </w:r>
            <w:r w:rsidR="00012FB9">
              <w:t>DMT?</w:t>
            </w:r>
          </w:p>
          <w:p w14:paraId="69A1E30E" w14:textId="77777777" w:rsidR="008A31D0" w:rsidRPr="00D76B6F" w:rsidRDefault="00944FE7" w:rsidP="0061429A">
            <w:pPr>
              <w:pStyle w:val="ListBullet"/>
            </w:pPr>
            <w:r>
              <w:t>If so, should it be limited to New Zealand headquartered MNEs?</w:t>
            </w:r>
          </w:p>
          <w:p w14:paraId="1371F4B3" w14:textId="6E6F8646" w:rsidR="00E051F3" w:rsidRPr="001A091C" w:rsidRDefault="00E051F3" w:rsidP="0061429A">
            <w:pPr>
              <w:pStyle w:val="ListBullet"/>
              <w:rPr>
                <w:b/>
                <w:bCs/>
              </w:rPr>
            </w:pPr>
            <w:r>
              <w:t xml:space="preserve">Should a DMT </w:t>
            </w:r>
            <w:r w:rsidR="00FF7D36">
              <w:t>give rise to a credit under the imputation system.</w:t>
            </w:r>
          </w:p>
        </w:tc>
      </w:tr>
    </w:tbl>
    <w:p w14:paraId="5A1B897E" w14:textId="2326C93E" w:rsidR="008C76FF" w:rsidRDefault="008C76FF" w:rsidP="008C76FF">
      <w:pPr>
        <w:pStyle w:val="Heading1"/>
        <w:rPr>
          <w:lang w:eastAsia="en-AU"/>
        </w:rPr>
      </w:pPr>
      <w:r>
        <w:rPr>
          <w:lang w:eastAsia="en-AU"/>
        </w:rPr>
        <w:lastRenderedPageBreak/>
        <w:br/>
      </w:r>
      <w:r>
        <w:rPr>
          <w:lang w:eastAsia="en-AU"/>
        </w:rPr>
        <w:br/>
      </w:r>
      <w:bookmarkStart w:id="104" w:name="_Toc101095633"/>
      <w:r w:rsidR="00CD5142" w:rsidRPr="00CD5142">
        <w:rPr>
          <w:lang w:eastAsia="en-AU"/>
        </w:rPr>
        <w:t xml:space="preserve">Treatment of </w:t>
      </w:r>
      <w:r w:rsidR="007E0BCE">
        <w:rPr>
          <w:lang w:eastAsia="en-AU"/>
        </w:rPr>
        <w:t>f</w:t>
      </w:r>
      <w:r w:rsidR="00CD5142" w:rsidRPr="00CD5142">
        <w:rPr>
          <w:lang w:eastAsia="en-AU"/>
        </w:rPr>
        <w:t xml:space="preserve">oreign GloBE </w:t>
      </w:r>
      <w:r w:rsidR="007E0BCE">
        <w:rPr>
          <w:lang w:eastAsia="en-AU"/>
        </w:rPr>
        <w:t>t</w:t>
      </w:r>
      <w:r w:rsidR="00CD5142" w:rsidRPr="00CD5142">
        <w:rPr>
          <w:lang w:eastAsia="en-AU"/>
        </w:rPr>
        <w:t>axes in determining</w:t>
      </w:r>
      <w:r w:rsidR="00CD5142">
        <w:rPr>
          <w:lang w:eastAsia="en-AU"/>
        </w:rPr>
        <w:br/>
      </w:r>
      <w:r w:rsidR="00CD5142" w:rsidRPr="00CD5142">
        <w:rPr>
          <w:lang w:eastAsia="en-AU"/>
        </w:rPr>
        <w:t>New Zealand income tax liability</w:t>
      </w:r>
      <w:bookmarkEnd w:id="104"/>
    </w:p>
    <w:p w14:paraId="7F764A33" w14:textId="113B5E24" w:rsidR="00FB591E" w:rsidRDefault="00FB591E" w:rsidP="00FB591E">
      <w:pPr>
        <w:pStyle w:val="NumberedParagraph"/>
      </w:pPr>
      <w:r w:rsidRPr="00FB591E">
        <w:rPr>
          <w:lang w:val="en-GB" w:eastAsia="en-AU"/>
        </w:rPr>
        <w:t>Whether or not New Zealand adopts GloBE rules, if other countries do so, the status of GloBE tax for purposes of calculating New Zealand tax on foreign earnings will need to be dealt with. Should GloBE tax be creditable, deductible, or neither when determining New Zealand income tax liability</w:t>
      </w:r>
      <w:r>
        <w:t>?</w:t>
      </w:r>
    </w:p>
    <w:p w14:paraId="78098F32" w14:textId="30CFB38E" w:rsidR="00FB591E" w:rsidRDefault="00FB591E" w:rsidP="00FB591E">
      <w:pPr>
        <w:pStyle w:val="NumberedParagraph"/>
      </w:pPr>
      <w:r w:rsidRPr="00FB591E">
        <w:rPr>
          <w:lang w:val="en-GB" w:eastAsia="en-AU"/>
        </w:rPr>
        <w:t>The</w:t>
      </w:r>
      <w:r>
        <w:t xml:space="preserve"> design of the GloBE rules makes it clear that GloBE taxes should not be either creditable or deductible for non-GloBE income tax purposes. The rules impose a top-up tax on a per-country basis. The top-up tax is determined after </w:t>
      </w:r>
      <w:proofErr w:type="gramStart"/>
      <w:r>
        <w:t>taking into account</w:t>
      </w:r>
      <w:proofErr w:type="gramEnd"/>
      <w:r>
        <w:t xml:space="preserve"> income tax imposed on the income attributable to the country, whether that tax is imposed by the country itself or a third country. Tax may be imposed by a third country:</w:t>
      </w:r>
    </w:p>
    <w:p w14:paraId="21C756FE" w14:textId="744584BB" w:rsidR="00FB591E" w:rsidRDefault="00FB591E" w:rsidP="00C313C3">
      <w:pPr>
        <w:pStyle w:val="ListParagraph"/>
        <w:numPr>
          <w:ilvl w:val="0"/>
          <w:numId w:val="15"/>
        </w:numPr>
      </w:pPr>
      <w:r>
        <w:t>By way of withholding tax imposed on a cross border payment</w:t>
      </w:r>
      <w:r w:rsidR="008173C6">
        <w:t>.</w:t>
      </w:r>
    </w:p>
    <w:p w14:paraId="7761226A" w14:textId="24BE5250" w:rsidR="00FB591E" w:rsidRDefault="00FB591E" w:rsidP="00C313C3">
      <w:pPr>
        <w:pStyle w:val="ListParagraph"/>
        <w:numPr>
          <w:ilvl w:val="0"/>
          <w:numId w:val="15"/>
        </w:numPr>
      </w:pPr>
      <w:r>
        <w:t>Under a worldwide taxation regime, or a CFC regime.</w:t>
      </w:r>
    </w:p>
    <w:p w14:paraId="64723C09" w14:textId="77777777" w:rsidR="00FB591E" w:rsidRDefault="00FB591E" w:rsidP="00FB591E">
      <w:pPr>
        <w:pStyle w:val="NumberedParagraph"/>
      </w:pPr>
      <w:r>
        <w:t xml:space="preserve">Given that the GloBE top-up tax is calculated after </w:t>
      </w:r>
      <w:proofErr w:type="gramStart"/>
      <w:r>
        <w:t>taking into account</w:t>
      </w:r>
      <w:proofErr w:type="gramEnd"/>
      <w:r>
        <w:t xml:space="preserve"> tax imposed under a worldwide or CFC tax regime, it would clearly not be appropriate for the GloBE top-up tax to be creditable when calculating those taxes.</w:t>
      </w:r>
    </w:p>
    <w:tbl>
      <w:tblPr>
        <w:tblStyle w:val="ExampleBox"/>
        <w:tblW w:w="0" w:type="auto"/>
        <w:tblLook w:val="04A0" w:firstRow="1" w:lastRow="0" w:firstColumn="1" w:lastColumn="0" w:noHBand="0" w:noVBand="1"/>
      </w:tblPr>
      <w:tblGrid>
        <w:gridCol w:w="7917"/>
      </w:tblGrid>
      <w:tr w:rsidR="003D0F99" w:rsidRPr="00FD06AF" w14:paraId="5E8DFC9D" w14:textId="77777777" w:rsidTr="00DC36F9">
        <w:tc>
          <w:tcPr>
            <w:tcW w:w="7917" w:type="dxa"/>
          </w:tcPr>
          <w:p w14:paraId="4139326D" w14:textId="5787AF89" w:rsidR="003D0F99" w:rsidRPr="008A0073" w:rsidRDefault="003D0F99" w:rsidP="00DC36F9">
            <w:pPr>
              <w:pStyle w:val="NumberedParagraph"/>
              <w:numPr>
                <w:ilvl w:val="0"/>
                <w:numId w:val="0"/>
              </w:numPr>
              <w:rPr>
                <w:b/>
                <w:lang w:eastAsia="en-AU"/>
              </w:rPr>
            </w:pPr>
            <w:r w:rsidRPr="008A0073">
              <w:rPr>
                <w:b/>
                <w:lang w:eastAsia="en-AU"/>
              </w:rPr>
              <w:t>Example 2</w:t>
            </w:r>
            <w:r>
              <w:rPr>
                <w:b/>
                <w:lang w:eastAsia="en-AU"/>
              </w:rPr>
              <w:t>2</w:t>
            </w:r>
            <w:r w:rsidRPr="008A0073">
              <w:rPr>
                <w:b/>
                <w:lang w:eastAsia="en-AU"/>
              </w:rPr>
              <w:t>:</w:t>
            </w:r>
            <w:r w:rsidRPr="008A0073">
              <w:rPr>
                <w:b/>
                <w:bCs/>
                <w:lang w:eastAsia="en-AU"/>
              </w:rPr>
              <w:t xml:space="preserve"> </w:t>
            </w:r>
            <w:r w:rsidR="00853ED2">
              <w:rPr>
                <w:b/>
                <w:bCs/>
                <w:lang w:eastAsia="en-AU"/>
              </w:rPr>
              <w:t>New Zealand tax t</w:t>
            </w:r>
            <w:r w:rsidR="0023215F">
              <w:rPr>
                <w:b/>
                <w:bCs/>
                <w:lang w:eastAsia="en-AU"/>
              </w:rPr>
              <w:t xml:space="preserve">reatment of </w:t>
            </w:r>
            <w:r w:rsidR="00853ED2">
              <w:rPr>
                <w:b/>
                <w:bCs/>
                <w:lang w:eastAsia="en-AU"/>
              </w:rPr>
              <w:t>foreign GloBE taxes</w:t>
            </w:r>
          </w:p>
          <w:p w14:paraId="1C91201C" w14:textId="0271615E" w:rsidR="00DC202F" w:rsidRDefault="00DC202F" w:rsidP="00DC202F">
            <w:pPr>
              <w:rPr>
                <w:lang w:eastAsia="en-AU"/>
              </w:rPr>
            </w:pPr>
            <w:r>
              <w:rPr>
                <w:lang w:eastAsia="en-AU"/>
              </w:rPr>
              <w:t>Suppose New Zealand does not adopt GloBE rules, and that a New Zealand company has a subsidiary X Co tax resident in Country X which has adopted GloBE rules. X Co in turn owns 100% of Y Co, which has an ETR below 15%. Country X imposes GloBE tax on X Co with respect to that undertaxed income of Y Co. Suppose also that the income of both companies is in part subject to New Zealand’s CFC rules, so that New Zealand tax is also paid on that income.</w:t>
            </w:r>
          </w:p>
          <w:p w14:paraId="0689898C" w14:textId="6BDEC32D" w:rsidR="00DC202F" w:rsidRDefault="00DC202F" w:rsidP="00DC202F">
            <w:pPr>
              <w:rPr>
                <w:lang w:eastAsia="en-AU"/>
              </w:rPr>
            </w:pPr>
            <w:r>
              <w:rPr>
                <w:lang w:eastAsia="en-AU"/>
              </w:rPr>
              <w:t xml:space="preserve">The New Zealand CFC rules should give a credit against the CFC tax for income tax paid by X Co and Y Co in their respective countries of incorporation. The GloBE ETR calculation for Country X and Country Y will include the New Zealand CFC tax in the numerator, subject to the limit in Article 4.3.3. The IIR liability of X Co in Country X with respect to the undertaxed income of Y Co will therefore </w:t>
            </w:r>
            <w:proofErr w:type="gramStart"/>
            <w:r>
              <w:rPr>
                <w:lang w:eastAsia="en-AU"/>
              </w:rPr>
              <w:t>take into account</w:t>
            </w:r>
            <w:proofErr w:type="gramEnd"/>
            <w:r>
              <w:rPr>
                <w:lang w:eastAsia="en-AU"/>
              </w:rPr>
              <w:t xml:space="preserve"> the New Zealand CFC tax with respect to Y Co. It would clearly not be appropriate then for that IIR liability to give rise to a credit in determining the New Zealand CFC liability in relation to either X Co or Y Co. Nor would it be appropriate for that tax to be deductible in determining the income subject to the New Zealand CFC rules in either country.</w:t>
            </w:r>
          </w:p>
          <w:p w14:paraId="09FA3348" w14:textId="019A13D8" w:rsidR="003D0F99" w:rsidRPr="00FD06AF" w:rsidRDefault="00DC202F" w:rsidP="00DC202F">
            <w:pPr>
              <w:rPr>
                <w:sz w:val="17"/>
                <w:szCs w:val="17"/>
                <w:lang w:eastAsia="en-AU"/>
              </w:rPr>
            </w:pPr>
            <w:r>
              <w:rPr>
                <w:lang w:eastAsia="en-AU"/>
              </w:rPr>
              <w:t>If New Zealand does adopt GloBE rules, this issue can still arise. Referring to the example in the above paragraphs, suppose X Co were 25% owned by another shareholder. Under the partially owned parent entity rule, this means X Co would be responsible for paying the top up tax with respect to Y Co, despite New Zealand having an IIR.</w:t>
            </w:r>
          </w:p>
        </w:tc>
      </w:tr>
    </w:tbl>
    <w:p w14:paraId="1E1F9A92" w14:textId="3A6CE231" w:rsidR="008C76FF" w:rsidRDefault="008C76FF" w:rsidP="009A6552"/>
    <w:tbl>
      <w:tblPr>
        <w:tblStyle w:val="QuestionBox"/>
        <w:tblW w:w="8779" w:type="dxa"/>
        <w:tblLook w:val="04A0" w:firstRow="1" w:lastRow="0" w:firstColumn="1" w:lastColumn="0" w:noHBand="0" w:noVBand="1"/>
      </w:tblPr>
      <w:tblGrid>
        <w:gridCol w:w="8779"/>
      </w:tblGrid>
      <w:tr w:rsidR="00DF1F8A" w14:paraId="6C0FE936" w14:textId="77777777" w:rsidTr="00DC36F9">
        <w:tc>
          <w:tcPr>
            <w:tcW w:w="8779" w:type="dxa"/>
          </w:tcPr>
          <w:p w14:paraId="77E26D8B" w14:textId="0EF7E697" w:rsidR="00DF1F8A" w:rsidRDefault="00DF1F8A" w:rsidP="00DC36F9">
            <w:pPr>
              <w:rPr>
                <w:b/>
                <w:bCs/>
              </w:rPr>
            </w:pPr>
            <w:r w:rsidRPr="0097039F">
              <w:rPr>
                <w:b/>
                <w:bCs/>
              </w:rPr>
              <w:lastRenderedPageBreak/>
              <w:t>Question for submitters</w:t>
            </w:r>
          </w:p>
          <w:p w14:paraId="448CE3E7" w14:textId="72B18812" w:rsidR="00DF1F8A" w:rsidRPr="001A091C" w:rsidRDefault="00D563F5" w:rsidP="00DC36F9">
            <w:pPr>
              <w:pStyle w:val="ListBullet"/>
              <w:rPr>
                <w:b/>
                <w:bCs/>
              </w:rPr>
            </w:pPr>
            <w:r w:rsidRPr="00D563F5">
              <w:t>Do you agree that GloBE tax imposed by other countries should not give rise to a tax credit or tax deduction in New Zealand? If not, please explain.</w:t>
            </w:r>
          </w:p>
        </w:tc>
      </w:tr>
    </w:tbl>
    <w:p w14:paraId="5B6A6804" w14:textId="77777777" w:rsidR="00B9547B" w:rsidRDefault="00B9547B" w:rsidP="009A6552"/>
    <w:p w14:paraId="320EB24A" w14:textId="10FB6B39" w:rsidR="008C76FF" w:rsidRPr="009A6552" w:rsidRDefault="008C76FF" w:rsidP="009A6552">
      <w:pPr>
        <w:sectPr w:rsidR="008C76FF" w:rsidRPr="009A6552" w:rsidSect="00D42789">
          <w:type w:val="oddPage"/>
          <w:pgSz w:w="11906" w:h="16838" w:code="9"/>
          <w:pgMar w:top="1304" w:right="1559" w:bottom="1134" w:left="1559" w:header="720" w:footer="567" w:gutter="0"/>
          <w:cols w:space="720"/>
          <w:docGrid w:linePitch="326"/>
        </w:sectPr>
      </w:pPr>
    </w:p>
    <w:p w14:paraId="101D38B0" w14:textId="77777777" w:rsidR="00FE4646" w:rsidRPr="00FE4646" w:rsidRDefault="00FE4646" w:rsidP="00DE575D">
      <w:pPr>
        <w:widowControl w:val="0"/>
        <w:autoSpaceDE w:val="0"/>
        <w:autoSpaceDN w:val="0"/>
        <w:spacing w:before="6" w:after="0"/>
        <w:rPr>
          <w:rFonts w:ascii="Arial Narrow" w:eastAsia="Arial Narrow" w:hAnsi="Arial Narrow" w:cs="Arial Narrow"/>
          <w:sz w:val="8"/>
          <w:szCs w:val="28"/>
          <w:lang w:val="en-GB" w:eastAsia="en-US"/>
        </w:rPr>
      </w:pPr>
      <w:bookmarkStart w:id="105" w:name="_Hlk33193417"/>
    </w:p>
    <w:p w14:paraId="6E8A06DC" w14:textId="5A2B0C3D" w:rsidR="00D42789" w:rsidRDefault="00C66843" w:rsidP="00E37F10">
      <w:pPr>
        <w:pStyle w:val="Heading1-Appendix"/>
      </w:pPr>
      <w:bookmarkStart w:id="106" w:name="_Toc101095634"/>
      <w:r w:rsidRPr="008D1B24">
        <w:t>APPENDIX</w:t>
      </w:r>
      <w:r>
        <w:t xml:space="preserve"> </w:t>
      </w:r>
      <w:r w:rsidRPr="008D1B24">
        <w:t>1</w:t>
      </w:r>
      <w:r w:rsidRPr="008D1B24">
        <w:br/>
      </w:r>
      <w:r w:rsidRPr="009A6552">
        <w:br/>
      </w:r>
      <w:r w:rsidR="00F11A82">
        <w:t>Overview of the key operating provisions of the GloBE rules</w:t>
      </w:r>
      <w:r w:rsidR="005C0CF5">
        <w:rPr>
          <w:rStyle w:val="FootnoteReference"/>
        </w:rPr>
        <w:footnoteReference w:id="15"/>
      </w:r>
      <w:bookmarkEnd w:id="106"/>
    </w:p>
    <w:bookmarkEnd w:id="105"/>
    <w:p w14:paraId="59B0D494" w14:textId="3BDA8609" w:rsidR="0030735D" w:rsidRDefault="00AC06D0" w:rsidP="00D42789">
      <w:r>
        <w:rPr>
          <w:noProof/>
        </w:rPr>
        <w:drawing>
          <wp:inline distT="0" distB="0" distL="0" distR="0" wp14:anchorId="6C7C91D4" wp14:editId="6D759C38">
            <wp:extent cx="5207815" cy="7362159"/>
            <wp:effectExtent l="0" t="0" r="0" b="0"/>
            <wp:docPr id="7" name="Picture 7" descr="Overview of the key operating provisions of the GloBE rules - summary from OEC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Overview of the key operating provisions of the GloBE rules - summary from OECD documen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17619" cy="7376018"/>
                    </a:xfrm>
                    <a:prstGeom prst="rect">
                      <a:avLst/>
                    </a:prstGeom>
                    <a:noFill/>
                    <a:ln>
                      <a:noFill/>
                    </a:ln>
                  </pic:spPr>
                </pic:pic>
              </a:graphicData>
            </a:graphic>
          </wp:inline>
        </w:drawing>
      </w:r>
    </w:p>
    <w:p w14:paraId="575B4BB5" w14:textId="57E1221F" w:rsidR="00AC06D0" w:rsidRDefault="00AC06D0" w:rsidP="00D42789">
      <w:r>
        <w:rPr>
          <w:noProof/>
        </w:rPr>
        <w:lastRenderedPageBreak/>
        <w:drawing>
          <wp:inline distT="0" distB="0" distL="0" distR="0" wp14:anchorId="71BAF7C8" wp14:editId="6AC2888C">
            <wp:extent cx="5572125" cy="7877175"/>
            <wp:effectExtent l="0" t="0" r="9525" b="9525"/>
            <wp:docPr id="8" name="Picture 8" descr="Overview of the key operating provisions of the GloBE rules - Step 1: Constituent Entities within 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Overview of the key operating provisions of the GloBE rules - Step 1: Constituent Entities within scop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72125" cy="7877175"/>
                    </a:xfrm>
                    <a:prstGeom prst="rect">
                      <a:avLst/>
                    </a:prstGeom>
                    <a:noFill/>
                    <a:ln>
                      <a:noFill/>
                    </a:ln>
                  </pic:spPr>
                </pic:pic>
              </a:graphicData>
            </a:graphic>
          </wp:inline>
        </w:drawing>
      </w:r>
    </w:p>
    <w:p w14:paraId="20C6E238" w14:textId="293C7090" w:rsidR="00AC06D0" w:rsidRDefault="00AC06D0" w:rsidP="00D42789">
      <w:r>
        <w:rPr>
          <w:noProof/>
        </w:rPr>
        <w:lastRenderedPageBreak/>
        <w:drawing>
          <wp:inline distT="0" distB="0" distL="0" distR="0" wp14:anchorId="1633582C" wp14:editId="480071D7">
            <wp:extent cx="5572125" cy="7877175"/>
            <wp:effectExtent l="0" t="0" r="9525" b="9525"/>
            <wp:docPr id="9" name="Picture 9" descr="Overview of the key operating provisions of the GloBE rules - Step 2: GloBE Income or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Overview of the key operating provisions of the GloBE rules - Step 2: GloBE Income or Los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72125" cy="7877175"/>
                    </a:xfrm>
                    <a:prstGeom prst="rect">
                      <a:avLst/>
                    </a:prstGeom>
                    <a:noFill/>
                    <a:ln>
                      <a:noFill/>
                    </a:ln>
                  </pic:spPr>
                </pic:pic>
              </a:graphicData>
            </a:graphic>
          </wp:inline>
        </w:drawing>
      </w:r>
    </w:p>
    <w:p w14:paraId="1CD10C1C" w14:textId="27492212" w:rsidR="00AC06D0" w:rsidRDefault="00AC06D0" w:rsidP="00D42789">
      <w:r>
        <w:rPr>
          <w:noProof/>
        </w:rPr>
        <w:lastRenderedPageBreak/>
        <w:drawing>
          <wp:inline distT="0" distB="0" distL="0" distR="0" wp14:anchorId="1263B8B6" wp14:editId="64DEC039">
            <wp:extent cx="5572125" cy="7877175"/>
            <wp:effectExtent l="0" t="0" r="9525" b="9525"/>
            <wp:docPr id="10" name="Picture 10" descr="Overview of the key operating provisions of the GloBE rules - Step 3: Adjusted Covered T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Overview of the key operating provisions of the GloBE rules - Step 3: Adjusted Covered Tax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72125" cy="7877175"/>
                    </a:xfrm>
                    <a:prstGeom prst="rect">
                      <a:avLst/>
                    </a:prstGeom>
                    <a:noFill/>
                    <a:ln>
                      <a:noFill/>
                    </a:ln>
                  </pic:spPr>
                </pic:pic>
              </a:graphicData>
            </a:graphic>
          </wp:inline>
        </w:drawing>
      </w:r>
    </w:p>
    <w:p w14:paraId="7265508A" w14:textId="0293A702" w:rsidR="00AC06D0" w:rsidRDefault="00AC06D0" w:rsidP="00D42789">
      <w:r>
        <w:rPr>
          <w:noProof/>
        </w:rPr>
        <w:lastRenderedPageBreak/>
        <w:drawing>
          <wp:inline distT="0" distB="0" distL="0" distR="0" wp14:anchorId="7985E11B" wp14:editId="366B14D8">
            <wp:extent cx="5572125" cy="7877175"/>
            <wp:effectExtent l="0" t="0" r="9525" b="9525"/>
            <wp:docPr id="11" name="Picture 11" descr="Overview of the key operating provisions of the GloBE rules - Step 4: Effective Tax Rate and Top-up T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Overview of the key operating provisions of the GloBE rules - Step 4: Effective Tax Rate and Top-up Tax"/>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72125" cy="7877175"/>
                    </a:xfrm>
                    <a:prstGeom prst="rect">
                      <a:avLst/>
                    </a:prstGeom>
                    <a:noFill/>
                    <a:ln>
                      <a:noFill/>
                    </a:ln>
                  </pic:spPr>
                </pic:pic>
              </a:graphicData>
            </a:graphic>
          </wp:inline>
        </w:drawing>
      </w:r>
    </w:p>
    <w:p w14:paraId="487808E4" w14:textId="1DA5445C" w:rsidR="0006622B" w:rsidRPr="00D42789" w:rsidRDefault="0006622B" w:rsidP="00D42789">
      <w:r>
        <w:rPr>
          <w:noProof/>
        </w:rPr>
        <w:lastRenderedPageBreak/>
        <w:drawing>
          <wp:inline distT="0" distB="0" distL="0" distR="0" wp14:anchorId="4B8A88F8" wp14:editId="6405225B">
            <wp:extent cx="5572125" cy="7877175"/>
            <wp:effectExtent l="0" t="0" r="9525" b="9525"/>
            <wp:docPr id="12" name="Picture 12" descr="Overview of the key operating provisions of the GloBE rules - Step 5: IIR and UT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Overview of the key operating provisions of the GloBE rules - Step 5: IIR and UT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72125" cy="7877175"/>
                    </a:xfrm>
                    <a:prstGeom prst="rect">
                      <a:avLst/>
                    </a:prstGeom>
                    <a:noFill/>
                    <a:ln>
                      <a:noFill/>
                    </a:ln>
                  </pic:spPr>
                </pic:pic>
              </a:graphicData>
            </a:graphic>
          </wp:inline>
        </w:drawing>
      </w:r>
    </w:p>
    <w:sectPr w:rsidR="0006622B" w:rsidRPr="00D42789" w:rsidSect="009444E1">
      <w:headerReference w:type="even" r:id="rId28"/>
      <w:headerReference w:type="default" r:id="rId29"/>
      <w:type w:val="oddPage"/>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ADA5" w14:textId="77777777" w:rsidR="00B53EBA" w:rsidRDefault="00B53EBA">
      <w:r>
        <w:separator/>
      </w:r>
    </w:p>
    <w:p w14:paraId="20135E2C" w14:textId="77777777" w:rsidR="00B53EBA" w:rsidRDefault="00B53EBA"/>
  </w:endnote>
  <w:endnote w:type="continuationSeparator" w:id="0">
    <w:p w14:paraId="6DF9F539" w14:textId="77777777" w:rsidR="00B53EBA" w:rsidRDefault="00B53EBA">
      <w:r>
        <w:continuationSeparator/>
      </w:r>
    </w:p>
    <w:p w14:paraId="294183F8" w14:textId="77777777" w:rsidR="00B53EBA" w:rsidRDefault="00B53EBA"/>
  </w:endnote>
  <w:endnote w:type="continuationNotice" w:id="1">
    <w:p w14:paraId="65487346" w14:textId="77777777" w:rsidR="00B53EBA" w:rsidRDefault="00B53E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D302" w14:textId="77777777" w:rsidR="001A3EBC" w:rsidRDefault="001A3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7CDE" w14:textId="1D14680C" w:rsidR="001F1F60" w:rsidRDefault="001F1F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FED7" w14:textId="77777777" w:rsidR="001A3EBC" w:rsidRDefault="001A3EBC">
    <w:pPr>
      <w:pStyle w:val="Footer"/>
      <w:jc w:val="right"/>
    </w:pPr>
    <w:r>
      <w:fldChar w:fldCharType="begin"/>
    </w:r>
    <w:r>
      <w:instrText xml:space="preserve"> PAGE </w:instrText>
    </w:r>
    <w:r>
      <w:fldChar w:fldCharType="separate"/>
    </w:r>
    <w:r>
      <w:rPr>
        <w:noProof/>
      </w:rPr>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537758"/>
      <w:docPartObj>
        <w:docPartGallery w:val="Page Numbers (Bottom of Page)"/>
        <w:docPartUnique/>
      </w:docPartObj>
    </w:sdtPr>
    <w:sdtEndPr>
      <w:rPr>
        <w:noProof/>
      </w:rPr>
    </w:sdtEndPr>
    <w:sdtContent>
      <w:p w14:paraId="5340C294" w14:textId="77777777" w:rsidR="00735838" w:rsidRDefault="0073583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F668D" w14:textId="77777777" w:rsidR="00B53EBA" w:rsidRDefault="00B53EBA" w:rsidP="0095659F">
      <w:pPr>
        <w:spacing w:after="0"/>
      </w:pPr>
      <w:r>
        <w:separator/>
      </w:r>
    </w:p>
  </w:footnote>
  <w:footnote w:type="continuationSeparator" w:id="0">
    <w:p w14:paraId="16FC2FB3" w14:textId="77777777" w:rsidR="00B53EBA" w:rsidRDefault="00B53EBA">
      <w:r>
        <w:continuationSeparator/>
      </w:r>
    </w:p>
    <w:p w14:paraId="63BEADBB" w14:textId="77777777" w:rsidR="00B53EBA" w:rsidRDefault="00B53EBA"/>
  </w:footnote>
  <w:footnote w:type="continuationNotice" w:id="1">
    <w:p w14:paraId="3851FEA4" w14:textId="77777777" w:rsidR="00B53EBA" w:rsidRDefault="00B53EBA">
      <w:pPr>
        <w:spacing w:before="0" w:after="0"/>
      </w:pPr>
    </w:p>
  </w:footnote>
  <w:footnote w:id="2">
    <w:p w14:paraId="2A634956" w14:textId="6493D12F" w:rsidR="001C56FA" w:rsidRDefault="001C56FA">
      <w:pPr>
        <w:pStyle w:val="FootnoteText"/>
      </w:pPr>
      <w:r>
        <w:rPr>
          <w:rStyle w:val="FootnoteReference"/>
        </w:rPr>
        <w:footnoteRef/>
      </w:r>
      <w:r>
        <w:t xml:space="preserve"> </w:t>
      </w:r>
      <w:r w:rsidR="00717AE9">
        <w:t xml:space="preserve">The Model Rules can be found here: </w:t>
      </w:r>
      <w:hyperlink r:id="rId1" w:history="1">
        <w:r w:rsidR="00D67C11" w:rsidRPr="00D83F5B">
          <w:rPr>
            <w:rStyle w:val="Hyperlink"/>
          </w:rPr>
          <w:t>https://www.oecd.org/tax/beps/tax-challenges-arising-from-the-digitalisation-of-the-economy-global-anti-base-erosion-model-rules-pillar-two.htm</w:t>
        </w:r>
      </w:hyperlink>
    </w:p>
  </w:footnote>
  <w:footnote w:id="3">
    <w:p w14:paraId="6E594BB2" w14:textId="76222237" w:rsidR="00F018A5" w:rsidRDefault="00F018A5">
      <w:pPr>
        <w:pStyle w:val="FootnoteText"/>
      </w:pPr>
      <w:r>
        <w:rPr>
          <w:rStyle w:val="FootnoteReference"/>
        </w:rPr>
        <w:footnoteRef/>
      </w:r>
      <w:r>
        <w:t xml:space="preserve"> The Commentary can </w:t>
      </w:r>
      <w:r w:rsidR="00384856">
        <w:t xml:space="preserve">also </w:t>
      </w:r>
      <w:r>
        <w:t xml:space="preserve">be found </w:t>
      </w:r>
      <w:r w:rsidR="00212B89">
        <w:t xml:space="preserve">using the above </w:t>
      </w:r>
      <w:r w:rsidR="00384856">
        <w:t>link</w:t>
      </w:r>
      <w:r w:rsidR="009A27D0">
        <w:t>.</w:t>
      </w:r>
    </w:p>
  </w:footnote>
  <w:footnote w:id="4">
    <w:p w14:paraId="28C4FC36" w14:textId="18B30A11" w:rsidR="004146FF" w:rsidRDefault="004146FF">
      <w:pPr>
        <w:pStyle w:val="FootnoteText"/>
      </w:pPr>
      <w:r>
        <w:rPr>
          <w:rStyle w:val="FootnoteReference"/>
        </w:rPr>
        <w:footnoteRef/>
      </w:r>
      <w:r>
        <w:t xml:space="preserve"> The </w:t>
      </w:r>
      <w:r w:rsidR="006D5D95">
        <w:t xml:space="preserve">full </w:t>
      </w:r>
      <w:r w:rsidR="006E6F38">
        <w:t xml:space="preserve">6-page document is available </w:t>
      </w:r>
      <w:r w:rsidR="00BC632A">
        <w:t>at</w:t>
      </w:r>
      <w:r w:rsidR="006E6F38">
        <w:t xml:space="preserve"> </w:t>
      </w:r>
      <w:hyperlink r:id="rId2" w:history="1">
        <w:r w:rsidR="006D5D95" w:rsidRPr="00D331D2">
          <w:rPr>
            <w:rStyle w:val="Hyperlink"/>
          </w:rPr>
          <w:t>https://www.oecd.org/tax/beps/pillar-two-GloBE-rules-fact-sheets.pdf</w:t>
        </w:r>
      </w:hyperlink>
    </w:p>
  </w:footnote>
  <w:footnote w:id="5">
    <w:p w14:paraId="2E5F5900" w14:textId="102310BB" w:rsidR="00C1113B" w:rsidRPr="005764E5" w:rsidRDefault="00C1113B" w:rsidP="00C1113B">
      <w:pPr>
        <w:pStyle w:val="FootnoteText"/>
        <w:rPr>
          <w:lang w:val="en-AU"/>
        </w:rPr>
      </w:pPr>
      <w:r>
        <w:rPr>
          <w:rStyle w:val="FootnoteReference"/>
        </w:rPr>
        <w:footnoteRef/>
      </w:r>
      <w:r>
        <w:t xml:space="preserve"> </w:t>
      </w:r>
      <w:r>
        <w:rPr>
          <w:lang w:val="en-AU"/>
        </w:rPr>
        <w:t xml:space="preserve">For an initial </w:t>
      </w:r>
      <w:r w:rsidR="004F74D7">
        <w:rPr>
          <w:lang w:val="en-AU"/>
        </w:rPr>
        <w:t>10</w:t>
      </w:r>
      <w:r w:rsidR="00012FB9">
        <w:rPr>
          <w:lang w:val="en-AU"/>
        </w:rPr>
        <w:t>-year</w:t>
      </w:r>
      <w:r>
        <w:rPr>
          <w:lang w:val="en-AU"/>
        </w:rPr>
        <w:t xml:space="preserve"> period the figures are higher than 5%</w:t>
      </w:r>
      <w:r w:rsidR="004F74D7">
        <w:rPr>
          <w:lang w:val="en-AU"/>
        </w:rPr>
        <w:t xml:space="preserve"> and reduce over time to 5%</w:t>
      </w:r>
      <w:r>
        <w:rPr>
          <w:lang w:val="en-AU"/>
        </w:rPr>
        <w:t>.</w:t>
      </w:r>
    </w:p>
  </w:footnote>
  <w:footnote w:id="6">
    <w:p w14:paraId="1AE60F26" w14:textId="6E3A5922" w:rsidR="00C1113B" w:rsidRDefault="00C1113B" w:rsidP="00C1113B">
      <w:pPr>
        <w:pStyle w:val="FootnoteText"/>
      </w:pPr>
      <w:r>
        <w:rPr>
          <w:rStyle w:val="FootnoteReference"/>
        </w:rPr>
        <w:footnoteRef/>
      </w:r>
      <w:r>
        <w:t xml:space="preserve"> A qualified IIR is, broadly, an IIR or similar set of rules that conforms with the requirements of the OECD GloBE rules.</w:t>
      </w:r>
    </w:p>
  </w:footnote>
  <w:footnote w:id="7">
    <w:p w14:paraId="65F02EAC" w14:textId="3A80F157" w:rsidR="00914CF1" w:rsidRDefault="00914CF1" w:rsidP="00914CF1">
      <w:pPr>
        <w:pStyle w:val="FootnoteText"/>
      </w:pPr>
      <w:r>
        <w:rPr>
          <w:rStyle w:val="FootnoteReference"/>
        </w:rPr>
        <w:footnoteRef/>
      </w:r>
      <w:r>
        <w:t xml:space="preserve"> It is likely that the GILTI regime will be treated as equivalent to an </w:t>
      </w:r>
      <w:r>
        <w:t>IIR</w:t>
      </w:r>
      <w:r w:rsidR="00AF2856">
        <w:t xml:space="preserve">, </w:t>
      </w:r>
      <w:r w:rsidR="00695FC3">
        <w:t>if</w:t>
      </w:r>
      <w:r w:rsidR="00AF2856">
        <w:t xml:space="preserve"> the United States </w:t>
      </w:r>
      <w:r w:rsidR="00B9076A">
        <w:t>makes</w:t>
      </w:r>
      <w:r w:rsidR="00AF2856">
        <w:t xml:space="preserve"> certain amendments to </w:t>
      </w:r>
      <w:r w:rsidR="002B3D27">
        <w:t>its</w:t>
      </w:r>
      <w:r w:rsidR="00AF2856">
        <w:t xml:space="preserve"> regime</w:t>
      </w:r>
      <w:r>
        <w:t>.</w:t>
      </w:r>
      <w:r w:rsidR="00695FC3">
        <w:t xml:space="preserve">  If it does not GILTI may instead be treated as a kind of CFC regime.  </w:t>
      </w:r>
    </w:p>
  </w:footnote>
  <w:footnote w:id="8">
    <w:p w14:paraId="6DF6B5B1" w14:textId="6DDC889B" w:rsidR="006E1F71" w:rsidRDefault="006E1F71" w:rsidP="006E1F71">
      <w:pPr>
        <w:pStyle w:val="FootnoteText"/>
      </w:pPr>
      <w:r>
        <w:rPr>
          <w:rStyle w:val="FootnoteReference"/>
        </w:rPr>
        <w:footnoteRef/>
      </w:r>
      <w:r>
        <w:t xml:space="preserve"> An entity that is excluded from the UPE’s consolidated financial statements will still be part of the UPE’s MNE group if it is excluded on materiality grounds, or if the entity is treated as being held for sale.</w:t>
      </w:r>
    </w:p>
  </w:footnote>
  <w:footnote w:id="9">
    <w:p w14:paraId="74F00493" w14:textId="6BA939B2" w:rsidR="00D748D1" w:rsidRPr="001D54D9" w:rsidRDefault="00D748D1" w:rsidP="00D748D1">
      <w:pPr>
        <w:pStyle w:val="FootnoteText"/>
      </w:pPr>
      <w:r>
        <w:rPr>
          <w:rStyle w:val="FootnoteReference"/>
        </w:rPr>
        <w:footnoteRef/>
      </w:r>
      <w:r>
        <w:t xml:space="preserve"> The exception to this is when there is a partially-owned parent entity (POPE), lower down the group structure. A POPE is a parent entity where at least 20</w:t>
      </w:r>
      <w:r w:rsidR="00ED3D41">
        <w:t>%</w:t>
      </w:r>
      <w:r>
        <w:t>is held by</w:t>
      </w:r>
      <w:r w:rsidRPr="003D3282">
        <w:t xml:space="preserve"> </w:t>
      </w:r>
      <w:r>
        <w:t xml:space="preserve">minority shareholders. The split ownership or POPE rules are explained </w:t>
      </w:r>
      <w:r w:rsidRPr="001D54D9">
        <w:t xml:space="preserve">at paragraphs </w:t>
      </w:r>
      <w:r w:rsidR="00FE44C5" w:rsidRPr="001D54D9">
        <w:t>7.14 to 7.1</w:t>
      </w:r>
      <w:r w:rsidR="009960E1" w:rsidRPr="001D54D9">
        <w:t>7</w:t>
      </w:r>
      <w:r w:rsidRPr="001D54D9">
        <w:t>.</w:t>
      </w:r>
    </w:p>
  </w:footnote>
  <w:footnote w:id="10">
    <w:p w14:paraId="36EC7E3A" w14:textId="0270F29B" w:rsidR="00D748D1" w:rsidRDefault="00D748D1" w:rsidP="00D748D1">
      <w:pPr>
        <w:pStyle w:val="FootnoteText"/>
      </w:pPr>
      <w:r w:rsidRPr="001D54D9">
        <w:rPr>
          <w:rStyle w:val="FootnoteReference"/>
        </w:rPr>
        <w:footnoteRef/>
      </w:r>
      <w:r w:rsidRPr="001D54D9">
        <w:t xml:space="preserve"> ‘Controlling interest’ is defined in the GloBE rules. Broadly, the GloBE definition means an ownership interest such that the parent is required to consolidate the subsidiary’s financials on a line-by-line basis in accordance with an acceptable financial</w:t>
      </w:r>
      <w:r>
        <w:t xml:space="preserve"> accounting standard (or would have been required to, had it prepared consolidated financial statements). It does not mean an ownership interest over 50%.</w:t>
      </w:r>
    </w:p>
  </w:footnote>
  <w:footnote w:id="11">
    <w:p w14:paraId="4AA62037" w14:textId="6E713FC9" w:rsidR="00482916" w:rsidRDefault="00482916" w:rsidP="00482916">
      <w:pPr>
        <w:pStyle w:val="FootnoteText"/>
      </w:pPr>
      <w:r>
        <w:rPr>
          <w:rStyle w:val="FootnoteReference"/>
        </w:rPr>
        <w:footnoteRef/>
      </w:r>
      <w:r>
        <w:t xml:space="preserve"> It </w:t>
      </w:r>
      <w:r w:rsidR="00012FB9">
        <w:t>also ensures</w:t>
      </w:r>
      <w:r>
        <w:t xml:space="preserve"> that any LTCEs in the UPE’s jurisdiction are subject to top-up taxation.</w:t>
      </w:r>
    </w:p>
  </w:footnote>
  <w:footnote w:id="12">
    <w:p w14:paraId="6F63C4BB" w14:textId="679B46BD" w:rsidR="002E499F" w:rsidRDefault="002E499F" w:rsidP="002E499F">
      <w:pPr>
        <w:pStyle w:val="FootnoteText"/>
      </w:pPr>
      <w:r>
        <w:rPr>
          <w:rStyle w:val="FootnoteReference"/>
        </w:rPr>
        <w:footnoteRef/>
      </w:r>
      <w:r>
        <w:t xml:space="preserve"> If a deferred tax asset is recorded at a rate less than 15%, it may be taken into account at 15% if the MNE demonstrates that it was attributable to a loss under the GloBE base</w:t>
      </w:r>
      <w:r w:rsidR="00C028F0">
        <w:t>.</w:t>
      </w:r>
    </w:p>
  </w:footnote>
  <w:footnote w:id="13">
    <w:p w14:paraId="6F6CA391" w14:textId="45FE2A48" w:rsidR="00F30918" w:rsidRDefault="00F30918">
      <w:pPr>
        <w:pStyle w:val="FootnoteText"/>
      </w:pPr>
      <w:r>
        <w:rPr>
          <w:rStyle w:val="FootnoteReference"/>
        </w:rPr>
        <w:footnoteRef/>
      </w:r>
      <w:r>
        <w:t xml:space="preserve"> </w:t>
      </w:r>
      <w:r w:rsidR="00A81222" w:rsidRPr="00A81222">
        <w:t>The definition of a Qualified IIR excludes an IIR where the country provides benefits relating to the IIR. The Commentary says that if a jurisdiction provides a tax credit equivalent to a portion of the tax paid under an IIR to be used against other taxes, that will not be a Qualified IIR. This is explained on the basis that the intention of the rules is to provide a level playing field among all jurisdictions to avoid inversions incentivised by differences in the implementation and application of the GloBE rules. Clearly if the payment of IIR tax by a New Zealand company generates an imputation credit for a New Zealand shareholder, whereas the payment of IIR tax by a non-New Zealand company does not, that will provide some incentive for an inversion, that is, corporate migration to New Zealand (for companies with a substantial New Zealand shareholder base). While other factors might make that unlikely in the context of New Zealand, it might be much more likely for other countries if they were to give a shareholder level credit. Obviously it is not possible for one rule to apply to New Zealand while another applies to a country which is a more likely destination for inversions.</w:t>
      </w:r>
    </w:p>
  </w:footnote>
  <w:footnote w:id="14">
    <w:p w14:paraId="4BCEE179" w14:textId="634D5FD5" w:rsidR="005D027A" w:rsidRDefault="005D027A">
      <w:pPr>
        <w:pStyle w:val="FootnoteText"/>
      </w:pPr>
      <w:r>
        <w:rPr>
          <w:rStyle w:val="FootnoteReference"/>
        </w:rPr>
        <w:footnoteRef/>
      </w:r>
      <w:r>
        <w:t xml:space="preserve"> </w:t>
      </w:r>
      <w:r w:rsidR="00E31F06" w:rsidRPr="00E31F06">
        <w:t xml:space="preserve">There are also timing rules, which spread the capital gain over the preceding </w:t>
      </w:r>
      <w:r w:rsidR="00B1490D">
        <w:t>five</w:t>
      </w:r>
      <w:r w:rsidR="00E31F06" w:rsidRPr="00E31F06">
        <w:t xml:space="preserve"> years, and allow any tax paid over the 15% minimum in those earlier years to be counted. In addition</w:t>
      </w:r>
      <w:r w:rsidR="00E31F06">
        <w:t>,</w:t>
      </w:r>
      <w:r w:rsidR="00E31F06" w:rsidRPr="00E31F06">
        <w:t xml:space="preserve"> capital gains from the sale of &lt;10% shareholding interests are excluded. So we expect that capital gains will not be taxed in most cases</w:t>
      </w:r>
      <w:r w:rsidR="008D2B85">
        <w:t xml:space="preserve">. </w:t>
      </w:r>
    </w:p>
  </w:footnote>
  <w:footnote w:id="15">
    <w:p w14:paraId="40816277" w14:textId="05763ACE" w:rsidR="005C0CF5" w:rsidRDefault="005C0CF5">
      <w:pPr>
        <w:pStyle w:val="FootnoteText"/>
      </w:pPr>
      <w:r>
        <w:rPr>
          <w:rStyle w:val="FootnoteReference"/>
        </w:rPr>
        <w:footnoteRef/>
      </w:r>
      <w:r>
        <w:t xml:space="preserve"> </w:t>
      </w:r>
      <w:r w:rsidR="00284E64">
        <w:t>O</w:t>
      </w:r>
      <w:r w:rsidR="00284E64" w:rsidRPr="00284E64">
        <w:t xml:space="preserve">ECD. </w:t>
      </w:r>
      <w:r w:rsidR="00284E64" w:rsidRPr="00284E64">
        <w:rPr>
          <w:rStyle w:val="Emphasis"/>
        </w:rPr>
        <w:t>Overview of the key operating provisions of the GloBE rules</w:t>
      </w:r>
      <w:r w:rsidR="00284E64" w:rsidRPr="00284E64">
        <w:t xml:space="preserve">. </w:t>
      </w:r>
      <w:hyperlink r:id="rId3" w:history="1">
        <w:r w:rsidR="00284E64" w:rsidRPr="00E95B58">
          <w:rPr>
            <w:rStyle w:val="Hyperlink"/>
          </w:rPr>
          <w:t>https://www.oecd.org/tax/beps/pillar-two-GloBE-rules-fact-sheets.pdf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C962" w14:textId="77777777" w:rsidR="00C92FD7" w:rsidRDefault="00C92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6914" w14:textId="77777777" w:rsidR="00C92FD7" w:rsidRDefault="00C92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80DA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A3639C8"/>
    <w:multiLevelType w:val="hybridMultilevel"/>
    <w:tmpl w:val="E876B522"/>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4" w15:restartNumberingAfterBreak="0">
    <w:nsid w:val="2D677EEE"/>
    <w:multiLevelType w:val="hybridMultilevel"/>
    <w:tmpl w:val="72A6AA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E2D1EF9"/>
    <w:multiLevelType w:val="hybridMultilevel"/>
    <w:tmpl w:val="F6DC0394"/>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6"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4BB017B"/>
    <w:multiLevelType w:val="multilevel"/>
    <w:tmpl w:val="019AEDE4"/>
    <w:lvl w:ilvl="0">
      <w:start w:val="1"/>
      <w:numFmt w:val="decimal"/>
      <w:pStyle w:val="Heading1"/>
      <w:suff w:val="nothing"/>
      <w:lvlText w:val="CHAPTER %1"/>
      <w:lvlJc w:val="left"/>
      <w:pPr>
        <w:ind w:left="0" w:firstLine="0"/>
      </w:pPr>
      <w:rPr>
        <w:rFonts w:ascii="Verdana" w:hAnsi="Verdana" w:hint="default"/>
        <w:b/>
        <w:i w:val="0"/>
        <w:caps w:val="0"/>
        <w:strike w:val="0"/>
        <w:dstrike w:val="0"/>
        <w:vanish w:val="0"/>
        <w:sz w:val="24"/>
        <w:vertAlign w:val="baseline"/>
      </w:rPr>
    </w:lvl>
    <w:lvl w:ilvl="1">
      <w:start w:val="1"/>
      <w:numFmt w:val="decimal"/>
      <w:pStyle w:val="NumberedParagraph"/>
      <w:lvlText w:val="%1.%2"/>
      <w:lvlJc w:val="left"/>
      <w:pPr>
        <w:tabs>
          <w:tab w:val="num" w:pos="851"/>
        </w:tabs>
        <w:ind w:left="851" w:hanging="851"/>
      </w:pPr>
      <w:rPr>
        <w:rFonts w:ascii="Verdana" w:hAnsi="Verdana" w:hint="default"/>
        <w:b w:val="0"/>
        <w:i w:val="0"/>
        <w:caps w:val="0"/>
        <w:strike w:val="0"/>
        <w:dstrike w:val="0"/>
        <w:vanish w:val="0"/>
        <w:sz w:val="20"/>
        <w:vertAlign w:val="baseline"/>
      </w:rPr>
    </w:lvl>
    <w:lvl w:ilvl="2">
      <w:start w:val="1"/>
      <w:numFmt w:val="bullet"/>
      <w:pStyle w:val="NumberedParagraph-BulletL1"/>
      <w:lvlText w:val=""/>
      <w:lvlJc w:val="left"/>
      <w:pPr>
        <w:tabs>
          <w:tab w:val="num" w:pos="1418"/>
        </w:tabs>
        <w:ind w:left="1418" w:hanging="567"/>
      </w:pPr>
      <w:rPr>
        <w:rFonts w:ascii="Symbol" w:hAnsi="Symbol" w:hint="default"/>
        <w:b w:val="0"/>
        <w:i w:val="0"/>
        <w:caps w:val="0"/>
        <w:strike w:val="0"/>
        <w:dstrike w:val="0"/>
        <w:sz w:val="20"/>
        <w:vertAlign w:val="baseline"/>
      </w:rPr>
    </w:lvl>
    <w:lvl w:ilvl="3">
      <w:start w:val="1"/>
      <w:numFmt w:val="bullet"/>
      <w:pStyle w:val="NumberedParagraph-BulletL2"/>
      <w:lvlText w:val="–"/>
      <w:lvlJc w:val="left"/>
      <w:pPr>
        <w:tabs>
          <w:tab w:val="num" w:pos="1985"/>
        </w:tabs>
        <w:ind w:left="1985" w:hanging="567"/>
      </w:pPr>
      <w:rPr>
        <w:rFonts w:ascii="Verdana" w:hAnsi="Verdana" w:hint="default"/>
        <w:sz w:val="20"/>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8" w15:restartNumberingAfterBreak="0">
    <w:nsid w:val="49296A6D"/>
    <w:multiLevelType w:val="hybridMultilevel"/>
    <w:tmpl w:val="2BDCDCC4"/>
    <w:lvl w:ilvl="0" w:tplc="E78A3D20">
      <w:start w:val="1"/>
      <w:numFmt w:val="bullet"/>
      <w:pStyle w:val="SummaryandQFS-BulletL1"/>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9" w15:restartNumberingAfterBreak="0">
    <w:nsid w:val="579064A7"/>
    <w:multiLevelType w:val="multilevel"/>
    <w:tmpl w:val="6FEADB54"/>
    <w:lvl w:ilvl="0">
      <w:start w:val="1"/>
      <w:numFmt w:val="decimal"/>
      <w:pStyle w:val="ListParagraph"/>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204755D"/>
    <w:multiLevelType w:val="multilevel"/>
    <w:tmpl w:val="D8A86770"/>
    <w:styleLink w:val="Numbered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DA665C"/>
    <w:multiLevelType w:val="multilevel"/>
    <w:tmpl w:val="1116F786"/>
    <w:lvl w:ilvl="0">
      <w:start w:val="1"/>
      <w:numFmt w:val="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2" w15:restartNumberingAfterBreak="0">
    <w:nsid w:val="73B52591"/>
    <w:multiLevelType w:val="hybridMultilevel"/>
    <w:tmpl w:val="CB308F10"/>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3" w15:restartNumberingAfterBreak="0">
    <w:nsid w:val="79F46A38"/>
    <w:multiLevelType w:val="multilevel"/>
    <w:tmpl w:val="8692FCF8"/>
    <w:lvl w:ilvl="0">
      <w:start w:val="1"/>
      <w:numFmt w:val="decimal"/>
      <w:pStyle w:val="NumberedParagraph-NumberedLists"/>
      <w:lvlText w:val="%1."/>
      <w:lvlJc w:val="left"/>
      <w:pPr>
        <w:tabs>
          <w:tab w:val="num" w:pos="1418"/>
        </w:tabs>
        <w:ind w:left="1418" w:hanging="567"/>
      </w:pPr>
      <w:rPr>
        <w:rFonts w:ascii="Verdana" w:hAnsi="Verdana" w:hint="default"/>
        <w:sz w:val="20"/>
      </w:rPr>
    </w:lvl>
    <w:lvl w:ilvl="1">
      <w:start w:val="1"/>
      <w:numFmt w:val="lowerLetter"/>
      <w:lvlText w:val="%2."/>
      <w:lvlJc w:val="left"/>
      <w:pPr>
        <w:tabs>
          <w:tab w:val="num" w:pos="1985"/>
        </w:tabs>
        <w:ind w:left="1985" w:hanging="567"/>
      </w:pPr>
      <w:rPr>
        <w:rFonts w:ascii="Verdana" w:hAnsi="Verdana" w:hint="default"/>
        <w:sz w:val="20"/>
      </w:rPr>
    </w:lvl>
    <w:lvl w:ilvl="2">
      <w:start w:val="1"/>
      <w:numFmt w:val="lowerRoman"/>
      <w:lvlText w:val="%3."/>
      <w:lvlJc w:val="right"/>
      <w:pPr>
        <w:tabs>
          <w:tab w:val="num" w:pos="2552"/>
        </w:tabs>
        <w:ind w:left="2552" w:hanging="426"/>
      </w:pPr>
      <w:rPr>
        <w:rFonts w:ascii="Verdana" w:hAnsi="Verdana" w:hint="default"/>
        <w:sz w:val="20"/>
      </w:rPr>
    </w:lvl>
    <w:lvl w:ilvl="3">
      <w:start w:val="1"/>
      <w:numFmt w:val="decimal"/>
      <w:lvlText w:val="%4."/>
      <w:lvlJc w:val="left"/>
      <w:pPr>
        <w:tabs>
          <w:tab w:val="num" w:pos="2977"/>
        </w:tabs>
        <w:ind w:left="3119" w:hanging="567"/>
      </w:pPr>
      <w:rPr>
        <w:rFonts w:ascii="Verdana" w:hAnsi="Verdana" w:hint="default"/>
        <w:sz w:val="20"/>
      </w:rPr>
    </w:lvl>
    <w:lvl w:ilvl="4">
      <w:start w:val="1"/>
      <w:numFmt w:val="lowerLetter"/>
      <w:lvlText w:val="%5."/>
      <w:lvlJc w:val="left"/>
      <w:pPr>
        <w:tabs>
          <w:tab w:val="num" w:pos="3544"/>
        </w:tabs>
        <w:ind w:left="3686" w:hanging="567"/>
      </w:pPr>
      <w:rPr>
        <w:rFonts w:hint="default"/>
      </w:rPr>
    </w:lvl>
    <w:lvl w:ilvl="5">
      <w:start w:val="1"/>
      <w:numFmt w:val="lowerRoman"/>
      <w:lvlText w:val="%6."/>
      <w:lvlJc w:val="right"/>
      <w:pPr>
        <w:tabs>
          <w:tab w:val="num" w:pos="4111"/>
        </w:tabs>
        <w:ind w:left="4253" w:hanging="567"/>
      </w:pPr>
      <w:rPr>
        <w:rFonts w:hint="default"/>
      </w:rPr>
    </w:lvl>
    <w:lvl w:ilvl="6">
      <w:start w:val="1"/>
      <w:numFmt w:val="decimal"/>
      <w:lvlText w:val="%7."/>
      <w:lvlJc w:val="left"/>
      <w:pPr>
        <w:tabs>
          <w:tab w:val="num" w:pos="4678"/>
        </w:tabs>
        <w:ind w:left="4820" w:hanging="567"/>
      </w:pPr>
      <w:rPr>
        <w:rFonts w:hint="default"/>
      </w:rPr>
    </w:lvl>
    <w:lvl w:ilvl="7">
      <w:start w:val="1"/>
      <w:numFmt w:val="lowerLetter"/>
      <w:lvlText w:val="%8."/>
      <w:lvlJc w:val="left"/>
      <w:pPr>
        <w:tabs>
          <w:tab w:val="num" w:pos="5245"/>
        </w:tabs>
        <w:ind w:left="5387" w:hanging="567"/>
      </w:pPr>
      <w:rPr>
        <w:rFonts w:hint="default"/>
      </w:rPr>
    </w:lvl>
    <w:lvl w:ilvl="8">
      <w:start w:val="1"/>
      <w:numFmt w:val="lowerRoman"/>
      <w:lvlText w:val="%9."/>
      <w:lvlJc w:val="right"/>
      <w:pPr>
        <w:tabs>
          <w:tab w:val="num" w:pos="5812"/>
        </w:tabs>
        <w:ind w:left="5954" w:hanging="567"/>
      </w:pPr>
      <w:rPr>
        <w:rFonts w:hint="default"/>
      </w:rPr>
    </w:lvl>
  </w:abstractNum>
  <w:abstractNum w:abstractNumId="14" w15:restartNumberingAfterBreak="0">
    <w:nsid w:val="7E460C25"/>
    <w:multiLevelType w:val="multilevel"/>
    <w:tmpl w:val="BF6C160C"/>
    <w:lvl w:ilvl="0">
      <w:start w:val="1"/>
      <w:numFmt w:val="decimal"/>
      <w:suff w:val="space"/>
      <w:lvlText w:val="Chapter %1"/>
      <w:lvlJc w:val="left"/>
      <w:pPr>
        <w:ind w:left="0" w:firstLine="0"/>
      </w:pPr>
    </w:lvl>
    <w:lvl w:ilvl="1">
      <w:start w:val="1"/>
      <w:numFmt w:val="none"/>
      <w:pStyle w:val="Heading1-Part"/>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11"/>
  </w:num>
  <w:num w:numId="2">
    <w:abstractNumId w:val="1"/>
  </w:num>
  <w:num w:numId="3">
    <w:abstractNumId w:val="2"/>
  </w:num>
  <w:num w:numId="4">
    <w:abstractNumId w:val="6"/>
  </w:num>
  <w:num w:numId="5">
    <w:abstractNumId w:val="14"/>
  </w:num>
  <w:num w:numId="6">
    <w:abstractNumId w:val="7"/>
  </w:num>
  <w:num w:numId="7">
    <w:abstractNumId w:val="0"/>
  </w:num>
  <w:num w:numId="8">
    <w:abstractNumId w:val="8"/>
  </w:num>
  <w:num w:numId="9">
    <w:abstractNumId w:val="10"/>
  </w:num>
  <w:num w:numId="10">
    <w:abstractNumId w:val="9"/>
  </w:num>
  <w:num w:numId="11">
    <w:abstractNumId w:val="13"/>
  </w:num>
  <w:num w:numId="12">
    <w:abstractNumId w:val="5"/>
  </w:num>
  <w:num w:numId="13">
    <w:abstractNumId w:val="4"/>
  </w:num>
  <w:num w:numId="14">
    <w:abstractNumId w:val="3"/>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AF"/>
    <w:rsid w:val="0000036F"/>
    <w:rsid w:val="00001329"/>
    <w:rsid w:val="000013A2"/>
    <w:rsid w:val="00001B6C"/>
    <w:rsid w:val="00001C5E"/>
    <w:rsid w:val="00001E07"/>
    <w:rsid w:val="00002258"/>
    <w:rsid w:val="000026EA"/>
    <w:rsid w:val="0000308C"/>
    <w:rsid w:val="0000334F"/>
    <w:rsid w:val="00003699"/>
    <w:rsid w:val="000036EF"/>
    <w:rsid w:val="00003A55"/>
    <w:rsid w:val="000044BB"/>
    <w:rsid w:val="000044FD"/>
    <w:rsid w:val="000046A2"/>
    <w:rsid w:val="00004781"/>
    <w:rsid w:val="000049E6"/>
    <w:rsid w:val="00004AFD"/>
    <w:rsid w:val="00004BA1"/>
    <w:rsid w:val="00004BA5"/>
    <w:rsid w:val="00004E75"/>
    <w:rsid w:val="00004F94"/>
    <w:rsid w:val="00005191"/>
    <w:rsid w:val="000059D9"/>
    <w:rsid w:val="00005B50"/>
    <w:rsid w:val="00005EDC"/>
    <w:rsid w:val="00005F77"/>
    <w:rsid w:val="000060A9"/>
    <w:rsid w:val="00006361"/>
    <w:rsid w:val="00006884"/>
    <w:rsid w:val="000069F3"/>
    <w:rsid w:val="00006CE7"/>
    <w:rsid w:val="0000717F"/>
    <w:rsid w:val="00007546"/>
    <w:rsid w:val="00007E8C"/>
    <w:rsid w:val="0001079E"/>
    <w:rsid w:val="00010E7A"/>
    <w:rsid w:val="00010FE1"/>
    <w:rsid w:val="0001117C"/>
    <w:rsid w:val="000113CB"/>
    <w:rsid w:val="000113DE"/>
    <w:rsid w:val="00011787"/>
    <w:rsid w:val="00011802"/>
    <w:rsid w:val="00011D6F"/>
    <w:rsid w:val="00011FC2"/>
    <w:rsid w:val="00012FB9"/>
    <w:rsid w:val="0001366C"/>
    <w:rsid w:val="00013D54"/>
    <w:rsid w:val="0001458F"/>
    <w:rsid w:val="0001465A"/>
    <w:rsid w:val="00014889"/>
    <w:rsid w:val="00014DB8"/>
    <w:rsid w:val="00014E61"/>
    <w:rsid w:val="0001592B"/>
    <w:rsid w:val="00015A6D"/>
    <w:rsid w:val="00015AA0"/>
    <w:rsid w:val="00015C09"/>
    <w:rsid w:val="00015E21"/>
    <w:rsid w:val="0001739D"/>
    <w:rsid w:val="00020AD6"/>
    <w:rsid w:val="00021148"/>
    <w:rsid w:val="00021385"/>
    <w:rsid w:val="00022278"/>
    <w:rsid w:val="00022BC6"/>
    <w:rsid w:val="00022BE2"/>
    <w:rsid w:val="00022D03"/>
    <w:rsid w:val="000234BB"/>
    <w:rsid w:val="00023590"/>
    <w:rsid w:val="000237C4"/>
    <w:rsid w:val="0002396F"/>
    <w:rsid w:val="00023DE1"/>
    <w:rsid w:val="0002404E"/>
    <w:rsid w:val="0002424F"/>
    <w:rsid w:val="0002429B"/>
    <w:rsid w:val="00024950"/>
    <w:rsid w:val="0002512C"/>
    <w:rsid w:val="00025C7A"/>
    <w:rsid w:val="00025F55"/>
    <w:rsid w:val="00026079"/>
    <w:rsid w:val="00026174"/>
    <w:rsid w:val="000276AE"/>
    <w:rsid w:val="00027D0A"/>
    <w:rsid w:val="00027FAC"/>
    <w:rsid w:val="0003091F"/>
    <w:rsid w:val="00030FD1"/>
    <w:rsid w:val="000315D1"/>
    <w:rsid w:val="00031B42"/>
    <w:rsid w:val="00031F4F"/>
    <w:rsid w:val="0003263D"/>
    <w:rsid w:val="00032737"/>
    <w:rsid w:val="00032845"/>
    <w:rsid w:val="000328DD"/>
    <w:rsid w:val="00034138"/>
    <w:rsid w:val="00034492"/>
    <w:rsid w:val="00034AD5"/>
    <w:rsid w:val="00034D14"/>
    <w:rsid w:val="0003502D"/>
    <w:rsid w:val="000351BE"/>
    <w:rsid w:val="00035BE5"/>
    <w:rsid w:val="00035CF7"/>
    <w:rsid w:val="000360ED"/>
    <w:rsid w:val="00036102"/>
    <w:rsid w:val="00036553"/>
    <w:rsid w:val="00036FE3"/>
    <w:rsid w:val="0003706A"/>
    <w:rsid w:val="0003731B"/>
    <w:rsid w:val="00037720"/>
    <w:rsid w:val="00037730"/>
    <w:rsid w:val="00040065"/>
    <w:rsid w:val="000404DF"/>
    <w:rsid w:val="000405D6"/>
    <w:rsid w:val="00040BBA"/>
    <w:rsid w:val="00041764"/>
    <w:rsid w:val="000417E8"/>
    <w:rsid w:val="00041BD0"/>
    <w:rsid w:val="00041EA9"/>
    <w:rsid w:val="0004328B"/>
    <w:rsid w:val="00043603"/>
    <w:rsid w:val="000438BC"/>
    <w:rsid w:val="000438C8"/>
    <w:rsid w:val="000439E3"/>
    <w:rsid w:val="00043A32"/>
    <w:rsid w:val="00044218"/>
    <w:rsid w:val="000452D0"/>
    <w:rsid w:val="000454CB"/>
    <w:rsid w:val="000458C3"/>
    <w:rsid w:val="000458E1"/>
    <w:rsid w:val="000459BB"/>
    <w:rsid w:val="00045BF0"/>
    <w:rsid w:val="00045F84"/>
    <w:rsid w:val="00046131"/>
    <w:rsid w:val="00046739"/>
    <w:rsid w:val="000468F2"/>
    <w:rsid w:val="00046901"/>
    <w:rsid w:val="00046A4F"/>
    <w:rsid w:val="00046E99"/>
    <w:rsid w:val="00046EFC"/>
    <w:rsid w:val="0004714D"/>
    <w:rsid w:val="0004765C"/>
    <w:rsid w:val="00047DD6"/>
    <w:rsid w:val="000504E7"/>
    <w:rsid w:val="00050673"/>
    <w:rsid w:val="0005093A"/>
    <w:rsid w:val="00050BFC"/>
    <w:rsid w:val="00051001"/>
    <w:rsid w:val="0005115B"/>
    <w:rsid w:val="00051392"/>
    <w:rsid w:val="000513C2"/>
    <w:rsid w:val="00051546"/>
    <w:rsid w:val="0005157F"/>
    <w:rsid w:val="00051799"/>
    <w:rsid w:val="000520DA"/>
    <w:rsid w:val="00053934"/>
    <w:rsid w:val="0005394D"/>
    <w:rsid w:val="00054015"/>
    <w:rsid w:val="000541BE"/>
    <w:rsid w:val="00054519"/>
    <w:rsid w:val="00054522"/>
    <w:rsid w:val="00054B88"/>
    <w:rsid w:val="000557A7"/>
    <w:rsid w:val="0005587F"/>
    <w:rsid w:val="00055B13"/>
    <w:rsid w:val="00055C78"/>
    <w:rsid w:val="00056395"/>
    <w:rsid w:val="0005656D"/>
    <w:rsid w:val="0005659B"/>
    <w:rsid w:val="00056762"/>
    <w:rsid w:val="0005691A"/>
    <w:rsid w:val="00056AEF"/>
    <w:rsid w:val="00056F7E"/>
    <w:rsid w:val="00057098"/>
    <w:rsid w:val="000578B9"/>
    <w:rsid w:val="00057945"/>
    <w:rsid w:val="00057CCF"/>
    <w:rsid w:val="000600AD"/>
    <w:rsid w:val="000602BC"/>
    <w:rsid w:val="00060989"/>
    <w:rsid w:val="000613B5"/>
    <w:rsid w:val="00061610"/>
    <w:rsid w:val="0006173C"/>
    <w:rsid w:val="00061E56"/>
    <w:rsid w:val="00062386"/>
    <w:rsid w:val="00062CA2"/>
    <w:rsid w:val="00062F7F"/>
    <w:rsid w:val="00063111"/>
    <w:rsid w:val="000647B2"/>
    <w:rsid w:val="000649DF"/>
    <w:rsid w:val="00064C2D"/>
    <w:rsid w:val="00064CDE"/>
    <w:rsid w:val="00065171"/>
    <w:rsid w:val="0006524A"/>
    <w:rsid w:val="000652AC"/>
    <w:rsid w:val="00065351"/>
    <w:rsid w:val="000656AE"/>
    <w:rsid w:val="00065B81"/>
    <w:rsid w:val="00066060"/>
    <w:rsid w:val="000660E4"/>
    <w:rsid w:val="0006622B"/>
    <w:rsid w:val="000663F1"/>
    <w:rsid w:val="0006651B"/>
    <w:rsid w:val="000669BF"/>
    <w:rsid w:val="00066FC2"/>
    <w:rsid w:val="00067171"/>
    <w:rsid w:val="00067448"/>
    <w:rsid w:val="00067B00"/>
    <w:rsid w:val="00067C9F"/>
    <w:rsid w:val="00067EFE"/>
    <w:rsid w:val="00070086"/>
    <w:rsid w:val="000709B6"/>
    <w:rsid w:val="00070B3C"/>
    <w:rsid w:val="00070FBF"/>
    <w:rsid w:val="000716BB"/>
    <w:rsid w:val="00071905"/>
    <w:rsid w:val="00071B2E"/>
    <w:rsid w:val="00071BFF"/>
    <w:rsid w:val="00071CAC"/>
    <w:rsid w:val="00072170"/>
    <w:rsid w:val="0007218C"/>
    <w:rsid w:val="00072474"/>
    <w:rsid w:val="00072567"/>
    <w:rsid w:val="0007290C"/>
    <w:rsid w:val="00072AC8"/>
    <w:rsid w:val="00072E52"/>
    <w:rsid w:val="00072EC2"/>
    <w:rsid w:val="00073FC5"/>
    <w:rsid w:val="0007412A"/>
    <w:rsid w:val="000741A8"/>
    <w:rsid w:val="0007462F"/>
    <w:rsid w:val="00074BC7"/>
    <w:rsid w:val="00074CCC"/>
    <w:rsid w:val="00074E27"/>
    <w:rsid w:val="00075163"/>
    <w:rsid w:val="00075439"/>
    <w:rsid w:val="00075573"/>
    <w:rsid w:val="0007560B"/>
    <w:rsid w:val="00075D76"/>
    <w:rsid w:val="00075E9F"/>
    <w:rsid w:val="000763E9"/>
    <w:rsid w:val="000766F2"/>
    <w:rsid w:val="000769E3"/>
    <w:rsid w:val="00076A1C"/>
    <w:rsid w:val="00077134"/>
    <w:rsid w:val="000773EC"/>
    <w:rsid w:val="000774F1"/>
    <w:rsid w:val="00077D7A"/>
    <w:rsid w:val="000800FE"/>
    <w:rsid w:val="00081639"/>
    <w:rsid w:val="000816BE"/>
    <w:rsid w:val="0008173E"/>
    <w:rsid w:val="00081949"/>
    <w:rsid w:val="00081FA3"/>
    <w:rsid w:val="0008231F"/>
    <w:rsid w:val="0008250A"/>
    <w:rsid w:val="00082869"/>
    <w:rsid w:val="00082D16"/>
    <w:rsid w:val="0008373C"/>
    <w:rsid w:val="000839F4"/>
    <w:rsid w:val="00083ECF"/>
    <w:rsid w:val="00083F7A"/>
    <w:rsid w:val="000842B5"/>
    <w:rsid w:val="00084353"/>
    <w:rsid w:val="000843A9"/>
    <w:rsid w:val="000845F6"/>
    <w:rsid w:val="0008495F"/>
    <w:rsid w:val="00084FE3"/>
    <w:rsid w:val="00085117"/>
    <w:rsid w:val="000851AB"/>
    <w:rsid w:val="00085414"/>
    <w:rsid w:val="00085A88"/>
    <w:rsid w:val="00085B8B"/>
    <w:rsid w:val="00085DEC"/>
    <w:rsid w:val="00085E0C"/>
    <w:rsid w:val="00086444"/>
    <w:rsid w:val="0008652E"/>
    <w:rsid w:val="00086BF5"/>
    <w:rsid w:val="00086D62"/>
    <w:rsid w:val="00086F8B"/>
    <w:rsid w:val="00087038"/>
    <w:rsid w:val="000877B1"/>
    <w:rsid w:val="0008786B"/>
    <w:rsid w:val="00087CF8"/>
    <w:rsid w:val="00090BAF"/>
    <w:rsid w:val="00091715"/>
    <w:rsid w:val="00091CB5"/>
    <w:rsid w:val="0009250A"/>
    <w:rsid w:val="00092F8E"/>
    <w:rsid w:val="00093150"/>
    <w:rsid w:val="00093171"/>
    <w:rsid w:val="00093990"/>
    <w:rsid w:val="00093EF0"/>
    <w:rsid w:val="00093F99"/>
    <w:rsid w:val="0009415B"/>
    <w:rsid w:val="000947B4"/>
    <w:rsid w:val="00094A1B"/>
    <w:rsid w:val="00094C3D"/>
    <w:rsid w:val="000950A3"/>
    <w:rsid w:val="00095170"/>
    <w:rsid w:val="00095506"/>
    <w:rsid w:val="00095708"/>
    <w:rsid w:val="00095D67"/>
    <w:rsid w:val="00096281"/>
    <w:rsid w:val="000962EE"/>
    <w:rsid w:val="00096A9C"/>
    <w:rsid w:val="00096B0E"/>
    <w:rsid w:val="00097387"/>
    <w:rsid w:val="0009750B"/>
    <w:rsid w:val="00097807"/>
    <w:rsid w:val="0009795E"/>
    <w:rsid w:val="0009797D"/>
    <w:rsid w:val="00097B48"/>
    <w:rsid w:val="00097C8E"/>
    <w:rsid w:val="000A041F"/>
    <w:rsid w:val="000A0E3B"/>
    <w:rsid w:val="000A106F"/>
    <w:rsid w:val="000A1829"/>
    <w:rsid w:val="000A1920"/>
    <w:rsid w:val="000A1C9B"/>
    <w:rsid w:val="000A2D1F"/>
    <w:rsid w:val="000A2DCB"/>
    <w:rsid w:val="000A30BC"/>
    <w:rsid w:val="000A3C76"/>
    <w:rsid w:val="000A3DC4"/>
    <w:rsid w:val="000A41F6"/>
    <w:rsid w:val="000A4678"/>
    <w:rsid w:val="000A5225"/>
    <w:rsid w:val="000A5298"/>
    <w:rsid w:val="000A597A"/>
    <w:rsid w:val="000A59E4"/>
    <w:rsid w:val="000A605F"/>
    <w:rsid w:val="000A612C"/>
    <w:rsid w:val="000A6CE7"/>
    <w:rsid w:val="000A6E3B"/>
    <w:rsid w:val="000A70E2"/>
    <w:rsid w:val="000A782E"/>
    <w:rsid w:val="000A7C3C"/>
    <w:rsid w:val="000A7F1B"/>
    <w:rsid w:val="000B0145"/>
    <w:rsid w:val="000B03A6"/>
    <w:rsid w:val="000B0BEA"/>
    <w:rsid w:val="000B16C2"/>
    <w:rsid w:val="000B18A6"/>
    <w:rsid w:val="000B18F9"/>
    <w:rsid w:val="000B1DAC"/>
    <w:rsid w:val="000B20FE"/>
    <w:rsid w:val="000B2588"/>
    <w:rsid w:val="000B25CD"/>
    <w:rsid w:val="000B27D4"/>
    <w:rsid w:val="000B293F"/>
    <w:rsid w:val="000B3203"/>
    <w:rsid w:val="000B371D"/>
    <w:rsid w:val="000B3BBC"/>
    <w:rsid w:val="000B46BD"/>
    <w:rsid w:val="000B47D7"/>
    <w:rsid w:val="000B4877"/>
    <w:rsid w:val="000B4A88"/>
    <w:rsid w:val="000B4DE9"/>
    <w:rsid w:val="000B4F64"/>
    <w:rsid w:val="000B50CB"/>
    <w:rsid w:val="000B560B"/>
    <w:rsid w:val="000B5797"/>
    <w:rsid w:val="000B5A59"/>
    <w:rsid w:val="000B5A6C"/>
    <w:rsid w:val="000B5C10"/>
    <w:rsid w:val="000B5DFA"/>
    <w:rsid w:val="000B66C2"/>
    <w:rsid w:val="000B6E4D"/>
    <w:rsid w:val="000B72A6"/>
    <w:rsid w:val="000B74EB"/>
    <w:rsid w:val="000B76B1"/>
    <w:rsid w:val="000B7F20"/>
    <w:rsid w:val="000C0347"/>
    <w:rsid w:val="000C0841"/>
    <w:rsid w:val="000C0DB5"/>
    <w:rsid w:val="000C1641"/>
    <w:rsid w:val="000C1DFE"/>
    <w:rsid w:val="000C2689"/>
    <w:rsid w:val="000C2868"/>
    <w:rsid w:val="000C33F9"/>
    <w:rsid w:val="000C34F7"/>
    <w:rsid w:val="000C3BE5"/>
    <w:rsid w:val="000C3F3C"/>
    <w:rsid w:val="000C47F8"/>
    <w:rsid w:val="000C4A92"/>
    <w:rsid w:val="000C5037"/>
    <w:rsid w:val="000C533C"/>
    <w:rsid w:val="000C5A1A"/>
    <w:rsid w:val="000C5C74"/>
    <w:rsid w:val="000C5D8B"/>
    <w:rsid w:val="000C63C5"/>
    <w:rsid w:val="000C669C"/>
    <w:rsid w:val="000C6AF2"/>
    <w:rsid w:val="000C6CC3"/>
    <w:rsid w:val="000C7383"/>
    <w:rsid w:val="000C73B5"/>
    <w:rsid w:val="000C796A"/>
    <w:rsid w:val="000C7B56"/>
    <w:rsid w:val="000C7D0F"/>
    <w:rsid w:val="000C7E60"/>
    <w:rsid w:val="000D0234"/>
    <w:rsid w:val="000D026F"/>
    <w:rsid w:val="000D07F9"/>
    <w:rsid w:val="000D0C00"/>
    <w:rsid w:val="000D0C8C"/>
    <w:rsid w:val="000D0CE8"/>
    <w:rsid w:val="000D0D03"/>
    <w:rsid w:val="000D1112"/>
    <w:rsid w:val="000D158A"/>
    <w:rsid w:val="000D17C4"/>
    <w:rsid w:val="000D1CDB"/>
    <w:rsid w:val="000D23D8"/>
    <w:rsid w:val="000D2734"/>
    <w:rsid w:val="000D2B84"/>
    <w:rsid w:val="000D2EC3"/>
    <w:rsid w:val="000D3DDE"/>
    <w:rsid w:val="000D3EB0"/>
    <w:rsid w:val="000D4A0E"/>
    <w:rsid w:val="000D4ADB"/>
    <w:rsid w:val="000D4D15"/>
    <w:rsid w:val="000D4D53"/>
    <w:rsid w:val="000D4F97"/>
    <w:rsid w:val="000D5DEF"/>
    <w:rsid w:val="000D5FEC"/>
    <w:rsid w:val="000D60AE"/>
    <w:rsid w:val="000D668D"/>
    <w:rsid w:val="000D6A89"/>
    <w:rsid w:val="000D7159"/>
    <w:rsid w:val="000D77B5"/>
    <w:rsid w:val="000D7F6B"/>
    <w:rsid w:val="000E00F0"/>
    <w:rsid w:val="000E020E"/>
    <w:rsid w:val="000E03C4"/>
    <w:rsid w:val="000E064A"/>
    <w:rsid w:val="000E0A9B"/>
    <w:rsid w:val="000E0BE1"/>
    <w:rsid w:val="000E0F0B"/>
    <w:rsid w:val="000E111B"/>
    <w:rsid w:val="000E153F"/>
    <w:rsid w:val="000E17D5"/>
    <w:rsid w:val="000E18A3"/>
    <w:rsid w:val="000E18D6"/>
    <w:rsid w:val="000E23B7"/>
    <w:rsid w:val="000E2889"/>
    <w:rsid w:val="000E2C67"/>
    <w:rsid w:val="000E2EFF"/>
    <w:rsid w:val="000E31A9"/>
    <w:rsid w:val="000E3F71"/>
    <w:rsid w:val="000E4406"/>
    <w:rsid w:val="000E47EE"/>
    <w:rsid w:val="000E49C0"/>
    <w:rsid w:val="000E5A31"/>
    <w:rsid w:val="000E5E64"/>
    <w:rsid w:val="000E608E"/>
    <w:rsid w:val="000E612A"/>
    <w:rsid w:val="000E641D"/>
    <w:rsid w:val="000E6423"/>
    <w:rsid w:val="000E68ED"/>
    <w:rsid w:val="000E708E"/>
    <w:rsid w:val="000E70F6"/>
    <w:rsid w:val="000E7145"/>
    <w:rsid w:val="000E7730"/>
    <w:rsid w:val="000E77C5"/>
    <w:rsid w:val="000E7C14"/>
    <w:rsid w:val="000F0115"/>
    <w:rsid w:val="000F0491"/>
    <w:rsid w:val="000F06C3"/>
    <w:rsid w:val="000F0EED"/>
    <w:rsid w:val="000F178A"/>
    <w:rsid w:val="000F21A9"/>
    <w:rsid w:val="000F2861"/>
    <w:rsid w:val="000F3301"/>
    <w:rsid w:val="000F3865"/>
    <w:rsid w:val="000F4781"/>
    <w:rsid w:val="000F47C7"/>
    <w:rsid w:val="000F4D82"/>
    <w:rsid w:val="000F4E39"/>
    <w:rsid w:val="000F5146"/>
    <w:rsid w:val="000F538F"/>
    <w:rsid w:val="000F547D"/>
    <w:rsid w:val="000F58FF"/>
    <w:rsid w:val="000F59E3"/>
    <w:rsid w:val="000F613E"/>
    <w:rsid w:val="000F625C"/>
    <w:rsid w:val="000F65D7"/>
    <w:rsid w:val="000F707E"/>
    <w:rsid w:val="000F7368"/>
    <w:rsid w:val="00100AEC"/>
    <w:rsid w:val="00101090"/>
    <w:rsid w:val="0010132E"/>
    <w:rsid w:val="00101434"/>
    <w:rsid w:val="00101924"/>
    <w:rsid w:val="00101B4C"/>
    <w:rsid w:val="00101D3B"/>
    <w:rsid w:val="00101D62"/>
    <w:rsid w:val="00101DCE"/>
    <w:rsid w:val="00101E25"/>
    <w:rsid w:val="001021F8"/>
    <w:rsid w:val="0010366E"/>
    <w:rsid w:val="001037AC"/>
    <w:rsid w:val="00103C55"/>
    <w:rsid w:val="00103D31"/>
    <w:rsid w:val="00104060"/>
    <w:rsid w:val="00104935"/>
    <w:rsid w:val="00104F1A"/>
    <w:rsid w:val="001051DF"/>
    <w:rsid w:val="00105601"/>
    <w:rsid w:val="0010578A"/>
    <w:rsid w:val="00105995"/>
    <w:rsid w:val="00105D25"/>
    <w:rsid w:val="001060D5"/>
    <w:rsid w:val="001068FB"/>
    <w:rsid w:val="00106CD3"/>
    <w:rsid w:val="00107838"/>
    <w:rsid w:val="00107F47"/>
    <w:rsid w:val="001104D2"/>
    <w:rsid w:val="00110661"/>
    <w:rsid w:val="001106D5"/>
    <w:rsid w:val="00110DEB"/>
    <w:rsid w:val="00111421"/>
    <w:rsid w:val="001125BF"/>
    <w:rsid w:val="00113459"/>
    <w:rsid w:val="001137DE"/>
    <w:rsid w:val="00113877"/>
    <w:rsid w:val="00114143"/>
    <w:rsid w:val="0011441A"/>
    <w:rsid w:val="001144CE"/>
    <w:rsid w:val="00114AD8"/>
    <w:rsid w:val="00114B6E"/>
    <w:rsid w:val="00114C68"/>
    <w:rsid w:val="00114D50"/>
    <w:rsid w:val="001155F0"/>
    <w:rsid w:val="00115626"/>
    <w:rsid w:val="0011571A"/>
    <w:rsid w:val="0011587F"/>
    <w:rsid w:val="001162B4"/>
    <w:rsid w:val="00116365"/>
    <w:rsid w:val="001165E1"/>
    <w:rsid w:val="00116683"/>
    <w:rsid w:val="001166C9"/>
    <w:rsid w:val="00116A84"/>
    <w:rsid w:val="00117C77"/>
    <w:rsid w:val="00117E0B"/>
    <w:rsid w:val="00117EA6"/>
    <w:rsid w:val="00117F2E"/>
    <w:rsid w:val="00120239"/>
    <w:rsid w:val="001205F1"/>
    <w:rsid w:val="00120F8B"/>
    <w:rsid w:val="00121486"/>
    <w:rsid w:val="001218BD"/>
    <w:rsid w:val="00122164"/>
    <w:rsid w:val="00122C76"/>
    <w:rsid w:val="00123983"/>
    <w:rsid w:val="00123DA3"/>
    <w:rsid w:val="00124167"/>
    <w:rsid w:val="0012427F"/>
    <w:rsid w:val="0012455F"/>
    <w:rsid w:val="0012457C"/>
    <w:rsid w:val="00124809"/>
    <w:rsid w:val="00124BE9"/>
    <w:rsid w:val="00125978"/>
    <w:rsid w:val="00126FFD"/>
    <w:rsid w:val="001275BB"/>
    <w:rsid w:val="001279A2"/>
    <w:rsid w:val="00127B38"/>
    <w:rsid w:val="00130078"/>
    <w:rsid w:val="00130917"/>
    <w:rsid w:val="00131C8C"/>
    <w:rsid w:val="00132320"/>
    <w:rsid w:val="00132363"/>
    <w:rsid w:val="00132655"/>
    <w:rsid w:val="00132ED9"/>
    <w:rsid w:val="0013300E"/>
    <w:rsid w:val="0013305C"/>
    <w:rsid w:val="00133815"/>
    <w:rsid w:val="00133B1B"/>
    <w:rsid w:val="00133F12"/>
    <w:rsid w:val="00134BB6"/>
    <w:rsid w:val="0013500B"/>
    <w:rsid w:val="0013521A"/>
    <w:rsid w:val="0013593B"/>
    <w:rsid w:val="00135A38"/>
    <w:rsid w:val="001363BA"/>
    <w:rsid w:val="00136B6D"/>
    <w:rsid w:val="00136EAE"/>
    <w:rsid w:val="00137310"/>
    <w:rsid w:val="001373D9"/>
    <w:rsid w:val="001373E7"/>
    <w:rsid w:val="00137AC8"/>
    <w:rsid w:val="00137FDE"/>
    <w:rsid w:val="001404CA"/>
    <w:rsid w:val="001406B5"/>
    <w:rsid w:val="00140958"/>
    <w:rsid w:val="00140B21"/>
    <w:rsid w:val="00140F8E"/>
    <w:rsid w:val="00141CF5"/>
    <w:rsid w:val="001420C1"/>
    <w:rsid w:val="0014242F"/>
    <w:rsid w:val="001431A8"/>
    <w:rsid w:val="001432D7"/>
    <w:rsid w:val="001432D9"/>
    <w:rsid w:val="001435B2"/>
    <w:rsid w:val="0014362F"/>
    <w:rsid w:val="00143CE5"/>
    <w:rsid w:val="00143D13"/>
    <w:rsid w:val="00143E5E"/>
    <w:rsid w:val="00144309"/>
    <w:rsid w:val="00144BB2"/>
    <w:rsid w:val="00144E99"/>
    <w:rsid w:val="00145802"/>
    <w:rsid w:val="00145C32"/>
    <w:rsid w:val="0014625B"/>
    <w:rsid w:val="001467F6"/>
    <w:rsid w:val="00146A88"/>
    <w:rsid w:val="00146C96"/>
    <w:rsid w:val="00146F8F"/>
    <w:rsid w:val="00147791"/>
    <w:rsid w:val="00147843"/>
    <w:rsid w:val="0015030C"/>
    <w:rsid w:val="00150A57"/>
    <w:rsid w:val="00150DCD"/>
    <w:rsid w:val="00150EF4"/>
    <w:rsid w:val="00151296"/>
    <w:rsid w:val="00151401"/>
    <w:rsid w:val="00151683"/>
    <w:rsid w:val="001523B3"/>
    <w:rsid w:val="001528B3"/>
    <w:rsid w:val="00152D9A"/>
    <w:rsid w:val="001534FB"/>
    <w:rsid w:val="00153939"/>
    <w:rsid w:val="00153A5D"/>
    <w:rsid w:val="00153B62"/>
    <w:rsid w:val="00154451"/>
    <w:rsid w:val="00154F68"/>
    <w:rsid w:val="001552CA"/>
    <w:rsid w:val="00155BF0"/>
    <w:rsid w:val="00155ED6"/>
    <w:rsid w:val="0015610A"/>
    <w:rsid w:val="00156497"/>
    <w:rsid w:val="0015670B"/>
    <w:rsid w:val="001576E2"/>
    <w:rsid w:val="00157A97"/>
    <w:rsid w:val="00157AF8"/>
    <w:rsid w:val="00157C13"/>
    <w:rsid w:val="00157DF6"/>
    <w:rsid w:val="00157EB2"/>
    <w:rsid w:val="00157F90"/>
    <w:rsid w:val="0016027B"/>
    <w:rsid w:val="0016034F"/>
    <w:rsid w:val="001609B8"/>
    <w:rsid w:val="00160EC9"/>
    <w:rsid w:val="00161477"/>
    <w:rsid w:val="00161AC7"/>
    <w:rsid w:val="00161FA9"/>
    <w:rsid w:val="00162486"/>
    <w:rsid w:val="0016249B"/>
    <w:rsid w:val="001628FA"/>
    <w:rsid w:val="0016302A"/>
    <w:rsid w:val="001637D9"/>
    <w:rsid w:val="0016388E"/>
    <w:rsid w:val="00163B11"/>
    <w:rsid w:val="00163B55"/>
    <w:rsid w:val="00163C53"/>
    <w:rsid w:val="00163EB9"/>
    <w:rsid w:val="00164717"/>
    <w:rsid w:val="00165225"/>
    <w:rsid w:val="0016534C"/>
    <w:rsid w:val="00165C7D"/>
    <w:rsid w:val="00166034"/>
    <w:rsid w:val="001664E2"/>
    <w:rsid w:val="001669F7"/>
    <w:rsid w:val="001673AC"/>
    <w:rsid w:val="00167A0B"/>
    <w:rsid w:val="00167B50"/>
    <w:rsid w:val="00170239"/>
    <w:rsid w:val="0017076D"/>
    <w:rsid w:val="001707A9"/>
    <w:rsid w:val="00170853"/>
    <w:rsid w:val="00170C26"/>
    <w:rsid w:val="001717B6"/>
    <w:rsid w:val="001717C1"/>
    <w:rsid w:val="00171CB3"/>
    <w:rsid w:val="00171EC6"/>
    <w:rsid w:val="00172692"/>
    <w:rsid w:val="001727F5"/>
    <w:rsid w:val="001728A5"/>
    <w:rsid w:val="001728DF"/>
    <w:rsid w:val="00172CAD"/>
    <w:rsid w:val="00172EEE"/>
    <w:rsid w:val="0017326B"/>
    <w:rsid w:val="001734BD"/>
    <w:rsid w:val="00173673"/>
    <w:rsid w:val="00173685"/>
    <w:rsid w:val="00173F6D"/>
    <w:rsid w:val="0017406B"/>
    <w:rsid w:val="00174AE3"/>
    <w:rsid w:val="00174CB9"/>
    <w:rsid w:val="00174F5C"/>
    <w:rsid w:val="001752E5"/>
    <w:rsid w:val="0017550A"/>
    <w:rsid w:val="00175691"/>
    <w:rsid w:val="001757D4"/>
    <w:rsid w:val="00175A58"/>
    <w:rsid w:val="00175D5D"/>
    <w:rsid w:val="00176093"/>
    <w:rsid w:val="001760FC"/>
    <w:rsid w:val="00176696"/>
    <w:rsid w:val="00176902"/>
    <w:rsid w:val="00176CAF"/>
    <w:rsid w:val="00176DEC"/>
    <w:rsid w:val="00177041"/>
    <w:rsid w:val="00177293"/>
    <w:rsid w:val="0017783A"/>
    <w:rsid w:val="00177BD4"/>
    <w:rsid w:val="00180725"/>
    <w:rsid w:val="00180C02"/>
    <w:rsid w:val="00180D7C"/>
    <w:rsid w:val="00181647"/>
    <w:rsid w:val="00181681"/>
    <w:rsid w:val="00181960"/>
    <w:rsid w:val="001819A7"/>
    <w:rsid w:val="00181D43"/>
    <w:rsid w:val="00182581"/>
    <w:rsid w:val="00182A14"/>
    <w:rsid w:val="00182B47"/>
    <w:rsid w:val="001836EF"/>
    <w:rsid w:val="00183C53"/>
    <w:rsid w:val="00184001"/>
    <w:rsid w:val="0018433A"/>
    <w:rsid w:val="00184406"/>
    <w:rsid w:val="00184CCD"/>
    <w:rsid w:val="001851AB"/>
    <w:rsid w:val="00185220"/>
    <w:rsid w:val="001852D6"/>
    <w:rsid w:val="001859FE"/>
    <w:rsid w:val="001861E4"/>
    <w:rsid w:val="0018655E"/>
    <w:rsid w:val="00186AB6"/>
    <w:rsid w:val="00186C3E"/>
    <w:rsid w:val="00186C6B"/>
    <w:rsid w:val="00186CED"/>
    <w:rsid w:val="00187011"/>
    <w:rsid w:val="001870E3"/>
    <w:rsid w:val="0018773F"/>
    <w:rsid w:val="00187779"/>
    <w:rsid w:val="001878C9"/>
    <w:rsid w:val="00190539"/>
    <w:rsid w:val="001908BF"/>
    <w:rsid w:val="00190939"/>
    <w:rsid w:val="00190D98"/>
    <w:rsid w:val="00190FAB"/>
    <w:rsid w:val="0019234C"/>
    <w:rsid w:val="00192C16"/>
    <w:rsid w:val="00193170"/>
    <w:rsid w:val="00193746"/>
    <w:rsid w:val="00193754"/>
    <w:rsid w:val="00193ACC"/>
    <w:rsid w:val="00193DC5"/>
    <w:rsid w:val="00193F0C"/>
    <w:rsid w:val="00194203"/>
    <w:rsid w:val="00195051"/>
    <w:rsid w:val="001957F1"/>
    <w:rsid w:val="00195EEB"/>
    <w:rsid w:val="00195F8A"/>
    <w:rsid w:val="00196741"/>
    <w:rsid w:val="0019683B"/>
    <w:rsid w:val="00196C71"/>
    <w:rsid w:val="00197073"/>
    <w:rsid w:val="001978EF"/>
    <w:rsid w:val="00197DFA"/>
    <w:rsid w:val="00197FE0"/>
    <w:rsid w:val="001A022C"/>
    <w:rsid w:val="001A091C"/>
    <w:rsid w:val="001A1077"/>
    <w:rsid w:val="001A10DE"/>
    <w:rsid w:val="001A1B31"/>
    <w:rsid w:val="001A2163"/>
    <w:rsid w:val="001A2355"/>
    <w:rsid w:val="001A2C68"/>
    <w:rsid w:val="001A3273"/>
    <w:rsid w:val="001A3386"/>
    <w:rsid w:val="001A3DA1"/>
    <w:rsid w:val="001A3EBC"/>
    <w:rsid w:val="001A3F2B"/>
    <w:rsid w:val="001A3F3E"/>
    <w:rsid w:val="001A4666"/>
    <w:rsid w:val="001A4B8D"/>
    <w:rsid w:val="001A511F"/>
    <w:rsid w:val="001A537B"/>
    <w:rsid w:val="001A543C"/>
    <w:rsid w:val="001A5482"/>
    <w:rsid w:val="001A5B17"/>
    <w:rsid w:val="001A5D2B"/>
    <w:rsid w:val="001A679F"/>
    <w:rsid w:val="001A68BF"/>
    <w:rsid w:val="001A710B"/>
    <w:rsid w:val="001B00BC"/>
    <w:rsid w:val="001B0690"/>
    <w:rsid w:val="001B0A3A"/>
    <w:rsid w:val="001B0AAA"/>
    <w:rsid w:val="001B0B2E"/>
    <w:rsid w:val="001B0DF9"/>
    <w:rsid w:val="001B19AF"/>
    <w:rsid w:val="001B1BCB"/>
    <w:rsid w:val="001B2084"/>
    <w:rsid w:val="001B2B97"/>
    <w:rsid w:val="001B2C9B"/>
    <w:rsid w:val="001B31FE"/>
    <w:rsid w:val="001B32FC"/>
    <w:rsid w:val="001B32FD"/>
    <w:rsid w:val="001B364F"/>
    <w:rsid w:val="001B383F"/>
    <w:rsid w:val="001B44BA"/>
    <w:rsid w:val="001B4F75"/>
    <w:rsid w:val="001B4FDE"/>
    <w:rsid w:val="001B5304"/>
    <w:rsid w:val="001B54E1"/>
    <w:rsid w:val="001B5EA0"/>
    <w:rsid w:val="001B6007"/>
    <w:rsid w:val="001B6548"/>
    <w:rsid w:val="001B6AEB"/>
    <w:rsid w:val="001B7939"/>
    <w:rsid w:val="001B7BBB"/>
    <w:rsid w:val="001B7DAB"/>
    <w:rsid w:val="001B7E96"/>
    <w:rsid w:val="001C027B"/>
    <w:rsid w:val="001C03A2"/>
    <w:rsid w:val="001C0A3C"/>
    <w:rsid w:val="001C11A6"/>
    <w:rsid w:val="001C1472"/>
    <w:rsid w:val="001C2127"/>
    <w:rsid w:val="001C227B"/>
    <w:rsid w:val="001C259D"/>
    <w:rsid w:val="001C25ED"/>
    <w:rsid w:val="001C2D9C"/>
    <w:rsid w:val="001C33DA"/>
    <w:rsid w:val="001C33E5"/>
    <w:rsid w:val="001C38FA"/>
    <w:rsid w:val="001C3EE2"/>
    <w:rsid w:val="001C4058"/>
    <w:rsid w:val="001C41D0"/>
    <w:rsid w:val="001C41EE"/>
    <w:rsid w:val="001C44E6"/>
    <w:rsid w:val="001C4CE4"/>
    <w:rsid w:val="001C562B"/>
    <w:rsid w:val="001C56FA"/>
    <w:rsid w:val="001C5F69"/>
    <w:rsid w:val="001C6353"/>
    <w:rsid w:val="001C6ECB"/>
    <w:rsid w:val="001C72AE"/>
    <w:rsid w:val="001C7EFF"/>
    <w:rsid w:val="001C7F94"/>
    <w:rsid w:val="001D0135"/>
    <w:rsid w:val="001D0136"/>
    <w:rsid w:val="001D0359"/>
    <w:rsid w:val="001D0572"/>
    <w:rsid w:val="001D0879"/>
    <w:rsid w:val="001D1094"/>
    <w:rsid w:val="001D17BE"/>
    <w:rsid w:val="001D1CFD"/>
    <w:rsid w:val="001D2063"/>
    <w:rsid w:val="001D20BC"/>
    <w:rsid w:val="001D21B3"/>
    <w:rsid w:val="001D22C6"/>
    <w:rsid w:val="001D2E65"/>
    <w:rsid w:val="001D2EDC"/>
    <w:rsid w:val="001D37EF"/>
    <w:rsid w:val="001D3BAB"/>
    <w:rsid w:val="001D3BE9"/>
    <w:rsid w:val="001D3CE8"/>
    <w:rsid w:val="001D4250"/>
    <w:rsid w:val="001D45C3"/>
    <w:rsid w:val="001D46B1"/>
    <w:rsid w:val="001D485C"/>
    <w:rsid w:val="001D54C0"/>
    <w:rsid w:val="001D54D9"/>
    <w:rsid w:val="001D5930"/>
    <w:rsid w:val="001D5A88"/>
    <w:rsid w:val="001D5F0C"/>
    <w:rsid w:val="001D6690"/>
    <w:rsid w:val="001D6A89"/>
    <w:rsid w:val="001D6BE1"/>
    <w:rsid w:val="001D6FD8"/>
    <w:rsid w:val="001D712C"/>
    <w:rsid w:val="001D754A"/>
    <w:rsid w:val="001D77B8"/>
    <w:rsid w:val="001D7C02"/>
    <w:rsid w:val="001D7D47"/>
    <w:rsid w:val="001E064D"/>
    <w:rsid w:val="001E0836"/>
    <w:rsid w:val="001E0947"/>
    <w:rsid w:val="001E116B"/>
    <w:rsid w:val="001E1617"/>
    <w:rsid w:val="001E18C5"/>
    <w:rsid w:val="001E1A3E"/>
    <w:rsid w:val="001E1E05"/>
    <w:rsid w:val="001E23D0"/>
    <w:rsid w:val="001E2485"/>
    <w:rsid w:val="001E2671"/>
    <w:rsid w:val="001E284F"/>
    <w:rsid w:val="001E2C9B"/>
    <w:rsid w:val="001E2E3C"/>
    <w:rsid w:val="001E3065"/>
    <w:rsid w:val="001E3267"/>
    <w:rsid w:val="001E3AF7"/>
    <w:rsid w:val="001E3DF1"/>
    <w:rsid w:val="001E40E2"/>
    <w:rsid w:val="001E4290"/>
    <w:rsid w:val="001E4D7E"/>
    <w:rsid w:val="001E4E81"/>
    <w:rsid w:val="001E52F8"/>
    <w:rsid w:val="001E561A"/>
    <w:rsid w:val="001E6661"/>
    <w:rsid w:val="001E6881"/>
    <w:rsid w:val="001E6BAC"/>
    <w:rsid w:val="001E6CDC"/>
    <w:rsid w:val="001E70C4"/>
    <w:rsid w:val="001E726D"/>
    <w:rsid w:val="001E74C2"/>
    <w:rsid w:val="001E76F8"/>
    <w:rsid w:val="001E7862"/>
    <w:rsid w:val="001E7D34"/>
    <w:rsid w:val="001E7DB5"/>
    <w:rsid w:val="001F0CE0"/>
    <w:rsid w:val="001F0E7A"/>
    <w:rsid w:val="001F150F"/>
    <w:rsid w:val="001F15BB"/>
    <w:rsid w:val="001F1619"/>
    <w:rsid w:val="001F1751"/>
    <w:rsid w:val="001F1976"/>
    <w:rsid w:val="001F1F60"/>
    <w:rsid w:val="001F21D4"/>
    <w:rsid w:val="001F2A2D"/>
    <w:rsid w:val="001F2F44"/>
    <w:rsid w:val="001F35E5"/>
    <w:rsid w:val="001F3649"/>
    <w:rsid w:val="001F3C1C"/>
    <w:rsid w:val="001F41CF"/>
    <w:rsid w:val="001F42BF"/>
    <w:rsid w:val="001F4D8D"/>
    <w:rsid w:val="001F55DA"/>
    <w:rsid w:val="001F5EB3"/>
    <w:rsid w:val="001F6014"/>
    <w:rsid w:val="001F6140"/>
    <w:rsid w:val="001F615B"/>
    <w:rsid w:val="001F65A2"/>
    <w:rsid w:val="001F67E1"/>
    <w:rsid w:val="001F6858"/>
    <w:rsid w:val="001F7191"/>
    <w:rsid w:val="00201A12"/>
    <w:rsid w:val="00201F4A"/>
    <w:rsid w:val="00202168"/>
    <w:rsid w:val="00202362"/>
    <w:rsid w:val="00202407"/>
    <w:rsid w:val="00202A97"/>
    <w:rsid w:val="00203046"/>
    <w:rsid w:val="00203690"/>
    <w:rsid w:val="00203DE5"/>
    <w:rsid w:val="00204252"/>
    <w:rsid w:val="00204BAA"/>
    <w:rsid w:val="00204C20"/>
    <w:rsid w:val="0020510B"/>
    <w:rsid w:val="00205475"/>
    <w:rsid w:val="00205604"/>
    <w:rsid w:val="002056AF"/>
    <w:rsid w:val="002056E4"/>
    <w:rsid w:val="002071EE"/>
    <w:rsid w:val="00207431"/>
    <w:rsid w:val="0020745F"/>
    <w:rsid w:val="00207A96"/>
    <w:rsid w:val="002101BC"/>
    <w:rsid w:val="002109EE"/>
    <w:rsid w:val="00210FF8"/>
    <w:rsid w:val="0021104A"/>
    <w:rsid w:val="0021140B"/>
    <w:rsid w:val="00211F85"/>
    <w:rsid w:val="00212B89"/>
    <w:rsid w:val="002135F3"/>
    <w:rsid w:val="00213CCF"/>
    <w:rsid w:val="00213E8F"/>
    <w:rsid w:val="00213EC0"/>
    <w:rsid w:val="00213F61"/>
    <w:rsid w:val="002140DB"/>
    <w:rsid w:val="0021433E"/>
    <w:rsid w:val="002144CC"/>
    <w:rsid w:val="00214533"/>
    <w:rsid w:val="00214980"/>
    <w:rsid w:val="00214AC6"/>
    <w:rsid w:val="00214DF1"/>
    <w:rsid w:val="00215158"/>
    <w:rsid w:val="002153E0"/>
    <w:rsid w:val="00215C5D"/>
    <w:rsid w:val="00216176"/>
    <w:rsid w:val="00216817"/>
    <w:rsid w:val="0021688C"/>
    <w:rsid w:val="00217903"/>
    <w:rsid w:val="00217CFC"/>
    <w:rsid w:val="00220894"/>
    <w:rsid w:val="00220C71"/>
    <w:rsid w:val="002211DF"/>
    <w:rsid w:val="0022169D"/>
    <w:rsid w:val="002217E8"/>
    <w:rsid w:val="00221919"/>
    <w:rsid w:val="00221A6A"/>
    <w:rsid w:val="00221C34"/>
    <w:rsid w:val="0022226A"/>
    <w:rsid w:val="00222902"/>
    <w:rsid w:val="00223463"/>
    <w:rsid w:val="002238EF"/>
    <w:rsid w:val="00223A10"/>
    <w:rsid w:val="00223B40"/>
    <w:rsid w:val="00223B69"/>
    <w:rsid w:val="00224B10"/>
    <w:rsid w:val="00224F54"/>
    <w:rsid w:val="002253D8"/>
    <w:rsid w:val="00225807"/>
    <w:rsid w:val="00225926"/>
    <w:rsid w:val="00225A90"/>
    <w:rsid w:val="00225AA1"/>
    <w:rsid w:val="00225DBA"/>
    <w:rsid w:val="0022625C"/>
    <w:rsid w:val="002265CB"/>
    <w:rsid w:val="0022774B"/>
    <w:rsid w:val="00227891"/>
    <w:rsid w:val="00227C19"/>
    <w:rsid w:val="00230D56"/>
    <w:rsid w:val="00231020"/>
    <w:rsid w:val="00231059"/>
    <w:rsid w:val="00231867"/>
    <w:rsid w:val="0023215F"/>
    <w:rsid w:val="002324D0"/>
    <w:rsid w:val="00232D5B"/>
    <w:rsid w:val="002330B7"/>
    <w:rsid w:val="0023324D"/>
    <w:rsid w:val="00233899"/>
    <w:rsid w:val="00233CC6"/>
    <w:rsid w:val="002340C4"/>
    <w:rsid w:val="002344DF"/>
    <w:rsid w:val="00234BE8"/>
    <w:rsid w:val="002350ED"/>
    <w:rsid w:val="00235653"/>
    <w:rsid w:val="00235DF7"/>
    <w:rsid w:val="00236035"/>
    <w:rsid w:val="0023606C"/>
    <w:rsid w:val="002370D3"/>
    <w:rsid w:val="002374C7"/>
    <w:rsid w:val="00237650"/>
    <w:rsid w:val="002377F5"/>
    <w:rsid w:val="00237BAA"/>
    <w:rsid w:val="00237F3A"/>
    <w:rsid w:val="00240181"/>
    <w:rsid w:val="002401BA"/>
    <w:rsid w:val="00240D76"/>
    <w:rsid w:val="00240FC7"/>
    <w:rsid w:val="00241076"/>
    <w:rsid w:val="0024115A"/>
    <w:rsid w:val="0024117C"/>
    <w:rsid w:val="00241C84"/>
    <w:rsid w:val="00241E3C"/>
    <w:rsid w:val="00241ECE"/>
    <w:rsid w:val="0024217A"/>
    <w:rsid w:val="00242207"/>
    <w:rsid w:val="00242A3F"/>
    <w:rsid w:val="00242C82"/>
    <w:rsid w:val="00242DBC"/>
    <w:rsid w:val="00243837"/>
    <w:rsid w:val="00243AAF"/>
    <w:rsid w:val="00243C7D"/>
    <w:rsid w:val="0024402F"/>
    <w:rsid w:val="00244163"/>
    <w:rsid w:val="0024452F"/>
    <w:rsid w:val="00244889"/>
    <w:rsid w:val="00244ABB"/>
    <w:rsid w:val="00244B38"/>
    <w:rsid w:val="00244F07"/>
    <w:rsid w:val="00245708"/>
    <w:rsid w:val="002462BD"/>
    <w:rsid w:val="0024642D"/>
    <w:rsid w:val="00246B18"/>
    <w:rsid w:val="0024736E"/>
    <w:rsid w:val="002473E7"/>
    <w:rsid w:val="0024793D"/>
    <w:rsid w:val="00247B96"/>
    <w:rsid w:val="00247CCA"/>
    <w:rsid w:val="00247DD4"/>
    <w:rsid w:val="00247F2C"/>
    <w:rsid w:val="00247FA4"/>
    <w:rsid w:val="00250715"/>
    <w:rsid w:val="00250A11"/>
    <w:rsid w:val="00250B89"/>
    <w:rsid w:val="00250C38"/>
    <w:rsid w:val="0025109E"/>
    <w:rsid w:val="0025129A"/>
    <w:rsid w:val="00251361"/>
    <w:rsid w:val="002513B4"/>
    <w:rsid w:val="00251512"/>
    <w:rsid w:val="00251A06"/>
    <w:rsid w:val="00251C94"/>
    <w:rsid w:val="00251F29"/>
    <w:rsid w:val="002534A9"/>
    <w:rsid w:val="00253B8F"/>
    <w:rsid w:val="00253FCF"/>
    <w:rsid w:val="0025483E"/>
    <w:rsid w:val="00254B57"/>
    <w:rsid w:val="00255038"/>
    <w:rsid w:val="0025583A"/>
    <w:rsid w:val="00255CA9"/>
    <w:rsid w:val="00256229"/>
    <w:rsid w:val="002563DE"/>
    <w:rsid w:val="002564F3"/>
    <w:rsid w:val="002567C8"/>
    <w:rsid w:val="00256B77"/>
    <w:rsid w:val="00256E26"/>
    <w:rsid w:val="00257048"/>
    <w:rsid w:val="00257095"/>
    <w:rsid w:val="00257714"/>
    <w:rsid w:val="00257FEF"/>
    <w:rsid w:val="002604A4"/>
    <w:rsid w:val="0026080C"/>
    <w:rsid w:val="002609C2"/>
    <w:rsid w:val="00260DFB"/>
    <w:rsid w:val="002615B9"/>
    <w:rsid w:val="002616C7"/>
    <w:rsid w:val="0026188C"/>
    <w:rsid w:val="00261993"/>
    <w:rsid w:val="00261BF4"/>
    <w:rsid w:val="0026209F"/>
    <w:rsid w:val="00262794"/>
    <w:rsid w:val="0026287E"/>
    <w:rsid w:val="002629C2"/>
    <w:rsid w:val="00262A5C"/>
    <w:rsid w:val="00262B19"/>
    <w:rsid w:val="00262B66"/>
    <w:rsid w:val="00262B9E"/>
    <w:rsid w:val="00262BFB"/>
    <w:rsid w:val="002632BB"/>
    <w:rsid w:val="0026331F"/>
    <w:rsid w:val="00263CFC"/>
    <w:rsid w:val="00264E9F"/>
    <w:rsid w:val="00264F8C"/>
    <w:rsid w:val="00264FCE"/>
    <w:rsid w:val="00265522"/>
    <w:rsid w:val="00265B38"/>
    <w:rsid w:val="00265C24"/>
    <w:rsid w:val="00266E2F"/>
    <w:rsid w:val="00266E65"/>
    <w:rsid w:val="00267540"/>
    <w:rsid w:val="00267C8E"/>
    <w:rsid w:val="002706FE"/>
    <w:rsid w:val="00270778"/>
    <w:rsid w:val="00270A9E"/>
    <w:rsid w:val="00270B86"/>
    <w:rsid w:val="00270C8D"/>
    <w:rsid w:val="00270E5F"/>
    <w:rsid w:val="0027146A"/>
    <w:rsid w:val="002715D3"/>
    <w:rsid w:val="00271908"/>
    <w:rsid w:val="00271FEC"/>
    <w:rsid w:val="00272613"/>
    <w:rsid w:val="00272683"/>
    <w:rsid w:val="00272F47"/>
    <w:rsid w:val="00273304"/>
    <w:rsid w:val="0027353C"/>
    <w:rsid w:val="00273751"/>
    <w:rsid w:val="00273CFD"/>
    <w:rsid w:val="00273D58"/>
    <w:rsid w:val="002745B7"/>
    <w:rsid w:val="002746FC"/>
    <w:rsid w:val="00274871"/>
    <w:rsid w:val="00274A3D"/>
    <w:rsid w:val="00274CF7"/>
    <w:rsid w:val="00274DB5"/>
    <w:rsid w:val="002751B9"/>
    <w:rsid w:val="00275570"/>
    <w:rsid w:val="0027581C"/>
    <w:rsid w:val="00275CE9"/>
    <w:rsid w:val="00275D0B"/>
    <w:rsid w:val="00275EB3"/>
    <w:rsid w:val="002775FB"/>
    <w:rsid w:val="00277638"/>
    <w:rsid w:val="00277D66"/>
    <w:rsid w:val="00277FCB"/>
    <w:rsid w:val="002800B0"/>
    <w:rsid w:val="0028050C"/>
    <w:rsid w:val="0028056B"/>
    <w:rsid w:val="00280694"/>
    <w:rsid w:val="0028073A"/>
    <w:rsid w:val="00280A6A"/>
    <w:rsid w:val="00280FE4"/>
    <w:rsid w:val="0028119F"/>
    <w:rsid w:val="00281549"/>
    <w:rsid w:val="002822FF"/>
    <w:rsid w:val="00282591"/>
    <w:rsid w:val="00282BFE"/>
    <w:rsid w:val="002837C6"/>
    <w:rsid w:val="00283AB1"/>
    <w:rsid w:val="00283B90"/>
    <w:rsid w:val="002844A2"/>
    <w:rsid w:val="002845A4"/>
    <w:rsid w:val="002848F6"/>
    <w:rsid w:val="00284E2D"/>
    <w:rsid w:val="00284E64"/>
    <w:rsid w:val="002853AF"/>
    <w:rsid w:val="00285A7D"/>
    <w:rsid w:val="0028601E"/>
    <w:rsid w:val="002864AF"/>
    <w:rsid w:val="002864EF"/>
    <w:rsid w:val="00286997"/>
    <w:rsid w:val="00286CC0"/>
    <w:rsid w:val="002874FF"/>
    <w:rsid w:val="00287796"/>
    <w:rsid w:val="00287A86"/>
    <w:rsid w:val="00287D0B"/>
    <w:rsid w:val="00287D35"/>
    <w:rsid w:val="00290343"/>
    <w:rsid w:val="00291B7A"/>
    <w:rsid w:val="00291CA8"/>
    <w:rsid w:val="00291FF6"/>
    <w:rsid w:val="00292EC3"/>
    <w:rsid w:val="0029338A"/>
    <w:rsid w:val="002935AA"/>
    <w:rsid w:val="00293AFF"/>
    <w:rsid w:val="00293CE8"/>
    <w:rsid w:val="002948B6"/>
    <w:rsid w:val="0029513C"/>
    <w:rsid w:val="00295302"/>
    <w:rsid w:val="00295605"/>
    <w:rsid w:val="00295B29"/>
    <w:rsid w:val="00295EB9"/>
    <w:rsid w:val="002964F6"/>
    <w:rsid w:val="00296B1B"/>
    <w:rsid w:val="00296B28"/>
    <w:rsid w:val="0029733B"/>
    <w:rsid w:val="002974F6"/>
    <w:rsid w:val="00297C9E"/>
    <w:rsid w:val="00297CCD"/>
    <w:rsid w:val="002A0164"/>
    <w:rsid w:val="002A0510"/>
    <w:rsid w:val="002A0789"/>
    <w:rsid w:val="002A099A"/>
    <w:rsid w:val="002A19A9"/>
    <w:rsid w:val="002A1AA1"/>
    <w:rsid w:val="002A201E"/>
    <w:rsid w:val="002A233D"/>
    <w:rsid w:val="002A23CF"/>
    <w:rsid w:val="002A3757"/>
    <w:rsid w:val="002A38C6"/>
    <w:rsid w:val="002A40E8"/>
    <w:rsid w:val="002A46F6"/>
    <w:rsid w:val="002A47CD"/>
    <w:rsid w:val="002A4928"/>
    <w:rsid w:val="002A4E9E"/>
    <w:rsid w:val="002A5157"/>
    <w:rsid w:val="002A542F"/>
    <w:rsid w:val="002A559B"/>
    <w:rsid w:val="002A61C4"/>
    <w:rsid w:val="002A673D"/>
    <w:rsid w:val="002A7677"/>
    <w:rsid w:val="002A788D"/>
    <w:rsid w:val="002A7C2F"/>
    <w:rsid w:val="002A7D12"/>
    <w:rsid w:val="002B096C"/>
    <w:rsid w:val="002B0D19"/>
    <w:rsid w:val="002B1469"/>
    <w:rsid w:val="002B1692"/>
    <w:rsid w:val="002B30A3"/>
    <w:rsid w:val="002B3214"/>
    <w:rsid w:val="002B325F"/>
    <w:rsid w:val="002B3373"/>
    <w:rsid w:val="002B3812"/>
    <w:rsid w:val="002B38A5"/>
    <w:rsid w:val="002B3B1F"/>
    <w:rsid w:val="002B3D27"/>
    <w:rsid w:val="002B4145"/>
    <w:rsid w:val="002B43F0"/>
    <w:rsid w:val="002B449D"/>
    <w:rsid w:val="002B47D4"/>
    <w:rsid w:val="002B497D"/>
    <w:rsid w:val="002B4B3F"/>
    <w:rsid w:val="002B4E00"/>
    <w:rsid w:val="002B552D"/>
    <w:rsid w:val="002B5C49"/>
    <w:rsid w:val="002B6460"/>
    <w:rsid w:val="002B65F8"/>
    <w:rsid w:val="002B6B35"/>
    <w:rsid w:val="002B6D3D"/>
    <w:rsid w:val="002B6E06"/>
    <w:rsid w:val="002B7229"/>
    <w:rsid w:val="002B73F6"/>
    <w:rsid w:val="002B75C9"/>
    <w:rsid w:val="002B760B"/>
    <w:rsid w:val="002B7EDB"/>
    <w:rsid w:val="002C031F"/>
    <w:rsid w:val="002C0576"/>
    <w:rsid w:val="002C0622"/>
    <w:rsid w:val="002C0E8D"/>
    <w:rsid w:val="002C10C1"/>
    <w:rsid w:val="002C1754"/>
    <w:rsid w:val="002C25DC"/>
    <w:rsid w:val="002C2776"/>
    <w:rsid w:val="002C2B40"/>
    <w:rsid w:val="002C2BA8"/>
    <w:rsid w:val="002C3240"/>
    <w:rsid w:val="002C3374"/>
    <w:rsid w:val="002C3808"/>
    <w:rsid w:val="002C3E19"/>
    <w:rsid w:val="002C4488"/>
    <w:rsid w:val="002C460B"/>
    <w:rsid w:val="002C4A32"/>
    <w:rsid w:val="002C4F1C"/>
    <w:rsid w:val="002C5211"/>
    <w:rsid w:val="002C56DD"/>
    <w:rsid w:val="002C6567"/>
    <w:rsid w:val="002C6BEE"/>
    <w:rsid w:val="002C6C38"/>
    <w:rsid w:val="002C711E"/>
    <w:rsid w:val="002C75CA"/>
    <w:rsid w:val="002C7B66"/>
    <w:rsid w:val="002C7EBC"/>
    <w:rsid w:val="002D0B46"/>
    <w:rsid w:val="002D0B68"/>
    <w:rsid w:val="002D0DF8"/>
    <w:rsid w:val="002D16DF"/>
    <w:rsid w:val="002D1A18"/>
    <w:rsid w:val="002D1C01"/>
    <w:rsid w:val="002D218E"/>
    <w:rsid w:val="002D22C2"/>
    <w:rsid w:val="002D23C6"/>
    <w:rsid w:val="002D2480"/>
    <w:rsid w:val="002D2839"/>
    <w:rsid w:val="002D2E09"/>
    <w:rsid w:val="002D3B92"/>
    <w:rsid w:val="002D4393"/>
    <w:rsid w:val="002D4470"/>
    <w:rsid w:val="002D4580"/>
    <w:rsid w:val="002D4B64"/>
    <w:rsid w:val="002D4C1A"/>
    <w:rsid w:val="002D571C"/>
    <w:rsid w:val="002D67BA"/>
    <w:rsid w:val="002D7690"/>
    <w:rsid w:val="002D7E4C"/>
    <w:rsid w:val="002D7F28"/>
    <w:rsid w:val="002D7F92"/>
    <w:rsid w:val="002E047C"/>
    <w:rsid w:val="002E0838"/>
    <w:rsid w:val="002E09F8"/>
    <w:rsid w:val="002E0E1A"/>
    <w:rsid w:val="002E1762"/>
    <w:rsid w:val="002E1D80"/>
    <w:rsid w:val="002E20D5"/>
    <w:rsid w:val="002E2239"/>
    <w:rsid w:val="002E2521"/>
    <w:rsid w:val="002E25C6"/>
    <w:rsid w:val="002E2C87"/>
    <w:rsid w:val="002E2CF0"/>
    <w:rsid w:val="002E2D26"/>
    <w:rsid w:val="002E3797"/>
    <w:rsid w:val="002E3A8A"/>
    <w:rsid w:val="002E3E35"/>
    <w:rsid w:val="002E499F"/>
    <w:rsid w:val="002E53E5"/>
    <w:rsid w:val="002E54C6"/>
    <w:rsid w:val="002E55D4"/>
    <w:rsid w:val="002E5DA4"/>
    <w:rsid w:val="002E61F4"/>
    <w:rsid w:val="002E6507"/>
    <w:rsid w:val="002E6CE8"/>
    <w:rsid w:val="002E6FC7"/>
    <w:rsid w:val="002E7168"/>
    <w:rsid w:val="002E71A9"/>
    <w:rsid w:val="002E7C6F"/>
    <w:rsid w:val="002F02AC"/>
    <w:rsid w:val="002F0395"/>
    <w:rsid w:val="002F0C13"/>
    <w:rsid w:val="002F11FD"/>
    <w:rsid w:val="002F147E"/>
    <w:rsid w:val="002F18B5"/>
    <w:rsid w:val="002F1966"/>
    <w:rsid w:val="002F1B90"/>
    <w:rsid w:val="002F2D9E"/>
    <w:rsid w:val="002F3EEA"/>
    <w:rsid w:val="002F3FA8"/>
    <w:rsid w:val="002F41DE"/>
    <w:rsid w:val="002F4555"/>
    <w:rsid w:val="002F48CA"/>
    <w:rsid w:val="002F48F3"/>
    <w:rsid w:val="002F54A2"/>
    <w:rsid w:val="002F611F"/>
    <w:rsid w:val="002F65CD"/>
    <w:rsid w:val="002F68CC"/>
    <w:rsid w:val="002F717F"/>
    <w:rsid w:val="002F7216"/>
    <w:rsid w:val="002F781F"/>
    <w:rsid w:val="002F7BE0"/>
    <w:rsid w:val="0030060A"/>
    <w:rsid w:val="0030094A"/>
    <w:rsid w:val="00300A46"/>
    <w:rsid w:val="00300D0F"/>
    <w:rsid w:val="00301216"/>
    <w:rsid w:val="00301351"/>
    <w:rsid w:val="003016EE"/>
    <w:rsid w:val="003019FC"/>
    <w:rsid w:val="00301C85"/>
    <w:rsid w:val="0030201A"/>
    <w:rsid w:val="00302357"/>
    <w:rsid w:val="003023B6"/>
    <w:rsid w:val="00302843"/>
    <w:rsid w:val="00302932"/>
    <w:rsid w:val="00302C89"/>
    <w:rsid w:val="00302EE8"/>
    <w:rsid w:val="00303443"/>
    <w:rsid w:val="003037AE"/>
    <w:rsid w:val="00303A1E"/>
    <w:rsid w:val="003048E3"/>
    <w:rsid w:val="0030504F"/>
    <w:rsid w:val="0030514B"/>
    <w:rsid w:val="0030555E"/>
    <w:rsid w:val="003055DD"/>
    <w:rsid w:val="003056CA"/>
    <w:rsid w:val="003062A5"/>
    <w:rsid w:val="003066D0"/>
    <w:rsid w:val="00306817"/>
    <w:rsid w:val="00307027"/>
    <w:rsid w:val="0030735D"/>
    <w:rsid w:val="00307460"/>
    <w:rsid w:val="00307669"/>
    <w:rsid w:val="00310A6E"/>
    <w:rsid w:val="00310FEA"/>
    <w:rsid w:val="003110A8"/>
    <w:rsid w:val="00311198"/>
    <w:rsid w:val="003111F9"/>
    <w:rsid w:val="00311264"/>
    <w:rsid w:val="003118EC"/>
    <w:rsid w:val="0031197A"/>
    <w:rsid w:val="00311B36"/>
    <w:rsid w:val="003128FA"/>
    <w:rsid w:val="003129D2"/>
    <w:rsid w:val="00313442"/>
    <w:rsid w:val="0031345B"/>
    <w:rsid w:val="003138DE"/>
    <w:rsid w:val="00313BC4"/>
    <w:rsid w:val="00313E42"/>
    <w:rsid w:val="003141B4"/>
    <w:rsid w:val="00314EC7"/>
    <w:rsid w:val="003155E2"/>
    <w:rsid w:val="00315C62"/>
    <w:rsid w:val="00315CDA"/>
    <w:rsid w:val="00316AAC"/>
    <w:rsid w:val="0031711A"/>
    <w:rsid w:val="003177FB"/>
    <w:rsid w:val="0031785C"/>
    <w:rsid w:val="00317BED"/>
    <w:rsid w:val="00320245"/>
    <w:rsid w:val="003203CA"/>
    <w:rsid w:val="00320600"/>
    <w:rsid w:val="00320F44"/>
    <w:rsid w:val="00321368"/>
    <w:rsid w:val="00321F62"/>
    <w:rsid w:val="003225AF"/>
    <w:rsid w:val="00322824"/>
    <w:rsid w:val="00322DA6"/>
    <w:rsid w:val="00323041"/>
    <w:rsid w:val="003230B6"/>
    <w:rsid w:val="00323174"/>
    <w:rsid w:val="003232FC"/>
    <w:rsid w:val="00323496"/>
    <w:rsid w:val="00323C9F"/>
    <w:rsid w:val="00323D41"/>
    <w:rsid w:val="0032418B"/>
    <w:rsid w:val="00324316"/>
    <w:rsid w:val="003244D0"/>
    <w:rsid w:val="003246F7"/>
    <w:rsid w:val="003247E4"/>
    <w:rsid w:val="003249C9"/>
    <w:rsid w:val="00324D01"/>
    <w:rsid w:val="00324EE4"/>
    <w:rsid w:val="00325221"/>
    <w:rsid w:val="00325397"/>
    <w:rsid w:val="00325441"/>
    <w:rsid w:val="00325497"/>
    <w:rsid w:val="003259DA"/>
    <w:rsid w:val="00326958"/>
    <w:rsid w:val="0032700A"/>
    <w:rsid w:val="00327347"/>
    <w:rsid w:val="003274F7"/>
    <w:rsid w:val="003275ED"/>
    <w:rsid w:val="0032776A"/>
    <w:rsid w:val="00327DF7"/>
    <w:rsid w:val="0033001F"/>
    <w:rsid w:val="00330BC2"/>
    <w:rsid w:val="00330FC9"/>
    <w:rsid w:val="00331063"/>
    <w:rsid w:val="003311F0"/>
    <w:rsid w:val="00331736"/>
    <w:rsid w:val="00331CAE"/>
    <w:rsid w:val="00332AAC"/>
    <w:rsid w:val="00333066"/>
    <w:rsid w:val="0033337F"/>
    <w:rsid w:val="00333553"/>
    <w:rsid w:val="00333B5A"/>
    <w:rsid w:val="00333C42"/>
    <w:rsid w:val="00333C9E"/>
    <w:rsid w:val="00333D7D"/>
    <w:rsid w:val="00334039"/>
    <w:rsid w:val="00334099"/>
    <w:rsid w:val="00334479"/>
    <w:rsid w:val="00334503"/>
    <w:rsid w:val="003348F6"/>
    <w:rsid w:val="00334A62"/>
    <w:rsid w:val="00334F60"/>
    <w:rsid w:val="0033561A"/>
    <w:rsid w:val="00336585"/>
    <w:rsid w:val="0033679A"/>
    <w:rsid w:val="003369CE"/>
    <w:rsid w:val="00336A5A"/>
    <w:rsid w:val="00336CFE"/>
    <w:rsid w:val="00336F87"/>
    <w:rsid w:val="0033709F"/>
    <w:rsid w:val="003372CC"/>
    <w:rsid w:val="0033731B"/>
    <w:rsid w:val="0033776F"/>
    <w:rsid w:val="003379DB"/>
    <w:rsid w:val="003400B4"/>
    <w:rsid w:val="003407D3"/>
    <w:rsid w:val="003409DA"/>
    <w:rsid w:val="00340B14"/>
    <w:rsid w:val="0034111A"/>
    <w:rsid w:val="00341927"/>
    <w:rsid w:val="00341E5E"/>
    <w:rsid w:val="00342291"/>
    <w:rsid w:val="003429B5"/>
    <w:rsid w:val="00342A08"/>
    <w:rsid w:val="00343DBD"/>
    <w:rsid w:val="00343DE6"/>
    <w:rsid w:val="00343FBA"/>
    <w:rsid w:val="00344354"/>
    <w:rsid w:val="003445AD"/>
    <w:rsid w:val="00344E0A"/>
    <w:rsid w:val="00345616"/>
    <w:rsid w:val="00345726"/>
    <w:rsid w:val="003458A3"/>
    <w:rsid w:val="00345B97"/>
    <w:rsid w:val="00345B98"/>
    <w:rsid w:val="0034614C"/>
    <w:rsid w:val="00346A4B"/>
    <w:rsid w:val="00347C5E"/>
    <w:rsid w:val="00347CAB"/>
    <w:rsid w:val="00347ED0"/>
    <w:rsid w:val="003501EE"/>
    <w:rsid w:val="00350265"/>
    <w:rsid w:val="003502F4"/>
    <w:rsid w:val="00350348"/>
    <w:rsid w:val="003508A9"/>
    <w:rsid w:val="00350B92"/>
    <w:rsid w:val="00350DAB"/>
    <w:rsid w:val="00350EE4"/>
    <w:rsid w:val="003511EE"/>
    <w:rsid w:val="003512E4"/>
    <w:rsid w:val="003513A9"/>
    <w:rsid w:val="003517D4"/>
    <w:rsid w:val="003519C7"/>
    <w:rsid w:val="00351DF3"/>
    <w:rsid w:val="00351E5E"/>
    <w:rsid w:val="00351F8E"/>
    <w:rsid w:val="0035232E"/>
    <w:rsid w:val="003524F6"/>
    <w:rsid w:val="003531C2"/>
    <w:rsid w:val="00353DE5"/>
    <w:rsid w:val="00354347"/>
    <w:rsid w:val="00354489"/>
    <w:rsid w:val="003546B2"/>
    <w:rsid w:val="00354B7E"/>
    <w:rsid w:val="00354E74"/>
    <w:rsid w:val="0035539E"/>
    <w:rsid w:val="003554B2"/>
    <w:rsid w:val="0035586D"/>
    <w:rsid w:val="00355C05"/>
    <w:rsid w:val="00355D64"/>
    <w:rsid w:val="00355F01"/>
    <w:rsid w:val="00356BC8"/>
    <w:rsid w:val="00357016"/>
    <w:rsid w:val="003573C3"/>
    <w:rsid w:val="003575F9"/>
    <w:rsid w:val="00357666"/>
    <w:rsid w:val="003576DA"/>
    <w:rsid w:val="00357B34"/>
    <w:rsid w:val="00357C5F"/>
    <w:rsid w:val="003601B9"/>
    <w:rsid w:val="00360211"/>
    <w:rsid w:val="003610B5"/>
    <w:rsid w:val="0036160D"/>
    <w:rsid w:val="00361C8E"/>
    <w:rsid w:val="00361EA6"/>
    <w:rsid w:val="0036210E"/>
    <w:rsid w:val="00362652"/>
    <w:rsid w:val="00362B96"/>
    <w:rsid w:val="00362C28"/>
    <w:rsid w:val="003632B4"/>
    <w:rsid w:val="003635DF"/>
    <w:rsid w:val="003635FB"/>
    <w:rsid w:val="003637C3"/>
    <w:rsid w:val="00363D98"/>
    <w:rsid w:val="0036428F"/>
    <w:rsid w:val="003647BC"/>
    <w:rsid w:val="00364F15"/>
    <w:rsid w:val="003654DB"/>
    <w:rsid w:val="00365714"/>
    <w:rsid w:val="003662D2"/>
    <w:rsid w:val="00366C97"/>
    <w:rsid w:val="00366D5A"/>
    <w:rsid w:val="00366F3C"/>
    <w:rsid w:val="003673E0"/>
    <w:rsid w:val="003678BB"/>
    <w:rsid w:val="00367E71"/>
    <w:rsid w:val="00370401"/>
    <w:rsid w:val="003705F7"/>
    <w:rsid w:val="003706FD"/>
    <w:rsid w:val="00371602"/>
    <w:rsid w:val="003720AD"/>
    <w:rsid w:val="00372273"/>
    <w:rsid w:val="003724C7"/>
    <w:rsid w:val="00372924"/>
    <w:rsid w:val="00373137"/>
    <w:rsid w:val="003732E4"/>
    <w:rsid w:val="00373555"/>
    <w:rsid w:val="0037357B"/>
    <w:rsid w:val="003741AF"/>
    <w:rsid w:val="0037447D"/>
    <w:rsid w:val="003745E5"/>
    <w:rsid w:val="0037465D"/>
    <w:rsid w:val="003748D6"/>
    <w:rsid w:val="00374BC4"/>
    <w:rsid w:val="003751B1"/>
    <w:rsid w:val="00375524"/>
    <w:rsid w:val="0037585B"/>
    <w:rsid w:val="00375916"/>
    <w:rsid w:val="00375A7A"/>
    <w:rsid w:val="00375C63"/>
    <w:rsid w:val="0037689F"/>
    <w:rsid w:val="003768C7"/>
    <w:rsid w:val="00376961"/>
    <w:rsid w:val="00376F5C"/>
    <w:rsid w:val="0037753E"/>
    <w:rsid w:val="00377708"/>
    <w:rsid w:val="00377773"/>
    <w:rsid w:val="00377833"/>
    <w:rsid w:val="00377D44"/>
    <w:rsid w:val="00380831"/>
    <w:rsid w:val="00380A47"/>
    <w:rsid w:val="00380F83"/>
    <w:rsid w:val="00381132"/>
    <w:rsid w:val="0038119A"/>
    <w:rsid w:val="0038166B"/>
    <w:rsid w:val="00381D67"/>
    <w:rsid w:val="0038201B"/>
    <w:rsid w:val="00382791"/>
    <w:rsid w:val="0038294A"/>
    <w:rsid w:val="00382CE6"/>
    <w:rsid w:val="003830EC"/>
    <w:rsid w:val="00383109"/>
    <w:rsid w:val="0038340F"/>
    <w:rsid w:val="00384425"/>
    <w:rsid w:val="00384856"/>
    <w:rsid w:val="0038492E"/>
    <w:rsid w:val="00384EAA"/>
    <w:rsid w:val="0038522B"/>
    <w:rsid w:val="003853DC"/>
    <w:rsid w:val="00385487"/>
    <w:rsid w:val="00386B9E"/>
    <w:rsid w:val="00386E90"/>
    <w:rsid w:val="00387949"/>
    <w:rsid w:val="00387A45"/>
    <w:rsid w:val="00387B96"/>
    <w:rsid w:val="00387CB2"/>
    <w:rsid w:val="00387CFC"/>
    <w:rsid w:val="00387E1B"/>
    <w:rsid w:val="00387F2F"/>
    <w:rsid w:val="00390407"/>
    <w:rsid w:val="0039061E"/>
    <w:rsid w:val="003906F6"/>
    <w:rsid w:val="0039088F"/>
    <w:rsid w:val="00390A17"/>
    <w:rsid w:val="00390BA0"/>
    <w:rsid w:val="00390E20"/>
    <w:rsid w:val="0039101B"/>
    <w:rsid w:val="0039116F"/>
    <w:rsid w:val="003919FC"/>
    <w:rsid w:val="00391DA8"/>
    <w:rsid w:val="00391E86"/>
    <w:rsid w:val="0039246E"/>
    <w:rsid w:val="003924CB"/>
    <w:rsid w:val="0039289E"/>
    <w:rsid w:val="00392C1C"/>
    <w:rsid w:val="003931AF"/>
    <w:rsid w:val="00393359"/>
    <w:rsid w:val="0039399A"/>
    <w:rsid w:val="00393E03"/>
    <w:rsid w:val="00393F65"/>
    <w:rsid w:val="0039402B"/>
    <w:rsid w:val="0039431E"/>
    <w:rsid w:val="00394333"/>
    <w:rsid w:val="003946B7"/>
    <w:rsid w:val="00394B4C"/>
    <w:rsid w:val="00394C2A"/>
    <w:rsid w:val="00395398"/>
    <w:rsid w:val="003956D2"/>
    <w:rsid w:val="003957F3"/>
    <w:rsid w:val="003959E1"/>
    <w:rsid w:val="003964FF"/>
    <w:rsid w:val="00396BCE"/>
    <w:rsid w:val="003973F0"/>
    <w:rsid w:val="003974B0"/>
    <w:rsid w:val="003976F7"/>
    <w:rsid w:val="0039793C"/>
    <w:rsid w:val="00397C37"/>
    <w:rsid w:val="003A03DD"/>
    <w:rsid w:val="003A0912"/>
    <w:rsid w:val="003A0B00"/>
    <w:rsid w:val="003A1237"/>
    <w:rsid w:val="003A17C1"/>
    <w:rsid w:val="003A19E6"/>
    <w:rsid w:val="003A1A0C"/>
    <w:rsid w:val="003A1C64"/>
    <w:rsid w:val="003A1ED3"/>
    <w:rsid w:val="003A2032"/>
    <w:rsid w:val="003A21E6"/>
    <w:rsid w:val="003A2C22"/>
    <w:rsid w:val="003A2CA7"/>
    <w:rsid w:val="003A3529"/>
    <w:rsid w:val="003A3698"/>
    <w:rsid w:val="003A3DA4"/>
    <w:rsid w:val="003A3E63"/>
    <w:rsid w:val="003A3EF0"/>
    <w:rsid w:val="003A4053"/>
    <w:rsid w:val="003A46F8"/>
    <w:rsid w:val="003A47BA"/>
    <w:rsid w:val="003A4AFA"/>
    <w:rsid w:val="003A4D7A"/>
    <w:rsid w:val="003A4EC6"/>
    <w:rsid w:val="003A50FB"/>
    <w:rsid w:val="003A537A"/>
    <w:rsid w:val="003A57A3"/>
    <w:rsid w:val="003A57E0"/>
    <w:rsid w:val="003A5B70"/>
    <w:rsid w:val="003A5BCF"/>
    <w:rsid w:val="003A65FB"/>
    <w:rsid w:val="003A70E9"/>
    <w:rsid w:val="003A74FB"/>
    <w:rsid w:val="003A7538"/>
    <w:rsid w:val="003A7547"/>
    <w:rsid w:val="003A760F"/>
    <w:rsid w:val="003A77B4"/>
    <w:rsid w:val="003B0869"/>
    <w:rsid w:val="003B0DE5"/>
    <w:rsid w:val="003B10ED"/>
    <w:rsid w:val="003B11EC"/>
    <w:rsid w:val="003B14C8"/>
    <w:rsid w:val="003B174C"/>
    <w:rsid w:val="003B19B2"/>
    <w:rsid w:val="003B1CE6"/>
    <w:rsid w:val="003B2563"/>
    <w:rsid w:val="003B2570"/>
    <w:rsid w:val="003B2699"/>
    <w:rsid w:val="003B2CDD"/>
    <w:rsid w:val="003B2CFF"/>
    <w:rsid w:val="003B2E18"/>
    <w:rsid w:val="003B2ED2"/>
    <w:rsid w:val="003B3443"/>
    <w:rsid w:val="003B352E"/>
    <w:rsid w:val="003B363C"/>
    <w:rsid w:val="003B36C9"/>
    <w:rsid w:val="003B41C2"/>
    <w:rsid w:val="003B4545"/>
    <w:rsid w:val="003B4B89"/>
    <w:rsid w:val="003B51B2"/>
    <w:rsid w:val="003B52A9"/>
    <w:rsid w:val="003B5327"/>
    <w:rsid w:val="003B5367"/>
    <w:rsid w:val="003B5980"/>
    <w:rsid w:val="003B5C38"/>
    <w:rsid w:val="003B621B"/>
    <w:rsid w:val="003B662A"/>
    <w:rsid w:val="003B6636"/>
    <w:rsid w:val="003B694C"/>
    <w:rsid w:val="003B6B9C"/>
    <w:rsid w:val="003B6DFC"/>
    <w:rsid w:val="003B7386"/>
    <w:rsid w:val="003B741F"/>
    <w:rsid w:val="003B7456"/>
    <w:rsid w:val="003B74E8"/>
    <w:rsid w:val="003B7578"/>
    <w:rsid w:val="003B76A9"/>
    <w:rsid w:val="003B7C03"/>
    <w:rsid w:val="003B7E1D"/>
    <w:rsid w:val="003B7F21"/>
    <w:rsid w:val="003C0539"/>
    <w:rsid w:val="003C061D"/>
    <w:rsid w:val="003C0A1F"/>
    <w:rsid w:val="003C1209"/>
    <w:rsid w:val="003C16A0"/>
    <w:rsid w:val="003C16C9"/>
    <w:rsid w:val="003C1AF2"/>
    <w:rsid w:val="003C1B90"/>
    <w:rsid w:val="003C1D71"/>
    <w:rsid w:val="003C2019"/>
    <w:rsid w:val="003C25D8"/>
    <w:rsid w:val="003C275F"/>
    <w:rsid w:val="003C3857"/>
    <w:rsid w:val="003C4040"/>
    <w:rsid w:val="003C4829"/>
    <w:rsid w:val="003C49C1"/>
    <w:rsid w:val="003C49ED"/>
    <w:rsid w:val="003C4F5C"/>
    <w:rsid w:val="003C5328"/>
    <w:rsid w:val="003C538E"/>
    <w:rsid w:val="003C5AA1"/>
    <w:rsid w:val="003C6474"/>
    <w:rsid w:val="003C6497"/>
    <w:rsid w:val="003C6F88"/>
    <w:rsid w:val="003C713C"/>
    <w:rsid w:val="003C71CF"/>
    <w:rsid w:val="003C752D"/>
    <w:rsid w:val="003C789F"/>
    <w:rsid w:val="003C7C66"/>
    <w:rsid w:val="003C7DE4"/>
    <w:rsid w:val="003C7F9C"/>
    <w:rsid w:val="003D08EA"/>
    <w:rsid w:val="003D09EA"/>
    <w:rsid w:val="003D0C7A"/>
    <w:rsid w:val="003D0F99"/>
    <w:rsid w:val="003D15C4"/>
    <w:rsid w:val="003D1865"/>
    <w:rsid w:val="003D1A34"/>
    <w:rsid w:val="003D1BCA"/>
    <w:rsid w:val="003D1D51"/>
    <w:rsid w:val="003D1D85"/>
    <w:rsid w:val="003D2325"/>
    <w:rsid w:val="003D265C"/>
    <w:rsid w:val="003D2972"/>
    <w:rsid w:val="003D2AFA"/>
    <w:rsid w:val="003D2C16"/>
    <w:rsid w:val="003D3154"/>
    <w:rsid w:val="003D33E9"/>
    <w:rsid w:val="003D3B78"/>
    <w:rsid w:val="003D3F61"/>
    <w:rsid w:val="003D4367"/>
    <w:rsid w:val="003D449E"/>
    <w:rsid w:val="003D49F7"/>
    <w:rsid w:val="003D5269"/>
    <w:rsid w:val="003D537A"/>
    <w:rsid w:val="003D5D20"/>
    <w:rsid w:val="003D5E32"/>
    <w:rsid w:val="003D64CE"/>
    <w:rsid w:val="003D6EF8"/>
    <w:rsid w:val="003D7036"/>
    <w:rsid w:val="003D72D2"/>
    <w:rsid w:val="003D74A4"/>
    <w:rsid w:val="003D75E0"/>
    <w:rsid w:val="003D778C"/>
    <w:rsid w:val="003D7929"/>
    <w:rsid w:val="003E05AF"/>
    <w:rsid w:val="003E0B51"/>
    <w:rsid w:val="003E0B9E"/>
    <w:rsid w:val="003E0F53"/>
    <w:rsid w:val="003E109A"/>
    <w:rsid w:val="003E115B"/>
    <w:rsid w:val="003E150E"/>
    <w:rsid w:val="003E1969"/>
    <w:rsid w:val="003E1CA3"/>
    <w:rsid w:val="003E28A2"/>
    <w:rsid w:val="003E2F9A"/>
    <w:rsid w:val="003E3FE0"/>
    <w:rsid w:val="003E404C"/>
    <w:rsid w:val="003E40D7"/>
    <w:rsid w:val="003E40D8"/>
    <w:rsid w:val="003E475D"/>
    <w:rsid w:val="003E491F"/>
    <w:rsid w:val="003E4A9B"/>
    <w:rsid w:val="003E4F0E"/>
    <w:rsid w:val="003E5070"/>
    <w:rsid w:val="003E55FB"/>
    <w:rsid w:val="003E5BD9"/>
    <w:rsid w:val="003E5ED9"/>
    <w:rsid w:val="003E647D"/>
    <w:rsid w:val="003E6EA1"/>
    <w:rsid w:val="003E795B"/>
    <w:rsid w:val="003F03BC"/>
    <w:rsid w:val="003F040B"/>
    <w:rsid w:val="003F0416"/>
    <w:rsid w:val="003F066B"/>
    <w:rsid w:val="003F093D"/>
    <w:rsid w:val="003F0F53"/>
    <w:rsid w:val="003F15A0"/>
    <w:rsid w:val="003F1A1B"/>
    <w:rsid w:val="003F1A9F"/>
    <w:rsid w:val="003F1E16"/>
    <w:rsid w:val="003F1E74"/>
    <w:rsid w:val="003F26EC"/>
    <w:rsid w:val="003F279D"/>
    <w:rsid w:val="003F27B8"/>
    <w:rsid w:val="003F2817"/>
    <w:rsid w:val="003F2A4F"/>
    <w:rsid w:val="003F30FF"/>
    <w:rsid w:val="003F3782"/>
    <w:rsid w:val="003F384C"/>
    <w:rsid w:val="003F3AB6"/>
    <w:rsid w:val="003F3D30"/>
    <w:rsid w:val="003F4637"/>
    <w:rsid w:val="003F5730"/>
    <w:rsid w:val="003F573C"/>
    <w:rsid w:val="003F583D"/>
    <w:rsid w:val="003F598E"/>
    <w:rsid w:val="003F5DCE"/>
    <w:rsid w:val="003F5EC9"/>
    <w:rsid w:val="003F5F00"/>
    <w:rsid w:val="003F63B5"/>
    <w:rsid w:val="003F69FB"/>
    <w:rsid w:val="003F7136"/>
    <w:rsid w:val="003F724A"/>
    <w:rsid w:val="003F72EF"/>
    <w:rsid w:val="003F7A48"/>
    <w:rsid w:val="0040014B"/>
    <w:rsid w:val="00400753"/>
    <w:rsid w:val="00400BAD"/>
    <w:rsid w:val="00400BEA"/>
    <w:rsid w:val="00400D64"/>
    <w:rsid w:val="00401278"/>
    <w:rsid w:val="00402403"/>
    <w:rsid w:val="00402498"/>
    <w:rsid w:val="00402633"/>
    <w:rsid w:val="00402EBA"/>
    <w:rsid w:val="00402FE8"/>
    <w:rsid w:val="004030F8"/>
    <w:rsid w:val="00403537"/>
    <w:rsid w:val="00403F8C"/>
    <w:rsid w:val="00403FC1"/>
    <w:rsid w:val="00404275"/>
    <w:rsid w:val="0040505A"/>
    <w:rsid w:val="004052BE"/>
    <w:rsid w:val="00405CEE"/>
    <w:rsid w:val="00405F55"/>
    <w:rsid w:val="0040602F"/>
    <w:rsid w:val="004062A5"/>
    <w:rsid w:val="00406545"/>
    <w:rsid w:val="004066A4"/>
    <w:rsid w:val="00407110"/>
    <w:rsid w:val="00407199"/>
    <w:rsid w:val="00407392"/>
    <w:rsid w:val="004075B7"/>
    <w:rsid w:val="00407715"/>
    <w:rsid w:val="00407B51"/>
    <w:rsid w:val="00407B8D"/>
    <w:rsid w:val="004101AC"/>
    <w:rsid w:val="004102F0"/>
    <w:rsid w:val="00410304"/>
    <w:rsid w:val="00410403"/>
    <w:rsid w:val="00410CBF"/>
    <w:rsid w:val="00411140"/>
    <w:rsid w:val="00411233"/>
    <w:rsid w:val="00411B93"/>
    <w:rsid w:val="00411ED1"/>
    <w:rsid w:val="00412028"/>
    <w:rsid w:val="004123A7"/>
    <w:rsid w:val="004124EF"/>
    <w:rsid w:val="004125BB"/>
    <w:rsid w:val="00412D4D"/>
    <w:rsid w:val="004131A2"/>
    <w:rsid w:val="00413A69"/>
    <w:rsid w:val="00414688"/>
    <w:rsid w:val="004146FF"/>
    <w:rsid w:val="004147E1"/>
    <w:rsid w:val="00414944"/>
    <w:rsid w:val="00414A9D"/>
    <w:rsid w:val="00415040"/>
    <w:rsid w:val="00415368"/>
    <w:rsid w:val="0041603A"/>
    <w:rsid w:val="00416519"/>
    <w:rsid w:val="00416A45"/>
    <w:rsid w:val="00416C75"/>
    <w:rsid w:val="004175C3"/>
    <w:rsid w:val="0041789E"/>
    <w:rsid w:val="00417C12"/>
    <w:rsid w:val="0042048F"/>
    <w:rsid w:val="00420750"/>
    <w:rsid w:val="00420A50"/>
    <w:rsid w:val="00420F8B"/>
    <w:rsid w:val="004219CE"/>
    <w:rsid w:val="00422546"/>
    <w:rsid w:val="00422691"/>
    <w:rsid w:val="00423015"/>
    <w:rsid w:val="00423825"/>
    <w:rsid w:val="004247FC"/>
    <w:rsid w:val="00424AF3"/>
    <w:rsid w:val="00424D68"/>
    <w:rsid w:val="00425BFA"/>
    <w:rsid w:val="00426434"/>
    <w:rsid w:val="004267DC"/>
    <w:rsid w:val="00426A6F"/>
    <w:rsid w:val="00426A9B"/>
    <w:rsid w:val="00426D0F"/>
    <w:rsid w:val="00426FA7"/>
    <w:rsid w:val="00427000"/>
    <w:rsid w:val="00427440"/>
    <w:rsid w:val="00427B2C"/>
    <w:rsid w:val="00427C60"/>
    <w:rsid w:val="00427CEA"/>
    <w:rsid w:val="00427FF5"/>
    <w:rsid w:val="004300D0"/>
    <w:rsid w:val="00430FAF"/>
    <w:rsid w:val="004313EA"/>
    <w:rsid w:val="00431694"/>
    <w:rsid w:val="004316B5"/>
    <w:rsid w:val="004319D9"/>
    <w:rsid w:val="00431E0D"/>
    <w:rsid w:val="00431F6A"/>
    <w:rsid w:val="00432092"/>
    <w:rsid w:val="004324F3"/>
    <w:rsid w:val="00432D1A"/>
    <w:rsid w:val="0043343C"/>
    <w:rsid w:val="00433C3B"/>
    <w:rsid w:val="00433DB5"/>
    <w:rsid w:val="00433E1F"/>
    <w:rsid w:val="00433E67"/>
    <w:rsid w:val="00433F0E"/>
    <w:rsid w:val="0043428B"/>
    <w:rsid w:val="00434546"/>
    <w:rsid w:val="004357F1"/>
    <w:rsid w:val="004359A6"/>
    <w:rsid w:val="00435D5C"/>
    <w:rsid w:val="00435E32"/>
    <w:rsid w:val="0043625A"/>
    <w:rsid w:val="00436584"/>
    <w:rsid w:val="00436DF2"/>
    <w:rsid w:val="00437396"/>
    <w:rsid w:val="0043765A"/>
    <w:rsid w:val="004376E3"/>
    <w:rsid w:val="0044006A"/>
    <w:rsid w:val="004403F3"/>
    <w:rsid w:val="00440442"/>
    <w:rsid w:val="004409F8"/>
    <w:rsid w:val="00441561"/>
    <w:rsid w:val="0044191A"/>
    <w:rsid w:val="00441C81"/>
    <w:rsid w:val="0044200B"/>
    <w:rsid w:val="00442328"/>
    <w:rsid w:val="00442473"/>
    <w:rsid w:val="00442485"/>
    <w:rsid w:val="004424D1"/>
    <w:rsid w:val="0044257E"/>
    <w:rsid w:val="00442983"/>
    <w:rsid w:val="00442A2B"/>
    <w:rsid w:val="00443073"/>
    <w:rsid w:val="00443080"/>
    <w:rsid w:val="004433CA"/>
    <w:rsid w:val="00444235"/>
    <w:rsid w:val="00444418"/>
    <w:rsid w:val="00444855"/>
    <w:rsid w:val="004448A7"/>
    <w:rsid w:val="0044498A"/>
    <w:rsid w:val="004449FF"/>
    <w:rsid w:val="00444E21"/>
    <w:rsid w:val="00445104"/>
    <w:rsid w:val="0044576C"/>
    <w:rsid w:val="004459E7"/>
    <w:rsid w:val="0044662B"/>
    <w:rsid w:val="00446D08"/>
    <w:rsid w:val="00446D26"/>
    <w:rsid w:val="00446D67"/>
    <w:rsid w:val="00446ECA"/>
    <w:rsid w:val="00446F86"/>
    <w:rsid w:val="00447580"/>
    <w:rsid w:val="00447A7C"/>
    <w:rsid w:val="00447CF0"/>
    <w:rsid w:val="00450A62"/>
    <w:rsid w:val="00450A70"/>
    <w:rsid w:val="00450A8D"/>
    <w:rsid w:val="00450C58"/>
    <w:rsid w:val="00451268"/>
    <w:rsid w:val="00451414"/>
    <w:rsid w:val="00451609"/>
    <w:rsid w:val="004520DB"/>
    <w:rsid w:val="00452274"/>
    <w:rsid w:val="00452D76"/>
    <w:rsid w:val="00453437"/>
    <w:rsid w:val="00453466"/>
    <w:rsid w:val="004534E1"/>
    <w:rsid w:val="0045358C"/>
    <w:rsid w:val="00453A18"/>
    <w:rsid w:val="00453B7E"/>
    <w:rsid w:val="00453F25"/>
    <w:rsid w:val="00454467"/>
    <w:rsid w:val="00455385"/>
    <w:rsid w:val="004560A3"/>
    <w:rsid w:val="00456158"/>
    <w:rsid w:val="0045618F"/>
    <w:rsid w:val="0045646F"/>
    <w:rsid w:val="00456D48"/>
    <w:rsid w:val="004571D9"/>
    <w:rsid w:val="00457B51"/>
    <w:rsid w:val="004600E0"/>
    <w:rsid w:val="00460210"/>
    <w:rsid w:val="00460FB5"/>
    <w:rsid w:val="00461351"/>
    <w:rsid w:val="00461A0C"/>
    <w:rsid w:val="00462382"/>
    <w:rsid w:val="00462F94"/>
    <w:rsid w:val="004630B0"/>
    <w:rsid w:val="0046319A"/>
    <w:rsid w:val="00463771"/>
    <w:rsid w:val="00463A15"/>
    <w:rsid w:val="004644C2"/>
    <w:rsid w:val="00464B9B"/>
    <w:rsid w:val="00464DD3"/>
    <w:rsid w:val="00465204"/>
    <w:rsid w:val="00465829"/>
    <w:rsid w:val="004659D6"/>
    <w:rsid w:val="0046677F"/>
    <w:rsid w:val="00466D9C"/>
    <w:rsid w:val="00467522"/>
    <w:rsid w:val="00467D62"/>
    <w:rsid w:val="00467EC9"/>
    <w:rsid w:val="0047011F"/>
    <w:rsid w:val="00470237"/>
    <w:rsid w:val="0047050A"/>
    <w:rsid w:val="00470863"/>
    <w:rsid w:val="004711A0"/>
    <w:rsid w:val="00471260"/>
    <w:rsid w:val="00471AFD"/>
    <w:rsid w:val="00471BC6"/>
    <w:rsid w:val="00471C84"/>
    <w:rsid w:val="00472196"/>
    <w:rsid w:val="004722D3"/>
    <w:rsid w:val="00472344"/>
    <w:rsid w:val="004726B0"/>
    <w:rsid w:val="004727FB"/>
    <w:rsid w:val="00473047"/>
    <w:rsid w:val="00473305"/>
    <w:rsid w:val="004733B3"/>
    <w:rsid w:val="00473616"/>
    <w:rsid w:val="00473717"/>
    <w:rsid w:val="00473CED"/>
    <w:rsid w:val="00473EC8"/>
    <w:rsid w:val="00473ED6"/>
    <w:rsid w:val="00473F98"/>
    <w:rsid w:val="004742C7"/>
    <w:rsid w:val="00474365"/>
    <w:rsid w:val="00475226"/>
    <w:rsid w:val="00475772"/>
    <w:rsid w:val="00475837"/>
    <w:rsid w:val="004758BC"/>
    <w:rsid w:val="00475F65"/>
    <w:rsid w:val="0047608F"/>
    <w:rsid w:val="0047639B"/>
    <w:rsid w:val="00476CE1"/>
    <w:rsid w:val="00480686"/>
    <w:rsid w:val="00480AED"/>
    <w:rsid w:val="00481032"/>
    <w:rsid w:val="00481232"/>
    <w:rsid w:val="0048189A"/>
    <w:rsid w:val="004818CA"/>
    <w:rsid w:val="00482216"/>
    <w:rsid w:val="004826CF"/>
    <w:rsid w:val="00482916"/>
    <w:rsid w:val="004829D6"/>
    <w:rsid w:val="00483837"/>
    <w:rsid w:val="00485035"/>
    <w:rsid w:val="004855F6"/>
    <w:rsid w:val="004857BF"/>
    <w:rsid w:val="00485DE7"/>
    <w:rsid w:val="00485E7B"/>
    <w:rsid w:val="00485EE4"/>
    <w:rsid w:val="00486415"/>
    <w:rsid w:val="00486541"/>
    <w:rsid w:val="00486836"/>
    <w:rsid w:val="00486C8C"/>
    <w:rsid w:val="00486FFC"/>
    <w:rsid w:val="0048710A"/>
    <w:rsid w:val="0048782B"/>
    <w:rsid w:val="00487B26"/>
    <w:rsid w:val="00487B8B"/>
    <w:rsid w:val="00490380"/>
    <w:rsid w:val="00490457"/>
    <w:rsid w:val="00490A18"/>
    <w:rsid w:val="00491168"/>
    <w:rsid w:val="00491412"/>
    <w:rsid w:val="004914F1"/>
    <w:rsid w:val="004914FA"/>
    <w:rsid w:val="00491CD7"/>
    <w:rsid w:val="00491D28"/>
    <w:rsid w:val="00491D6F"/>
    <w:rsid w:val="00491FC5"/>
    <w:rsid w:val="00492362"/>
    <w:rsid w:val="00492715"/>
    <w:rsid w:val="00492AD6"/>
    <w:rsid w:val="0049317A"/>
    <w:rsid w:val="00493A05"/>
    <w:rsid w:val="00493C05"/>
    <w:rsid w:val="0049405A"/>
    <w:rsid w:val="00494415"/>
    <w:rsid w:val="00494605"/>
    <w:rsid w:val="00494E30"/>
    <w:rsid w:val="00495054"/>
    <w:rsid w:val="004950BE"/>
    <w:rsid w:val="0049560B"/>
    <w:rsid w:val="00495B0D"/>
    <w:rsid w:val="00495B8A"/>
    <w:rsid w:val="00495DCC"/>
    <w:rsid w:val="00496600"/>
    <w:rsid w:val="00496816"/>
    <w:rsid w:val="004968E6"/>
    <w:rsid w:val="00496B6F"/>
    <w:rsid w:val="00496B88"/>
    <w:rsid w:val="00496C79"/>
    <w:rsid w:val="00497797"/>
    <w:rsid w:val="00497903"/>
    <w:rsid w:val="00497C71"/>
    <w:rsid w:val="00497CEA"/>
    <w:rsid w:val="00497F91"/>
    <w:rsid w:val="004A01F9"/>
    <w:rsid w:val="004A0358"/>
    <w:rsid w:val="004A0E22"/>
    <w:rsid w:val="004A15D7"/>
    <w:rsid w:val="004A167B"/>
    <w:rsid w:val="004A183A"/>
    <w:rsid w:val="004A22D1"/>
    <w:rsid w:val="004A2412"/>
    <w:rsid w:val="004A33FC"/>
    <w:rsid w:val="004A36B3"/>
    <w:rsid w:val="004A3780"/>
    <w:rsid w:val="004A38C3"/>
    <w:rsid w:val="004A39F9"/>
    <w:rsid w:val="004A3B42"/>
    <w:rsid w:val="004A3D8B"/>
    <w:rsid w:val="004A40B7"/>
    <w:rsid w:val="004A41A8"/>
    <w:rsid w:val="004A421E"/>
    <w:rsid w:val="004A4A19"/>
    <w:rsid w:val="004A50C8"/>
    <w:rsid w:val="004A547D"/>
    <w:rsid w:val="004A54BD"/>
    <w:rsid w:val="004A60B1"/>
    <w:rsid w:val="004A6653"/>
    <w:rsid w:val="004A66C7"/>
    <w:rsid w:val="004A699E"/>
    <w:rsid w:val="004A732D"/>
    <w:rsid w:val="004A7B04"/>
    <w:rsid w:val="004B0002"/>
    <w:rsid w:val="004B023E"/>
    <w:rsid w:val="004B060A"/>
    <w:rsid w:val="004B0BDB"/>
    <w:rsid w:val="004B0CC7"/>
    <w:rsid w:val="004B101F"/>
    <w:rsid w:val="004B1467"/>
    <w:rsid w:val="004B2BFE"/>
    <w:rsid w:val="004B2C73"/>
    <w:rsid w:val="004B349D"/>
    <w:rsid w:val="004B34AF"/>
    <w:rsid w:val="004B372B"/>
    <w:rsid w:val="004B37B5"/>
    <w:rsid w:val="004B3968"/>
    <w:rsid w:val="004B4142"/>
    <w:rsid w:val="004B4760"/>
    <w:rsid w:val="004B5236"/>
    <w:rsid w:val="004B5271"/>
    <w:rsid w:val="004B595F"/>
    <w:rsid w:val="004B5A89"/>
    <w:rsid w:val="004B5DE0"/>
    <w:rsid w:val="004B6467"/>
    <w:rsid w:val="004B66AB"/>
    <w:rsid w:val="004B6809"/>
    <w:rsid w:val="004B6DEE"/>
    <w:rsid w:val="004B6E1D"/>
    <w:rsid w:val="004B6E81"/>
    <w:rsid w:val="004B7261"/>
    <w:rsid w:val="004B741B"/>
    <w:rsid w:val="004B7756"/>
    <w:rsid w:val="004B78D6"/>
    <w:rsid w:val="004B7A07"/>
    <w:rsid w:val="004B7DB8"/>
    <w:rsid w:val="004B7E2B"/>
    <w:rsid w:val="004C01F2"/>
    <w:rsid w:val="004C04E4"/>
    <w:rsid w:val="004C04ED"/>
    <w:rsid w:val="004C0D50"/>
    <w:rsid w:val="004C149E"/>
    <w:rsid w:val="004C1D9B"/>
    <w:rsid w:val="004C1E07"/>
    <w:rsid w:val="004C222C"/>
    <w:rsid w:val="004C22EE"/>
    <w:rsid w:val="004C3013"/>
    <w:rsid w:val="004C37CF"/>
    <w:rsid w:val="004C38D0"/>
    <w:rsid w:val="004C39E0"/>
    <w:rsid w:val="004C3F6E"/>
    <w:rsid w:val="004C46F2"/>
    <w:rsid w:val="004C4994"/>
    <w:rsid w:val="004C4E30"/>
    <w:rsid w:val="004C50D0"/>
    <w:rsid w:val="004C5422"/>
    <w:rsid w:val="004C5BDB"/>
    <w:rsid w:val="004C5D1A"/>
    <w:rsid w:val="004C6527"/>
    <w:rsid w:val="004C66D9"/>
    <w:rsid w:val="004C6B3A"/>
    <w:rsid w:val="004C6CC8"/>
    <w:rsid w:val="004C6E22"/>
    <w:rsid w:val="004C6FC6"/>
    <w:rsid w:val="004C7043"/>
    <w:rsid w:val="004C76A1"/>
    <w:rsid w:val="004C791B"/>
    <w:rsid w:val="004D05F0"/>
    <w:rsid w:val="004D1358"/>
    <w:rsid w:val="004D1EA7"/>
    <w:rsid w:val="004D2045"/>
    <w:rsid w:val="004D23EF"/>
    <w:rsid w:val="004D26F5"/>
    <w:rsid w:val="004D2DE8"/>
    <w:rsid w:val="004D2E95"/>
    <w:rsid w:val="004D2F78"/>
    <w:rsid w:val="004D2FF5"/>
    <w:rsid w:val="004D3723"/>
    <w:rsid w:val="004D3E00"/>
    <w:rsid w:val="004D41BE"/>
    <w:rsid w:val="004D4E10"/>
    <w:rsid w:val="004D4FCF"/>
    <w:rsid w:val="004D5046"/>
    <w:rsid w:val="004D5251"/>
    <w:rsid w:val="004D5843"/>
    <w:rsid w:val="004D67BF"/>
    <w:rsid w:val="004D6841"/>
    <w:rsid w:val="004D731E"/>
    <w:rsid w:val="004D737A"/>
    <w:rsid w:val="004D75A1"/>
    <w:rsid w:val="004D7809"/>
    <w:rsid w:val="004E00F8"/>
    <w:rsid w:val="004E0433"/>
    <w:rsid w:val="004E0446"/>
    <w:rsid w:val="004E0462"/>
    <w:rsid w:val="004E073D"/>
    <w:rsid w:val="004E1480"/>
    <w:rsid w:val="004E1516"/>
    <w:rsid w:val="004E19E5"/>
    <w:rsid w:val="004E1B7F"/>
    <w:rsid w:val="004E1DD5"/>
    <w:rsid w:val="004E1F92"/>
    <w:rsid w:val="004E201B"/>
    <w:rsid w:val="004E2365"/>
    <w:rsid w:val="004E25A4"/>
    <w:rsid w:val="004E2749"/>
    <w:rsid w:val="004E2CCE"/>
    <w:rsid w:val="004E2D26"/>
    <w:rsid w:val="004E2EAD"/>
    <w:rsid w:val="004E2F14"/>
    <w:rsid w:val="004E2F57"/>
    <w:rsid w:val="004E2FB4"/>
    <w:rsid w:val="004E3629"/>
    <w:rsid w:val="004E36DE"/>
    <w:rsid w:val="004E3CCF"/>
    <w:rsid w:val="004E3EC0"/>
    <w:rsid w:val="004E4113"/>
    <w:rsid w:val="004E4160"/>
    <w:rsid w:val="004E4428"/>
    <w:rsid w:val="004E452C"/>
    <w:rsid w:val="004E470A"/>
    <w:rsid w:val="004E4EC2"/>
    <w:rsid w:val="004E5009"/>
    <w:rsid w:val="004E571F"/>
    <w:rsid w:val="004E58CC"/>
    <w:rsid w:val="004E5973"/>
    <w:rsid w:val="004E5A0D"/>
    <w:rsid w:val="004E63AF"/>
    <w:rsid w:val="004E64A1"/>
    <w:rsid w:val="004E68CF"/>
    <w:rsid w:val="004E6B07"/>
    <w:rsid w:val="004E6B48"/>
    <w:rsid w:val="004E7438"/>
    <w:rsid w:val="004E7656"/>
    <w:rsid w:val="004E7A69"/>
    <w:rsid w:val="004E7B1D"/>
    <w:rsid w:val="004F0710"/>
    <w:rsid w:val="004F1424"/>
    <w:rsid w:val="004F1BD7"/>
    <w:rsid w:val="004F20B1"/>
    <w:rsid w:val="004F2321"/>
    <w:rsid w:val="004F2BE1"/>
    <w:rsid w:val="004F2E25"/>
    <w:rsid w:val="004F301A"/>
    <w:rsid w:val="004F3EDA"/>
    <w:rsid w:val="004F46E5"/>
    <w:rsid w:val="004F4F3C"/>
    <w:rsid w:val="004F52EB"/>
    <w:rsid w:val="004F5740"/>
    <w:rsid w:val="004F5885"/>
    <w:rsid w:val="004F5A2F"/>
    <w:rsid w:val="004F5AAE"/>
    <w:rsid w:val="004F5C31"/>
    <w:rsid w:val="004F5D32"/>
    <w:rsid w:val="004F5F06"/>
    <w:rsid w:val="004F60D1"/>
    <w:rsid w:val="004F6171"/>
    <w:rsid w:val="004F6EE2"/>
    <w:rsid w:val="004F6F36"/>
    <w:rsid w:val="004F7046"/>
    <w:rsid w:val="004F711B"/>
    <w:rsid w:val="004F727B"/>
    <w:rsid w:val="004F74D7"/>
    <w:rsid w:val="005000C6"/>
    <w:rsid w:val="00500115"/>
    <w:rsid w:val="00500159"/>
    <w:rsid w:val="0050041C"/>
    <w:rsid w:val="0050042D"/>
    <w:rsid w:val="00500447"/>
    <w:rsid w:val="00500C6A"/>
    <w:rsid w:val="00500DD0"/>
    <w:rsid w:val="00500E97"/>
    <w:rsid w:val="00500F03"/>
    <w:rsid w:val="0050108B"/>
    <w:rsid w:val="00501489"/>
    <w:rsid w:val="00501535"/>
    <w:rsid w:val="00501B6A"/>
    <w:rsid w:val="00501F31"/>
    <w:rsid w:val="005021AC"/>
    <w:rsid w:val="0050241C"/>
    <w:rsid w:val="005025F5"/>
    <w:rsid w:val="005025FA"/>
    <w:rsid w:val="00502794"/>
    <w:rsid w:val="0050297E"/>
    <w:rsid w:val="00502B3D"/>
    <w:rsid w:val="005031E0"/>
    <w:rsid w:val="005034AF"/>
    <w:rsid w:val="005047AA"/>
    <w:rsid w:val="005048F7"/>
    <w:rsid w:val="00504F24"/>
    <w:rsid w:val="00505114"/>
    <w:rsid w:val="0050586D"/>
    <w:rsid w:val="00505894"/>
    <w:rsid w:val="00506936"/>
    <w:rsid w:val="00506F33"/>
    <w:rsid w:val="005076C1"/>
    <w:rsid w:val="00507B4B"/>
    <w:rsid w:val="005100DF"/>
    <w:rsid w:val="0051051F"/>
    <w:rsid w:val="00510592"/>
    <w:rsid w:val="0051099E"/>
    <w:rsid w:val="00510BAF"/>
    <w:rsid w:val="00510C9B"/>
    <w:rsid w:val="00510F90"/>
    <w:rsid w:val="00511B1B"/>
    <w:rsid w:val="00511D97"/>
    <w:rsid w:val="00511FDE"/>
    <w:rsid w:val="00512C76"/>
    <w:rsid w:val="005131FD"/>
    <w:rsid w:val="0051378C"/>
    <w:rsid w:val="00513951"/>
    <w:rsid w:val="00513C17"/>
    <w:rsid w:val="00513D52"/>
    <w:rsid w:val="0051405F"/>
    <w:rsid w:val="0051436F"/>
    <w:rsid w:val="00516A71"/>
    <w:rsid w:val="00516B87"/>
    <w:rsid w:val="00516DFD"/>
    <w:rsid w:val="0051795A"/>
    <w:rsid w:val="00520CEB"/>
    <w:rsid w:val="00520E24"/>
    <w:rsid w:val="005217A8"/>
    <w:rsid w:val="00521D0E"/>
    <w:rsid w:val="00522046"/>
    <w:rsid w:val="005222C9"/>
    <w:rsid w:val="00522553"/>
    <w:rsid w:val="005226B3"/>
    <w:rsid w:val="00522722"/>
    <w:rsid w:val="00522788"/>
    <w:rsid w:val="005227D7"/>
    <w:rsid w:val="00522F16"/>
    <w:rsid w:val="0052317D"/>
    <w:rsid w:val="005232FD"/>
    <w:rsid w:val="00523326"/>
    <w:rsid w:val="005233DB"/>
    <w:rsid w:val="00523576"/>
    <w:rsid w:val="00523F1C"/>
    <w:rsid w:val="00524086"/>
    <w:rsid w:val="00524305"/>
    <w:rsid w:val="00524539"/>
    <w:rsid w:val="0052456E"/>
    <w:rsid w:val="00524677"/>
    <w:rsid w:val="00524CB0"/>
    <w:rsid w:val="00525322"/>
    <w:rsid w:val="005253D6"/>
    <w:rsid w:val="0052571E"/>
    <w:rsid w:val="00525A0D"/>
    <w:rsid w:val="00525CF4"/>
    <w:rsid w:val="00525E56"/>
    <w:rsid w:val="0052602A"/>
    <w:rsid w:val="005263C7"/>
    <w:rsid w:val="00526405"/>
    <w:rsid w:val="00526422"/>
    <w:rsid w:val="00526C2B"/>
    <w:rsid w:val="00526CA5"/>
    <w:rsid w:val="00526F11"/>
    <w:rsid w:val="005273E0"/>
    <w:rsid w:val="00527811"/>
    <w:rsid w:val="005279C8"/>
    <w:rsid w:val="00527A86"/>
    <w:rsid w:val="005303EF"/>
    <w:rsid w:val="0053064E"/>
    <w:rsid w:val="00530D2D"/>
    <w:rsid w:val="005318B3"/>
    <w:rsid w:val="00532464"/>
    <w:rsid w:val="00532AF7"/>
    <w:rsid w:val="00533387"/>
    <w:rsid w:val="005337ED"/>
    <w:rsid w:val="0053405F"/>
    <w:rsid w:val="005343B4"/>
    <w:rsid w:val="00534509"/>
    <w:rsid w:val="005346B8"/>
    <w:rsid w:val="00534E36"/>
    <w:rsid w:val="00534ED7"/>
    <w:rsid w:val="00534EE8"/>
    <w:rsid w:val="00534F97"/>
    <w:rsid w:val="005355BB"/>
    <w:rsid w:val="0053561F"/>
    <w:rsid w:val="00535754"/>
    <w:rsid w:val="00535DF8"/>
    <w:rsid w:val="00536311"/>
    <w:rsid w:val="005363B1"/>
    <w:rsid w:val="0053655E"/>
    <w:rsid w:val="00536A94"/>
    <w:rsid w:val="00536E2D"/>
    <w:rsid w:val="00536F8F"/>
    <w:rsid w:val="00537035"/>
    <w:rsid w:val="00537977"/>
    <w:rsid w:val="00537C6A"/>
    <w:rsid w:val="00540C77"/>
    <w:rsid w:val="005414AE"/>
    <w:rsid w:val="00541C4B"/>
    <w:rsid w:val="00541DF9"/>
    <w:rsid w:val="00541FDA"/>
    <w:rsid w:val="00542570"/>
    <w:rsid w:val="0054265F"/>
    <w:rsid w:val="00543067"/>
    <w:rsid w:val="005434A2"/>
    <w:rsid w:val="0054366D"/>
    <w:rsid w:val="00543703"/>
    <w:rsid w:val="0054385B"/>
    <w:rsid w:val="005438A6"/>
    <w:rsid w:val="00543C84"/>
    <w:rsid w:val="00543C86"/>
    <w:rsid w:val="0054412E"/>
    <w:rsid w:val="005441F9"/>
    <w:rsid w:val="005443B7"/>
    <w:rsid w:val="005455BD"/>
    <w:rsid w:val="00545845"/>
    <w:rsid w:val="005459AF"/>
    <w:rsid w:val="00545A99"/>
    <w:rsid w:val="00545BD9"/>
    <w:rsid w:val="00545CB5"/>
    <w:rsid w:val="00546231"/>
    <w:rsid w:val="0054671F"/>
    <w:rsid w:val="0054672F"/>
    <w:rsid w:val="0054680F"/>
    <w:rsid w:val="005474C5"/>
    <w:rsid w:val="00547EEF"/>
    <w:rsid w:val="00547F12"/>
    <w:rsid w:val="0055040F"/>
    <w:rsid w:val="005505E0"/>
    <w:rsid w:val="00550642"/>
    <w:rsid w:val="005506E3"/>
    <w:rsid w:val="00550815"/>
    <w:rsid w:val="00550888"/>
    <w:rsid w:val="005508EF"/>
    <w:rsid w:val="00550CEE"/>
    <w:rsid w:val="00550DA8"/>
    <w:rsid w:val="00551557"/>
    <w:rsid w:val="00551F84"/>
    <w:rsid w:val="00551FAB"/>
    <w:rsid w:val="005521F2"/>
    <w:rsid w:val="0055221E"/>
    <w:rsid w:val="00552B39"/>
    <w:rsid w:val="005531D0"/>
    <w:rsid w:val="005534A1"/>
    <w:rsid w:val="00554189"/>
    <w:rsid w:val="00554274"/>
    <w:rsid w:val="00554F69"/>
    <w:rsid w:val="00554FD9"/>
    <w:rsid w:val="005550EA"/>
    <w:rsid w:val="005552DD"/>
    <w:rsid w:val="0055578E"/>
    <w:rsid w:val="005557A5"/>
    <w:rsid w:val="00555AA5"/>
    <w:rsid w:val="00555B93"/>
    <w:rsid w:val="00555F4B"/>
    <w:rsid w:val="0055677E"/>
    <w:rsid w:val="00556895"/>
    <w:rsid w:val="0055692A"/>
    <w:rsid w:val="00556D85"/>
    <w:rsid w:val="00556FAE"/>
    <w:rsid w:val="00557465"/>
    <w:rsid w:val="005574E5"/>
    <w:rsid w:val="00557951"/>
    <w:rsid w:val="00557D09"/>
    <w:rsid w:val="00560030"/>
    <w:rsid w:val="005609D0"/>
    <w:rsid w:val="00560E00"/>
    <w:rsid w:val="0056108E"/>
    <w:rsid w:val="00561684"/>
    <w:rsid w:val="00561B5B"/>
    <w:rsid w:val="00561CEE"/>
    <w:rsid w:val="00561F43"/>
    <w:rsid w:val="005621D8"/>
    <w:rsid w:val="005623D6"/>
    <w:rsid w:val="00562937"/>
    <w:rsid w:val="005630FE"/>
    <w:rsid w:val="00563F3D"/>
    <w:rsid w:val="005640B3"/>
    <w:rsid w:val="0056452D"/>
    <w:rsid w:val="0056513D"/>
    <w:rsid w:val="00565A0A"/>
    <w:rsid w:val="00566067"/>
    <w:rsid w:val="00566693"/>
    <w:rsid w:val="00566BA9"/>
    <w:rsid w:val="00566FAD"/>
    <w:rsid w:val="00567450"/>
    <w:rsid w:val="00567464"/>
    <w:rsid w:val="0056749A"/>
    <w:rsid w:val="0056784A"/>
    <w:rsid w:val="00567951"/>
    <w:rsid w:val="00567E1C"/>
    <w:rsid w:val="00567E5D"/>
    <w:rsid w:val="0057042E"/>
    <w:rsid w:val="00570881"/>
    <w:rsid w:val="00570965"/>
    <w:rsid w:val="005710E5"/>
    <w:rsid w:val="0057127B"/>
    <w:rsid w:val="005714D7"/>
    <w:rsid w:val="005720C7"/>
    <w:rsid w:val="0057213D"/>
    <w:rsid w:val="005729A2"/>
    <w:rsid w:val="0057312D"/>
    <w:rsid w:val="00573294"/>
    <w:rsid w:val="00573642"/>
    <w:rsid w:val="0057395C"/>
    <w:rsid w:val="00573C17"/>
    <w:rsid w:val="00573C44"/>
    <w:rsid w:val="00573D17"/>
    <w:rsid w:val="00573DDF"/>
    <w:rsid w:val="005741E1"/>
    <w:rsid w:val="005741E9"/>
    <w:rsid w:val="00574600"/>
    <w:rsid w:val="00574877"/>
    <w:rsid w:val="00574D1B"/>
    <w:rsid w:val="00574D28"/>
    <w:rsid w:val="00575089"/>
    <w:rsid w:val="00575C00"/>
    <w:rsid w:val="00575C55"/>
    <w:rsid w:val="005760B6"/>
    <w:rsid w:val="0057614C"/>
    <w:rsid w:val="005761EB"/>
    <w:rsid w:val="005762C7"/>
    <w:rsid w:val="00576381"/>
    <w:rsid w:val="005769B2"/>
    <w:rsid w:val="00576AFE"/>
    <w:rsid w:val="00577271"/>
    <w:rsid w:val="005774F2"/>
    <w:rsid w:val="00577539"/>
    <w:rsid w:val="00577B3C"/>
    <w:rsid w:val="00577EE6"/>
    <w:rsid w:val="00577EE7"/>
    <w:rsid w:val="00580226"/>
    <w:rsid w:val="00580539"/>
    <w:rsid w:val="00580A0E"/>
    <w:rsid w:val="00580CAB"/>
    <w:rsid w:val="00581053"/>
    <w:rsid w:val="00581187"/>
    <w:rsid w:val="0058119C"/>
    <w:rsid w:val="0058128D"/>
    <w:rsid w:val="0058129E"/>
    <w:rsid w:val="00581653"/>
    <w:rsid w:val="005818BA"/>
    <w:rsid w:val="005819C7"/>
    <w:rsid w:val="00582158"/>
    <w:rsid w:val="005821C4"/>
    <w:rsid w:val="00582412"/>
    <w:rsid w:val="00582CF1"/>
    <w:rsid w:val="00582F68"/>
    <w:rsid w:val="0058338D"/>
    <w:rsid w:val="00583824"/>
    <w:rsid w:val="00583A47"/>
    <w:rsid w:val="00583CCD"/>
    <w:rsid w:val="00583E7F"/>
    <w:rsid w:val="0058440E"/>
    <w:rsid w:val="005846FB"/>
    <w:rsid w:val="00584E02"/>
    <w:rsid w:val="005857F2"/>
    <w:rsid w:val="00585E69"/>
    <w:rsid w:val="00586769"/>
    <w:rsid w:val="00586D47"/>
    <w:rsid w:val="00586E29"/>
    <w:rsid w:val="00586F92"/>
    <w:rsid w:val="00587089"/>
    <w:rsid w:val="005871F3"/>
    <w:rsid w:val="005875F7"/>
    <w:rsid w:val="00587ACF"/>
    <w:rsid w:val="00587BE4"/>
    <w:rsid w:val="005903A6"/>
    <w:rsid w:val="00590549"/>
    <w:rsid w:val="0059094B"/>
    <w:rsid w:val="00591737"/>
    <w:rsid w:val="005917CB"/>
    <w:rsid w:val="00592344"/>
    <w:rsid w:val="005929F6"/>
    <w:rsid w:val="00592BEF"/>
    <w:rsid w:val="00592C3B"/>
    <w:rsid w:val="00592DE7"/>
    <w:rsid w:val="00593770"/>
    <w:rsid w:val="00593C5B"/>
    <w:rsid w:val="00594962"/>
    <w:rsid w:val="00594CA1"/>
    <w:rsid w:val="0059546C"/>
    <w:rsid w:val="00595624"/>
    <w:rsid w:val="00595DC5"/>
    <w:rsid w:val="00595FC7"/>
    <w:rsid w:val="00596248"/>
    <w:rsid w:val="005964D4"/>
    <w:rsid w:val="0059661B"/>
    <w:rsid w:val="0059699C"/>
    <w:rsid w:val="00596B36"/>
    <w:rsid w:val="00596BBD"/>
    <w:rsid w:val="00596BCE"/>
    <w:rsid w:val="00596C40"/>
    <w:rsid w:val="00596D5C"/>
    <w:rsid w:val="0059725F"/>
    <w:rsid w:val="005977B8"/>
    <w:rsid w:val="0059797B"/>
    <w:rsid w:val="00597A1E"/>
    <w:rsid w:val="005A0122"/>
    <w:rsid w:val="005A116F"/>
    <w:rsid w:val="005A16A1"/>
    <w:rsid w:val="005A171F"/>
    <w:rsid w:val="005A1877"/>
    <w:rsid w:val="005A1D39"/>
    <w:rsid w:val="005A1EE7"/>
    <w:rsid w:val="005A2249"/>
    <w:rsid w:val="005A2341"/>
    <w:rsid w:val="005A2346"/>
    <w:rsid w:val="005A29D7"/>
    <w:rsid w:val="005A2AD7"/>
    <w:rsid w:val="005A2CF8"/>
    <w:rsid w:val="005A2E44"/>
    <w:rsid w:val="005A2EE2"/>
    <w:rsid w:val="005A30B3"/>
    <w:rsid w:val="005A3783"/>
    <w:rsid w:val="005A3EDE"/>
    <w:rsid w:val="005A4A68"/>
    <w:rsid w:val="005A568B"/>
    <w:rsid w:val="005A5936"/>
    <w:rsid w:val="005A607D"/>
    <w:rsid w:val="005A6C04"/>
    <w:rsid w:val="005A6C50"/>
    <w:rsid w:val="005A6D24"/>
    <w:rsid w:val="005A72D0"/>
    <w:rsid w:val="005A7747"/>
    <w:rsid w:val="005A78E5"/>
    <w:rsid w:val="005A7B34"/>
    <w:rsid w:val="005B0852"/>
    <w:rsid w:val="005B0CD9"/>
    <w:rsid w:val="005B0FC4"/>
    <w:rsid w:val="005B1116"/>
    <w:rsid w:val="005B1159"/>
    <w:rsid w:val="005B12CF"/>
    <w:rsid w:val="005B1A14"/>
    <w:rsid w:val="005B1ADB"/>
    <w:rsid w:val="005B1D9C"/>
    <w:rsid w:val="005B25E1"/>
    <w:rsid w:val="005B2E18"/>
    <w:rsid w:val="005B32E8"/>
    <w:rsid w:val="005B343F"/>
    <w:rsid w:val="005B39BF"/>
    <w:rsid w:val="005B40AE"/>
    <w:rsid w:val="005B4162"/>
    <w:rsid w:val="005B45A6"/>
    <w:rsid w:val="005B4678"/>
    <w:rsid w:val="005B46E9"/>
    <w:rsid w:val="005B47E8"/>
    <w:rsid w:val="005B4C5C"/>
    <w:rsid w:val="005B4F6A"/>
    <w:rsid w:val="005B4FE8"/>
    <w:rsid w:val="005B5183"/>
    <w:rsid w:val="005B5209"/>
    <w:rsid w:val="005B5321"/>
    <w:rsid w:val="005B55CF"/>
    <w:rsid w:val="005B57E6"/>
    <w:rsid w:val="005B594B"/>
    <w:rsid w:val="005B5C66"/>
    <w:rsid w:val="005B5EC3"/>
    <w:rsid w:val="005B606A"/>
    <w:rsid w:val="005B6312"/>
    <w:rsid w:val="005B652D"/>
    <w:rsid w:val="005B67C6"/>
    <w:rsid w:val="005B6FF2"/>
    <w:rsid w:val="005B7552"/>
    <w:rsid w:val="005B7729"/>
    <w:rsid w:val="005B7A9A"/>
    <w:rsid w:val="005B7F09"/>
    <w:rsid w:val="005B7F55"/>
    <w:rsid w:val="005C0039"/>
    <w:rsid w:val="005C0066"/>
    <w:rsid w:val="005C09E1"/>
    <w:rsid w:val="005C0B28"/>
    <w:rsid w:val="005C0C23"/>
    <w:rsid w:val="005C0C4F"/>
    <w:rsid w:val="005C0CF5"/>
    <w:rsid w:val="005C0F00"/>
    <w:rsid w:val="005C11FF"/>
    <w:rsid w:val="005C181D"/>
    <w:rsid w:val="005C1BDC"/>
    <w:rsid w:val="005C1C1F"/>
    <w:rsid w:val="005C22E5"/>
    <w:rsid w:val="005C2420"/>
    <w:rsid w:val="005C24C5"/>
    <w:rsid w:val="005C25C7"/>
    <w:rsid w:val="005C3360"/>
    <w:rsid w:val="005C3949"/>
    <w:rsid w:val="005C3B06"/>
    <w:rsid w:val="005C4997"/>
    <w:rsid w:val="005C4F9A"/>
    <w:rsid w:val="005C6218"/>
    <w:rsid w:val="005C678F"/>
    <w:rsid w:val="005C67C9"/>
    <w:rsid w:val="005C6808"/>
    <w:rsid w:val="005C6A8F"/>
    <w:rsid w:val="005C6FF4"/>
    <w:rsid w:val="005C77B1"/>
    <w:rsid w:val="005C787C"/>
    <w:rsid w:val="005C7910"/>
    <w:rsid w:val="005C7CA2"/>
    <w:rsid w:val="005C7CD5"/>
    <w:rsid w:val="005C7F87"/>
    <w:rsid w:val="005D027A"/>
    <w:rsid w:val="005D06D9"/>
    <w:rsid w:val="005D090A"/>
    <w:rsid w:val="005D0D7D"/>
    <w:rsid w:val="005D0FC4"/>
    <w:rsid w:val="005D0FD8"/>
    <w:rsid w:val="005D1632"/>
    <w:rsid w:val="005D1653"/>
    <w:rsid w:val="005D212F"/>
    <w:rsid w:val="005D25F1"/>
    <w:rsid w:val="005D2855"/>
    <w:rsid w:val="005D289D"/>
    <w:rsid w:val="005D299B"/>
    <w:rsid w:val="005D29EC"/>
    <w:rsid w:val="005D2A1F"/>
    <w:rsid w:val="005D2A2D"/>
    <w:rsid w:val="005D2DD3"/>
    <w:rsid w:val="005D341C"/>
    <w:rsid w:val="005D36FC"/>
    <w:rsid w:val="005D39D5"/>
    <w:rsid w:val="005D3C53"/>
    <w:rsid w:val="005D3CE4"/>
    <w:rsid w:val="005D3D70"/>
    <w:rsid w:val="005D3F75"/>
    <w:rsid w:val="005D4468"/>
    <w:rsid w:val="005D4ACD"/>
    <w:rsid w:val="005D4CBB"/>
    <w:rsid w:val="005D4DE2"/>
    <w:rsid w:val="005D5069"/>
    <w:rsid w:val="005D532B"/>
    <w:rsid w:val="005D5CED"/>
    <w:rsid w:val="005D6068"/>
    <w:rsid w:val="005D6085"/>
    <w:rsid w:val="005D6400"/>
    <w:rsid w:val="005D6B26"/>
    <w:rsid w:val="005D7052"/>
    <w:rsid w:val="005D7933"/>
    <w:rsid w:val="005D7A2A"/>
    <w:rsid w:val="005E0F11"/>
    <w:rsid w:val="005E151F"/>
    <w:rsid w:val="005E178A"/>
    <w:rsid w:val="005E1A1D"/>
    <w:rsid w:val="005E1E61"/>
    <w:rsid w:val="005E1F4F"/>
    <w:rsid w:val="005E1F86"/>
    <w:rsid w:val="005E203C"/>
    <w:rsid w:val="005E2761"/>
    <w:rsid w:val="005E2C39"/>
    <w:rsid w:val="005E3111"/>
    <w:rsid w:val="005E3C4C"/>
    <w:rsid w:val="005E3CFD"/>
    <w:rsid w:val="005E4290"/>
    <w:rsid w:val="005E4824"/>
    <w:rsid w:val="005E4A80"/>
    <w:rsid w:val="005E4CBD"/>
    <w:rsid w:val="005E4F2B"/>
    <w:rsid w:val="005E4FA6"/>
    <w:rsid w:val="005E52FE"/>
    <w:rsid w:val="005E5625"/>
    <w:rsid w:val="005E664E"/>
    <w:rsid w:val="005E712E"/>
    <w:rsid w:val="005E73DA"/>
    <w:rsid w:val="005E7767"/>
    <w:rsid w:val="005E7A30"/>
    <w:rsid w:val="005E7A70"/>
    <w:rsid w:val="005E7B78"/>
    <w:rsid w:val="005E7F1F"/>
    <w:rsid w:val="005F0089"/>
    <w:rsid w:val="005F0766"/>
    <w:rsid w:val="005F0A1E"/>
    <w:rsid w:val="005F0CA3"/>
    <w:rsid w:val="005F0F95"/>
    <w:rsid w:val="005F11F7"/>
    <w:rsid w:val="005F1E6D"/>
    <w:rsid w:val="005F2760"/>
    <w:rsid w:val="005F2E5F"/>
    <w:rsid w:val="005F2F59"/>
    <w:rsid w:val="005F3177"/>
    <w:rsid w:val="005F3320"/>
    <w:rsid w:val="005F3373"/>
    <w:rsid w:val="005F35B9"/>
    <w:rsid w:val="005F372A"/>
    <w:rsid w:val="005F3994"/>
    <w:rsid w:val="005F39D9"/>
    <w:rsid w:val="005F3D00"/>
    <w:rsid w:val="005F459C"/>
    <w:rsid w:val="005F4B36"/>
    <w:rsid w:val="005F4F10"/>
    <w:rsid w:val="005F56FC"/>
    <w:rsid w:val="005F5A26"/>
    <w:rsid w:val="005F5CAB"/>
    <w:rsid w:val="005F5F0A"/>
    <w:rsid w:val="005F6040"/>
    <w:rsid w:val="005F640D"/>
    <w:rsid w:val="005F65BC"/>
    <w:rsid w:val="005F6956"/>
    <w:rsid w:val="005F6C48"/>
    <w:rsid w:val="005F737A"/>
    <w:rsid w:val="005F7C9B"/>
    <w:rsid w:val="0060020A"/>
    <w:rsid w:val="00600682"/>
    <w:rsid w:val="00601050"/>
    <w:rsid w:val="0060169D"/>
    <w:rsid w:val="00601A35"/>
    <w:rsid w:val="00602062"/>
    <w:rsid w:val="006022A4"/>
    <w:rsid w:val="00602763"/>
    <w:rsid w:val="0060289B"/>
    <w:rsid w:val="00602DB3"/>
    <w:rsid w:val="0060332C"/>
    <w:rsid w:val="00603787"/>
    <w:rsid w:val="00603DF8"/>
    <w:rsid w:val="00604589"/>
    <w:rsid w:val="00604D26"/>
    <w:rsid w:val="00604E0C"/>
    <w:rsid w:val="00605BAF"/>
    <w:rsid w:val="00606685"/>
    <w:rsid w:val="00606906"/>
    <w:rsid w:val="00606B1A"/>
    <w:rsid w:val="00606FDF"/>
    <w:rsid w:val="006077D0"/>
    <w:rsid w:val="00607921"/>
    <w:rsid w:val="00607B83"/>
    <w:rsid w:val="00607CC1"/>
    <w:rsid w:val="00610854"/>
    <w:rsid w:val="006109BE"/>
    <w:rsid w:val="00610A55"/>
    <w:rsid w:val="00610BC4"/>
    <w:rsid w:val="00610EE3"/>
    <w:rsid w:val="00610F99"/>
    <w:rsid w:val="00611458"/>
    <w:rsid w:val="0061171B"/>
    <w:rsid w:val="006118DB"/>
    <w:rsid w:val="00611C95"/>
    <w:rsid w:val="00612490"/>
    <w:rsid w:val="00612630"/>
    <w:rsid w:val="0061263B"/>
    <w:rsid w:val="00612827"/>
    <w:rsid w:val="00612B6D"/>
    <w:rsid w:val="00612D9D"/>
    <w:rsid w:val="0061303B"/>
    <w:rsid w:val="0061322D"/>
    <w:rsid w:val="0061322F"/>
    <w:rsid w:val="00613348"/>
    <w:rsid w:val="00613399"/>
    <w:rsid w:val="00613CBC"/>
    <w:rsid w:val="00613DB0"/>
    <w:rsid w:val="0061429A"/>
    <w:rsid w:val="00614532"/>
    <w:rsid w:val="0061471A"/>
    <w:rsid w:val="006149EC"/>
    <w:rsid w:val="00615E7B"/>
    <w:rsid w:val="00615F1A"/>
    <w:rsid w:val="00615FD9"/>
    <w:rsid w:val="006166BE"/>
    <w:rsid w:val="00616756"/>
    <w:rsid w:val="006168F8"/>
    <w:rsid w:val="00616D6E"/>
    <w:rsid w:val="00616F9A"/>
    <w:rsid w:val="0061709F"/>
    <w:rsid w:val="00617398"/>
    <w:rsid w:val="006177BF"/>
    <w:rsid w:val="00617BC1"/>
    <w:rsid w:val="006200A0"/>
    <w:rsid w:val="0062016A"/>
    <w:rsid w:val="006208FF"/>
    <w:rsid w:val="006211F3"/>
    <w:rsid w:val="0062176C"/>
    <w:rsid w:val="006218F4"/>
    <w:rsid w:val="00621C82"/>
    <w:rsid w:val="00621EC0"/>
    <w:rsid w:val="0062260E"/>
    <w:rsid w:val="0062268A"/>
    <w:rsid w:val="006228A8"/>
    <w:rsid w:val="00622BAD"/>
    <w:rsid w:val="0062336C"/>
    <w:rsid w:val="00624478"/>
    <w:rsid w:val="00624C41"/>
    <w:rsid w:val="00624EB2"/>
    <w:rsid w:val="006254A3"/>
    <w:rsid w:val="0062590C"/>
    <w:rsid w:val="00626497"/>
    <w:rsid w:val="006264D3"/>
    <w:rsid w:val="006264D6"/>
    <w:rsid w:val="00627019"/>
    <w:rsid w:val="00627205"/>
    <w:rsid w:val="0062765F"/>
    <w:rsid w:val="006278DB"/>
    <w:rsid w:val="00627B3C"/>
    <w:rsid w:val="00627D11"/>
    <w:rsid w:val="00627D26"/>
    <w:rsid w:val="00630E51"/>
    <w:rsid w:val="00631168"/>
    <w:rsid w:val="00631FB7"/>
    <w:rsid w:val="00633279"/>
    <w:rsid w:val="00633E25"/>
    <w:rsid w:val="006344A8"/>
    <w:rsid w:val="0063475D"/>
    <w:rsid w:val="006348AB"/>
    <w:rsid w:val="00634CFF"/>
    <w:rsid w:val="0063671F"/>
    <w:rsid w:val="006368B0"/>
    <w:rsid w:val="0063715A"/>
    <w:rsid w:val="00637E03"/>
    <w:rsid w:val="0064001A"/>
    <w:rsid w:val="006400E4"/>
    <w:rsid w:val="006409BD"/>
    <w:rsid w:val="00640D17"/>
    <w:rsid w:val="00640D8F"/>
    <w:rsid w:val="00640ECD"/>
    <w:rsid w:val="00640FED"/>
    <w:rsid w:val="00641178"/>
    <w:rsid w:val="006416AB"/>
    <w:rsid w:val="006417F1"/>
    <w:rsid w:val="00641DBB"/>
    <w:rsid w:val="00641E73"/>
    <w:rsid w:val="006423FD"/>
    <w:rsid w:val="0064269A"/>
    <w:rsid w:val="00642D4A"/>
    <w:rsid w:val="00643022"/>
    <w:rsid w:val="006435EA"/>
    <w:rsid w:val="00643A83"/>
    <w:rsid w:val="00643B9C"/>
    <w:rsid w:val="00643F4F"/>
    <w:rsid w:val="00644B70"/>
    <w:rsid w:val="00644D16"/>
    <w:rsid w:val="0064513A"/>
    <w:rsid w:val="006451A0"/>
    <w:rsid w:val="00645509"/>
    <w:rsid w:val="00645832"/>
    <w:rsid w:val="00645C50"/>
    <w:rsid w:val="00645C6E"/>
    <w:rsid w:val="00645D32"/>
    <w:rsid w:val="0064655F"/>
    <w:rsid w:val="0064666E"/>
    <w:rsid w:val="00646989"/>
    <w:rsid w:val="00646D35"/>
    <w:rsid w:val="006475F3"/>
    <w:rsid w:val="0064790F"/>
    <w:rsid w:val="00647AA9"/>
    <w:rsid w:val="00647EE9"/>
    <w:rsid w:val="00650235"/>
    <w:rsid w:val="00650574"/>
    <w:rsid w:val="0065078B"/>
    <w:rsid w:val="00650EC2"/>
    <w:rsid w:val="006511D4"/>
    <w:rsid w:val="0065129B"/>
    <w:rsid w:val="00651913"/>
    <w:rsid w:val="00651C89"/>
    <w:rsid w:val="00651EB2"/>
    <w:rsid w:val="006523B8"/>
    <w:rsid w:val="00652ACA"/>
    <w:rsid w:val="00652B00"/>
    <w:rsid w:val="00652C1E"/>
    <w:rsid w:val="00653285"/>
    <w:rsid w:val="00653468"/>
    <w:rsid w:val="00653568"/>
    <w:rsid w:val="006535AF"/>
    <w:rsid w:val="006535C6"/>
    <w:rsid w:val="00653DA8"/>
    <w:rsid w:val="006541EE"/>
    <w:rsid w:val="0065439C"/>
    <w:rsid w:val="0065447B"/>
    <w:rsid w:val="006548F4"/>
    <w:rsid w:val="00654F17"/>
    <w:rsid w:val="006559B6"/>
    <w:rsid w:val="00655A2E"/>
    <w:rsid w:val="00657598"/>
    <w:rsid w:val="006578C5"/>
    <w:rsid w:val="00657AEB"/>
    <w:rsid w:val="00657F4C"/>
    <w:rsid w:val="0066023B"/>
    <w:rsid w:val="006603DA"/>
    <w:rsid w:val="006604CF"/>
    <w:rsid w:val="00660954"/>
    <w:rsid w:val="00660B17"/>
    <w:rsid w:val="00660ED5"/>
    <w:rsid w:val="0066147A"/>
    <w:rsid w:val="006615F9"/>
    <w:rsid w:val="00661797"/>
    <w:rsid w:val="00661E5D"/>
    <w:rsid w:val="00661FB0"/>
    <w:rsid w:val="00662673"/>
    <w:rsid w:val="00662E47"/>
    <w:rsid w:val="00663156"/>
    <w:rsid w:val="00663171"/>
    <w:rsid w:val="0066328F"/>
    <w:rsid w:val="006632E0"/>
    <w:rsid w:val="006633E3"/>
    <w:rsid w:val="0066418F"/>
    <w:rsid w:val="006646CF"/>
    <w:rsid w:val="00665A1D"/>
    <w:rsid w:val="00665E4D"/>
    <w:rsid w:val="006661DB"/>
    <w:rsid w:val="00666E2A"/>
    <w:rsid w:val="00667DD2"/>
    <w:rsid w:val="00667E1D"/>
    <w:rsid w:val="00667FE7"/>
    <w:rsid w:val="00670377"/>
    <w:rsid w:val="0067061B"/>
    <w:rsid w:val="0067072A"/>
    <w:rsid w:val="00670F15"/>
    <w:rsid w:val="00671C63"/>
    <w:rsid w:val="006721FB"/>
    <w:rsid w:val="00672454"/>
    <w:rsid w:val="00672975"/>
    <w:rsid w:val="00672A71"/>
    <w:rsid w:val="00672E3E"/>
    <w:rsid w:val="0067354A"/>
    <w:rsid w:val="0067406A"/>
    <w:rsid w:val="006742AE"/>
    <w:rsid w:val="0067430E"/>
    <w:rsid w:val="0067443B"/>
    <w:rsid w:val="00674DAF"/>
    <w:rsid w:val="00675293"/>
    <w:rsid w:val="00675638"/>
    <w:rsid w:val="00675749"/>
    <w:rsid w:val="006759FA"/>
    <w:rsid w:val="00675C85"/>
    <w:rsid w:val="00675E4D"/>
    <w:rsid w:val="00676340"/>
    <w:rsid w:val="00676402"/>
    <w:rsid w:val="00676CA3"/>
    <w:rsid w:val="00676EF2"/>
    <w:rsid w:val="006772A0"/>
    <w:rsid w:val="00677542"/>
    <w:rsid w:val="0067771D"/>
    <w:rsid w:val="00677D76"/>
    <w:rsid w:val="0068004F"/>
    <w:rsid w:val="00680143"/>
    <w:rsid w:val="006802D7"/>
    <w:rsid w:val="006809DE"/>
    <w:rsid w:val="00680A9B"/>
    <w:rsid w:val="00680AB3"/>
    <w:rsid w:val="0068127B"/>
    <w:rsid w:val="00681342"/>
    <w:rsid w:val="00681371"/>
    <w:rsid w:val="006818AD"/>
    <w:rsid w:val="00681A82"/>
    <w:rsid w:val="00681C3B"/>
    <w:rsid w:val="00681C74"/>
    <w:rsid w:val="00681DCF"/>
    <w:rsid w:val="00681EC5"/>
    <w:rsid w:val="00682812"/>
    <w:rsid w:val="00682B84"/>
    <w:rsid w:val="00683118"/>
    <w:rsid w:val="0068335F"/>
    <w:rsid w:val="00683577"/>
    <w:rsid w:val="0068399B"/>
    <w:rsid w:val="00683F69"/>
    <w:rsid w:val="0068402B"/>
    <w:rsid w:val="0068428F"/>
    <w:rsid w:val="00684292"/>
    <w:rsid w:val="006845A8"/>
    <w:rsid w:val="006847FD"/>
    <w:rsid w:val="00684E26"/>
    <w:rsid w:val="00684F81"/>
    <w:rsid w:val="00685489"/>
    <w:rsid w:val="0068550C"/>
    <w:rsid w:val="00685852"/>
    <w:rsid w:val="006858D0"/>
    <w:rsid w:val="00685D9C"/>
    <w:rsid w:val="006862A5"/>
    <w:rsid w:val="0068661C"/>
    <w:rsid w:val="00686840"/>
    <w:rsid w:val="00686A3B"/>
    <w:rsid w:val="00686CC8"/>
    <w:rsid w:val="006872DB"/>
    <w:rsid w:val="0068739D"/>
    <w:rsid w:val="00687A00"/>
    <w:rsid w:val="00687EAB"/>
    <w:rsid w:val="006902DF"/>
    <w:rsid w:val="00690651"/>
    <w:rsid w:val="00690D9F"/>
    <w:rsid w:val="0069111C"/>
    <w:rsid w:val="0069131B"/>
    <w:rsid w:val="00691394"/>
    <w:rsid w:val="006915B1"/>
    <w:rsid w:val="0069188A"/>
    <w:rsid w:val="006919EB"/>
    <w:rsid w:val="00691D81"/>
    <w:rsid w:val="00692967"/>
    <w:rsid w:val="00692C9D"/>
    <w:rsid w:val="00693567"/>
    <w:rsid w:val="006943A5"/>
    <w:rsid w:val="00694468"/>
    <w:rsid w:val="00694B7E"/>
    <w:rsid w:val="00695258"/>
    <w:rsid w:val="00695AE1"/>
    <w:rsid w:val="00695FC3"/>
    <w:rsid w:val="00696826"/>
    <w:rsid w:val="00696851"/>
    <w:rsid w:val="00696B42"/>
    <w:rsid w:val="00697117"/>
    <w:rsid w:val="00697443"/>
    <w:rsid w:val="00697470"/>
    <w:rsid w:val="006975EA"/>
    <w:rsid w:val="00697FDB"/>
    <w:rsid w:val="006A0003"/>
    <w:rsid w:val="006A053C"/>
    <w:rsid w:val="006A05D2"/>
    <w:rsid w:val="006A0602"/>
    <w:rsid w:val="006A08D1"/>
    <w:rsid w:val="006A0984"/>
    <w:rsid w:val="006A117A"/>
    <w:rsid w:val="006A1CE2"/>
    <w:rsid w:val="006A1E83"/>
    <w:rsid w:val="006A207F"/>
    <w:rsid w:val="006A252C"/>
    <w:rsid w:val="006A3160"/>
    <w:rsid w:val="006A3701"/>
    <w:rsid w:val="006A37DD"/>
    <w:rsid w:val="006A3809"/>
    <w:rsid w:val="006A3C5E"/>
    <w:rsid w:val="006A4444"/>
    <w:rsid w:val="006A4C73"/>
    <w:rsid w:val="006A5717"/>
    <w:rsid w:val="006A5C47"/>
    <w:rsid w:val="006A5FA1"/>
    <w:rsid w:val="006A63DD"/>
    <w:rsid w:val="006A6405"/>
    <w:rsid w:val="006A68A6"/>
    <w:rsid w:val="006A6A02"/>
    <w:rsid w:val="006A6ACF"/>
    <w:rsid w:val="006A6B79"/>
    <w:rsid w:val="006A6CFE"/>
    <w:rsid w:val="006A6E20"/>
    <w:rsid w:val="006A71FC"/>
    <w:rsid w:val="006A729C"/>
    <w:rsid w:val="006A77D0"/>
    <w:rsid w:val="006A786A"/>
    <w:rsid w:val="006B0218"/>
    <w:rsid w:val="006B0256"/>
    <w:rsid w:val="006B02DE"/>
    <w:rsid w:val="006B0495"/>
    <w:rsid w:val="006B0985"/>
    <w:rsid w:val="006B1420"/>
    <w:rsid w:val="006B17E5"/>
    <w:rsid w:val="006B19CD"/>
    <w:rsid w:val="006B1A63"/>
    <w:rsid w:val="006B1B7B"/>
    <w:rsid w:val="006B22A1"/>
    <w:rsid w:val="006B2643"/>
    <w:rsid w:val="006B295B"/>
    <w:rsid w:val="006B2E05"/>
    <w:rsid w:val="006B2EAB"/>
    <w:rsid w:val="006B2F96"/>
    <w:rsid w:val="006B4194"/>
    <w:rsid w:val="006B421E"/>
    <w:rsid w:val="006B42C9"/>
    <w:rsid w:val="006B57B5"/>
    <w:rsid w:val="006B5BB9"/>
    <w:rsid w:val="006B6715"/>
    <w:rsid w:val="006B6B7E"/>
    <w:rsid w:val="006B6EF5"/>
    <w:rsid w:val="006B7025"/>
    <w:rsid w:val="006B754C"/>
    <w:rsid w:val="006B7725"/>
    <w:rsid w:val="006B78B3"/>
    <w:rsid w:val="006B7B03"/>
    <w:rsid w:val="006C0A8C"/>
    <w:rsid w:val="006C0DA2"/>
    <w:rsid w:val="006C0FB9"/>
    <w:rsid w:val="006C16DA"/>
    <w:rsid w:val="006C1721"/>
    <w:rsid w:val="006C1823"/>
    <w:rsid w:val="006C1B8A"/>
    <w:rsid w:val="006C22C6"/>
    <w:rsid w:val="006C2522"/>
    <w:rsid w:val="006C2DA7"/>
    <w:rsid w:val="006C306A"/>
    <w:rsid w:val="006C32E3"/>
    <w:rsid w:val="006C3465"/>
    <w:rsid w:val="006C3635"/>
    <w:rsid w:val="006C3C26"/>
    <w:rsid w:val="006C3D96"/>
    <w:rsid w:val="006C473D"/>
    <w:rsid w:val="006C4B6C"/>
    <w:rsid w:val="006C5030"/>
    <w:rsid w:val="006C51EE"/>
    <w:rsid w:val="006C5261"/>
    <w:rsid w:val="006C531D"/>
    <w:rsid w:val="006C57ED"/>
    <w:rsid w:val="006C5B97"/>
    <w:rsid w:val="006C65EA"/>
    <w:rsid w:val="006C6DFA"/>
    <w:rsid w:val="006C6E7D"/>
    <w:rsid w:val="006C7275"/>
    <w:rsid w:val="006C759B"/>
    <w:rsid w:val="006C7783"/>
    <w:rsid w:val="006C7AF5"/>
    <w:rsid w:val="006C7F33"/>
    <w:rsid w:val="006C7FAE"/>
    <w:rsid w:val="006D00F1"/>
    <w:rsid w:val="006D01E8"/>
    <w:rsid w:val="006D0345"/>
    <w:rsid w:val="006D0444"/>
    <w:rsid w:val="006D05AF"/>
    <w:rsid w:val="006D084D"/>
    <w:rsid w:val="006D0B92"/>
    <w:rsid w:val="006D0EEB"/>
    <w:rsid w:val="006D1561"/>
    <w:rsid w:val="006D336C"/>
    <w:rsid w:val="006D353C"/>
    <w:rsid w:val="006D38BE"/>
    <w:rsid w:val="006D4233"/>
    <w:rsid w:val="006D44E3"/>
    <w:rsid w:val="006D45FC"/>
    <w:rsid w:val="006D4A43"/>
    <w:rsid w:val="006D57F0"/>
    <w:rsid w:val="006D5C74"/>
    <w:rsid w:val="006D5D95"/>
    <w:rsid w:val="006D6719"/>
    <w:rsid w:val="006D6735"/>
    <w:rsid w:val="006D6D9A"/>
    <w:rsid w:val="006D6DD7"/>
    <w:rsid w:val="006D745D"/>
    <w:rsid w:val="006D746E"/>
    <w:rsid w:val="006D7656"/>
    <w:rsid w:val="006E02CE"/>
    <w:rsid w:val="006E05DB"/>
    <w:rsid w:val="006E0830"/>
    <w:rsid w:val="006E0F08"/>
    <w:rsid w:val="006E0F9B"/>
    <w:rsid w:val="006E1702"/>
    <w:rsid w:val="006E189D"/>
    <w:rsid w:val="006E1F71"/>
    <w:rsid w:val="006E2653"/>
    <w:rsid w:val="006E2A34"/>
    <w:rsid w:val="006E2DD0"/>
    <w:rsid w:val="006E2E5E"/>
    <w:rsid w:val="006E30D5"/>
    <w:rsid w:val="006E3C61"/>
    <w:rsid w:val="006E3EA7"/>
    <w:rsid w:val="006E3F74"/>
    <w:rsid w:val="006E4207"/>
    <w:rsid w:val="006E435C"/>
    <w:rsid w:val="006E4744"/>
    <w:rsid w:val="006E4772"/>
    <w:rsid w:val="006E4DEE"/>
    <w:rsid w:val="006E4FC9"/>
    <w:rsid w:val="006E5017"/>
    <w:rsid w:val="006E57D6"/>
    <w:rsid w:val="006E5ECC"/>
    <w:rsid w:val="006E6F38"/>
    <w:rsid w:val="006E72F5"/>
    <w:rsid w:val="006E75FA"/>
    <w:rsid w:val="006E7A7C"/>
    <w:rsid w:val="006F01BA"/>
    <w:rsid w:val="006F0E95"/>
    <w:rsid w:val="006F172B"/>
    <w:rsid w:val="006F1A6A"/>
    <w:rsid w:val="006F1EAA"/>
    <w:rsid w:val="006F20BB"/>
    <w:rsid w:val="006F2125"/>
    <w:rsid w:val="006F2425"/>
    <w:rsid w:val="006F2765"/>
    <w:rsid w:val="006F3402"/>
    <w:rsid w:val="006F3A3F"/>
    <w:rsid w:val="006F3DC4"/>
    <w:rsid w:val="006F4A00"/>
    <w:rsid w:val="006F4A93"/>
    <w:rsid w:val="006F593A"/>
    <w:rsid w:val="006F5FAD"/>
    <w:rsid w:val="006F6177"/>
    <w:rsid w:val="006F6202"/>
    <w:rsid w:val="006F63BB"/>
    <w:rsid w:val="006F6B98"/>
    <w:rsid w:val="006F6C0E"/>
    <w:rsid w:val="006F6E85"/>
    <w:rsid w:val="006F71DF"/>
    <w:rsid w:val="006F7CD4"/>
    <w:rsid w:val="00700524"/>
    <w:rsid w:val="00700661"/>
    <w:rsid w:val="00700A51"/>
    <w:rsid w:val="00700E6C"/>
    <w:rsid w:val="00701A17"/>
    <w:rsid w:val="00701D83"/>
    <w:rsid w:val="00702299"/>
    <w:rsid w:val="0070246C"/>
    <w:rsid w:val="00702836"/>
    <w:rsid w:val="00702B7E"/>
    <w:rsid w:val="00702EC0"/>
    <w:rsid w:val="00703340"/>
    <w:rsid w:val="0070349F"/>
    <w:rsid w:val="00703805"/>
    <w:rsid w:val="00703814"/>
    <w:rsid w:val="00703B44"/>
    <w:rsid w:val="00703E38"/>
    <w:rsid w:val="00704885"/>
    <w:rsid w:val="00704C25"/>
    <w:rsid w:val="00704FBF"/>
    <w:rsid w:val="007067F1"/>
    <w:rsid w:val="00706988"/>
    <w:rsid w:val="00706A2E"/>
    <w:rsid w:val="00707400"/>
    <w:rsid w:val="0070773E"/>
    <w:rsid w:val="00707DEB"/>
    <w:rsid w:val="007102D1"/>
    <w:rsid w:val="00710430"/>
    <w:rsid w:val="00710907"/>
    <w:rsid w:val="0071097C"/>
    <w:rsid w:val="00710C4D"/>
    <w:rsid w:val="00710E22"/>
    <w:rsid w:val="00711948"/>
    <w:rsid w:val="0071238F"/>
    <w:rsid w:val="00712891"/>
    <w:rsid w:val="00712A23"/>
    <w:rsid w:val="00712DB8"/>
    <w:rsid w:val="00714090"/>
    <w:rsid w:val="00714D8A"/>
    <w:rsid w:val="00714DBD"/>
    <w:rsid w:val="0071533D"/>
    <w:rsid w:val="007158B8"/>
    <w:rsid w:val="00715937"/>
    <w:rsid w:val="00715DDA"/>
    <w:rsid w:val="0071611F"/>
    <w:rsid w:val="0071612C"/>
    <w:rsid w:val="007166F3"/>
    <w:rsid w:val="00716957"/>
    <w:rsid w:val="00716F07"/>
    <w:rsid w:val="0071797E"/>
    <w:rsid w:val="00717A3E"/>
    <w:rsid w:val="00717AE9"/>
    <w:rsid w:val="00717BF9"/>
    <w:rsid w:val="00720C1B"/>
    <w:rsid w:val="00720C77"/>
    <w:rsid w:val="0072115D"/>
    <w:rsid w:val="0072118D"/>
    <w:rsid w:val="0072132C"/>
    <w:rsid w:val="0072140B"/>
    <w:rsid w:val="0072161B"/>
    <w:rsid w:val="00721A21"/>
    <w:rsid w:val="00722231"/>
    <w:rsid w:val="0072257D"/>
    <w:rsid w:val="00722914"/>
    <w:rsid w:val="00722AA2"/>
    <w:rsid w:val="00722B2C"/>
    <w:rsid w:val="00722CD2"/>
    <w:rsid w:val="0072304E"/>
    <w:rsid w:val="00723639"/>
    <w:rsid w:val="00723D6B"/>
    <w:rsid w:val="00723D85"/>
    <w:rsid w:val="00723FCA"/>
    <w:rsid w:val="00724115"/>
    <w:rsid w:val="00724118"/>
    <w:rsid w:val="00724194"/>
    <w:rsid w:val="007249A8"/>
    <w:rsid w:val="00724BE0"/>
    <w:rsid w:val="00724BEA"/>
    <w:rsid w:val="0072503B"/>
    <w:rsid w:val="00725717"/>
    <w:rsid w:val="00725856"/>
    <w:rsid w:val="00725A84"/>
    <w:rsid w:val="007260D1"/>
    <w:rsid w:val="0072639B"/>
    <w:rsid w:val="00726849"/>
    <w:rsid w:val="00726D43"/>
    <w:rsid w:val="007279B8"/>
    <w:rsid w:val="00727C23"/>
    <w:rsid w:val="00727CA8"/>
    <w:rsid w:val="00727F8E"/>
    <w:rsid w:val="007301DC"/>
    <w:rsid w:val="007309DD"/>
    <w:rsid w:val="00730E7E"/>
    <w:rsid w:val="0073132F"/>
    <w:rsid w:val="007321CE"/>
    <w:rsid w:val="00732260"/>
    <w:rsid w:val="007326B8"/>
    <w:rsid w:val="00732B4B"/>
    <w:rsid w:val="00732B8F"/>
    <w:rsid w:val="007337A1"/>
    <w:rsid w:val="00733B56"/>
    <w:rsid w:val="00733CF4"/>
    <w:rsid w:val="00734295"/>
    <w:rsid w:val="00734518"/>
    <w:rsid w:val="00734D44"/>
    <w:rsid w:val="00734FEF"/>
    <w:rsid w:val="007351F3"/>
    <w:rsid w:val="00735838"/>
    <w:rsid w:val="00735849"/>
    <w:rsid w:val="00735B78"/>
    <w:rsid w:val="00735CA0"/>
    <w:rsid w:val="00736729"/>
    <w:rsid w:val="007368D8"/>
    <w:rsid w:val="00736BF1"/>
    <w:rsid w:val="00736D51"/>
    <w:rsid w:val="00737388"/>
    <w:rsid w:val="0073741D"/>
    <w:rsid w:val="0073769D"/>
    <w:rsid w:val="00737B8A"/>
    <w:rsid w:val="00737D55"/>
    <w:rsid w:val="0074011B"/>
    <w:rsid w:val="007404DD"/>
    <w:rsid w:val="00740810"/>
    <w:rsid w:val="00740919"/>
    <w:rsid w:val="00740E27"/>
    <w:rsid w:val="00741FB1"/>
    <w:rsid w:val="0074225E"/>
    <w:rsid w:val="00742B37"/>
    <w:rsid w:val="00742E49"/>
    <w:rsid w:val="0074333D"/>
    <w:rsid w:val="007433B9"/>
    <w:rsid w:val="00743414"/>
    <w:rsid w:val="00743493"/>
    <w:rsid w:val="007437F1"/>
    <w:rsid w:val="00744099"/>
    <w:rsid w:val="00744684"/>
    <w:rsid w:val="00744706"/>
    <w:rsid w:val="007449CA"/>
    <w:rsid w:val="00744E76"/>
    <w:rsid w:val="00745BA3"/>
    <w:rsid w:val="00745BE7"/>
    <w:rsid w:val="00745E9C"/>
    <w:rsid w:val="007460A6"/>
    <w:rsid w:val="00746BC0"/>
    <w:rsid w:val="00746E36"/>
    <w:rsid w:val="00746E69"/>
    <w:rsid w:val="00747083"/>
    <w:rsid w:val="0074791C"/>
    <w:rsid w:val="00747E61"/>
    <w:rsid w:val="00747EFD"/>
    <w:rsid w:val="007503DE"/>
    <w:rsid w:val="00750633"/>
    <w:rsid w:val="00750849"/>
    <w:rsid w:val="00750C5D"/>
    <w:rsid w:val="00750EF6"/>
    <w:rsid w:val="00750F2F"/>
    <w:rsid w:val="007512EF"/>
    <w:rsid w:val="00751314"/>
    <w:rsid w:val="007515DC"/>
    <w:rsid w:val="00751DE3"/>
    <w:rsid w:val="00752766"/>
    <w:rsid w:val="00752971"/>
    <w:rsid w:val="00752B73"/>
    <w:rsid w:val="0075327D"/>
    <w:rsid w:val="00753280"/>
    <w:rsid w:val="00753482"/>
    <w:rsid w:val="007539A8"/>
    <w:rsid w:val="007543A5"/>
    <w:rsid w:val="00754865"/>
    <w:rsid w:val="00754A04"/>
    <w:rsid w:val="00754C4E"/>
    <w:rsid w:val="007551DC"/>
    <w:rsid w:val="0075535D"/>
    <w:rsid w:val="00755542"/>
    <w:rsid w:val="0075576E"/>
    <w:rsid w:val="007557CA"/>
    <w:rsid w:val="007558B1"/>
    <w:rsid w:val="00755DAD"/>
    <w:rsid w:val="007560B8"/>
    <w:rsid w:val="007566B4"/>
    <w:rsid w:val="00756AC2"/>
    <w:rsid w:val="00756C08"/>
    <w:rsid w:val="00756C3F"/>
    <w:rsid w:val="00756D01"/>
    <w:rsid w:val="00757619"/>
    <w:rsid w:val="00760182"/>
    <w:rsid w:val="00761487"/>
    <w:rsid w:val="007614B2"/>
    <w:rsid w:val="00761653"/>
    <w:rsid w:val="00761C54"/>
    <w:rsid w:val="0076202C"/>
    <w:rsid w:val="007626C4"/>
    <w:rsid w:val="007634E6"/>
    <w:rsid w:val="007635BD"/>
    <w:rsid w:val="007635E7"/>
    <w:rsid w:val="0076361F"/>
    <w:rsid w:val="00763C5A"/>
    <w:rsid w:val="00763C7E"/>
    <w:rsid w:val="00764397"/>
    <w:rsid w:val="00764543"/>
    <w:rsid w:val="00764B70"/>
    <w:rsid w:val="00764D8E"/>
    <w:rsid w:val="00764DBF"/>
    <w:rsid w:val="007652F1"/>
    <w:rsid w:val="00765CC0"/>
    <w:rsid w:val="00765DCD"/>
    <w:rsid w:val="00765E33"/>
    <w:rsid w:val="00765F0E"/>
    <w:rsid w:val="00765FC3"/>
    <w:rsid w:val="00765FDA"/>
    <w:rsid w:val="007663E3"/>
    <w:rsid w:val="00766690"/>
    <w:rsid w:val="0076676D"/>
    <w:rsid w:val="007667E7"/>
    <w:rsid w:val="0076683D"/>
    <w:rsid w:val="007673BF"/>
    <w:rsid w:val="007674FC"/>
    <w:rsid w:val="00767C0D"/>
    <w:rsid w:val="0077048F"/>
    <w:rsid w:val="00770B38"/>
    <w:rsid w:val="00771006"/>
    <w:rsid w:val="0077130B"/>
    <w:rsid w:val="00772216"/>
    <w:rsid w:val="007723BD"/>
    <w:rsid w:val="007727C5"/>
    <w:rsid w:val="00772E4A"/>
    <w:rsid w:val="0077376E"/>
    <w:rsid w:val="00773BE5"/>
    <w:rsid w:val="00773C61"/>
    <w:rsid w:val="00774061"/>
    <w:rsid w:val="007743A0"/>
    <w:rsid w:val="007743FB"/>
    <w:rsid w:val="00774F07"/>
    <w:rsid w:val="00775325"/>
    <w:rsid w:val="00775541"/>
    <w:rsid w:val="00775AFE"/>
    <w:rsid w:val="00775C6A"/>
    <w:rsid w:val="00776C3A"/>
    <w:rsid w:val="007774EF"/>
    <w:rsid w:val="0077750E"/>
    <w:rsid w:val="007816EB"/>
    <w:rsid w:val="0078180A"/>
    <w:rsid w:val="0078236C"/>
    <w:rsid w:val="007828E9"/>
    <w:rsid w:val="00782D53"/>
    <w:rsid w:val="00782DE3"/>
    <w:rsid w:val="00783604"/>
    <w:rsid w:val="007844C2"/>
    <w:rsid w:val="00785AAA"/>
    <w:rsid w:val="00785DF4"/>
    <w:rsid w:val="00786021"/>
    <w:rsid w:val="0078602D"/>
    <w:rsid w:val="00786608"/>
    <w:rsid w:val="00786941"/>
    <w:rsid w:val="00786CCE"/>
    <w:rsid w:val="00786D88"/>
    <w:rsid w:val="00786F9F"/>
    <w:rsid w:val="00786FA8"/>
    <w:rsid w:val="00787303"/>
    <w:rsid w:val="0078736D"/>
    <w:rsid w:val="00787728"/>
    <w:rsid w:val="007879B6"/>
    <w:rsid w:val="0079065F"/>
    <w:rsid w:val="007909F0"/>
    <w:rsid w:val="00790BDF"/>
    <w:rsid w:val="007915A2"/>
    <w:rsid w:val="00791C7B"/>
    <w:rsid w:val="00791D6B"/>
    <w:rsid w:val="007921BD"/>
    <w:rsid w:val="00792BF5"/>
    <w:rsid w:val="0079300F"/>
    <w:rsid w:val="00793411"/>
    <w:rsid w:val="00793B22"/>
    <w:rsid w:val="00793B71"/>
    <w:rsid w:val="00793E10"/>
    <w:rsid w:val="0079460C"/>
    <w:rsid w:val="00794F95"/>
    <w:rsid w:val="00795137"/>
    <w:rsid w:val="0079572D"/>
    <w:rsid w:val="00795A21"/>
    <w:rsid w:val="00795A42"/>
    <w:rsid w:val="00795CD3"/>
    <w:rsid w:val="0079623C"/>
    <w:rsid w:val="00796269"/>
    <w:rsid w:val="00796402"/>
    <w:rsid w:val="00796732"/>
    <w:rsid w:val="007973F0"/>
    <w:rsid w:val="007976FB"/>
    <w:rsid w:val="007A0699"/>
    <w:rsid w:val="007A071B"/>
    <w:rsid w:val="007A09B6"/>
    <w:rsid w:val="007A175D"/>
    <w:rsid w:val="007A17BA"/>
    <w:rsid w:val="007A1A61"/>
    <w:rsid w:val="007A1D7B"/>
    <w:rsid w:val="007A1F7E"/>
    <w:rsid w:val="007A2174"/>
    <w:rsid w:val="007A2462"/>
    <w:rsid w:val="007A3104"/>
    <w:rsid w:val="007A378E"/>
    <w:rsid w:val="007A38A5"/>
    <w:rsid w:val="007A38D7"/>
    <w:rsid w:val="007A4054"/>
    <w:rsid w:val="007A4B67"/>
    <w:rsid w:val="007A4FFC"/>
    <w:rsid w:val="007A518C"/>
    <w:rsid w:val="007A58C3"/>
    <w:rsid w:val="007A5ABF"/>
    <w:rsid w:val="007A5C06"/>
    <w:rsid w:val="007A5D40"/>
    <w:rsid w:val="007A5F3A"/>
    <w:rsid w:val="007A64B0"/>
    <w:rsid w:val="007A6943"/>
    <w:rsid w:val="007A6B25"/>
    <w:rsid w:val="007A6DCB"/>
    <w:rsid w:val="007A76C6"/>
    <w:rsid w:val="007A7966"/>
    <w:rsid w:val="007A7D27"/>
    <w:rsid w:val="007A7E93"/>
    <w:rsid w:val="007A7F22"/>
    <w:rsid w:val="007B0406"/>
    <w:rsid w:val="007B1116"/>
    <w:rsid w:val="007B128E"/>
    <w:rsid w:val="007B12CB"/>
    <w:rsid w:val="007B1B76"/>
    <w:rsid w:val="007B202C"/>
    <w:rsid w:val="007B257C"/>
    <w:rsid w:val="007B28FD"/>
    <w:rsid w:val="007B2993"/>
    <w:rsid w:val="007B337A"/>
    <w:rsid w:val="007B34B6"/>
    <w:rsid w:val="007B3667"/>
    <w:rsid w:val="007B3696"/>
    <w:rsid w:val="007B3879"/>
    <w:rsid w:val="007B4367"/>
    <w:rsid w:val="007B4574"/>
    <w:rsid w:val="007B45BA"/>
    <w:rsid w:val="007B478F"/>
    <w:rsid w:val="007B47FE"/>
    <w:rsid w:val="007B50DE"/>
    <w:rsid w:val="007B52CD"/>
    <w:rsid w:val="007B5765"/>
    <w:rsid w:val="007B5B5B"/>
    <w:rsid w:val="007B728F"/>
    <w:rsid w:val="007B76A1"/>
    <w:rsid w:val="007B7A9C"/>
    <w:rsid w:val="007B7BD7"/>
    <w:rsid w:val="007B7C71"/>
    <w:rsid w:val="007B7C9C"/>
    <w:rsid w:val="007B7D62"/>
    <w:rsid w:val="007B7EA0"/>
    <w:rsid w:val="007C0349"/>
    <w:rsid w:val="007C0E4A"/>
    <w:rsid w:val="007C0E55"/>
    <w:rsid w:val="007C0EC8"/>
    <w:rsid w:val="007C0ECB"/>
    <w:rsid w:val="007C1026"/>
    <w:rsid w:val="007C1212"/>
    <w:rsid w:val="007C16EC"/>
    <w:rsid w:val="007C1F5F"/>
    <w:rsid w:val="007C23B5"/>
    <w:rsid w:val="007C28D2"/>
    <w:rsid w:val="007C3A5C"/>
    <w:rsid w:val="007C3BBB"/>
    <w:rsid w:val="007C4030"/>
    <w:rsid w:val="007C4360"/>
    <w:rsid w:val="007C45B6"/>
    <w:rsid w:val="007C47FE"/>
    <w:rsid w:val="007C480D"/>
    <w:rsid w:val="007C486E"/>
    <w:rsid w:val="007C4992"/>
    <w:rsid w:val="007C4D36"/>
    <w:rsid w:val="007C4F8D"/>
    <w:rsid w:val="007C4F93"/>
    <w:rsid w:val="007C50E1"/>
    <w:rsid w:val="007C5D7E"/>
    <w:rsid w:val="007C61C6"/>
    <w:rsid w:val="007C66E3"/>
    <w:rsid w:val="007C66E8"/>
    <w:rsid w:val="007C74EB"/>
    <w:rsid w:val="007C77D4"/>
    <w:rsid w:val="007C7F9D"/>
    <w:rsid w:val="007D00D9"/>
    <w:rsid w:val="007D0877"/>
    <w:rsid w:val="007D0E38"/>
    <w:rsid w:val="007D0E8A"/>
    <w:rsid w:val="007D0EF8"/>
    <w:rsid w:val="007D0F66"/>
    <w:rsid w:val="007D15F7"/>
    <w:rsid w:val="007D1CAB"/>
    <w:rsid w:val="007D2247"/>
    <w:rsid w:val="007D2643"/>
    <w:rsid w:val="007D2700"/>
    <w:rsid w:val="007D279B"/>
    <w:rsid w:val="007D296E"/>
    <w:rsid w:val="007D2E95"/>
    <w:rsid w:val="007D351A"/>
    <w:rsid w:val="007D3959"/>
    <w:rsid w:val="007D3D7E"/>
    <w:rsid w:val="007D3E4D"/>
    <w:rsid w:val="007D3E69"/>
    <w:rsid w:val="007D3FBE"/>
    <w:rsid w:val="007D46E4"/>
    <w:rsid w:val="007D484C"/>
    <w:rsid w:val="007D4C26"/>
    <w:rsid w:val="007D538C"/>
    <w:rsid w:val="007D5419"/>
    <w:rsid w:val="007D5730"/>
    <w:rsid w:val="007D5E49"/>
    <w:rsid w:val="007D5EA7"/>
    <w:rsid w:val="007D62E4"/>
    <w:rsid w:val="007D6906"/>
    <w:rsid w:val="007D6F07"/>
    <w:rsid w:val="007D74BE"/>
    <w:rsid w:val="007D7B9D"/>
    <w:rsid w:val="007D7BCD"/>
    <w:rsid w:val="007E0321"/>
    <w:rsid w:val="007E03BD"/>
    <w:rsid w:val="007E0BA3"/>
    <w:rsid w:val="007E0BCE"/>
    <w:rsid w:val="007E1016"/>
    <w:rsid w:val="007E12D3"/>
    <w:rsid w:val="007E16B2"/>
    <w:rsid w:val="007E184E"/>
    <w:rsid w:val="007E1FA0"/>
    <w:rsid w:val="007E21E0"/>
    <w:rsid w:val="007E21EA"/>
    <w:rsid w:val="007E2FE4"/>
    <w:rsid w:val="007E37A8"/>
    <w:rsid w:val="007E3804"/>
    <w:rsid w:val="007E3B4E"/>
    <w:rsid w:val="007E3D1D"/>
    <w:rsid w:val="007E3E55"/>
    <w:rsid w:val="007E3E56"/>
    <w:rsid w:val="007E3F1C"/>
    <w:rsid w:val="007E441F"/>
    <w:rsid w:val="007E4EBC"/>
    <w:rsid w:val="007E4FE2"/>
    <w:rsid w:val="007E5196"/>
    <w:rsid w:val="007E529C"/>
    <w:rsid w:val="007E57CB"/>
    <w:rsid w:val="007E5E3B"/>
    <w:rsid w:val="007E6959"/>
    <w:rsid w:val="007E6D0B"/>
    <w:rsid w:val="007E723D"/>
    <w:rsid w:val="007E7407"/>
    <w:rsid w:val="007E741C"/>
    <w:rsid w:val="007E75E9"/>
    <w:rsid w:val="007E77A0"/>
    <w:rsid w:val="007E7B17"/>
    <w:rsid w:val="007E7B35"/>
    <w:rsid w:val="007F0272"/>
    <w:rsid w:val="007F0454"/>
    <w:rsid w:val="007F09A0"/>
    <w:rsid w:val="007F2689"/>
    <w:rsid w:val="007F3120"/>
    <w:rsid w:val="007F38E0"/>
    <w:rsid w:val="007F454B"/>
    <w:rsid w:val="007F47A0"/>
    <w:rsid w:val="007F4A16"/>
    <w:rsid w:val="007F4F6E"/>
    <w:rsid w:val="007F54DA"/>
    <w:rsid w:val="007F579E"/>
    <w:rsid w:val="007F5B37"/>
    <w:rsid w:val="007F5CBD"/>
    <w:rsid w:val="007F5D73"/>
    <w:rsid w:val="007F64C0"/>
    <w:rsid w:val="007F67D8"/>
    <w:rsid w:val="007F6CDB"/>
    <w:rsid w:val="007F76C8"/>
    <w:rsid w:val="007F7906"/>
    <w:rsid w:val="007F7A40"/>
    <w:rsid w:val="007F7DF1"/>
    <w:rsid w:val="008000AC"/>
    <w:rsid w:val="008014DB"/>
    <w:rsid w:val="0080249D"/>
    <w:rsid w:val="008025F7"/>
    <w:rsid w:val="00802758"/>
    <w:rsid w:val="008028F0"/>
    <w:rsid w:val="00802B52"/>
    <w:rsid w:val="00802D61"/>
    <w:rsid w:val="008038B0"/>
    <w:rsid w:val="00803B39"/>
    <w:rsid w:val="008040ED"/>
    <w:rsid w:val="00804274"/>
    <w:rsid w:val="008044D6"/>
    <w:rsid w:val="0080489F"/>
    <w:rsid w:val="00804CD4"/>
    <w:rsid w:val="008051E2"/>
    <w:rsid w:val="008054D7"/>
    <w:rsid w:val="008054D9"/>
    <w:rsid w:val="008057DB"/>
    <w:rsid w:val="00806434"/>
    <w:rsid w:val="008064D5"/>
    <w:rsid w:val="00806A18"/>
    <w:rsid w:val="00806D15"/>
    <w:rsid w:val="00806D75"/>
    <w:rsid w:val="00807CF2"/>
    <w:rsid w:val="0081083F"/>
    <w:rsid w:val="00810A95"/>
    <w:rsid w:val="00810DB8"/>
    <w:rsid w:val="008112E2"/>
    <w:rsid w:val="00811325"/>
    <w:rsid w:val="00811F0B"/>
    <w:rsid w:val="00811F7C"/>
    <w:rsid w:val="00812124"/>
    <w:rsid w:val="00812691"/>
    <w:rsid w:val="00812769"/>
    <w:rsid w:val="00813EEE"/>
    <w:rsid w:val="00813F9E"/>
    <w:rsid w:val="008143BF"/>
    <w:rsid w:val="008145CC"/>
    <w:rsid w:val="0081464C"/>
    <w:rsid w:val="008146F8"/>
    <w:rsid w:val="008147B3"/>
    <w:rsid w:val="00814FD4"/>
    <w:rsid w:val="00815223"/>
    <w:rsid w:val="0081555B"/>
    <w:rsid w:val="00815580"/>
    <w:rsid w:val="00815791"/>
    <w:rsid w:val="00815A92"/>
    <w:rsid w:val="00815D97"/>
    <w:rsid w:val="00815FCA"/>
    <w:rsid w:val="0081636A"/>
    <w:rsid w:val="008166C9"/>
    <w:rsid w:val="008167CC"/>
    <w:rsid w:val="00816E3C"/>
    <w:rsid w:val="00817197"/>
    <w:rsid w:val="008173C6"/>
    <w:rsid w:val="008178C2"/>
    <w:rsid w:val="00817C0E"/>
    <w:rsid w:val="00817EBF"/>
    <w:rsid w:val="00817FD3"/>
    <w:rsid w:val="00817FD6"/>
    <w:rsid w:val="00820038"/>
    <w:rsid w:val="00820955"/>
    <w:rsid w:val="00820A0C"/>
    <w:rsid w:val="00820B70"/>
    <w:rsid w:val="0082119F"/>
    <w:rsid w:val="00821704"/>
    <w:rsid w:val="00821F02"/>
    <w:rsid w:val="00822503"/>
    <w:rsid w:val="00822948"/>
    <w:rsid w:val="00823124"/>
    <w:rsid w:val="008236E5"/>
    <w:rsid w:val="008237E4"/>
    <w:rsid w:val="00823F64"/>
    <w:rsid w:val="008243AC"/>
    <w:rsid w:val="00824434"/>
    <w:rsid w:val="00824CB4"/>
    <w:rsid w:val="00824CD6"/>
    <w:rsid w:val="00825305"/>
    <w:rsid w:val="0082539D"/>
    <w:rsid w:val="00825446"/>
    <w:rsid w:val="00825463"/>
    <w:rsid w:val="0082578B"/>
    <w:rsid w:val="008265B3"/>
    <w:rsid w:val="00826649"/>
    <w:rsid w:val="00827257"/>
    <w:rsid w:val="008277FB"/>
    <w:rsid w:val="008279A1"/>
    <w:rsid w:val="00827BB1"/>
    <w:rsid w:val="00827F30"/>
    <w:rsid w:val="0083130B"/>
    <w:rsid w:val="00831A98"/>
    <w:rsid w:val="00831C9D"/>
    <w:rsid w:val="00831D98"/>
    <w:rsid w:val="00831EF2"/>
    <w:rsid w:val="008324A0"/>
    <w:rsid w:val="00832BFD"/>
    <w:rsid w:val="00832E61"/>
    <w:rsid w:val="0083329C"/>
    <w:rsid w:val="0083335D"/>
    <w:rsid w:val="00833424"/>
    <w:rsid w:val="008337AA"/>
    <w:rsid w:val="00834AE4"/>
    <w:rsid w:val="00834B66"/>
    <w:rsid w:val="00834CA0"/>
    <w:rsid w:val="00834DC0"/>
    <w:rsid w:val="00834DDC"/>
    <w:rsid w:val="008352E4"/>
    <w:rsid w:val="00835C5A"/>
    <w:rsid w:val="00835C88"/>
    <w:rsid w:val="0083609D"/>
    <w:rsid w:val="00836372"/>
    <w:rsid w:val="0083694F"/>
    <w:rsid w:val="00836DC9"/>
    <w:rsid w:val="00836FE2"/>
    <w:rsid w:val="008371A1"/>
    <w:rsid w:val="0083720E"/>
    <w:rsid w:val="008378BF"/>
    <w:rsid w:val="00837CC9"/>
    <w:rsid w:val="00837EC4"/>
    <w:rsid w:val="00837F11"/>
    <w:rsid w:val="008400E9"/>
    <w:rsid w:val="0084056E"/>
    <w:rsid w:val="0084085F"/>
    <w:rsid w:val="008408B8"/>
    <w:rsid w:val="00840924"/>
    <w:rsid w:val="00840BF9"/>
    <w:rsid w:val="008411B0"/>
    <w:rsid w:val="008414C2"/>
    <w:rsid w:val="00841525"/>
    <w:rsid w:val="008416EB"/>
    <w:rsid w:val="00841774"/>
    <w:rsid w:val="00841AD6"/>
    <w:rsid w:val="00841B63"/>
    <w:rsid w:val="0084240F"/>
    <w:rsid w:val="00842A5D"/>
    <w:rsid w:val="00842E3C"/>
    <w:rsid w:val="0084381D"/>
    <w:rsid w:val="00843CA2"/>
    <w:rsid w:val="00843D22"/>
    <w:rsid w:val="00844135"/>
    <w:rsid w:val="0084457E"/>
    <w:rsid w:val="00844A6E"/>
    <w:rsid w:val="00844AE6"/>
    <w:rsid w:val="00844FC6"/>
    <w:rsid w:val="00845247"/>
    <w:rsid w:val="0084530B"/>
    <w:rsid w:val="00845926"/>
    <w:rsid w:val="00845940"/>
    <w:rsid w:val="00845A03"/>
    <w:rsid w:val="00846BCE"/>
    <w:rsid w:val="00846D97"/>
    <w:rsid w:val="00847E74"/>
    <w:rsid w:val="00850783"/>
    <w:rsid w:val="00850966"/>
    <w:rsid w:val="00850A21"/>
    <w:rsid w:val="00850B92"/>
    <w:rsid w:val="00851E55"/>
    <w:rsid w:val="008520D9"/>
    <w:rsid w:val="008520E4"/>
    <w:rsid w:val="00852835"/>
    <w:rsid w:val="008530CA"/>
    <w:rsid w:val="00853ED2"/>
    <w:rsid w:val="00854310"/>
    <w:rsid w:val="008548DF"/>
    <w:rsid w:val="008548EB"/>
    <w:rsid w:val="00854E92"/>
    <w:rsid w:val="00855065"/>
    <w:rsid w:val="00855368"/>
    <w:rsid w:val="00855371"/>
    <w:rsid w:val="008554FC"/>
    <w:rsid w:val="008555E1"/>
    <w:rsid w:val="00855F40"/>
    <w:rsid w:val="00856389"/>
    <w:rsid w:val="00856B54"/>
    <w:rsid w:val="00856E54"/>
    <w:rsid w:val="00856EE7"/>
    <w:rsid w:val="00856F48"/>
    <w:rsid w:val="00857917"/>
    <w:rsid w:val="00857A77"/>
    <w:rsid w:val="00857C3F"/>
    <w:rsid w:val="00857CB6"/>
    <w:rsid w:val="0086012C"/>
    <w:rsid w:val="008601EC"/>
    <w:rsid w:val="0086083E"/>
    <w:rsid w:val="00860E8D"/>
    <w:rsid w:val="00861464"/>
    <w:rsid w:val="0086152E"/>
    <w:rsid w:val="00861D1A"/>
    <w:rsid w:val="00862056"/>
    <w:rsid w:val="0086208A"/>
    <w:rsid w:val="008620DA"/>
    <w:rsid w:val="008620E5"/>
    <w:rsid w:val="008621F1"/>
    <w:rsid w:val="0086284E"/>
    <w:rsid w:val="00862A08"/>
    <w:rsid w:val="00862FDE"/>
    <w:rsid w:val="00863168"/>
    <w:rsid w:val="008631F6"/>
    <w:rsid w:val="00863E6B"/>
    <w:rsid w:val="00863EB3"/>
    <w:rsid w:val="00863F6B"/>
    <w:rsid w:val="008643C7"/>
    <w:rsid w:val="00864A7A"/>
    <w:rsid w:val="00864B19"/>
    <w:rsid w:val="0086503A"/>
    <w:rsid w:val="008652BC"/>
    <w:rsid w:val="00865562"/>
    <w:rsid w:val="00865CD7"/>
    <w:rsid w:val="00865D53"/>
    <w:rsid w:val="0086636B"/>
    <w:rsid w:val="0086681C"/>
    <w:rsid w:val="008668BA"/>
    <w:rsid w:val="008668EF"/>
    <w:rsid w:val="00866B4A"/>
    <w:rsid w:val="00867309"/>
    <w:rsid w:val="00867A4E"/>
    <w:rsid w:val="00867E73"/>
    <w:rsid w:val="008702F3"/>
    <w:rsid w:val="008704F5"/>
    <w:rsid w:val="008706CD"/>
    <w:rsid w:val="008707C5"/>
    <w:rsid w:val="008708B2"/>
    <w:rsid w:val="0087146E"/>
    <w:rsid w:val="00871DC6"/>
    <w:rsid w:val="00872756"/>
    <w:rsid w:val="00872DF2"/>
    <w:rsid w:val="0087319A"/>
    <w:rsid w:val="00873AE3"/>
    <w:rsid w:val="00873B34"/>
    <w:rsid w:val="00873F38"/>
    <w:rsid w:val="0087402B"/>
    <w:rsid w:val="0087419D"/>
    <w:rsid w:val="00875637"/>
    <w:rsid w:val="0087588B"/>
    <w:rsid w:val="00875CC1"/>
    <w:rsid w:val="0087629B"/>
    <w:rsid w:val="008763EC"/>
    <w:rsid w:val="0087691C"/>
    <w:rsid w:val="00876E30"/>
    <w:rsid w:val="00877104"/>
    <w:rsid w:val="0087746F"/>
    <w:rsid w:val="0088086E"/>
    <w:rsid w:val="00880F2F"/>
    <w:rsid w:val="00881004"/>
    <w:rsid w:val="00881021"/>
    <w:rsid w:val="008819B5"/>
    <w:rsid w:val="00882347"/>
    <w:rsid w:val="008823AD"/>
    <w:rsid w:val="008827FA"/>
    <w:rsid w:val="008829CA"/>
    <w:rsid w:val="00882FA6"/>
    <w:rsid w:val="008835A6"/>
    <w:rsid w:val="00883F22"/>
    <w:rsid w:val="00884112"/>
    <w:rsid w:val="00884149"/>
    <w:rsid w:val="00884640"/>
    <w:rsid w:val="00884973"/>
    <w:rsid w:val="0088497D"/>
    <w:rsid w:val="00884D65"/>
    <w:rsid w:val="00884E5A"/>
    <w:rsid w:val="00884EE7"/>
    <w:rsid w:val="00885012"/>
    <w:rsid w:val="00885153"/>
    <w:rsid w:val="00886734"/>
    <w:rsid w:val="00886856"/>
    <w:rsid w:val="008869D5"/>
    <w:rsid w:val="00886D2E"/>
    <w:rsid w:val="00886DCF"/>
    <w:rsid w:val="00887DAB"/>
    <w:rsid w:val="00887FD6"/>
    <w:rsid w:val="00890246"/>
    <w:rsid w:val="00890A6E"/>
    <w:rsid w:val="00890B06"/>
    <w:rsid w:val="00890B1A"/>
    <w:rsid w:val="008912F7"/>
    <w:rsid w:val="00891E62"/>
    <w:rsid w:val="0089262F"/>
    <w:rsid w:val="0089288A"/>
    <w:rsid w:val="00892B68"/>
    <w:rsid w:val="00892E02"/>
    <w:rsid w:val="00892E17"/>
    <w:rsid w:val="008930EC"/>
    <w:rsid w:val="00893830"/>
    <w:rsid w:val="008947E9"/>
    <w:rsid w:val="00894A00"/>
    <w:rsid w:val="00894A24"/>
    <w:rsid w:val="00894ACD"/>
    <w:rsid w:val="0089550B"/>
    <w:rsid w:val="008958CF"/>
    <w:rsid w:val="00895E91"/>
    <w:rsid w:val="00896252"/>
    <w:rsid w:val="00896323"/>
    <w:rsid w:val="00896822"/>
    <w:rsid w:val="00896899"/>
    <w:rsid w:val="00896CC1"/>
    <w:rsid w:val="00896FE0"/>
    <w:rsid w:val="008976FE"/>
    <w:rsid w:val="00897B5B"/>
    <w:rsid w:val="00897E54"/>
    <w:rsid w:val="008A0073"/>
    <w:rsid w:val="008A0845"/>
    <w:rsid w:val="008A095A"/>
    <w:rsid w:val="008A0E52"/>
    <w:rsid w:val="008A0E73"/>
    <w:rsid w:val="008A0F83"/>
    <w:rsid w:val="008A1D67"/>
    <w:rsid w:val="008A1E70"/>
    <w:rsid w:val="008A206E"/>
    <w:rsid w:val="008A26B2"/>
    <w:rsid w:val="008A2A8F"/>
    <w:rsid w:val="008A2C68"/>
    <w:rsid w:val="008A2DC5"/>
    <w:rsid w:val="008A2EFC"/>
    <w:rsid w:val="008A31D0"/>
    <w:rsid w:val="008A3264"/>
    <w:rsid w:val="008A3A83"/>
    <w:rsid w:val="008A43B4"/>
    <w:rsid w:val="008A4529"/>
    <w:rsid w:val="008A5EAD"/>
    <w:rsid w:val="008A6024"/>
    <w:rsid w:val="008A610E"/>
    <w:rsid w:val="008A67D3"/>
    <w:rsid w:val="008A6CF4"/>
    <w:rsid w:val="008A7008"/>
    <w:rsid w:val="008A70BE"/>
    <w:rsid w:val="008A7685"/>
    <w:rsid w:val="008A76A8"/>
    <w:rsid w:val="008A7927"/>
    <w:rsid w:val="008A799E"/>
    <w:rsid w:val="008A7B80"/>
    <w:rsid w:val="008A7C65"/>
    <w:rsid w:val="008B02E5"/>
    <w:rsid w:val="008B0334"/>
    <w:rsid w:val="008B039F"/>
    <w:rsid w:val="008B065A"/>
    <w:rsid w:val="008B06CD"/>
    <w:rsid w:val="008B0A7D"/>
    <w:rsid w:val="008B0DE9"/>
    <w:rsid w:val="008B0EAF"/>
    <w:rsid w:val="008B101A"/>
    <w:rsid w:val="008B10F4"/>
    <w:rsid w:val="008B11A5"/>
    <w:rsid w:val="008B153B"/>
    <w:rsid w:val="008B15F8"/>
    <w:rsid w:val="008B1667"/>
    <w:rsid w:val="008B1A39"/>
    <w:rsid w:val="008B1BF2"/>
    <w:rsid w:val="008B2BE9"/>
    <w:rsid w:val="008B2D80"/>
    <w:rsid w:val="008B3654"/>
    <w:rsid w:val="008B4800"/>
    <w:rsid w:val="008B492F"/>
    <w:rsid w:val="008B4D3F"/>
    <w:rsid w:val="008B5036"/>
    <w:rsid w:val="008B50CA"/>
    <w:rsid w:val="008B51CF"/>
    <w:rsid w:val="008B5223"/>
    <w:rsid w:val="008B52B1"/>
    <w:rsid w:val="008B5415"/>
    <w:rsid w:val="008B5C5D"/>
    <w:rsid w:val="008B6152"/>
    <w:rsid w:val="008B639F"/>
    <w:rsid w:val="008B6428"/>
    <w:rsid w:val="008B6807"/>
    <w:rsid w:val="008B6D5D"/>
    <w:rsid w:val="008B6E4B"/>
    <w:rsid w:val="008B7498"/>
    <w:rsid w:val="008B77C9"/>
    <w:rsid w:val="008B7924"/>
    <w:rsid w:val="008B7EEB"/>
    <w:rsid w:val="008B7FC2"/>
    <w:rsid w:val="008C0611"/>
    <w:rsid w:val="008C0BF1"/>
    <w:rsid w:val="008C0C61"/>
    <w:rsid w:val="008C0C6F"/>
    <w:rsid w:val="008C0F8E"/>
    <w:rsid w:val="008C118C"/>
    <w:rsid w:val="008C12E9"/>
    <w:rsid w:val="008C12EF"/>
    <w:rsid w:val="008C13C9"/>
    <w:rsid w:val="008C13EA"/>
    <w:rsid w:val="008C1593"/>
    <w:rsid w:val="008C2E12"/>
    <w:rsid w:val="008C2E8E"/>
    <w:rsid w:val="008C337C"/>
    <w:rsid w:val="008C3A12"/>
    <w:rsid w:val="008C3F25"/>
    <w:rsid w:val="008C4200"/>
    <w:rsid w:val="008C420A"/>
    <w:rsid w:val="008C42E0"/>
    <w:rsid w:val="008C462B"/>
    <w:rsid w:val="008C462E"/>
    <w:rsid w:val="008C469F"/>
    <w:rsid w:val="008C495B"/>
    <w:rsid w:val="008C4BEC"/>
    <w:rsid w:val="008C4E5A"/>
    <w:rsid w:val="008C5C45"/>
    <w:rsid w:val="008C5C98"/>
    <w:rsid w:val="008C6241"/>
    <w:rsid w:val="008C6277"/>
    <w:rsid w:val="008C656B"/>
    <w:rsid w:val="008C668B"/>
    <w:rsid w:val="008C6873"/>
    <w:rsid w:val="008C696B"/>
    <w:rsid w:val="008C6D5A"/>
    <w:rsid w:val="008C6DBE"/>
    <w:rsid w:val="008C7281"/>
    <w:rsid w:val="008C744F"/>
    <w:rsid w:val="008C76FF"/>
    <w:rsid w:val="008C7DAE"/>
    <w:rsid w:val="008D0987"/>
    <w:rsid w:val="008D115D"/>
    <w:rsid w:val="008D11B0"/>
    <w:rsid w:val="008D1332"/>
    <w:rsid w:val="008D14F1"/>
    <w:rsid w:val="008D22D2"/>
    <w:rsid w:val="008D283F"/>
    <w:rsid w:val="008D2A5D"/>
    <w:rsid w:val="008D2B85"/>
    <w:rsid w:val="008D2DBE"/>
    <w:rsid w:val="008D2E60"/>
    <w:rsid w:val="008D3A75"/>
    <w:rsid w:val="008D3AA0"/>
    <w:rsid w:val="008D3E82"/>
    <w:rsid w:val="008D3EB1"/>
    <w:rsid w:val="008D41CF"/>
    <w:rsid w:val="008D4705"/>
    <w:rsid w:val="008D4DA5"/>
    <w:rsid w:val="008D5138"/>
    <w:rsid w:val="008D6690"/>
    <w:rsid w:val="008D6806"/>
    <w:rsid w:val="008D6894"/>
    <w:rsid w:val="008D68B4"/>
    <w:rsid w:val="008D6AFB"/>
    <w:rsid w:val="008D6DFE"/>
    <w:rsid w:val="008D7983"/>
    <w:rsid w:val="008D7B47"/>
    <w:rsid w:val="008D7BFA"/>
    <w:rsid w:val="008D7D7D"/>
    <w:rsid w:val="008D7D8A"/>
    <w:rsid w:val="008D7EE2"/>
    <w:rsid w:val="008E0080"/>
    <w:rsid w:val="008E0177"/>
    <w:rsid w:val="008E0245"/>
    <w:rsid w:val="008E1019"/>
    <w:rsid w:val="008E141F"/>
    <w:rsid w:val="008E1478"/>
    <w:rsid w:val="008E206B"/>
    <w:rsid w:val="008E23C6"/>
    <w:rsid w:val="008E2BC4"/>
    <w:rsid w:val="008E345F"/>
    <w:rsid w:val="008E354D"/>
    <w:rsid w:val="008E3B3E"/>
    <w:rsid w:val="008E3E2D"/>
    <w:rsid w:val="008E45F9"/>
    <w:rsid w:val="008E5295"/>
    <w:rsid w:val="008E5BDD"/>
    <w:rsid w:val="008E5DE5"/>
    <w:rsid w:val="008E5E9F"/>
    <w:rsid w:val="008E6575"/>
    <w:rsid w:val="008E6579"/>
    <w:rsid w:val="008E68BC"/>
    <w:rsid w:val="008E6B99"/>
    <w:rsid w:val="008E7460"/>
    <w:rsid w:val="008E7499"/>
    <w:rsid w:val="008E7775"/>
    <w:rsid w:val="008E7E3C"/>
    <w:rsid w:val="008F03DC"/>
    <w:rsid w:val="008F05C7"/>
    <w:rsid w:val="008F0600"/>
    <w:rsid w:val="008F075A"/>
    <w:rsid w:val="008F076A"/>
    <w:rsid w:val="008F0ACC"/>
    <w:rsid w:val="008F107F"/>
    <w:rsid w:val="008F1428"/>
    <w:rsid w:val="008F1C77"/>
    <w:rsid w:val="008F276C"/>
    <w:rsid w:val="008F2860"/>
    <w:rsid w:val="008F2CC7"/>
    <w:rsid w:val="008F2F2C"/>
    <w:rsid w:val="008F2F3F"/>
    <w:rsid w:val="008F33B9"/>
    <w:rsid w:val="008F382D"/>
    <w:rsid w:val="008F40F1"/>
    <w:rsid w:val="008F45E2"/>
    <w:rsid w:val="008F4824"/>
    <w:rsid w:val="008F50AC"/>
    <w:rsid w:val="008F517B"/>
    <w:rsid w:val="008F5453"/>
    <w:rsid w:val="008F55A4"/>
    <w:rsid w:val="008F5A52"/>
    <w:rsid w:val="008F5C08"/>
    <w:rsid w:val="008F6177"/>
    <w:rsid w:val="008F6269"/>
    <w:rsid w:val="008F6945"/>
    <w:rsid w:val="008F6C67"/>
    <w:rsid w:val="008F7581"/>
    <w:rsid w:val="008F7BAC"/>
    <w:rsid w:val="008F7F36"/>
    <w:rsid w:val="008F7FB4"/>
    <w:rsid w:val="009005B0"/>
    <w:rsid w:val="009010B6"/>
    <w:rsid w:val="0090114C"/>
    <w:rsid w:val="00901886"/>
    <w:rsid w:val="00901BDE"/>
    <w:rsid w:val="00902068"/>
    <w:rsid w:val="009026BA"/>
    <w:rsid w:val="00902CD9"/>
    <w:rsid w:val="009035E8"/>
    <w:rsid w:val="00903600"/>
    <w:rsid w:val="00903945"/>
    <w:rsid w:val="009039CA"/>
    <w:rsid w:val="00903B4B"/>
    <w:rsid w:val="00903DB0"/>
    <w:rsid w:val="00903DE8"/>
    <w:rsid w:val="00904A2D"/>
    <w:rsid w:val="00904B29"/>
    <w:rsid w:val="00904C23"/>
    <w:rsid w:val="00904EC5"/>
    <w:rsid w:val="00905239"/>
    <w:rsid w:val="00905778"/>
    <w:rsid w:val="009059B5"/>
    <w:rsid w:val="00905D36"/>
    <w:rsid w:val="009068D4"/>
    <w:rsid w:val="00906AFB"/>
    <w:rsid w:val="00906E92"/>
    <w:rsid w:val="00907673"/>
    <w:rsid w:val="009077FB"/>
    <w:rsid w:val="00907CCA"/>
    <w:rsid w:val="00907DAB"/>
    <w:rsid w:val="00907F82"/>
    <w:rsid w:val="00910A08"/>
    <w:rsid w:val="00910D3F"/>
    <w:rsid w:val="00910D6B"/>
    <w:rsid w:val="00910EE9"/>
    <w:rsid w:val="0091102F"/>
    <w:rsid w:val="009110B7"/>
    <w:rsid w:val="00911824"/>
    <w:rsid w:val="00911A10"/>
    <w:rsid w:val="00911A75"/>
    <w:rsid w:val="00911E87"/>
    <w:rsid w:val="009126B7"/>
    <w:rsid w:val="00912759"/>
    <w:rsid w:val="009133A6"/>
    <w:rsid w:val="00913D78"/>
    <w:rsid w:val="00914B83"/>
    <w:rsid w:val="00914C2B"/>
    <w:rsid w:val="00914CF1"/>
    <w:rsid w:val="009157A7"/>
    <w:rsid w:val="00915AA3"/>
    <w:rsid w:val="009163C5"/>
    <w:rsid w:val="009166D9"/>
    <w:rsid w:val="00916939"/>
    <w:rsid w:val="0091694B"/>
    <w:rsid w:val="00916AA3"/>
    <w:rsid w:val="00916F17"/>
    <w:rsid w:val="00917199"/>
    <w:rsid w:val="0091783E"/>
    <w:rsid w:val="00917B41"/>
    <w:rsid w:val="00917FBA"/>
    <w:rsid w:val="00920190"/>
    <w:rsid w:val="00920651"/>
    <w:rsid w:val="00920C94"/>
    <w:rsid w:val="00920E80"/>
    <w:rsid w:val="00920FDA"/>
    <w:rsid w:val="00921621"/>
    <w:rsid w:val="00921789"/>
    <w:rsid w:val="009218B1"/>
    <w:rsid w:val="00921975"/>
    <w:rsid w:val="00921D70"/>
    <w:rsid w:val="00922521"/>
    <w:rsid w:val="00922AB7"/>
    <w:rsid w:val="00923A4A"/>
    <w:rsid w:val="00923AAC"/>
    <w:rsid w:val="00923EF6"/>
    <w:rsid w:val="0092478C"/>
    <w:rsid w:val="00924E05"/>
    <w:rsid w:val="00924E9C"/>
    <w:rsid w:val="0092527D"/>
    <w:rsid w:val="009258A7"/>
    <w:rsid w:val="00925939"/>
    <w:rsid w:val="009262C6"/>
    <w:rsid w:val="00926782"/>
    <w:rsid w:val="0092759F"/>
    <w:rsid w:val="009276DF"/>
    <w:rsid w:val="00927CA3"/>
    <w:rsid w:val="0093068F"/>
    <w:rsid w:val="00930BC1"/>
    <w:rsid w:val="00930C0E"/>
    <w:rsid w:val="00930C27"/>
    <w:rsid w:val="00930F9B"/>
    <w:rsid w:val="00931462"/>
    <w:rsid w:val="00931CDA"/>
    <w:rsid w:val="00931D10"/>
    <w:rsid w:val="00931E24"/>
    <w:rsid w:val="009328E0"/>
    <w:rsid w:val="009329A4"/>
    <w:rsid w:val="00932B14"/>
    <w:rsid w:val="00932BEC"/>
    <w:rsid w:val="00932DF5"/>
    <w:rsid w:val="009332BF"/>
    <w:rsid w:val="0093366E"/>
    <w:rsid w:val="00933C98"/>
    <w:rsid w:val="00933D8A"/>
    <w:rsid w:val="00934083"/>
    <w:rsid w:val="009345C2"/>
    <w:rsid w:val="00934770"/>
    <w:rsid w:val="00934A11"/>
    <w:rsid w:val="00934ABB"/>
    <w:rsid w:val="00935744"/>
    <w:rsid w:val="00935843"/>
    <w:rsid w:val="00935DCB"/>
    <w:rsid w:val="00935F35"/>
    <w:rsid w:val="00936102"/>
    <w:rsid w:val="009363A0"/>
    <w:rsid w:val="009378CD"/>
    <w:rsid w:val="00937944"/>
    <w:rsid w:val="0093794D"/>
    <w:rsid w:val="00940023"/>
    <w:rsid w:val="00940931"/>
    <w:rsid w:val="009412BD"/>
    <w:rsid w:val="009416C0"/>
    <w:rsid w:val="0094240E"/>
    <w:rsid w:val="0094246A"/>
    <w:rsid w:val="009425CB"/>
    <w:rsid w:val="00942685"/>
    <w:rsid w:val="00942FC8"/>
    <w:rsid w:val="00943233"/>
    <w:rsid w:val="0094375A"/>
    <w:rsid w:val="00943AB2"/>
    <w:rsid w:val="00943BE5"/>
    <w:rsid w:val="00943E48"/>
    <w:rsid w:val="009444E1"/>
    <w:rsid w:val="009446E1"/>
    <w:rsid w:val="009447DB"/>
    <w:rsid w:val="00944FE7"/>
    <w:rsid w:val="009450C9"/>
    <w:rsid w:val="00945679"/>
    <w:rsid w:val="00945D7A"/>
    <w:rsid w:val="00945E90"/>
    <w:rsid w:val="00945ED7"/>
    <w:rsid w:val="00945F69"/>
    <w:rsid w:val="00945FC9"/>
    <w:rsid w:val="00946BEE"/>
    <w:rsid w:val="00946C01"/>
    <w:rsid w:val="00947611"/>
    <w:rsid w:val="0094765F"/>
    <w:rsid w:val="009479A5"/>
    <w:rsid w:val="00947A69"/>
    <w:rsid w:val="00950304"/>
    <w:rsid w:val="00950C93"/>
    <w:rsid w:val="00950DDF"/>
    <w:rsid w:val="00950E67"/>
    <w:rsid w:val="009513A5"/>
    <w:rsid w:val="009513DF"/>
    <w:rsid w:val="00951802"/>
    <w:rsid w:val="00951868"/>
    <w:rsid w:val="0095189C"/>
    <w:rsid w:val="009519D7"/>
    <w:rsid w:val="00952324"/>
    <w:rsid w:val="00952372"/>
    <w:rsid w:val="0095288E"/>
    <w:rsid w:val="00952A94"/>
    <w:rsid w:val="00952C97"/>
    <w:rsid w:val="0095302F"/>
    <w:rsid w:val="00953437"/>
    <w:rsid w:val="0095353A"/>
    <w:rsid w:val="00953628"/>
    <w:rsid w:val="00953832"/>
    <w:rsid w:val="00953A96"/>
    <w:rsid w:val="00953D19"/>
    <w:rsid w:val="00953F1F"/>
    <w:rsid w:val="00953F7E"/>
    <w:rsid w:val="00954378"/>
    <w:rsid w:val="00954434"/>
    <w:rsid w:val="009545A9"/>
    <w:rsid w:val="009546E5"/>
    <w:rsid w:val="00954959"/>
    <w:rsid w:val="00955128"/>
    <w:rsid w:val="0095519C"/>
    <w:rsid w:val="00955DF4"/>
    <w:rsid w:val="00955F39"/>
    <w:rsid w:val="0095634A"/>
    <w:rsid w:val="0095659F"/>
    <w:rsid w:val="00956873"/>
    <w:rsid w:val="009568B9"/>
    <w:rsid w:val="00956A61"/>
    <w:rsid w:val="00956DED"/>
    <w:rsid w:val="0095739E"/>
    <w:rsid w:val="009576A5"/>
    <w:rsid w:val="00957759"/>
    <w:rsid w:val="0096027B"/>
    <w:rsid w:val="0096033D"/>
    <w:rsid w:val="00960761"/>
    <w:rsid w:val="00960EB0"/>
    <w:rsid w:val="009610CB"/>
    <w:rsid w:val="00961C28"/>
    <w:rsid w:val="00961D89"/>
    <w:rsid w:val="0096286F"/>
    <w:rsid w:val="009629FF"/>
    <w:rsid w:val="00962ED5"/>
    <w:rsid w:val="0096341F"/>
    <w:rsid w:val="009634BF"/>
    <w:rsid w:val="009638CD"/>
    <w:rsid w:val="009638F3"/>
    <w:rsid w:val="00963DD8"/>
    <w:rsid w:val="00963F07"/>
    <w:rsid w:val="00964406"/>
    <w:rsid w:val="00964769"/>
    <w:rsid w:val="00964A9C"/>
    <w:rsid w:val="00964E19"/>
    <w:rsid w:val="0096512B"/>
    <w:rsid w:val="0096630D"/>
    <w:rsid w:val="00966322"/>
    <w:rsid w:val="00966558"/>
    <w:rsid w:val="00966579"/>
    <w:rsid w:val="00966F0A"/>
    <w:rsid w:val="00966F8E"/>
    <w:rsid w:val="00967043"/>
    <w:rsid w:val="00967099"/>
    <w:rsid w:val="00967410"/>
    <w:rsid w:val="0096775F"/>
    <w:rsid w:val="0096791C"/>
    <w:rsid w:val="009702D2"/>
    <w:rsid w:val="009705D9"/>
    <w:rsid w:val="0097093E"/>
    <w:rsid w:val="00971353"/>
    <w:rsid w:val="009716C1"/>
    <w:rsid w:val="00971760"/>
    <w:rsid w:val="00971775"/>
    <w:rsid w:val="009724A1"/>
    <w:rsid w:val="00972B74"/>
    <w:rsid w:val="00973C7C"/>
    <w:rsid w:val="00974086"/>
    <w:rsid w:val="009740AB"/>
    <w:rsid w:val="009746C0"/>
    <w:rsid w:val="00974840"/>
    <w:rsid w:val="00974842"/>
    <w:rsid w:val="00974A78"/>
    <w:rsid w:val="0097591F"/>
    <w:rsid w:val="009759A5"/>
    <w:rsid w:val="00975AF2"/>
    <w:rsid w:val="00975BD7"/>
    <w:rsid w:val="009763C0"/>
    <w:rsid w:val="00976692"/>
    <w:rsid w:val="009769A3"/>
    <w:rsid w:val="009769D1"/>
    <w:rsid w:val="00977005"/>
    <w:rsid w:val="009775F7"/>
    <w:rsid w:val="0097779E"/>
    <w:rsid w:val="009811AE"/>
    <w:rsid w:val="00981C6E"/>
    <w:rsid w:val="0098213B"/>
    <w:rsid w:val="009821CC"/>
    <w:rsid w:val="009825E9"/>
    <w:rsid w:val="009828C2"/>
    <w:rsid w:val="00982B34"/>
    <w:rsid w:val="00982B54"/>
    <w:rsid w:val="00982CE7"/>
    <w:rsid w:val="00982DDA"/>
    <w:rsid w:val="00982E32"/>
    <w:rsid w:val="009832B8"/>
    <w:rsid w:val="00983A11"/>
    <w:rsid w:val="00983A9C"/>
    <w:rsid w:val="00983AE8"/>
    <w:rsid w:val="00983BD6"/>
    <w:rsid w:val="00983C42"/>
    <w:rsid w:val="00983D3E"/>
    <w:rsid w:val="009841EE"/>
    <w:rsid w:val="0098445C"/>
    <w:rsid w:val="00984705"/>
    <w:rsid w:val="00984EC7"/>
    <w:rsid w:val="00984F01"/>
    <w:rsid w:val="0098508F"/>
    <w:rsid w:val="00985334"/>
    <w:rsid w:val="009858BA"/>
    <w:rsid w:val="00985FEF"/>
    <w:rsid w:val="0098609D"/>
    <w:rsid w:val="00986447"/>
    <w:rsid w:val="0098682C"/>
    <w:rsid w:val="00986A19"/>
    <w:rsid w:val="00987174"/>
    <w:rsid w:val="0098741C"/>
    <w:rsid w:val="0098788C"/>
    <w:rsid w:val="0099030B"/>
    <w:rsid w:val="00990B67"/>
    <w:rsid w:val="0099156B"/>
    <w:rsid w:val="00991842"/>
    <w:rsid w:val="00991AE1"/>
    <w:rsid w:val="00991C44"/>
    <w:rsid w:val="00992011"/>
    <w:rsid w:val="009920EA"/>
    <w:rsid w:val="009927C3"/>
    <w:rsid w:val="00993121"/>
    <w:rsid w:val="00993551"/>
    <w:rsid w:val="00993D01"/>
    <w:rsid w:val="00993D65"/>
    <w:rsid w:val="00993E83"/>
    <w:rsid w:val="009947C1"/>
    <w:rsid w:val="00994956"/>
    <w:rsid w:val="009949E3"/>
    <w:rsid w:val="00994B21"/>
    <w:rsid w:val="00994F1A"/>
    <w:rsid w:val="00995089"/>
    <w:rsid w:val="009953A4"/>
    <w:rsid w:val="00995612"/>
    <w:rsid w:val="009960E1"/>
    <w:rsid w:val="00996753"/>
    <w:rsid w:val="00996765"/>
    <w:rsid w:val="009967D5"/>
    <w:rsid w:val="009967F2"/>
    <w:rsid w:val="009970DE"/>
    <w:rsid w:val="00997296"/>
    <w:rsid w:val="009A0EDF"/>
    <w:rsid w:val="009A16EA"/>
    <w:rsid w:val="009A21B4"/>
    <w:rsid w:val="009A2562"/>
    <w:rsid w:val="009A27D0"/>
    <w:rsid w:val="009A2A3E"/>
    <w:rsid w:val="009A2FC5"/>
    <w:rsid w:val="009A30D2"/>
    <w:rsid w:val="009A3409"/>
    <w:rsid w:val="009A3436"/>
    <w:rsid w:val="009A3944"/>
    <w:rsid w:val="009A566B"/>
    <w:rsid w:val="009A5971"/>
    <w:rsid w:val="009A5BD4"/>
    <w:rsid w:val="009A62C1"/>
    <w:rsid w:val="009A6328"/>
    <w:rsid w:val="009A6434"/>
    <w:rsid w:val="009A6552"/>
    <w:rsid w:val="009A6A36"/>
    <w:rsid w:val="009A7104"/>
    <w:rsid w:val="009A72FC"/>
    <w:rsid w:val="009A746B"/>
    <w:rsid w:val="009A7B7E"/>
    <w:rsid w:val="009B01B4"/>
    <w:rsid w:val="009B0417"/>
    <w:rsid w:val="009B041A"/>
    <w:rsid w:val="009B0744"/>
    <w:rsid w:val="009B0769"/>
    <w:rsid w:val="009B0CDC"/>
    <w:rsid w:val="009B0D52"/>
    <w:rsid w:val="009B0E1F"/>
    <w:rsid w:val="009B0E33"/>
    <w:rsid w:val="009B0EDC"/>
    <w:rsid w:val="009B14EA"/>
    <w:rsid w:val="009B1556"/>
    <w:rsid w:val="009B1807"/>
    <w:rsid w:val="009B18E4"/>
    <w:rsid w:val="009B19FC"/>
    <w:rsid w:val="009B1C41"/>
    <w:rsid w:val="009B250A"/>
    <w:rsid w:val="009B25B3"/>
    <w:rsid w:val="009B2C63"/>
    <w:rsid w:val="009B2F67"/>
    <w:rsid w:val="009B2FE5"/>
    <w:rsid w:val="009B35D3"/>
    <w:rsid w:val="009B36E3"/>
    <w:rsid w:val="009B385F"/>
    <w:rsid w:val="009B3B0F"/>
    <w:rsid w:val="009B3B84"/>
    <w:rsid w:val="009B3EB7"/>
    <w:rsid w:val="009B4223"/>
    <w:rsid w:val="009B4426"/>
    <w:rsid w:val="009B49EB"/>
    <w:rsid w:val="009B4A6F"/>
    <w:rsid w:val="009B4B0B"/>
    <w:rsid w:val="009B4C40"/>
    <w:rsid w:val="009B4CE7"/>
    <w:rsid w:val="009B5417"/>
    <w:rsid w:val="009B5593"/>
    <w:rsid w:val="009B56E3"/>
    <w:rsid w:val="009B573F"/>
    <w:rsid w:val="009B59A9"/>
    <w:rsid w:val="009B5BBC"/>
    <w:rsid w:val="009B5CDB"/>
    <w:rsid w:val="009B684A"/>
    <w:rsid w:val="009B6FB3"/>
    <w:rsid w:val="009B6FBC"/>
    <w:rsid w:val="009B7024"/>
    <w:rsid w:val="009B7198"/>
    <w:rsid w:val="009B73A2"/>
    <w:rsid w:val="009B7740"/>
    <w:rsid w:val="009B7969"/>
    <w:rsid w:val="009B7AB0"/>
    <w:rsid w:val="009B7D85"/>
    <w:rsid w:val="009C0AC3"/>
    <w:rsid w:val="009C11D8"/>
    <w:rsid w:val="009C1EAC"/>
    <w:rsid w:val="009C2085"/>
    <w:rsid w:val="009C26E3"/>
    <w:rsid w:val="009C2983"/>
    <w:rsid w:val="009C359F"/>
    <w:rsid w:val="009C377E"/>
    <w:rsid w:val="009C3A1E"/>
    <w:rsid w:val="009C3AEE"/>
    <w:rsid w:val="009C4257"/>
    <w:rsid w:val="009C42E5"/>
    <w:rsid w:val="009C4471"/>
    <w:rsid w:val="009C455E"/>
    <w:rsid w:val="009C518C"/>
    <w:rsid w:val="009C5209"/>
    <w:rsid w:val="009C537F"/>
    <w:rsid w:val="009C550C"/>
    <w:rsid w:val="009C5650"/>
    <w:rsid w:val="009C5ADE"/>
    <w:rsid w:val="009C622E"/>
    <w:rsid w:val="009C661F"/>
    <w:rsid w:val="009C67FB"/>
    <w:rsid w:val="009C6C8C"/>
    <w:rsid w:val="009C7661"/>
    <w:rsid w:val="009C7C6F"/>
    <w:rsid w:val="009D0007"/>
    <w:rsid w:val="009D00B5"/>
    <w:rsid w:val="009D0142"/>
    <w:rsid w:val="009D0951"/>
    <w:rsid w:val="009D0EB0"/>
    <w:rsid w:val="009D138B"/>
    <w:rsid w:val="009D149F"/>
    <w:rsid w:val="009D1B4B"/>
    <w:rsid w:val="009D23CC"/>
    <w:rsid w:val="009D248C"/>
    <w:rsid w:val="009D2702"/>
    <w:rsid w:val="009D27A8"/>
    <w:rsid w:val="009D2852"/>
    <w:rsid w:val="009D2C71"/>
    <w:rsid w:val="009D323F"/>
    <w:rsid w:val="009D3C74"/>
    <w:rsid w:val="009D3DE3"/>
    <w:rsid w:val="009D4187"/>
    <w:rsid w:val="009D41DE"/>
    <w:rsid w:val="009D4B86"/>
    <w:rsid w:val="009D4FE8"/>
    <w:rsid w:val="009D5123"/>
    <w:rsid w:val="009D537E"/>
    <w:rsid w:val="009D57B4"/>
    <w:rsid w:val="009D59C5"/>
    <w:rsid w:val="009D5D52"/>
    <w:rsid w:val="009D5F72"/>
    <w:rsid w:val="009D6370"/>
    <w:rsid w:val="009D666D"/>
    <w:rsid w:val="009D67CC"/>
    <w:rsid w:val="009D6BB5"/>
    <w:rsid w:val="009D72CC"/>
    <w:rsid w:val="009D72CF"/>
    <w:rsid w:val="009D731E"/>
    <w:rsid w:val="009D7646"/>
    <w:rsid w:val="009D7686"/>
    <w:rsid w:val="009E0642"/>
    <w:rsid w:val="009E0748"/>
    <w:rsid w:val="009E0ADC"/>
    <w:rsid w:val="009E0CEC"/>
    <w:rsid w:val="009E0D7A"/>
    <w:rsid w:val="009E11FA"/>
    <w:rsid w:val="009E1D1B"/>
    <w:rsid w:val="009E1D2B"/>
    <w:rsid w:val="009E1DED"/>
    <w:rsid w:val="009E2085"/>
    <w:rsid w:val="009E2276"/>
    <w:rsid w:val="009E2322"/>
    <w:rsid w:val="009E28CA"/>
    <w:rsid w:val="009E2B97"/>
    <w:rsid w:val="009E2D80"/>
    <w:rsid w:val="009E3020"/>
    <w:rsid w:val="009E308F"/>
    <w:rsid w:val="009E34B7"/>
    <w:rsid w:val="009E3D17"/>
    <w:rsid w:val="009E3D52"/>
    <w:rsid w:val="009E3E9E"/>
    <w:rsid w:val="009E4319"/>
    <w:rsid w:val="009E459B"/>
    <w:rsid w:val="009E4B4E"/>
    <w:rsid w:val="009E5039"/>
    <w:rsid w:val="009E5D63"/>
    <w:rsid w:val="009E69A1"/>
    <w:rsid w:val="009E6E7A"/>
    <w:rsid w:val="009E718A"/>
    <w:rsid w:val="009E728D"/>
    <w:rsid w:val="009E729F"/>
    <w:rsid w:val="009E747E"/>
    <w:rsid w:val="009E77ED"/>
    <w:rsid w:val="009E7AF7"/>
    <w:rsid w:val="009E7EA0"/>
    <w:rsid w:val="009F00E0"/>
    <w:rsid w:val="009F055F"/>
    <w:rsid w:val="009F0FE4"/>
    <w:rsid w:val="009F1061"/>
    <w:rsid w:val="009F114F"/>
    <w:rsid w:val="009F1212"/>
    <w:rsid w:val="009F1B03"/>
    <w:rsid w:val="009F1E4B"/>
    <w:rsid w:val="009F28C4"/>
    <w:rsid w:val="009F2A41"/>
    <w:rsid w:val="009F2AC0"/>
    <w:rsid w:val="009F2D57"/>
    <w:rsid w:val="009F2EC8"/>
    <w:rsid w:val="009F303A"/>
    <w:rsid w:val="009F3679"/>
    <w:rsid w:val="009F3825"/>
    <w:rsid w:val="009F3DFF"/>
    <w:rsid w:val="009F3EDF"/>
    <w:rsid w:val="009F3FA1"/>
    <w:rsid w:val="009F40F2"/>
    <w:rsid w:val="009F4164"/>
    <w:rsid w:val="009F4776"/>
    <w:rsid w:val="009F495E"/>
    <w:rsid w:val="009F5542"/>
    <w:rsid w:val="009F5C74"/>
    <w:rsid w:val="009F5E98"/>
    <w:rsid w:val="009F5EE0"/>
    <w:rsid w:val="009F64C8"/>
    <w:rsid w:val="009F6CB3"/>
    <w:rsid w:val="009F6F51"/>
    <w:rsid w:val="009F73AB"/>
    <w:rsid w:val="009F757F"/>
    <w:rsid w:val="009F7941"/>
    <w:rsid w:val="009F79D0"/>
    <w:rsid w:val="009F7E98"/>
    <w:rsid w:val="009F7EB0"/>
    <w:rsid w:val="00A0035E"/>
    <w:rsid w:val="00A00A0E"/>
    <w:rsid w:val="00A00F56"/>
    <w:rsid w:val="00A01296"/>
    <w:rsid w:val="00A018FA"/>
    <w:rsid w:val="00A01DFC"/>
    <w:rsid w:val="00A02203"/>
    <w:rsid w:val="00A02D4D"/>
    <w:rsid w:val="00A02E76"/>
    <w:rsid w:val="00A035BB"/>
    <w:rsid w:val="00A03879"/>
    <w:rsid w:val="00A03B1E"/>
    <w:rsid w:val="00A03B7D"/>
    <w:rsid w:val="00A03BCA"/>
    <w:rsid w:val="00A03CE8"/>
    <w:rsid w:val="00A04F37"/>
    <w:rsid w:val="00A05613"/>
    <w:rsid w:val="00A058C2"/>
    <w:rsid w:val="00A05F4F"/>
    <w:rsid w:val="00A0618D"/>
    <w:rsid w:val="00A063AF"/>
    <w:rsid w:val="00A06A06"/>
    <w:rsid w:val="00A06C9F"/>
    <w:rsid w:val="00A077E6"/>
    <w:rsid w:val="00A079AC"/>
    <w:rsid w:val="00A07C44"/>
    <w:rsid w:val="00A07EFF"/>
    <w:rsid w:val="00A10B1C"/>
    <w:rsid w:val="00A111DA"/>
    <w:rsid w:val="00A1131D"/>
    <w:rsid w:val="00A1162E"/>
    <w:rsid w:val="00A11742"/>
    <w:rsid w:val="00A11847"/>
    <w:rsid w:val="00A119AC"/>
    <w:rsid w:val="00A12173"/>
    <w:rsid w:val="00A1232E"/>
    <w:rsid w:val="00A1279F"/>
    <w:rsid w:val="00A129DE"/>
    <w:rsid w:val="00A13483"/>
    <w:rsid w:val="00A13C2D"/>
    <w:rsid w:val="00A13D53"/>
    <w:rsid w:val="00A14007"/>
    <w:rsid w:val="00A143B7"/>
    <w:rsid w:val="00A1461F"/>
    <w:rsid w:val="00A14747"/>
    <w:rsid w:val="00A14C3E"/>
    <w:rsid w:val="00A14C56"/>
    <w:rsid w:val="00A14D50"/>
    <w:rsid w:val="00A1514B"/>
    <w:rsid w:val="00A15706"/>
    <w:rsid w:val="00A15983"/>
    <w:rsid w:val="00A15E60"/>
    <w:rsid w:val="00A15FFD"/>
    <w:rsid w:val="00A160DF"/>
    <w:rsid w:val="00A16263"/>
    <w:rsid w:val="00A166A5"/>
    <w:rsid w:val="00A167AA"/>
    <w:rsid w:val="00A169B7"/>
    <w:rsid w:val="00A16C40"/>
    <w:rsid w:val="00A172D6"/>
    <w:rsid w:val="00A174A2"/>
    <w:rsid w:val="00A1796C"/>
    <w:rsid w:val="00A17F8F"/>
    <w:rsid w:val="00A20480"/>
    <w:rsid w:val="00A20591"/>
    <w:rsid w:val="00A20917"/>
    <w:rsid w:val="00A20944"/>
    <w:rsid w:val="00A20F4F"/>
    <w:rsid w:val="00A20FD4"/>
    <w:rsid w:val="00A21314"/>
    <w:rsid w:val="00A213DF"/>
    <w:rsid w:val="00A215F8"/>
    <w:rsid w:val="00A218AD"/>
    <w:rsid w:val="00A218AF"/>
    <w:rsid w:val="00A21AE6"/>
    <w:rsid w:val="00A21DC6"/>
    <w:rsid w:val="00A22461"/>
    <w:rsid w:val="00A225A1"/>
    <w:rsid w:val="00A23012"/>
    <w:rsid w:val="00A2307E"/>
    <w:rsid w:val="00A2351C"/>
    <w:rsid w:val="00A23801"/>
    <w:rsid w:val="00A23A07"/>
    <w:rsid w:val="00A24165"/>
    <w:rsid w:val="00A24550"/>
    <w:rsid w:val="00A24703"/>
    <w:rsid w:val="00A248D0"/>
    <w:rsid w:val="00A24B9C"/>
    <w:rsid w:val="00A24EB5"/>
    <w:rsid w:val="00A24EDD"/>
    <w:rsid w:val="00A24FF2"/>
    <w:rsid w:val="00A25134"/>
    <w:rsid w:val="00A25671"/>
    <w:rsid w:val="00A257F7"/>
    <w:rsid w:val="00A25A49"/>
    <w:rsid w:val="00A25B0B"/>
    <w:rsid w:val="00A25BDA"/>
    <w:rsid w:val="00A26450"/>
    <w:rsid w:val="00A266F7"/>
    <w:rsid w:val="00A26AD6"/>
    <w:rsid w:val="00A26DD2"/>
    <w:rsid w:val="00A26F21"/>
    <w:rsid w:val="00A270F5"/>
    <w:rsid w:val="00A27111"/>
    <w:rsid w:val="00A27258"/>
    <w:rsid w:val="00A2756D"/>
    <w:rsid w:val="00A278BC"/>
    <w:rsid w:val="00A278BD"/>
    <w:rsid w:val="00A2797A"/>
    <w:rsid w:val="00A27AE8"/>
    <w:rsid w:val="00A27BA8"/>
    <w:rsid w:val="00A27CA8"/>
    <w:rsid w:val="00A27D68"/>
    <w:rsid w:val="00A27ED5"/>
    <w:rsid w:val="00A30123"/>
    <w:rsid w:val="00A30253"/>
    <w:rsid w:val="00A30D74"/>
    <w:rsid w:val="00A31375"/>
    <w:rsid w:val="00A3142D"/>
    <w:rsid w:val="00A32239"/>
    <w:rsid w:val="00A3228B"/>
    <w:rsid w:val="00A327E9"/>
    <w:rsid w:val="00A32C3E"/>
    <w:rsid w:val="00A333D7"/>
    <w:rsid w:val="00A33F41"/>
    <w:rsid w:val="00A341BF"/>
    <w:rsid w:val="00A34242"/>
    <w:rsid w:val="00A34E2C"/>
    <w:rsid w:val="00A34E68"/>
    <w:rsid w:val="00A350E8"/>
    <w:rsid w:val="00A353DD"/>
    <w:rsid w:val="00A35E85"/>
    <w:rsid w:val="00A35ED7"/>
    <w:rsid w:val="00A360AD"/>
    <w:rsid w:val="00A36572"/>
    <w:rsid w:val="00A36A1B"/>
    <w:rsid w:val="00A371B3"/>
    <w:rsid w:val="00A3774E"/>
    <w:rsid w:val="00A377B1"/>
    <w:rsid w:val="00A378A4"/>
    <w:rsid w:val="00A37A96"/>
    <w:rsid w:val="00A4003E"/>
    <w:rsid w:val="00A401B9"/>
    <w:rsid w:val="00A406B8"/>
    <w:rsid w:val="00A407FC"/>
    <w:rsid w:val="00A408DF"/>
    <w:rsid w:val="00A409B1"/>
    <w:rsid w:val="00A40ED6"/>
    <w:rsid w:val="00A41AC2"/>
    <w:rsid w:val="00A41CAD"/>
    <w:rsid w:val="00A41D4B"/>
    <w:rsid w:val="00A426EC"/>
    <w:rsid w:val="00A427F9"/>
    <w:rsid w:val="00A4289B"/>
    <w:rsid w:val="00A42B87"/>
    <w:rsid w:val="00A43407"/>
    <w:rsid w:val="00A43471"/>
    <w:rsid w:val="00A438C7"/>
    <w:rsid w:val="00A4410B"/>
    <w:rsid w:val="00A44550"/>
    <w:rsid w:val="00A44C6C"/>
    <w:rsid w:val="00A44F84"/>
    <w:rsid w:val="00A44FBA"/>
    <w:rsid w:val="00A45355"/>
    <w:rsid w:val="00A453D5"/>
    <w:rsid w:val="00A45AF5"/>
    <w:rsid w:val="00A4617D"/>
    <w:rsid w:val="00A4634A"/>
    <w:rsid w:val="00A4685B"/>
    <w:rsid w:val="00A4725D"/>
    <w:rsid w:val="00A474E5"/>
    <w:rsid w:val="00A47CA4"/>
    <w:rsid w:val="00A5020E"/>
    <w:rsid w:val="00A5045C"/>
    <w:rsid w:val="00A50C5C"/>
    <w:rsid w:val="00A50F82"/>
    <w:rsid w:val="00A519CE"/>
    <w:rsid w:val="00A5216B"/>
    <w:rsid w:val="00A522C5"/>
    <w:rsid w:val="00A523C3"/>
    <w:rsid w:val="00A52613"/>
    <w:rsid w:val="00A52A89"/>
    <w:rsid w:val="00A52AD1"/>
    <w:rsid w:val="00A52EEF"/>
    <w:rsid w:val="00A52F2D"/>
    <w:rsid w:val="00A532BF"/>
    <w:rsid w:val="00A538A6"/>
    <w:rsid w:val="00A54A6A"/>
    <w:rsid w:val="00A54C31"/>
    <w:rsid w:val="00A54F61"/>
    <w:rsid w:val="00A5518C"/>
    <w:rsid w:val="00A55863"/>
    <w:rsid w:val="00A564F1"/>
    <w:rsid w:val="00A56882"/>
    <w:rsid w:val="00A56900"/>
    <w:rsid w:val="00A5691F"/>
    <w:rsid w:val="00A569AC"/>
    <w:rsid w:val="00A56F85"/>
    <w:rsid w:val="00A5726B"/>
    <w:rsid w:val="00A57633"/>
    <w:rsid w:val="00A57893"/>
    <w:rsid w:val="00A57C7B"/>
    <w:rsid w:val="00A60051"/>
    <w:rsid w:val="00A60256"/>
    <w:rsid w:val="00A6043B"/>
    <w:rsid w:val="00A60903"/>
    <w:rsid w:val="00A614DC"/>
    <w:rsid w:val="00A61C56"/>
    <w:rsid w:val="00A6239E"/>
    <w:rsid w:val="00A6246F"/>
    <w:rsid w:val="00A62526"/>
    <w:rsid w:val="00A63815"/>
    <w:rsid w:val="00A63B94"/>
    <w:rsid w:val="00A640BB"/>
    <w:rsid w:val="00A645A3"/>
    <w:rsid w:val="00A647D9"/>
    <w:rsid w:val="00A649AE"/>
    <w:rsid w:val="00A650D6"/>
    <w:rsid w:val="00A65165"/>
    <w:rsid w:val="00A654C4"/>
    <w:rsid w:val="00A65646"/>
    <w:rsid w:val="00A6599D"/>
    <w:rsid w:val="00A65BDA"/>
    <w:rsid w:val="00A65C34"/>
    <w:rsid w:val="00A65F2A"/>
    <w:rsid w:val="00A66263"/>
    <w:rsid w:val="00A66EC8"/>
    <w:rsid w:val="00A675EB"/>
    <w:rsid w:val="00A67B33"/>
    <w:rsid w:val="00A67E03"/>
    <w:rsid w:val="00A7045E"/>
    <w:rsid w:val="00A70522"/>
    <w:rsid w:val="00A707A1"/>
    <w:rsid w:val="00A707EA"/>
    <w:rsid w:val="00A709C1"/>
    <w:rsid w:val="00A71A0C"/>
    <w:rsid w:val="00A71C45"/>
    <w:rsid w:val="00A720C2"/>
    <w:rsid w:val="00A721AB"/>
    <w:rsid w:val="00A725FA"/>
    <w:rsid w:val="00A72A6A"/>
    <w:rsid w:val="00A72AC8"/>
    <w:rsid w:val="00A72B2D"/>
    <w:rsid w:val="00A72CD2"/>
    <w:rsid w:val="00A72E6A"/>
    <w:rsid w:val="00A72F54"/>
    <w:rsid w:val="00A733E9"/>
    <w:rsid w:val="00A73612"/>
    <w:rsid w:val="00A736B6"/>
    <w:rsid w:val="00A74278"/>
    <w:rsid w:val="00A74424"/>
    <w:rsid w:val="00A7457F"/>
    <w:rsid w:val="00A74604"/>
    <w:rsid w:val="00A74721"/>
    <w:rsid w:val="00A74757"/>
    <w:rsid w:val="00A74A2E"/>
    <w:rsid w:val="00A74D6B"/>
    <w:rsid w:val="00A7500F"/>
    <w:rsid w:val="00A76DC0"/>
    <w:rsid w:val="00A76E15"/>
    <w:rsid w:val="00A774C8"/>
    <w:rsid w:val="00A77844"/>
    <w:rsid w:val="00A802C6"/>
    <w:rsid w:val="00A803EB"/>
    <w:rsid w:val="00A8046E"/>
    <w:rsid w:val="00A8092C"/>
    <w:rsid w:val="00A80970"/>
    <w:rsid w:val="00A80AE8"/>
    <w:rsid w:val="00A80DF3"/>
    <w:rsid w:val="00A81132"/>
    <w:rsid w:val="00A81222"/>
    <w:rsid w:val="00A812B7"/>
    <w:rsid w:val="00A814E7"/>
    <w:rsid w:val="00A82078"/>
    <w:rsid w:val="00A820EB"/>
    <w:rsid w:val="00A82324"/>
    <w:rsid w:val="00A82412"/>
    <w:rsid w:val="00A82473"/>
    <w:rsid w:val="00A8255F"/>
    <w:rsid w:val="00A83BFE"/>
    <w:rsid w:val="00A83E47"/>
    <w:rsid w:val="00A84063"/>
    <w:rsid w:val="00A843E9"/>
    <w:rsid w:val="00A84805"/>
    <w:rsid w:val="00A84DE8"/>
    <w:rsid w:val="00A85243"/>
    <w:rsid w:val="00A8528E"/>
    <w:rsid w:val="00A8537D"/>
    <w:rsid w:val="00A85D1A"/>
    <w:rsid w:val="00A85F17"/>
    <w:rsid w:val="00A86238"/>
    <w:rsid w:val="00A862D3"/>
    <w:rsid w:val="00A867E4"/>
    <w:rsid w:val="00A86FCA"/>
    <w:rsid w:val="00A874DF"/>
    <w:rsid w:val="00A8755A"/>
    <w:rsid w:val="00A87812"/>
    <w:rsid w:val="00A87E60"/>
    <w:rsid w:val="00A90701"/>
    <w:rsid w:val="00A907A5"/>
    <w:rsid w:val="00A90A2D"/>
    <w:rsid w:val="00A90BD1"/>
    <w:rsid w:val="00A913AF"/>
    <w:rsid w:val="00A91824"/>
    <w:rsid w:val="00A91B78"/>
    <w:rsid w:val="00A91CF2"/>
    <w:rsid w:val="00A91F9D"/>
    <w:rsid w:val="00A92265"/>
    <w:rsid w:val="00A922F1"/>
    <w:rsid w:val="00A92627"/>
    <w:rsid w:val="00A926A7"/>
    <w:rsid w:val="00A92BA9"/>
    <w:rsid w:val="00A94240"/>
    <w:rsid w:val="00A948AB"/>
    <w:rsid w:val="00A95108"/>
    <w:rsid w:val="00A957C4"/>
    <w:rsid w:val="00A95843"/>
    <w:rsid w:val="00A9586C"/>
    <w:rsid w:val="00A9591C"/>
    <w:rsid w:val="00A96544"/>
    <w:rsid w:val="00A96929"/>
    <w:rsid w:val="00A971AF"/>
    <w:rsid w:val="00A97CC6"/>
    <w:rsid w:val="00AA0097"/>
    <w:rsid w:val="00AA0E30"/>
    <w:rsid w:val="00AA112C"/>
    <w:rsid w:val="00AA1284"/>
    <w:rsid w:val="00AA19DB"/>
    <w:rsid w:val="00AA2367"/>
    <w:rsid w:val="00AA2A86"/>
    <w:rsid w:val="00AA3059"/>
    <w:rsid w:val="00AA31F8"/>
    <w:rsid w:val="00AA32BB"/>
    <w:rsid w:val="00AA35DA"/>
    <w:rsid w:val="00AA395C"/>
    <w:rsid w:val="00AA46ED"/>
    <w:rsid w:val="00AA4888"/>
    <w:rsid w:val="00AA4E65"/>
    <w:rsid w:val="00AA5065"/>
    <w:rsid w:val="00AA532B"/>
    <w:rsid w:val="00AA57F7"/>
    <w:rsid w:val="00AA64B3"/>
    <w:rsid w:val="00AA6A07"/>
    <w:rsid w:val="00AA6BD0"/>
    <w:rsid w:val="00AA750E"/>
    <w:rsid w:val="00AA7664"/>
    <w:rsid w:val="00AB03A4"/>
    <w:rsid w:val="00AB0439"/>
    <w:rsid w:val="00AB0A71"/>
    <w:rsid w:val="00AB1BFE"/>
    <w:rsid w:val="00AB2ED9"/>
    <w:rsid w:val="00AB3261"/>
    <w:rsid w:val="00AB3734"/>
    <w:rsid w:val="00AB3843"/>
    <w:rsid w:val="00AB3846"/>
    <w:rsid w:val="00AB3859"/>
    <w:rsid w:val="00AB3C57"/>
    <w:rsid w:val="00AB4172"/>
    <w:rsid w:val="00AB4CF0"/>
    <w:rsid w:val="00AB507C"/>
    <w:rsid w:val="00AB5100"/>
    <w:rsid w:val="00AB51B2"/>
    <w:rsid w:val="00AB5466"/>
    <w:rsid w:val="00AB57EC"/>
    <w:rsid w:val="00AB5A27"/>
    <w:rsid w:val="00AB5FCA"/>
    <w:rsid w:val="00AB5FEB"/>
    <w:rsid w:val="00AB6187"/>
    <w:rsid w:val="00AB618F"/>
    <w:rsid w:val="00AB6DC4"/>
    <w:rsid w:val="00AC013B"/>
    <w:rsid w:val="00AC018D"/>
    <w:rsid w:val="00AC01D3"/>
    <w:rsid w:val="00AC0322"/>
    <w:rsid w:val="00AC06D0"/>
    <w:rsid w:val="00AC0798"/>
    <w:rsid w:val="00AC07F0"/>
    <w:rsid w:val="00AC1117"/>
    <w:rsid w:val="00AC115B"/>
    <w:rsid w:val="00AC1236"/>
    <w:rsid w:val="00AC19F1"/>
    <w:rsid w:val="00AC1B6E"/>
    <w:rsid w:val="00AC1C4D"/>
    <w:rsid w:val="00AC20C8"/>
    <w:rsid w:val="00AC22FB"/>
    <w:rsid w:val="00AC250B"/>
    <w:rsid w:val="00AC2C15"/>
    <w:rsid w:val="00AC2DE2"/>
    <w:rsid w:val="00AC3779"/>
    <w:rsid w:val="00AC37A3"/>
    <w:rsid w:val="00AC45E5"/>
    <w:rsid w:val="00AC4975"/>
    <w:rsid w:val="00AC5276"/>
    <w:rsid w:val="00AC531F"/>
    <w:rsid w:val="00AC649E"/>
    <w:rsid w:val="00AC6B58"/>
    <w:rsid w:val="00AC6CC8"/>
    <w:rsid w:val="00AC6D8D"/>
    <w:rsid w:val="00AC6ED8"/>
    <w:rsid w:val="00AC7144"/>
    <w:rsid w:val="00AC738E"/>
    <w:rsid w:val="00AC79B5"/>
    <w:rsid w:val="00AC7C3C"/>
    <w:rsid w:val="00AD0203"/>
    <w:rsid w:val="00AD0258"/>
    <w:rsid w:val="00AD03B9"/>
    <w:rsid w:val="00AD0AFB"/>
    <w:rsid w:val="00AD0D7C"/>
    <w:rsid w:val="00AD16B8"/>
    <w:rsid w:val="00AD1C18"/>
    <w:rsid w:val="00AD2797"/>
    <w:rsid w:val="00AD282D"/>
    <w:rsid w:val="00AD2AE5"/>
    <w:rsid w:val="00AD352F"/>
    <w:rsid w:val="00AD3987"/>
    <w:rsid w:val="00AD446B"/>
    <w:rsid w:val="00AD467B"/>
    <w:rsid w:val="00AD486A"/>
    <w:rsid w:val="00AD5176"/>
    <w:rsid w:val="00AD56F5"/>
    <w:rsid w:val="00AD5AB3"/>
    <w:rsid w:val="00AD5BDA"/>
    <w:rsid w:val="00AD60B2"/>
    <w:rsid w:val="00AD60B4"/>
    <w:rsid w:val="00AD632C"/>
    <w:rsid w:val="00AD6BAB"/>
    <w:rsid w:val="00AD7155"/>
    <w:rsid w:val="00AD733C"/>
    <w:rsid w:val="00AD74B0"/>
    <w:rsid w:val="00AD796C"/>
    <w:rsid w:val="00AE0154"/>
    <w:rsid w:val="00AE085B"/>
    <w:rsid w:val="00AE1C90"/>
    <w:rsid w:val="00AE1E11"/>
    <w:rsid w:val="00AE20C0"/>
    <w:rsid w:val="00AE23A5"/>
    <w:rsid w:val="00AE260C"/>
    <w:rsid w:val="00AE2B4F"/>
    <w:rsid w:val="00AE2C08"/>
    <w:rsid w:val="00AE3152"/>
    <w:rsid w:val="00AE364B"/>
    <w:rsid w:val="00AE39DC"/>
    <w:rsid w:val="00AE4077"/>
    <w:rsid w:val="00AE426B"/>
    <w:rsid w:val="00AE4432"/>
    <w:rsid w:val="00AE449B"/>
    <w:rsid w:val="00AE4B4C"/>
    <w:rsid w:val="00AE4C6E"/>
    <w:rsid w:val="00AE4CE2"/>
    <w:rsid w:val="00AE4D7C"/>
    <w:rsid w:val="00AE4EF5"/>
    <w:rsid w:val="00AE4FDC"/>
    <w:rsid w:val="00AE4FDE"/>
    <w:rsid w:val="00AE5665"/>
    <w:rsid w:val="00AE59DB"/>
    <w:rsid w:val="00AE5DE6"/>
    <w:rsid w:val="00AE630C"/>
    <w:rsid w:val="00AE6379"/>
    <w:rsid w:val="00AE7079"/>
    <w:rsid w:val="00AE748F"/>
    <w:rsid w:val="00AE79C8"/>
    <w:rsid w:val="00AF0375"/>
    <w:rsid w:val="00AF06FB"/>
    <w:rsid w:val="00AF091A"/>
    <w:rsid w:val="00AF0FC3"/>
    <w:rsid w:val="00AF134C"/>
    <w:rsid w:val="00AF14F7"/>
    <w:rsid w:val="00AF1505"/>
    <w:rsid w:val="00AF15B7"/>
    <w:rsid w:val="00AF1682"/>
    <w:rsid w:val="00AF192C"/>
    <w:rsid w:val="00AF19BA"/>
    <w:rsid w:val="00AF1A50"/>
    <w:rsid w:val="00AF1C1B"/>
    <w:rsid w:val="00AF2856"/>
    <w:rsid w:val="00AF3159"/>
    <w:rsid w:val="00AF33E0"/>
    <w:rsid w:val="00AF46A1"/>
    <w:rsid w:val="00AF476B"/>
    <w:rsid w:val="00AF628F"/>
    <w:rsid w:val="00AF7438"/>
    <w:rsid w:val="00B004A6"/>
    <w:rsid w:val="00B00995"/>
    <w:rsid w:val="00B00A9E"/>
    <w:rsid w:val="00B00E8C"/>
    <w:rsid w:val="00B00EEB"/>
    <w:rsid w:val="00B00F08"/>
    <w:rsid w:val="00B02125"/>
    <w:rsid w:val="00B03018"/>
    <w:rsid w:val="00B0347D"/>
    <w:rsid w:val="00B034F1"/>
    <w:rsid w:val="00B03EED"/>
    <w:rsid w:val="00B0448A"/>
    <w:rsid w:val="00B04658"/>
    <w:rsid w:val="00B0488D"/>
    <w:rsid w:val="00B04A3F"/>
    <w:rsid w:val="00B04B18"/>
    <w:rsid w:val="00B04C46"/>
    <w:rsid w:val="00B04D67"/>
    <w:rsid w:val="00B05A6F"/>
    <w:rsid w:val="00B05B9D"/>
    <w:rsid w:val="00B05DB1"/>
    <w:rsid w:val="00B061FC"/>
    <w:rsid w:val="00B06CF4"/>
    <w:rsid w:val="00B06CF9"/>
    <w:rsid w:val="00B0720A"/>
    <w:rsid w:val="00B0754E"/>
    <w:rsid w:val="00B07886"/>
    <w:rsid w:val="00B07AA1"/>
    <w:rsid w:val="00B1012A"/>
    <w:rsid w:val="00B104B0"/>
    <w:rsid w:val="00B10CE1"/>
    <w:rsid w:val="00B11012"/>
    <w:rsid w:val="00B11A14"/>
    <w:rsid w:val="00B11D70"/>
    <w:rsid w:val="00B121DE"/>
    <w:rsid w:val="00B122A3"/>
    <w:rsid w:val="00B12559"/>
    <w:rsid w:val="00B12EB9"/>
    <w:rsid w:val="00B1350C"/>
    <w:rsid w:val="00B13652"/>
    <w:rsid w:val="00B13856"/>
    <w:rsid w:val="00B138B5"/>
    <w:rsid w:val="00B13983"/>
    <w:rsid w:val="00B13B74"/>
    <w:rsid w:val="00B13DC5"/>
    <w:rsid w:val="00B13E0A"/>
    <w:rsid w:val="00B13E5B"/>
    <w:rsid w:val="00B13FFB"/>
    <w:rsid w:val="00B14408"/>
    <w:rsid w:val="00B1490D"/>
    <w:rsid w:val="00B14A27"/>
    <w:rsid w:val="00B15063"/>
    <w:rsid w:val="00B152DB"/>
    <w:rsid w:val="00B15499"/>
    <w:rsid w:val="00B159EC"/>
    <w:rsid w:val="00B15A21"/>
    <w:rsid w:val="00B15BBA"/>
    <w:rsid w:val="00B15C41"/>
    <w:rsid w:val="00B15FB9"/>
    <w:rsid w:val="00B162F4"/>
    <w:rsid w:val="00B1669F"/>
    <w:rsid w:val="00B166B8"/>
    <w:rsid w:val="00B1714B"/>
    <w:rsid w:val="00B177D5"/>
    <w:rsid w:val="00B17D9F"/>
    <w:rsid w:val="00B17FA6"/>
    <w:rsid w:val="00B20478"/>
    <w:rsid w:val="00B204F3"/>
    <w:rsid w:val="00B204F4"/>
    <w:rsid w:val="00B205F7"/>
    <w:rsid w:val="00B20EC6"/>
    <w:rsid w:val="00B20EF7"/>
    <w:rsid w:val="00B216D1"/>
    <w:rsid w:val="00B22A09"/>
    <w:rsid w:val="00B22A63"/>
    <w:rsid w:val="00B22B36"/>
    <w:rsid w:val="00B22FDA"/>
    <w:rsid w:val="00B23692"/>
    <w:rsid w:val="00B23C09"/>
    <w:rsid w:val="00B24203"/>
    <w:rsid w:val="00B2424E"/>
    <w:rsid w:val="00B24BB2"/>
    <w:rsid w:val="00B24BDC"/>
    <w:rsid w:val="00B253F0"/>
    <w:rsid w:val="00B25478"/>
    <w:rsid w:val="00B25B03"/>
    <w:rsid w:val="00B25D29"/>
    <w:rsid w:val="00B25D90"/>
    <w:rsid w:val="00B25DB3"/>
    <w:rsid w:val="00B25E3A"/>
    <w:rsid w:val="00B26264"/>
    <w:rsid w:val="00B2634E"/>
    <w:rsid w:val="00B2686B"/>
    <w:rsid w:val="00B26DBB"/>
    <w:rsid w:val="00B26DD0"/>
    <w:rsid w:val="00B26EF9"/>
    <w:rsid w:val="00B26F3D"/>
    <w:rsid w:val="00B26FDD"/>
    <w:rsid w:val="00B274AC"/>
    <w:rsid w:val="00B27938"/>
    <w:rsid w:val="00B3006C"/>
    <w:rsid w:val="00B30134"/>
    <w:rsid w:val="00B304E8"/>
    <w:rsid w:val="00B307B8"/>
    <w:rsid w:val="00B308BA"/>
    <w:rsid w:val="00B30CC7"/>
    <w:rsid w:val="00B316E4"/>
    <w:rsid w:val="00B31A90"/>
    <w:rsid w:val="00B31E1E"/>
    <w:rsid w:val="00B31E38"/>
    <w:rsid w:val="00B3200C"/>
    <w:rsid w:val="00B32416"/>
    <w:rsid w:val="00B3258E"/>
    <w:rsid w:val="00B325E0"/>
    <w:rsid w:val="00B325E4"/>
    <w:rsid w:val="00B3267C"/>
    <w:rsid w:val="00B329FB"/>
    <w:rsid w:val="00B32A4A"/>
    <w:rsid w:val="00B32B99"/>
    <w:rsid w:val="00B32B9A"/>
    <w:rsid w:val="00B32D94"/>
    <w:rsid w:val="00B32F72"/>
    <w:rsid w:val="00B332D8"/>
    <w:rsid w:val="00B33B9A"/>
    <w:rsid w:val="00B33DEC"/>
    <w:rsid w:val="00B341FB"/>
    <w:rsid w:val="00B34235"/>
    <w:rsid w:val="00B3476A"/>
    <w:rsid w:val="00B34773"/>
    <w:rsid w:val="00B34934"/>
    <w:rsid w:val="00B34BAE"/>
    <w:rsid w:val="00B34E68"/>
    <w:rsid w:val="00B35140"/>
    <w:rsid w:val="00B3536F"/>
    <w:rsid w:val="00B35966"/>
    <w:rsid w:val="00B35AC7"/>
    <w:rsid w:val="00B35CE1"/>
    <w:rsid w:val="00B36594"/>
    <w:rsid w:val="00B3699F"/>
    <w:rsid w:val="00B369B3"/>
    <w:rsid w:val="00B369B5"/>
    <w:rsid w:val="00B371BE"/>
    <w:rsid w:val="00B378D8"/>
    <w:rsid w:val="00B37D66"/>
    <w:rsid w:val="00B400DB"/>
    <w:rsid w:val="00B40482"/>
    <w:rsid w:val="00B40546"/>
    <w:rsid w:val="00B41000"/>
    <w:rsid w:val="00B41E99"/>
    <w:rsid w:val="00B41EE5"/>
    <w:rsid w:val="00B41F13"/>
    <w:rsid w:val="00B42110"/>
    <w:rsid w:val="00B42259"/>
    <w:rsid w:val="00B4276D"/>
    <w:rsid w:val="00B43311"/>
    <w:rsid w:val="00B43337"/>
    <w:rsid w:val="00B433C3"/>
    <w:rsid w:val="00B437D9"/>
    <w:rsid w:val="00B43F26"/>
    <w:rsid w:val="00B44007"/>
    <w:rsid w:val="00B440D2"/>
    <w:rsid w:val="00B44861"/>
    <w:rsid w:val="00B44D36"/>
    <w:rsid w:val="00B452A1"/>
    <w:rsid w:val="00B461AA"/>
    <w:rsid w:val="00B46260"/>
    <w:rsid w:val="00B4627F"/>
    <w:rsid w:val="00B463C2"/>
    <w:rsid w:val="00B46470"/>
    <w:rsid w:val="00B46824"/>
    <w:rsid w:val="00B46AED"/>
    <w:rsid w:val="00B46C61"/>
    <w:rsid w:val="00B46D49"/>
    <w:rsid w:val="00B47077"/>
    <w:rsid w:val="00B471B9"/>
    <w:rsid w:val="00B47692"/>
    <w:rsid w:val="00B4779B"/>
    <w:rsid w:val="00B50305"/>
    <w:rsid w:val="00B5045E"/>
    <w:rsid w:val="00B50487"/>
    <w:rsid w:val="00B50A44"/>
    <w:rsid w:val="00B50BD8"/>
    <w:rsid w:val="00B50C39"/>
    <w:rsid w:val="00B50CE7"/>
    <w:rsid w:val="00B50DD9"/>
    <w:rsid w:val="00B50FDE"/>
    <w:rsid w:val="00B5104A"/>
    <w:rsid w:val="00B5118D"/>
    <w:rsid w:val="00B51503"/>
    <w:rsid w:val="00B519A8"/>
    <w:rsid w:val="00B51BCD"/>
    <w:rsid w:val="00B51D34"/>
    <w:rsid w:val="00B52348"/>
    <w:rsid w:val="00B52372"/>
    <w:rsid w:val="00B527AA"/>
    <w:rsid w:val="00B52F7A"/>
    <w:rsid w:val="00B531DD"/>
    <w:rsid w:val="00B53566"/>
    <w:rsid w:val="00B53EBA"/>
    <w:rsid w:val="00B540C7"/>
    <w:rsid w:val="00B54294"/>
    <w:rsid w:val="00B542A7"/>
    <w:rsid w:val="00B547F5"/>
    <w:rsid w:val="00B54B75"/>
    <w:rsid w:val="00B55031"/>
    <w:rsid w:val="00B551B4"/>
    <w:rsid w:val="00B55A62"/>
    <w:rsid w:val="00B563A6"/>
    <w:rsid w:val="00B578A0"/>
    <w:rsid w:val="00B57C46"/>
    <w:rsid w:val="00B57F7D"/>
    <w:rsid w:val="00B6075E"/>
    <w:rsid w:val="00B60893"/>
    <w:rsid w:val="00B60B9D"/>
    <w:rsid w:val="00B60E1A"/>
    <w:rsid w:val="00B61378"/>
    <w:rsid w:val="00B6164E"/>
    <w:rsid w:val="00B61C4F"/>
    <w:rsid w:val="00B61D22"/>
    <w:rsid w:val="00B61F93"/>
    <w:rsid w:val="00B628B2"/>
    <w:rsid w:val="00B62B52"/>
    <w:rsid w:val="00B62B57"/>
    <w:rsid w:val="00B62D20"/>
    <w:rsid w:val="00B63C3B"/>
    <w:rsid w:val="00B63D69"/>
    <w:rsid w:val="00B649AF"/>
    <w:rsid w:val="00B64B4C"/>
    <w:rsid w:val="00B65445"/>
    <w:rsid w:val="00B65657"/>
    <w:rsid w:val="00B65763"/>
    <w:rsid w:val="00B66155"/>
    <w:rsid w:val="00B663B1"/>
    <w:rsid w:val="00B66452"/>
    <w:rsid w:val="00B66A8A"/>
    <w:rsid w:val="00B66A8B"/>
    <w:rsid w:val="00B66C84"/>
    <w:rsid w:val="00B670EE"/>
    <w:rsid w:val="00B67515"/>
    <w:rsid w:val="00B67751"/>
    <w:rsid w:val="00B67FC1"/>
    <w:rsid w:val="00B7031F"/>
    <w:rsid w:val="00B70505"/>
    <w:rsid w:val="00B70A7E"/>
    <w:rsid w:val="00B70B9D"/>
    <w:rsid w:val="00B70CDE"/>
    <w:rsid w:val="00B71075"/>
    <w:rsid w:val="00B710A7"/>
    <w:rsid w:val="00B71483"/>
    <w:rsid w:val="00B7160F"/>
    <w:rsid w:val="00B718BF"/>
    <w:rsid w:val="00B71B30"/>
    <w:rsid w:val="00B71D99"/>
    <w:rsid w:val="00B7221F"/>
    <w:rsid w:val="00B72343"/>
    <w:rsid w:val="00B728B8"/>
    <w:rsid w:val="00B72B08"/>
    <w:rsid w:val="00B73400"/>
    <w:rsid w:val="00B7377E"/>
    <w:rsid w:val="00B73915"/>
    <w:rsid w:val="00B73917"/>
    <w:rsid w:val="00B73D4E"/>
    <w:rsid w:val="00B73DF1"/>
    <w:rsid w:val="00B73FB2"/>
    <w:rsid w:val="00B74170"/>
    <w:rsid w:val="00B74815"/>
    <w:rsid w:val="00B748DF"/>
    <w:rsid w:val="00B74947"/>
    <w:rsid w:val="00B74DC2"/>
    <w:rsid w:val="00B74F4A"/>
    <w:rsid w:val="00B75125"/>
    <w:rsid w:val="00B751A1"/>
    <w:rsid w:val="00B75437"/>
    <w:rsid w:val="00B754FD"/>
    <w:rsid w:val="00B76573"/>
    <w:rsid w:val="00B76A76"/>
    <w:rsid w:val="00B772F2"/>
    <w:rsid w:val="00B77302"/>
    <w:rsid w:val="00B773D5"/>
    <w:rsid w:val="00B77600"/>
    <w:rsid w:val="00B777C5"/>
    <w:rsid w:val="00B777E5"/>
    <w:rsid w:val="00B77D33"/>
    <w:rsid w:val="00B80545"/>
    <w:rsid w:val="00B80804"/>
    <w:rsid w:val="00B80B17"/>
    <w:rsid w:val="00B80B34"/>
    <w:rsid w:val="00B810A8"/>
    <w:rsid w:val="00B818F8"/>
    <w:rsid w:val="00B82548"/>
    <w:rsid w:val="00B828EB"/>
    <w:rsid w:val="00B834A4"/>
    <w:rsid w:val="00B83B5E"/>
    <w:rsid w:val="00B84BAB"/>
    <w:rsid w:val="00B84DB3"/>
    <w:rsid w:val="00B84DE5"/>
    <w:rsid w:val="00B84EDA"/>
    <w:rsid w:val="00B8561A"/>
    <w:rsid w:val="00B85CB8"/>
    <w:rsid w:val="00B85F61"/>
    <w:rsid w:val="00B860DF"/>
    <w:rsid w:val="00B86128"/>
    <w:rsid w:val="00B86EA9"/>
    <w:rsid w:val="00B8701C"/>
    <w:rsid w:val="00B8701D"/>
    <w:rsid w:val="00B872C3"/>
    <w:rsid w:val="00B87824"/>
    <w:rsid w:val="00B90628"/>
    <w:rsid w:val="00B906BB"/>
    <w:rsid w:val="00B9076A"/>
    <w:rsid w:val="00B90E82"/>
    <w:rsid w:val="00B911E0"/>
    <w:rsid w:val="00B91255"/>
    <w:rsid w:val="00B917E9"/>
    <w:rsid w:val="00B91C5B"/>
    <w:rsid w:val="00B922B6"/>
    <w:rsid w:val="00B922BA"/>
    <w:rsid w:val="00B92322"/>
    <w:rsid w:val="00B929A6"/>
    <w:rsid w:val="00B92D40"/>
    <w:rsid w:val="00B93432"/>
    <w:rsid w:val="00B93494"/>
    <w:rsid w:val="00B935EF"/>
    <w:rsid w:val="00B93668"/>
    <w:rsid w:val="00B93AC7"/>
    <w:rsid w:val="00B93C9B"/>
    <w:rsid w:val="00B93E80"/>
    <w:rsid w:val="00B93F35"/>
    <w:rsid w:val="00B94051"/>
    <w:rsid w:val="00B940D5"/>
    <w:rsid w:val="00B94114"/>
    <w:rsid w:val="00B943F7"/>
    <w:rsid w:val="00B94516"/>
    <w:rsid w:val="00B945B1"/>
    <w:rsid w:val="00B94CA0"/>
    <w:rsid w:val="00B9528F"/>
    <w:rsid w:val="00B9547B"/>
    <w:rsid w:val="00B95B74"/>
    <w:rsid w:val="00B95D4E"/>
    <w:rsid w:val="00B96141"/>
    <w:rsid w:val="00B966FC"/>
    <w:rsid w:val="00B96751"/>
    <w:rsid w:val="00B96F9F"/>
    <w:rsid w:val="00B9730A"/>
    <w:rsid w:val="00B97F1A"/>
    <w:rsid w:val="00BA0043"/>
    <w:rsid w:val="00BA00C7"/>
    <w:rsid w:val="00BA00D9"/>
    <w:rsid w:val="00BA018F"/>
    <w:rsid w:val="00BA0C55"/>
    <w:rsid w:val="00BA0F79"/>
    <w:rsid w:val="00BA16DC"/>
    <w:rsid w:val="00BA1AAE"/>
    <w:rsid w:val="00BA1E36"/>
    <w:rsid w:val="00BA23A9"/>
    <w:rsid w:val="00BA2613"/>
    <w:rsid w:val="00BA2FF8"/>
    <w:rsid w:val="00BA3215"/>
    <w:rsid w:val="00BA3470"/>
    <w:rsid w:val="00BA4839"/>
    <w:rsid w:val="00BA4C44"/>
    <w:rsid w:val="00BA4FF6"/>
    <w:rsid w:val="00BA53C3"/>
    <w:rsid w:val="00BA5679"/>
    <w:rsid w:val="00BA5AA7"/>
    <w:rsid w:val="00BA6401"/>
    <w:rsid w:val="00BA6A32"/>
    <w:rsid w:val="00BA6B47"/>
    <w:rsid w:val="00BA6B62"/>
    <w:rsid w:val="00BA6DF6"/>
    <w:rsid w:val="00BA70B6"/>
    <w:rsid w:val="00BA7263"/>
    <w:rsid w:val="00BA74AA"/>
    <w:rsid w:val="00BA7837"/>
    <w:rsid w:val="00BA7B1C"/>
    <w:rsid w:val="00BA7C46"/>
    <w:rsid w:val="00BB032D"/>
    <w:rsid w:val="00BB070C"/>
    <w:rsid w:val="00BB0843"/>
    <w:rsid w:val="00BB087F"/>
    <w:rsid w:val="00BB0BCF"/>
    <w:rsid w:val="00BB0C5D"/>
    <w:rsid w:val="00BB0FEF"/>
    <w:rsid w:val="00BB10F1"/>
    <w:rsid w:val="00BB16CB"/>
    <w:rsid w:val="00BB266E"/>
    <w:rsid w:val="00BB2C57"/>
    <w:rsid w:val="00BB2FCC"/>
    <w:rsid w:val="00BB2FD6"/>
    <w:rsid w:val="00BB3078"/>
    <w:rsid w:val="00BB32CF"/>
    <w:rsid w:val="00BB3846"/>
    <w:rsid w:val="00BB4930"/>
    <w:rsid w:val="00BB4CE1"/>
    <w:rsid w:val="00BB4E9A"/>
    <w:rsid w:val="00BB53FC"/>
    <w:rsid w:val="00BB5BB9"/>
    <w:rsid w:val="00BB5E9F"/>
    <w:rsid w:val="00BB62F9"/>
    <w:rsid w:val="00BB68AD"/>
    <w:rsid w:val="00BB6C8F"/>
    <w:rsid w:val="00BB74EF"/>
    <w:rsid w:val="00BB7BA3"/>
    <w:rsid w:val="00BC027A"/>
    <w:rsid w:val="00BC05C3"/>
    <w:rsid w:val="00BC0E77"/>
    <w:rsid w:val="00BC12AC"/>
    <w:rsid w:val="00BC1317"/>
    <w:rsid w:val="00BC14CC"/>
    <w:rsid w:val="00BC1DB5"/>
    <w:rsid w:val="00BC2B08"/>
    <w:rsid w:val="00BC2C72"/>
    <w:rsid w:val="00BC2CB9"/>
    <w:rsid w:val="00BC2F66"/>
    <w:rsid w:val="00BC2FBD"/>
    <w:rsid w:val="00BC368A"/>
    <w:rsid w:val="00BC368B"/>
    <w:rsid w:val="00BC3E6F"/>
    <w:rsid w:val="00BC4A68"/>
    <w:rsid w:val="00BC4E7E"/>
    <w:rsid w:val="00BC4E82"/>
    <w:rsid w:val="00BC53D9"/>
    <w:rsid w:val="00BC572D"/>
    <w:rsid w:val="00BC5E87"/>
    <w:rsid w:val="00BC632A"/>
    <w:rsid w:val="00BC6377"/>
    <w:rsid w:val="00BC64F3"/>
    <w:rsid w:val="00BC651E"/>
    <w:rsid w:val="00BC689E"/>
    <w:rsid w:val="00BC68DF"/>
    <w:rsid w:val="00BC7271"/>
    <w:rsid w:val="00BC754D"/>
    <w:rsid w:val="00BC7631"/>
    <w:rsid w:val="00BC7A31"/>
    <w:rsid w:val="00BC7B82"/>
    <w:rsid w:val="00BC7BA7"/>
    <w:rsid w:val="00BC7E60"/>
    <w:rsid w:val="00BD00E9"/>
    <w:rsid w:val="00BD07A5"/>
    <w:rsid w:val="00BD09D8"/>
    <w:rsid w:val="00BD0B3E"/>
    <w:rsid w:val="00BD0E3E"/>
    <w:rsid w:val="00BD137B"/>
    <w:rsid w:val="00BD197D"/>
    <w:rsid w:val="00BD1CBB"/>
    <w:rsid w:val="00BD2119"/>
    <w:rsid w:val="00BD261F"/>
    <w:rsid w:val="00BD2845"/>
    <w:rsid w:val="00BD2D0A"/>
    <w:rsid w:val="00BD2D58"/>
    <w:rsid w:val="00BD2FC5"/>
    <w:rsid w:val="00BD3CAA"/>
    <w:rsid w:val="00BD3EC4"/>
    <w:rsid w:val="00BD3FF7"/>
    <w:rsid w:val="00BD4262"/>
    <w:rsid w:val="00BD4952"/>
    <w:rsid w:val="00BD4DEF"/>
    <w:rsid w:val="00BD54BD"/>
    <w:rsid w:val="00BD5600"/>
    <w:rsid w:val="00BD570E"/>
    <w:rsid w:val="00BD57FA"/>
    <w:rsid w:val="00BD6518"/>
    <w:rsid w:val="00BD652C"/>
    <w:rsid w:val="00BD66E4"/>
    <w:rsid w:val="00BD6C87"/>
    <w:rsid w:val="00BD7451"/>
    <w:rsid w:val="00BD7727"/>
    <w:rsid w:val="00BD7A4D"/>
    <w:rsid w:val="00BD7B82"/>
    <w:rsid w:val="00BE018A"/>
    <w:rsid w:val="00BE0C3C"/>
    <w:rsid w:val="00BE0F9C"/>
    <w:rsid w:val="00BE1358"/>
    <w:rsid w:val="00BE151C"/>
    <w:rsid w:val="00BE156A"/>
    <w:rsid w:val="00BE166E"/>
    <w:rsid w:val="00BE1C17"/>
    <w:rsid w:val="00BE2A86"/>
    <w:rsid w:val="00BE3033"/>
    <w:rsid w:val="00BE307C"/>
    <w:rsid w:val="00BE3174"/>
    <w:rsid w:val="00BE32DC"/>
    <w:rsid w:val="00BE338D"/>
    <w:rsid w:val="00BE375E"/>
    <w:rsid w:val="00BE3A7E"/>
    <w:rsid w:val="00BE3CD4"/>
    <w:rsid w:val="00BE46CA"/>
    <w:rsid w:val="00BE4719"/>
    <w:rsid w:val="00BE5643"/>
    <w:rsid w:val="00BE6249"/>
    <w:rsid w:val="00BE7255"/>
    <w:rsid w:val="00BE7425"/>
    <w:rsid w:val="00BE74F5"/>
    <w:rsid w:val="00BE7CE0"/>
    <w:rsid w:val="00BF0354"/>
    <w:rsid w:val="00BF0EA2"/>
    <w:rsid w:val="00BF0EBA"/>
    <w:rsid w:val="00BF18D1"/>
    <w:rsid w:val="00BF1A6A"/>
    <w:rsid w:val="00BF1DD6"/>
    <w:rsid w:val="00BF24E1"/>
    <w:rsid w:val="00BF27F5"/>
    <w:rsid w:val="00BF291A"/>
    <w:rsid w:val="00BF2C12"/>
    <w:rsid w:val="00BF2C47"/>
    <w:rsid w:val="00BF2FBF"/>
    <w:rsid w:val="00BF2FC7"/>
    <w:rsid w:val="00BF316A"/>
    <w:rsid w:val="00BF36E7"/>
    <w:rsid w:val="00BF374E"/>
    <w:rsid w:val="00BF3778"/>
    <w:rsid w:val="00BF3B92"/>
    <w:rsid w:val="00BF3BE6"/>
    <w:rsid w:val="00BF3CCE"/>
    <w:rsid w:val="00BF3E67"/>
    <w:rsid w:val="00BF3FB9"/>
    <w:rsid w:val="00BF4E6E"/>
    <w:rsid w:val="00BF52B0"/>
    <w:rsid w:val="00BF5A42"/>
    <w:rsid w:val="00BF5F29"/>
    <w:rsid w:val="00BF66DB"/>
    <w:rsid w:val="00BF6CB9"/>
    <w:rsid w:val="00BF705A"/>
    <w:rsid w:val="00BF752F"/>
    <w:rsid w:val="00BF7BAF"/>
    <w:rsid w:val="00C00366"/>
    <w:rsid w:val="00C0039F"/>
    <w:rsid w:val="00C0070D"/>
    <w:rsid w:val="00C00836"/>
    <w:rsid w:val="00C009F3"/>
    <w:rsid w:val="00C01053"/>
    <w:rsid w:val="00C011CC"/>
    <w:rsid w:val="00C012C4"/>
    <w:rsid w:val="00C01359"/>
    <w:rsid w:val="00C014C2"/>
    <w:rsid w:val="00C016DD"/>
    <w:rsid w:val="00C01A35"/>
    <w:rsid w:val="00C021FD"/>
    <w:rsid w:val="00C025AA"/>
    <w:rsid w:val="00C025ED"/>
    <w:rsid w:val="00C028F0"/>
    <w:rsid w:val="00C03439"/>
    <w:rsid w:val="00C036D6"/>
    <w:rsid w:val="00C03D62"/>
    <w:rsid w:val="00C03DAC"/>
    <w:rsid w:val="00C0465D"/>
    <w:rsid w:val="00C0489E"/>
    <w:rsid w:val="00C048E0"/>
    <w:rsid w:val="00C04E15"/>
    <w:rsid w:val="00C0558A"/>
    <w:rsid w:val="00C05673"/>
    <w:rsid w:val="00C0599B"/>
    <w:rsid w:val="00C062B2"/>
    <w:rsid w:val="00C06EB6"/>
    <w:rsid w:val="00C070DF"/>
    <w:rsid w:val="00C07E8A"/>
    <w:rsid w:val="00C1029D"/>
    <w:rsid w:val="00C105D1"/>
    <w:rsid w:val="00C1079F"/>
    <w:rsid w:val="00C10AD6"/>
    <w:rsid w:val="00C110A8"/>
    <w:rsid w:val="00C1113B"/>
    <w:rsid w:val="00C1138E"/>
    <w:rsid w:val="00C11556"/>
    <w:rsid w:val="00C11816"/>
    <w:rsid w:val="00C11DA9"/>
    <w:rsid w:val="00C1287E"/>
    <w:rsid w:val="00C12C2C"/>
    <w:rsid w:val="00C13497"/>
    <w:rsid w:val="00C1406D"/>
    <w:rsid w:val="00C14426"/>
    <w:rsid w:val="00C144DF"/>
    <w:rsid w:val="00C1512D"/>
    <w:rsid w:val="00C1595D"/>
    <w:rsid w:val="00C160D9"/>
    <w:rsid w:val="00C163D9"/>
    <w:rsid w:val="00C16506"/>
    <w:rsid w:val="00C16826"/>
    <w:rsid w:val="00C16D69"/>
    <w:rsid w:val="00C1741E"/>
    <w:rsid w:val="00C17D2E"/>
    <w:rsid w:val="00C17FB5"/>
    <w:rsid w:val="00C20259"/>
    <w:rsid w:val="00C203BF"/>
    <w:rsid w:val="00C20EAB"/>
    <w:rsid w:val="00C21367"/>
    <w:rsid w:val="00C2146B"/>
    <w:rsid w:val="00C21532"/>
    <w:rsid w:val="00C21549"/>
    <w:rsid w:val="00C21665"/>
    <w:rsid w:val="00C21CE2"/>
    <w:rsid w:val="00C2289E"/>
    <w:rsid w:val="00C2315F"/>
    <w:rsid w:val="00C23DD1"/>
    <w:rsid w:val="00C246B3"/>
    <w:rsid w:val="00C24929"/>
    <w:rsid w:val="00C24CB9"/>
    <w:rsid w:val="00C2501A"/>
    <w:rsid w:val="00C25035"/>
    <w:rsid w:val="00C2527D"/>
    <w:rsid w:val="00C252CB"/>
    <w:rsid w:val="00C255F0"/>
    <w:rsid w:val="00C2569F"/>
    <w:rsid w:val="00C25869"/>
    <w:rsid w:val="00C25912"/>
    <w:rsid w:val="00C25A30"/>
    <w:rsid w:val="00C25DC0"/>
    <w:rsid w:val="00C25EF5"/>
    <w:rsid w:val="00C263D2"/>
    <w:rsid w:val="00C264F1"/>
    <w:rsid w:val="00C26D22"/>
    <w:rsid w:val="00C27329"/>
    <w:rsid w:val="00C2745C"/>
    <w:rsid w:val="00C276F5"/>
    <w:rsid w:val="00C279CB"/>
    <w:rsid w:val="00C30113"/>
    <w:rsid w:val="00C30538"/>
    <w:rsid w:val="00C3063C"/>
    <w:rsid w:val="00C30869"/>
    <w:rsid w:val="00C3126C"/>
    <w:rsid w:val="00C313C3"/>
    <w:rsid w:val="00C31775"/>
    <w:rsid w:val="00C31862"/>
    <w:rsid w:val="00C3204E"/>
    <w:rsid w:val="00C32173"/>
    <w:rsid w:val="00C32390"/>
    <w:rsid w:val="00C3247D"/>
    <w:rsid w:val="00C32967"/>
    <w:rsid w:val="00C329CD"/>
    <w:rsid w:val="00C32A90"/>
    <w:rsid w:val="00C32B57"/>
    <w:rsid w:val="00C32D22"/>
    <w:rsid w:val="00C3341D"/>
    <w:rsid w:val="00C3370E"/>
    <w:rsid w:val="00C33BF0"/>
    <w:rsid w:val="00C33E87"/>
    <w:rsid w:val="00C34778"/>
    <w:rsid w:val="00C34F61"/>
    <w:rsid w:val="00C352D6"/>
    <w:rsid w:val="00C35561"/>
    <w:rsid w:val="00C35639"/>
    <w:rsid w:val="00C35AA1"/>
    <w:rsid w:val="00C365D3"/>
    <w:rsid w:val="00C36731"/>
    <w:rsid w:val="00C37B98"/>
    <w:rsid w:val="00C37CDB"/>
    <w:rsid w:val="00C4004D"/>
    <w:rsid w:val="00C404A2"/>
    <w:rsid w:val="00C40BC9"/>
    <w:rsid w:val="00C4119C"/>
    <w:rsid w:val="00C41483"/>
    <w:rsid w:val="00C41D20"/>
    <w:rsid w:val="00C42047"/>
    <w:rsid w:val="00C427DA"/>
    <w:rsid w:val="00C4294B"/>
    <w:rsid w:val="00C42B8B"/>
    <w:rsid w:val="00C42C4F"/>
    <w:rsid w:val="00C42CEE"/>
    <w:rsid w:val="00C43272"/>
    <w:rsid w:val="00C43685"/>
    <w:rsid w:val="00C436FD"/>
    <w:rsid w:val="00C43814"/>
    <w:rsid w:val="00C43DF8"/>
    <w:rsid w:val="00C43EBA"/>
    <w:rsid w:val="00C440CA"/>
    <w:rsid w:val="00C44841"/>
    <w:rsid w:val="00C44E8A"/>
    <w:rsid w:val="00C45166"/>
    <w:rsid w:val="00C4571D"/>
    <w:rsid w:val="00C458AF"/>
    <w:rsid w:val="00C458F5"/>
    <w:rsid w:val="00C46012"/>
    <w:rsid w:val="00C461DD"/>
    <w:rsid w:val="00C462E6"/>
    <w:rsid w:val="00C46B85"/>
    <w:rsid w:val="00C46BDD"/>
    <w:rsid w:val="00C46E25"/>
    <w:rsid w:val="00C477CA"/>
    <w:rsid w:val="00C5024F"/>
    <w:rsid w:val="00C50461"/>
    <w:rsid w:val="00C505BB"/>
    <w:rsid w:val="00C50B29"/>
    <w:rsid w:val="00C50C4A"/>
    <w:rsid w:val="00C50E2C"/>
    <w:rsid w:val="00C50F5B"/>
    <w:rsid w:val="00C51146"/>
    <w:rsid w:val="00C5161A"/>
    <w:rsid w:val="00C516C5"/>
    <w:rsid w:val="00C52292"/>
    <w:rsid w:val="00C526E4"/>
    <w:rsid w:val="00C53145"/>
    <w:rsid w:val="00C53900"/>
    <w:rsid w:val="00C53A12"/>
    <w:rsid w:val="00C53C5B"/>
    <w:rsid w:val="00C54012"/>
    <w:rsid w:val="00C5417F"/>
    <w:rsid w:val="00C55B7F"/>
    <w:rsid w:val="00C55C3D"/>
    <w:rsid w:val="00C56618"/>
    <w:rsid w:val="00C5668F"/>
    <w:rsid w:val="00C567EA"/>
    <w:rsid w:val="00C5684A"/>
    <w:rsid w:val="00C56CCA"/>
    <w:rsid w:val="00C5724D"/>
    <w:rsid w:val="00C572EF"/>
    <w:rsid w:val="00C57749"/>
    <w:rsid w:val="00C57936"/>
    <w:rsid w:val="00C60062"/>
    <w:rsid w:val="00C60805"/>
    <w:rsid w:val="00C60B78"/>
    <w:rsid w:val="00C6133D"/>
    <w:rsid w:val="00C615B1"/>
    <w:rsid w:val="00C61CB7"/>
    <w:rsid w:val="00C61D45"/>
    <w:rsid w:val="00C621D2"/>
    <w:rsid w:val="00C625B1"/>
    <w:rsid w:val="00C62A1D"/>
    <w:rsid w:val="00C6322C"/>
    <w:rsid w:val="00C637EE"/>
    <w:rsid w:val="00C638B2"/>
    <w:rsid w:val="00C63A4C"/>
    <w:rsid w:val="00C63A54"/>
    <w:rsid w:val="00C63A84"/>
    <w:rsid w:val="00C6401D"/>
    <w:rsid w:val="00C64169"/>
    <w:rsid w:val="00C64214"/>
    <w:rsid w:val="00C64A2B"/>
    <w:rsid w:val="00C64D75"/>
    <w:rsid w:val="00C6541B"/>
    <w:rsid w:val="00C65979"/>
    <w:rsid w:val="00C659B7"/>
    <w:rsid w:val="00C65A7E"/>
    <w:rsid w:val="00C65CAC"/>
    <w:rsid w:val="00C66843"/>
    <w:rsid w:val="00C670C2"/>
    <w:rsid w:val="00C67471"/>
    <w:rsid w:val="00C6777F"/>
    <w:rsid w:val="00C67942"/>
    <w:rsid w:val="00C700D3"/>
    <w:rsid w:val="00C7035D"/>
    <w:rsid w:val="00C709A6"/>
    <w:rsid w:val="00C70D17"/>
    <w:rsid w:val="00C710C5"/>
    <w:rsid w:val="00C7155F"/>
    <w:rsid w:val="00C7196B"/>
    <w:rsid w:val="00C71A00"/>
    <w:rsid w:val="00C71BDB"/>
    <w:rsid w:val="00C71EFC"/>
    <w:rsid w:val="00C724E7"/>
    <w:rsid w:val="00C72A50"/>
    <w:rsid w:val="00C72E82"/>
    <w:rsid w:val="00C72E97"/>
    <w:rsid w:val="00C733BA"/>
    <w:rsid w:val="00C73A5C"/>
    <w:rsid w:val="00C73A8B"/>
    <w:rsid w:val="00C7471E"/>
    <w:rsid w:val="00C747FD"/>
    <w:rsid w:val="00C74A6C"/>
    <w:rsid w:val="00C74A8C"/>
    <w:rsid w:val="00C74A9F"/>
    <w:rsid w:val="00C74B90"/>
    <w:rsid w:val="00C751BC"/>
    <w:rsid w:val="00C753EB"/>
    <w:rsid w:val="00C7542B"/>
    <w:rsid w:val="00C7545E"/>
    <w:rsid w:val="00C75A9D"/>
    <w:rsid w:val="00C75E89"/>
    <w:rsid w:val="00C75EC5"/>
    <w:rsid w:val="00C761F2"/>
    <w:rsid w:val="00C767DD"/>
    <w:rsid w:val="00C76D16"/>
    <w:rsid w:val="00C76E57"/>
    <w:rsid w:val="00C7765E"/>
    <w:rsid w:val="00C776B8"/>
    <w:rsid w:val="00C77A05"/>
    <w:rsid w:val="00C77DEC"/>
    <w:rsid w:val="00C77EB0"/>
    <w:rsid w:val="00C8015D"/>
    <w:rsid w:val="00C80280"/>
    <w:rsid w:val="00C8053D"/>
    <w:rsid w:val="00C807AA"/>
    <w:rsid w:val="00C80822"/>
    <w:rsid w:val="00C80C51"/>
    <w:rsid w:val="00C80C92"/>
    <w:rsid w:val="00C81587"/>
    <w:rsid w:val="00C81725"/>
    <w:rsid w:val="00C81A4E"/>
    <w:rsid w:val="00C81B95"/>
    <w:rsid w:val="00C82A60"/>
    <w:rsid w:val="00C82BB6"/>
    <w:rsid w:val="00C8303B"/>
    <w:rsid w:val="00C833A9"/>
    <w:rsid w:val="00C84192"/>
    <w:rsid w:val="00C841A9"/>
    <w:rsid w:val="00C8548B"/>
    <w:rsid w:val="00C85BA5"/>
    <w:rsid w:val="00C85C55"/>
    <w:rsid w:val="00C85DF2"/>
    <w:rsid w:val="00C85EF5"/>
    <w:rsid w:val="00C85F99"/>
    <w:rsid w:val="00C8655B"/>
    <w:rsid w:val="00C868D7"/>
    <w:rsid w:val="00C868DE"/>
    <w:rsid w:val="00C86A00"/>
    <w:rsid w:val="00C86CCA"/>
    <w:rsid w:val="00C8738A"/>
    <w:rsid w:val="00C87702"/>
    <w:rsid w:val="00C87869"/>
    <w:rsid w:val="00C87912"/>
    <w:rsid w:val="00C902B5"/>
    <w:rsid w:val="00C9054A"/>
    <w:rsid w:val="00C90722"/>
    <w:rsid w:val="00C90CDB"/>
    <w:rsid w:val="00C90DA7"/>
    <w:rsid w:val="00C910A7"/>
    <w:rsid w:val="00C91490"/>
    <w:rsid w:val="00C9169D"/>
    <w:rsid w:val="00C9211C"/>
    <w:rsid w:val="00C92232"/>
    <w:rsid w:val="00C926A0"/>
    <w:rsid w:val="00C92922"/>
    <w:rsid w:val="00C92932"/>
    <w:rsid w:val="00C92FD7"/>
    <w:rsid w:val="00C936CE"/>
    <w:rsid w:val="00C93BB6"/>
    <w:rsid w:val="00C94436"/>
    <w:rsid w:val="00C94673"/>
    <w:rsid w:val="00C94FD5"/>
    <w:rsid w:val="00C954E1"/>
    <w:rsid w:val="00C954FE"/>
    <w:rsid w:val="00C9559B"/>
    <w:rsid w:val="00C955BF"/>
    <w:rsid w:val="00C95E30"/>
    <w:rsid w:val="00C95EFC"/>
    <w:rsid w:val="00C963E3"/>
    <w:rsid w:val="00C9648D"/>
    <w:rsid w:val="00C97548"/>
    <w:rsid w:val="00C9757F"/>
    <w:rsid w:val="00C97796"/>
    <w:rsid w:val="00C9785E"/>
    <w:rsid w:val="00C97A9C"/>
    <w:rsid w:val="00CA021C"/>
    <w:rsid w:val="00CA0307"/>
    <w:rsid w:val="00CA0628"/>
    <w:rsid w:val="00CA150B"/>
    <w:rsid w:val="00CA161A"/>
    <w:rsid w:val="00CA16D5"/>
    <w:rsid w:val="00CA18D9"/>
    <w:rsid w:val="00CA1C50"/>
    <w:rsid w:val="00CA268B"/>
    <w:rsid w:val="00CA29E0"/>
    <w:rsid w:val="00CA2AE0"/>
    <w:rsid w:val="00CA302D"/>
    <w:rsid w:val="00CA30A8"/>
    <w:rsid w:val="00CA35D6"/>
    <w:rsid w:val="00CA3960"/>
    <w:rsid w:val="00CA3FE6"/>
    <w:rsid w:val="00CA42E7"/>
    <w:rsid w:val="00CA4F89"/>
    <w:rsid w:val="00CA58C0"/>
    <w:rsid w:val="00CA64FA"/>
    <w:rsid w:val="00CA725F"/>
    <w:rsid w:val="00CA7543"/>
    <w:rsid w:val="00CA77C1"/>
    <w:rsid w:val="00CA7BFC"/>
    <w:rsid w:val="00CA7E0F"/>
    <w:rsid w:val="00CA7E7C"/>
    <w:rsid w:val="00CA7F4E"/>
    <w:rsid w:val="00CB01EF"/>
    <w:rsid w:val="00CB0655"/>
    <w:rsid w:val="00CB07BA"/>
    <w:rsid w:val="00CB0C73"/>
    <w:rsid w:val="00CB0C9B"/>
    <w:rsid w:val="00CB0CE7"/>
    <w:rsid w:val="00CB0F5C"/>
    <w:rsid w:val="00CB130E"/>
    <w:rsid w:val="00CB1727"/>
    <w:rsid w:val="00CB1870"/>
    <w:rsid w:val="00CB1F55"/>
    <w:rsid w:val="00CB25F1"/>
    <w:rsid w:val="00CB36CF"/>
    <w:rsid w:val="00CB443C"/>
    <w:rsid w:val="00CB4821"/>
    <w:rsid w:val="00CB48C0"/>
    <w:rsid w:val="00CB49A6"/>
    <w:rsid w:val="00CB4AF5"/>
    <w:rsid w:val="00CB4E19"/>
    <w:rsid w:val="00CB4EB3"/>
    <w:rsid w:val="00CB5A73"/>
    <w:rsid w:val="00CB5E93"/>
    <w:rsid w:val="00CB622D"/>
    <w:rsid w:val="00CB6BD8"/>
    <w:rsid w:val="00CB71BE"/>
    <w:rsid w:val="00CB71C7"/>
    <w:rsid w:val="00CC02F0"/>
    <w:rsid w:val="00CC04F6"/>
    <w:rsid w:val="00CC0736"/>
    <w:rsid w:val="00CC0FAC"/>
    <w:rsid w:val="00CC1379"/>
    <w:rsid w:val="00CC1973"/>
    <w:rsid w:val="00CC1A53"/>
    <w:rsid w:val="00CC1D10"/>
    <w:rsid w:val="00CC27CF"/>
    <w:rsid w:val="00CC309E"/>
    <w:rsid w:val="00CC30C8"/>
    <w:rsid w:val="00CC34E7"/>
    <w:rsid w:val="00CC365E"/>
    <w:rsid w:val="00CC3871"/>
    <w:rsid w:val="00CC4122"/>
    <w:rsid w:val="00CC42ED"/>
    <w:rsid w:val="00CC43B8"/>
    <w:rsid w:val="00CC469B"/>
    <w:rsid w:val="00CC4891"/>
    <w:rsid w:val="00CC48B6"/>
    <w:rsid w:val="00CC4CEC"/>
    <w:rsid w:val="00CC4F2A"/>
    <w:rsid w:val="00CC5511"/>
    <w:rsid w:val="00CC5A83"/>
    <w:rsid w:val="00CC5C46"/>
    <w:rsid w:val="00CC5D82"/>
    <w:rsid w:val="00CC60AE"/>
    <w:rsid w:val="00CC6EBD"/>
    <w:rsid w:val="00CC77AB"/>
    <w:rsid w:val="00CC7AA6"/>
    <w:rsid w:val="00CC7D11"/>
    <w:rsid w:val="00CC7FC2"/>
    <w:rsid w:val="00CD0694"/>
    <w:rsid w:val="00CD0CDE"/>
    <w:rsid w:val="00CD12B9"/>
    <w:rsid w:val="00CD1450"/>
    <w:rsid w:val="00CD1878"/>
    <w:rsid w:val="00CD190B"/>
    <w:rsid w:val="00CD200C"/>
    <w:rsid w:val="00CD203B"/>
    <w:rsid w:val="00CD237E"/>
    <w:rsid w:val="00CD2917"/>
    <w:rsid w:val="00CD315C"/>
    <w:rsid w:val="00CD3181"/>
    <w:rsid w:val="00CD3189"/>
    <w:rsid w:val="00CD3E0B"/>
    <w:rsid w:val="00CD467A"/>
    <w:rsid w:val="00CD470A"/>
    <w:rsid w:val="00CD4E6D"/>
    <w:rsid w:val="00CD4E98"/>
    <w:rsid w:val="00CD4F6E"/>
    <w:rsid w:val="00CD5142"/>
    <w:rsid w:val="00CD58DE"/>
    <w:rsid w:val="00CD5A29"/>
    <w:rsid w:val="00CD6073"/>
    <w:rsid w:val="00CD60A9"/>
    <w:rsid w:val="00CD62FA"/>
    <w:rsid w:val="00CD66AF"/>
    <w:rsid w:val="00CD6C5B"/>
    <w:rsid w:val="00CD6F30"/>
    <w:rsid w:val="00CD7006"/>
    <w:rsid w:val="00CD7209"/>
    <w:rsid w:val="00CD76B4"/>
    <w:rsid w:val="00CD77CC"/>
    <w:rsid w:val="00CD782D"/>
    <w:rsid w:val="00CD7CB1"/>
    <w:rsid w:val="00CE026C"/>
    <w:rsid w:val="00CE09B9"/>
    <w:rsid w:val="00CE0E54"/>
    <w:rsid w:val="00CE111D"/>
    <w:rsid w:val="00CE1857"/>
    <w:rsid w:val="00CE188D"/>
    <w:rsid w:val="00CE1E2D"/>
    <w:rsid w:val="00CE21A7"/>
    <w:rsid w:val="00CE2390"/>
    <w:rsid w:val="00CE2AC8"/>
    <w:rsid w:val="00CE2F4F"/>
    <w:rsid w:val="00CE3506"/>
    <w:rsid w:val="00CE3901"/>
    <w:rsid w:val="00CE464B"/>
    <w:rsid w:val="00CE5060"/>
    <w:rsid w:val="00CE5085"/>
    <w:rsid w:val="00CE5526"/>
    <w:rsid w:val="00CE5EA5"/>
    <w:rsid w:val="00CE5F26"/>
    <w:rsid w:val="00CE6928"/>
    <w:rsid w:val="00CE6F73"/>
    <w:rsid w:val="00CE7233"/>
    <w:rsid w:val="00CE7F02"/>
    <w:rsid w:val="00CF03D0"/>
    <w:rsid w:val="00CF056E"/>
    <w:rsid w:val="00CF0695"/>
    <w:rsid w:val="00CF06BC"/>
    <w:rsid w:val="00CF0704"/>
    <w:rsid w:val="00CF0AFB"/>
    <w:rsid w:val="00CF0CB0"/>
    <w:rsid w:val="00CF17DC"/>
    <w:rsid w:val="00CF196C"/>
    <w:rsid w:val="00CF1EA4"/>
    <w:rsid w:val="00CF226E"/>
    <w:rsid w:val="00CF230D"/>
    <w:rsid w:val="00CF253C"/>
    <w:rsid w:val="00CF29B4"/>
    <w:rsid w:val="00CF2D14"/>
    <w:rsid w:val="00CF3277"/>
    <w:rsid w:val="00CF3344"/>
    <w:rsid w:val="00CF364A"/>
    <w:rsid w:val="00CF3768"/>
    <w:rsid w:val="00CF3B71"/>
    <w:rsid w:val="00CF3FA3"/>
    <w:rsid w:val="00CF462A"/>
    <w:rsid w:val="00CF53D1"/>
    <w:rsid w:val="00CF5861"/>
    <w:rsid w:val="00CF5925"/>
    <w:rsid w:val="00CF5ED4"/>
    <w:rsid w:val="00CF6249"/>
    <w:rsid w:val="00CF6541"/>
    <w:rsid w:val="00CF670A"/>
    <w:rsid w:val="00CF704B"/>
    <w:rsid w:val="00CF7203"/>
    <w:rsid w:val="00CF7FD7"/>
    <w:rsid w:val="00D00309"/>
    <w:rsid w:val="00D0079B"/>
    <w:rsid w:val="00D008F7"/>
    <w:rsid w:val="00D0119C"/>
    <w:rsid w:val="00D01445"/>
    <w:rsid w:val="00D01A12"/>
    <w:rsid w:val="00D01F95"/>
    <w:rsid w:val="00D0209E"/>
    <w:rsid w:val="00D0265B"/>
    <w:rsid w:val="00D026D0"/>
    <w:rsid w:val="00D02D7D"/>
    <w:rsid w:val="00D02E6B"/>
    <w:rsid w:val="00D02F04"/>
    <w:rsid w:val="00D032A7"/>
    <w:rsid w:val="00D039A5"/>
    <w:rsid w:val="00D03DB8"/>
    <w:rsid w:val="00D040B4"/>
    <w:rsid w:val="00D04990"/>
    <w:rsid w:val="00D04CBD"/>
    <w:rsid w:val="00D056CF"/>
    <w:rsid w:val="00D05CA8"/>
    <w:rsid w:val="00D05D28"/>
    <w:rsid w:val="00D05D59"/>
    <w:rsid w:val="00D05DA0"/>
    <w:rsid w:val="00D0630C"/>
    <w:rsid w:val="00D064D7"/>
    <w:rsid w:val="00D06F43"/>
    <w:rsid w:val="00D07741"/>
    <w:rsid w:val="00D07BF9"/>
    <w:rsid w:val="00D07D33"/>
    <w:rsid w:val="00D1005F"/>
    <w:rsid w:val="00D10578"/>
    <w:rsid w:val="00D1073E"/>
    <w:rsid w:val="00D10BF9"/>
    <w:rsid w:val="00D10CB9"/>
    <w:rsid w:val="00D10F9A"/>
    <w:rsid w:val="00D10FBB"/>
    <w:rsid w:val="00D114EE"/>
    <w:rsid w:val="00D11572"/>
    <w:rsid w:val="00D1159E"/>
    <w:rsid w:val="00D1194A"/>
    <w:rsid w:val="00D11AAB"/>
    <w:rsid w:val="00D11CFB"/>
    <w:rsid w:val="00D11F1F"/>
    <w:rsid w:val="00D12E65"/>
    <w:rsid w:val="00D13EF9"/>
    <w:rsid w:val="00D13F05"/>
    <w:rsid w:val="00D141B3"/>
    <w:rsid w:val="00D144C7"/>
    <w:rsid w:val="00D14F8D"/>
    <w:rsid w:val="00D153F8"/>
    <w:rsid w:val="00D16424"/>
    <w:rsid w:val="00D165CB"/>
    <w:rsid w:val="00D16B0D"/>
    <w:rsid w:val="00D16FD5"/>
    <w:rsid w:val="00D17109"/>
    <w:rsid w:val="00D178D7"/>
    <w:rsid w:val="00D17E5E"/>
    <w:rsid w:val="00D17FD4"/>
    <w:rsid w:val="00D20BDB"/>
    <w:rsid w:val="00D20C5E"/>
    <w:rsid w:val="00D20E3B"/>
    <w:rsid w:val="00D20FA8"/>
    <w:rsid w:val="00D21D98"/>
    <w:rsid w:val="00D22231"/>
    <w:rsid w:val="00D228FF"/>
    <w:rsid w:val="00D22924"/>
    <w:rsid w:val="00D22A04"/>
    <w:rsid w:val="00D22CFB"/>
    <w:rsid w:val="00D23774"/>
    <w:rsid w:val="00D24048"/>
    <w:rsid w:val="00D242E8"/>
    <w:rsid w:val="00D243F3"/>
    <w:rsid w:val="00D2490F"/>
    <w:rsid w:val="00D24BAC"/>
    <w:rsid w:val="00D24ED4"/>
    <w:rsid w:val="00D24EDD"/>
    <w:rsid w:val="00D24F72"/>
    <w:rsid w:val="00D258B0"/>
    <w:rsid w:val="00D25949"/>
    <w:rsid w:val="00D25E92"/>
    <w:rsid w:val="00D25F58"/>
    <w:rsid w:val="00D2623A"/>
    <w:rsid w:val="00D26780"/>
    <w:rsid w:val="00D26961"/>
    <w:rsid w:val="00D26B6B"/>
    <w:rsid w:val="00D2735E"/>
    <w:rsid w:val="00D27BDE"/>
    <w:rsid w:val="00D30195"/>
    <w:rsid w:val="00D3037A"/>
    <w:rsid w:val="00D3042A"/>
    <w:rsid w:val="00D3100C"/>
    <w:rsid w:val="00D31043"/>
    <w:rsid w:val="00D31268"/>
    <w:rsid w:val="00D31365"/>
    <w:rsid w:val="00D31529"/>
    <w:rsid w:val="00D31706"/>
    <w:rsid w:val="00D3173B"/>
    <w:rsid w:val="00D31962"/>
    <w:rsid w:val="00D31B08"/>
    <w:rsid w:val="00D324C3"/>
    <w:rsid w:val="00D3273C"/>
    <w:rsid w:val="00D33B3E"/>
    <w:rsid w:val="00D33C18"/>
    <w:rsid w:val="00D33DA1"/>
    <w:rsid w:val="00D33FA9"/>
    <w:rsid w:val="00D34299"/>
    <w:rsid w:val="00D34B2E"/>
    <w:rsid w:val="00D354C0"/>
    <w:rsid w:val="00D357CE"/>
    <w:rsid w:val="00D35BD5"/>
    <w:rsid w:val="00D35CA5"/>
    <w:rsid w:val="00D361C2"/>
    <w:rsid w:val="00D36D38"/>
    <w:rsid w:val="00D36F1E"/>
    <w:rsid w:val="00D37239"/>
    <w:rsid w:val="00D37725"/>
    <w:rsid w:val="00D37C42"/>
    <w:rsid w:val="00D37D9C"/>
    <w:rsid w:val="00D37EE5"/>
    <w:rsid w:val="00D40970"/>
    <w:rsid w:val="00D40DFF"/>
    <w:rsid w:val="00D410A4"/>
    <w:rsid w:val="00D41493"/>
    <w:rsid w:val="00D42022"/>
    <w:rsid w:val="00D42458"/>
    <w:rsid w:val="00D426D5"/>
    <w:rsid w:val="00D42789"/>
    <w:rsid w:val="00D43055"/>
    <w:rsid w:val="00D436A6"/>
    <w:rsid w:val="00D43BD5"/>
    <w:rsid w:val="00D4426D"/>
    <w:rsid w:val="00D443D8"/>
    <w:rsid w:val="00D444B0"/>
    <w:rsid w:val="00D44D56"/>
    <w:rsid w:val="00D44F41"/>
    <w:rsid w:val="00D45400"/>
    <w:rsid w:val="00D454F9"/>
    <w:rsid w:val="00D45E86"/>
    <w:rsid w:val="00D46B96"/>
    <w:rsid w:val="00D46BC6"/>
    <w:rsid w:val="00D46D30"/>
    <w:rsid w:val="00D46F84"/>
    <w:rsid w:val="00D47047"/>
    <w:rsid w:val="00D47073"/>
    <w:rsid w:val="00D474AA"/>
    <w:rsid w:val="00D47572"/>
    <w:rsid w:val="00D475CD"/>
    <w:rsid w:val="00D478A8"/>
    <w:rsid w:val="00D50072"/>
    <w:rsid w:val="00D50167"/>
    <w:rsid w:val="00D5033E"/>
    <w:rsid w:val="00D50461"/>
    <w:rsid w:val="00D50677"/>
    <w:rsid w:val="00D50E28"/>
    <w:rsid w:val="00D50F92"/>
    <w:rsid w:val="00D510AF"/>
    <w:rsid w:val="00D511D6"/>
    <w:rsid w:val="00D513C4"/>
    <w:rsid w:val="00D51549"/>
    <w:rsid w:val="00D515F9"/>
    <w:rsid w:val="00D51F35"/>
    <w:rsid w:val="00D52529"/>
    <w:rsid w:val="00D52A0A"/>
    <w:rsid w:val="00D52AC5"/>
    <w:rsid w:val="00D530DA"/>
    <w:rsid w:val="00D5394E"/>
    <w:rsid w:val="00D543DA"/>
    <w:rsid w:val="00D546A5"/>
    <w:rsid w:val="00D550C5"/>
    <w:rsid w:val="00D55702"/>
    <w:rsid w:val="00D558A3"/>
    <w:rsid w:val="00D55A09"/>
    <w:rsid w:val="00D55C02"/>
    <w:rsid w:val="00D55EDB"/>
    <w:rsid w:val="00D563F5"/>
    <w:rsid w:val="00D566AD"/>
    <w:rsid w:val="00D56830"/>
    <w:rsid w:val="00D568E8"/>
    <w:rsid w:val="00D56977"/>
    <w:rsid w:val="00D56CA7"/>
    <w:rsid w:val="00D571C9"/>
    <w:rsid w:val="00D57370"/>
    <w:rsid w:val="00D578BC"/>
    <w:rsid w:val="00D578E5"/>
    <w:rsid w:val="00D606B9"/>
    <w:rsid w:val="00D607AD"/>
    <w:rsid w:val="00D608D1"/>
    <w:rsid w:val="00D6091D"/>
    <w:rsid w:val="00D609DB"/>
    <w:rsid w:val="00D60C00"/>
    <w:rsid w:val="00D61229"/>
    <w:rsid w:val="00D61C1A"/>
    <w:rsid w:val="00D62BE1"/>
    <w:rsid w:val="00D62E58"/>
    <w:rsid w:val="00D62F3E"/>
    <w:rsid w:val="00D632C7"/>
    <w:rsid w:val="00D6370E"/>
    <w:rsid w:val="00D63809"/>
    <w:rsid w:val="00D63A30"/>
    <w:rsid w:val="00D63FFF"/>
    <w:rsid w:val="00D64116"/>
    <w:rsid w:val="00D6414D"/>
    <w:rsid w:val="00D641F9"/>
    <w:rsid w:val="00D64610"/>
    <w:rsid w:val="00D64639"/>
    <w:rsid w:val="00D6464E"/>
    <w:rsid w:val="00D6513B"/>
    <w:rsid w:val="00D65551"/>
    <w:rsid w:val="00D65656"/>
    <w:rsid w:val="00D65D59"/>
    <w:rsid w:val="00D65E1C"/>
    <w:rsid w:val="00D65EB7"/>
    <w:rsid w:val="00D65F66"/>
    <w:rsid w:val="00D66189"/>
    <w:rsid w:val="00D663D0"/>
    <w:rsid w:val="00D66C3F"/>
    <w:rsid w:val="00D670D2"/>
    <w:rsid w:val="00D67123"/>
    <w:rsid w:val="00D67258"/>
    <w:rsid w:val="00D67C11"/>
    <w:rsid w:val="00D70212"/>
    <w:rsid w:val="00D70246"/>
    <w:rsid w:val="00D70AA3"/>
    <w:rsid w:val="00D70EE5"/>
    <w:rsid w:val="00D710EE"/>
    <w:rsid w:val="00D7133F"/>
    <w:rsid w:val="00D714EF"/>
    <w:rsid w:val="00D71508"/>
    <w:rsid w:val="00D7168B"/>
    <w:rsid w:val="00D7192E"/>
    <w:rsid w:val="00D71C79"/>
    <w:rsid w:val="00D71D82"/>
    <w:rsid w:val="00D71DC2"/>
    <w:rsid w:val="00D72371"/>
    <w:rsid w:val="00D733DE"/>
    <w:rsid w:val="00D73749"/>
    <w:rsid w:val="00D737F2"/>
    <w:rsid w:val="00D73DAD"/>
    <w:rsid w:val="00D74179"/>
    <w:rsid w:val="00D748D1"/>
    <w:rsid w:val="00D753B1"/>
    <w:rsid w:val="00D75620"/>
    <w:rsid w:val="00D75975"/>
    <w:rsid w:val="00D76647"/>
    <w:rsid w:val="00D76747"/>
    <w:rsid w:val="00D7674F"/>
    <w:rsid w:val="00D76A7A"/>
    <w:rsid w:val="00D76AC3"/>
    <w:rsid w:val="00D76B6F"/>
    <w:rsid w:val="00D76BC4"/>
    <w:rsid w:val="00D76E2F"/>
    <w:rsid w:val="00D76F1D"/>
    <w:rsid w:val="00D777FA"/>
    <w:rsid w:val="00D779F3"/>
    <w:rsid w:val="00D801F5"/>
    <w:rsid w:val="00D80FD2"/>
    <w:rsid w:val="00D81267"/>
    <w:rsid w:val="00D81D11"/>
    <w:rsid w:val="00D81F93"/>
    <w:rsid w:val="00D8286B"/>
    <w:rsid w:val="00D82EA3"/>
    <w:rsid w:val="00D83218"/>
    <w:rsid w:val="00D83AF0"/>
    <w:rsid w:val="00D83DA5"/>
    <w:rsid w:val="00D83F5B"/>
    <w:rsid w:val="00D841A3"/>
    <w:rsid w:val="00D843E6"/>
    <w:rsid w:val="00D84767"/>
    <w:rsid w:val="00D85186"/>
    <w:rsid w:val="00D85457"/>
    <w:rsid w:val="00D8546C"/>
    <w:rsid w:val="00D85573"/>
    <w:rsid w:val="00D85950"/>
    <w:rsid w:val="00D859D6"/>
    <w:rsid w:val="00D85A56"/>
    <w:rsid w:val="00D85EF7"/>
    <w:rsid w:val="00D86CE5"/>
    <w:rsid w:val="00D86E55"/>
    <w:rsid w:val="00D870DB"/>
    <w:rsid w:val="00D873DB"/>
    <w:rsid w:val="00D8746C"/>
    <w:rsid w:val="00D87E48"/>
    <w:rsid w:val="00D905A0"/>
    <w:rsid w:val="00D90D07"/>
    <w:rsid w:val="00D913C2"/>
    <w:rsid w:val="00D91FE2"/>
    <w:rsid w:val="00D92063"/>
    <w:rsid w:val="00D9258F"/>
    <w:rsid w:val="00D92740"/>
    <w:rsid w:val="00D929C1"/>
    <w:rsid w:val="00D93119"/>
    <w:rsid w:val="00D934B2"/>
    <w:rsid w:val="00D9392A"/>
    <w:rsid w:val="00D93935"/>
    <w:rsid w:val="00D93A4B"/>
    <w:rsid w:val="00D93C45"/>
    <w:rsid w:val="00D94377"/>
    <w:rsid w:val="00D944BC"/>
    <w:rsid w:val="00D944F4"/>
    <w:rsid w:val="00D94817"/>
    <w:rsid w:val="00D94FC1"/>
    <w:rsid w:val="00D958D5"/>
    <w:rsid w:val="00D959AE"/>
    <w:rsid w:val="00D95AAD"/>
    <w:rsid w:val="00D96A18"/>
    <w:rsid w:val="00D96C85"/>
    <w:rsid w:val="00D96F7B"/>
    <w:rsid w:val="00D973EB"/>
    <w:rsid w:val="00D97461"/>
    <w:rsid w:val="00D97A0D"/>
    <w:rsid w:val="00DA0BC5"/>
    <w:rsid w:val="00DA0CC6"/>
    <w:rsid w:val="00DA0D77"/>
    <w:rsid w:val="00DA15C1"/>
    <w:rsid w:val="00DA17E1"/>
    <w:rsid w:val="00DA1AD2"/>
    <w:rsid w:val="00DA1E63"/>
    <w:rsid w:val="00DA20CA"/>
    <w:rsid w:val="00DA285F"/>
    <w:rsid w:val="00DA3080"/>
    <w:rsid w:val="00DA3352"/>
    <w:rsid w:val="00DA35C1"/>
    <w:rsid w:val="00DA3784"/>
    <w:rsid w:val="00DA3B2F"/>
    <w:rsid w:val="00DA3CCE"/>
    <w:rsid w:val="00DA4386"/>
    <w:rsid w:val="00DA4B5D"/>
    <w:rsid w:val="00DA5335"/>
    <w:rsid w:val="00DA5437"/>
    <w:rsid w:val="00DA624B"/>
    <w:rsid w:val="00DA64B8"/>
    <w:rsid w:val="00DA743B"/>
    <w:rsid w:val="00DA7671"/>
    <w:rsid w:val="00DA787C"/>
    <w:rsid w:val="00DA7BA5"/>
    <w:rsid w:val="00DA7C9C"/>
    <w:rsid w:val="00DB0868"/>
    <w:rsid w:val="00DB089A"/>
    <w:rsid w:val="00DB11CC"/>
    <w:rsid w:val="00DB14E1"/>
    <w:rsid w:val="00DB1503"/>
    <w:rsid w:val="00DB205A"/>
    <w:rsid w:val="00DB256C"/>
    <w:rsid w:val="00DB27AC"/>
    <w:rsid w:val="00DB2CA8"/>
    <w:rsid w:val="00DB2DFF"/>
    <w:rsid w:val="00DB2F5C"/>
    <w:rsid w:val="00DB308E"/>
    <w:rsid w:val="00DB33FC"/>
    <w:rsid w:val="00DB387E"/>
    <w:rsid w:val="00DB3C45"/>
    <w:rsid w:val="00DB4561"/>
    <w:rsid w:val="00DB48C0"/>
    <w:rsid w:val="00DB4B55"/>
    <w:rsid w:val="00DB4BCC"/>
    <w:rsid w:val="00DB4E88"/>
    <w:rsid w:val="00DB5593"/>
    <w:rsid w:val="00DB5881"/>
    <w:rsid w:val="00DB58F9"/>
    <w:rsid w:val="00DB6548"/>
    <w:rsid w:val="00DB66C0"/>
    <w:rsid w:val="00DB6B1B"/>
    <w:rsid w:val="00DB78B7"/>
    <w:rsid w:val="00DB7945"/>
    <w:rsid w:val="00DC0117"/>
    <w:rsid w:val="00DC144C"/>
    <w:rsid w:val="00DC17D5"/>
    <w:rsid w:val="00DC1DBA"/>
    <w:rsid w:val="00DC1E8A"/>
    <w:rsid w:val="00DC202F"/>
    <w:rsid w:val="00DC2246"/>
    <w:rsid w:val="00DC2829"/>
    <w:rsid w:val="00DC2AFD"/>
    <w:rsid w:val="00DC2B13"/>
    <w:rsid w:val="00DC2E6D"/>
    <w:rsid w:val="00DC2F8C"/>
    <w:rsid w:val="00DC3019"/>
    <w:rsid w:val="00DC36F9"/>
    <w:rsid w:val="00DC3F9C"/>
    <w:rsid w:val="00DC48F9"/>
    <w:rsid w:val="00DC4CA7"/>
    <w:rsid w:val="00DC4D9C"/>
    <w:rsid w:val="00DC5AF9"/>
    <w:rsid w:val="00DC5C0D"/>
    <w:rsid w:val="00DC5F16"/>
    <w:rsid w:val="00DC6550"/>
    <w:rsid w:val="00DC691A"/>
    <w:rsid w:val="00DC6D0B"/>
    <w:rsid w:val="00DC70F7"/>
    <w:rsid w:val="00DC77AA"/>
    <w:rsid w:val="00DC7B5F"/>
    <w:rsid w:val="00DC7B65"/>
    <w:rsid w:val="00DC7BA2"/>
    <w:rsid w:val="00DC7C6B"/>
    <w:rsid w:val="00DC7DBF"/>
    <w:rsid w:val="00DD021C"/>
    <w:rsid w:val="00DD0546"/>
    <w:rsid w:val="00DD0A8A"/>
    <w:rsid w:val="00DD0C1B"/>
    <w:rsid w:val="00DD0E09"/>
    <w:rsid w:val="00DD0E54"/>
    <w:rsid w:val="00DD10F8"/>
    <w:rsid w:val="00DD213F"/>
    <w:rsid w:val="00DD21FD"/>
    <w:rsid w:val="00DD2231"/>
    <w:rsid w:val="00DD272D"/>
    <w:rsid w:val="00DD2808"/>
    <w:rsid w:val="00DD28FA"/>
    <w:rsid w:val="00DD2FFF"/>
    <w:rsid w:val="00DD3185"/>
    <w:rsid w:val="00DD3269"/>
    <w:rsid w:val="00DD3741"/>
    <w:rsid w:val="00DD380D"/>
    <w:rsid w:val="00DD3B16"/>
    <w:rsid w:val="00DD3BB9"/>
    <w:rsid w:val="00DD43F0"/>
    <w:rsid w:val="00DD4890"/>
    <w:rsid w:val="00DD50F9"/>
    <w:rsid w:val="00DD518B"/>
    <w:rsid w:val="00DD536F"/>
    <w:rsid w:val="00DD5D29"/>
    <w:rsid w:val="00DD5F98"/>
    <w:rsid w:val="00DD6111"/>
    <w:rsid w:val="00DD61F0"/>
    <w:rsid w:val="00DD61F9"/>
    <w:rsid w:val="00DD6573"/>
    <w:rsid w:val="00DD659F"/>
    <w:rsid w:val="00DD6EDB"/>
    <w:rsid w:val="00DD70F8"/>
    <w:rsid w:val="00DD7267"/>
    <w:rsid w:val="00DD75AA"/>
    <w:rsid w:val="00DD7767"/>
    <w:rsid w:val="00DE0048"/>
    <w:rsid w:val="00DE05B1"/>
    <w:rsid w:val="00DE060E"/>
    <w:rsid w:val="00DE07CD"/>
    <w:rsid w:val="00DE08C5"/>
    <w:rsid w:val="00DE0976"/>
    <w:rsid w:val="00DE0B52"/>
    <w:rsid w:val="00DE0D27"/>
    <w:rsid w:val="00DE13FC"/>
    <w:rsid w:val="00DE1526"/>
    <w:rsid w:val="00DE21FB"/>
    <w:rsid w:val="00DE2441"/>
    <w:rsid w:val="00DE2E54"/>
    <w:rsid w:val="00DE30EE"/>
    <w:rsid w:val="00DE33BE"/>
    <w:rsid w:val="00DE3AB8"/>
    <w:rsid w:val="00DE454B"/>
    <w:rsid w:val="00DE52D7"/>
    <w:rsid w:val="00DE575D"/>
    <w:rsid w:val="00DE5CF2"/>
    <w:rsid w:val="00DE5F13"/>
    <w:rsid w:val="00DE67CE"/>
    <w:rsid w:val="00DE682C"/>
    <w:rsid w:val="00DE69EA"/>
    <w:rsid w:val="00DE6C32"/>
    <w:rsid w:val="00DE6F8D"/>
    <w:rsid w:val="00DE7051"/>
    <w:rsid w:val="00DE7079"/>
    <w:rsid w:val="00DE734D"/>
    <w:rsid w:val="00DE791A"/>
    <w:rsid w:val="00DE7EF9"/>
    <w:rsid w:val="00DF0712"/>
    <w:rsid w:val="00DF1773"/>
    <w:rsid w:val="00DF1861"/>
    <w:rsid w:val="00DF1998"/>
    <w:rsid w:val="00DF1AD8"/>
    <w:rsid w:val="00DF1F8A"/>
    <w:rsid w:val="00DF21A0"/>
    <w:rsid w:val="00DF260B"/>
    <w:rsid w:val="00DF3118"/>
    <w:rsid w:val="00DF3684"/>
    <w:rsid w:val="00DF36CE"/>
    <w:rsid w:val="00DF371D"/>
    <w:rsid w:val="00DF38CC"/>
    <w:rsid w:val="00DF3F33"/>
    <w:rsid w:val="00DF4005"/>
    <w:rsid w:val="00DF4097"/>
    <w:rsid w:val="00DF47E6"/>
    <w:rsid w:val="00DF4B45"/>
    <w:rsid w:val="00DF4E55"/>
    <w:rsid w:val="00DF4FF2"/>
    <w:rsid w:val="00DF5027"/>
    <w:rsid w:val="00DF5995"/>
    <w:rsid w:val="00DF5BDB"/>
    <w:rsid w:val="00DF60F7"/>
    <w:rsid w:val="00DF6507"/>
    <w:rsid w:val="00DF6B84"/>
    <w:rsid w:val="00DF73C7"/>
    <w:rsid w:val="00DF7AB4"/>
    <w:rsid w:val="00DF7DA4"/>
    <w:rsid w:val="00E00C7F"/>
    <w:rsid w:val="00E00CE6"/>
    <w:rsid w:val="00E01C64"/>
    <w:rsid w:val="00E01D4B"/>
    <w:rsid w:val="00E01D94"/>
    <w:rsid w:val="00E020DD"/>
    <w:rsid w:val="00E021D6"/>
    <w:rsid w:val="00E029A7"/>
    <w:rsid w:val="00E02C9B"/>
    <w:rsid w:val="00E02F49"/>
    <w:rsid w:val="00E0315D"/>
    <w:rsid w:val="00E03587"/>
    <w:rsid w:val="00E038BD"/>
    <w:rsid w:val="00E03AD0"/>
    <w:rsid w:val="00E03F80"/>
    <w:rsid w:val="00E041E6"/>
    <w:rsid w:val="00E04AAB"/>
    <w:rsid w:val="00E04B20"/>
    <w:rsid w:val="00E051F3"/>
    <w:rsid w:val="00E051F4"/>
    <w:rsid w:val="00E055C8"/>
    <w:rsid w:val="00E0569E"/>
    <w:rsid w:val="00E05C68"/>
    <w:rsid w:val="00E0611D"/>
    <w:rsid w:val="00E06403"/>
    <w:rsid w:val="00E068F8"/>
    <w:rsid w:val="00E0692C"/>
    <w:rsid w:val="00E0695A"/>
    <w:rsid w:val="00E07380"/>
    <w:rsid w:val="00E07A65"/>
    <w:rsid w:val="00E07EBB"/>
    <w:rsid w:val="00E1000F"/>
    <w:rsid w:val="00E10749"/>
    <w:rsid w:val="00E11408"/>
    <w:rsid w:val="00E119EF"/>
    <w:rsid w:val="00E1227D"/>
    <w:rsid w:val="00E122BC"/>
    <w:rsid w:val="00E12B30"/>
    <w:rsid w:val="00E12B43"/>
    <w:rsid w:val="00E12BD9"/>
    <w:rsid w:val="00E12C78"/>
    <w:rsid w:val="00E133B1"/>
    <w:rsid w:val="00E13472"/>
    <w:rsid w:val="00E136D7"/>
    <w:rsid w:val="00E139BF"/>
    <w:rsid w:val="00E13CAF"/>
    <w:rsid w:val="00E142C2"/>
    <w:rsid w:val="00E143C0"/>
    <w:rsid w:val="00E144F9"/>
    <w:rsid w:val="00E14D12"/>
    <w:rsid w:val="00E14F9B"/>
    <w:rsid w:val="00E152BA"/>
    <w:rsid w:val="00E1546D"/>
    <w:rsid w:val="00E154A2"/>
    <w:rsid w:val="00E1562D"/>
    <w:rsid w:val="00E1597F"/>
    <w:rsid w:val="00E16E39"/>
    <w:rsid w:val="00E170E0"/>
    <w:rsid w:val="00E17621"/>
    <w:rsid w:val="00E17BC8"/>
    <w:rsid w:val="00E17D2B"/>
    <w:rsid w:val="00E20231"/>
    <w:rsid w:val="00E207AB"/>
    <w:rsid w:val="00E20A08"/>
    <w:rsid w:val="00E2111B"/>
    <w:rsid w:val="00E211FE"/>
    <w:rsid w:val="00E2130B"/>
    <w:rsid w:val="00E21C72"/>
    <w:rsid w:val="00E221F9"/>
    <w:rsid w:val="00E2230B"/>
    <w:rsid w:val="00E2242E"/>
    <w:rsid w:val="00E225CC"/>
    <w:rsid w:val="00E22B1E"/>
    <w:rsid w:val="00E22D08"/>
    <w:rsid w:val="00E22E50"/>
    <w:rsid w:val="00E2305D"/>
    <w:rsid w:val="00E23128"/>
    <w:rsid w:val="00E23CD7"/>
    <w:rsid w:val="00E23DC3"/>
    <w:rsid w:val="00E23F68"/>
    <w:rsid w:val="00E24B9B"/>
    <w:rsid w:val="00E24F16"/>
    <w:rsid w:val="00E24F34"/>
    <w:rsid w:val="00E25A88"/>
    <w:rsid w:val="00E25E6A"/>
    <w:rsid w:val="00E25FD3"/>
    <w:rsid w:val="00E2602D"/>
    <w:rsid w:val="00E26253"/>
    <w:rsid w:val="00E27F64"/>
    <w:rsid w:val="00E30340"/>
    <w:rsid w:val="00E30949"/>
    <w:rsid w:val="00E30D83"/>
    <w:rsid w:val="00E31F06"/>
    <w:rsid w:val="00E32035"/>
    <w:rsid w:val="00E3207F"/>
    <w:rsid w:val="00E322A0"/>
    <w:rsid w:val="00E32BED"/>
    <w:rsid w:val="00E33854"/>
    <w:rsid w:val="00E338B2"/>
    <w:rsid w:val="00E33A78"/>
    <w:rsid w:val="00E33D2D"/>
    <w:rsid w:val="00E33DE0"/>
    <w:rsid w:val="00E33EE6"/>
    <w:rsid w:val="00E3439B"/>
    <w:rsid w:val="00E34672"/>
    <w:rsid w:val="00E34B7A"/>
    <w:rsid w:val="00E352C0"/>
    <w:rsid w:val="00E353C9"/>
    <w:rsid w:val="00E354AC"/>
    <w:rsid w:val="00E355E2"/>
    <w:rsid w:val="00E360BA"/>
    <w:rsid w:val="00E361EC"/>
    <w:rsid w:val="00E36906"/>
    <w:rsid w:val="00E36CB1"/>
    <w:rsid w:val="00E37479"/>
    <w:rsid w:val="00E3760A"/>
    <w:rsid w:val="00E37ED6"/>
    <w:rsid w:val="00E37F10"/>
    <w:rsid w:val="00E4049A"/>
    <w:rsid w:val="00E4182D"/>
    <w:rsid w:val="00E41835"/>
    <w:rsid w:val="00E41FD0"/>
    <w:rsid w:val="00E42230"/>
    <w:rsid w:val="00E42774"/>
    <w:rsid w:val="00E42ACA"/>
    <w:rsid w:val="00E43325"/>
    <w:rsid w:val="00E43DF5"/>
    <w:rsid w:val="00E43E87"/>
    <w:rsid w:val="00E43EE7"/>
    <w:rsid w:val="00E4416C"/>
    <w:rsid w:val="00E4442E"/>
    <w:rsid w:val="00E45374"/>
    <w:rsid w:val="00E45958"/>
    <w:rsid w:val="00E45AEB"/>
    <w:rsid w:val="00E45D17"/>
    <w:rsid w:val="00E45F37"/>
    <w:rsid w:val="00E45FDE"/>
    <w:rsid w:val="00E46387"/>
    <w:rsid w:val="00E46BF6"/>
    <w:rsid w:val="00E46CD9"/>
    <w:rsid w:val="00E46D9C"/>
    <w:rsid w:val="00E46FF3"/>
    <w:rsid w:val="00E47723"/>
    <w:rsid w:val="00E47796"/>
    <w:rsid w:val="00E477C4"/>
    <w:rsid w:val="00E47A7E"/>
    <w:rsid w:val="00E47BA9"/>
    <w:rsid w:val="00E500C0"/>
    <w:rsid w:val="00E50ECC"/>
    <w:rsid w:val="00E516F2"/>
    <w:rsid w:val="00E51864"/>
    <w:rsid w:val="00E51F5E"/>
    <w:rsid w:val="00E523AB"/>
    <w:rsid w:val="00E525C4"/>
    <w:rsid w:val="00E52748"/>
    <w:rsid w:val="00E52809"/>
    <w:rsid w:val="00E5322B"/>
    <w:rsid w:val="00E537C9"/>
    <w:rsid w:val="00E53BC2"/>
    <w:rsid w:val="00E53CF3"/>
    <w:rsid w:val="00E53FDB"/>
    <w:rsid w:val="00E546A8"/>
    <w:rsid w:val="00E55539"/>
    <w:rsid w:val="00E55BDC"/>
    <w:rsid w:val="00E577AA"/>
    <w:rsid w:val="00E57F23"/>
    <w:rsid w:val="00E6026C"/>
    <w:rsid w:val="00E60D86"/>
    <w:rsid w:val="00E61030"/>
    <w:rsid w:val="00E610A9"/>
    <w:rsid w:val="00E61832"/>
    <w:rsid w:val="00E61AFB"/>
    <w:rsid w:val="00E61E42"/>
    <w:rsid w:val="00E61EEE"/>
    <w:rsid w:val="00E622F2"/>
    <w:rsid w:val="00E626FE"/>
    <w:rsid w:val="00E62D6C"/>
    <w:rsid w:val="00E631FD"/>
    <w:rsid w:val="00E634A5"/>
    <w:rsid w:val="00E63E71"/>
    <w:rsid w:val="00E643D2"/>
    <w:rsid w:val="00E647BF"/>
    <w:rsid w:val="00E64B56"/>
    <w:rsid w:val="00E64F56"/>
    <w:rsid w:val="00E654B4"/>
    <w:rsid w:val="00E65ECF"/>
    <w:rsid w:val="00E6626D"/>
    <w:rsid w:val="00E66634"/>
    <w:rsid w:val="00E66FBD"/>
    <w:rsid w:val="00E67010"/>
    <w:rsid w:val="00E673AF"/>
    <w:rsid w:val="00E67C43"/>
    <w:rsid w:val="00E67D06"/>
    <w:rsid w:val="00E67D4C"/>
    <w:rsid w:val="00E70288"/>
    <w:rsid w:val="00E70BBC"/>
    <w:rsid w:val="00E71215"/>
    <w:rsid w:val="00E7136D"/>
    <w:rsid w:val="00E71DA6"/>
    <w:rsid w:val="00E71F48"/>
    <w:rsid w:val="00E7213D"/>
    <w:rsid w:val="00E72C72"/>
    <w:rsid w:val="00E72ECD"/>
    <w:rsid w:val="00E7313B"/>
    <w:rsid w:val="00E73A0E"/>
    <w:rsid w:val="00E73C3D"/>
    <w:rsid w:val="00E74936"/>
    <w:rsid w:val="00E74F0A"/>
    <w:rsid w:val="00E75849"/>
    <w:rsid w:val="00E75AD8"/>
    <w:rsid w:val="00E75B55"/>
    <w:rsid w:val="00E75BAD"/>
    <w:rsid w:val="00E75F67"/>
    <w:rsid w:val="00E76301"/>
    <w:rsid w:val="00E76E78"/>
    <w:rsid w:val="00E76E81"/>
    <w:rsid w:val="00E77243"/>
    <w:rsid w:val="00E7728F"/>
    <w:rsid w:val="00E774C1"/>
    <w:rsid w:val="00E774F6"/>
    <w:rsid w:val="00E77649"/>
    <w:rsid w:val="00E77A92"/>
    <w:rsid w:val="00E77F83"/>
    <w:rsid w:val="00E801F9"/>
    <w:rsid w:val="00E8055C"/>
    <w:rsid w:val="00E80584"/>
    <w:rsid w:val="00E80C0F"/>
    <w:rsid w:val="00E82135"/>
    <w:rsid w:val="00E82321"/>
    <w:rsid w:val="00E82743"/>
    <w:rsid w:val="00E82CDF"/>
    <w:rsid w:val="00E83346"/>
    <w:rsid w:val="00E83702"/>
    <w:rsid w:val="00E83751"/>
    <w:rsid w:val="00E83754"/>
    <w:rsid w:val="00E837F4"/>
    <w:rsid w:val="00E83917"/>
    <w:rsid w:val="00E83AFB"/>
    <w:rsid w:val="00E83B64"/>
    <w:rsid w:val="00E83C64"/>
    <w:rsid w:val="00E8477A"/>
    <w:rsid w:val="00E84DCB"/>
    <w:rsid w:val="00E84E85"/>
    <w:rsid w:val="00E855F4"/>
    <w:rsid w:val="00E862A3"/>
    <w:rsid w:val="00E87804"/>
    <w:rsid w:val="00E87947"/>
    <w:rsid w:val="00E87AD3"/>
    <w:rsid w:val="00E87D30"/>
    <w:rsid w:val="00E87F30"/>
    <w:rsid w:val="00E902F1"/>
    <w:rsid w:val="00E907DC"/>
    <w:rsid w:val="00E90DB7"/>
    <w:rsid w:val="00E91492"/>
    <w:rsid w:val="00E91E5E"/>
    <w:rsid w:val="00E92227"/>
    <w:rsid w:val="00E92B43"/>
    <w:rsid w:val="00E92D57"/>
    <w:rsid w:val="00E930EB"/>
    <w:rsid w:val="00E934E5"/>
    <w:rsid w:val="00E9365D"/>
    <w:rsid w:val="00E93737"/>
    <w:rsid w:val="00E93DEE"/>
    <w:rsid w:val="00E93E7B"/>
    <w:rsid w:val="00E94089"/>
    <w:rsid w:val="00E941D6"/>
    <w:rsid w:val="00E946EE"/>
    <w:rsid w:val="00E952E1"/>
    <w:rsid w:val="00E958CD"/>
    <w:rsid w:val="00E95E85"/>
    <w:rsid w:val="00E9618B"/>
    <w:rsid w:val="00E963E2"/>
    <w:rsid w:val="00E963F6"/>
    <w:rsid w:val="00E96885"/>
    <w:rsid w:val="00E96E25"/>
    <w:rsid w:val="00E97210"/>
    <w:rsid w:val="00E975E5"/>
    <w:rsid w:val="00E979C2"/>
    <w:rsid w:val="00E97ED9"/>
    <w:rsid w:val="00E97F6A"/>
    <w:rsid w:val="00EA0445"/>
    <w:rsid w:val="00EA0726"/>
    <w:rsid w:val="00EA0822"/>
    <w:rsid w:val="00EA09F0"/>
    <w:rsid w:val="00EA0A46"/>
    <w:rsid w:val="00EA138B"/>
    <w:rsid w:val="00EA1647"/>
    <w:rsid w:val="00EA18DD"/>
    <w:rsid w:val="00EA2284"/>
    <w:rsid w:val="00EA257D"/>
    <w:rsid w:val="00EA278B"/>
    <w:rsid w:val="00EA2865"/>
    <w:rsid w:val="00EA293C"/>
    <w:rsid w:val="00EA2C35"/>
    <w:rsid w:val="00EA3030"/>
    <w:rsid w:val="00EA32A4"/>
    <w:rsid w:val="00EA371B"/>
    <w:rsid w:val="00EA3C0F"/>
    <w:rsid w:val="00EA4397"/>
    <w:rsid w:val="00EA44BE"/>
    <w:rsid w:val="00EA458B"/>
    <w:rsid w:val="00EA45CE"/>
    <w:rsid w:val="00EA480B"/>
    <w:rsid w:val="00EA488A"/>
    <w:rsid w:val="00EA4AF5"/>
    <w:rsid w:val="00EA4CFB"/>
    <w:rsid w:val="00EA533A"/>
    <w:rsid w:val="00EA59AF"/>
    <w:rsid w:val="00EA682B"/>
    <w:rsid w:val="00EA6903"/>
    <w:rsid w:val="00EA6BFF"/>
    <w:rsid w:val="00EA6DEF"/>
    <w:rsid w:val="00EA6F96"/>
    <w:rsid w:val="00EA6FE2"/>
    <w:rsid w:val="00EA72FC"/>
    <w:rsid w:val="00EA7368"/>
    <w:rsid w:val="00EA76E5"/>
    <w:rsid w:val="00EA7715"/>
    <w:rsid w:val="00EA79D0"/>
    <w:rsid w:val="00EA7C81"/>
    <w:rsid w:val="00EA7D4B"/>
    <w:rsid w:val="00EA7F1A"/>
    <w:rsid w:val="00EB0186"/>
    <w:rsid w:val="00EB01C2"/>
    <w:rsid w:val="00EB0A2A"/>
    <w:rsid w:val="00EB0D12"/>
    <w:rsid w:val="00EB141A"/>
    <w:rsid w:val="00EB149F"/>
    <w:rsid w:val="00EB1667"/>
    <w:rsid w:val="00EB1A40"/>
    <w:rsid w:val="00EB1C5D"/>
    <w:rsid w:val="00EB213A"/>
    <w:rsid w:val="00EB2BA2"/>
    <w:rsid w:val="00EB2C32"/>
    <w:rsid w:val="00EB2D0A"/>
    <w:rsid w:val="00EB2E86"/>
    <w:rsid w:val="00EB30BB"/>
    <w:rsid w:val="00EB34AD"/>
    <w:rsid w:val="00EB36AF"/>
    <w:rsid w:val="00EB394B"/>
    <w:rsid w:val="00EB3EAD"/>
    <w:rsid w:val="00EB48EE"/>
    <w:rsid w:val="00EB4FD4"/>
    <w:rsid w:val="00EB5048"/>
    <w:rsid w:val="00EB558E"/>
    <w:rsid w:val="00EB5CF6"/>
    <w:rsid w:val="00EB6670"/>
    <w:rsid w:val="00EB6852"/>
    <w:rsid w:val="00EB6B19"/>
    <w:rsid w:val="00EB71F3"/>
    <w:rsid w:val="00EB74AC"/>
    <w:rsid w:val="00EB7AD4"/>
    <w:rsid w:val="00EC06D0"/>
    <w:rsid w:val="00EC079B"/>
    <w:rsid w:val="00EC0BF4"/>
    <w:rsid w:val="00EC109C"/>
    <w:rsid w:val="00EC11E6"/>
    <w:rsid w:val="00EC11FF"/>
    <w:rsid w:val="00EC160E"/>
    <w:rsid w:val="00EC1B48"/>
    <w:rsid w:val="00EC1BD3"/>
    <w:rsid w:val="00EC1D1B"/>
    <w:rsid w:val="00EC1EE8"/>
    <w:rsid w:val="00EC2176"/>
    <w:rsid w:val="00EC254C"/>
    <w:rsid w:val="00EC30DD"/>
    <w:rsid w:val="00EC3361"/>
    <w:rsid w:val="00EC3C0D"/>
    <w:rsid w:val="00EC3DBE"/>
    <w:rsid w:val="00EC4FCA"/>
    <w:rsid w:val="00EC5202"/>
    <w:rsid w:val="00EC55F9"/>
    <w:rsid w:val="00EC5CBA"/>
    <w:rsid w:val="00EC5D2A"/>
    <w:rsid w:val="00EC6083"/>
    <w:rsid w:val="00EC613D"/>
    <w:rsid w:val="00EC6DD2"/>
    <w:rsid w:val="00EC71F3"/>
    <w:rsid w:val="00EC7C6B"/>
    <w:rsid w:val="00EC7E15"/>
    <w:rsid w:val="00ED0740"/>
    <w:rsid w:val="00ED074C"/>
    <w:rsid w:val="00ED148E"/>
    <w:rsid w:val="00ED1535"/>
    <w:rsid w:val="00ED17CF"/>
    <w:rsid w:val="00ED1935"/>
    <w:rsid w:val="00ED229D"/>
    <w:rsid w:val="00ED2430"/>
    <w:rsid w:val="00ED2D52"/>
    <w:rsid w:val="00ED30D5"/>
    <w:rsid w:val="00ED3A9B"/>
    <w:rsid w:val="00ED3D41"/>
    <w:rsid w:val="00ED3FF4"/>
    <w:rsid w:val="00ED494D"/>
    <w:rsid w:val="00ED4E84"/>
    <w:rsid w:val="00ED5511"/>
    <w:rsid w:val="00ED5B52"/>
    <w:rsid w:val="00ED5D0B"/>
    <w:rsid w:val="00ED5F55"/>
    <w:rsid w:val="00ED5FBC"/>
    <w:rsid w:val="00ED6020"/>
    <w:rsid w:val="00ED67A3"/>
    <w:rsid w:val="00ED67D2"/>
    <w:rsid w:val="00ED6DF7"/>
    <w:rsid w:val="00ED6FAE"/>
    <w:rsid w:val="00ED7935"/>
    <w:rsid w:val="00ED7A31"/>
    <w:rsid w:val="00ED7A80"/>
    <w:rsid w:val="00ED7AA6"/>
    <w:rsid w:val="00ED7E84"/>
    <w:rsid w:val="00ED7FBB"/>
    <w:rsid w:val="00EE0B74"/>
    <w:rsid w:val="00EE0D3B"/>
    <w:rsid w:val="00EE1102"/>
    <w:rsid w:val="00EE1AE5"/>
    <w:rsid w:val="00EE1C99"/>
    <w:rsid w:val="00EE1D20"/>
    <w:rsid w:val="00EE1F0A"/>
    <w:rsid w:val="00EE1F69"/>
    <w:rsid w:val="00EE2347"/>
    <w:rsid w:val="00EE284F"/>
    <w:rsid w:val="00EE28A2"/>
    <w:rsid w:val="00EE2A4B"/>
    <w:rsid w:val="00EE37F3"/>
    <w:rsid w:val="00EE3CD1"/>
    <w:rsid w:val="00EE44A0"/>
    <w:rsid w:val="00EE45E6"/>
    <w:rsid w:val="00EE4A61"/>
    <w:rsid w:val="00EE4DF2"/>
    <w:rsid w:val="00EE501D"/>
    <w:rsid w:val="00EE51D2"/>
    <w:rsid w:val="00EE602D"/>
    <w:rsid w:val="00EE65E0"/>
    <w:rsid w:val="00EE69D5"/>
    <w:rsid w:val="00EE6A18"/>
    <w:rsid w:val="00EE7031"/>
    <w:rsid w:val="00EE7DA5"/>
    <w:rsid w:val="00EE7E10"/>
    <w:rsid w:val="00EF0A11"/>
    <w:rsid w:val="00EF1370"/>
    <w:rsid w:val="00EF1473"/>
    <w:rsid w:val="00EF1C56"/>
    <w:rsid w:val="00EF1E1D"/>
    <w:rsid w:val="00EF24E0"/>
    <w:rsid w:val="00EF26CC"/>
    <w:rsid w:val="00EF2872"/>
    <w:rsid w:val="00EF3009"/>
    <w:rsid w:val="00EF3537"/>
    <w:rsid w:val="00EF35FB"/>
    <w:rsid w:val="00EF3C92"/>
    <w:rsid w:val="00EF3D54"/>
    <w:rsid w:val="00EF3F8E"/>
    <w:rsid w:val="00EF4215"/>
    <w:rsid w:val="00EF48AA"/>
    <w:rsid w:val="00EF48E5"/>
    <w:rsid w:val="00EF5299"/>
    <w:rsid w:val="00EF53D6"/>
    <w:rsid w:val="00EF5962"/>
    <w:rsid w:val="00EF5BDE"/>
    <w:rsid w:val="00EF7159"/>
    <w:rsid w:val="00EF7313"/>
    <w:rsid w:val="00EF73D5"/>
    <w:rsid w:val="00EF740D"/>
    <w:rsid w:val="00EF764A"/>
    <w:rsid w:val="00EF7884"/>
    <w:rsid w:val="00F00C7E"/>
    <w:rsid w:val="00F00DD4"/>
    <w:rsid w:val="00F013ED"/>
    <w:rsid w:val="00F0182F"/>
    <w:rsid w:val="00F01832"/>
    <w:rsid w:val="00F018A5"/>
    <w:rsid w:val="00F01DCB"/>
    <w:rsid w:val="00F02997"/>
    <w:rsid w:val="00F02CD2"/>
    <w:rsid w:val="00F02D5E"/>
    <w:rsid w:val="00F03179"/>
    <w:rsid w:val="00F03877"/>
    <w:rsid w:val="00F042C0"/>
    <w:rsid w:val="00F043CE"/>
    <w:rsid w:val="00F04763"/>
    <w:rsid w:val="00F048C6"/>
    <w:rsid w:val="00F0566A"/>
    <w:rsid w:val="00F058CE"/>
    <w:rsid w:val="00F05A10"/>
    <w:rsid w:val="00F05B11"/>
    <w:rsid w:val="00F05B39"/>
    <w:rsid w:val="00F05CCF"/>
    <w:rsid w:val="00F063CC"/>
    <w:rsid w:val="00F06DEF"/>
    <w:rsid w:val="00F0750E"/>
    <w:rsid w:val="00F0756D"/>
    <w:rsid w:val="00F075DD"/>
    <w:rsid w:val="00F10370"/>
    <w:rsid w:val="00F103FC"/>
    <w:rsid w:val="00F1051E"/>
    <w:rsid w:val="00F10634"/>
    <w:rsid w:val="00F10B9C"/>
    <w:rsid w:val="00F10CA1"/>
    <w:rsid w:val="00F11914"/>
    <w:rsid w:val="00F11A82"/>
    <w:rsid w:val="00F11B4D"/>
    <w:rsid w:val="00F11F5F"/>
    <w:rsid w:val="00F12053"/>
    <w:rsid w:val="00F121A2"/>
    <w:rsid w:val="00F13D06"/>
    <w:rsid w:val="00F13EB4"/>
    <w:rsid w:val="00F14375"/>
    <w:rsid w:val="00F14F50"/>
    <w:rsid w:val="00F14FB7"/>
    <w:rsid w:val="00F15AEE"/>
    <w:rsid w:val="00F15C15"/>
    <w:rsid w:val="00F15F92"/>
    <w:rsid w:val="00F161A3"/>
    <w:rsid w:val="00F1639C"/>
    <w:rsid w:val="00F16487"/>
    <w:rsid w:val="00F165AB"/>
    <w:rsid w:val="00F1685D"/>
    <w:rsid w:val="00F170A3"/>
    <w:rsid w:val="00F17B3D"/>
    <w:rsid w:val="00F2027E"/>
    <w:rsid w:val="00F2036D"/>
    <w:rsid w:val="00F2061A"/>
    <w:rsid w:val="00F20C52"/>
    <w:rsid w:val="00F20D39"/>
    <w:rsid w:val="00F210A7"/>
    <w:rsid w:val="00F21B04"/>
    <w:rsid w:val="00F21CAE"/>
    <w:rsid w:val="00F21DEA"/>
    <w:rsid w:val="00F22EC1"/>
    <w:rsid w:val="00F22F69"/>
    <w:rsid w:val="00F2304B"/>
    <w:rsid w:val="00F231FD"/>
    <w:rsid w:val="00F23428"/>
    <w:rsid w:val="00F23587"/>
    <w:rsid w:val="00F2374E"/>
    <w:rsid w:val="00F23B26"/>
    <w:rsid w:val="00F2437A"/>
    <w:rsid w:val="00F24669"/>
    <w:rsid w:val="00F24B92"/>
    <w:rsid w:val="00F24E7E"/>
    <w:rsid w:val="00F2538A"/>
    <w:rsid w:val="00F2551F"/>
    <w:rsid w:val="00F256EE"/>
    <w:rsid w:val="00F25B01"/>
    <w:rsid w:val="00F25B83"/>
    <w:rsid w:val="00F26009"/>
    <w:rsid w:val="00F260F9"/>
    <w:rsid w:val="00F261DE"/>
    <w:rsid w:val="00F26599"/>
    <w:rsid w:val="00F26B67"/>
    <w:rsid w:val="00F27105"/>
    <w:rsid w:val="00F27111"/>
    <w:rsid w:val="00F272E9"/>
    <w:rsid w:val="00F27D4A"/>
    <w:rsid w:val="00F27EC8"/>
    <w:rsid w:val="00F27ED4"/>
    <w:rsid w:val="00F3029A"/>
    <w:rsid w:val="00F30918"/>
    <w:rsid w:val="00F30926"/>
    <w:rsid w:val="00F30982"/>
    <w:rsid w:val="00F30ABA"/>
    <w:rsid w:val="00F30DF6"/>
    <w:rsid w:val="00F31176"/>
    <w:rsid w:val="00F31238"/>
    <w:rsid w:val="00F317EA"/>
    <w:rsid w:val="00F317F5"/>
    <w:rsid w:val="00F31849"/>
    <w:rsid w:val="00F320EE"/>
    <w:rsid w:val="00F32DE9"/>
    <w:rsid w:val="00F32F29"/>
    <w:rsid w:val="00F32F75"/>
    <w:rsid w:val="00F33002"/>
    <w:rsid w:val="00F33008"/>
    <w:rsid w:val="00F3322A"/>
    <w:rsid w:val="00F333C3"/>
    <w:rsid w:val="00F334E0"/>
    <w:rsid w:val="00F33525"/>
    <w:rsid w:val="00F3372B"/>
    <w:rsid w:val="00F33BB4"/>
    <w:rsid w:val="00F33E0A"/>
    <w:rsid w:val="00F3478C"/>
    <w:rsid w:val="00F34B1B"/>
    <w:rsid w:val="00F34D75"/>
    <w:rsid w:val="00F34EB5"/>
    <w:rsid w:val="00F350D2"/>
    <w:rsid w:val="00F35640"/>
    <w:rsid w:val="00F35D58"/>
    <w:rsid w:val="00F35F60"/>
    <w:rsid w:val="00F35FAC"/>
    <w:rsid w:val="00F36435"/>
    <w:rsid w:val="00F36FEF"/>
    <w:rsid w:val="00F373A8"/>
    <w:rsid w:val="00F37751"/>
    <w:rsid w:val="00F378E4"/>
    <w:rsid w:val="00F37C57"/>
    <w:rsid w:val="00F40967"/>
    <w:rsid w:val="00F4125A"/>
    <w:rsid w:val="00F414C9"/>
    <w:rsid w:val="00F41599"/>
    <w:rsid w:val="00F416FF"/>
    <w:rsid w:val="00F419DB"/>
    <w:rsid w:val="00F41F83"/>
    <w:rsid w:val="00F41FE7"/>
    <w:rsid w:val="00F4256A"/>
    <w:rsid w:val="00F42593"/>
    <w:rsid w:val="00F4266B"/>
    <w:rsid w:val="00F42723"/>
    <w:rsid w:val="00F42BE6"/>
    <w:rsid w:val="00F42CC8"/>
    <w:rsid w:val="00F42F65"/>
    <w:rsid w:val="00F430A5"/>
    <w:rsid w:val="00F4424D"/>
    <w:rsid w:val="00F445BC"/>
    <w:rsid w:val="00F445C1"/>
    <w:rsid w:val="00F44752"/>
    <w:rsid w:val="00F449EB"/>
    <w:rsid w:val="00F45540"/>
    <w:rsid w:val="00F45A05"/>
    <w:rsid w:val="00F465CC"/>
    <w:rsid w:val="00F4674C"/>
    <w:rsid w:val="00F46A53"/>
    <w:rsid w:val="00F47216"/>
    <w:rsid w:val="00F47560"/>
    <w:rsid w:val="00F5006D"/>
    <w:rsid w:val="00F500C7"/>
    <w:rsid w:val="00F50BCE"/>
    <w:rsid w:val="00F5137F"/>
    <w:rsid w:val="00F51BB1"/>
    <w:rsid w:val="00F51EC9"/>
    <w:rsid w:val="00F51F23"/>
    <w:rsid w:val="00F52CE9"/>
    <w:rsid w:val="00F52F3F"/>
    <w:rsid w:val="00F53938"/>
    <w:rsid w:val="00F5394C"/>
    <w:rsid w:val="00F53DE8"/>
    <w:rsid w:val="00F53F7D"/>
    <w:rsid w:val="00F542A0"/>
    <w:rsid w:val="00F558DB"/>
    <w:rsid w:val="00F558E0"/>
    <w:rsid w:val="00F5594D"/>
    <w:rsid w:val="00F55CF5"/>
    <w:rsid w:val="00F56578"/>
    <w:rsid w:val="00F56A6A"/>
    <w:rsid w:val="00F56B96"/>
    <w:rsid w:val="00F5715A"/>
    <w:rsid w:val="00F573EC"/>
    <w:rsid w:val="00F57B7D"/>
    <w:rsid w:val="00F60E79"/>
    <w:rsid w:val="00F61094"/>
    <w:rsid w:val="00F6124D"/>
    <w:rsid w:val="00F6180B"/>
    <w:rsid w:val="00F620EA"/>
    <w:rsid w:val="00F624FD"/>
    <w:rsid w:val="00F62755"/>
    <w:rsid w:val="00F62D7F"/>
    <w:rsid w:val="00F62F11"/>
    <w:rsid w:val="00F63F70"/>
    <w:rsid w:val="00F6401F"/>
    <w:rsid w:val="00F645F6"/>
    <w:rsid w:val="00F64817"/>
    <w:rsid w:val="00F64887"/>
    <w:rsid w:val="00F64A86"/>
    <w:rsid w:val="00F64BC8"/>
    <w:rsid w:val="00F64BD2"/>
    <w:rsid w:val="00F64FC1"/>
    <w:rsid w:val="00F65332"/>
    <w:rsid w:val="00F65BFB"/>
    <w:rsid w:val="00F65E2F"/>
    <w:rsid w:val="00F67042"/>
    <w:rsid w:val="00F67196"/>
    <w:rsid w:val="00F67261"/>
    <w:rsid w:val="00F70610"/>
    <w:rsid w:val="00F7094D"/>
    <w:rsid w:val="00F70A51"/>
    <w:rsid w:val="00F70B31"/>
    <w:rsid w:val="00F70D76"/>
    <w:rsid w:val="00F70D8F"/>
    <w:rsid w:val="00F71901"/>
    <w:rsid w:val="00F71BF2"/>
    <w:rsid w:val="00F72712"/>
    <w:rsid w:val="00F7273C"/>
    <w:rsid w:val="00F732A8"/>
    <w:rsid w:val="00F73F2C"/>
    <w:rsid w:val="00F740DC"/>
    <w:rsid w:val="00F74485"/>
    <w:rsid w:val="00F74942"/>
    <w:rsid w:val="00F74CBB"/>
    <w:rsid w:val="00F74E69"/>
    <w:rsid w:val="00F75582"/>
    <w:rsid w:val="00F758F4"/>
    <w:rsid w:val="00F75E82"/>
    <w:rsid w:val="00F75F6C"/>
    <w:rsid w:val="00F76157"/>
    <w:rsid w:val="00F765E4"/>
    <w:rsid w:val="00F767BA"/>
    <w:rsid w:val="00F76C80"/>
    <w:rsid w:val="00F76FB0"/>
    <w:rsid w:val="00F77630"/>
    <w:rsid w:val="00F77754"/>
    <w:rsid w:val="00F77C14"/>
    <w:rsid w:val="00F8022E"/>
    <w:rsid w:val="00F804C0"/>
    <w:rsid w:val="00F80F3E"/>
    <w:rsid w:val="00F8131F"/>
    <w:rsid w:val="00F81C3E"/>
    <w:rsid w:val="00F81CED"/>
    <w:rsid w:val="00F81D32"/>
    <w:rsid w:val="00F81FE0"/>
    <w:rsid w:val="00F821E4"/>
    <w:rsid w:val="00F82CFC"/>
    <w:rsid w:val="00F8320B"/>
    <w:rsid w:val="00F833FB"/>
    <w:rsid w:val="00F8387D"/>
    <w:rsid w:val="00F8400C"/>
    <w:rsid w:val="00F8483D"/>
    <w:rsid w:val="00F8530C"/>
    <w:rsid w:val="00F85F24"/>
    <w:rsid w:val="00F861C1"/>
    <w:rsid w:val="00F863BF"/>
    <w:rsid w:val="00F867FD"/>
    <w:rsid w:val="00F86945"/>
    <w:rsid w:val="00F86A47"/>
    <w:rsid w:val="00F86C0B"/>
    <w:rsid w:val="00F8709D"/>
    <w:rsid w:val="00F90015"/>
    <w:rsid w:val="00F904B9"/>
    <w:rsid w:val="00F90550"/>
    <w:rsid w:val="00F906F4"/>
    <w:rsid w:val="00F909D8"/>
    <w:rsid w:val="00F90FF0"/>
    <w:rsid w:val="00F913EE"/>
    <w:rsid w:val="00F9174E"/>
    <w:rsid w:val="00F92246"/>
    <w:rsid w:val="00F92685"/>
    <w:rsid w:val="00F92F66"/>
    <w:rsid w:val="00F9400C"/>
    <w:rsid w:val="00F940AF"/>
    <w:rsid w:val="00F9430A"/>
    <w:rsid w:val="00F949C0"/>
    <w:rsid w:val="00F94A0E"/>
    <w:rsid w:val="00F94DFE"/>
    <w:rsid w:val="00F95011"/>
    <w:rsid w:val="00F9504D"/>
    <w:rsid w:val="00F950D1"/>
    <w:rsid w:val="00F955C6"/>
    <w:rsid w:val="00F95ABA"/>
    <w:rsid w:val="00F9606A"/>
    <w:rsid w:val="00F96271"/>
    <w:rsid w:val="00F96369"/>
    <w:rsid w:val="00F96511"/>
    <w:rsid w:val="00F96991"/>
    <w:rsid w:val="00F96A6C"/>
    <w:rsid w:val="00F96AFB"/>
    <w:rsid w:val="00F97058"/>
    <w:rsid w:val="00F970B2"/>
    <w:rsid w:val="00F9744F"/>
    <w:rsid w:val="00F977DB"/>
    <w:rsid w:val="00F977F3"/>
    <w:rsid w:val="00F97976"/>
    <w:rsid w:val="00F97CDB"/>
    <w:rsid w:val="00F97E6E"/>
    <w:rsid w:val="00FA05E3"/>
    <w:rsid w:val="00FA0E63"/>
    <w:rsid w:val="00FA1336"/>
    <w:rsid w:val="00FA19AD"/>
    <w:rsid w:val="00FA1A84"/>
    <w:rsid w:val="00FA1AAA"/>
    <w:rsid w:val="00FA1C8C"/>
    <w:rsid w:val="00FA20F5"/>
    <w:rsid w:val="00FA2C21"/>
    <w:rsid w:val="00FA30BE"/>
    <w:rsid w:val="00FA345B"/>
    <w:rsid w:val="00FA3FD2"/>
    <w:rsid w:val="00FA44F6"/>
    <w:rsid w:val="00FA4A17"/>
    <w:rsid w:val="00FA4B37"/>
    <w:rsid w:val="00FA5311"/>
    <w:rsid w:val="00FA5461"/>
    <w:rsid w:val="00FA5A2B"/>
    <w:rsid w:val="00FA5D40"/>
    <w:rsid w:val="00FA5DAA"/>
    <w:rsid w:val="00FA6782"/>
    <w:rsid w:val="00FA6A8D"/>
    <w:rsid w:val="00FA6DE3"/>
    <w:rsid w:val="00FA725D"/>
    <w:rsid w:val="00FA7583"/>
    <w:rsid w:val="00FA7FC1"/>
    <w:rsid w:val="00FB086A"/>
    <w:rsid w:val="00FB0893"/>
    <w:rsid w:val="00FB0DB9"/>
    <w:rsid w:val="00FB1026"/>
    <w:rsid w:val="00FB1774"/>
    <w:rsid w:val="00FB18A9"/>
    <w:rsid w:val="00FB1C81"/>
    <w:rsid w:val="00FB1CE7"/>
    <w:rsid w:val="00FB20A3"/>
    <w:rsid w:val="00FB2105"/>
    <w:rsid w:val="00FB24B1"/>
    <w:rsid w:val="00FB269F"/>
    <w:rsid w:val="00FB275A"/>
    <w:rsid w:val="00FB313A"/>
    <w:rsid w:val="00FB3B97"/>
    <w:rsid w:val="00FB411C"/>
    <w:rsid w:val="00FB4158"/>
    <w:rsid w:val="00FB4D09"/>
    <w:rsid w:val="00FB4D58"/>
    <w:rsid w:val="00FB4FE5"/>
    <w:rsid w:val="00FB591E"/>
    <w:rsid w:val="00FB597D"/>
    <w:rsid w:val="00FB5BC8"/>
    <w:rsid w:val="00FB5DF3"/>
    <w:rsid w:val="00FB5E30"/>
    <w:rsid w:val="00FB60C7"/>
    <w:rsid w:val="00FB640E"/>
    <w:rsid w:val="00FB69C6"/>
    <w:rsid w:val="00FB6A0A"/>
    <w:rsid w:val="00FB6AD5"/>
    <w:rsid w:val="00FB6DA3"/>
    <w:rsid w:val="00FB6E03"/>
    <w:rsid w:val="00FB6F34"/>
    <w:rsid w:val="00FB7254"/>
    <w:rsid w:val="00FB7389"/>
    <w:rsid w:val="00FB77F0"/>
    <w:rsid w:val="00FB7D69"/>
    <w:rsid w:val="00FB7D72"/>
    <w:rsid w:val="00FC030F"/>
    <w:rsid w:val="00FC0617"/>
    <w:rsid w:val="00FC0636"/>
    <w:rsid w:val="00FC077D"/>
    <w:rsid w:val="00FC0844"/>
    <w:rsid w:val="00FC0B72"/>
    <w:rsid w:val="00FC184F"/>
    <w:rsid w:val="00FC1FDF"/>
    <w:rsid w:val="00FC297F"/>
    <w:rsid w:val="00FC2B14"/>
    <w:rsid w:val="00FC2B38"/>
    <w:rsid w:val="00FC2FBF"/>
    <w:rsid w:val="00FC2FD4"/>
    <w:rsid w:val="00FC321F"/>
    <w:rsid w:val="00FC32A6"/>
    <w:rsid w:val="00FC3A42"/>
    <w:rsid w:val="00FC3A7A"/>
    <w:rsid w:val="00FC3F5F"/>
    <w:rsid w:val="00FC4B38"/>
    <w:rsid w:val="00FC5154"/>
    <w:rsid w:val="00FC5BD3"/>
    <w:rsid w:val="00FC5CB5"/>
    <w:rsid w:val="00FC5F54"/>
    <w:rsid w:val="00FC6155"/>
    <w:rsid w:val="00FC63E8"/>
    <w:rsid w:val="00FC66FA"/>
    <w:rsid w:val="00FC69A3"/>
    <w:rsid w:val="00FC7E3A"/>
    <w:rsid w:val="00FD064B"/>
    <w:rsid w:val="00FD06AF"/>
    <w:rsid w:val="00FD0DD5"/>
    <w:rsid w:val="00FD1037"/>
    <w:rsid w:val="00FD10ED"/>
    <w:rsid w:val="00FD1345"/>
    <w:rsid w:val="00FD1893"/>
    <w:rsid w:val="00FD1ABE"/>
    <w:rsid w:val="00FD2243"/>
    <w:rsid w:val="00FD31FE"/>
    <w:rsid w:val="00FD3359"/>
    <w:rsid w:val="00FD41EB"/>
    <w:rsid w:val="00FD43CA"/>
    <w:rsid w:val="00FD4601"/>
    <w:rsid w:val="00FD47E3"/>
    <w:rsid w:val="00FD49DB"/>
    <w:rsid w:val="00FD58F0"/>
    <w:rsid w:val="00FD5C2D"/>
    <w:rsid w:val="00FD63C2"/>
    <w:rsid w:val="00FD67A9"/>
    <w:rsid w:val="00FD6807"/>
    <w:rsid w:val="00FD68CC"/>
    <w:rsid w:val="00FD6BCC"/>
    <w:rsid w:val="00FD6BF6"/>
    <w:rsid w:val="00FD709F"/>
    <w:rsid w:val="00FD71BE"/>
    <w:rsid w:val="00FD780B"/>
    <w:rsid w:val="00FD7DEC"/>
    <w:rsid w:val="00FE0AAB"/>
    <w:rsid w:val="00FE0DD3"/>
    <w:rsid w:val="00FE0F71"/>
    <w:rsid w:val="00FE105C"/>
    <w:rsid w:val="00FE1222"/>
    <w:rsid w:val="00FE13BA"/>
    <w:rsid w:val="00FE1E45"/>
    <w:rsid w:val="00FE2146"/>
    <w:rsid w:val="00FE2206"/>
    <w:rsid w:val="00FE2673"/>
    <w:rsid w:val="00FE270E"/>
    <w:rsid w:val="00FE282D"/>
    <w:rsid w:val="00FE2C0D"/>
    <w:rsid w:val="00FE34BA"/>
    <w:rsid w:val="00FE35F5"/>
    <w:rsid w:val="00FE3975"/>
    <w:rsid w:val="00FE3E5B"/>
    <w:rsid w:val="00FE3F44"/>
    <w:rsid w:val="00FE40E0"/>
    <w:rsid w:val="00FE41BC"/>
    <w:rsid w:val="00FE44C5"/>
    <w:rsid w:val="00FE45A5"/>
    <w:rsid w:val="00FE4646"/>
    <w:rsid w:val="00FE467D"/>
    <w:rsid w:val="00FE467F"/>
    <w:rsid w:val="00FE4E18"/>
    <w:rsid w:val="00FE53BD"/>
    <w:rsid w:val="00FE5430"/>
    <w:rsid w:val="00FE5CE3"/>
    <w:rsid w:val="00FE5D6D"/>
    <w:rsid w:val="00FE63E9"/>
    <w:rsid w:val="00FE655E"/>
    <w:rsid w:val="00FE65D8"/>
    <w:rsid w:val="00FE6638"/>
    <w:rsid w:val="00FE67C9"/>
    <w:rsid w:val="00FE6F23"/>
    <w:rsid w:val="00FE72F8"/>
    <w:rsid w:val="00FE7362"/>
    <w:rsid w:val="00FE76B4"/>
    <w:rsid w:val="00FE78B4"/>
    <w:rsid w:val="00FE7AAD"/>
    <w:rsid w:val="00FE7DE6"/>
    <w:rsid w:val="00FF0044"/>
    <w:rsid w:val="00FF018F"/>
    <w:rsid w:val="00FF022B"/>
    <w:rsid w:val="00FF02F0"/>
    <w:rsid w:val="00FF0300"/>
    <w:rsid w:val="00FF134D"/>
    <w:rsid w:val="00FF1768"/>
    <w:rsid w:val="00FF189C"/>
    <w:rsid w:val="00FF2095"/>
    <w:rsid w:val="00FF2169"/>
    <w:rsid w:val="00FF219E"/>
    <w:rsid w:val="00FF25E1"/>
    <w:rsid w:val="00FF25F3"/>
    <w:rsid w:val="00FF27AF"/>
    <w:rsid w:val="00FF2C02"/>
    <w:rsid w:val="00FF2EB2"/>
    <w:rsid w:val="00FF31CD"/>
    <w:rsid w:val="00FF33AE"/>
    <w:rsid w:val="00FF4A3D"/>
    <w:rsid w:val="00FF4C38"/>
    <w:rsid w:val="00FF4F56"/>
    <w:rsid w:val="00FF5B56"/>
    <w:rsid w:val="00FF5BCD"/>
    <w:rsid w:val="00FF619A"/>
    <w:rsid w:val="00FF6391"/>
    <w:rsid w:val="00FF672D"/>
    <w:rsid w:val="00FF6AA2"/>
    <w:rsid w:val="00FF6BE0"/>
    <w:rsid w:val="00FF745E"/>
    <w:rsid w:val="00FF7604"/>
    <w:rsid w:val="00FF7A25"/>
    <w:rsid w:val="00FF7B16"/>
    <w:rsid w:val="00FF7D36"/>
    <w:rsid w:val="00FF7EE1"/>
    <w:rsid w:val="0365281D"/>
    <w:rsid w:val="06ECB80E"/>
    <w:rsid w:val="0AB44173"/>
    <w:rsid w:val="0B37A823"/>
    <w:rsid w:val="14A0B1A6"/>
    <w:rsid w:val="1B882883"/>
    <w:rsid w:val="20282802"/>
    <w:rsid w:val="24E534BA"/>
    <w:rsid w:val="25346703"/>
    <w:rsid w:val="2539B28C"/>
    <w:rsid w:val="25A57369"/>
    <w:rsid w:val="2BC20D91"/>
    <w:rsid w:val="2DA5D1F4"/>
    <w:rsid w:val="30957EB4"/>
    <w:rsid w:val="3126B9F2"/>
    <w:rsid w:val="36F54957"/>
    <w:rsid w:val="4543EE6F"/>
    <w:rsid w:val="477156C8"/>
    <w:rsid w:val="4AB15A14"/>
    <w:rsid w:val="4B114B9C"/>
    <w:rsid w:val="4B9CAFAA"/>
    <w:rsid w:val="4C6BE118"/>
    <w:rsid w:val="4D78EAAF"/>
    <w:rsid w:val="4F14BB10"/>
    <w:rsid w:val="4F5F780D"/>
    <w:rsid w:val="53CF03D6"/>
    <w:rsid w:val="53E66A5D"/>
    <w:rsid w:val="55059106"/>
    <w:rsid w:val="5596748A"/>
    <w:rsid w:val="5A5BB4EB"/>
    <w:rsid w:val="5AFD3300"/>
    <w:rsid w:val="5F0B709A"/>
    <w:rsid w:val="60EDCCEC"/>
    <w:rsid w:val="628BF4E0"/>
    <w:rsid w:val="6617DE2B"/>
    <w:rsid w:val="6A5C56AA"/>
    <w:rsid w:val="6C01EEB9"/>
    <w:rsid w:val="6C9D43B3"/>
    <w:rsid w:val="6FFEEDAB"/>
    <w:rsid w:val="703727B4"/>
    <w:rsid w:val="72CDA130"/>
    <w:rsid w:val="7647F61E"/>
    <w:rsid w:val="7873BA31"/>
    <w:rsid w:val="794134C2"/>
    <w:rsid w:val="7A3FB7E6"/>
    <w:rsid w:val="7ADD052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7A0C2F"/>
  <w15:docId w15:val="{A40D7B87-4C57-4F4F-A3A2-520A7440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9"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CF6"/>
    <w:pPr>
      <w:spacing w:before="200" w:after="200"/>
      <w:jc w:val="both"/>
    </w:pPr>
    <w:rPr>
      <w:rFonts w:ascii="Verdana" w:hAnsi="Verdana"/>
      <w:sz w:val="20"/>
    </w:rPr>
  </w:style>
  <w:style w:type="paragraph" w:styleId="Heading1">
    <w:name w:val="heading 1"/>
    <w:basedOn w:val="Normal"/>
    <w:next w:val="NumberedParagraph"/>
    <w:rsid w:val="001F1F60"/>
    <w:pPr>
      <w:keepNext/>
      <w:pageBreakBefore/>
      <w:numPr>
        <w:numId w:val="6"/>
      </w:numPr>
      <w:spacing w:before="0" w:after="560"/>
      <w:jc w:val="center"/>
      <w:outlineLvl w:val="0"/>
    </w:pPr>
    <w:rPr>
      <w:b/>
      <w:color w:val="0D8390"/>
      <w:sz w:val="24"/>
      <w:szCs w:val="60"/>
    </w:rPr>
  </w:style>
  <w:style w:type="paragraph" w:styleId="Heading2">
    <w:name w:val="heading 2"/>
    <w:basedOn w:val="Normal"/>
    <w:next w:val="NumberedParagraph"/>
    <w:qFormat/>
    <w:rsid w:val="00F8131F"/>
    <w:pPr>
      <w:keepNext/>
      <w:spacing w:before="480"/>
      <w:jc w:val="left"/>
      <w:outlineLvl w:val="1"/>
    </w:pPr>
    <w:rPr>
      <w:b/>
      <w:szCs w:val="26"/>
    </w:rPr>
  </w:style>
  <w:style w:type="paragraph" w:styleId="Heading3">
    <w:name w:val="heading 3"/>
    <w:basedOn w:val="Normal"/>
    <w:next w:val="NumberedParagraph"/>
    <w:link w:val="Heading3Char"/>
    <w:qFormat/>
    <w:rsid w:val="00F8131F"/>
    <w:pPr>
      <w:keepNext/>
      <w:numPr>
        <w:ilvl w:val="2"/>
        <w:numId w:val="5"/>
      </w:numPr>
      <w:jc w:val="left"/>
      <w:outlineLvl w:val="2"/>
    </w:pPr>
    <w:rPr>
      <w:b/>
      <w:i/>
    </w:rPr>
  </w:style>
  <w:style w:type="paragraph" w:styleId="Heading4">
    <w:name w:val="heading 4"/>
    <w:basedOn w:val="Normal"/>
    <w:next w:val="Normal"/>
    <w:qFormat/>
    <w:rsid w:val="002C0E8D"/>
    <w:pPr>
      <w:keepNext/>
      <w:numPr>
        <w:ilvl w:val="3"/>
        <w:numId w:val="5"/>
      </w:numPr>
      <w:jc w:val="left"/>
      <w:outlineLvl w:val="3"/>
    </w:pPr>
    <w:rPr>
      <w:i/>
    </w:rPr>
  </w:style>
  <w:style w:type="paragraph" w:styleId="Heading5">
    <w:name w:val="heading 5"/>
    <w:basedOn w:val="Heading4"/>
    <w:next w:val="Normal"/>
    <w:rsid w:val="00B917E9"/>
    <w:pPr>
      <w:numPr>
        <w:ilvl w:val="4"/>
      </w:numPr>
      <w:outlineLvl w:val="4"/>
    </w:pPr>
    <w:rPr>
      <w:b/>
    </w:rPr>
  </w:style>
  <w:style w:type="paragraph" w:styleId="Heading6">
    <w:name w:val="heading 6"/>
    <w:basedOn w:val="Normal"/>
    <w:next w:val="Normal"/>
    <w:semiHidden/>
    <w:pPr>
      <w:keepNext/>
      <w:numPr>
        <w:ilvl w:val="5"/>
        <w:numId w:val="5"/>
      </w:numPr>
      <w:outlineLvl w:val="5"/>
    </w:pPr>
    <w:rPr>
      <w:i/>
      <w:sz w:val="32"/>
    </w:rPr>
  </w:style>
  <w:style w:type="paragraph" w:styleId="Heading7">
    <w:name w:val="heading 7"/>
    <w:basedOn w:val="Normal"/>
    <w:next w:val="Normal"/>
    <w:semiHidden/>
    <w:pPr>
      <w:keepNext/>
      <w:numPr>
        <w:ilvl w:val="6"/>
        <w:numId w:val="5"/>
      </w:numPr>
      <w:outlineLvl w:val="6"/>
    </w:pPr>
    <w:rPr>
      <w:b/>
      <w:sz w:val="28"/>
    </w:rPr>
  </w:style>
  <w:style w:type="paragraph" w:styleId="Heading8">
    <w:name w:val="heading 8"/>
    <w:aliases w:val="Table heading"/>
    <w:basedOn w:val="Normal"/>
    <w:next w:val="Normal"/>
    <w:semiHidden/>
    <w:pPr>
      <w:keepNext/>
      <w:numPr>
        <w:ilvl w:val="7"/>
        <w:numId w:val="5"/>
      </w:numPr>
      <w:outlineLvl w:val="7"/>
    </w:pPr>
    <w:rPr>
      <w:sz w:val="28"/>
    </w:rPr>
  </w:style>
  <w:style w:type="paragraph" w:styleId="Heading9">
    <w:name w:val="heading 9"/>
    <w:basedOn w:val="Normal"/>
    <w:next w:val="Normal"/>
    <w:semiHidden/>
    <w:pPr>
      <w:keepNext/>
      <w:numPr>
        <w:ilvl w:val="8"/>
        <w:numId w:val="5"/>
      </w:numPr>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1F1F60"/>
    <w:rPr>
      <w:rFonts w:ascii="Verdana" w:hAnsi="Verdana"/>
      <w:sz w:val="18"/>
    </w:rPr>
  </w:style>
  <w:style w:type="paragraph" w:styleId="Footer">
    <w:name w:val="footer"/>
    <w:basedOn w:val="Normal"/>
    <w:link w:val="FooterChar"/>
    <w:uiPriority w:val="99"/>
    <w:rsid w:val="001F1F60"/>
    <w:pPr>
      <w:jc w:val="center"/>
    </w:pPr>
    <w:rPr>
      <w:sz w:val="18"/>
    </w:rPr>
  </w:style>
  <w:style w:type="paragraph" w:customStyle="1" w:styleId="Formula-Explanationtext">
    <w:name w:val="Formula - Explanation text"/>
    <w:basedOn w:val="NumberedParagraph"/>
    <w:next w:val="NumberedParagraph"/>
    <w:rsid w:val="00702836"/>
    <w:pPr>
      <w:numPr>
        <w:ilvl w:val="0"/>
        <w:numId w:val="0"/>
      </w:numPr>
      <w:tabs>
        <w:tab w:val="left" w:pos="1560"/>
      </w:tabs>
      <w:ind w:left="1560" w:hanging="709"/>
    </w:pPr>
  </w:style>
  <w:style w:type="paragraph" w:styleId="FootnoteText">
    <w:name w:val="footnote text"/>
    <w:basedOn w:val="Normal"/>
    <w:link w:val="FootnoteTextChar"/>
    <w:rsid w:val="0095659F"/>
    <w:pPr>
      <w:spacing w:before="40" w:after="0"/>
      <w:jc w:val="left"/>
    </w:pPr>
    <w:rPr>
      <w:sz w:val="18"/>
    </w:rPr>
  </w:style>
  <w:style w:type="character" w:styleId="FootnoteReference">
    <w:name w:val="footnote reference"/>
    <w:basedOn w:val="DefaultParagraphFont"/>
    <w:semiHidden/>
    <w:rsid w:val="006B78B3"/>
    <w:rPr>
      <w:rFonts w:ascii="Verdana" w:hAnsi="Verdana"/>
      <w:sz w:val="20"/>
      <w:vertAlign w:val="superscript"/>
    </w:rPr>
  </w:style>
  <w:style w:type="paragraph" w:styleId="Header">
    <w:name w:val="header"/>
    <w:basedOn w:val="Normal"/>
    <w:link w:val="HeaderChar"/>
    <w:uiPriority w:val="99"/>
    <w:pPr>
      <w:tabs>
        <w:tab w:val="center" w:pos="4153"/>
        <w:tab w:val="right" w:pos="8306"/>
      </w:tabs>
    </w:pPr>
  </w:style>
  <w:style w:type="paragraph" w:styleId="TOC1">
    <w:name w:val="toc 1"/>
    <w:basedOn w:val="Normal"/>
    <w:next w:val="Normal"/>
    <w:uiPriority w:val="39"/>
    <w:rsid w:val="00F3372B"/>
    <w:pPr>
      <w:tabs>
        <w:tab w:val="left" w:pos="1701"/>
        <w:tab w:val="right" w:leader="dot" w:pos="8789"/>
      </w:tabs>
      <w:spacing w:before="300" w:after="100"/>
      <w:ind w:left="1701" w:right="567" w:hanging="1701"/>
      <w:jc w:val="left"/>
    </w:pPr>
    <w:rPr>
      <w:b/>
    </w:rPr>
  </w:style>
  <w:style w:type="paragraph" w:styleId="TOC2">
    <w:name w:val="toc 2"/>
    <w:basedOn w:val="Normal"/>
    <w:next w:val="Normal"/>
    <w:uiPriority w:val="39"/>
    <w:rsid w:val="00F3372B"/>
    <w:pPr>
      <w:tabs>
        <w:tab w:val="right" w:leader="dot" w:pos="8789"/>
      </w:tabs>
      <w:spacing w:before="40" w:after="40"/>
      <w:ind w:left="1701" w:right="567"/>
      <w:jc w:val="left"/>
    </w:pPr>
  </w:style>
  <w:style w:type="paragraph" w:styleId="TOC3">
    <w:name w:val="toc 3"/>
    <w:basedOn w:val="Normal"/>
    <w:next w:val="Normal"/>
    <w:uiPriority w:val="39"/>
    <w:rsid w:val="00F3372B"/>
    <w:pPr>
      <w:tabs>
        <w:tab w:val="right" w:pos="8789"/>
      </w:tabs>
      <w:spacing w:before="40" w:after="40"/>
      <w:ind w:left="2268" w:right="567"/>
      <w:jc w:val="left"/>
    </w:pPr>
    <w:rPr>
      <w:sz w:val="18"/>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Quote">
    <w:name w:val="Quote"/>
    <w:basedOn w:val="Normal"/>
    <w:next w:val="Normal"/>
    <w:link w:val="QuoteChar"/>
    <w:uiPriority w:val="29"/>
    <w:qFormat/>
    <w:rsid w:val="006D44E3"/>
    <w:pPr>
      <w:ind w:left="1418" w:right="567"/>
    </w:pPr>
    <w:rPr>
      <w:iCs/>
    </w:rPr>
  </w:style>
  <w:style w:type="paragraph" w:styleId="DocumentMap">
    <w:name w:val="Document Map"/>
    <w:basedOn w:val="Normal"/>
    <w:semiHidden/>
    <w:pPr>
      <w:shd w:val="clear" w:color="auto" w:fill="000080"/>
    </w:pPr>
    <w:rPr>
      <w:rFonts w:ascii="Tahoma" w:hAnsi="Tahoma"/>
    </w:rPr>
  </w:style>
  <w:style w:type="paragraph" w:styleId="Title">
    <w:name w:val="Title"/>
    <w:next w:val="Subtitle"/>
    <w:link w:val="TitleChar"/>
    <w:rsid w:val="00906E92"/>
    <w:pPr>
      <w:pBdr>
        <w:bottom w:val="single" w:sz="4" w:space="6" w:color="auto"/>
      </w:pBdr>
      <w:spacing w:before="2400"/>
      <w:jc w:val="center"/>
    </w:pPr>
    <w:rPr>
      <w:rFonts w:ascii="Verdana" w:hAnsi="Verdana"/>
      <w:color w:val="0D8390"/>
      <w:sz w:val="60"/>
      <w:lang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Forumla-Equationeditor">
    <w:name w:val="Forumla - Equation editor"/>
    <w:basedOn w:val="Formula"/>
    <w:next w:val="NumberedParagraph"/>
    <w:rsid w:val="00702836"/>
    <w:rPr>
      <w:rFonts w:ascii="Cambria Math" w:hAnsi="Cambria Math"/>
      <w:iCs w:val="0"/>
      <w:sz w:val="22"/>
      <w:szCs w:val="22"/>
    </w:rPr>
  </w:style>
  <w:style w:type="character" w:customStyle="1" w:styleId="QuoteChar">
    <w:name w:val="Quote Char"/>
    <w:basedOn w:val="DefaultParagraphFont"/>
    <w:link w:val="Quote"/>
    <w:uiPriority w:val="29"/>
    <w:rsid w:val="006D44E3"/>
    <w:rPr>
      <w:rFonts w:ascii="Verdana" w:hAnsi="Verdana"/>
      <w:iCs/>
      <w:sz w:val="20"/>
    </w:rPr>
  </w:style>
  <w:style w:type="character" w:customStyle="1" w:styleId="CommentTextChar">
    <w:name w:val="Comment Text Char"/>
    <w:basedOn w:val="DefaultParagraphFont"/>
    <w:link w:val="CommentText"/>
    <w:semiHidden/>
    <w:rsid w:val="007A2462"/>
    <w:rPr>
      <w:b/>
      <w:sz w:val="26"/>
      <w:lang w:val="en-US" w:eastAsia="en-AU"/>
    </w:rPr>
  </w:style>
  <w:style w:type="paragraph" w:styleId="IntenseQuote">
    <w:name w:val="Intense Quote"/>
    <w:basedOn w:val="Normal"/>
    <w:next w:val="Normal"/>
    <w:link w:val="IntenseQuoteChar"/>
    <w:uiPriority w:val="30"/>
    <w:qFormat/>
    <w:rsid w:val="006D44E3"/>
    <w:pPr>
      <w:ind w:left="1418" w:right="567"/>
    </w:pPr>
    <w:rPr>
      <w:i/>
      <w:iCs/>
    </w:rPr>
  </w:style>
  <w:style w:type="character" w:customStyle="1" w:styleId="Heading3Char">
    <w:name w:val="Heading 3 Char"/>
    <w:basedOn w:val="DefaultParagraphFont"/>
    <w:link w:val="Heading3"/>
    <w:rsid w:val="00F8131F"/>
    <w:rPr>
      <w:rFonts w:ascii="Verdana" w:hAnsi="Verdana"/>
      <w:b/>
      <w:i/>
      <w:sz w:val="20"/>
    </w:rPr>
  </w:style>
  <w:style w:type="paragraph" w:styleId="BalloonText">
    <w:name w:val="Balloon Text"/>
    <w:basedOn w:val="Normal"/>
    <w:link w:val="BalloonTextChar"/>
    <w:semiHidden/>
    <w:unhideWhenUsed/>
    <w:rsid w:val="00952372"/>
    <w:rPr>
      <w:rFonts w:ascii="Tahoma" w:hAnsi="Tahoma" w:cs="Tahoma"/>
      <w:sz w:val="16"/>
      <w:szCs w:val="16"/>
    </w:rPr>
  </w:style>
  <w:style w:type="character" w:customStyle="1" w:styleId="BalloonTextChar">
    <w:name w:val="Balloon Text Char"/>
    <w:basedOn w:val="DefaultParagraphFont"/>
    <w:link w:val="BalloonText"/>
    <w:semiHidden/>
    <w:rsid w:val="00952372"/>
    <w:rPr>
      <w:rFonts w:ascii="Tahoma" w:hAnsi="Tahoma" w:cs="Tahoma"/>
      <w:sz w:val="16"/>
      <w:szCs w:val="16"/>
      <w:lang w:val="en-GB" w:eastAsia="en-AU"/>
    </w:rPr>
  </w:style>
  <w:style w:type="paragraph" w:styleId="ListParagraph">
    <w:name w:val="List Paragraph"/>
    <w:basedOn w:val="Normal"/>
    <w:uiPriority w:val="34"/>
    <w:qFormat/>
    <w:rsid w:val="00D14F8D"/>
    <w:pPr>
      <w:numPr>
        <w:numId w:val="10"/>
      </w:numPr>
      <w:spacing w:before="120"/>
    </w:pPr>
  </w:style>
  <w:style w:type="table" w:styleId="TableGrid">
    <w:name w:val="Table Grid"/>
    <w:basedOn w:val="TableNormal"/>
    <w:uiPriority w:val="5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b/>
      <w:bCs/>
      <w:sz w:val="26"/>
      <w:lang w:val="en-GB" w:eastAsia="en-AU"/>
    </w:rPr>
  </w:style>
  <w:style w:type="paragraph" w:styleId="Subtitle">
    <w:name w:val="Subtitle"/>
    <w:basedOn w:val="Normal"/>
    <w:next w:val="Normal"/>
    <w:link w:val="SubtitleChar"/>
    <w:uiPriority w:val="11"/>
    <w:rsid w:val="00906E92"/>
    <w:pPr>
      <w:jc w:val="center"/>
    </w:pPr>
    <w:rPr>
      <w:i/>
      <w:sz w:val="24"/>
      <w:szCs w:val="36"/>
    </w:rPr>
  </w:style>
  <w:style w:type="character" w:customStyle="1" w:styleId="SubtitleChar">
    <w:name w:val="Subtitle Char"/>
    <w:basedOn w:val="DefaultParagraphFont"/>
    <w:link w:val="Subtitle"/>
    <w:uiPriority w:val="11"/>
    <w:rsid w:val="00906E92"/>
    <w:rPr>
      <w:rFonts w:ascii="Verdana" w:hAnsi="Verdana"/>
      <w:i/>
      <w:szCs w:val="36"/>
    </w:rPr>
  </w:style>
  <w:style w:type="paragraph" w:customStyle="1" w:styleId="SummaryandQFS-Text">
    <w:name w:val="Summary and QFS - Text"/>
    <w:basedOn w:val="Normal"/>
    <w:qFormat/>
    <w:rsid w:val="00605BAF"/>
    <w:pPr>
      <w:pBdr>
        <w:top w:val="single" w:sz="4" w:space="10" w:color="auto"/>
        <w:left w:val="single" w:sz="4" w:space="10" w:color="auto"/>
        <w:bottom w:val="single" w:sz="4" w:space="10" w:color="auto"/>
        <w:right w:val="single" w:sz="4" w:space="10" w:color="auto"/>
      </w:pBdr>
      <w:ind w:left="142"/>
    </w:pPr>
  </w:style>
  <w:style w:type="paragraph" w:customStyle="1" w:styleId="Authorname-Minister">
    <w:name w:val="Author name - Minister"/>
    <w:basedOn w:val="Normal"/>
    <w:next w:val="Normal"/>
    <w:rsid w:val="008B02E5"/>
    <w:pPr>
      <w:spacing w:before="7500" w:after="0"/>
      <w:ind w:right="-709"/>
      <w:jc w:val="right"/>
    </w:pPr>
    <w:rPr>
      <w:b/>
    </w:rPr>
  </w:style>
  <w:style w:type="paragraph" w:customStyle="1" w:styleId="Authortitle-Minister">
    <w:name w:val="Author title - Minister"/>
    <w:basedOn w:val="Normal"/>
    <w:rsid w:val="008B02E5"/>
    <w:pPr>
      <w:spacing w:before="0" w:after="400"/>
      <w:ind w:right="-709"/>
      <w:jc w:val="right"/>
    </w:pPr>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unhideWhenUsed/>
    <w:rsid w:val="00821704"/>
    <w:rPr>
      <w:color w:val="605E5C"/>
      <w:shd w:val="clear" w:color="auto" w:fill="E1DFDD"/>
    </w:rPr>
  </w:style>
  <w:style w:type="paragraph" w:styleId="ListBullet">
    <w:name w:val="List Bullet"/>
    <w:basedOn w:val="ListParagraph"/>
    <w:uiPriority w:val="99"/>
    <w:unhideWhenUsed/>
    <w:qFormat/>
    <w:rsid w:val="00954959"/>
    <w:pPr>
      <w:numPr>
        <w:numId w:val="7"/>
      </w:numPr>
      <w:tabs>
        <w:tab w:val="num" w:pos="567"/>
      </w:tabs>
      <w:spacing w:before="200"/>
    </w:pPr>
  </w:style>
  <w:style w:type="paragraph" w:styleId="Caption">
    <w:name w:val="caption"/>
    <w:basedOn w:val="Normal"/>
    <w:next w:val="Normal"/>
    <w:uiPriority w:val="35"/>
    <w:unhideWhenUsed/>
    <w:qFormat/>
    <w:rsid w:val="00D7192E"/>
    <w:pPr>
      <w:keepNext/>
      <w:jc w:val="center"/>
    </w:pPr>
    <w:rPr>
      <w:b/>
      <w:szCs w:val="22"/>
    </w:rPr>
  </w:style>
  <w:style w:type="paragraph" w:customStyle="1" w:styleId="Figure">
    <w:name w:val="Figure"/>
    <w:basedOn w:val="Normal"/>
    <w:next w:val="Normal"/>
    <w:rsid w:val="00601A35"/>
    <w:pPr>
      <w:ind w:left="851"/>
      <w:jc w:val="center"/>
    </w:pPr>
  </w:style>
  <w:style w:type="numbering" w:customStyle="1" w:styleId="Table-BulletedList">
    <w:name w:val="Table - Bulleted List"/>
    <w:basedOn w:val="NoList"/>
    <w:rsid w:val="00836DC9"/>
    <w:pPr>
      <w:numPr>
        <w:numId w:val="4"/>
      </w:numPr>
    </w:pPr>
  </w:style>
  <w:style w:type="character" w:customStyle="1" w:styleId="IntenseQuoteChar">
    <w:name w:val="Intense Quote Char"/>
    <w:basedOn w:val="DefaultParagraphFont"/>
    <w:link w:val="IntenseQuote"/>
    <w:uiPriority w:val="30"/>
    <w:rsid w:val="006D44E3"/>
    <w:rPr>
      <w:rFonts w:ascii="Verdana" w:hAnsi="Verdana"/>
      <w:i/>
      <w:iCs/>
      <w:sz w:val="20"/>
    </w:rPr>
  </w:style>
  <w:style w:type="character" w:styleId="Strong">
    <w:name w:val="Strong"/>
    <w:basedOn w:val="DefaultParagraphFont"/>
    <w:uiPriority w:val="22"/>
    <w:qFormat/>
    <w:rsid w:val="00481032"/>
    <w:rPr>
      <w:b/>
      <w:bCs/>
    </w:rPr>
  </w:style>
  <w:style w:type="character" w:styleId="Emphasis">
    <w:name w:val="Emphasis"/>
    <w:basedOn w:val="DefaultParagraphFont"/>
    <w:uiPriority w:val="20"/>
    <w:qFormat/>
    <w:rsid w:val="00481032"/>
    <w:rPr>
      <w:i/>
      <w:iCs/>
    </w:rPr>
  </w:style>
  <w:style w:type="paragraph" w:styleId="ListBullet2">
    <w:name w:val="List Bullet 2"/>
    <w:basedOn w:val="Normal"/>
    <w:uiPriority w:val="99"/>
    <w:unhideWhenUsed/>
    <w:rsid w:val="00954959"/>
    <w:pPr>
      <w:numPr>
        <w:ilvl w:val="1"/>
        <w:numId w:val="1"/>
      </w:numPr>
    </w:pPr>
  </w:style>
  <w:style w:type="paragraph" w:styleId="ListBullet3">
    <w:name w:val="List Bullet 3"/>
    <w:basedOn w:val="Normal"/>
    <w:uiPriority w:val="99"/>
    <w:unhideWhenUsed/>
    <w:rsid w:val="00954959"/>
    <w:pPr>
      <w:numPr>
        <w:ilvl w:val="2"/>
        <w:numId w:val="1"/>
      </w:numPr>
    </w:pPr>
  </w:style>
  <w:style w:type="paragraph" w:customStyle="1" w:styleId="Table-Text">
    <w:name w:val="Table - Text"/>
    <w:basedOn w:val="Normal"/>
    <w:qFormat/>
    <w:rsid w:val="00A1279F"/>
    <w:pPr>
      <w:spacing w:before="60" w:after="60"/>
      <w:jc w:val="left"/>
    </w:pPr>
    <w:rPr>
      <w:sz w:val="18"/>
      <w:szCs w:val="22"/>
    </w:rPr>
  </w:style>
  <w:style w:type="paragraph" w:customStyle="1" w:styleId="Table-HeaderRow">
    <w:name w:val="Table - Header Row"/>
    <w:basedOn w:val="Normal"/>
    <w:qFormat/>
    <w:rsid w:val="00A1279F"/>
    <w:pPr>
      <w:spacing w:before="100" w:after="100"/>
      <w:jc w:val="left"/>
    </w:pPr>
    <w:rPr>
      <w:b/>
      <w:sz w:val="18"/>
      <w:szCs w:val="22"/>
    </w:rPr>
  </w:style>
  <w:style w:type="paragraph" w:styleId="TableofFigures">
    <w:name w:val="table of figures"/>
    <w:basedOn w:val="Normal"/>
    <w:next w:val="Normal"/>
    <w:uiPriority w:val="99"/>
    <w:unhideWhenUsed/>
    <w:rsid w:val="00DD659F"/>
  </w:style>
  <w:style w:type="numbering" w:customStyle="1" w:styleId="Table-Bullet">
    <w:name w:val="Table - Bullet"/>
    <w:basedOn w:val="NoList"/>
    <w:rsid w:val="00E87D30"/>
    <w:pPr>
      <w:numPr>
        <w:numId w:val="2"/>
      </w:numPr>
    </w:pPr>
  </w:style>
  <w:style w:type="numbering" w:customStyle="1" w:styleId="Table-Bullet10pt">
    <w:name w:val="Table - Bullet 10pt"/>
    <w:basedOn w:val="NoList"/>
    <w:rsid w:val="00D9392A"/>
    <w:pPr>
      <w:numPr>
        <w:numId w:val="3"/>
      </w:numPr>
    </w:pPr>
  </w:style>
  <w:style w:type="paragraph" w:customStyle="1" w:styleId="NumberedParagraph">
    <w:name w:val="Numbered Paragraph"/>
    <w:basedOn w:val="Normal"/>
    <w:qFormat/>
    <w:rsid w:val="001669F7"/>
    <w:pPr>
      <w:numPr>
        <w:ilvl w:val="1"/>
        <w:numId w:val="6"/>
      </w:numPr>
    </w:pPr>
  </w:style>
  <w:style w:type="paragraph" w:customStyle="1" w:styleId="NumberedParagraph-BulletL1">
    <w:name w:val="Numbered Paragraph - Bullet L1"/>
    <w:basedOn w:val="NumberedParagraph"/>
    <w:rsid w:val="009E3D52"/>
    <w:pPr>
      <w:numPr>
        <w:ilvl w:val="2"/>
      </w:numPr>
      <w:spacing w:before="120"/>
    </w:pPr>
  </w:style>
  <w:style w:type="paragraph" w:customStyle="1" w:styleId="NumberedParagraph-BulletL2">
    <w:name w:val="Numbered Paragraph - Bullet L2"/>
    <w:basedOn w:val="NumberedParagraph"/>
    <w:rsid w:val="009E3D52"/>
    <w:pPr>
      <w:numPr>
        <w:ilvl w:val="3"/>
      </w:numPr>
      <w:spacing w:before="120"/>
    </w:pPr>
  </w:style>
  <w:style w:type="paragraph" w:customStyle="1" w:styleId="SummaryandQFS-Heading1">
    <w:name w:val="Summary and QFS - Heading 1"/>
    <w:basedOn w:val="SummaryandQFS-Text"/>
    <w:next w:val="SummaryandQFS-Text"/>
    <w:rsid w:val="009C550C"/>
    <w:pPr>
      <w:spacing w:before="360"/>
      <w:jc w:val="left"/>
    </w:pPr>
    <w:rPr>
      <w:b/>
      <w:bCs/>
    </w:rPr>
  </w:style>
  <w:style w:type="paragraph" w:customStyle="1" w:styleId="SummaryandQFS-BulletL1">
    <w:name w:val="Summary and QFS - Bullet L1"/>
    <w:basedOn w:val="SummaryandQFS-Text"/>
    <w:rsid w:val="00EA6BFF"/>
    <w:pPr>
      <w:numPr>
        <w:numId w:val="8"/>
      </w:numPr>
      <w:tabs>
        <w:tab w:val="center" w:pos="709"/>
      </w:tabs>
    </w:pPr>
  </w:style>
  <w:style w:type="paragraph" w:customStyle="1" w:styleId="SummaryandQFS-Heading3">
    <w:name w:val="Summary and QFS - Heading 3"/>
    <w:basedOn w:val="SummaryandQFS-Text"/>
    <w:next w:val="SummaryandQFS-Text"/>
    <w:rsid w:val="00605BAF"/>
    <w:rPr>
      <w:i/>
      <w:iCs/>
    </w:rPr>
  </w:style>
  <w:style w:type="paragraph" w:customStyle="1" w:styleId="SummaryandQFS-Heading2">
    <w:name w:val="Summary and QFS - Heading 2"/>
    <w:basedOn w:val="SummaryandQFS-Text"/>
    <w:next w:val="SummaryandQFS-Text"/>
    <w:rsid w:val="00605BAF"/>
    <w:pPr>
      <w:jc w:val="left"/>
    </w:pPr>
    <w:rPr>
      <w:b/>
      <w:i/>
    </w:rPr>
  </w:style>
  <w:style w:type="paragraph" w:customStyle="1" w:styleId="Heading1-Appendix">
    <w:name w:val="Heading 1 - Appendix"/>
    <w:basedOn w:val="Normal"/>
    <w:next w:val="Normal"/>
    <w:rsid w:val="00A1279F"/>
    <w:pPr>
      <w:spacing w:before="0" w:after="560"/>
      <w:jc w:val="center"/>
      <w:outlineLvl w:val="0"/>
    </w:pPr>
    <w:rPr>
      <w:b/>
      <w:bCs/>
      <w:color w:val="0D8390"/>
      <w:sz w:val="24"/>
      <w:szCs w:val="28"/>
    </w:rPr>
  </w:style>
  <w:style w:type="paragraph" w:customStyle="1" w:styleId="Publicationdate-Cover">
    <w:name w:val="Publication date - Cover"/>
    <w:basedOn w:val="Normal"/>
    <w:qFormat/>
    <w:rsid w:val="00906E92"/>
    <w:pPr>
      <w:spacing w:before="240" w:after="240"/>
    </w:pPr>
    <w:rPr>
      <w:sz w:val="24"/>
    </w:rPr>
  </w:style>
  <w:style w:type="paragraph" w:customStyle="1" w:styleId="Authorname-Agency">
    <w:name w:val="Author name - Agency"/>
    <w:basedOn w:val="Normal"/>
    <w:rsid w:val="00906E92"/>
    <w:pPr>
      <w:spacing w:before="400"/>
      <w:jc w:val="left"/>
    </w:pPr>
    <w:rPr>
      <w:i/>
      <w:iCs/>
    </w:rPr>
  </w:style>
  <w:style w:type="paragraph" w:customStyle="1" w:styleId="Formula">
    <w:name w:val="Formula"/>
    <w:basedOn w:val="Normal"/>
    <w:next w:val="NumberedParagraph"/>
    <w:rsid w:val="00702836"/>
    <w:pPr>
      <w:ind w:left="851"/>
      <w:jc w:val="center"/>
    </w:pPr>
    <w:rPr>
      <w:iCs/>
    </w:rPr>
  </w:style>
  <w:style w:type="paragraph" w:customStyle="1" w:styleId="Legislation-Text">
    <w:name w:val="Legislation - Text"/>
    <w:basedOn w:val="Normal"/>
    <w:rsid w:val="00282591"/>
    <w:pPr>
      <w:pBdr>
        <w:top w:val="single" w:sz="4" w:space="10" w:color="auto"/>
        <w:left w:val="single" w:sz="4" w:space="6" w:color="auto"/>
        <w:bottom w:val="single" w:sz="4" w:space="10" w:color="auto"/>
        <w:right w:val="single" w:sz="4" w:space="6" w:color="auto"/>
      </w:pBdr>
      <w:ind w:left="993"/>
    </w:pPr>
  </w:style>
  <w:style w:type="paragraph" w:customStyle="1" w:styleId="Legislation">
    <w:name w:val="Legislation"/>
    <w:basedOn w:val="Normal"/>
    <w:rsid w:val="00520CEB"/>
    <w:pPr>
      <w:pBdr>
        <w:top w:val="single" w:sz="4" w:space="10" w:color="auto"/>
        <w:left w:val="single" w:sz="4" w:space="6" w:color="auto"/>
        <w:bottom w:val="single" w:sz="4" w:space="10" w:color="auto"/>
        <w:right w:val="single" w:sz="4" w:space="6" w:color="auto"/>
      </w:pBdr>
      <w:tabs>
        <w:tab w:val="left" w:pos="1560"/>
        <w:tab w:val="left" w:pos="2127"/>
        <w:tab w:val="left" w:pos="2694"/>
        <w:tab w:val="left" w:pos="3261"/>
      </w:tabs>
      <w:ind w:left="993"/>
    </w:pPr>
  </w:style>
  <w:style w:type="paragraph" w:customStyle="1" w:styleId="NumberedParagraph-NumberedLists">
    <w:name w:val="Numbered Paragraph - Numbered Lists"/>
    <w:basedOn w:val="Normal"/>
    <w:rsid w:val="00C6322C"/>
    <w:pPr>
      <w:numPr>
        <w:numId w:val="11"/>
      </w:numPr>
    </w:pPr>
  </w:style>
  <w:style w:type="numbering" w:customStyle="1" w:styleId="NumberedList">
    <w:name w:val="Numbered List"/>
    <w:uiPriority w:val="99"/>
    <w:rsid w:val="00D14F8D"/>
    <w:pPr>
      <w:numPr>
        <w:numId w:val="9"/>
      </w:numPr>
    </w:pPr>
  </w:style>
  <w:style w:type="character" w:customStyle="1" w:styleId="TitleChar">
    <w:name w:val="Title Char"/>
    <w:basedOn w:val="DefaultParagraphFont"/>
    <w:link w:val="Title"/>
    <w:rsid w:val="00906E92"/>
    <w:rPr>
      <w:rFonts w:ascii="Verdana" w:hAnsi="Verdana"/>
      <w:color w:val="0D8390"/>
      <w:sz w:val="60"/>
      <w:lang w:eastAsia="en-AU"/>
    </w:rPr>
  </w:style>
  <w:style w:type="paragraph" w:customStyle="1" w:styleId="Addressblock-Submission">
    <w:name w:val="Address block - Submission"/>
    <w:basedOn w:val="Normal"/>
    <w:qFormat/>
    <w:rsid w:val="00E36CB1"/>
    <w:pPr>
      <w:ind w:left="1985"/>
      <w:contextualSpacing/>
    </w:pPr>
  </w:style>
  <w:style w:type="table" w:customStyle="1" w:styleId="QuestionBox">
    <w:name w:val="Question Box"/>
    <w:basedOn w:val="TableNormal"/>
    <w:uiPriority w:val="99"/>
    <w:rsid w:val="00866B4A"/>
    <w:pPr>
      <w:spacing w:before="1000" w:after="60"/>
    </w:pPr>
    <w:rPr>
      <w:rFonts w:ascii="Verdana" w:hAnsi="Verdana"/>
      <w:sz w:val="20"/>
    </w:rPr>
    <w:tblPr>
      <w:tbl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blBorders>
      <w:tblCellMar>
        <w:left w:w="170" w:type="dxa"/>
        <w:right w:w="170" w:type="dxa"/>
      </w:tblCellMar>
    </w:tblPr>
    <w:trPr>
      <w:cantSplit/>
    </w:trPr>
    <w:tcPr>
      <w:shd w:val="clear" w:color="auto" w:fill="DAEEF3" w:themeFill="accent5" w:themeFillTint="33"/>
    </w:tcPr>
  </w:style>
  <w:style w:type="table" w:customStyle="1" w:styleId="ExampleBox">
    <w:name w:val="Example Box"/>
    <w:basedOn w:val="TableNormal"/>
    <w:uiPriority w:val="99"/>
    <w:rsid w:val="006B78B3"/>
    <w:rPr>
      <w:rFonts w:ascii="Verdana" w:hAnsi="Verdana"/>
      <w:sz w:val="20"/>
    </w:rPr>
    <w:tblPr>
      <w:tblInd w:w="851"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tblBorders>
      <w:tblCellMar>
        <w:left w:w="170" w:type="dxa"/>
        <w:right w:w="227" w:type="dxa"/>
      </w:tblCellMar>
    </w:tblPr>
    <w:tcPr>
      <w:shd w:val="clear" w:color="auto" w:fill="EAF1DD" w:themeFill="accent3" w:themeFillTint="33"/>
    </w:tcPr>
  </w:style>
  <w:style w:type="table" w:customStyle="1" w:styleId="DiagramBox">
    <w:name w:val="Diagram Box"/>
    <w:basedOn w:val="TableNormal"/>
    <w:uiPriority w:val="99"/>
    <w:rsid w:val="00D7192E"/>
    <w:tblPr>
      <w:tblInd w:w="851"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blBorders>
      <w:tblCellMar>
        <w:left w:w="170" w:type="dxa"/>
        <w:right w:w="227" w:type="dxa"/>
      </w:tblCellMar>
    </w:tblPr>
    <w:tcPr>
      <w:shd w:val="clear" w:color="auto" w:fill="F2F2F2" w:themeFill="background1" w:themeFillShade="F2"/>
    </w:tcPr>
  </w:style>
  <w:style w:type="table" w:customStyle="1" w:styleId="SummaryBox">
    <w:name w:val="Summary Box"/>
    <w:basedOn w:val="TableNormal"/>
    <w:uiPriority w:val="99"/>
    <w:rsid w:val="00EE7E10"/>
    <w:pPr>
      <w:spacing w:before="200" w:after="200"/>
    </w:pPr>
    <w:rPr>
      <w:rFonts w:ascii="Verdana" w:hAnsi="Verdana"/>
      <w:sz w:val="18"/>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blBorders>
      <w:tblCellMar>
        <w:left w:w="170" w:type="dxa"/>
        <w:right w:w="170" w:type="dxa"/>
      </w:tblCellMar>
    </w:tblPr>
    <w:trPr>
      <w:cantSplit/>
    </w:trPr>
    <w:tcPr>
      <w:shd w:val="clear" w:color="auto" w:fill="D9D9D9" w:themeFill="background1" w:themeFillShade="D9"/>
    </w:tcPr>
  </w:style>
  <w:style w:type="table" w:customStyle="1" w:styleId="StandardTable">
    <w:name w:val="Standard Table"/>
    <w:basedOn w:val="TableNormal"/>
    <w:uiPriority w:val="99"/>
    <w:rsid w:val="00D6414D"/>
    <w:pPr>
      <w:spacing w:before="60" w:after="60"/>
    </w:pPr>
    <w:rPr>
      <w:rFonts w:ascii="Verdana" w:hAnsi="Verdana"/>
      <w:sz w:val="16"/>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Pr>
    <w:trPr>
      <w:cantSplit/>
    </w:trPr>
    <w:tcPr>
      <w:shd w:val="clear" w:color="auto" w:fill="auto"/>
    </w:tcPr>
  </w:style>
  <w:style w:type="paragraph" w:customStyle="1" w:styleId="Heading1-Notnumbered">
    <w:name w:val="Heading 1 - Not numbered"/>
    <w:basedOn w:val="Heading1-Appendix"/>
    <w:next w:val="Normal"/>
    <w:qFormat/>
    <w:rsid w:val="00906E92"/>
  </w:style>
  <w:style w:type="paragraph" w:customStyle="1" w:styleId="Lastupdateddate">
    <w:name w:val="Last updated date"/>
    <w:basedOn w:val="Normal"/>
    <w:rsid w:val="003A1C64"/>
    <w:pPr>
      <w:jc w:val="center"/>
    </w:pPr>
    <w:rPr>
      <w:b/>
      <w:bCs/>
    </w:rPr>
  </w:style>
  <w:style w:type="paragraph" w:customStyle="1" w:styleId="Title-Issuespaper">
    <w:name w:val="Title - Issues paper"/>
    <w:basedOn w:val="Title"/>
    <w:rsid w:val="00DD0C1B"/>
  </w:style>
  <w:style w:type="paragraph" w:customStyle="1" w:styleId="Subtitle-Issuespaper">
    <w:name w:val="Subtitle - Issues paper"/>
    <w:basedOn w:val="Subtitle"/>
    <w:rsid w:val="00DD0C1B"/>
  </w:style>
  <w:style w:type="paragraph" w:customStyle="1" w:styleId="Title-Discussiondocument">
    <w:name w:val="Title - Discussion document"/>
    <w:basedOn w:val="Normal"/>
    <w:next w:val="Subtitle-Discussiondocument"/>
    <w:rsid w:val="008B02E5"/>
    <w:pPr>
      <w:pBdr>
        <w:bottom w:val="single" w:sz="4" w:space="6" w:color="auto"/>
      </w:pBdr>
      <w:spacing w:before="1200" w:after="0"/>
      <w:ind w:right="1700"/>
      <w:jc w:val="right"/>
    </w:pPr>
    <w:rPr>
      <w:sz w:val="60"/>
      <w:szCs w:val="64"/>
      <w:lang w:eastAsia="en-AU"/>
    </w:rPr>
  </w:style>
  <w:style w:type="paragraph" w:customStyle="1" w:styleId="Subtitle-Discussiondocument">
    <w:name w:val="Subtitle - Discussion document"/>
    <w:basedOn w:val="Normal"/>
    <w:rsid w:val="008B02E5"/>
    <w:pPr>
      <w:spacing w:before="240" w:after="0"/>
      <w:ind w:right="1700"/>
      <w:jc w:val="right"/>
    </w:pPr>
    <w:rPr>
      <w:i/>
      <w:sz w:val="24"/>
      <w:szCs w:val="36"/>
    </w:rPr>
  </w:style>
  <w:style w:type="paragraph" w:customStyle="1" w:styleId="Title-Earlystageconsultation">
    <w:name w:val="Title - Early stage consultation"/>
    <w:basedOn w:val="Title-Issuespaper"/>
    <w:rsid w:val="006D5C74"/>
  </w:style>
  <w:style w:type="paragraph" w:customStyle="1" w:styleId="Subtitle-Earlystageconsultation">
    <w:name w:val="Subtitle - Early stage consultation"/>
    <w:basedOn w:val="Subtitle-Issuespaper"/>
    <w:next w:val="Normal"/>
    <w:rsid w:val="006D5C74"/>
  </w:style>
  <w:style w:type="character" w:customStyle="1" w:styleId="FootnoteTextChar">
    <w:name w:val="Footnote Text Char"/>
    <w:basedOn w:val="DefaultParagraphFont"/>
    <w:link w:val="FootnoteText"/>
    <w:rsid w:val="00700A51"/>
    <w:rPr>
      <w:rFonts w:ascii="Verdana" w:hAnsi="Verdana"/>
      <w:sz w:val="18"/>
    </w:rPr>
  </w:style>
  <w:style w:type="table" w:customStyle="1" w:styleId="TableGrid1">
    <w:name w:val="Table Grid1"/>
    <w:basedOn w:val="TableNormal"/>
    <w:next w:val="TableGrid"/>
    <w:rsid w:val="004829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2FB9"/>
    <w:rPr>
      <w:rFonts w:ascii="Verdana" w:hAnsi="Verdana"/>
      <w:sz w:val="20"/>
    </w:rPr>
  </w:style>
  <w:style w:type="paragraph" w:customStyle="1" w:styleId="Chapter6">
    <w:name w:val="Chapter 6"/>
    <w:basedOn w:val="Normal"/>
    <w:link w:val="Chapter6Char"/>
    <w:rsid w:val="0099030B"/>
    <w:pPr>
      <w:tabs>
        <w:tab w:val="num" w:pos="851"/>
      </w:tabs>
      <w:spacing w:before="0" w:after="0"/>
      <w:ind w:left="851" w:hanging="851"/>
    </w:pPr>
    <w:rPr>
      <w:rFonts w:ascii="Times New Roman" w:hAnsi="Times New Roman"/>
      <w:sz w:val="24"/>
      <w:szCs w:val="20"/>
      <w:lang w:val="en-GB" w:eastAsia="en-AU"/>
    </w:rPr>
  </w:style>
  <w:style w:type="character" w:customStyle="1" w:styleId="Chapter6Char">
    <w:name w:val="Chapter 6 Char"/>
    <w:basedOn w:val="DefaultParagraphFont"/>
    <w:link w:val="Chapter6"/>
    <w:rsid w:val="0099030B"/>
    <w:rPr>
      <w:szCs w:val="20"/>
      <w:lang w:val="en-GB" w:eastAsia="en-AU"/>
    </w:rPr>
  </w:style>
  <w:style w:type="character" w:styleId="Mention">
    <w:name w:val="Mention"/>
    <w:basedOn w:val="DefaultParagraphFont"/>
    <w:uiPriority w:val="99"/>
    <w:unhideWhenUsed/>
    <w:rsid w:val="00A350E8"/>
    <w:rPr>
      <w:color w:val="2B579A"/>
      <w:shd w:val="clear" w:color="auto" w:fill="E1DFDD"/>
    </w:rPr>
  </w:style>
  <w:style w:type="paragraph" w:styleId="BodyText">
    <w:name w:val="Body Text"/>
    <w:basedOn w:val="Normal"/>
    <w:link w:val="BodyTextChar"/>
    <w:uiPriority w:val="1"/>
    <w:qFormat/>
    <w:rsid w:val="0018655E"/>
    <w:pPr>
      <w:widowControl w:val="0"/>
      <w:autoSpaceDE w:val="0"/>
      <w:autoSpaceDN w:val="0"/>
      <w:spacing w:before="0" w:after="0"/>
      <w:jc w:val="left"/>
    </w:pPr>
    <w:rPr>
      <w:rFonts w:ascii="Arial Narrow" w:eastAsia="Arial Narrow" w:hAnsi="Arial Narrow" w:cs="Arial Narrow"/>
      <w:sz w:val="28"/>
      <w:szCs w:val="28"/>
      <w:lang w:val="en-GB" w:eastAsia="en-US"/>
    </w:rPr>
  </w:style>
  <w:style w:type="character" w:customStyle="1" w:styleId="BodyTextChar">
    <w:name w:val="Body Text Char"/>
    <w:basedOn w:val="DefaultParagraphFont"/>
    <w:link w:val="BodyText"/>
    <w:uiPriority w:val="1"/>
    <w:rsid w:val="0018655E"/>
    <w:rPr>
      <w:rFonts w:ascii="Arial Narrow" w:eastAsia="Arial Narrow" w:hAnsi="Arial Narrow" w:cs="Arial Narrow"/>
      <w:sz w:val="28"/>
      <w:szCs w:val="28"/>
      <w:lang w:val="en-GB" w:eastAsia="en-US"/>
    </w:rPr>
  </w:style>
  <w:style w:type="character" w:customStyle="1" w:styleId="HeaderChar">
    <w:name w:val="Header Char"/>
    <w:basedOn w:val="DefaultParagraphFont"/>
    <w:link w:val="Header"/>
    <w:uiPriority w:val="99"/>
    <w:rsid w:val="0018655E"/>
    <w:rPr>
      <w:rFonts w:ascii="Verdana" w:hAnsi="Verdana"/>
      <w:sz w:val="20"/>
    </w:rPr>
  </w:style>
  <w:style w:type="character" w:styleId="FollowedHyperlink">
    <w:name w:val="FollowedHyperlink"/>
    <w:basedOn w:val="DefaultParagraphFont"/>
    <w:uiPriority w:val="99"/>
    <w:semiHidden/>
    <w:unhideWhenUsed/>
    <w:rsid w:val="004131A2"/>
    <w:rPr>
      <w:color w:val="800080" w:themeColor="followedHyperlink"/>
      <w:u w:val="single"/>
    </w:rPr>
  </w:style>
  <w:style w:type="paragraph" w:customStyle="1" w:styleId="Heading1-Part">
    <w:name w:val="Heading 1 - Part"/>
    <w:basedOn w:val="Normal"/>
    <w:next w:val="Normal"/>
    <w:qFormat/>
    <w:rsid w:val="00A474E5"/>
    <w:pPr>
      <w:pageBreakBefore/>
      <w:numPr>
        <w:ilvl w:val="1"/>
        <w:numId w:val="5"/>
      </w:numPr>
      <w:pBdr>
        <w:top w:val="single" w:sz="4" w:space="8" w:color="auto"/>
        <w:bottom w:val="single" w:sz="4" w:space="8" w:color="auto"/>
      </w:pBdr>
      <w:spacing w:before="3120"/>
      <w:jc w:val="center"/>
      <w:outlineLvl w:val="0"/>
    </w:pPr>
    <w:rPr>
      <w:b/>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2.xml"/><Relationship Id="rId18" Type="http://schemas.openxmlformats.org/officeDocument/2006/relationships/image" Target="media/image6.emf"/><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package" Target="embeddings/Microsoft_Visio_Drawing2.vsdx"/><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package" Target="embeddings/Microsoft_Visio_Drawing.vsdx"/><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xpolicy.ird.govt.nz/publications/2022/2022-ip-oecd-pilllar-two" TargetMode="Externa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9.png"/><Relationship Id="rId28" Type="http://schemas.openxmlformats.org/officeDocument/2006/relationships/header" Target="header1.xml"/><Relationship Id="rId10" Type="http://schemas.openxmlformats.org/officeDocument/2006/relationships/image" Target="media/image4.svg"/><Relationship Id="rId19" Type="http://schemas.openxmlformats.org/officeDocument/2006/relationships/package" Target="embeddings/Microsoft_Visio_Drawing1.vsdx"/><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ecd.org/tax/beps/pillar-two-GloBE-rules-fact-sheets.pdf" TargetMode="External"/><Relationship Id="rId2" Type="http://schemas.openxmlformats.org/officeDocument/2006/relationships/hyperlink" Target="https://www.oecd.org/tax/beps/pillar-two-GloBE-rules-fact-sheets.pdf" TargetMode="External"/><Relationship Id="rId1" Type="http://schemas.openxmlformats.org/officeDocument/2006/relationships/hyperlink" Target="https://www.oecd.org/tax/beps/tax-challenges-arising-from-the-digitalisation-of-the-economy-global-anti-base-erosion-model-rules-pillar-tw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24843</Words>
  <Characters>143099</Characters>
  <Application>Microsoft Office Word</Application>
  <DocSecurity>0</DocSecurity>
  <Lines>14309</Lines>
  <Paragraphs>11196</Paragraphs>
  <ScaleCrop>false</ScaleCrop>
  <HeadingPairs>
    <vt:vector size="2" baseType="variant">
      <vt:variant>
        <vt:lpstr>Title</vt:lpstr>
      </vt:variant>
      <vt:variant>
        <vt:i4>1</vt:i4>
      </vt:variant>
    </vt:vector>
  </HeadingPairs>
  <TitlesOfParts>
    <vt:vector size="1" baseType="lpstr">
      <vt:lpstr>OECD Pillar II: GloBE rules for New Zealand - an Official's issues paper (May 2022)</vt:lpstr>
    </vt:vector>
  </TitlesOfParts>
  <Company>Inland Revenue</Company>
  <LinksUpToDate>false</LinksUpToDate>
  <CharactersWithSpaces>156746</CharactersWithSpaces>
  <SharedDoc>false</SharedDoc>
  <HLinks>
    <vt:vector size="498" baseType="variant">
      <vt:variant>
        <vt:i4>1114175</vt:i4>
      </vt:variant>
      <vt:variant>
        <vt:i4>473</vt:i4>
      </vt:variant>
      <vt:variant>
        <vt:i4>0</vt:i4>
      </vt:variant>
      <vt:variant>
        <vt:i4>5</vt:i4>
      </vt:variant>
      <vt:variant>
        <vt:lpwstr/>
      </vt:variant>
      <vt:variant>
        <vt:lpwstr>_Toc101095634</vt:lpwstr>
      </vt:variant>
      <vt:variant>
        <vt:i4>1114175</vt:i4>
      </vt:variant>
      <vt:variant>
        <vt:i4>467</vt:i4>
      </vt:variant>
      <vt:variant>
        <vt:i4>0</vt:i4>
      </vt:variant>
      <vt:variant>
        <vt:i4>5</vt:i4>
      </vt:variant>
      <vt:variant>
        <vt:lpwstr/>
      </vt:variant>
      <vt:variant>
        <vt:lpwstr>_Toc101095633</vt:lpwstr>
      </vt:variant>
      <vt:variant>
        <vt:i4>1114175</vt:i4>
      </vt:variant>
      <vt:variant>
        <vt:i4>461</vt:i4>
      </vt:variant>
      <vt:variant>
        <vt:i4>0</vt:i4>
      </vt:variant>
      <vt:variant>
        <vt:i4>5</vt:i4>
      </vt:variant>
      <vt:variant>
        <vt:lpwstr/>
      </vt:variant>
      <vt:variant>
        <vt:lpwstr>_Toc101095632</vt:lpwstr>
      </vt:variant>
      <vt:variant>
        <vt:i4>1114175</vt:i4>
      </vt:variant>
      <vt:variant>
        <vt:i4>455</vt:i4>
      </vt:variant>
      <vt:variant>
        <vt:i4>0</vt:i4>
      </vt:variant>
      <vt:variant>
        <vt:i4>5</vt:i4>
      </vt:variant>
      <vt:variant>
        <vt:lpwstr/>
      </vt:variant>
      <vt:variant>
        <vt:lpwstr>_Toc101095631</vt:lpwstr>
      </vt:variant>
      <vt:variant>
        <vt:i4>1114175</vt:i4>
      </vt:variant>
      <vt:variant>
        <vt:i4>449</vt:i4>
      </vt:variant>
      <vt:variant>
        <vt:i4>0</vt:i4>
      </vt:variant>
      <vt:variant>
        <vt:i4>5</vt:i4>
      </vt:variant>
      <vt:variant>
        <vt:lpwstr/>
      </vt:variant>
      <vt:variant>
        <vt:lpwstr>_Toc101095630</vt:lpwstr>
      </vt:variant>
      <vt:variant>
        <vt:i4>1048639</vt:i4>
      </vt:variant>
      <vt:variant>
        <vt:i4>443</vt:i4>
      </vt:variant>
      <vt:variant>
        <vt:i4>0</vt:i4>
      </vt:variant>
      <vt:variant>
        <vt:i4>5</vt:i4>
      </vt:variant>
      <vt:variant>
        <vt:lpwstr/>
      </vt:variant>
      <vt:variant>
        <vt:lpwstr>_Toc101095629</vt:lpwstr>
      </vt:variant>
      <vt:variant>
        <vt:i4>1048639</vt:i4>
      </vt:variant>
      <vt:variant>
        <vt:i4>437</vt:i4>
      </vt:variant>
      <vt:variant>
        <vt:i4>0</vt:i4>
      </vt:variant>
      <vt:variant>
        <vt:i4>5</vt:i4>
      </vt:variant>
      <vt:variant>
        <vt:lpwstr/>
      </vt:variant>
      <vt:variant>
        <vt:lpwstr>_Toc101095628</vt:lpwstr>
      </vt:variant>
      <vt:variant>
        <vt:i4>1048639</vt:i4>
      </vt:variant>
      <vt:variant>
        <vt:i4>431</vt:i4>
      </vt:variant>
      <vt:variant>
        <vt:i4>0</vt:i4>
      </vt:variant>
      <vt:variant>
        <vt:i4>5</vt:i4>
      </vt:variant>
      <vt:variant>
        <vt:lpwstr/>
      </vt:variant>
      <vt:variant>
        <vt:lpwstr>_Toc101095627</vt:lpwstr>
      </vt:variant>
      <vt:variant>
        <vt:i4>1048639</vt:i4>
      </vt:variant>
      <vt:variant>
        <vt:i4>425</vt:i4>
      </vt:variant>
      <vt:variant>
        <vt:i4>0</vt:i4>
      </vt:variant>
      <vt:variant>
        <vt:i4>5</vt:i4>
      </vt:variant>
      <vt:variant>
        <vt:lpwstr/>
      </vt:variant>
      <vt:variant>
        <vt:lpwstr>_Toc101095626</vt:lpwstr>
      </vt:variant>
      <vt:variant>
        <vt:i4>1048639</vt:i4>
      </vt:variant>
      <vt:variant>
        <vt:i4>419</vt:i4>
      </vt:variant>
      <vt:variant>
        <vt:i4>0</vt:i4>
      </vt:variant>
      <vt:variant>
        <vt:i4>5</vt:i4>
      </vt:variant>
      <vt:variant>
        <vt:lpwstr/>
      </vt:variant>
      <vt:variant>
        <vt:lpwstr>_Toc101095625</vt:lpwstr>
      </vt:variant>
      <vt:variant>
        <vt:i4>1048639</vt:i4>
      </vt:variant>
      <vt:variant>
        <vt:i4>413</vt:i4>
      </vt:variant>
      <vt:variant>
        <vt:i4>0</vt:i4>
      </vt:variant>
      <vt:variant>
        <vt:i4>5</vt:i4>
      </vt:variant>
      <vt:variant>
        <vt:lpwstr/>
      </vt:variant>
      <vt:variant>
        <vt:lpwstr>_Toc101095624</vt:lpwstr>
      </vt:variant>
      <vt:variant>
        <vt:i4>1048639</vt:i4>
      </vt:variant>
      <vt:variant>
        <vt:i4>407</vt:i4>
      </vt:variant>
      <vt:variant>
        <vt:i4>0</vt:i4>
      </vt:variant>
      <vt:variant>
        <vt:i4>5</vt:i4>
      </vt:variant>
      <vt:variant>
        <vt:lpwstr/>
      </vt:variant>
      <vt:variant>
        <vt:lpwstr>_Toc101095623</vt:lpwstr>
      </vt:variant>
      <vt:variant>
        <vt:i4>1048639</vt:i4>
      </vt:variant>
      <vt:variant>
        <vt:i4>401</vt:i4>
      </vt:variant>
      <vt:variant>
        <vt:i4>0</vt:i4>
      </vt:variant>
      <vt:variant>
        <vt:i4>5</vt:i4>
      </vt:variant>
      <vt:variant>
        <vt:lpwstr/>
      </vt:variant>
      <vt:variant>
        <vt:lpwstr>_Toc101095622</vt:lpwstr>
      </vt:variant>
      <vt:variant>
        <vt:i4>1048639</vt:i4>
      </vt:variant>
      <vt:variant>
        <vt:i4>395</vt:i4>
      </vt:variant>
      <vt:variant>
        <vt:i4>0</vt:i4>
      </vt:variant>
      <vt:variant>
        <vt:i4>5</vt:i4>
      </vt:variant>
      <vt:variant>
        <vt:lpwstr/>
      </vt:variant>
      <vt:variant>
        <vt:lpwstr>_Toc101095621</vt:lpwstr>
      </vt:variant>
      <vt:variant>
        <vt:i4>1048639</vt:i4>
      </vt:variant>
      <vt:variant>
        <vt:i4>389</vt:i4>
      </vt:variant>
      <vt:variant>
        <vt:i4>0</vt:i4>
      </vt:variant>
      <vt:variant>
        <vt:i4>5</vt:i4>
      </vt:variant>
      <vt:variant>
        <vt:lpwstr/>
      </vt:variant>
      <vt:variant>
        <vt:lpwstr>_Toc101095620</vt:lpwstr>
      </vt:variant>
      <vt:variant>
        <vt:i4>1245247</vt:i4>
      </vt:variant>
      <vt:variant>
        <vt:i4>383</vt:i4>
      </vt:variant>
      <vt:variant>
        <vt:i4>0</vt:i4>
      </vt:variant>
      <vt:variant>
        <vt:i4>5</vt:i4>
      </vt:variant>
      <vt:variant>
        <vt:lpwstr/>
      </vt:variant>
      <vt:variant>
        <vt:lpwstr>_Toc101095619</vt:lpwstr>
      </vt:variant>
      <vt:variant>
        <vt:i4>1245247</vt:i4>
      </vt:variant>
      <vt:variant>
        <vt:i4>377</vt:i4>
      </vt:variant>
      <vt:variant>
        <vt:i4>0</vt:i4>
      </vt:variant>
      <vt:variant>
        <vt:i4>5</vt:i4>
      </vt:variant>
      <vt:variant>
        <vt:lpwstr/>
      </vt:variant>
      <vt:variant>
        <vt:lpwstr>_Toc101095618</vt:lpwstr>
      </vt:variant>
      <vt:variant>
        <vt:i4>1245247</vt:i4>
      </vt:variant>
      <vt:variant>
        <vt:i4>371</vt:i4>
      </vt:variant>
      <vt:variant>
        <vt:i4>0</vt:i4>
      </vt:variant>
      <vt:variant>
        <vt:i4>5</vt:i4>
      </vt:variant>
      <vt:variant>
        <vt:lpwstr/>
      </vt:variant>
      <vt:variant>
        <vt:lpwstr>_Toc101095617</vt:lpwstr>
      </vt:variant>
      <vt:variant>
        <vt:i4>1245247</vt:i4>
      </vt:variant>
      <vt:variant>
        <vt:i4>365</vt:i4>
      </vt:variant>
      <vt:variant>
        <vt:i4>0</vt:i4>
      </vt:variant>
      <vt:variant>
        <vt:i4>5</vt:i4>
      </vt:variant>
      <vt:variant>
        <vt:lpwstr/>
      </vt:variant>
      <vt:variant>
        <vt:lpwstr>_Toc101095616</vt:lpwstr>
      </vt:variant>
      <vt:variant>
        <vt:i4>1245247</vt:i4>
      </vt:variant>
      <vt:variant>
        <vt:i4>359</vt:i4>
      </vt:variant>
      <vt:variant>
        <vt:i4>0</vt:i4>
      </vt:variant>
      <vt:variant>
        <vt:i4>5</vt:i4>
      </vt:variant>
      <vt:variant>
        <vt:lpwstr/>
      </vt:variant>
      <vt:variant>
        <vt:lpwstr>_Toc101095615</vt:lpwstr>
      </vt:variant>
      <vt:variant>
        <vt:i4>1245247</vt:i4>
      </vt:variant>
      <vt:variant>
        <vt:i4>353</vt:i4>
      </vt:variant>
      <vt:variant>
        <vt:i4>0</vt:i4>
      </vt:variant>
      <vt:variant>
        <vt:i4>5</vt:i4>
      </vt:variant>
      <vt:variant>
        <vt:lpwstr/>
      </vt:variant>
      <vt:variant>
        <vt:lpwstr>_Toc101095614</vt:lpwstr>
      </vt:variant>
      <vt:variant>
        <vt:i4>1245247</vt:i4>
      </vt:variant>
      <vt:variant>
        <vt:i4>347</vt:i4>
      </vt:variant>
      <vt:variant>
        <vt:i4>0</vt:i4>
      </vt:variant>
      <vt:variant>
        <vt:i4>5</vt:i4>
      </vt:variant>
      <vt:variant>
        <vt:lpwstr/>
      </vt:variant>
      <vt:variant>
        <vt:lpwstr>_Toc101095613</vt:lpwstr>
      </vt:variant>
      <vt:variant>
        <vt:i4>1245247</vt:i4>
      </vt:variant>
      <vt:variant>
        <vt:i4>341</vt:i4>
      </vt:variant>
      <vt:variant>
        <vt:i4>0</vt:i4>
      </vt:variant>
      <vt:variant>
        <vt:i4>5</vt:i4>
      </vt:variant>
      <vt:variant>
        <vt:lpwstr/>
      </vt:variant>
      <vt:variant>
        <vt:lpwstr>_Toc101095612</vt:lpwstr>
      </vt:variant>
      <vt:variant>
        <vt:i4>1245247</vt:i4>
      </vt:variant>
      <vt:variant>
        <vt:i4>335</vt:i4>
      </vt:variant>
      <vt:variant>
        <vt:i4>0</vt:i4>
      </vt:variant>
      <vt:variant>
        <vt:i4>5</vt:i4>
      </vt:variant>
      <vt:variant>
        <vt:lpwstr/>
      </vt:variant>
      <vt:variant>
        <vt:lpwstr>_Toc101095611</vt:lpwstr>
      </vt:variant>
      <vt:variant>
        <vt:i4>1245247</vt:i4>
      </vt:variant>
      <vt:variant>
        <vt:i4>329</vt:i4>
      </vt:variant>
      <vt:variant>
        <vt:i4>0</vt:i4>
      </vt:variant>
      <vt:variant>
        <vt:i4>5</vt:i4>
      </vt:variant>
      <vt:variant>
        <vt:lpwstr/>
      </vt:variant>
      <vt:variant>
        <vt:lpwstr>_Toc101095610</vt:lpwstr>
      </vt:variant>
      <vt:variant>
        <vt:i4>1179711</vt:i4>
      </vt:variant>
      <vt:variant>
        <vt:i4>323</vt:i4>
      </vt:variant>
      <vt:variant>
        <vt:i4>0</vt:i4>
      </vt:variant>
      <vt:variant>
        <vt:i4>5</vt:i4>
      </vt:variant>
      <vt:variant>
        <vt:lpwstr/>
      </vt:variant>
      <vt:variant>
        <vt:lpwstr>_Toc101095609</vt:lpwstr>
      </vt:variant>
      <vt:variant>
        <vt:i4>1179711</vt:i4>
      </vt:variant>
      <vt:variant>
        <vt:i4>317</vt:i4>
      </vt:variant>
      <vt:variant>
        <vt:i4>0</vt:i4>
      </vt:variant>
      <vt:variant>
        <vt:i4>5</vt:i4>
      </vt:variant>
      <vt:variant>
        <vt:lpwstr/>
      </vt:variant>
      <vt:variant>
        <vt:lpwstr>_Toc101095608</vt:lpwstr>
      </vt:variant>
      <vt:variant>
        <vt:i4>1179711</vt:i4>
      </vt:variant>
      <vt:variant>
        <vt:i4>311</vt:i4>
      </vt:variant>
      <vt:variant>
        <vt:i4>0</vt:i4>
      </vt:variant>
      <vt:variant>
        <vt:i4>5</vt:i4>
      </vt:variant>
      <vt:variant>
        <vt:lpwstr/>
      </vt:variant>
      <vt:variant>
        <vt:lpwstr>_Toc101095607</vt:lpwstr>
      </vt:variant>
      <vt:variant>
        <vt:i4>1179711</vt:i4>
      </vt:variant>
      <vt:variant>
        <vt:i4>305</vt:i4>
      </vt:variant>
      <vt:variant>
        <vt:i4>0</vt:i4>
      </vt:variant>
      <vt:variant>
        <vt:i4>5</vt:i4>
      </vt:variant>
      <vt:variant>
        <vt:lpwstr/>
      </vt:variant>
      <vt:variant>
        <vt:lpwstr>_Toc101095606</vt:lpwstr>
      </vt:variant>
      <vt:variant>
        <vt:i4>1179711</vt:i4>
      </vt:variant>
      <vt:variant>
        <vt:i4>299</vt:i4>
      </vt:variant>
      <vt:variant>
        <vt:i4>0</vt:i4>
      </vt:variant>
      <vt:variant>
        <vt:i4>5</vt:i4>
      </vt:variant>
      <vt:variant>
        <vt:lpwstr/>
      </vt:variant>
      <vt:variant>
        <vt:lpwstr>_Toc101095605</vt:lpwstr>
      </vt:variant>
      <vt:variant>
        <vt:i4>1179711</vt:i4>
      </vt:variant>
      <vt:variant>
        <vt:i4>293</vt:i4>
      </vt:variant>
      <vt:variant>
        <vt:i4>0</vt:i4>
      </vt:variant>
      <vt:variant>
        <vt:i4>5</vt:i4>
      </vt:variant>
      <vt:variant>
        <vt:lpwstr/>
      </vt:variant>
      <vt:variant>
        <vt:lpwstr>_Toc101095604</vt:lpwstr>
      </vt:variant>
      <vt:variant>
        <vt:i4>1179711</vt:i4>
      </vt:variant>
      <vt:variant>
        <vt:i4>287</vt:i4>
      </vt:variant>
      <vt:variant>
        <vt:i4>0</vt:i4>
      </vt:variant>
      <vt:variant>
        <vt:i4>5</vt:i4>
      </vt:variant>
      <vt:variant>
        <vt:lpwstr/>
      </vt:variant>
      <vt:variant>
        <vt:lpwstr>_Toc101095603</vt:lpwstr>
      </vt:variant>
      <vt:variant>
        <vt:i4>1179711</vt:i4>
      </vt:variant>
      <vt:variant>
        <vt:i4>281</vt:i4>
      </vt:variant>
      <vt:variant>
        <vt:i4>0</vt:i4>
      </vt:variant>
      <vt:variant>
        <vt:i4>5</vt:i4>
      </vt:variant>
      <vt:variant>
        <vt:lpwstr/>
      </vt:variant>
      <vt:variant>
        <vt:lpwstr>_Toc101095602</vt:lpwstr>
      </vt:variant>
      <vt:variant>
        <vt:i4>1179711</vt:i4>
      </vt:variant>
      <vt:variant>
        <vt:i4>275</vt:i4>
      </vt:variant>
      <vt:variant>
        <vt:i4>0</vt:i4>
      </vt:variant>
      <vt:variant>
        <vt:i4>5</vt:i4>
      </vt:variant>
      <vt:variant>
        <vt:lpwstr/>
      </vt:variant>
      <vt:variant>
        <vt:lpwstr>_Toc101095601</vt:lpwstr>
      </vt:variant>
      <vt:variant>
        <vt:i4>1179711</vt:i4>
      </vt:variant>
      <vt:variant>
        <vt:i4>269</vt:i4>
      </vt:variant>
      <vt:variant>
        <vt:i4>0</vt:i4>
      </vt:variant>
      <vt:variant>
        <vt:i4>5</vt:i4>
      </vt:variant>
      <vt:variant>
        <vt:lpwstr/>
      </vt:variant>
      <vt:variant>
        <vt:lpwstr>_Toc101095600</vt:lpwstr>
      </vt:variant>
      <vt:variant>
        <vt:i4>1769532</vt:i4>
      </vt:variant>
      <vt:variant>
        <vt:i4>263</vt:i4>
      </vt:variant>
      <vt:variant>
        <vt:i4>0</vt:i4>
      </vt:variant>
      <vt:variant>
        <vt:i4>5</vt:i4>
      </vt:variant>
      <vt:variant>
        <vt:lpwstr/>
      </vt:variant>
      <vt:variant>
        <vt:lpwstr>_Toc101095599</vt:lpwstr>
      </vt:variant>
      <vt:variant>
        <vt:i4>1769532</vt:i4>
      </vt:variant>
      <vt:variant>
        <vt:i4>257</vt:i4>
      </vt:variant>
      <vt:variant>
        <vt:i4>0</vt:i4>
      </vt:variant>
      <vt:variant>
        <vt:i4>5</vt:i4>
      </vt:variant>
      <vt:variant>
        <vt:lpwstr/>
      </vt:variant>
      <vt:variant>
        <vt:lpwstr>_Toc101095598</vt:lpwstr>
      </vt:variant>
      <vt:variant>
        <vt:i4>1769532</vt:i4>
      </vt:variant>
      <vt:variant>
        <vt:i4>251</vt:i4>
      </vt:variant>
      <vt:variant>
        <vt:i4>0</vt:i4>
      </vt:variant>
      <vt:variant>
        <vt:i4>5</vt:i4>
      </vt:variant>
      <vt:variant>
        <vt:lpwstr/>
      </vt:variant>
      <vt:variant>
        <vt:lpwstr>_Toc101095597</vt:lpwstr>
      </vt:variant>
      <vt:variant>
        <vt:i4>1769532</vt:i4>
      </vt:variant>
      <vt:variant>
        <vt:i4>245</vt:i4>
      </vt:variant>
      <vt:variant>
        <vt:i4>0</vt:i4>
      </vt:variant>
      <vt:variant>
        <vt:i4>5</vt:i4>
      </vt:variant>
      <vt:variant>
        <vt:lpwstr/>
      </vt:variant>
      <vt:variant>
        <vt:lpwstr>_Toc101095596</vt:lpwstr>
      </vt:variant>
      <vt:variant>
        <vt:i4>1769532</vt:i4>
      </vt:variant>
      <vt:variant>
        <vt:i4>239</vt:i4>
      </vt:variant>
      <vt:variant>
        <vt:i4>0</vt:i4>
      </vt:variant>
      <vt:variant>
        <vt:i4>5</vt:i4>
      </vt:variant>
      <vt:variant>
        <vt:lpwstr/>
      </vt:variant>
      <vt:variant>
        <vt:lpwstr>_Toc101095595</vt:lpwstr>
      </vt:variant>
      <vt:variant>
        <vt:i4>1769532</vt:i4>
      </vt:variant>
      <vt:variant>
        <vt:i4>233</vt:i4>
      </vt:variant>
      <vt:variant>
        <vt:i4>0</vt:i4>
      </vt:variant>
      <vt:variant>
        <vt:i4>5</vt:i4>
      </vt:variant>
      <vt:variant>
        <vt:lpwstr/>
      </vt:variant>
      <vt:variant>
        <vt:lpwstr>_Toc101095594</vt:lpwstr>
      </vt:variant>
      <vt:variant>
        <vt:i4>1769532</vt:i4>
      </vt:variant>
      <vt:variant>
        <vt:i4>227</vt:i4>
      </vt:variant>
      <vt:variant>
        <vt:i4>0</vt:i4>
      </vt:variant>
      <vt:variant>
        <vt:i4>5</vt:i4>
      </vt:variant>
      <vt:variant>
        <vt:lpwstr/>
      </vt:variant>
      <vt:variant>
        <vt:lpwstr>_Toc101095593</vt:lpwstr>
      </vt:variant>
      <vt:variant>
        <vt:i4>1769532</vt:i4>
      </vt:variant>
      <vt:variant>
        <vt:i4>221</vt:i4>
      </vt:variant>
      <vt:variant>
        <vt:i4>0</vt:i4>
      </vt:variant>
      <vt:variant>
        <vt:i4>5</vt:i4>
      </vt:variant>
      <vt:variant>
        <vt:lpwstr/>
      </vt:variant>
      <vt:variant>
        <vt:lpwstr>_Toc101095592</vt:lpwstr>
      </vt:variant>
      <vt:variant>
        <vt:i4>1769532</vt:i4>
      </vt:variant>
      <vt:variant>
        <vt:i4>215</vt:i4>
      </vt:variant>
      <vt:variant>
        <vt:i4>0</vt:i4>
      </vt:variant>
      <vt:variant>
        <vt:i4>5</vt:i4>
      </vt:variant>
      <vt:variant>
        <vt:lpwstr/>
      </vt:variant>
      <vt:variant>
        <vt:lpwstr>_Toc101095591</vt:lpwstr>
      </vt:variant>
      <vt:variant>
        <vt:i4>1769532</vt:i4>
      </vt:variant>
      <vt:variant>
        <vt:i4>209</vt:i4>
      </vt:variant>
      <vt:variant>
        <vt:i4>0</vt:i4>
      </vt:variant>
      <vt:variant>
        <vt:i4>5</vt:i4>
      </vt:variant>
      <vt:variant>
        <vt:lpwstr/>
      </vt:variant>
      <vt:variant>
        <vt:lpwstr>_Toc101095590</vt:lpwstr>
      </vt:variant>
      <vt:variant>
        <vt:i4>1703996</vt:i4>
      </vt:variant>
      <vt:variant>
        <vt:i4>203</vt:i4>
      </vt:variant>
      <vt:variant>
        <vt:i4>0</vt:i4>
      </vt:variant>
      <vt:variant>
        <vt:i4>5</vt:i4>
      </vt:variant>
      <vt:variant>
        <vt:lpwstr/>
      </vt:variant>
      <vt:variant>
        <vt:lpwstr>_Toc101095589</vt:lpwstr>
      </vt:variant>
      <vt:variant>
        <vt:i4>1703996</vt:i4>
      </vt:variant>
      <vt:variant>
        <vt:i4>197</vt:i4>
      </vt:variant>
      <vt:variant>
        <vt:i4>0</vt:i4>
      </vt:variant>
      <vt:variant>
        <vt:i4>5</vt:i4>
      </vt:variant>
      <vt:variant>
        <vt:lpwstr/>
      </vt:variant>
      <vt:variant>
        <vt:lpwstr>_Toc101095588</vt:lpwstr>
      </vt:variant>
      <vt:variant>
        <vt:i4>1703996</vt:i4>
      </vt:variant>
      <vt:variant>
        <vt:i4>191</vt:i4>
      </vt:variant>
      <vt:variant>
        <vt:i4>0</vt:i4>
      </vt:variant>
      <vt:variant>
        <vt:i4>5</vt:i4>
      </vt:variant>
      <vt:variant>
        <vt:lpwstr/>
      </vt:variant>
      <vt:variant>
        <vt:lpwstr>_Toc101095587</vt:lpwstr>
      </vt:variant>
      <vt:variant>
        <vt:i4>1703996</vt:i4>
      </vt:variant>
      <vt:variant>
        <vt:i4>185</vt:i4>
      </vt:variant>
      <vt:variant>
        <vt:i4>0</vt:i4>
      </vt:variant>
      <vt:variant>
        <vt:i4>5</vt:i4>
      </vt:variant>
      <vt:variant>
        <vt:lpwstr/>
      </vt:variant>
      <vt:variant>
        <vt:lpwstr>_Toc101095586</vt:lpwstr>
      </vt:variant>
      <vt:variant>
        <vt:i4>1703996</vt:i4>
      </vt:variant>
      <vt:variant>
        <vt:i4>179</vt:i4>
      </vt:variant>
      <vt:variant>
        <vt:i4>0</vt:i4>
      </vt:variant>
      <vt:variant>
        <vt:i4>5</vt:i4>
      </vt:variant>
      <vt:variant>
        <vt:lpwstr/>
      </vt:variant>
      <vt:variant>
        <vt:lpwstr>_Toc101095585</vt:lpwstr>
      </vt:variant>
      <vt:variant>
        <vt:i4>1703996</vt:i4>
      </vt:variant>
      <vt:variant>
        <vt:i4>173</vt:i4>
      </vt:variant>
      <vt:variant>
        <vt:i4>0</vt:i4>
      </vt:variant>
      <vt:variant>
        <vt:i4>5</vt:i4>
      </vt:variant>
      <vt:variant>
        <vt:lpwstr/>
      </vt:variant>
      <vt:variant>
        <vt:lpwstr>_Toc101095584</vt:lpwstr>
      </vt:variant>
      <vt:variant>
        <vt:i4>1703996</vt:i4>
      </vt:variant>
      <vt:variant>
        <vt:i4>167</vt:i4>
      </vt:variant>
      <vt:variant>
        <vt:i4>0</vt:i4>
      </vt:variant>
      <vt:variant>
        <vt:i4>5</vt:i4>
      </vt:variant>
      <vt:variant>
        <vt:lpwstr/>
      </vt:variant>
      <vt:variant>
        <vt:lpwstr>_Toc101095583</vt:lpwstr>
      </vt:variant>
      <vt:variant>
        <vt:i4>1703996</vt:i4>
      </vt:variant>
      <vt:variant>
        <vt:i4>161</vt:i4>
      </vt:variant>
      <vt:variant>
        <vt:i4>0</vt:i4>
      </vt:variant>
      <vt:variant>
        <vt:i4>5</vt:i4>
      </vt:variant>
      <vt:variant>
        <vt:lpwstr/>
      </vt:variant>
      <vt:variant>
        <vt:lpwstr>_Toc101095582</vt:lpwstr>
      </vt:variant>
      <vt:variant>
        <vt:i4>1703996</vt:i4>
      </vt:variant>
      <vt:variant>
        <vt:i4>155</vt:i4>
      </vt:variant>
      <vt:variant>
        <vt:i4>0</vt:i4>
      </vt:variant>
      <vt:variant>
        <vt:i4>5</vt:i4>
      </vt:variant>
      <vt:variant>
        <vt:lpwstr/>
      </vt:variant>
      <vt:variant>
        <vt:lpwstr>_Toc101095581</vt:lpwstr>
      </vt:variant>
      <vt:variant>
        <vt:i4>1703996</vt:i4>
      </vt:variant>
      <vt:variant>
        <vt:i4>149</vt:i4>
      </vt:variant>
      <vt:variant>
        <vt:i4>0</vt:i4>
      </vt:variant>
      <vt:variant>
        <vt:i4>5</vt:i4>
      </vt:variant>
      <vt:variant>
        <vt:lpwstr/>
      </vt:variant>
      <vt:variant>
        <vt:lpwstr>_Toc101095580</vt:lpwstr>
      </vt:variant>
      <vt:variant>
        <vt:i4>1376316</vt:i4>
      </vt:variant>
      <vt:variant>
        <vt:i4>143</vt:i4>
      </vt:variant>
      <vt:variant>
        <vt:i4>0</vt:i4>
      </vt:variant>
      <vt:variant>
        <vt:i4>5</vt:i4>
      </vt:variant>
      <vt:variant>
        <vt:lpwstr/>
      </vt:variant>
      <vt:variant>
        <vt:lpwstr>_Toc101095579</vt:lpwstr>
      </vt:variant>
      <vt:variant>
        <vt:i4>1376316</vt:i4>
      </vt:variant>
      <vt:variant>
        <vt:i4>137</vt:i4>
      </vt:variant>
      <vt:variant>
        <vt:i4>0</vt:i4>
      </vt:variant>
      <vt:variant>
        <vt:i4>5</vt:i4>
      </vt:variant>
      <vt:variant>
        <vt:lpwstr/>
      </vt:variant>
      <vt:variant>
        <vt:lpwstr>_Toc101095578</vt:lpwstr>
      </vt:variant>
      <vt:variant>
        <vt:i4>1376316</vt:i4>
      </vt:variant>
      <vt:variant>
        <vt:i4>131</vt:i4>
      </vt:variant>
      <vt:variant>
        <vt:i4>0</vt:i4>
      </vt:variant>
      <vt:variant>
        <vt:i4>5</vt:i4>
      </vt:variant>
      <vt:variant>
        <vt:lpwstr/>
      </vt:variant>
      <vt:variant>
        <vt:lpwstr>_Toc101095577</vt:lpwstr>
      </vt:variant>
      <vt:variant>
        <vt:i4>1376316</vt:i4>
      </vt:variant>
      <vt:variant>
        <vt:i4>125</vt:i4>
      </vt:variant>
      <vt:variant>
        <vt:i4>0</vt:i4>
      </vt:variant>
      <vt:variant>
        <vt:i4>5</vt:i4>
      </vt:variant>
      <vt:variant>
        <vt:lpwstr/>
      </vt:variant>
      <vt:variant>
        <vt:lpwstr>_Toc101095576</vt:lpwstr>
      </vt:variant>
      <vt:variant>
        <vt:i4>1376316</vt:i4>
      </vt:variant>
      <vt:variant>
        <vt:i4>119</vt:i4>
      </vt:variant>
      <vt:variant>
        <vt:i4>0</vt:i4>
      </vt:variant>
      <vt:variant>
        <vt:i4>5</vt:i4>
      </vt:variant>
      <vt:variant>
        <vt:lpwstr/>
      </vt:variant>
      <vt:variant>
        <vt:lpwstr>_Toc101095575</vt:lpwstr>
      </vt:variant>
      <vt:variant>
        <vt:i4>1376316</vt:i4>
      </vt:variant>
      <vt:variant>
        <vt:i4>113</vt:i4>
      </vt:variant>
      <vt:variant>
        <vt:i4>0</vt:i4>
      </vt:variant>
      <vt:variant>
        <vt:i4>5</vt:i4>
      </vt:variant>
      <vt:variant>
        <vt:lpwstr/>
      </vt:variant>
      <vt:variant>
        <vt:lpwstr>_Toc101095574</vt:lpwstr>
      </vt:variant>
      <vt:variant>
        <vt:i4>1376316</vt:i4>
      </vt:variant>
      <vt:variant>
        <vt:i4>107</vt:i4>
      </vt:variant>
      <vt:variant>
        <vt:i4>0</vt:i4>
      </vt:variant>
      <vt:variant>
        <vt:i4>5</vt:i4>
      </vt:variant>
      <vt:variant>
        <vt:lpwstr/>
      </vt:variant>
      <vt:variant>
        <vt:lpwstr>_Toc101095573</vt:lpwstr>
      </vt:variant>
      <vt:variant>
        <vt:i4>1376316</vt:i4>
      </vt:variant>
      <vt:variant>
        <vt:i4>101</vt:i4>
      </vt:variant>
      <vt:variant>
        <vt:i4>0</vt:i4>
      </vt:variant>
      <vt:variant>
        <vt:i4>5</vt:i4>
      </vt:variant>
      <vt:variant>
        <vt:lpwstr/>
      </vt:variant>
      <vt:variant>
        <vt:lpwstr>_Toc101095572</vt:lpwstr>
      </vt:variant>
      <vt:variant>
        <vt:i4>1376316</vt:i4>
      </vt:variant>
      <vt:variant>
        <vt:i4>95</vt:i4>
      </vt:variant>
      <vt:variant>
        <vt:i4>0</vt:i4>
      </vt:variant>
      <vt:variant>
        <vt:i4>5</vt:i4>
      </vt:variant>
      <vt:variant>
        <vt:lpwstr/>
      </vt:variant>
      <vt:variant>
        <vt:lpwstr>_Toc101095571</vt:lpwstr>
      </vt:variant>
      <vt:variant>
        <vt:i4>1376316</vt:i4>
      </vt:variant>
      <vt:variant>
        <vt:i4>89</vt:i4>
      </vt:variant>
      <vt:variant>
        <vt:i4>0</vt:i4>
      </vt:variant>
      <vt:variant>
        <vt:i4>5</vt:i4>
      </vt:variant>
      <vt:variant>
        <vt:lpwstr/>
      </vt:variant>
      <vt:variant>
        <vt:lpwstr>_Toc101095570</vt:lpwstr>
      </vt:variant>
      <vt:variant>
        <vt:i4>1310780</vt:i4>
      </vt:variant>
      <vt:variant>
        <vt:i4>83</vt:i4>
      </vt:variant>
      <vt:variant>
        <vt:i4>0</vt:i4>
      </vt:variant>
      <vt:variant>
        <vt:i4>5</vt:i4>
      </vt:variant>
      <vt:variant>
        <vt:lpwstr/>
      </vt:variant>
      <vt:variant>
        <vt:lpwstr>_Toc101095569</vt:lpwstr>
      </vt:variant>
      <vt:variant>
        <vt:i4>1310780</vt:i4>
      </vt:variant>
      <vt:variant>
        <vt:i4>77</vt:i4>
      </vt:variant>
      <vt:variant>
        <vt:i4>0</vt:i4>
      </vt:variant>
      <vt:variant>
        <vt:i4>5</vt:i4>
      </vt:variant>
      <vt:variant>
        <vt:lpwstr/>
      </vt:variant>
      <vt:variant>
        <vt:lpwstr>_Toc101095568</vt:lpwstr>
      </vt:variant>
      <vt:variant>
        <vt:i4>1310780</vt:i4>
      </vt:variant>
      <vt:variant>
        <vt:i4>71</vt:i4>
      </vt:variant>
      <vt:variant>
        <vt:i4>0</vt:i4>
      </vt:variant>
      <vt:variant>
        <vt:i4>5</vt:i4>
      </vt:variant>
      <vt:variant>
        <vt:lpwstr/>
      </vt:variant>
      <vt:variant>
        <vt:lpwstr>_Toc101095567</vt:lpwstr>
      </vt:variant>
      <vt:variant>
        <vt:i4>1310780</vt:i4>
      </vt:variant>
      <vt:variant>
        <vt:i4>65</vt:i4>
      </vt:variant>
      <vt:variant>
        <vt:i4>0</vt:i4>
      </vt:variant>
      <vt:variant>
        <vt:i4>5</vt:i4>
      </vt:variant>
      <vt:variant>
        <vt:lpwstr/>
      </vt:variant>
      <vt:variant>
        <vt:lpwstr>_Toc101095566</vt:lpwstr>
      </vt:variant>
      <vt:variant>
        <vt:i4>1310780</vt:i4>
      </vt:variant>
      <vt:variant>
        <vt:i4>59</vt:i4>
      </vt:variant>
      <vt:variant>
        <vt:i4>0</vt:i4>
      </vt:variant>
      <vt:variant>
        <vt:i4>5</vt:i4>
      </vt:variant>
      <vt:variant>
        <vt:lpwstr/>
      </vt:variant>
      <vt:variant>
        <vt:lpwstr>_Toc101095565</vt:lpwstr>
      </vt:variant>
      <vt:variant>
        <vt:i4>1310780</vt:i4>
      </vt:variant>
      <vt:variant>
        <vt:i4>53</vt:i4>
      </vt:variant>
      <vt:variant>
        <vt:i4>0</vt:i4>
      </vt:variant>
      <vt:variant>
        <vt:i4>5</vt:i4>
      </vt:variant>
      <vt:variant>
        <vt:lpwstr/>
      </vt:variant>
      <vt:variant>
        <vt:lpwstr>_Toc101095564</vt:lpwstr>
      </vt:variant>
      <vt:variant>
        <vt:i4>1310780</vt:i4>
      </vt:variant>
      <vt:variant>
        <vt:i4>47</vt:i4>
      </vt:variant>
      <vt:variant>
        <vt:i4>0</vt:i4>
      </vt:variant>
      <vt:variant>
        <vt:i4>5</vt:i4>
      </vt:variant>
      <vt:variant>
        <vt:lpwstr/>
      </vt:variant>
      <vt:variant>
        <vt:lpwstr>_Toc101095563</vt:lpwstr>
      </vt:variant>
      <vt:variant>
        <vt:i4>1310780</vt:i4>
      </vt:variant>
      <vt:variant>
        <vt:i4>41</vt:i4>
      </vt:variant>
      <vt:variant>
        <vt:i4>0</vt:i4>
      </vt:variant>
      <vt:variant>
        <vt:i4>5</vt:i4>
      </vt:variant>
      <vt:variant>
        <vt:lpwstr/>
      </vt:variant>
      <vt:variant>
        <vt:lpwstr>_Toc101095562</vt:lpwstr>
      </vt:variant>
      <vt:variant>
        <vt:i4>1310780</vt:i4>
      </vt:variant>
      <vt:variant>
        <vt:i4>35</vt:i4>
      </vt:variant>
      <vt:variant>
        <vt:i4>0</vt:i4>
      </vt:variant>
      <vt:variant>
        <vt:i4>5</vt:i4>
      </vt:variant>
      <vt:variant>
        <vt:lpwstr/>
      </vt:variant>
      <vt:variant>
        <vt:lpwstr>_Toc101095561</vt:lpwstr>
      </vt:variant>
      <vt:variant>
        <vt:i4>1310780</vt:i4>
      </vt:variant>
      <vt:variant>
        <vt:i4>29</vt:i4>
      </vt:variant>
      <vt:variant>
        <vt:i4>0</vt:i4>
      </vt:variant>
      <vt:variant>
        <vt:i4>5</vt:i4>
      </vt:variant>
      <vt:variant>
        <vt:lpwstr/>
      </vt:variant>
      <vt:variant>
        <vt:lpwstr>_Toc101095560</vt:lpwstr>
      </vt:variant>
      <vt:variant>
        <vt:i4>1507388</vt:i4>
      </vt:variant>
      <vt:variant>
        <vt:i4>23</vt:i4>
      </vt:variant>
      <vt:variant>
        <vt:i4>0</vt:i4>
      </vt:variant>
      <vt:variant>
        <vt:i4>5</vt:i4>
      </vt:variant>
      <vt:variant>
        <vt:lpwstr/>
      </vt:variant>
      <vt:variant>
        <vt:lpwstr>_Toc101095559</vt:lpwstr>
      </vt:variant>
      <vt:variant>
        <vt:i4>1507388</vt:i4>
      </vt:variant>
      <vt:variant>
        <vt:i4>17</vt:i4>
      </vt:variant>
      <vt:variant>
        <vt:i4>0</vt:i4>
      </vt:variant>
      <vt:variant>
        <vt:i4>5</vt:i4>
      </vt:variant>
      <vt:variant>
        <vt:lpwstr/>
      </vt:variant>
      <vt:variant>
        <vt:lpwstr>_Toc101095558</vt:lpwstr>
      </vt:variant>
      <vt:variant>
        <vt:i4>1507388</vt:i4>
      </vt:variant>
      <vt:variant>
        <vt:i4>11</vt:i4>
      </vt:variant>
      <vt:variant>
        <vt:i4>0</vt:i4>
      </vt:variant>
      <vt:variant>
        <vt:i4>5</vt:i4>
      </vt:variant>
      <vt:variant>
        <vt:lpwstr/>
      </vt:variant>
      <vt:variant>
        <vt:lpwstr>_Toc101095557</vt:lpwstr>
      </vt:variant>
      <vt:variant>
        <vt:i4>1507388</vt:i4>
      </vt:variant>
      <vt:variant>
        <vt:i4>5</vt:i4>
      </vt:variant>
      <vt:variant>
        <vt:i4>0</vt:i4>
      </vt:variant>
      <vt:variant>
        <vt:i4>5</vt:i4>
      </vt:variant>
      <vt:variant>
        <vt:lpwstr/>
      </vt:variant>
      <vt:variant>
        <vt:lpwstr>_Toc101095556</vt:lpwstr>
      </vt:variant>
      <vt:variant>
        <vt:i4>4456457</vt:i4>
      </vt:variant>
      <vt:variant>
        <vt:i4>0</vt:i4>
      </vt:variant>
      <vt:variant>
        <vt:i4>0</vt:i4>
      </vt:variant>
      <vt:variant>
        <vt:i4>5</vt:i4>
      </vt:variant>
      <vt:variant>
        <vt:lpwstr>https://taxpolicy.ird.govt.nz/publications/2022/2022-ip-oecd-pilllar-two</vt:lpwstr>
      </vt:variant>
      <vt:variant>
        <vt:lpwstr/>
      </vt:variant>
      <vt:variant>
        <vt:i4>6029390</vt:i4>
      </vt:variant>
      <vt:variant>
        <vt:i4>6</vt:i4>
      </vt:variant>
      <vt:variant>
        <vt:i4>0</vt:i4>
      </vt:variant>
      <vt:variant>
        <vt:i4>5</vt:i4>
      </vt:variant>
      <vt:variant>
        <vt:lpwstr>https://www.oecd.org/tax/beps/pillar-two-GloBE-rules-fact-sheets.pdf</vt:lpwstr>
      </vt:variant>
      <vt:variant>
        <vt:lpwstr/>
      </vt:variant>
      <vt:variant>
        <vt:i4>6029390</vt:i4>
      </vt:variant>
      <vt:variant>
        <vt:i4>3</vt:i4>
      </vt:variant>
      <vt:variant>
        <vt:i4>0</vt:i4>
      </vt:variant>
      <vt:variant>
        <vt:i4>5</vt:i4>
      </vt:variant>
      <vt:variant>
        <vt:lpwstr>https://www.oecd.org/tax/beps/pillar-two-GloBE-rules-fact-sheets.pdf</vt:lpwstr>
      </vt:variant>
      <vt:variant>
        <vt:lpwstr/>
      </vt:variant>
      <vt:variant>
        <vt:i4>2883704</vt:i4>
      </vt:variant>
      <vt:variant>
        <vt:i4>0</vt:i4>
      </vt:variant>
      <vt:variant>
        <vt:i4>0</vt:i4>
      </vt:variant>
      <vt:variant>
        <vt:i4>5</vt:i4>
      </vt:variant>
      <vt:variant>
        <vt:lpwstr>https://www.oecd.org/tax/beps/tax-challenges-arising-from-the-digitalisation-of-the-economy-global-anti-base-erosion-model-rules-pillar-two.htm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OECD Pillar II: GloBE rules for New Zealand - an Official's issues paper (May 2022)</dc:title>
  <dc:subject/>
  <dc:creator>Policy and Regulatory Stewardship</dc:creator>
  <cp:keywords/>
  <dc:description/>
  <cp:lastModifiedBy>Wendy Watkin</cp:lastModifiedBy>
  <cp:revision>2</cp:revision>
  <dcterms:created xsi:type="dcterms:W3CDTF">2022-05-05T01:12:00Z</dcterms:created>
  <dcterms:modified xsi:type="dcterms:W3CDTF">2022-05-05T01:13:00Z</dcterms:modified>
  <cp:contentStatus/>
</cp:coreProperties>
</file>