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D1E7" w14:textId="69DAE599" w:rsidR="00011F57" w:rsidRDefault="00011F57" w:rsidP="009C34EC">
      <w:pPr>
        <w:spacing w:before="0" w:line="259" w:lineRule="auto"/>
        <w:rPr>
          <w:rFonts w:ascii="Segoe UI Light" w:hAnsi="Segoe UI Light"/>
          <w:b/>
          <w:sz w:val="28"/>
        </w:rPr>
      </w:pPr>
    </w:p>
    <w:p w14:paraId="0DA6FC52"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69875266" w14:textId="573EAB12" w:rsidR="00282ECC" w:rsidRDefault="00282ECC" w:rsidP="009C34EC">
          <w:pPr>
            <w:spacing w:before="0" w:line="259" w:lineRule="auto"/>
            <w:rPr>
              <w:rStyle w:val="TitleChar"/>
              <w:sz w:val="24"/>
              <w:szCs w:val="24"/>
            </w:rPr>
          </w:pPr>
        </w:p>
        <w:p w14:paraId="0770F7D6" w14:textId="40FAE05A"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4B1242" w:rsidRPr="004B1242">
            <w:rPr>
              <w:b w:val="0"/>
              <w:bCs/>
            </w:rPr>
            <w:t>SPECIAL REPORT</w:t>
          </w:r>
        </w:p>
        <w:p w14:paraId="13E08BFC" w14:textId="466E693C" w:rsidR="00A4149F" w:rsidRPr="00A4149F" w:rsidRDefault="009D1747" w:rsidP="00A4149F">
          <w:pPr>
            <w:spacing w:before="0" w:after="0" w:line="240" w:lineRule="auto"/>
            <w:contextualSpacing/>
            <w:rPr>
              <w:rFonts w:ascii="Segoe UI Black" w:eastAsiaTheme="majorEastAsia" w:hAnsi="Segoe UI Black" w:cstheme="majorBidi"/>
              <w:color w:val="auto"/>
              <w:spacing w:val="-10"/>
              <w:kern w:val="28"/>
              <w:sz w:val="44"/>
              <w:szCs w:val="56"/>
            </w:rPr>
          </w:pPr>
          <w:r w:rsidRPr="009D1747">
            <w:rPr>
              <w:rFonts w:ascii="Segoe UI Black" w:eastAsiaTheme="majorEastAsia" w:hAnsi="Segoe UI Black" w:cstheme="majorBidi"/>
              <w:color w:val="auto"/>
              <w:spacing w:val="-10"/>
              <w:kern w:val="28"/>
              <w:sz w:val="44"/>
              <w:szCs w:val="56"/>
            </w:rPr>
            <w:t>Taxation (</w:t>
          </w:r>
          <w:r w:rsidR="00941BF3">
            <w:rPr>
              <w:rFonts w:ascii="Segoe UI Black" w:eastAsiaTheme="majorEastAsia" w:hAnsi="Segoe UI Black" w:cstheme="majorBidi"/>
              <w:color w:val="auto"/>
              <w:spacing w:val="-10"/>
              <w:kern w:val="28"/>
              <w:sz w:val="44"/>
              <w:szCs w:val="56"/>
            </w:rPr>
            <w:t xml:space="preserve">COVID-19 Resurgence Support Payments </w:t>
          </w:r>
          <w:r w:rsidRPr="009D1747">
            <w:rPr>
              <w:rFonts w:ascii="Segoe UI Black" w:eastAsiaTheme="majorEastAsia" w:hAnsi="Segoe UI Black" w:cstheme="majorBidi"/>
              <w:color w:val="auto"/>
              <w:spacing w:val="-10"/>
              <w:kern w:val="28"/>
              <w:sz w:val="44"/>
              <w:szCs w:val="56"/>
            </w:rPr>
            <w:t xml:space="preserve">and </w:t>
          </w:r>
          <w:r w:rsidR="00941BF3">
            <w:rPr>
              <w:rFonts w:ascii="Segoe UI Black" w:eastAsiaTheme="majorEastAsia" w:hAnsi="Segoe UI Black" w:cstheme="majorBidi"/>
              <w:color w:val="auto"/>
              <w:spacing w:val="-10"/>
              <w:kern w:val="28"/>
              <w:sz w:val="44"/>
              <w:szCs w:val="56"/>
            </w:rPr>
            <w:t>Other</w:t>
          </w:r>
          <w:r w:rsidRPr="009D1747">
            <w:rPr>
              <w:rFonts w:ascii="Segoe UI Black" w:eastAsiaTheme="majorEastAsia" w:hAnsi="Segoe UI Black" w:cstheme="majorBidi"/>
              <w:color w:val="auto"/>
              <w:spacing w:val="-10"/>
              <w:kern w:val="28"/>
              <w:sz w:val="44"/>
              <w:szCs w:val="56"/>
            </w:rPr>
            <w:t xml:space="preserve"> Matters) Act 20</w:t>
          </w:r>
          <w:r w:rsidR="00941BF3">
            <w:rPr>
              <w:rFonts w:ascii="Segoe UI Black" w:eastAsiaTheme="majorEastAsia" w:hAnsi="Segoe UI Black" w:cstheme="majorBidi"/>
              <w:color w:val="auto"/>
              <w:spacing w:val="-10"/>
              <w:kern w:val="28"/>
              <w:sz w:val="44"/>
              <w:szCs w:val="56"/>
            </w:rPr>
            <w:t>2</w:t>
          </w:r>
          <w:r w:rsidRPr="009D1747">
            <w:rPr>
              <w:rFonts w:ascii="Segoe UI Black" w:eastAsiaTheme="majorEastAsia" w:hAnsi="Segoe UI Black" w:cstheme="majorBidi"/>
              <w:color w:val="auto"/>
              <w:spacing w:val="-10"/>
              <w:kern w:val="28"/>
              <w:sz w:val="44"/>
              <w:szCs w:val="56"/>
            </w:rPr>
            <w:t>1</w:t>
          </w:r>
        </w:p>
        <w:p w14:paraId="591D5B67" w14:textId="77777777" w:rsidR="00902E79" w:rsidRPr="00A4149F" w:rsidRDefault="00902E79" w:rsidP="00902E79">
          <w:pPr>
            <w:pStyle w:val="DocumentDate"/>
          </w:pPr>
        </w:p>
        <w:tbl>
          <w:tblPr>
            <w:tblStyle w:val="IR-ShoulderNumberTable"/>
            <w:tblW w:w="0" w:type="auto"/>
            <w:tblLook w:val="04A0" w:firstRow="1" w:lastRow="0" w:firstColumn="1" w:lastColumn="0" w:noHBand="0" w:noVBand="1"/>
          </w:tblPr>
          <w:tblGrid>
            <w:gridCol w:w="3544"/>
          </w:tblGrid>
          <w:tr w:rsidR="00902E79" w:rsidRPr="00A4149F" w14:paraId="2F57DA32" w14:textId="77777777" w:rsidTr="00AD4B8B">
            <w:tc>
              <w:tcPr>
                <w:tcW w:w="3544" w:type="dxa"/>
              </w:tcPr>
              <w:p w14:paraId="564850FD" w14:textId="413D09B2" w:rsidR="00902E79" w:rsidRPr="00DE7CEF" w:rsidRDefault="00902E79" w:rsidP="00AD4B8B">
                <w:pPr>
                  <w:pStyle w:val="PublicationNumber"/>
                </w:pPr>
                <w:bookmarkStart w:id="1" w:name="_Hlk14700370"/>
                <w:r w:rsidRPr="009D1747">
                  <w:t xml:space="preserve">Public </w:t>
                </w:r>
                <w:r>
                  <w:t xml:space="preserve">Act </w:t>
                </w:r>
                <w:proofErr w:type="gramStart"/>
                <w:r w:rsidRPr="009D1747">
                  <w:t>20</w:t>
                </w:r>
                <w:r>
                  <w:t xml:space="preserve">21 </w:t>
                </w:r>
                <w:r w:rsidRPr="009D1747">
                  <w:t xml:space="preserve"> No</w:t>
                </w:r>
                <w:proofErr w:type="gramEnd"/>
                <w:r w:rsidRPr="009D1747">
                  <w:t xml:space="preserve"> </w:t>
                </w:r>
                <w:r>
                  <w:t>1</w:t>
                </w:r>
              </w:p>
            </w:tc>
          </w:tr>
          <w:bookmarkEnd w:id="1"/>
        </w:tbl>
        <w:p w14:paraId="585A734C" w14:textId="77777777" w:rsidR="00902E79" w:rsidRDefault="00902E79" w:rsidP="00902E79"/>
        <w:p w14:paraId="21D7995A" w14:textId="7AD3927B" w:rsidR="00282ECC" w:rsidRDefault="00A4149F" w:rsidP="002546C5">
          <w:pPr>
            <w:pStyle w:val="DocumentDate"/>
          </w:pPr>
          <w:r w:rsidRPr="00A4149F">
            <w:t xml:space="preserve">Issued: </w:t>
          </w:r>
          <w:bookmarkEnd w:id="0"/>
          <w:r w:rsidR="00421B97">
            <w:t>2</w:t>
          </w:r>
          <w:r w:rsidR="004D47B7">
            <w:t>3</w:t>
          </w:r>
          <w:r w:rsidR="002546C5">
            <w:t xml:space="preserve"> February 2021</w:t>
          </w:r>
        </w:p>
        <w:p w14:paraId="6722D128" w14:textId="52027C29" w:rsidR="00C96A21" w:rsidRDefault="009D1747" w:rsidP="00313168">
          <w:pPr>
            <w:pStyle w:val="CoverPageSummary"/>
          </w:pPr>
          <w:r w:rsidRPr="009D1747">
            <w:t xml:space="preserve">The new legislation allows </w:t>
          </w:r>
          <w:r w:rsidR="002A2E62">
            <w:t>the Commissioner of Inland Revenue to make grants to eligible businesses impacted by increases to the COVID-19 alert levels</w:t>
          </w:r>
          <w:r w:rsidR="003A3CB7">
            <w:t xml:space="preserve"> and </w:t>
          </w:r>
          <w:r w:rsidR="0059530D">
            <w:t xml:space="preserve">increases the </w:t>
          </w:r>
          <w:r w:rsidR="00E40414">
            <w:t>m</w:t>
          </w:r>
          <w:r w:rsidR="0059530D">
            <w:t xml:space="preserve">inimum </w:t>
          </w:r>
          <w:r w:rsidR="00E40414">
            <w:t>f</w:t>
          </w:r>
          <w:r w:rsidR="0059530D">
            <w:t xml:space="preserve">amily </w:t>
          </w:r>
          <w:r w:rsidR="00E40414">
            <w:t>t</w:t>
          </w:r>
          <w:r w:rsidR="0059530D">
            <w:t xml:space="preserve">ax </w:t>
          </w:r>
          <w:r w:rsidR="00E40414">
            <w:t>c</w:t>
          </w:r>
          <w:r w:rsidR="0059530D">
            <w:t>redit threshold</w:t>
          </w:r>
          <w:r w:rsidRPr="009D1747">
            <w:t>.</w:t>
          </w:r>
        </w:p>
        <w:p w14:paraId="5F8906ED" w14:textId="77777777" w:rsidR="00DA4CF0" w:rsidRPr="00DA4CF0" w:rsidRDefault="00C96A21" w:rsidP="009D1747">
          <w:pPr>
            <w:spacing w:before="0" w:line="259" w:lineRule="auto"/>
          </w:pPr>
          <w:r>
            <w:br w:type="page"/>
          </w:r>
        </w:p>
      </w:sdtContent>
    </w:sdt>
    <w:p w14:paraId="26DB95E7" w14:textId="77777777" w:rsidR="00A4149F" w:rsidRPr="00C96A21" w:rsidRDefault="00A4149F" w:rsidP="00C96A21">
      <w:pPr>
        <w:pStyle w:val="TOCHeader"/>
      </w:pPr>
      <w:r>
        <w:lastRenderedPageBreak/>
        <w:t>Table of Contents</w:t>
      </w:r>
    </w:p>
    <w:p w14:paraId="49CC3411" w14:textId="4DC48238" w:rsidR="000E1426" w:rsidRDefault="000E1426">
      <w:pPr>
        <w:pStyle w:val="TOC1"/>
        <w:rPr>
          <w:rFonts w:asciiTheme="minorHAnsi" w:eastAsiaTheme="minorEastAsia" w:hAnsiTheme="minorHAnsi"/>
          <w:noProof/>
          <w:color w:val="auto"/>
          <w:lang w:eastAsia="en-NZ"/>
        </w:rPr>
      </w:pPr>
      <w:r>
        <w:rPr>
          <w:sz w:val="19"/>
        </w:rPr>
        <w:fldChar w:fldCharType="begin"/>
      </w:r>
      <w:r>
        <w:rPr>
          <w:sz w:val="19"/>
        </w:rPr>
        <w:instrText xml:space="preserve"> TOC \o "1-1" \h \z \u </w:instrText>
      </w:r>
      <w:r>
        <w:rPr>
          <w:sz w:val="19"/>
        </w:rPr>
        <w:fldChar w:fldCharType="separate"/>
      </w:r>
      <w:hyperlink w:anchor="_Toc64990767" w:history="1">
        <w:r w:rsidRPr="00872E69">
          <w:rPr>
            <w:rStyle w:val="Hyperlink"/>
            <w:noProof/>
          </w:rPr>
          <w:t>Overview</w:t>
        </w:r>
        <w:r>
          <w:rPr>
            <w:noProof/>
            <w:webHidden/>
          </w:rPr>
          <w:tab/>
        </w:r>
        <w:r>
          <w:rPr>
            <w:noProof/>
            <w:webHidden/>
          </w:rPr>
          <w:fldChar w:fldCharType="begin"/>
        </w:r>
        <w:r>
          <w:rPr>
            <w:noProof/>
            <w:webHidden/>
          </w:rPr>
          <w:instrText xml:space="preserve"> PAGEREF _Toc64990767 \h </w:instrText>
        </w:r>
        <w:r>
          <w:rPr>
            <w:noProof/>
            <w:webHidden/>
          </w:rPr>
        </w:r>
        <w:r>
          <w:rPr>
            <w:noProof/>
            <w:webHidden/>
          </w:rPr>
          <w:fldChar w:fldCharType="separate"/>
        </w:r>
        <w:r>
          <w:rPr>
            <w:noProof/>
            <w:webHidden/>
          </w:rPr>
          <w:t>2</w:t>
        </w:r>
        <w:r>
          <w:rPr>
            <w:noProof/>
            <w:webHidden/>
          </w:rPr>
          <w:fldChar w:fldCharType="end"/>
        </w:r>
      </w:hyperlink>
    </w:p>
    <w:p w14:paraId="39F63A81" w14:textId="6B6C0D08" w:rsidR="000E1426" w:rsidRDefault="00DF6DA5">
      <w:pPr>
        <w:pStyle w:val="TOC1"/>
        <w:rPr>
          <w:rFonts w:asciiTheme="minorHAnsi" w:eastAsiaTheme="minorEastAsia" w:hAnsiTheme="minorHAnsi"/>
          <w:noProof/>
          <w:color w:val="auto"/>
          <w:lang w:eastAsia="en-NZ"/>
        </w:rPr>
      </w:pPr>
      <w:hyperlink w:anchor="_Toc64990768" w:history="1">
        <w:r w:rsidR="000E1426" w:rsidRPr="00872E69">
          <w:rPr>
            <w:rStyle w:val="Hyperlink"/>
            <w:noProof/>
          </w:rPr>
          <w:t>COVID-19 Resurgence Support Payments Scheme</w:t>
        </w:r>
        <w:r w:rsidR="000E1426">
          <w:rPr>
            <w:noProof/>
            <w:webHidden/>
          </w:rPr>
          <w:tab/>
        </w:r>
        <w:r w:rsidR="000E1426">
          <w:rPr>
            <w:noProof/>
            <w:webHidden/>
          </w:rPr>
          <w:fldChar w:fldCharType="begin"/>
        </w:r>
        <w:r w:rsidR="000E1426">
          <w:rPr>
            <w:noProof/>
            <w:webHidden/>
          </w:rPr>
          <w:instrText xml:space="preserve"> PAGEREF _Toc64990768 \h </w:instrText>
        </w:r>
        <w:r w:rsidR="000E1426">
          <w:rPr>
            <w:noProof/>
            <w:webHidden/>
          </w:rPr>
        </w:r>
        <w:r w:rsidR="000E1426">
          <w:rPr>
            <w:noProof/>
            <w:webHidden/>
          </w:rPr>
          <w:fldChar w:fldCharType="separate"/>
        </w:r>
        <w:r w:rsidR="000E1426">
          <w:rPr>
            <w:noProof/>
            <w:webHidden/>
          </w:rPr>
          <w:t>3</w:t>
        </w:r>
        <w:r w:rsidR="000E1426">
          <w:rPr>
            <w:noProof/>
            <w:webHidden/>
          </w:rPr>
          <w:fldChar w:fldCharType="end"/>
        </w:r>
      </w:hyperlink>
    </w:p>
    <w:p w14:paraId="362F47E5" w14:textId="3328CCAA" w:rsidR="000E1426" w:rsidRDefault="00DF6DA5">
      <w:pPr>
        <w:pStyle w:val="TOC1"/>
        <w:rPr>
          <w:rFonts w:asciiTheme="minorHAnsi" w:eastAsiaTheme="minorEastAsia" w:hAnsiTheme="minorHAnsi"/>
          <w:noProof/>
          <w:color w:val="auto"/>
          <w:lang w:eastAsia="en-NZ"/>
        </w:rPr>
      </w:pPr>
      <w:hyperlink w:anchor="_Toc64990769" w:history="1">
        <w:r w:rsidR="000E1426" w:rsidRPr="00872E69">
          <w:rPr>
            <w:rStyle w:val="Hyperlink"/>
            <w:noProof/>
          </w:rPr>
          <w:t>Minimum family tax credit threshold increased</w:t>
        </w:r>
        <w:r w:rsidR="000E1426">
          <w:rPr>
            <w:noProof/>
            <w:webHidden/>
          </w:rPr>
          <w:tab/>
        </w:r>
        <w:r w:rsidR="000E1426">
          <w:rPr>
            <w:noProof/>
            <w:webHidden/>
          </w:rPr>
          <w:fldChar w:fldCharType="begin"/>
        </w:r>
        <w:r w:rsidR="000E1426">
          <w:rPr>
            <w:noProof/>
            <w:webHidden/>
          </w:rPr>
          <w:instrText xml:space="preserve"> PAGEREF _Toc64990769 \h </w:instrText>
        </w:r>
        <w:r w:rsidR="000E1426">
          <w:rPr>
            <w:noProof/>
            <w:webHidden/>
          </w:rPr>
        </w:r>
        <w:r w:rsidR="000E1426">
          <w:rPr>
            <w:noProof/>
            <w:webHidden/>
          </w:rPr>
          <w:fldChar w:fldCharType="separate"/>
        </w:r>
        <w:r w:rsidR="000E1426">
          <w:rPr>
            <w:noProof/>
            <w:webHidden/>
          </w:rPr>
          <w:t>7</w:t>
        </w:r>
        <w:r w:rsidR="000E1426">
          <w:rPr>
            <w:noProof/>
            <w:webHidden/>
          </w:rPr>
          <w:fldChar w:fldCharType="end"/>
        </w:r>
      </w:hyperlink>
    </w:p>
    <w:p w14:paraId="4EE5FEA6" w14:textId="2961C8C1" w:rsidR="000E1426" w:rsidRDefault="00DF6DA5">
      <w:pPr>
        <w:pStyle w:val="TOC1"/>
        <w:rPr>
          <w:rFonts w:asciiTheme="minorHAnsi" w:eastAsiaTheme="minorEastAsia" w:hAnsiTheme="minorHAnsi"/>
          <w:noProof/>
          <w:color w:val="auto"/>
          <w:lang w:eastAsia="en-NZ"/>
        </w:rPr>
      </w:pPr>
      <w:hyperlink w:anchor="_Toc64990770" w:history="1">
        <w:r w:rsidR="000E1426" w:rsidRPr="00872E69">
          <w:rPr>
            <w:rStyle w:val="Hyperlink"/>
            <w:noProof/>
          </w:rPr>
          <w:t>References</w:t>
        </w:r>
        <w:r w:rsidR="000E1426">
          <w:rPr>
            <w:noProof/>
            <w:webHidden/>
          </w:rPr>
          <w:tab/>
        </w:r>
        <w:r w:rsidR="000E1426">
          <w:rPr>
            <w:noProof/>
            <w:webHidden/>
          </w:rPr>
          <w:fldChar w:fldCharType="begin"/>
        </w:r>
        <w:r w:rsidR="000E1426">
          <w:rPr>
            <w:noProof/>
            <w:webHidden/>
          </w:rPr>
          <w:instrText xml:space="preserve"> PAGEREF _Toc64990770 \h </w:instrText>
        </w:r>
        <w:r w:rsidR="000E1426">
          <w:rPr>
            <w:noProof/>
            <w:webHidden/>
          </w:rPr>
        </w:r>
        <w:r w:rsidR="000E1426">
          <w:rPr>
            <w:noProof/>
            <w:webHidden/>
          </w:rPr>
          <w:fldChar w:fldCharType="separate"/>
        </w:r>
        <w:r w:rsidR="000E1426">
          <w:rPr>
            <w:noProof/>
            <w:webHidden/>
          </w:rPr>
          <w:t>8</w:t>
        </w:r>
        <w:r w:rsidR="000E1426">
          <w:rPr>
            <w:noProof/>
            <w:webHidden/>
          </w:rPr>
          <w:fldChar w:fldCharType="end"/>
        </w:r>
      </w:hyperlink>
    </w:p>
    <w:p w14:paraId="6866F3B4" w14:textId="058F7EFA" w:rsidR="000E1426" w:rsidRDefault="00DF6DA5">
      <w:pPr>
        <w:pStyle w:val="TOC1"/>
        <w:rPr>
          <w:rFonts w:asciiTheme="minorHAnsi" w:eastAsiaTheme="minorEastAsia" w:hAnsiTheme="minorHAnsi"/>
          <w:noProof/>
          <w:color w:val="auto"/>
          <w:lang w:eastAsia="en-NZ"/>
        </w:rPr>
      </w:pPr>
      <w:hyperlink w:anchor="_Toc64990771" w:history="1">
        <w:r w:rsidR="000E1426" w:rsidRPr="00872E69">
          <w:rPr>
            <w:rStyle w:val="Hyperlink"/>
            <w:noProof/>
          </w:rPr>
          <w:t>About this document</w:t>
        </w:r>
        <w:r w:rsidR="000E1426">
          <w:rPr>
            <w:noProof/>
            <w:webHidden/>
          </w:rPr>
          <w:tab/>
        </w:r>
        <w:r w:rsidR="000E1426">
          <w:rPr>
            <w:noProof/>
            <w:webHidden/>
          </w:rPr>
          <w:fldChar w:fldCharType="begin"/>
        </w:r>
        <w:r w:rsidR="000E1426">
          <w:rPr>
            <w:noProof/>
            <w:webHidden/>
          </w:rPr>
          <w:instrText xml:space="preserve"> PAGEREF _Toc64990771 \h </w:instrText>
        </w:r>
        <w:r w:rsidR="000E1426">
          <w:rPr>
            <w:noProof/>
            <w:webHidden/>
          </w:rPr>
        </w:r>
        <w:r w:rsidR="000E1426">
          <w:rPr>
            <w:noProof/>
            <w:webHidden/>
          </w:rPr>
          <w:fldChar w:fldCharType="separate"/>
        </w:r>
        <w:r w:rsidR="000E1426">
          <w:rPr>
            <w:noProof/>
            <w:webHidden/>
          </w:rPr>
          <w:t>8</w:t>
        </w:r>
        <w:r w:rsidR="000E1426">
          <w:rPr>
            <w:noProof/>
            <w:webHidden/>
          </w:rPr>
          <w:fldChar w:fldCharType="end"/>
        </w:r>
      </w:hyperlink>
    </w:p>
    <w:p w14:paraId="4ABDEA3B" w14:textId="50A03295" w:rsidR="00B65C4B" w:rsidRDefault="000E1426" w:rsidP="000E1426">
      <w:r>
        <w:rPr>
          <w:sz w:val="19"/>
        </w:rPr>
        <w:fldChar w:fldCharType="end"/>
      </w:r>
      <w:r w:rsidR="00B65C4B">
        <w:br w:type="page"/>
      </w:r>
    </w:p>
    <w:p w14:paraId="253685DF" w14:textId="77777777" w:rsidR="000654C4" w:rsidRPr="00D67439" w:rsidRDefault="000654C4" w:rsidP="00AD150B">
      <w:pPr>
        <w:pStyle w:val="NoNumberHeading1"/>
      </w:pPr>
      <w:bookmarkStart w:id="2" w:name="_Toc64990767"/>
      <w:r w:rsidRPr="00D67439">
        <w:lastRenderedPageBreak/>
        <w:t>Overview</w:t>
      </w:r>
      <w:bookmarkEnd w:id="2"/>
    </w:p>
    <w:p w14:paraId="37BA8AE9" w14:textId="5255318E" w:rsidR="009D1747" w:rsidRDefault="009D1747" w:rsidP="009D1747">
      <w:r>
        <w:t>The Taxation (</w:t>
      </w:r>
      <w:r w:rsidR="00EA0C89">
        <w:t>COVID-19 Resurgence Support Payments and Other</w:t>
      </w:r>
      <w:r>
        <w:t xml:space="preserve"> Matters) Bill was </w:t>
      </w:r>
      <w:r w:rsidR="00A91592">
        <w:t xml:space="preserve">passed under urgency </w:t>
      </w:r>
      <w:r>
        <w:t xml:space="preserve">on </w:t>
      </w:r>
      <w:r w:rsidR="00231528" w:rsidRPr="00EA528F">
        <w:t>16</w:t>
      </w:r>
      <w:r w:rsidRPr="00EA528F">
        <w:t xml:space="preserve"> </w:t>
      </w:r>
      <w:r w:rsidR="00B8692E" w:rsidRPr="00EA528F">
        <w:t>February</w:t>
      </w:r>
      <w:r w:rsidRPr="00EA528F">
        <w:t xml:space="preserve"> 20</w:t>
      </w:r>
      <w:r w:rsidR="00B8692E" w:rsidRPr="00EA528F">
        <w:t>2</w:t>
      </w:r>
      <w:r w:rsidRPr="00EA528F">
        <w:t>1</w:t>
      </w:r>
      <w:r w:rsidRPr="00280312">
        <w:t>. The new</w:t>
      </w:r>
      <w:r>
        <w:t xml:space="preserve"> Act received Royal assent on</w:t>
      </w:r>
      <w:r w:rsidR="00421B97">
        <w:t xml:space="preserve"> 18 </w:t>
      </w:r>
      <w:r w:rsidR="00504A1B" w:rsidRPr="00421B97">
        <w:t>February 2021</w:t>
      </w:r>
      <w:r w:rsidRPr="00421B97">
        <w:t>.</w:t>
      </w:r>
      <w:r>
        <w:t xml:space="preserve"> It amends the </w:t>
      </w:r>
      <w:r w:rsidR="00504A1B">
        <w:t xml:space="preserve">Tax Administration Act 1994 </w:t>
      </w:r>
      <w:r>
        <w:t>and the Income Tax Act 2007.</w:t>
      </w:r>
    </w:p>
    <w:p w14:paraId="0A6FF0C1" w14:textId="3CB0E5D2" w:rsidR="009D1747" w:rsidRDefault="002C41C0" w:rsidP="002C41C0">
      <w:r>
        <w:t xml:space="preserve">The new legislation allows the Commissioner of Inland Revenue to make grants to eligible businesses impacted by increases to the COVID-19 alert levels and increases the </w:t>
      </w:r>
      <w:r w:rsidR="00130AA5">
        <w:t>m</w:t>
      </w:r>
      <w:r>
        <w:t xml:space="preserve">inimum </w:t>
      </w:r>
      <w:r w:rsidR="00130AA5">
        <w:t>f</w:t>
      </w:r>
      <w:r>
        <w:t xml:space="preserve">amily </w:t>
      </w:r>
      <w:r w:rsidR="00130AA5">
        <w:t>t</w:t>
      </w:r>
      <w:r>
        <w:t xml:space="preserve">ax </w:t>
      </w:r>
      <w:r w:rsidR="00130AA5">
        <w:t>c</w:t>
      </w:r>
      <w:r>
        <w:t>redit threshold.</w:t>
      </w:r>
    </w:p>
    <w:p w14:paraId="0373C301" w14:textId="77777777" w:rsidR="000B1C2F" w:rsidRDefault="000B1C2F">
      <w:pPr>
        <w:spacing w:before="0" w:line="259" w:lineRule="auto"/>
        <w:rPr>
          <w:rFonts w:ascii="Segoe UI Black" w:eastAsiaTheme="majorEastAsia" w:hAnsi="Segoe UI Black" w:cstheme="majorBidi"/>
          <w:color w:val="0D8390"/>
          <w:sz w:val="36"/>
          <w:szCs w:val="32"/>
        </w:rPr>
      </w:pPr>
      <w:r>
        <w:br w:type="page"/>
      </w:r>
    </w:p>
    <w:p w14:paraId="0B0CBB42" w14:textId="31BCC2F4" w:rsidR="000654C4" w:rsidRPr="00345936" w:rsidRDefault="00AE51BC" w:rsidP="00BF700A">
      <w:pPr>
        <w:pStyle w:val="NoNumberHeading1"/>
      </w:pPr>
      <w:bookmarkStart w:id="3" w:name="_Toc64990768"/>
      <w:r>
        <w:lastRenderedPageBreak/>
        <w:t>COVID-19 Resurgence Support Payments Scheme</w:t>
      </w:r>
      <w:bookmarkEnd w:id="3"/>
    </w:p>
    <w:p w14:paraId="027887CE" w14:textId="62565F7F" w:rsidR="00BF700A" w:rsidRPr="000E1426" w:rsidRDefault="007A67B0" w:rsidP="00BF700A">
      <w:pPr>
        <w:rPr>
          <w:b/>
          <w:bCs/>
          <w:i/>
          <w:iCs/>
        </w:rPr>
      </w:pPr>
      <w:r w:rsidRPr="000E1426">
        <w:rPr>
          <w:b/>
          <w:bCs/>
          <w:i/>
          <w:iCs/>
        </w:rPr>
        <w:t>Section</w:t>
      </w:r>
      <w:r w:rsidR="00AB293E" w:rsidRPr="000E1426">
        <w:rPr>
          <w:b/>
          <w:bCs/>
          <w:i/>
          <w:iCs/>
        </w:rPr>
        <w:t xml:space="preserve">s 3, </w:t>
      </w:r>
      <w:r w:rsidRPr="000E1426">
        <w:rPr>
          <w:b/>
          <w:bCs/>
          <w:i/>
          <w:iCs/>
        </w:rPr>
        <w:t>7A</w:t>
      </w:r>
      <w:r w:rsidR="00190282" w:rsidRPr="000E1426">
        <w:rPr>
          <w:b/>
          <w:bCs/>
          <w:i/>
          <w:iCs/>
        </w:rPr>
        <w:t>A</w:t>
      </w:r>
      <w:r w:rsidR="00E61F15" w:rsidRPr="000E1426">
        <w:rPr>
          <w:b/>
          <w:bCs/>
          <w:i/>
          <w:iCs/>
        </w:rPr>
        <w:t>B, 7AAC,</w:t>
      </w:r>
      <w:r w:rsidRPr="000E1426">
        <w:rPr>
          <w:b/>
          <w:bCs/>
          <w:i/>
          <w:iCs/>
        </w:rPr>
        <w:t xml:space="preserve"> </w:t>
      </w:r>
      <w:r w:rsidR="00B00172" w:rsidRPr="000E1426">
        <w:rPr>
          <w:b/>
          <w:bCs/>
          <w:i/>
          <w:iCs/>
        </w:rPr>
        <w:t>157</w:t>
      </w:r>
      <w:r w:rsidR="00E61F15" w:rsidRPr="000E1426">
        <w:rPr>
          <w:b/>
          <w:bCs/>
          <w:i/>
          <w:iCs/>
        </w:rPr>
        <w:t xml:space="preserve">, and </w:t>
      </w:r>
      <w:r w:rsidR="0095059E" w:rsidRPr="000E1426">
        <w:rPr>
          <w:b/>
          <w:bCs/>
          <w:i/>
          <w:iCs/>
        </w:rPr>
        <w:t>s</w:t>
      </w:r>
      <w:r w:rsidR="00E61F15" w:rsidRPr="000E1426">
        <w:rPr>
          <w:b/>
          <w:bCs/>
          <w:i/>
          <w:iCs/>
        </w:rPr>
        <w:t>chedule 7</w:t>
      </w:r>
      <w:r w:rsidRPr="000E1426">
        <w:rPr>
          <w:b/>
          <w:bCs/>
          <w:i/>
          <w:iCs/>
        </w:rPr>
        <w:t xml:space="preserve"> of the Tax Administration Act 1994</w:t>
      </w:r>
      <w:r w:rsidR="00AB293E" w:rsidRPr="000E1426">
        <w:rPr>
          <w:b/>
          <w:bCs/>
          <w:i/>
          <w:iCs/>
        </w:rPr>
        <w:t>;</w:t>
      </w:r>
      <w:r w:rsidR="00162DAF" w:rsidRPr="000E1426">
        <w:rPr>
          <w:b/>
          <w:bCs/>
          <w:i/>
          <w:iCs/>
        </w:rPr>
        <w:t xml:space="preserve"> </w:t>
      </w:r>
      <w:r w:rsidR="00842432" w:rsidRPr="000E1426">
        <w:rPr>
          <w:b/>
          <w:bCs/>
          <w:i/>
          <w:iCs/>
        </w:rPr>
        <w:t>s</w:t>
      </w:r>
      <w:r w:rsidR="00162DAF" w:rsidRPr="000E1426">
        <w:rPr>
          <w:b/>
          <w:bCs/>
          <w:i/>
          <w:iCs/>
        </w:rPr>
        <w:t>ection</w:t>
      </w:r>
      <w:r w:rsidR="001D7765" w:rsidRPr="000E1426">
        <w:rPr>
          <w:b/>
          <w:bCs/>
          <w:i/>
          <w:iCs/>
        </w:rPr>
        <w:t>s</w:t>
      </w:r>
      <w:r w:rsidR="00162DAF" w:rsidRPr="000E1426">
        <w:rPr>
          <w:b/>
          <w:bCs/>
          <w:i/>
          <w:iCs/>
        </w:rPr>
        <w:t xml:space="preserve"> MB</w:t>
      </w:r>
      <w:r w:rsidR="008F52BA" w:rsidRPr="000E1426">
        <w:rPr>
          <w:b/>
          <w:bCs/>
          <w:i/>
          <w:iCs/>
        </w:rPr>
        <w:t> </w:t>
      </w:r>
      <w:r w:rsidR="00162DAF" w:rsidRPr="000E1426">
        <w:rPr>
          <w:b/>
          <w:bCs/>
          <w:i/>
          <w:iCs/>
        </w:rPr>
        <w:t xml:space="preserve">13 </w:t>
      </w:r>
      <w:r w:rsidR="001D7765" w:rsidRPr="000E1426">
        <w:rPr>
          <w:b/>
          <w:bCs/>
          <w:i/>
          <w:iCs/>
        </w:rPr>
        <w:t xml:space="preserve">and YA 1 </w:t>
      </w:r>
      <w:r w:rsidR="00162DAF" w:rsidRPr="000E1426">
        <w:rPr>
          <w:b/>
          <w:bCs/>
          <w:i/>
          <w:iCs/>
        </w:rPr>
        <w:t>of the Income Tax Act 2007</w:t>
      </w:r>
    </w:p>
    <w:p w14:paraId="60A84648" w14:textId="124F77E7" w:rsidR="00A920E9" w:rsidRDefault="00BF700A" w:rsidP="00BF700A">
      <w:r>
        <w:t xml:space="preserve">The Act </w:t>
      </w:r>
      <w:r w:rsidR="00C054CA">
        <w:t>provide</w:t>
      </w:r>
      <w:r w:rsidR="006A5FD5">
        <w:t>s</w:t>
      </w:r>
      <w:r w:rsidR="00C054CA">
        <w:t xml:space="preserve"> authorisation for the Commissioner of Inland Revenue to make grants </w:t>
      </w:r>
      <w:r w:rsidR="005136FB">
        <w:t xml:space="preserve">to eligible businesses </w:t>
      </w:r>
      <w:r w:rsidR="00C054CA">
        <w:t xml:space="preserve">under the COVID-19 </w:t>
      </w:r>
      <w:r w:rsidR="006A5FD5">
        <w:t>Resurgence Support Payments Scheme (</w:t>
      </w:r>
      <w:r w:rsidR="00943FBD" w:rsidRPr="00E54BF2">
        <w:t>the scheme</w:t>
      </w:r>
      <w:r w:rsidR="00321643">
        <w:t xml:space="preserve">) and to administer the scheme </w:t>
      </w:r>
      <w:r w:rsidR="00C23B9E">
        <w:t>on behalf of the Government</w:t>
      </w:r>
      <w:r w:rsidR="00A920E9">
        <w:t>.</w:t>
      </w:r>
    </w:p>
    <w:p w14:paraId="06145C58" w14:textId="77777777" w:rsidR="00BF700A" w:rsidRDefault="00BF700A" w:rsidP="00BF700A">
      <w:pPr>
        <w:pStyle w:val="NoNumberHeading2"/>
      </w:pPr>
      <w:bookmarkStart w:id="4" w:name="_Toc64637535"/>
      <w:bookmarkStart w:id="5" w:name="_Toc64976845"/>
      <w:r>
        <w:t>Background</w:t>
      </w:r>
      <w:bookmarkEnd w:id="4"/>
      <w:bookmarkEnd w:id="5"/>
    </w:p>
    <w:p w14:paraId="474D6FD2" w14:textId="50ED8078" w:rsidR="00BF700A" w:rsidRDefault="00211401" w:rsidP="00BF700A">
      <w:r>
        <w:t>The Act co</w:t>
      </w:r>
      <w:r w:rsidR="001E6768">
        <w:t xml:space="preserve">ntains a number of amendments to support the </w:t>
      </w:r>
      <w:r w:rsidR="00943FBD">
        <w:t>scheme</w:t>
      </w:r>
      <w:r w:rsidR="001E6768">
        <w:t xml:space="preserve"> to assist businesses who are adversely </w:t>
      </w:r>
      <w:r w:rsidR="00EE0673">
        <w:t>affected by increases to the COVID-19 alert levels.</w:t>
      </w:r>
    </w:p>
    <w:p w14:paraId="153D0031" w14:textId="0553CBC8" w:rsidR="006B4F20" w:rsidRDefault="006B4F20" w:rsidP="00BF700A">
      <w:r>
        <w:t xml:space="preserve">The </w:t>
      </w:r>
      <w:r w:rsidR="00943FBD">
        <w:t>scheme</w:t>
      </w:r>
      <w:r>
        <w:t xml:space="preserve"> is administered by Inland Revenue.</w:t>
      </w:r>
    </w:p>
    <w:p w14:paraId="4E8BCF1A" w14:textId="05C98171" w:rsidR="005E6AF2" w:rsidRDefault="006B4F20" w:rsidP="00BF700A">
      <w:r>
        <w:t xml:space="preserve">More detailed information on the operation of the </w:t>
      </w:r>
      <w:r w:rsidR="00365D58">
        <w:t>scheme</w:t>
      </w:r>
      <w:r>
        <w:t xml:space="preserve"> is available at </w:t>
      </w:r>
      <w:hyperlink r:id="rId7" w:history="1">
        <w:r w:rsidR="005E6AF2" w:rsidRPr="00F1649C">
          <w:rPr>
            <w:rStyle w:val="Hyperlink"/>
          </w:rPr>
          <w:t>https://www.ird.govt.nz/covid-19/business-and-organisations/employing-staff/financial-support/resurgence-support-payment</w:t>
        </w:r>
      </w:hyperlink>
    </w:p>
    <w:p w14:paraId="00C79805" w14:textId="77777777" w:rsidR="00BF700A" w:rsidRDefault="00BF700A" w:rsidP="000B1C2F">
      <w:pPr>
        <w:pStyle w:val="NoNumberHeading2"/>
      </w:pPr>
      <w:bookmarkStart w:id="6" w:name="_Toc64637536"/>
      <w:bookmarkStart w:id="7" w:name="_Toc64976846"/>
      <w:r>
        <w:t>Key features</w:t>
      </w:r>
      <w:bookmarkEnd w:id="6"/>
      <w:bookmarkEnd w:id="7"/>
    </w:p>
    <w:p w14:paraId="24FD8363" w14:textId="681C5507" w:rsidR="00F52B5C" w:rsidRDefault="00F52B5C" w:rsidP="00F52B5C">
      <w:pPr>
        <w:pStyle w:val="Bullets"/>
        <w:numPr>
          <w:ilvl w:val="0"/>
          <w:numId w:val="0"/>
        </w:numPr>
      </w:pPr>
      <w:r>
        <w:t xml:space="preserve">The </w:t>
      </w:r>
      <w:r w:rsidR="00A30B78">
        <w:t xml:space="preserve">new </w:t>
      </w:r>
      <w:r>
        <w:t>Act</w:t>
      </w:r>
      <w:r w:rsidR="00A30B78">
        <w:t xml:space="preserve"> makes the following changes to the Tax Administration Act </w:t>
      </w:r>
      <w:r w:rsidR="00966FBE">
        <w:t xml:space="preserve">1994 </w:t>
      </w:r>
      <w:r w:rsidR="002C7752">
        <w:t>(TAA)</w:t>
      </w:r>
      <w:r w:rsidR="00A30B78">
        <w:t>.</w:t>
      </w:r>
    </w:p>
    <w:p w14:paraId="653969DA" w14:textId="700483C6" w:rsidR="00BF497E" w:rsidRDefault="00A30B78" w:rsidP="00BF700A">
      <w:pPr>
        <w:pStyle w:val="Bullets"/>
      </w:pPr>
      <w:r>
        <w:t xml:space="preserve">Inserting </w:t>
      </w:r>
      <w:r w:rsidR="00BF497E">
        <w:t xml:space="preserve">new </w:t>
      </w:r>
      <w:r w:rsidR="001E4E00">
        <w:t>s</w:t>
      </w:r>
      <w:r w:rsidR="00BF497E">
        <w:t>ection 7A</w:t>
      </w:r>
      <w:r w:rsidR="003E230D">
        <w:t>A</w:t>
      </w:r>
      <w:r w:rsidR="00BF497E">
        <w:t>B</w:t>
      </w:r>
      <w:r w:rsidR="00EA4509">
        <w:t xml:space="preserve"> </w:t>
      </w:r>
      <w:r>
        <w:t xml:space="preserve">authorising </w:t>
      </w:r>
      <w:r w:rsidR="00DD60EA">
        <w:t>the Commissioner of Inland Revenue to make grants to eligible businesses</w:t>
      </w:r>
      <w:r w:rsidR="00B22D6D">
        <w:t>.</w:t>
      </w:r>
    </w:p>
    <w:p w14:paraId="1ABB9B30" w14:textId="65182BE1" w:rsidR="00C165BB" w:rsidRDefault="00A30B78" w:rsidP="00BF700A">
      <w:pPr>
        <w:pStyle w:val="Bullets"/>
      </w:pPr>
      <w:r>
        <w:t>Inserting</w:t>
      </w:r>
      <w:r w:rsidR="00C165BB">
        <w:t xml:space="preserve"> new section</w:t>
      </w:r>
      <w:r w:rsidR="0095059E">
        <w:t xml:space="preserve"> 7AAC which</w:t>
      </w:r>
      <w:r w:rsidR="00371E89">
        <w:t xml:space="preserve"> allows the scheme to be activated by </w:t>
      </w:r>
      <w:r w:rsidR="00456F1F">
        <w:t>Order in Council.</w:t>
      </w:r>
    </w:p>
    <w:p w14:paraId="61E36FDA" w14:textId="560E5336" w:rsidR="00BF497E" w:rsidRDefault="00BF497E" w:rsidP="00BF700A">
      <w:pPr>
        <w:pStyle w:val="Bullets"/>
      </w:pPr>
      <w:r>
        <w:t>Amend</w:t>
      </w:r>
      <w:r w:rsidR="00A30B78">
        <w:t>ing</w:t>
      </w:r>
      <w:r>
        <w:t xml:space="preserve"> the definition of </w:t>
      </w:r>
      <w:r w:rsidR="0065335A">
        <w:t>“</w:t>
      </w:r>
      <w:r>
        <w:t>tax</w:t>
      </w:r>
      <w:r w:rsidR="0065335A">
        <w:t>”</w:t>
      </w:r>
      <w:r>
        <w:t xml:space="preserve"> in </w:t>
      </w:r>
      <w:r w:rsidR="001E4E00">
        <w:t>s</w:t>
      </w:r>
      <w:r>
        <w:t>ection 3</w:t>
      </w:r>
      <w:r w:rsidR="007D1F25">
        <w:t xml:space="preserve"> of the </w:t>
      </w:r>
      <w:r w:rsidR="002C7752">
        <w:t>TAA</w:t>
      </w:r>
      <w:r w:rsidR="007D1F25">
        <w:t xml:space="preserve"> to allow Inland Revenue to use its existing debt management and care and management powers to administer the </w:t>
      </w:r>
      <w:r w:rsidR="00365D58">
        <w:t>scheme</w:t>
      </w:r>
      <w:r w:rsidR="007D1F25">
        <w:t>.</w:t>
      </w:r>
    </w:p>
    <w:p w14:paraId="4FCE5A58" w14:textId="73CAA53E" w:rsidR="00BC652B" w:rsidRDefault="009E17F9" w:rsidP="00BC652B">
      <w:pPr>
        <w:pStyle w:val="Bullets"/>
      </w:pPr>
      <w:r>
        <w:t>A</w:t>
      </w:r>
      <w:r w:rsidR="002C7752">
        <w:t>mending</w:t>
      </w:r>
      <w:r>
        <w:t xml:space="preserve"> schedule 7 of the </w:t>
      </w:r>
      <w:r w:rsidR="002C7752">
        <w:t>TAA</w:t>
      </w:r>
      <w:r>
        <w:t xml:space="preserve"> </w:t>
      </w:r>
      <w:r w:rsidR="00111307">
        <w:t xml:space="preserve">to </w:t>
      </w:r>
      <w:r>
        <w:t xml:space="preserve">allow the Commissioner of Inland Revenue to publish information relating </w:t>
      </w:r>
      <w:r w:rsidR="00907FC9">
        <w:t xml:space="preserve">to the </w:t>
      </w:r>
      <w:r w:rsidR="00365D58">
        <w:t>scheme</w:t>
      </w:r>
      <w:r w:rsidR="00907FC9">
        <w:t xml:space="preserve">, including names of persons to whom the Commissioner has made a </w:t>
      </w:r>
      <w:r w:rsidR="00F941F1">
        <w:t>grant under the scheme.</w:t>
      </w:r>
    </w:p>
    <w:p w14:paraId="381D7542" w14:textId="77777777" w:rsidR="00BF700A" w:rsidRDefault="00BF700A" w:rsidP="00BF700A">
      <w:pPr>
        <w:pStyle w:val="NoNumberHeading2"/>
      </w:pPr>
      <w:bookmarkStart w:id="8" w:name="_Toc64637537"/>
      <w:bookmarkStart w:id="9" w:name="_Toc64976847"/>
      <w:r>
        <w:t>Application date</w:t>
      </w:r>
      <w:bookmarkEnd w:id="8"/>
      <w:bookmarkEnd w:id="9"/>
    </w:p>
    <w:p w14:paraId="0F937E32" w14:textId="77777777" w:rsidR="00BE0AC9" w:rsidRDefault="00BF700A" w:rsidP="000B1C2F">
      <w:r>
        <w:t xml:space="preserve">The amendments </w:t>
      </w:r>
      <w:r w:rsidR="00C442FE">
        <w:t xml:space="preserve">apply from </w:t>
      </w:r>
      <w:r w:rsidR="0008665F">
        <w:t>the date the Act received Royal assent</w:t>
      </w:r>
      <w:r>
        <w:t>.</w:t>
      </w:r>
    </w:p>
    <w:p w14:paraId="4A692343" w14:textId="77777777" w:rsidR="00BE0AC9" w:rsidRDefault="00BE0AC9" w:rsidP="00BE0AC9">
      <w:pPr>
        <w:pStyle w:val="NoNumberHeading2"/>
      </w:pPr>
      <w:bookmarkStart w:id="10" w:name="_Toc64637538"/>
      <w:bookmarkStart w:id="11" w:name="_Toc64976848"/>
      <w:r w:rsidRPr="000B1C2F">
        <w:lastRenderedPageBreak/>
        <w:t>Detailed analysis</w:t>
      </w:r>
      <w:bookmarkEnd w:id="10"/>
      <w:bookmarkEnd w:id="11"/>
    </w:p>
    <w:p w14:paraId="5703D467" w14:textId="5524B3A4" w:rsidR="0072279A" w:rsidRDefault="0072279A" w:rsidP="0072279A">
      <w:pPr>
        <w:rPr>
          <w:rFonts w:cs="Segoe UI"/>
        </w:rPr>
      </w:pPr>
      <w:r w:rsidRPr="0072279A">
        <w:rPr>
          <w:rFonts w:cs="Segoe UI"/>
        </w:rPr>
        <w:t xml:space="preserve">The </w:t>
      </w:r>
      <w:r>
        <w:rPr>
          <w:rFonts w:cs="Segoe UI"/>
        </w:rPr>
        <w:t>Act</w:t>
      </w:r>
      <w:r w:rsidRPr="0072279A">
        <w:rPr>
          <w:rFonts w:cs="Segoe UI"/>
        </w:rPr>
        <w:t xml:space="preserve"> amend</w:t>
      </w:r>
      <w:r>
        <w:rPr>
          <w:rFonts w:cs="Segoe UI"/>
        </w:rPr>
        <w:t>s</w:t>
      </w:r>
      <w:r w:rsidRPr="0072279A">
        <w:rPr>
          <w:rFonts w:cs="Segoe UI"/>
        </w:rPr>
        <w:t xml:space="preserve"> the Tax Administration Act 1994 and the Income Tax Act 2007.</w:t>
      </w:r>
    </w:p>
    <w:p w14:paraId="7C0C6E0B" w14:textId="367D2F6A" w:rsidR="00211DB8" w:rsidRPr="004B1923" w:rsidRDefault="00211DB8" w:rsidP="004B1923">
      <w:pPr>
        <w:pStyle w:val="NoNumberHeading3"/>
      </w:pPr>
      <w:r w:rsidRPr="004B1923">
        <w:t>Section 3 of the Tax Administration Act 1994</w:t>
      </w:r>
    </w:p>
    <w:p w14:paraId="48F85593" w14:textId="5C7F4859" w:rsidR="0072279A" w:rsidRPr="0072279A" w:rsidRDefault="0072279A" w:rsidP="0072279A">
      <w:pPr>
        <w:rPr>
          <w:rFonts w:cs="Segoe UI"/>
        </w:rPr>
      </w:pPr>
      <w:r w:rsidRPr="0072279A">
        <w:rPr>
          <w:rFonts w:cs="Segoe UI"/>
        </w:rPr>
        <w:t xml:space="preserve">The definition of “tax” in section 3 of the Tax Administration Act 1994 </w:t>
      </w:r>
      <w:r w:rsidR="00A86A2C">
        <w:rPr>
          <w:rFonts w:cs="Segoe UI"/>
        </w:rPr>
        <w:t>is</w:t>
      </w:r>
      <w:r w:rsidRPr="0072279A">
        <w:rPr>
          <w:rFonts w:cs="Segoe UI"/>
        </w:rPr>
        <w:t xml:space="preserve"> amended to include an amount payable in relation to the grant made under the scheme. The amendment would allow Inland Revenue to use its existing debt management and care and management powers to administer the grant.</w:t>
      </w:r>
    </w:p>
    <w:p w14:paraId="171C8630" w14:textId="0B0BA02C" w:rsidR="00211DB8" w:rsidRPr="004B1923" w:rsidRDefault="00211DB8" w:rsidP="004B1923">
      <w:pPr>
        <w:pStyle w:val="NoNumberHeading3"/>
      </w:pPr>
      <w:r w:rsidRPr="004B1923">
        <w:t>Section 7AAB of the Tax Administration Act 1994</w:t>
      </w:r>
    </w:p>
    <w:p w14:paraId="3098D98F" w14:textId="5AA2156B" w:rsidR="0072279A" w:rsidRPr="0072279A" w:rsidRDefault="0072279A" w:rsidP="0072279A">
      <w:pPr>
        <w:rPr>
          <w:rFonts w:cs="Segoe UI"/>
        </w:rPr>
      </w:pPr>
      <w:r w:rsidRPr="0072279A">
        <w:rPr>
          <w:rFonts w:cs="Segoe UI"/>
        </w:rPr>
        <w:t>The new section 7AAB authorises the Commissioner of Inland Revenue to make a grant under the scheme to an eligible applicant when the scheme has been activ</w:t>
      </w:r>
      <w:r w:rsidR="0076075B">
        <w:rPr>
          <w:rFonts w:cs="Segoe UI"/>
        </w:rPr>
        <w:t>ated</w:t>
      </w:r>
      <w:r w:rsidRPr="0072279A">
        <w:rPr>
          <w:rFonts w:cs="Segoe UI"/>
        </w:rPr>
        <w:t xml:space="preserve">. The </w:t>
      </w:r>
      <w:r w:rsidR="0015083B">
        <w:rPr>
          <w:rFonts w:cs="Segoe UI"/>
        </w:rPr>
        <w:t xml:space="preserve">subsection (1) </w:t>
      </w:r>
      <w:r w:rsidRPr="0072279A">
        <w:rPr>
          <w:rFonts w:cs="Segoe UI"/>
        </w:rPr>
        <w:t>outlines:</w:t>
      </w:r>
    </w:p>
    <w:p w14:paraId="705AB75E" w14:textId="77777777" w:rsidR="004B1923" w:rsidRDefault="0072279A" w:rsidP="00FF153D">
      <w:pPr>
        <w:pStyle w:val="Bullets"/>
      </w:pPr>
      <w:r w:rsidRPr="0072279A">
        <w:t>the main criteria for activating the scheme – an escalation in alert levels, and</w:t>
      </w:r>
    </w:p>
    <w:p w14:paraId="731E5189" w14:textId="7057B8D5" w:rsidR="0072279A" w:rsidRPr="0072279A" w:rsidRDefault="0072279A" w:rsidP="00FF153D">
      <w:pPr>
        <w:pStyle w:val="Bullets"/>
      </w:pPr>
      <w:r w:rsidRPr="0072279A">
        <w:t>the main eligibility criteria – that the applicant has suffered a significant reduction in revenue as a result of the escalation in alert levels.</w:t>
      </w:r>
    </w:p>
    <w:p w14:paraId="6D2AF5DE" w14:textId="40321F07" w:rsidR="0072279A" w:rsidRPr="0072279A" w:rsidRDefault="0072279A" w:rsidP="0072279A">
      <w:pPr>
        <w:rPr>
          <w:rFonts w:cs="Segoe UI"/>
        </w:rPr>
      </w:pPr>
      <w:r w:rsidRPr="0072279A">
        <w:rPr>
          <w:rFonts w:cs="Segoe UI"/>
        </w:rPr>
        <w:t xml:space="preserve">While the details of these two criteria have not been specified in the </w:t>
      </w:r>
      <w:r w:rsidR="002E23D0">
        <w:rPr>
          <w:rFonts w:cs="Segoe UI"/>
        </w:rPr>
        <w:t>Act</w:t>
      </w:r>
      <w:r w:rsidRPr="0072279A">
        <w:rPr>
          <w:rFonts w:cs="Segoe UI"/>
        </w:rPr>
        <w:t xml:space="preserve">, the policies underpinning the scheme are </w:t>
      </w:r>
      <w:r w:rsidR="004E1D4E">
        <w:rPr>
          <w:rFonts w:cs="Segoe UI"/>
        </w:rPr>
        <w:t>as follows.</w:t>
      </w:r>
    </w:p>
    <w:p w14:paraId="242744A7" w14:textId="7E4B7C39" w:rsidR="0072279A" w:rsidRPr="0072279A" w:rsidRDefault="004E1D4E" w:rsidP="00150CEB">
      <w:pPr>
        <w:pStyle w:val="Bullets"/>
      </w:pPr>
      <w:r>
        <w:t>T</w:t>
      </w:r>
      <w:r w:rsidR="0072279A" w:rsidRPr="0072279A">
        <w:t>he scheme may be activated when there is an increase in alert level from alert level</w:t>
      </w:r>
      <w:r w:rsidR="000E1426">
        <w:t> </w:t>
      </w:r>
      <w:r w:rsidR="0072279A" w:rsidRPr="0072279A">
        <w:t>1 to alert level 2 or higher</w:t>
      </w:r>
      <w:r w:rsidR="00B3373D">
        <w:t xml:space="preserve">, and after remaining at an alert level higher than 1 for </w:t>
      </w:r>
      <w:r w:rsidR="000E1426">
        <w:t>seven</w:t>
      </w:r>
      <w:r w:rsidR="00B3373D">
        <w:t xml:space="preserve"> days or more</w:t>
      </w:r>
      <w:r>
        <w:t>.</w:t>
      </w:r>
    </w:p>
    <w:p w14:paraId="11819004" w14:textId="78010563" w:rsidR="0072279A" w:rsidRDefault="004E1D4E" w:rsidP="00150CEB">
      <w:pPr>
        <w:pStyle w:val="Bullets"/>
      </w:pPr>
      <w:r>
        <w:t>A</w:t>
      </w:r>
      <w:r w:rsidR="0072279A" w:rsidRPr="0072279A">
        <w:t xml:space="preserve"> reduction in revenue of 30% or more constitutes “a significant reduction in revenue”. This is to be calculated by comparing a </w:t>
      </w:r>
      <w:r w:rsidR="000E1426">
        <w:t>seven</w:t>
      </w:r>
      <w:r w:rsidR="0072279A" w:rsidRPr="0072279A">
        <w:t xml:space="preserve">-day period at alert level 2 or higher with </w:t>
      </w:r>
      <w:r w:rsidR="00B3373D">
        <w:t xml:space="preserve">the typical weekly revenue </w:t>
      </w:r>
      <w:r w:rsidR="0072279A" w:rsidRPr="0072279A">
        <w:t xml:space="preserve">in the </w:t>
      </w:r>
      <w:r w:rsidR="000E1426">
        <w:t>six</w:t>
      </w:r>
      <w:r w:rsidR="0072279A" w:rsidRPr="0072279A">
        <w:t xml:space="preserve"> weeks preceding the move from alert level 1.</w:t>
      </w:r>
    </w:p>
    <w:p w14:paraId="1D601373" w14:textId="35C030B2" w:rsidR="000B0147" w:rsidRPr="0072279A" w:rsidRDefault="00BC0A6B" w:rsidP="00150CEB">
      <w:pPr>
        <w:pStyle w:val="Bullets"/>
      </w:pPr>
      <w:r>
        <w:t xml:space="preserve">The amount of decline in revenue will also be used to determine the size of the grant the applicant is eligible to receive. The amount of the grant will be the lower of the amount calculated using the formula ($1,500 plus $400 per FTE) and four times the amount the applicant’s revenue has declined by as declared by them </w:t>
      </w:r>
      <w:r w:rsidR="003D13BA">
        <w:t>in their application.</w:t>
      </w:r>
    </w:p>
    <w:p w14:paraId="327E98A9" w14:textId="088D89A5" w:rsidR="0072279A" w:rsidRPr="0072279A" w:rsidRDefault="0072279A" w:rsidP="0072279A">
      <w:pPr>
        <w:rPr>
          <w:rFonts w:cs="Segoe UI"/>
        </w:rPr>
      </w:pPr>
      <w:r w:rsidRPr="0072279A">
        <w:rPr>
          <w:rFonts w:cs="Segoe UI"/>
        </w:rPr>
        <w:t xml:space="preserve">In the event of an increase in alert levels from alert level 1, </w:t>
      </w:r>
      <w:r w:rsidR="00211DB8">
        <w:rPr>
          <w:rFonts w:cs="Segoe UI"/>
        </w:rPr>
        <w:t>subsection (2)</w:t>
      </w:r>
      <w:r w:rsidRPr="0072279A">
        <w:rPr>
          <w:rFonts w:cs="Segoe UI"/>
        </w:rPr>
        <w:t xml:space="preserve"> authorises the Commissioner of Inland Revenue to make a grant under the scheme to an eligible person </w:t>
      </w:r>
      <w:r w:rsidRPr="0072279A">
        <w:rPr>
          <w:rFonts w:cs="Segoe UI"/>
        </w:rPr>
        <w:lastRenderedPageBreak/>
        <w:t xml:space="preserve">provided that the scheme </w:t>
      </w:r>
      <w:r w:rsidR="006150ED">
        <w:rPr>
          <w:rFonts w:cs="Segoe UI"/>
        </w:rPr>
        <w:t>has been</w:t>
      </w:r>
      <w:r w:rsidRPr="0072279A">
        <w:rPr>
          <w:rFonts w:cs="Segoe UI"/>
        </w:rPr>
        <w:t xml:space="preserve"> activated by an Order in Council made under the new section 7AAC.</w:t>
      </w:r>
    </w:p>
    <w:p w14:paraId="3DB34F81" w14:textId="22288ACB" w:rsidR="0072279A" w:rsidRPr="0072279A" w:rsidRDefault="0072279A" w:rsidP="0072279A">
      <w:pPr>
        <w:rPr>
          <w:rFonts w:cs="Segoe UI"/>
        </w:rPr>
      </w:pPr>
      <w:r w:rsidRPr="0072279A">
        <w:rPr>
          <w:rFonts w:cs="Segoe UI"/>
        </w:rPr>
        <w:t xml:space="preserve">Once the scheme has been activated, </w:t>
      </w:r>
      <w:r w:rsidR="00683D7F">
        <w:rPr>
          <w:rFonts w:cs="Segoe UI"/>
        </w:rPr>
        <w:t xml:space="preserve">subsection (3) requires </w:t>
      </w:r>
      <w:r w:rsidRPr="0072279A">
        <w:rPr>
          <w:rFonts w:cs="Segoe UI"/>
        </w:rPr>
        <w:t>the Commissioner of Inland Revenue to determine and publish the eligibility criteria and determine the terms and conditions of the scheme.</w:t>
      </w:r>
    </w:p>
    <w:p w14:paraId="22FDE5FA" w14:textId="5DDD31C6" w:rsidR="0072279A" w:rsidRPr="0072279A" w:rsidRDefault="00683D7F" w:rsidP="0072279A">
      <w:pPr>
        <w:rPr>
          <w:rFonts w:cs="Segoe UI"/>
        </w:rPr>
      </w:pPr>
      <w:r>
        <w:rPr>
          <w:rFonts w:cs="Segoe UI"/>
        </w:rPr>
        <w:t>Subsection</w:t>
      </w:r>
      <w:r w:rsidR="00C06C09">
        <w:rPr>
          <w:rFonts w:cs="Segoe UI"/>
        </w:rPr>
        <w:t xml:space="preserve">s (6) and (7) </w:t>
      </w:r>
      <w:r w:rsidR="0072279A" w:rsidRPr="0072279A">
        <w:rPr>
          <w:rFonts w:cs="Segoe UI"/>
        </w:rPr>
        <w:t>require the entire amount of the grant, and any amount payable under the terms such as interest and penalties if any, to be paid back to the Commissioner of Inland Revenue under particular circumstances. This would ordinarily be when a person receives the grant despite not meeting the eligibility requirements, or when the recipient of the grant breach</w:t>
      </w:r>
      <w:r w:rsidR="00CC434F">
        <w:rPr>
          <w:rFonts w:cs="Segoe UI"/>
        </w:rPr>
        <w:t>es</w:t>
      </w:r>
      <w:r w:rsidR="0072279A" w:rsidRPr="0072279A">
        <w:rPr>
          <w:rFonts w:cs="Segoe UI"/>
        </w:rPr>
        <w:t xml:space="preserve"> the terms and conditions of the grant. However other circumstances may be specified in the terms and conditions.</w:t>
      </w:r>
    </w:p>
    <w:p w14:paraId="016C60B2" w14:textId="225CCF36" w:rsidR="0072279A" w:rsidRPr="0072279A" w:rsidRDefault="002E5DA1" w:rsidP="0072279A">
      <w:pPr>
        <w:rPr>
          <w:rFonts w:cs="Segoe UI"/>
        </w:rPr>
      </w:pPr>
      <w:r>
        <w:rPr>
          <w:rFonts w:cs="Segoe UI"/>
        </w:rPr>
        <w:t xml:space="preserve">Subsection (8) </w:t>
      </w:r>
      <w:r w:rsidR="0072279A" w:rsidRPr="0072279A">
        <w:rPr>
          <w:rFonts w:cs="Segoe UI"/>
        </w:rPr>
        <w:t>clarifies that the recipient of the grant must keep sufficient records to demonstrate that they meet the eligibility requirements and that they have not breached the terms and conditions. This information keeping requirement extends to the person who applied for the grant on behalf of the recipient.</w:t>
      </w:r>
    </w:p>
    <w:p w14:paraId="35C63AF8" w14:textId="11AB8E66" w:rsidR="0072279A" w:rsidRDefault="00B24E49" w:rsidP="0072279A">
      <w:pPr>
        <w:rPr>
          <w:rFonts w:cs="Segoe UI"/>
        </w:rPr>
      </w:pPr>
      <w:r>
        <w:rPr>
          <w:rFonts w:cs="Segoe UI"/>
        </w:rPr>
        <w:t xml:space="preserve">Subsection (10) </w:t>
      </w:r>
      <w:r w:rsidR="0072279A" w:rsidRPr="0072279A">
        <w:rPr>
          <w:rFonts w:cs="Segoe UI"/>
        </w:rPr>
        <w:t>allows for the scheme to be activated and grants made under this scheme for increases in alert levels prior to the enactment of this Bill.</w:t>
      </w:r>
    </w:p>
    <w:p w14:paraId="4CA19328" w14:textId="4F90464E" w:rsidR="00B24E49" w:rsidRPr="00DA26F3" w:rsidRDefault="00B24E49" w:rsidP="00DA26F3">
      <w:pPr>
        <w:pStyle w:val="NoNumberHeading3"/>
      </w:pPr>
      <w:r w:rsidRPr="00DA26F3">
        <w:t>Section 7AAC of the Tax Administration Act 1994</w:t>
      </w:r>
    </w:p>
    <w:p w14:paraId="10D11FAE" w14:textId="7897DAAB" w:rsidR="0072279A" w:rsidRPr="0072279A" w:rsidRDefault="0072279A" w:rsidP="0072279A">
      <w:pPr>
        <w:rPr>
          <w:rFonts w:cs="Segoe UI"/>
        </w:rPr>
      </w:pPr>
      <w:r w:rsidRPr="0072279A">
        <w:rPr>
          <w:rFonts w:cs="Segoe UI"/>
        </w:rPr>
        <w:t>The new section 7AAC allows the scheme to be activated by Order in Council. Such an Order in Council may</w:t>
      </w:r>
      <w:r w:rsidR="00F04A6F" w:rsidRPr="00F04A6F">
        <w:rPr>
          <w:rFonts w:cs="Segoe UI"/>
        </w:rPr>
        <w:t xml:space="preserve"> </w:t>
      </w:r>
      <w:r w:rsidR="00755E62" w:rsidRPr="0072279A">
        <w:rPr>
          <w:rFonts w:cs="Segoe UI"/>
        </w:rPr>
        <w:t xml:space="preserve">describe a class or classes of persons who may apply for support under the scheme </w:t>
      </w:r>
      <w:r w:rsidR="00755E62">
        <w:rPr>
          <w:rFonts w:cs="Segoe UI"/>
        </w:rPr>
        <w:t xml:space="preserve">and </w:t>
      </w:r>
      <w:r w:rsidR="00F04A6F" w:rsidRPr="0072279A">
        <w:rPr>
          <w:rFonts w:cs="Segoe UI"/>
        </w:rPr>
        <w:t>specify</w:t>
      </w:r>
      <w:r w:rsidRPr="0072279A">
        <w:rPr>
          <w:rFonts w:cs="Segoe UI"/>
        </w:rPr>
        <w:t>:</w:t>
      </w:r>
    </w:p>
    <w:p w14:paraId="41B8FE26" w14:textId="09CB57CB" w:rsidR="0072279A" w:rsidRPr="000E1426" w:rsidRDefault="0072279A" w:rsidP="000E1426">
      <w:pPr>
        <w:pStyle w:val="Bullets"/>
      </w:pPr>
      <w:r w:rsidRPr="000E1426">
        <w:t>the period in which the scheme will operate</w:t>
      </w:r>
    </w:p>
    <w:p w14:paraId="70FACA86" w14:textId="6366473B" w:rsidR="0072279A" w:rsidRPr="000E1426" w:rsidRDefault="00515B1B" w:rsidP="000E1426">
      <w:pPr>
        <w:pStyle w:val="Bullets"/>
      </w:pPr>
      <w:r w:rsidRPr="000E1426">
        <w:t>the amount of the grant</w:t>
      </w:r>
      <w:r w:rsidR="00D14E05" w:rsidRPr="000E1426">
        <w:t>, and</w:t>
      </w:r>
    </w:p>
    <w:p w14:paraId="6E83ACE2" w14:textId="65091BCB" w:rsidR="0072279A" w:rsidRPr="000E1426" w:rsidRDefault="00515B1B" w:rsidP="000E1426">
      <w:pPr>
        <w:pStyle w:val="Bullets"/>
      </w:pPr>
      <w:r w:rsidRPr="000E1426">
        <w:t>any amendments to the scheme as required</w:t>
      </w:r>
      <w:r w:rsidR="00D14E05" w:rsidRPr="000E1426">
        <w:t>.</w:t>
      </w:r>
    </w:p>
    <w:p w14:paraId="4C8C586E" w14:textId="6A8D22DB" w:rsidR="0072279A" w:rsidRPr="0072279A" w:rsidRDefault="00DC2C31" w:rsidP="0072279A">
      <w:pPr>
        <w:rPr>
          <w:rFonts w:cs="Segoe UI"/>
        </w:rPr>
      </w:pPr>
      <w:r>
        <w:rPr>
          <w:rFonts w:cs="Segoe UI"/>
        </w:rPr>
        <w:t>S</w:t>
      </w:r>
      <w:r w:rsidR="0072279A" w:rsidRPr="0072279A">
        <w:rPr>
          <w:rFonts w:cs="Segoe UI"/>
        </w:rPr>
        <w:t>ection 7AAC also allows the Order in Council to extend, renew, or replace a time limit in relation to the publication of information in relation to the scheme.</w:t>
      </w:r>
    </w:p>
    <w:p w14:paraId="450B7457" w14:textId="7D16DD01" w:rsidR="00891778" w:rsidRPr="00DA26F3" w:rsidRDefault="00891778" w:rsidP="00DA26F3">
      <w:pPr>
        <w:pStyle w:val="NoNumberHeading3"/>
      </w:pPr>
      <w:r w:rsidRPr="00DA26F3">
        <w:t>Section 157 of the Tax Administration Act 1994</w:t>
      </w:r>
    </w:p>
    <w:p w14:paraId="3F295764" w14:textId="7129672C" w:rsidR="0072279A" w:rsidRDefault="0072279A" w:rsidP="0072279A">
      <w:pPr>
        <w:rPr>
          <w:rFonts w:cs="Segoe UI"/>
        </w:rPr>
      </w:pPr>
      <w:r w:rsidRPr="0072279A">
        <w:rPr>
          <w:rFonts w:cs="Segoe UI"/>
        </w:rPr>
        <w:t xml:space="preserve">The definition of “income tax” in section 157(10) of the Tax Administration Act 1994 </w:t>
      </w:r>
      <w:r w:rsidR="004E2D01">
        <w:rPr>
          <w:rFonts w:cs="Segoe UI"/>
        </w:rPr>
        <w:t>is</w:t>
      </w:r>
      <w:r w:rsidRPr="0072279A">
        <w:rPr>
          <w:rFonts w:cs="Segoe UI"/>
        </w:rPr>
        <w:t xml:space="preserve"> amended to include the entire amount of the grant that the recipient has to pay back. In the event that the recipient makes a default in the repayment of the grant to the Commissioner </w:t>
      </w:r>
      <w:r w:rsidRPr="0072279A">
        <w:rPr>
          <w:rFonts w:cs="Segoe UI"/>
        </w:rPr>
        <w:lastRenderedPageBreak/>
        <w:t>of Inland Revenue, the Commissioner is able to pursue the outstanding balance by issuing a notice under section 157.</w:t>
      </w:r>
    </w:p>
    <w:p w14:paraId="288EE47C" w14:textId="03108275" w:rsidR="00891778" w:rsidRPr="00DA26F3" w:rsidRDefault="00341BAC" w:rsidP="00DA26F3">
      <w:pPr>
        <w:pStyle w:val="NoNumberHeading3"/>
      </w:pPr>
      <w:r w:rsidRPr="00DA26F3">
        <w:t>S</w:t>
      </w:r>
      <w:r w:rsidR="007D08DC" w:rsidRPr="00DA26F3">
        <w:t xml:space="preserve">chedule 7, </w:t>
      </w:r>
      <w:r w:rsidR="000E1426">
        <w:t>P</w:t>
      </w:r>
      <w:r w:rsidR="007D08DC" w:rsidRPr="00DA26F3">
        <w:t xml:space="preserve">art A, </w:t>
      </w:r>
      <w:r w:rsidRPr="00DA26F3">
        <w:t xml:space="preserve">clause 13B </w:t>
      </w:r>
      <w:r w:rsidR="007D08DC" w:rsidRPr="00DA26F3">
        <w:t>of the Tax Administration Act 1994</w:t>
      </w:r>
    </w:p>
    <w:p w14:paraId="300A7298" w14:textId="068CBF1F" w:rsidR="0072279A" w:rsidRDefault="0072279A" w:rsidP="0072279A">
      <w:pPr>
        <w:rPr>
          <w:rFonts w:cs="Segoe UI"/>
        </w:rPr>
      </w:pPr>
      <w:r w:rsidRPr="0072279A">
        <w:rPr>
          <w:rFonts w:cs="Segoe UI"/>
        </w:rPr>
        <w:t xml:space="preserve">The new clause 13B in schedule 7, </w:t>
      </w:r>
      <w:r w:rsidR="000E1426">
        <w:rPr>
          <w:rFonts w:cs="Segoe UI"/>
        </w:rPr>
        <w:t>P</w:t>
      </w:r>
      <w:r w:rsidRPr="0072279A">
        <w:rPr>
          <w:rFonts w:cs="Segoe UI"/>
        </w:rPr>
        <w:t>art A, of the Tax Administration Act 1994 allows the Commissioner of Inland Revenue to publish information relating to the scheme. Information that the Commissioner intends to publish include</w:t>
      </w:r>
      <w:r w:rsidR="00326F7B">
        <w:rPr>
          <w:rFonts w:cs="Segoe UI"/>
        </w:rPr>
        <w:t>s</w:t>
      </w:r>
      <w:r w:rsidRPr="0072279A">
        <w:rPr>
          <w:rFonts w:cs="Segoe UI"/>
        </w:rPr>
        <w:t xml:space="preserve"> the names of the persons to whom the Commissioner makes a grant under the scheme. However, the Commissioner is limited in the types of information that can be published and the clause imposes a time limit of 24 months for the information to remain published. This time limit may be extended by Order in Council made under section 7AAC on the recommendation of the Minister of Revenue.</w:t>
      </w:r>
    </w:p>
    <w:p w14:paraId="39B00D73" w14:textId="268D2EC6" w:rsidR="00843C5F" w:rsidRDefault="00B1466B" w:rsidP="0072279A">
      <w:pPr>
        <w:rPr>
          <w:rFonts w:cs="Segoe UI"/>
        </w:rPr>
      </w:pPr>
      <w:r>
        <w:rPr>
          <w:rFonts w:cs="Segoe UI"/>
        </w:rPr>
        <w:t>Alt</w:t>
      </w:r>
      <w:r w:rsidR="004A7AE1">
        <w:rPr>
          <w:rFonts w:cs="Segoe UI"/>
        </w:rPr>
        <w:t xml:space="preserve">hough this is </w:t>
      </w:r>
      <w:r w:rsidR="007125B0">
        <w:rPr>
          <w:rFonts w:cs="Segoe UI"/>
        </w:rPr>
        <w:t xml:space="preserve">not specified in the Act, the </w:t>
      </w:r>
      <w:r w:rsidR="004A7AE1">
        <w:rPr>
          <w:rFonts w:cs="Segoe UI"/>
        </w:rPr>
        <w:t xml:space="preserve">current policy on the publication of information is that </w:t>
      </w:r>
      <w:r w:rsidR="002A6C4F">
        <w:rPr>
          <w:rFonts w:cs="Segoe UI"/>
        </w:rPr>
        <w:t>only the following will be published:</w:t>
      </w:r>
    </w:p>
    <w:p w14:paraId="17424E93" w14:textId="6582F047" w:rsidR="002A6C4F" w:rsidRDefault="002A6C4F" w:rsidP="00CE063C">
      <w:pPr>
        <w:pStyle w:val="Bullets"/>
      </w:pPr>
      <w:r>
        <w:t>the name of the recipient of the grant</w:t>
      </w:r>
    </w:p>
    <w:p w14:paraId="6294C1AD" w14:textId="1CF67A01" w:rsidR="002A6C4F" w:rsidRDefault="002A6C4F" w:rsidP="00CE063C">
      <w:pPr>
        <w:pStyle w:val="Bullets"/>
      </w:pPr>
      <w:r>
        <w:t>the amount paid</w:t>
      </w:r>
      <w:r w:rsidR="0008506A">
        <w:t>, and</w:t>
      </w:r>
    </w:p>
    <w:p w14:paraId="46C3C9C1" w14:textId="6DC18070" w:rsidR="002A6C4F" w:rsidRDefault="002A6C4F" w:rsidP="00CE063C">
      <w:pPr>
        <w:pStyle w:val="Bullets"/>
      </w:pPr>
      <w:r>
        <w:t>the period of alert level escalation for which this payment relates</w:t>
      </w:r>
      <w:r w:rsidR="00E814A6">
        <w:t>.</w:t>
      </w:r>
    </w:p>
    <w:p w14:paraId="11A0F55D" w14:textId="4C4A16F8" w:rsidR="00E814A6" w:rsidRDefault="003F2662" w:rsidP="00E814A6">
      <w:pPr>
        <w:rPr>
          <w:rFonts w:cs="Segoe UI"/>
        </w:rPr>
      </w:pPr>
      <w:r>
        <w:rPr>
          <w:rFonts w:cs="Segoe UI"/>
        </w:rPr>
        <w:t>However, the above will not be published if:</w:t>
      </w:r>
    </w:p>
    <w:p w14:paraId="516018A3" w14:textId="1B0747CB" w:rsidR="003F2662" w:rsidRDefault="0008506A" w:rsidP="00CE063C">
      <w:pPr>
        <w:pStyle w:val="Bullets"/>
      </w:pPr>
      <w:r>
        <w:t>th</w:t>
      </w:r>
      <w:r w:rsidR="003F2662">
        <w:t xml:space="preserve">e </w:t>
      </w:r>
      <w:r>
        <w:t xml:space="preserve">recipient has </w:t>
      </w:r>
      <w:r w:rsidR="001B1747">
        <w:t xml:space="preserve">fewer </w:t>
      </w:r>
      <w:r>
        <w:t xml:space="preserve">than </w:t>
      </w:r>
      <w:r w:rsidR="001B1747">
        <w:t xml:space="preserve">three </w:t>
      </w:r>
      <w:r>
        <w:t>employees, or</w:t>
      </w:r>
    </w:p>
    <w:p w14:paraId="0A8F66CB" w14:textId="0159F4DE" w:rsidR="0008506A" w:rsidRDefault="0008506A" w:rsidP="00CE063C">
      <w:pPr>
        <w:pStyle w:val="Bullets"/>
      </w:pPr>
      <w:r>
        <w:t xml:space="preserve">the </w:t>
      </w:r>
      <w:r w:rsidR="004F26C5">
        <w:t xml:space="preserve">amount paid is capped </w:t>
      </w:r>
      <w:r w:rsidR="001B1747">
        <w:t xml:space="preserve">four </w:t>
      </w:r>
      <w:r w:rsidR="000B4FCE">
        <w:t>times the declared revenue decline.</w:t>
      </w:r>
    </w:p>
    <w:p w14:paraId="615F724E" w14:textId="7714A389" w:rsidR="00661060" w:rsidRPr="00661060" w:rsidRDefault="00661060" w:rsidP="00661060">
      <w:pPr>
        <w:rPr>
          <w:rFonts w:cs="Segoe UI"/>
        </w:rPr>
      </w:pPr>
      <w:r>
        <w:rPr>
          <w:rFonts w:cs="Segoe UI"/>
        </w:rPr>
        <w:t>The information will be published on a searchable database on the Inland Revenue website</w:t>
      </w:r>
      <w:r w:rsidR="001E36D6">
        <w:rPr>
          <w:rFonts w:cs="Segoe UI"/>
        </w:rPr>
        <w:t>.</w:t>
      </w:r>
    </w:p>
    <w:p w14:paraId="5945C0D1" w14:textId="4BD6ECB9" w:rsidR="002E4C59" w:rsidRPr="00DA26F3" w:rsidRDefault="002E4C59" w:rsidP="00DA26F3">
      <w:pPr>
        <w:pStyle w:val="NoNumberHeading3"/>
      </w:pPr>
      <w:r w:rsidRPr="00DA26F3">
        <w:t>Section MB 13 of the Income Tax Act 2007</w:t>
      </w:r>
    </w:p>
    <w:p w14:paraId="1BDAEDD7" w14:textId="729DF785" w:rsidR="0072279A" w:rsidRDefault="0072279A" w:rsidP="0072279A">
      <w:pPr>
        <w:rPr>
          <w:rFonts w:cs="Segoe UI"/>
        </w:rPr>
      </w:pPr>
      <w:r w:rsidRPr="0072279A">
        <w:rPr>
          <w:rFonts w:cs="Segoe UI"/>
        </w:rPr>
        <w:t>The amendment to section MB 13 of the Income Tax Act 2007 excludes a payment under the scheme from the calculation of a person’s family scheme income. The rationale behind this is a grant made under the scheme is for business purposes only. As the grant is not available for private use, it should not be included in calculating a person’s family scheme income.</w:t>
      </w:r>
    </w:p>
    <w:p w14:paraId="29657B40" w14:textId="7D7CE76A" w:rsidR="002F5613" w:rsidRPr="00DA26F3" w:rsidRDefault="002F5613" w:rsidP="00DA26F3">
      <w:pPr>
        <w:pStyle w:val="NoNumberHeading3"/>
      </w:pPr>
      <w:r w:rsidRPr="00DA26F3">
        <w:t>Section YA 1 of the Income Tax Act 2007</w:t>
      </w:r>
    </w:p>
    <w:p w14:paraId="5D283A3E" w14:textId="266A07A1" w:rsidR="000B1C2F" w:rsidRPr="000E1426" w:rsidRDefault="0072279A" w:rsidP="000B1C2F">
      <w:pPr>
        <w:rPr>
          <w:rFonts w:cs="Segoe UI"/>
        </w:rPr>
      </w:pPr>
      <w:r w:rsidRPr="0072279A">
        <w:rPr>
          <w:rFonts w:cs="Segoe UI"/>
        </w:rPr>
        <w:t xml:space="preserve">The definition of “exempt interest” in section YA 1 of the Income Tax Act 2007 </w:t>
      </w:r>
      <w:r w:rsidR="003B5C0C">
        <w:rPr>
          <w:rFonts w:cs="Segoe UI"/>
        </w:rPr>
        <w:t>is</w:t>
      </w:r>
      <w:r w:rsidRPr="0072279A">
        <w:rPr>
          <w:rFonts w:cs="Segoe UI"/>
        </w:rPr>
        <w:t xml:space="preserve"> amended to include interest payable in relation to the repayment of a grant under the scheme. This amendment relates to resident withholding tax (RWT) and ensures the grant recipient does not have to deduct RWT on any interest charged by the Commissioner of Inland Revenue.</w:t>
      </w:r>
    </w:p>
    <w:p w14:paraId="6B4F517C" w14:textId="293ADF1F" w:rsidR="00BF700A" w:rsidRDefault="00F73E87" w:rsidP="00BF700A">
      <w:pPr>
        <w:pStyle w:val="NoNumberHeading1"/>
      </w:pPr>
      <w:bookmarkStart w:id="12" w:name="_Toc64990769"/>
      <w:r>
        <w:lastRenderedPageBreak/>
        <w:t xml:space="preserve">Minimum </w:t>
      </w:r>
      <w:r w:rsidR="001B1271">
        <w:t>f</w:t>
      </w:r>
      <w:r>
        <w:t xml:space="preserve">amily </w:t>
      </w:r>
      <w:r w:rsidR="001B1271">
        <w:t>t</w:t>
      </w:r>
      <w:r>
        <w:t xml:space="preserve">ax </w:t>
      </w:r>
      <w:r w:rsidR="001B1271">
        <w:t>c</w:t>
      </w:r>
      <w:r>
        <w:t xml:space="preserve">redit </w:t>
      </w:r>
      <w:r w:rsidR="0012244A">
        <w:t>threshold increased</w:t>
      </w:r>
      <w:bookmarkEnd w:id="12"/>
    </w:p>
    <w:p w14:paraId="5CF5F0A4" w14:textId="45D97C3C" w:rsidR="00BF700A" w:rsidRPr="000E1426" w:rsidRDefault="000B1C2F" w:rsidP="00BF700A">
      <w:pPr>
        <w:rPr>
          <w:b/>
          <w:bCs/>
          <w:i/>
          <w:iCs/>
        </w:rPr>
      </w:pPr>
      <w:r w:rsidRPr="000E1426">
        <w:rPr>
          <w:b/>
          <w:bCs/>
          <w:i/>
          <w:iCs/>
        </w:rPr>
        <w:t>S</w:t>
      </w:r>
      <w:r w:rsidR="001D7765" w:rsidRPr="000E1426">
        <w:rPr>
          <w:b/>
          <w:bCs/>
          <w:i/>
          <w:iCs/>
        </w:rPr>
        <w:t xml:space="preserve">ection </w:t>
      </w:r>
      <w:r w:rsidR="00406596" w:rsidRPr="000E1426">
        <w:rPr>
          <w:b/>
          <w:bCs/>
          <w:i/>
          <w:iCs/>
        </w:rPr>
        <w:t>ME 1 of the Income Tax Act 2007</w:t>
      </w:r>
    </w:p>
    <w:p w14:paraId="621DA150" w14:textId="719EE212" w:rsidR="00BF700A" w:rsidRDefault="00197F2D" w:rsidP="00BF700A">
      <w:r>
        <w:t xml:space="preserve">The Act </w:t>
      </w:r>
      <w:r w:rsidR="001751D0">
        <w:t>increases the minimum family tax credit (MFTC) threshold to align with the increases in benefit abatement thresholds.</w:t>
      </w:r>
    </w:p>
    <w:p w14:paraId="25C25CD2" w14:textId="77777777" w:rsidR="000B1C2F" w:rsidRDefault="000B1C2F" w:rsidP="000B1C2F">
      <w:pPr>
        <w:pStyle w:val="NoNumberHeading2"/>
      </w:pPr>
      <w:bookmarkStart w:id="13" w:name="_Toc64449848"/>
      <w:bookmarkStart w:id="14" w:name="_Toc64637540"/>
      <w:bookmarkStart w:id="15" w:name="_Toc64976850"/>
      <w:r w:rsidRPr="000B1C2F">
        <w:t>Background</w:t>
      </w:r>
      <w:bookmarkEnd w:id="13"/>
      <w:bookmarkEnd w:id="14"/>
      <w:bookmarkEnd w:id="15"/>
    </w:p>
    <w:p w14:paraId="6A838BF4" w14:textId="2221B498" w:rsidR="00D068CA" w:rsidRDefault="00D068CA" w:rsidP="000B1C2F">
      <w:r>
        <w:t>From 1 April 2021, the benefit abatement thresholds will increase, allowing beneficiaries to earn a greater amount of additional income before their benefits start to reduce. As a consequence, the MFTC threshold is increased from 1 April 2021.</w:t>
      </w:r>
    </w:p>
    <w:p w14:paraId="526E313C" w14:textId="2876B53B" w:rsidR="000B1C2F" w:rsidRDefault="000B1C2F" w:rsidP="007D14A2">
      <w:pPr>
        <w:pStyle w:val="NoNumberHeading2"/>
      </w:pPr>
      <w:r w:rsidRPr="000B1C2F">
        <w:t>Key features</w:t>
      </w:r>
    </w:p>
    <w:p w14:paraId="4729357E" w14:textId="08E72A72" w:rsidR="000B1C2F" w:rsidRDefault="004B2B75" w:rsidP="003534F3">
      <w:r>
        <w:t xml:space="preserve">The Act increases </w:t>
      </w:r>
      <w:r w:rsidR="004841F6">
        <w:t xml:space="preserve">the MFTC threshold (described as </w:t>
      </w:r>
      <w:r>
        <w:t xml:space="preserve">the </w:t>
      </w:r>
      <w:r w:rsidR="00B527B4">
        <w:t>“</w:t>
      </w:r>
      <w:r>
        <w:t>prescribed amount</w:t>
      </w:r>
      <w:r w:rsidR="00EC304A">
        <w:t>”</w:t>
      </w:r>
      <w:r>
        <w:t xml:space="preserve"> </w:t>
      </w:r>
      <w:r w:rsidR="00307939">
        <w:t>in</w:t>
      </w:r>
      <w:r w:rsidR="0050752A">
        <w:t xml:space="preserve"> </w:t>
      </w:r>
      <w:r w:rsidR="000D561A">
        <w:t>section</w:t>
      </w:r>
      <w:r w:rsidR="00232E1F">
        <w:t> </w:t>
      </w:r>
      <w:r w:rsidR="000D561A">
        <w:t>ME</w:t>
      </w:r>
      <w:r w:rsidR="00232E1F">
        <w:t> </w:t>
      </w:r>
      <w:r w:rsidR="000D561A">
        <w:t xml:space="preserve">1(3)(a)) </w:t>
      </w:r>
      <w:r w:rsidR="002F4BB6">
        <w:t>of the Income Tax Act 2007)</w:t>
      </w:r>
      <w:r w:rsidR="00FE79EA">
        <w:t xml:space="preserve"> </w:t>
      </w:r>
      <w:r w:rsidR="0009679E">
        <w:t>from $29,432 to $30,576</w:t>
      </w:r>
      <w:r w:rsidR="005538CF">
        <w:t>,</w:t>
      </w:r>
      <w:r w:rsidR="009C0766">
        <w:t xml:space="preserve"> for the purposes of</w:t>
      </w:r>
      <w:r w:rsidR="00127C6F">
        <w:t xml:space="preserve"> </w:t>
      </w:r>
      <w:r>
        <w:t xml:space="preserve">calculating </w:t>
      </w:r>
      <w:r w:rsidR="004F119C">
        <w:t>MFTC</w:t>
      </w:r>
      <w:r>
        <w:t xml:space="preserve"> </w:t>
      </w:r>
      <w:r w:rsidR="00B527B4">
        <w:t>entitlement</w:t>
      </w:r>
      <w:r w:rsidR="00E046C0">
        <w:t>s</w:t>
      </w:r>
      <w:r w:rsidR="00B527B4">
        <w:t xml:space="preserve"> </w:t>
      </w:r>
      <w:r w:rsidR="00D439CD">
        <w:t>(</w:t>
      </w:r>
      <w:r>
        <w:t>section ME 1(</w:t>
      </w:r>
      <w:r w:rsidR="009C0766">
        <w:t>2</w:t>
      </w:r>
      <w:r>
        <w:t>)</w:t>
      </w:r>
      <w:r w:rsidR="00E07CEA">
        <w:t>)</w:t>
      </w:r>
      <w:r>
        <w:t>.</w:t>
      </w:r>
      <w:r w:rsidR="0073114D">
        <w:t xml:space="preserve"> </w:t>
      </w:r>
      <w:r w:rsidR="008F0CD8">
        <w:t xml:space="preserve">The </w:t>
      </w:r>
      <w:r w:rsidR="0096228D">
        <w:t xml:space="preserve">increase in the prescribed amount </w:t>
      </w:r>
      <w:r w:rsidR="00C832A4">
        <w:t xml:space="preserve">represents a $22 </w:t>
      </w:r>
      <w:r w:rsidR="005807D3">
        <w:t>increase in weekly income</w:t>
      </w:r>
      <w:r w:rsidR="0096228D">
        <w:t xml:space="preserve"> for MFTC recipients</w:t>
      </w:r>
      <w:r w:rsidR="005807D3">
        <w:t>.</w:t>
      </w:r>
    </w:p>
    <w:p w14:paraId="12F5FE1D" w14:textId="77777777" w:rsidR="000B1C2F" w:rsidRDefault="000B1C2F" w:rsidP="007D14A2">
      <w:pPr>
        <w:pStyle w:val="NoNumberHeading2"/>
      </w:pPr>
      <w:r w:rsidRPr="000B1C2F">
        <w:t>Application date</w:t>
      </w:r>
    </w:p>
    <w:p w14:paraId="4E8B761A" w14:textId="77777777" w:rsidR="00C53F2D" w:rsidRDefault="000B1C2F" w:rsidP="00541AA1">
      <w:r w:rsidRPr="000B1C2F">
        <w:t xml:space="preserve">The </w:t>
      </w:r>
      <w:r w:rsidR="00557387">
        <w:t>increase applies from 1 April 2021</w:t>
      </w:r>
      <w:r w:rsidR="007E5F40">
        <w:t>.</w:t>
      </w:r>
    </w:p>
    <w:p w14:paraId="6C20FB4C" w14:textId="63F524A3" w:rsidR="00604277" w:rsidRPr="00541AA1" w:rsidRDefault="00604277" w:rsidP="00541AA1">
      <w:r>
        <w:br w:type="page"/>
      </w:r>
    </w:p>
    <w:p w14:paraId="15A838FA" w14:textId="77777777" w:rsidR="00804A54" w:rsidRDefault="00804A54" w:rsidP="001C1031">
      <w:pPr>
        <w:pStyle w:val="NoNumberHeading1"/>
      </w:pPr>
      <w:bookmarkStart w:id="16" w:name="_Toc64990770"/>
      <w:r>
        <w:lastRenderedPageBreak/>
        <w:t>References</w:t>
      </w:r>
      <w:bookmarkEnd w:id="16"/>
    </w:p>
    <w:p w14:paraId="719E7F4C" w14:textId="5C5950D7" w:rsidR="00804A54" w:rsidRPr="003B26DA" w:rsidRDefault="00804A54" w:rsidP="00804A54">
      <w:pPr>
        <w:pStyle w:val="NoNumberHeading2"/>
      </w:pPr>
      <w:bookmarkStart w:id="17" w:name="_Toc64637542"/>
      <w:bookmarkStart w:id="18" w:name="_Toc64976852"/>
      <w:r>
        <w:t xml:space="preserve">Legislative </w:t>
      </w:r>
      <w:r w:rsidR="005C18B0">
        <w:t>r</w:t>
      </w:r>
      <w:r>
        <w:t>eferences</w:t>
      </w:r>
      <w:bookmarkEnd w:id="17"/>
      <w:bookmarkEnd w:id="18"/>
    </w:p>
    <w:p w14:paraId="3D26C91C" w14:textId="13FE06C0" w:rsidR="000E1426" w:rsidRDefault="000E1426" w:rsidP="004C0DE6">
      <w:pPr>
        <w:rPr>
          <w:b/>
          <w:bCs/>
        </w:rPr>
      </w:pPr>
      <w:r w:rsidRPr="00E2715F">
        <w:rPr>
          <w:b/>
          <w:bCs/>
        </w:rPr>
        <w:t>Income Tax Act 2007</w:t>
      </w:r>
      <w:r>
        <w:rPr>
          <w:b/>
          <w:bCs/>
        </w:rPr>
        <w:t xml:space="preserve">: </w:t>
      </w:r>
      <w:r w:rsidRPr="004D47B7">
        <w:t>sections MB 13, ME 1 and YA 1</w:t>
      </w:r>
    </w:p>
    <w:p w14:paraId="68867474" w14:textId="586F33E5" w:rsidR="00604277" w:rsidRPr="004D47B7" w:rsidRDefault="001C17E7" w:rsidP="004C0DE6">
      <w:pPr>
        <w:rPr>
          <w:b/>
          <w:bCs/>
        </w:rPr>
      </w:pPr>
      <w:r w:rsidRPr="00E2715F">
        <w:rPr>
          <w:b/>
          <w:bCs/>
        </w:rPr>
        <w:t>Tax Administration Act 1994</w:t>
      </w:r>
      <w:r w:rsidR="00E2715F">
        <w:rPr>
          <w:b/>
          <w:bCs/>
        </w:rPr>
        <w:t xml:space="preserve">: </w:t>
      </w:r>
      <w:r w:rsidR="00380345" w:rsidRPr="004D47B7">
        <w:t>s</w:t>
      </w:r>
      <w:r w:rsidR="0086134C" w:rsidRPr="004D47B7">
        <w:t>ections 3, 7AAB, 7AAC, 157, and schedule 7</w:t>
      </w:r>
    </w:p>
    <w:p w14:paraId="54CE5EB7" w14:textId="77777777" w:rsidR="00804A54" w:rsidRDefault="00CA7E72" w:rsidP="00AC5F18">
      <w:pPr>
        <w:pStyle w:val="NoNumberHeading1"/>
      </w:pPr>
      <w:bookmarkStart w:id="19" w:name="_Toc64990771"/>
      <w:r w:rsidRPr="00E2715F">
        <w:t>About this d</w:t>
      </w:r>
      <w:r>
        <w:t>ocument</w:t>
      </w:r>
      <w:bookmarkEnd w:id="19"/>
    </w:p>
    <w:p w14:paraId="0C146FC5" w14:textId="580BD86F" w:rsidR="00BE6392" w:rsidRDefault="002239AF" w:rsidP="00BE6392">
      <w:r w:rsidRPr="002239AF">
        <w:t xml:space="preserve">Special reports are published shortly after </w:t>
      </w:r>
      <w:r w:rsidR="004D47B7">
        <w:t xml:space="preserve">new legislation </w:t>
      </w:r>
      <w:r w:rsidRPr="002239AF">
        <w:t xml:space="preserve">is enacted 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2368DE">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DBC4A" w14:textId="77777777" w:rsidR="00DF6DA5" w:rsidRDefault="00DF6DA5" w:rsidP="00FE3402">
      <w:pPr>
        <w:spacing w:before="0" w:after="0" w:line="240" w:lineRule="auto"/>
      </w:pPr>
      <w:r>
        <w:separator/>
      </w:r>
    </w:p>
    <w:p w14:paraId="557D3228" w14:textId="77777777" w:rsidR="00DF6DA5" w:rsidRDefault="00DF6DA5"/>
    <w:p w14:paraId="3EFA091D" w14:textId="77777777" w:rsidR="00DF6DA5" w:rsidRDefault="00DF6DA5"/>
  </w:endnote>
  <w:endnote w:type="continuationSeparator" w:id="0">
    <w:p w14:paraId="4082C6A0" w14:textId="77777777" w:rsidR="00DF6DA5" w:rsidRDefault="00DF6DA5" w:rsidP="00FE3402">
      <w:pPr>
        <w:spacing w:before="0" w:after="0" w:line="240" w:lineRule="auto"/>
      </w:pPr>
      <w:r>
        <w:continuationSeparator/>
      </w:r>
    </w:p>
    <w:p w14:paraId="740AB1B4" w14:textId="77777777" w:rsidR="00DF6DA5" w:rsidRDefault="00DF6DA5"/>
    <w:p w14:paraId="59502E77" w14:textId="77777777" w:rsidR="00DF6DA5" w:rsidRDefault="00DF6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6C48" w14:textId="77777777" w:rsidR="008708F5" w:rsidRDefault="008708F5">
    <w:pPr>
      <w:pStyle w:val="Footer"/>
    </w:pPr>
  </w:p>
  <w:p w14:paraId="7CCAFAF7" w14:textId="77777777" w:rsidR="008708F5" w:rsidRDefault="008708F5"/>
  <w:p w14:paraId="120ADCD4"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29526A08" w14:textId="77777777" w:rsidTr="002368DE">
      <w:tc>
        <w:tcPr>
          <w:tcW w:w="3005" w:type="dxa"/>
        </w:tcPr>
        <w:p w14:paraId="69E9E656" w14:textId="77777777" w:rsidR="008708F5" w:rsidRDefault="008708F5" w:rsidP="002368DE">
          <w:pPr>
            <w:pStyle w:val="Footer"/>
          </w:pPr>
        </w:p>
      </w:tc>
      <w:tc>
        <w:tcPr>
          <w:tcW w:w="3005" w:type="dxa"/>
        </w:tcPr>
        <w:p w14:paraId="4D365DD0" w14:textId="77777777" w:rsidR="008708F5" w:rsidRDefault="008708F5" w:rsidP="002368DE">
          <w:pPr>
            <w:pStyle w:val="Footer"/>
            <w:jc w:val="center"/>
          </w:pPr>
        </w:p>
      </w:tc>
      <w:tc>
        <w:tcPr>
          <w:tcW w:w="3006" w:type="dxa"/>
        </w:tcPr>
        <w:p w14:paraId="39B9D5F8"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DF6DA5">
            <w:fldChar w:fldCharType="begin"/>
          </w:r>
          <w:r w:rsidR="00DF6DA5">
            <w:instrText xml:space="preserve"> NUMPAGES  \* Arabic  \* MERGEFORMAT </w:instrText>
          </w:r>
          <w:r w:rsidR="00DF6DA5">
            <w:fldChar w:fldCharType="separate"/>
          </w:r>
          <w:r w:rsidRPr="00B0626E">
            <w:t>2</w:t>
          </w:r>
          <w:r w:rsidR="00DF6DA5">
            <w:fldChar w:fldCharType="end"/>
          </w:r>
        </w:p>
      </w:tc>
    </w:tr>
  </w:tbl>
  <w:p w14:paraId="600F6017"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64C930D2" w14:textId="77777777" w:rsidTr="00234CCE">
      <w:tc>
        <w:tcPr>
          <w:tcW w:w="3005" w:type="dxa"/>
        </w:tcPr>
        <w:p w14:paraId="0E2ED5B5" w14:textId="77777777" w:rsidR="008708F5" w:rsidRDefault="008708F5" w:rsidP="004A27B6">
          <w:pPr>
            <w:pStyle w:val="Footer"/>
          </w:pPr>
        </w:p>
      </w:tc>
      <w:tc>
        <w:tcPr>
          <w:tcW w:w="3005" w:type="dxa"/>
        </w:tcPr>
        <w:p w14:paraId="35C9326F" w14:textId="07241C4B" w:rsidR="008708F5" w:rsidRDefault="008708F5" w:rsidP="004A27B6">
          <w:pPr>
            <w:pStyle w:val="Footer"/>
            <w:jc w:val="center"/>
          </w:pPr>
        </w:p>
      </w:tc>
      <w:tc>
        <w:tcPr>
          <w:tcW w:w="3006" w:type="dxa"/>
        </w:tcPr>
        <w:p w14:paraId="02A09037" w14:textId="076345CE" w:rsidR="008708F5" w:rsidRDefault="008708F5" w:rsidP="004A27B6">
          <w:pPr>
            <w:pStyle w:val="Footer"/>
            <w:jc w:val="right"/>
          </w:pPr>
          <w:r>
            <w:rPr>
              <w:color w:val="auto"/>
            </w:rPr>
            <w:t xml:space="preserve">   </w:t>
          </w:r>
        </w:p>
      </w:tc>
    </w:tr>
  </w:tbl>
  <w:p w14:paraId="1562D3E4" w14:textId="35C7C452"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8D2C" w14:textId="77777777" w:rsidR="00DF6DA5" w:rsidRDefault="00DF6DA5" w:rsidP="00FE3402">
      <w:pPr>
        <w:spacing w:before="0" w:after="0" w:line="240" w:lineRule="auto"/>
      </w:pPr>
      <w:r>
        <w:separator/>
      </w:r>
    </w:p>
    <w:p w14:paraId="4E0088F5" w14:textId="77777777" w:rsidR="00DF6DA5" w:rsidRDefault="00DF6DA5"/>
    <w:p w14:paraId="0592ECC9" w14:textId="77777777" w:rsidR="00DF6DA5" w:rsidRDefault="00DF6DA5"/>
  </w:footnote>
  <w:footnote w:type="continuationSeparator" w:id="0">
    <w:p w14:paraId="3ED0CE12" w14:textId="77777777" w:rsidR="00DF6DA5" w:rsidRDefault="00DF6DA5" w:rsidP="00FE3402">
      <w:pPr>
        <w:spacing w:before="0" w:after="0" w:line="240" w:lineRule="auto"/>
      </w:pPr>
      <w:r>
        <w:continuationSeparator/>
      </w:r>
    </w:p>
    <w:p w14:paraId="6B7E672C" w14:textId="77777777" w:rsidR="00DF6DA5" w:rsidRDefault="00DF6DA5"/>
    <w:p w14:paraId="6B48ECA2" w14:textId="77777777" w:rsidR="00DF6DA5" w:rsidRDefault="00DF6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2F0E" w14:textId="77777777" w:rsidR="008708F5" w:rsidRDefault="008708F5"/>
  <w:p w14:paraId="0CFC14B0" w14:textId="77777777" w:rsidR="008708F5" w:rsidRDefault="008708F5"/>
  <w:p w14:paraId="3DB26D4B"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392E" w14:textId="0EBE9E43" w:rsidR="008708F5" w:rsidRDefault="00D720C7">
    <w:r>
      <w:rPr>
        <w:noProof/>
      </w:rPr>
      <mc:AlternateContent>
        <mc:Choice Requires="wps">
          <w:drawing>
            <wp:anchor distT="0" distB="0" distL="114300" distR="114300" simplePos="0" relativeHeight="251658240" behindDoc="0" locked="0" layoutInCell="1" allowOverlap="1" wp14:anchorId="7D5620A9" wp14:editId="41CA1C3F">
              <wp:simplePos x="0" y="0"/>
              <wp:positionH relativeFrom="margin">
                <wp:posOffset>3848100</wp:posOffset>
              </wp:positionH>
              <wp:positionV relativeFrom="paragraph">
                <wp:posOffset>-240030</wp:posOffset>
              </wp:positionV>
              <wp:extent cx="260985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521970"/>
                      </a:xfrm>
                      <a:prstGeom prst="rect">
                        <a:avLst/>
                      </a:prstGeom>
                      <a:noFill/>
                      <a:ln w="6350">
                        <a:noFill/>
                      </a:ln>
                    </wps:spPr>
                    <wps:txbx>
                      <w:txbxContent>
                        <w:p w14:paraId="6599B1C5" w14:textId="3028F5F9" w:rsidR="008708F5" w:rsidRPr="00C368FC" w:rsidRDefault="00244539"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 xml:space="preserve">Act </w:t>
                          </w:r>
                          <w:proofErr w:type="gramStart"/>
                          <w:r w:rsidRPr="009D1747">
                            <w:rPr>
                              <w:rFonts w:cs="Segoe UI"/>
                              <w:b/>
                              <w:bCs/>
                              <w:color w:val="FFFFFF" w:themeColor="background1"/>
                              <w:sz w:val="20"/>
                              <w:szCs w:val="20"/>
                            </w:rPr>
                            <w:t>20</w:t>
                          </w:r>
                          <w:r>
                            <w:rPr>
                              <w:rFonts w:cs="Segoe UI"/>
                              <w:b/>
                              <w:bCs/>
                              <w:color w:val="FFFFFF" w:themeColor="background1"/>
                              <w:sz w:val="20"/>
                              <w:szCs w:val="20"/>
                            </w:rPr>
                            <w:t>21</w:t>
                          </w:r>
                          <w:r w:rsidRPr="009D1747">
                            <w:rPr>
                              <w:rFonts w:cs="Segoe UI"/>
                              <w:b/>
                              <w:bCs/>
                              <w:color w:val="FFFFFF" w:themeColor="background1"/>
                              <w:sz w:val="20"/>
                              <w:szCs w:val="20"/>
                            </w:rPr>
                            <w:t xml:space="preserve"> </w:t>
                          </w:r>
                          <w:r>
                            <w:rPr>
                              <w:rFonts w:cs="Segoe UI"/>
                              <w:b/>
                              <w:bCs/>
                              <w:color w:val="FFFFFF" w:themeColor="background1"/>
                              <w:sz w:val="20"/>
                              <w:szCs w:val="20"/>
                            </w:rPr>
                            <w:t xml:space="preserve"> </w:t>
                          </w:r>
                          <w:r w:rsidRPr="009D1747">
                            <w:rPr>
                              <w:rFonts w:cs="Segoe UI"/>
                              <w:b/>
                              <w:bCs/>
                              <w:color w:val="FFFFFF" w:themeColor="background1"/>
                              <w:sz w:val="20"/>
                              <w:szCs w:val="20"/>
                            </w:rPr>
                            <w:t>No</w:t>
                          </w:r>
                          <w:proofErr w:type="gramEnd"/>
                          <w:r w:rsidRPr="009D1747">
                            <w:rPr>
                              <w:rFonts w:cs="Segoe UI"/>
                              <w:b/>
                              <w:bCs/>
                              <w:color w:val="FFFFFF" w:themeColor="background1"/>
                              <w:sz w:val="20"/>
                              <w:szCs w:val="20"/>
                            </w:rPr>
                            <w:t xml:space="preserve"> </w:t>
                          </w:r>
                          <w:r>
                            <w:rPr>
                              <w:rFonts w:cs="Segoe UI"/>
                              <w:b/>
                              <w:bCs/>
                              <w:color w:val="FFFFFF" w:themeColor="background1"/>
                              <w:sz w:val="20"/>
                              <w:szCs w:val="20"/>
                            </w:rPr>
                            <w:t xml:space="preserve">1  </w:t>
                          </w:r>
                          <w:r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421B97" w:rsidRPr="00421B97">
                            <w:rPr>
                              <w:rFonts w:cs="Segoe UI"/>
                              <w:color w:val="FFFFFF" w:themeColor="background1"/>
                              <w:sz w:val="20"/>
                              <w:szCs w:val="20"/>
                            </w:rPr>
                            <w:t>2</w:t>
                          </w:r>
                          <w:r w:rsidR="004D47B7">
                            <w:rPr>
                              <w:rFonts w:cs="Segoe UI"/>
                              <w:color w:val="FFFFFF" w:themeColor="background1"/>
                              <w:sz w:val="20"/>
                              <w:szCs w:val="20"/>
                            </w:rPr>
                            <w:t>3</w:t>
                          </w:r>
                          <w:r w:rsidR="008708F5">
                            <w:rPr>
                              <w:rFonts w:ascii="Segoe UI Light" w:hAnsi="Segoe UI Light" w:cs="Segoe UI Light"/>
                              <w:color w:val="FFFFFF" w:themeColor="background1"/>
                              <w:sz w:val="20"/>
                              <w:szCs w:val="20"/>
                            </w:rPr>
                            <w:t xml:space="preserve"> </w:t>
                          </w:r>
                          <w:r w:rsidR="002546C5">
                            <w:rPr>
                              <w:rFonts w:ascii="Segoe UI Light" w:hAnsi="Segoe UI Light" w:cs="Segoe UI Light"/>
                              <w:color w:val="FFFFFF" w:themeColor="background1"/>
                              <w:sz w:val="20"/>
                              <w:szCs w:val="20"/>
                            </w:rPr>
                            <w:t>February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20A9" id="_x0000_t202" coordsize="21600,21600" o:spt="202" path="m,l,21600r21600,l21600,xe">
              <v:stroke joinstyle="miter"/>
              <v:path gradientshapeok="t" o:connecttype="rect"/>
            </v:shapetype>
            <v:shape id="Text Box 3" o:spid="_x0000_s1026" type="#_x0000_t202" style="position:absolute;margin-left:303pt;margin-top:-18.9pt;width:205.5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TLQIAAFMEAAAOAAAAZHJzL2Uyb0RvYy54bWysVMlu2zAQvRfoPxC81/KeWLAcuAlcFDCS&#10;AE6RM02RtgCSw5K0JffrO6Rkx0l7KnqhOAtneW9G87tGK3IUzldgCjro9SkRhkNZmV1Bf7ysvtxS&#10;4gMzJVNgREFPwtO7xedP89rmYgh7UKVwBIMYn9e2oPsQbJ5lnu+FZr4HVhg0SnCaBRTdLisdqzG6&#10;Vtmw359mNbjSOuDCe9Q+tEa6SPGlFDw8SelFIKqgWFtIp0vnNp7ZYs7ynWN2X/GuDPYPVWhWGUx6&#10;CfXAAiMHV/0RSlfcgQcZehx0BlJWXKQesJtB/0M3mz2zIvWC4Hh7gcn/v7D88fjsSFUWdESJYRop&#10;ehFNIF+hIaOITm19jk4bi26hQTWyfNZ7VMamG+l0/GI7BO2I8+mCbQzGUTmc9me3EzRxtE2Gg9lN&#10;Aj97e22dD98EaBIvBXXIXYKUHdc+YCXoenaJyQysKqUSf8qQuqDTEYZ/Z8EXyuDD2ENba7yFZtt0&#10;jW2hPGFfDtq58JavKky+Zj48M4eDgPXicIcnPKQCTALdjZI9uF9/00d/5AetlNQ4WAX1Pw/MCUrU&#10;d4PMzQbjcZzEJIwnN0MU3LVle20xB30POLsDXCPL0zX6B3W+Sgf6FXdgGbOiiRmOuQvKgzsL96Ed&#10;eNwiLpbL5IbTZ1lYm43lMXiELYL70rwyZzsGAnL3COchZPkHIlrfFvDlIYCsEksR4hbXDnmc3ERe&#10;t2VxNa7l5PX2L1j8BgAA//8DAFBLAwQUAAYACAAAACEAm1k4oOEAAAALAQAADwAAAGRycy9kb3du&#10;cmV2LnhtbEyPwWrDMAyG74O9g9Fgl9Ha3UIy0jhlFAY55NJ2DHZzYzUJje3MdtPs7aeetqOkn1/f&#10;V2xmM7AJfeidlbBaCmBoG6d720r4OLwvXoGFqKxWg7Mo4QcDbMr7u0Ll2l3tDqd9bBmV2JArCV2M&#10;Y855aDo0KizdiJZuJ+eNijT6lmuvrlRuBv4sRMqN6i196NSI2w6b8/5iJEyfVaJ3Uxf907auRHWu&#10;v7OvWsrHh/ltDSziHP/CcMMndCiJ6eguVgc2SEhFSi5RwuIlI4dbQqwyWh0lJEkCvCz4f4fyFwAA&#10;//8DAFBLAQItABQABgAIAAAAIQC2gziS/gAAAOEBAAATAAAAAAAAAAAAAAAAAAAAAABbQ29udGVu&#10;dF9UeXBlc10ueG1sUEsBAi0AFAAGAAgAAAAhADj9If/WAAAAlAEAAAsAAAAAAAAAAAAAAAAALwEA&#10;AF9yZWxzLy5yZWxzUEsBAi0AFAAGAAgAAAAhACfdH5MtAgAAUwQAAA4AAAAAAAAAAAAAAAAALgIA&#10;AGRycy9lMm9Eb2MueG1sUEsBAi0AFAAGAAgAAAAhAJtZOKDhAAAACwEAAA8AAAAAAAAAAAAAAAAA&#10;hwQAAGRycy9kb3ducmV2LnhtbFBLBQYAAAAABAAEAPMAAACVBQAAAAA=&#10;" filled="f" stroked="f" strokeweight=".5pt">
              <v:textbox>
                <w:txbxContent>
                  <w:p w14:paraId="6599B1C5" w14:textId="3028F5F9" w:rsidR="008708F5" w:rsidRPr="00C368FC" w:rsidRDefault="00244539" w:rsidP="00901D3B">
                    <w:pPr>
                      <w:jc w:val="right"/>
                      <w:rPr>
                        <w:rFonts w:cs="Segoe UI"/>
                        <w:b/>
                        <w:bCs/>
                        <w:color w:val="FFFFFF" w:themeColor="background1"/>
                        <w:sz w:val="20"/>
                        <w:szCs w:val="20"/>
                      </w:rPr>
                    </w:pPr>
                    <w:r w:rsidRPr="009D1747">
                      <w:rPr>
                        <w:rFonts w:cs="Segoe UI"/>
                        <w:b/>
                        <w:bCs/>
                        <w:color w:val="FFFFFF" w:themeColor="background1"/>
                        <w:sz w:val="20"/>
                        <w:szCs w:val="20"/>
                      </w:rPr>
                      <w:t xml:space="preserve">Public </w:t>
                    </w:r>
                    <w:r>
                      <w:rPr>
                        <w:rFonts w:cs="Segoe UI"/>
                        <w:b/>
                        <w:bCs/>
                        <w:color w:val="FFFFFF" w:themeColor="background1"/>
                        <w:sz w:val="20"/>
                        <w:szCs w:val="20"/>
                      </w:rPr>
                      <w:t xml:space="preserve">Act </w:t>
                    </w:r>
                    <w:r w:rsidRPr="009D1747">
                      <w:rPr>
                        <w:rFonts w:cs="Segoe UI"/>
                        <w:b/>
                        <w:bCs/>
                        <w:color w:val="FFFFFF" w:themeColor="background1"/>
                        <w:sz w:val="20"/>
                        <w:szCs w:val="20"/>
                      </w:rPr>
                      <w:t>20</w:t>
                    </w:r>
                    <w:r>
                      <w:rPr>
                        <w:rFonts w:cs="Segoe UI"/>
                        <w:b/>
                        <w:bCs/>
                        <w:color w:val="FFFFFF" w:themeColor="background1"/>
                        <w:sz w:val="20"/>
                        <w:szCs w:val="20"/>
                      </w:rPr>
                      <w:t>21</w:t>
                    </w:r>
                    <w:r w:rsidRPr="009D1747">
                      <w:rPr>
                        <w:rFonts w:cs="Segoe UI"/>
                        <w:b/>
                        <w:bCs/>
                        <w:color w:val="FFFFFF" w:themeColor="background1"/>
                        <w:sz w:val="20"/>
                        <w:szCs w:val="20"/>
                      </w:rPr>
                      <w:t xml:space="preserve"> </w:t>
                    </w:r>
                    <w:r>
                      <w:rPr>
                        <w:rFonts w:cs="Segoe UI"/>
                        <w:b/>
                        <w:bCs/>
                        <w:color w:val="FFFFFF" w:themeColor="background1"/>
                        <w:sz w:val="20"/>
                        <w:szCs w:val="20"/>
                      </w:rPr>
                      <w:t xml:space="preserve"> </w:t>
                    </w:r>
                    <w:r w:rsidRPr="009D1747">
                      <w:rPr>
                        <w:rFonts w:cs="Segoe UI"/>
                        <w:b/>
                        <w:bCs/>
                        <w:color w:val="FFFFFF" w:themeColor="background1"/>
                        <w:sz w:val="20"/>
                        <w:szCs w:val="20"/>
                      </w:rPr>
                      <w:t xml:space="preserve">No </w:t>
                    </w:r>
                    <w:r>
                      <w:rPr>
                        <w:rFonts w:cs="Segoe UI"/>
                        <w:b/>
                        <w:bCs/>
                        <w:color w:val="FFFFFF" w:themeColor="background1"/>
                        <w:sz w:val="20"/>
                        <w:szCs w:val="20"/>
                      </w:rPr>
                      <w:t xml:space="preserve">1  </w:t>
                    </w:r>
                    <w:r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421B97" w:rsidRPr="00421B97">
                      <w:rPr>
                        <w:rFonts w:cs="Segoe UI"/>
                        <w:color w:val="FFFFFF" w:themeColor="background1"/>
                        <w:sz w:val="20"/>
                        <w:szCs w:val="20"/>
                      </w:rPr>
                      <w:t>2</w:t>
                    </w:r>
                    <w:r w:rsidR="004D47B7">
                      <w:rPr>
                        <w:rFonts w:cs="Segoe UI"/>
                        <w:color w:val="FFFFFF" w:themeColor="background1"/>
                        <w:sz w:val="20"/>
                        <w:szCs w:val="20"/>
                      </w:rPr>
                      <w:t>3</w:t>
                    </w:r>
                    <w:r w:rsidR="008708F5">
                      <w:rPr>
                        <w:rFonts w:ascii="Segoe UI Light" w:hAnsi="Segoe UI Light" w:cs="Segoe UI Light"/>
                        <w:color w:val="FFFFFF" w:themeColor="background1"/>
                        <w:sz w:val="20"/>
                        <w:szCs w:val="20"/>
                      </w:rPr>
                      <w:t xml:space="preserve"> </w:t>
                    </w:r>
                    <w:r w:rsidR="002546C5">
                      <w:rPr>
                        <w:rFonts w:ascii="Segoe UI Light" w:hAnsi="Segoe UI Light" w:cs="Segoe UI Light"/>
                        <w:color w:val="FFFFFF" w:themeColor="background1"/>
                        <w:sz w:val="20"/>
                        <w:szCs w:val="20"/>
                      </w:rPr>
                      <w:t>February 2021</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420F0ABC" wp14:editId="467ACCE9">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05D7CF63" wp14:editId="433BB09A">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6C3AB"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3C8F1E17" w14:textId="77777777" w:rsidTr="00EA3AD2">
      <w:tc>
        <w:tcPr>
          <w:tcW w:w="4508" w:type="dxa"/>
        </w:tcPr>
        <w:p w14:paraId="434E13E9" w14:textId="69515D20" w:rsidR="008708F5" w:rsidRPr="009679B1" w:rsidRDefault="008708F5" w:rsidP="009679B1">
          <w:pPr>
            <w:tabs>
              <w:tab w:val="center" w:pos="4513"/>
              <w:tab w:val="right" w:pos="9026"/>
            </w:tabs>
            <w:spacing w:before="0" w:line="240" w:lineRule="auto"/>
          </w:pPr>
          <w:r w:rsidRPr="009679B1">
            <w:rPr>
              <w:noProof/>
            </w:rPr>
            <w:drawing>
              <wp:inline distT="0" distB="0" distL="0" distR="0" wp14:anchorId="63F2E127" wp14:editId="22E90BE9">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255EAFE8" w14:textId="26B4F0AC" w:rsidR="008708F5" w:rsidRPr="009679B1" w:rsidRDefault="008708F5" w:rsidP="009679B1">
          <w:pPr>
            <w:tabs>
              <w:tab w:val="center" w:pos="4513"/>
              <w:tab w:val="right" w:pos="9026"/>
            </w:tabs>
            <w:spacing w:before="0" w:line="240" w:lineRule="auto"/>
          </w:pPr>
        </w:p>
      </w:tc>
    </w:tr>
  </w:tbl>
  <w:p w14:paraId="598224C8" w14:textId="396D44E8"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4"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9"/>
  </w:num>
  <w:num w:numId="2">
    <w:abstractNumId w:val="0"/>
  </w:num>
  <w:num w:numId="3">
    <w:abstractNumId w:val="3"/>
  </w:num>
  <w:num w:numId="4">
    <w:abstractNumId w:val="6"/>
  </w:num>
  <w:num w:numId="5">
    <w:abstractNumId w:val="4"/>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5"/>
  </w:num>
  <w:num w:numId="10">
    <w:abstractNumId w:val="1"/>
  </w:num>
  <w:num w:numId="11">
    <w:abstractNumId w:val="2"/>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30978"/>
    <w:rsid w:val="00034795"/>
    <w:rsid w:val="00046253"/>
    <w:rsid w:val="0004779F"/>
    <w:rsid w:val="0004790D"/>
    <w:rsid w:val="00060779"/>
    <w:rsid w:val="000654C4"/>
    <w:rsid w:val="00066DAC"/>
    <w:rsid w:val="000770B9"/>
    <w:rsid w:val="00081E2A"/>
    <w:rsid w:val="0008201D"/>
    <w:rsid w:val="00083261"/>
    <w:rsid w:val="000834F6"/>
    <w:rsid w:val="0008506A"/>
    <w:rsid w:val="0008665F"/>
    <w:rsid w:val="00086DC7"/>
    <w:rsid w:val="00090BA1"/>
    <w:rsid w:val="00092548"/>
    <w:rsid w:val="0009433B"/>
    <w:rsid w:val="00096577"/>
    <w:rsid w:val="0009679E"/>
    <w:rsid w:val="000A3E69"/>
    <w:rsid w:val="000B0147"/>
    <w:rsid w:val="000B1C2F"/>
    <w:rsid w:val="000B4FCE"/>
    <w:rsid w:val="000C1ED6"/>
    <w:rsid w:val="000C3A61"/>
    <w:rsid w:val="000C5042"/>
    <w:rsid w:val="000D4990"/>
    <w:rsid w:val="000D561A"/>
    <w:rsid w:val="000D64E4"/>
    <w:rsid w:val="000E1426"/>
    <w:rsid w:val="000E470E"/>
    <w:rsid w:val="000E68F5"/>
    <w:rsid w:val="000F3562"/>
    <w:rsid w:val="001035C3"/>
    <w:rsid w:val="00111307"/>
    <w:rsid w:val="00113C91"/>
    <w:rsid w:val="00113DAA"/>
    <w:rsid w:val="00114A3B"/>
    <w:rsid w:val="001204EE"/>
    <w:rsid w:val="0012244A"/>
    <w:rsid w:val="001224C5"/>
    <w:rsid w:val="00127593"/>
    <w:rsid w:val="00127C6F"/>
    <w:rsid w:val="001302C2"/>
    <w:rsid w:val="001308E4"/>
    <w:rsid w:val="00130AA5"/>
    <w:rsid w:val="00130CCE"/>
    <w:rsid w:val="0013196E"/>
    <w:rsid w:val="00131EED"/>
    <w:rsid w:val="00132BE2"/>
    <w:rsid w:val="001333C4"/>
    <w:rsid w:val="00142B10"/>
    <w:rsid w:val="00143C53"/>
    <w:rsid w:val="001502E1"/>
    <w:rsid w:val="0015083B"/>
    <w:rsid w:val="00150CEB"/>
    <w:rsid w:val="00153267"/>
    <w:rsid w:val="00155708"/>
    <w:rsid w:val="001623C3"/>
    <w:rsid w:val="00162DAF"/>
    <w:rsid w:val="00172C77"/>
    <w:rsid w:val="001751D0"/>
    <w:rsid w:val="00175D7F"/>
    <w:rsid w:val="00182BE9"/>
    <w:rsid w:val="001835BA"/>
    <w:rsid w:val="00190282"/>
    <w:rsid w:val="0019157E"/>
    <w:rsid w:val="00192918"/>
    <w:rsid w:val="00196B91"/>
    <w:rsid w:val="00197F2D"/>
    <w:rsid w:val="001A1FE0"/>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31528"/>
    <w:rsid w:val="00232E1F"/>
    <w:rsid w:val="00234CCE"/>
    <w:rsid w:val="0023610C"/>
    <w:rsid w:val="002368DE"/>
    <w:rsid w:val="00240073"/>
    <w:rsid w:val="00240A2B"/>
    <w:rsid w:val="00240DEA"/>
    <w:rsid w:val="00243A10"/>
    <w:rsid w:val="00244539"/>
    <w:rsid w:val="002448FE"/>
    <w:rsid w:val="002546C5"/>
    <w:rsid w:val="002643BD"/>
    <w:rsid w:val="00266C85"/>
    <w:rsid w:val="0027157F"/>
    <w:rsid w:val="00271C36"/>
    <w:rsid w:val="002726B2"/>
    <w:rsid w:val="00280312"/>
    <w:rsid w:val="00282ECC"/>
    <w:rsid w:val="0028301D"/>
    <w:rsid w:val="00285C72"/>
    <w:rsid w:val="002906B3"/>
    <w:rsid w:val="0029696F"/>
    <w:rsid w:val="002A2E62"/>
    <w:rsid w:val="002A6C4F"/>
    <w:rsid w:val="002B04FF"/>
    <w:rsid w:val="002B5363"/>
    <w:rsid w:val="002C3307"/>
    <w:rsid w:val="002C41C0"/>
    <w:rsid w:val="002C6695"/>
    <w:rsid w:val="002C676A"/>
    <w:rsid w:val="002C7752"/>
    <w:rsid w:val="002E23D0"/>
    <w:rsid w:val="002E2A63"/>
    <w:rsid w:val="002E2C9A"/>
    <w:rsid w:val="002E4C59"/>
    <w:rsid w:val="002E5DA1"/>
    <w:rsid w:val="002F4BB6"/>
    <w:rsid w:val="002F5613"/>
    <w:rsid w:val="002F643A"/>
    <w:rsid w:val="00304B27"/>
    <w:rsid w:val="00307939"/>
    <w:rsid w:val="00312E07"/>
    <w:rsid w:val="00313168"/>
    <w:rsid w:val="0031354F"/>
    <w:rsid w:val="0032113E"/>
    <w:rsid w:val="00321643"/>
    <w:rsid w:val="003267D8"/>
    <w:rsid w:val="00326F7B"/>
    <w:rsid w:val="003321AF"/>
    <w:rsid w:val="003344C2"/>
    <w:rsid w:val="00335993"/>
    <w:rsid w:val="00340FFA"/>
    <w:rsid w:val="00341BAC"/>
    <w:rsid w:val="00345936"/>
    <w:rsid w:val="003534F3"/>
    <w:rsid w:val="003647E6"/>
    <w:rsid w:val="00365D58"/>
    <w:rsid w:val="00367800"/>
    <w:rsid w:val="00371267"/>
    <w:rsid w:val="003717B7"/>
    <w:rsid w:val="003718CE"/>
    <w:rsid w:val="00371936"/>
    <w:rsid w:val="00371E89"/>
    <w:rsid w:val="00374AFC"/>
    <w:rsid w:val="00380345"/>
    <w:rsid w:val="00390D4A"/>
    <w:rsid w:val="003926A6"/>
    <w:rsid w:val="003A010C"/>
    <w:rsid w:val="003A3CB7"/>
    <w:rsid w:val="003B26DA"/>
    <w:rsid w:val="003B30F4"/>
    <w:rsid w:val="003B5C0C"/>
    <w:rsid w:val="003C38EB"/>
    <w:rsid w:val="003D13BA"/>
    <w:rsid w:val="003D5EFA"/>
    <w:rsid w:val="003E230D"/>
    <w:rsid w:val="003E45BA"/>
    <w:rsid w:val="003F2662"/>
    <w:rsid w:val="003F5588"/>
    <w:rsid w:val="00402896"/>
    <w:rsid w:val="004061F1"/>
    <w:rsid w:val="00406596"/>
    <w:rsid w:val="0040763C"/>
    <w:rsid w:val="00410A62"/>
    <w:rsid w:val="00415268"/>
    <w:rsid w:val="00415636"/>
    <w:rsid w:val="0041570A"/>
    <w:rsid w:val="00421B97"/>
    <w:rsid w:val="004223D5"/>
    <w:rsid w:val="004271A5"/>
    <w:rsid w:val="0042790E"/>
    <w:rsid w:val="0043072B"/>
    <w:rsid w:val="00432106"/>
    <w:rsid w:val="0045281F"/>
    <w:rsid w:val="00453EDF"/>
    <w:rsid w:val="00456F1F"/>
    <w:rsid w:val="0046163F"/>
    <w:rsid w:val="004761EF"/>
    <w:rsid w:val="004841F6"/>
    <w:rsid w:val="00485575"/>
    <w:rsid w:val="004905B2"/>
    <w:rsid w:val="00492D1D"/>
    <w:rsid w:val="00492FF6"/>
    <w:rsid w:val="00497C1D"/>
    <w:rsid w:val="004A06B9"/>
    <w:rsid w:val="004A27B6"/>
    <w:rsid w:val="004A447C"/>
    <w:rsid w:val="004A7563"/>
    <w:rsid w:val="004A7AE1"/>
    <w:rsid w:val="004B1242"/>
    <w:rsid w:val="004B1923"/>
    <w:rsid w:val="004B2B75"/>
    <w:rsid w:val="004B74D7"/>
    <w:rsid w:val="004C0CCD"/>
    <w:rsid w:val="004C0DE6"/>
    <w:rsid w:val="004C4475"/>
    <w:rsid w:val="004C5CFE"/>
    <w:rsid w:val="004D096A"/>
    <w:rsid w:val="004D1548"/>
    <w:rsid w:val="004D47B7"/>
    <w:rsid w:val="004D6B50"/>
    <w:rsid w:val="004D6C5B"/>
    <w:rsid w:val="004D7DB2"/>
    <w:rsid w:val="004E1D4E"/>
    <w:rsid w:val="004E253E"/>
    <w:rsid w:val="004E2D01"/>
    <w:rsid w:val="004E5B2C"/>
    <w:rsid w:val="004F119C"/>
    <w:rsid w:val="004F26C5"/>
    <w:rsid w:val="004F3B21"/>
    <w:rsid w:val="00504A1B"/>
    <w:rsid w:val="0050752A"/>
    <w:rsid w:val="00507574"/>
    <w:rsid w:val="00512E4F"/>
    <w:rsid w:val="005136FB"/>
    <w:rsid w:val="00515339"/>
    <w:rsid w:val="00515B1B"/>
    <w:rsid w:val="00515E84"/>
    <w:rsid w:val="00515E8B"/>
    <w:rsid w:val="00516E57"/>
    <w:rsid w:val="00521CD6"/>
    <w:rsid w:val="00523F3D"/>
    <w:rsid w:val="0052620C"/>
    <w:rsid w:val="00530FE2"/>
    <w:rsid w:val="00531142"/>
    <w:rsid w:val="00533854"/>
    <w:rsid w:val="00541AA1"/>
    <w:rsid w:val="00542085"/>
    <w:rsid w:val="005533B7"/>
    <w:rsid w:val="00553797"/>
    <w:rsid w:val="005538CF"/>
    <w:rsid w:val="00556B71"/>
    <w:rsid w:val="00557387"/>
    <w:rsid w:val="00563188"/>
    <w:rsid w:val="0057160C"/>
    <w:rsid w:val="00572C3B"/>
    <w:rsid w:val="005807D3"/>
    <w:rsid w:val="00583AF6"/>
    <w:rsid w:val="00585B1C"/>
    <w:rsid w:val="0059117C"/>
    <w:rsid w:val="0059530D"/>
    <w:rsid w:val="00595813"/>
    <w:rsid w:val="005A16D0"/>
    <w:rsid w:val="005A17A6"/>
    <w:rsid w:val="005A569D"/>
    <w:rsid w:val="005B16C3"/>
    <w:rsid w:val="005B2CD8"/>
    <w:rsid w:val="005B633B"/>
    <w:rsid w:val="005C18B0"/>
    <w:rsid w:val="005C2595"/>
    <w:rsid w:val="005C4150"/>
    <w:rsid w:val="005C54CF"/>
    <w:rsid w:val="005C6333"/>
    <w:rsid w:val="005C6409"/>
    <w:rsid w:val="005E1D01"/>
    <w:rsid w:val="005E6156"/>
    <w:rsid w:val="005E6AF2"/>
    <w:rsid w:val="005F19AD"/>
    <w:rsid w:val="005F38DD"/>
    <w:rsid w:val="005F6612"/>
    <w:rsid w:val="00604277"/>
    <w:rsid w:val="006051A4"/>
    <w:rsid w:val="006150ED"/>
    <w:rsid w:val="00616042"/>
    <w:rsid w:val="00617070"/>
    <w:rsid w:val="00623070"/>
    <w:rsid w:val="006235A9"/>
    <w:rsid w:val="00637746"/>
    <w:rsid w:val="00640A5C"/>
    <w:rsid w:val="00645C42"/>
    <w:rsid w:val="0065335A"/>
    <w:rsid w:val="00654F5B"/>
    <w:rsid w:val="00661060"/>
    <w:rsid w:val="006611E0"/>
    <w:rsid w:val="006612E9"/>
    <w:rsid w:val="00665250"/>
    <w:rsid w:val="006763B7"/>
    <w:rsid w:val="00683D7F"/>
    <w:rsid w:val="00683EE6"/>
    <w:rsid w:val="006871CC"/>
    <w:rsid w:val="006952E4"/>
    <w:rsid w:val="006973B8"/>
    <w:rsid w:val="006A5FD5"/>
    <w:rsid w:val="006B115E"/>
    <w:rsid w:val="006B3EE5"/>
    <w:rsid w:val="006B4F20"/>
    <w:rsid w:val="006C2308"/>
    <w:rsid w:val="006C263E"/>
    <w:rsid w:val="006C5D86"/>
    <w:rsid w:val="006C7EB0"/>
    <w:rsid w:val="006D10D6"/>
    <w:rsid w:val="006D782F"/>
    <w:rsid w:val="006E0DF5"/>
    <w:rsid w:val="006F2E52"/>
    <w:rsid w:val="0070098C"/>
    <w:rsid w:val="00710166"/>
    <w:rsid w:val="007125B0"/>
    <w:rsid w:val="0072136E"/>
    <w:rsid w:val="0072279A"/>
    <w:rsid w:val="00727A7E"/>
    <w:rsid w:val="0073114D"/>
    <w:rsid w:val="00731EE2"/>
    <w:rsid w:val="00742E07"/>
    <w:rsid w:val="00753AED"/>
    <w:rsid w:val="00753D45"/>
    <w:rsid w:val="00755E62"/>
    <w:rsid w:val="00755FFA"/>
    <w:rsid w:val="007565C5"/>
    <w:rsid w:val="00756629"/>
    <w:rsid w:val="00760741"/>
    <w:rsid w:val="0076075B"/>
    <w:rsid w:val="00761704"/>
    <w:rsid w:val="00774AF4"/>
    <w:rsid w:val="0078049E"/>
    <w:rsid w:val="00780705"/>
    <w:rsid w:val="007809AB"/>
    <w:rsid w:val="00782694"/>
    <w:rsid w:val="0079288E"/>
    <w:rsid w:val="007956B9"/>
    <w:rsid w:val="007A071C"/>
    <w:rsid w:val="007A1B1F"/>
    <w:rsid w:val="007A67B0"/>
    <w:rsid w:val="007B0C47"/>
    <w:rsid w:val="007B27B6"/>
    <w:rsid w:val="007B42A1"/>
    <w:rsid w:val="007C0A2F"/>
    <w:rsid w:val="007C5849"/>
    <w:rsid w:val="007C5EF8"/>
    <w:rsid w:val="007C7A8A"/>
    <w:rsid w:val="007D08DC"/>
    <w:rsid w:val="007D14A2"/>
    <w:rsid w:val="007D1F25"/>
    <w:rsid w:val="007D5E4A"/>
    <w:rsid w:val="007E191E"/>
    <w:rsid w:val="007E45B0"/>
    <w:rsid w:val="007E5F40"/>
    <w:rsid w:val="007F0259"/>
    <w:rsid w:val="007F75B1"/>
    <w:rsid w:val="007F7D49"/>
    <w:rsid w:val="008000F6"/>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778"/>
    <w:rsid w:val="00895F4C"/>
    <w:rsid w:val="008A243D"/>
    <w:rsid w:val="008A5914"/>
    <w:rsid w:val="008B3DD8"/>
    <w:rsid w:val="008B53BA"/>
    <w:rsid w:val="008C0980"/>
    <w:rsid w:val="008C4217"/>
    <w:rsid w:val="008C483C"/>
    <w:rsid w:val="008D0B82"/>
    <w:rsid w:val="008D1E5F"/>
    <w:rsid w:val="008D7A07"/>
    <w:rsid w:val="008E297B"/>
    <w:rsid w:val="008F0CD8"/>
    <w:rsid w:val="008F28C1"/>
    <w:rsid w:val="008F2D4F"/>
    <w:rsid w:val="008F52BA"/>
    <w:rsid w:val="00901D3B"/>
    <w:rsid w:val="00902E79"/>
    <w:rsid w:val="00904137"/>
    <w:rsid w:val="00907FC9"/>
    <w:rsid w:val="00907FF5"/>
    <w:rsid w:val="009137DB"/>
    <w:rsid w:val="00921CD6"/>
    <w:rsid w:val="0093022B"/>
    <w:rsid w:val="00932A83"/>
    <w:rsid w:val="0093337E"/>
    <w:rsid w:val="0093366F"/>
    <w:rsid w:val="00937AC3"/>
    <w:rsid w:val="00937F98"/>
    <w:rsid w:val="00941BF3"/>
    <w:rsid w:val="00943FBD"/>
    <w:rsid w:val="0095059E"/>
    <w:rsid w:val="00954C95"/>
    <w:rsid w:val="0096228D"/>
    <w:rsid w:val="0096339C"/>
    <w:rsid w:val="00964DD7"/>
    <w:rsid w:val="009658C0"/>
    <w:rsid w:val="00966FBE"/>
    <w:rsid w:val="00967140"/>
    <w:rsid w:val="009679B1"/>
    <w:rsid w:val="00972C62"/>
    <w:rsid w:val="00974081"/>
    <w:rsid w:val="00975F95"/>
    <w:rsid w:val="0098008F"/>
    <w:rsid w:val="00984222"/>
    <w:rsid w:val="009865E4"/>
    <w:rsid w:val="00997B5A"/>
    <w:rsid w:val="009B4F3B"/>
    <w:rsid w:val="009C0766"/>
    <w:rsid w:val="009C34EC"/>
    <w:rsid w:val="009D1747"/>
    <w:rsid w:val="009D310B"/>
    <w:rsid w:val="009E17F9"/>
    <w:rsid w:val="009E39AB"/>
    <w:rsid w:val="009E3A6F"/>
    <w:rsid w:val="009F07D6"/>
    <w:rsid w:val="009F5859"/>
    <w:rsid w:val="009F6C9F"/>
    <w:rsid w:val="00A02BEF"/>
    <w:rsid w:val="00A02CDA"/>
    <w:rsid w:val="00A0777C"/>
    <w:rsid w:val="00A10AC6"/>
    <w:rsid w:val="00A1699A"/>
    <w:rsid w:val="00A22873"/>
    <w:rsid w:val="00A27381"/>
    <w:rsid w:val="00A304BE"/>
    <w:rsid w:val="00A30B78"/>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5F18"/>
    <w:rsid w:val="00AD150B"/>
    <w:rsid w:val="00AE12C5"/>
    <w:rsid w:val="00AE3FF2"/>
    <w:rsid w:val="00AE4ACB"/>
    <w:rsid w:val="00AE51BC"/>
    <w:rsid w:val="00AE5679"/>
    <w:rsid w:val="00AE7CB3"/>
    <w:rsid w:val="00AF4A67"/>
    <w:rsid w:val="00AF4D9D"/>
    <w:rsid w:val="00AF503F"/>
    <w:rsid w:val="00AF5210"/>
    <w:rsid w:val="00B00172"/>
    <w:rsid w:val="00B0626E"/>
    <w:rsid w:val="00B11187"/>
    <w:rsid w:val="00B1466B"/>
    <w:rsid w:val="00B1624F"/>
    <w:rsid w:val="00B22D6D"/>
    <w:rsid w:val="00B24E4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7BB2"/>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165BB"/>
    <w:rsid w:val="00C23B9E"/>
    <w:rsid w:val="00C27BE6"/>
    <w:rsid w:val="00C368FC"/>
    <w:rsid w:val="00C36C8D"/>
    <w:rsid w:val="00C41D35"/>
    <w:rsid w:val="00C442FE"/>
    <w:rsid w:val="00C466F2"/>
    <w:rsid w:val="00C500CA"/>
    <w:rsid w:val="00C50BB3"/>
    <w:rsid w:val="00C53F2D"/>
    <w:rsid w:val="00C64C09"/>
    <w:rsid w:val="00C64C63"/>
    <w:rsid w:val="00C832A4"/>
    <w:rsid w:val="00C92763"/>
    <w:rsid w:val="00C94E79"/>
    <w:rsid w:val="00C968CC"/>
    <w:rsid w:val="00C96A21"/>
    <w:rsid w:val="00C9760E"/>
    <w:rsid w:val="00CA7E72"/>
    <w:rsid w:val="00CB3D06"/>
    <w:rsid w:val="00CB4BF5"/>
    <w:rsid w:val="00CC434F"/>
    <w:rsid w:val="00CC5B03"/>
    <w:rsid w:val="00CE063C"/>
    <w:rsid w:val="00CE08FC"/>
    <w:rsid w:val="00CE2B0A"/>
    <w:rsid w:val="00CE72E6"/>
    <w:rsid w:val="00CE7875"/>
    <w:rsid w:val="00CF0AE2"/>
    <w:rsid w:val="00CF1361"/>
    <w:rsid w:val="00D02E94"/>
    <w:rsid w:val="00D068CA"/>
    <w:rsid w:val="00D07EC0"/>
    <w:rsid w:val="00D12241"/>
    <w:rsid w:val="00D13F66"/>
    <w:rsid w:val="00D14E05"/>
    <w:rsid w:val="00D178E4"/>
    <w:rsid w:val="00D31306"/>
    <w:rsid w:val="00D32E8D"/>
    <w:rsid w:val="00D41165"/>
    <w:rsid w:val="00D42D31"/>
    <w:rsid w:val="00D439CD"/>
    <w:rsid w:val="00D47C0A"/>
    <w:rsid w:val="00D608B0"/>
    <w:rsid w:val="00D62DA9"/>
    <w:rsid w:val="00D65715"/>
    <w:rsid w:val="00D67439"/>
    <w:rsid w:val="00D706F1"/>
    <w:rsid w:val="00D720C7"/>
    <w:rsid w:val="00D85810"/>
    <w:rsid w:val="00D8760F"/>
    <w:rsid w:val="00D91502"/>
    <w:rsid w:val="00D92427"/>
    <w:rsid w:val="00D9292F"/>
    <w:rsid w:val="00D95804"/>
    <w:rsid w:val="00DA26F3"/>
    <w:rsid w:val="00DA4CF0"/>
    <w:rsid w:val="00DB10EC"/>
    <w:rsid w:val="00DB1DF5"/>
    <w:rsid w:val="00DB43AA"/>
    <w:rsid w:val="00DC2C31"/>
    <w:rsid w:val="00DC74FD"/>
    <w:rsid w:val="00DD60EA"/>
    <w:rsid w:val="00DE7CEF"/>
    <w:rsid w:val="00DF2FEB"/>
    <w:rsid w:val="00DF41F2"/>
    <w:rsid w:val="00DF64FD"/>
    <w:rsid w:val="00DF6DA5"/>
    <w:rsid w:val="00E046C0"/>
    <w:rsid w:val="00E07CEA"/>
    <w:rsid w:val="00E11E4D"/>
    <w:rsid w:val="00E12B72"/>
    <w:rsid w:val="00E15E6F"/>
    <w:rsid w:val="00E24DED"/>
    <w:rsid w:val="00E24F7E"/>
    <w:rsid w:val="00E2715F"/>
    <w:rsid w:val="00E30428"/>
    <w:rsid w:val="00E3672D"/>
    <w:rsid w:val="00E3768B"/>
    <w:rsid w:val="00E40414"/>
    <w:rsid w:val="00E4227E"/>
    <w:rsid w:val="00E42645"/>
    <w:rsid w:val="00E5291B"/>
    <w:rsid w:val="00E5465F"/>
    <w:rsid w:val="00E54BF2"/>
    <w:rsid w:val="00E60F3D"/>
    <w:rsid w:val="00E61F15"/>
    <w:rsid w:val="00E71823"/>
    <w:rsid w:val="00E72C70"/>
    <w:rsid w:val="00E814A6"/>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F04A6F"/>
    <w:rsid w:val="00F1695B"/>
    <w:rsid w:val="00F2005F"/>
    <w:rsid w:val="00F22E7F"/>
    <w:rsid w:val="00F24068"/>
    <w:rsid w:val="00F2476A"/>
    <w:rsid w:val="00F2613F"/>
    <w:rsid w:val="00F33104"/>
    <w:rsid w:val="00F52B5C"/>
    <w:rsid w:val="00F534CC"/>
    <w:rsid w:val="00F53E22"/>
    <w:rsid w:val="00F562D5"/>
    <w:rsid w:val="00F57AF8"/>
    <w:rsid w:val="00F6085E"/>
    <w:rsid w:val="00F67A15"/>
    <w:rsid w:val="00F73E87"/>
    <w:rsid w:val="00F759C9"/>
    <w:rsid w:val="00F80650"/>
    <w:rsid w:val="00F80967"/>
    <w:rsid w:val="00F941F1"/>
    <w:rsid w:val="00FA25E8"/>
    <w:rsid w:val="00FA2B89"/>
    <w:rsid w:val="00FA33C9"/>
    <w:rsid w:val="00FA4B98"/>
    <w:rsid w:val="00FB2C84"/>
    <w:rsid w:val="00FB326A"/>
    <w:rsid w:val="00FC214E"/>
    <w:rsid w:val="00FC3ACB"/>
    <w:rsid w:val="00FD2B48"/>
    <w:rsid w:val="00FD362C"/>
    <w:rsid w:val="00FD560B"/>
    <w:rsid w:val="00FD707B"/>
    <w:rsid w:val="00FD79CA"/>
    <w:rsid w:val="00FE10A0"/>
    <w:rsid w:val="00FE28B1"/>
    <w:rsid w:val="00FE3402"/>
    <w:rsid w:val="00FE79EA"/>
    <w:rsid w:val="00FF24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683B"/>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qFormat/>
    <w:rsid w:val="00FF2491"/>
    <w:pPr>
      <w:numPr>
        <w:ilvl w:val="0"/>
        <w:numId w:val="0"/>
      </w:numPr>
    </w:pPr>
  </w:style>
  <w:style w:type="paragraph" w:customStyle="1" w:styleId="NoNumberHeading3">
    <w:name w:val="No Number Heading 3"/>
    <w:basedOn w:val="Heading3"/>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130AA5"/>
    <w:pPr>
      <w:tabs>
        <w:tab w:val="right" w:leader="dot" w:pos="9016"/>
      </w:tabs>
      <w:spacing w:after="100"/>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B736DC"/>
    <w:rPr>
      <w:i/>
      <w:color w:val="808080" w:themeColor="background1" w:themeShade="80"/>
      <w:sz w:val="18"/>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rd.govt.nz/covid-19/business-and-organisations/employing-staff/financial-support/resurgence-support-payment"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3FC83CFF-FA3C-41E5-9A30-B1FFE5DF2E47}"/>
</file>

<file path=customXml/itemProps2.xml><?xml version="1.0" encoding="utf-8"?>
<ds:datastoreItem xmlns:ds="http://schemas.openxmlformats.org/officeDocument/2006/customXml" ds:itemID="{D29822B0-B978-4F88-A9FD-8CC1A72ED653}"/>
</file>

<file path=customXml/itemProps3.xml><?xml version="1.0" encoding="utf-8"?>
<ds:datastoreItem xmlns:ds="http://schemas.openxmlformats.org/officeDocument/2006/customXml" ds:itemID="{39549BF8-828A-4C61-B99F-BD77059DBE76}"/>
</file>

<file path=docProps/app.xml><?xml version="1.0" encoding="utf-8"?>
<Properties xmlns="http://schemas.openxmlformats.org/officeDocument/2006/extended-properties" xmlns:vt="http://schemas.openxmlformats.org/officeDocument/2006/docPropsVTypes">
  <Template>Normal</Template>
  <TotalTime>0</TotalTime>
  <Pages>9</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Special report on the Taxation (COVID-19 Resurgence Support Payments and Other Matters) Act 2021 (23 February 2021)</vt:lpstr>
    </vt:vector>
  </TitlesOfParts>
  <Company>Inland Revenue</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the Taxation (COVID-19 Resurgence Support Payments and Other Matters) Act 2021 (23 February 2021)</dc:title>
  <dc:subject/>
  <dc:creator>Policy and Strategy</dc:creator>
  <cp:keywords/>
  <dc:description/>
  <dcterms:created xsi:type="dcterms:W3CDTF">2021-02-23T03:47:00Z</dcterms:created>
  <dcterms:modified xsi:type="dcterms:W3CDTF">2021-02-23T03:47:00Z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a4f106f2-aad1-42d5-aa61-96837420719b_ActionId">
    <vt:lpwstr>07f90831-857b-4ffe-aeea-5c012e559f00</vt:lpwstr>
  </property>
  <property fmtid="{D5CDD505-2E9C-101B-9397-08002B2CF9AE}" pid="4" name="ContentTypeId">
    <vt:lpwstr>0x01010051FB5A4D8CB3714A90B797AC39F80CD6</vt:lpwstr>
  </property>
  <property fmtid="{D5CDD505-2E9C-101B-9397-08002B2CF9AE}" pid="5" name="MSIP_Label_a4f106f2-aad1-42d5-aa61-96837420719b_ContentBits">
    <vt:lpwstr>1</vt:lpwstr>
  </property>
  <property fmtid="{D5CDD505-2E9C-101B-9397-08002B2CF9AE}" pid="6" name="MSIP_Label_a4f106f2-aad1-42d5-aa61-96837420719b_Enabled">
    <vt:lpwstr>true</vt:lpwstr>
  </property>
  <property fmtid="{D5CDD505-2E9C-101B-9397-08002B2CF9AE}" pid="7" name="MSIP_Label_a4f106f2-aad1-42d5-aa61-96837420719b_Name">
    <vt:lpwstr>a4f106f2-aad1-42d5-aa61-96837420719b</vt:lpwstr>
  </property>
  <property fmtid="{D5CDD505-2E9C-101B-9397-08002B2CF9AE}" pid="8" name="MSIP_Label_a4f106f2-aad1-42d5-aa61-96837420719b_Method">
    <vt:lpwstr>Privileged</vt:lpwstr>
  </property>
  <property fmtid="{D5CDD505-2E9C-101B-9397-08002B2CF9AE}" pid="9" name="MSIP_Label_a4f106f2-aad1-42d5-aa61-96837420719b_SiteId">
    <vt:lpwstr>fb39e3e9-23a9-404e-93a2-b42a87d94f35</vt:lpwstr>
  </property>
  <property fmtid="{D5CDD505-2E9C-101B-9397-08002B2CF9AE}" pid="10" name="MSIP_Label_a4f106f2-aad1-42d5-aa61-96837420719b_SetDate">
    <vt:lpwstr>2021-02-19T03:04:30Z</vt:lpwstr>
  </property>
</Properties>
</file>