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8B4AB" w14:textId="27F5E5B7" w:rsidR="00EF50FD" w:rsidRPr="00A864A5" w:rsidRDefault="00EF50FD" w:rsidP="00EF50FD">
      <w:pPr>
        <w:pStyle w:val="Heading1"/>
        <w:spacing w:before="0" w:after="120" w:line="276" w:lineRule="auto"/>
        <w:rPr>
          <w:color w:val="0082AB"/>
          <w:lang w:val="en-NZ"/>
        </w:rPr>
      </w:pPr>
      <w:r w:rsidRPr="00A864A5">
        <w:rPr>
          <w:color w:val="0082AB"/>
          <w:lang w:val="en-NZ"/>
        </w:rPr>
        <w:t xml:space="preserve">Regulatory Impact Statement: </w:t>
      </w:r>
      <w:r w:rsidR="00950E36">
        <w:rPr>
          <w:color w:val="0082AB"/>
          <w:lang w:val="en-NZ"/>
        </w:rPr>
        <w:t>Sales suppression software</w:t>
      </w:r>
    </w:p>
    <w:p w14:paraId="3BD94C32" w14:textId="2F835BE6" w:rsidR="0062657E" w:rsidRPr="00A864A5" w:rsidRDefault="0017116F" w:rsidP="00EF50FD">
      <w:pPr>
        <w:pStyle w:val="Heading2"/>
        <w:rPr>
          <w:lang w:val="en-NZ"/>
        </w:rPr>
      </w:pPr>
      <w:r w:rsidRPr="00A864A5">
        <w:rPr>
          <w:lang w:val="en-NZ"/>
        </w:rPr>
        <w:t>Covershee</w:t>
      </w:r>
      <w:r w:rsidR="00EF50FD" w:rsidRPr="00A864A5">
        <w:rPr>
          <w:lang w:val="en-NZ"/>
        </w:rPr>
        <w:t>t</w:t>
      </w:r>
    </w:p>
    <w:p w14:paraId="6DD276F7" w14:textId="7DC5C400" w:rsidR="0062657E" w:rsidRPr="00A864A5" w:rsidRDefault="0062657E" w:rsidP="00743278">
      <w:pPr>
        <w:pStyle w:val="spacer"/>
        <w:rPr>
          <w:lang w:val="en-NZ"/>
        </w:rP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600" w:firstRow="0" w:lastRow="0" w:firstColumn="0" w:lastColumn="0" w:noHBand="1" w:noVBand="1"/>
      </w:tblPr>
      <w:tblGrid>
        <w:gridCol w:w="2333"/>
        <w:gridCol w:w="6659"/>
      </w:tblGrid>
      <w:tr w:rsidR="001F29E6" w:rsidRPr="00A864A5" w14:paraId="24CAC5A8" w14:textId="77777777" w:rsidTr="008D0FF3">
        <w:tc>
          <w:tcPr>
            <w:tcW w:w="5000" w:type="pct"/>
            <w:gridSpan w:val="2"/>
            <w:tcBorders>
              <w:bottom w:val="single" w:sz="4" w:space="0" w:color="DDDDDD"/>
            </w:tcBorders>
            <w:shd w:val="clear" w:color="auto" w:fill="99CDDD"/>
            <w:hideMark/>
          </w:tcPr>
          <w:p w14:paraId="3273EFFF" w14:textId="2E160C31" w:rsidR="001F29E6" w:rsidRPr="00A864A5" w:rsidRDefault="001F29E6" w:rsidP="008D0FF3">
            <w:pPr>
              <w:pStyle w:val="TableHeadings"/>
              <w:rPr>
                <w:color w:val="002060"/>
                <w:szCs w:val="22"/>
                <w:lang w:val="en-NZ"/>
              </w:rPr>
            </w:pPr>
            <w:bookmarkStart w:id="0" w:name="_Hlk47357107"/>
            <w:r w:rsidRPr="00A864A5">
              <w:rPr>
                <w:szCs w:val="22"/>
                <w:lang w:val="en-NZ"/>
              </w:rPr>
              <w:t>Purpose</w:t>
            </w:r>
          </w:p>
        </w:tc>
      </w:tr>
      <w:tr w:rsidR="001F29E6" w:rsidRPr="00A864A5" w14:paraId="24C44C49" w14:textId="77777777" w:rsidTr="000C29FA">
        <w:trPr>
          <w:trHeight w:val="414"/>
        </w:trPr>
        <w:tc>
          <w:tcPr>
            <w:tcW w:w="1297" w:type="pct"/>
            <w:tcBorders>
              <w:top w:val="nil"/>
            </w:tcBorders>
            <w:shd w:val="clear" w:color="auto" w:fill="EBF5F8"/>
          </w:tcPr>
          <w:p w14:paraId="120D8478" w14:textId="11B228E3" w:rsidR="001F29E6" w:rsidRPr="00A864A5" w:rsidRDefault="001F29E6" w:rsidP="008D0FF3">
            <w:pPr>
              <w:spacing w:after="180"/>
              <w:rPr>
                <w:rFonts w:cs="Arial"/>
                <w:iCs/>
                <w:color w:val="000000"/>
                <w:szCs w:val="22"/>
                <w:lang w:val="en-NZ"/>
              </w:rPr>
            </w:pPr>
            <w:r w:rsidRPr="00A864A5">
              <w:rPr>
                <w:rFonts w:cs="Arial"/>
                <w:iCs/>
                <w:color w:val="000000"/>
                <w:szCs w:val="22"/>
                <w:lang w:val="en-NZ"/>
              </w:rPr>
              <w:t xml:space="preserve">Decision </w:t>
            </w:r>
            <w:r w:rsidR="00575FF9" w:rsidRPr="00A864A5">
              <w:rPr>
                <w:rFonts w:cs="Arial"/>
                <w:iCs/>
                <w:color w:val="000000"/>
                <w:szCs w:val="22"/>
                <w:lang w:val="en-NZ"/>
              </w:rPr>
              <w:t>S</w:t>
            </w:r>
            <w:r w:rsidRPr="00A864A5">
              <w:rPr>
                <w:rFonts w:cs="Arial"/>
                <w:iCs/>
                <w:color w:val="000000"/>
                <w:szCs w:val="22"/>
                <w:lang w:val="en-NZ"/>
              </w:rPr>
              <w:t>ought:</w:t>
            </w:r>
          </w:p>
        </w:tc>
        <w:tc>
          <w:tcPr>
            <w:tcW w:w="3703" w:type="pct"/>
            <w:tcBorders>
              <w:top w:val="nil"/>
            </w:tcBorders>
            <w:shd w:val="clear" w:color="auto" w:fill="auto"/>
          </w:tcPr>
          <w:p w14:paraId="2B9F992E" w14:textId="7C959D68" w:rsidR="001F29E6" w:rsidRPr="008064C0" w:rsidRDefault="009E068E" w:rsidP="008D0FF3">
            <w:pPr>
              <w:spacing w:after="180"/>
              <w:rPr>
                <w:rFonts w:cs="Arial"/>
                <w:i/>
                <w:color w:val="000000"/>
                <w:szCs w:val="22"/>
                <w:lang w:val="en-NZ"/>
              </w:rPr>
            </w:pPr>
            <w:r>
              <w:rPr>
                <w:rFonts w:cs="Arial"/>
                <w:i/>
                <w:color w:val="000000"/>
                <w:szCs w:val="22"/>
                <w:lang w:val="en-NZ"/>
              </w:rPr>
              <w:t xml:space="preserve">Introduce penalties for the supply, possession, and </w:t>
            </w:r>
            <w:r w:rsidR="00756B15">
              <w:rPr>
                <w:rFonts w:cs="Arial"/>
                <w:i/>
                <w:color w:val="000000"/>
                <w:szCs w:val="22"/>
                <w:lang w:val="en-NZ"/>
              </w:rPr>
              <w:t>use of sales suppression software</w:t>
            </w:r>
          </w:p>
        </w:tc>
      </w:tr>
      <w:tr w:rsidR="001F29E6" w:rsidRPr="00A864A5" w14:paraId="2895A1B0" w14:textId="77777777" w:rsidTr="000C29FA">
        <w:trPr>
          <w:trHeight w:val="506"/>
        </w:trPr>
        <w:tc>
          <w:tcPr>
            <w:tcW w:w="1297" w:type="pct"/>
            <w:tcBorders>
              <w:top w:val="nil"/>
            </w:tcBorders>
            <w:shd w:val="clear" w:color="auto" w:fill="EBF5F8"/>
          </w:tcPr>
          <w:p w14:paraId="19AF4671" w14:textId="691D4CA0" w:rsidR="001F29E6" w:rsidRPr="00A864A5" w:rsidRDefault="001F29E6" w:rsidP="008D0FF3">
            <w:pPr>
              <w:spacing w:after="180"/>
              <w:rPr>
                <w:rFonts w:cs="Arial"/>
                <w:iCs/>
                <w:color w:val="000000"/>
                <w:szCs w:val="22"/>
                <w:lang w:val="en-NZ"/>
              </w:rPr>
            </w:pPr>
            <w:r w:rsidRPr="00A864A5">
              <w:rPr>
                <w:rFonts w:cs="Arial"/>
                <w:iCs/>
                <w:color w:val="000000"/>
                <w:szCs w:val="22"/>
                <w:lang w:val="en-NZ"/>
              </w:rPr>
              <w:t xml:space="preserve">Advising </w:t>
            </w:r>
            <w:r w:rsidR="00723DF3" w:rsidRPr="00A864A5">
              <w:rPr>
                <w:rFonts w:cs="Arial"/>
                <w:iCs/>
                <w:color w:val="000000"/>
                <w:szCs w:val="22"/>
                <w:lang w:val="en-NZ"/>
              </w:rPr>
              <w:t>Agencies</w:t>
            </w:r>
            <w:r w:rsidRPr="00A864A5">
              <w:rPr>
                <w:rFonts w:cs="Arial"/>
                <w:iCs/>
                <w:color w:val="000000"/>
                <w:szCs w:val="22"/>
                <w:lang w:val="en-NZ"/>
              </w:rPr>
              <w:t>:</w:t>
            </w:r>
          </w:p>
        </w:tc>
        <w:tc>
          <w:tcPr>
            <w:tcW w:w="3703" w:type="pct"/>
            <w:tcBorders>
              <w:top w:val="nil"/>
            </w:tcBorders>
            <w:shd w:val="clear" w:color="auto" w:fill="auto"/>
          </w:tcPr>
          <w:p w14:paraId="742E202F" w14:textId="1245E88C" w:rsidR="001F29E6" w:rsidRPr="008064C0" w:rsidRDefault="00950E36" w:rsidP="008D0FF3">
            <w:pPr>
              <w:spacing w:after="180"/>
              <w:rPr>
                <w:rFonts w:cs="Arial"/>
                <w:i/>
                <w:color w:val="000000"/>
                <w:szCs w:val="22"/>
                <w:lang w:val="en-NZ"/>
              </w:rPr>
            </w:pPr>
            <w:r>
              <w:rPr>
                <w:rFonts w:cs="Arial"/>
                <w:i/>
                <w:color w:val="000000"/>
                <w:szCs w:val="22"/>
                <w:lang w:val="en-NZ"/>
              </w:rPr>
              <w:t>Inland Revenue</w:t>
            </w:r>
          </w:p>
        </w:tc>
      </w:tr>
      <w:tr w:rsidR="001F29E6" w:rsidRPr="00A864A5" w14:paraId="568C5BEC" w14:textId="77777777" w:rsidTr="000C29FA">
        <w:trPr>
          <w:trHeight w:val="317"/>
        </w:trPr>
        <w:tc>
          <w:tcPr>
            <w:tcW w:w="1297" w:type="pct"/>
            <w:tcBorders>
              <w:top w:val="nil"/>
            </w:tcBorders>
            <w:shd w:val="clear" w:color="auto" w:fill="EBF5F8"/>
          </w:tcPr>
          <w:p w14:paraId="0F68A519" w14:textId="4F678206" w:rsidR="001F29E6" w:rsidRPr="00A864A5" w:rsidRDefault="001F29E6" w:rsidP="008D0FF3">
            <w:pPr>
              <w:spacing w:after="180"/>
              <w:rPr>
                <w:rFonts w:cs="Arial"/>
                <w:iCs/>
                <w:color w:val="000000"/>
                <w:szCs w:val="22"/>
                <w:lang w:val="en-NZ"/>
              </w:rPr>
            </w:pPr>
            <w:r w:rsidRPr="00A864A5">
              <w:rPr>
                <w:rFonts w:cs="Arial"/>
                <w:iCs/>
                <w:color w:val="000000"/>
                <w:szCs w:val="22"/>
                <w:lang w:val="en-NZ"/>
              </w:rPr>
              <w:t>Proposing Minister</w:t>
            </w:r>
            <w:r w:rsidR="000C29FA">
              <w:rPr>
                <w:rFonts w:cs="Arial"/>
                <w:iCs/>
                <w:color w:val="000000"/>
                <w:szCs w:val="22"/>
                <w:lang w:val="en-NZ"/>
              </w:rPr>
              <w:t>s:</w:t>
            </w:r>
          </w:p>
        </w:tc>
        <w:tc>
          <w:tcPr>
            <w:tcW w:w="3703" w:type="pct"/>
            <w:tcBorders>
              <w:top w:val="nil"/>
            </w:tcBorders>
            <w:shd w:val="clear" w:color="auto" w:fill="auto"/>
          </w:tcPr>
          <w:p w14:paraId="3C92607C" w14:textId="1495FE93" w:rsidR="001F29E6" w:rsidRPr="008064C0" w:rsidRDefault="00950E36" w:rsidP="008D0FF3">
            <w:pPr>
              <w:spacing w:after="180"/>
              <w:rPr>
                <w:rFonts w:cs="Arial"/>
                <w:i/>
                <w:color w:val="000000"/>
                <w:szCs w:val="22"/>
                <w:lang w:val="en-NZ"/>
              </w:rPr>
            </w:pPr>
            <w:r>
              <w:rPr>
                <w:rFonts w:cs="Arial"/>
                <w:i/>
                <w:color w:val="000000"/>
                <w:szCs w:val="22"/>
                <w:lang w:val="en-NZ"/>
              </w:rPr>
              <w:t>Minister of Revenue</w:t>
            </w:r>
          </w:p>
        </w:tc>
      </w:tr>
      <w:tr w:rsidR="00C11B3B" w:rsidRPr="00A864A5" w14:paraId="73C7C7FD" w14:textId="77777777" w:rsidTr="000C29FA">
        <w:trPr>
          <w:trHeight w:val="202"/>
        </w:trPr>
        <w:tc>
          <w:tcPr>
            <w:tcW w:w="1297" w:type="pct"/>
            <w:tcBorders>
              <w:top w:val="nil"/>
            </w:tcBorders>
            <w:shd w:val="clear" w:color="auto" w:fill="EBF5F8"/>
          </w:tcPr>
          <w:p w14:paraId="5B57759D" w14:textId="211E040E" w:rsidR="00C11B3B" w:rsidRPr="00A864A5" w:rsidRDefault="00C11B3B" w:rsidP="008D0FF3">
            <w:pPr>
              <w:spacing w:after="180"/>
              <w:rPr>
                <w:rFonts w:cs="Arial"/>
                <w:iCs/>
                <w:color w:val="000000"/>
                <w:szCs w:val="22"/>
                <w:lang w:val="en-NZ"/>
              </w:rPr>
            </w:pPr>
            <w:r w:rsidRPr="00A864A5">
              <w:rPr>
                <w:rFonts w:cs="Arial"/>
                <w:iCs/>
                <w:color w:val="000000"/>
                <w:szCs w:val="22"/>
                <w:lang w:val="en-NZ"/>
              </w:rPr>
              <w:t>Date:</w:t>
            </w:r>
          </w:p>
        </w:tc>
        <w:tc>
          <w:tcPr>
            <w:tcW w:w="3703" w:type="pct"/>
            <w:tcBorders>
              <w:top w:val="nil"/>
            </w:tcBorders>
            <w:shd w:val="clear" w:color="auto" w:fill="auto"/>
          </w:tcPr>
          <w:p w14:paraId="4547EFD0" w14:textId="4C2D077E" w:rsidR="00C11B3B" w:rsidRPr="00A864A5" w:rsidRDefault="00D34F8E" w:rsidP="008D0FF3">
            <w:pPr>
              <w:spacing w:after="180"/>
              <w:rPr>
                <w:rFonts w:cs="Arial"/>
                <w:i/>
                <w:color w:val="000000"/>
                <w:szCs w:val="22"/>
                <w:lang w:val="en-NZ"/>
              </w:rPr>
            </w:pPr>
            <w:r>
              <w:rPr>
                <w:rFonts w:cs="Arial"/>
                <w:i/>
                <w:color w:val="000000"/>
                <w:szCs w:val="22"/>
                <w:lang w:val="en-NZ"/>
              </w:rPr>
              <w:t>1 June</w:t>
            </w:r>
            <w:r w:rsidR="00950E36">
              <w:rPr>
                <w:rFonts w:cs="Arial"/>
                <w:i/>
                <w:color w:val="000000"/>
                <w:szCs w:val="22"/>
                <w:lang w:val="en-NZ"/>
              </w:rPr>
              <w:t xml:space="preserve"> 202</w:t>
            </w:r>
            <w:r w:rsidR="00EE6317">
              <w:rPr>
                <w:rFonts w:cs="Arial"/>
                <w:i/>
                <w:color w:val="000000"/>
                <w:szCs w:val="22"/>
                <w:lang w:val="en-NZ"/>
              </w:rPr>
              <w:t>1</w:t>
            </w:r>
          </w:p>
        </w:tc>
      </w:tr>
      <w:tr w:rsidR="0079435C" w:rsidRPr="00A864A5" w14:paraId="7F643A0E" w14:textId="77777777" w:rsidTr="008D0FF3">
        <w:tc>
          <w:tcPr>
            <w:tcW w:w="5000" w:type="pct"/>
            <w:gridSpan w:val="2"/>
            <w:tcBorders>
              <w:bottom w:val="single" w:sz="4" w:space="0" w:color="DDDDDD"/>
            </w:tcBorders>
            <w:shd w:val="clear" w:color="auto" w:fill="99CDDD"/>
            <w:hideMark/>
          </w:tcPr>
          <w:p w14:paraId="7F446F06" w14:textId="570ED786" w:rsidR="0079435C" w:rsidRPr="00A864A5" w:rsidRDefault="0079435C" w:rsidP="008D0FF3">
            <w:pPr>
              <w:pStyle w:val="TableHeadings"/>
              <w:rPr>
                <w:color w:val="002060"/>
                <w:szCs w:val="22"/>
                <w:lang w:val="en-NZ"/>
              </w:rPr>
            </w:pPr>
            <w:r w:rsidRPr="00A864A5">
              <w:rPr>
                <w:szCs w:val="22"/>
                <w:lang w:val="en-NZ"/>
              </w:rPr>
              <w:t>Problem Definition</w:t>
            </w:r>
          </w:p>
        </w:tc>
      </w:tr>
      <w:tr w:rsidR="0079435C" w:rsidRPr="00A864A5" w14:paraId="058C86B2" w14:textId="77777777" w:rsidTr="00773A84">
        <w:trPr>
          <w:trHeight w:val="824"/>
        </w:trPr>
        <w:tc>
          <w:tcPr>
            <w:tcW w:w="5000" w:type="pct"/>
            <w:gridSpan w:val="2"/>
            <w:tcBorders>
              <w:top w:val="nil"/>
            </w:tcBorders>
            <w:shd w:val="clear" w:color="auto" w:fill="auto"/>
          </w:tcPr>
          <w:p w14:paraId="4EBB6131" w14:textId="73BEC904" w:rsidR="009E458D" w:rsidRPr="009E458D" w:rsidRDefault="009E458D" w:rsidP="009E458D">
            <w:pPr>
              <w:rPr>
                <w:lang w:val="en-NZ"/>
              </w:rPr>
            </w:pPr>
            <w:r w:rsidRPr="009E458D">
              <w:rPr>
                <w:rFonts w:cs="Arial"/>
                <w:szCs w:val="22"/>
                <w:lang w:val="en-NZ"/>
              </w:rPr>
              <w:t xml:space="preserve">Inland </w:t>
            </w:r>
            <w:r w:rsidRPr="00327DA2">
              <w:rPr>
                <w:rFonts w:cs="Arial"/>
                <w:szCs w:val="22"/>
                <w:lang w:val="en-NZ"/>
              </w:rPr>
              <w:t xml:space="preserve">Revenue has </w:t>
            </w:r>
            <w:r w:rsidR="00155B8B">
              <w:rPr>
                <w:rFonts w:cs="Arial"/>
                <w:szCs w:val="22"/>
                <w:lang w:val="en-NZ"/>
              </w:rPr>
              <w:t xml:space="preserve">been informed that overseas </w:t>
            </w:r>
            <w:r w:rsidR="00BC5C7C">
              <w:rPr>
                <w:rFonts w:cs="Arial"/>
                <w:szCs w:val="22"/>
                <w:lang w:val="en-NZ"/>
              </w:rPr>
              <w:t>businesses</w:t>
            </w:r>
            <w:r w:rsidRPr="00327DA2">
              <w:rPr>
                <w:rFonts w:cs="Arial"/>
                <w:szCs w:val="22"/>
                <w:lang w:val="en-NZ"/>
              </w:rPr>
              <w:t xml:space="preserve"> may be selling sales suppression software (software which </w:t>
            </w:r>
            <w:r w:rsidRPr="00327DA2">
              <w:t>alters sales data for the purpose of evading tax</w:t>
            </w:r>
            <w:r w:rsidRPr="00327DA2">
              <w:rPr>
                <w:rFonts w:cs="Arial"/>
                <w:szCs w:val="22"/>
                <w:lang w:val="en-NZ"/>
              </w:rPr>
              <w:t xml:space="preserve">) </w:t>
            </w:r>
            <w:r w:rsidR="00817326">
              <w:rPr>
                <w:rFonts w:cs="Arial"/>
                <w:szCs w:val="22"/>
                <w:lang w:val="en-NZ"/>
              </w:rPr>
              <w:t xml:space="preserve">is being made available </w:t>
            </w:r>
            <w:r w:rsidRPr="00327DA2">
              <w:rPr>
                <w:rFonts w:cs="Arial"/>
                <w:szCs w:val="22"/>
                <w:lang w:val="en-NZ"/>
              </w:rPr>
              <w:t xml:space="preserve">to businesses in New Zealand. </w:t>
            </w:r>
            <w:r w:rsidR="00756B15">
              <w:t xml:space="preserve">This </w:t>
            </w:r>
            <w:r w:rsidR="007041E3">
              <w:t xml:space="preserve">software is </w:t>
            </w:r>
            <w:r w:rsidR="00CE3162">
              <w:t xml:space="preserve">relatively </w:t>
            </w:r>
            <w:r w:rsidR="007041E3">
              <w:t xml:space="preserve">new to New Zealand and </w:t>
            </w:r>
            <w:r w:rsidR="00BC5C7C">
              <w:t xml:space="preserve">existing </w:t>
            </w:r>
            <w:r w:rsidR="00817326">
              <w:t>tax</w:t>
            </w:r>
            <w:r w:rsidR="00BC5C7C">
              <w:t xml:space="preserve"> law appears insufficient to </w:t>
            </w:r>
            <w:r w:rsidR="00817326">
              <w:t>deter</w:t>
            </w:r>
            <w:r w:rsidR="00C74255">
              <w:t xml:space="preserve"> its spread in the New Zealand tax base.</w:t>
            </w:r>
          </w:p>
        </w:tc>
      </w:tr>
      <w:tr w:rsidR="00C93549" w:rsidRPr="00A864A5" w14:paraId="7CED8916" w14:textId="77777777" w:rsidTr="00FE3199">
        <w:tc>
          <w:tcPr>
            <w:tcW w:w="5000" w:type="pct"/>
            <w:gridSpan w:val="2"/>
            <w:tcBorders>
              <w:bottom w:val="single" w:sz="4" w:space="0" w:color="DDDDDD"/>
            </w:tcBorders>
            <w:shd w:val="clear" w:color="auto" w:fill="99CDDD"/>
            <w:hideMark/>
          </w:tcPr>
          <w:p w14:paraId="163B530B" w14:textId="0ACEE607" w:rsidR="00C93549" w:rsidRPr="00A864A5" w:rsidRDefault="00063943" w:rsidP="008D0FF3">
            <w:pPr>
              <w:pStyle w:val="TableHeadings"/>
              <w:rPr>
                <w:color w:val="002060"/>
                <w:szCs w:val="22"/>
                <w:lang w:val="en-NZ"/>
              </w:rPr>
            </w:pPr>
            <w:bookmarkStart w:id="1" w:name="_Hlk57202117"/>
            <w:r w:rsidRPr="00A864A5">
              <w:rPr>
                <w:szCs w:val="22"/>
                <w:lang w:val="en-NZ"/>
              </w:rPr>
              <w:t>Exe</w:t>
            </w:r>
            <w:r w:rsidR="0079435C" w:rsidRPr="00A864A5">
              <w:rPr>
                <w:szCs w:val="22"/>
                <w:lang w:val="en-NZ"/>
              </w:rPr>
              <w:t>cutive Summary</w:t>
            </w:r>
          </w:p>
        </w:tc>
      </w:tr>
      <w:tr w:rsidR="00FE3199" w:rsidRPr="00A864A5" w14:paraId="6B25993E" w14:textId="77777777" w:rsidTr="00DE63FC">
        <w:trPr>
          <w:trHeight w:val="944"/>
        </w:trPr>
        <w:tc>
          <w:tcPr>
            <w:tcW w:w="5000" w:type="pct"/>
            <w:gridSpan w:val="2"/>
            <w:tcBorders>
              <w:top w:val="nil"/>
            </w:tcBorders>
            <w:shd w:val="clear" w:color="auto" w:fill="auto"/>
          </w:tcPr>
          <w:p w14:paraId="740F9331" w14:textId="68D4D43B" w:rsidR="000132F6" w:rsidRDefault="000B49B4" w:rsidP="00805DB4">
            <w:pPr>
              <w:tabs>
                <w:tab w:val="left" w:pos="7424"/>
                <w:tab w:val="right" w:pos="8636"/>
              </w:tabs>
              <w:rPr>
                <w:rFonts w:cs="Arial"/>
                <w:szCs w:val="22"/>
                <w:lang w:val="en-NZ"/>
              </w:rPr>
            </w:pPr>
            <w:r>
              <w:rPr>
                <w:rFonts w:cs="Arial"/>
                <w:szCs w:val="22"/>
                <w:lang w:val="en-NZ"/>
              </w:rPr>
              <w:t>Sales suppression software appears</w:t>
            </w:r>
            <w:r w:rsidR="00CE3162">
              <w:rPr>
                <w:rFonts w:cs="Arial"/>
                <w:szCs w:val="22"/>
                <w:lang w:val="en-NZ"/>
              </w:rPr>
              <w:t xml:space="preserve"> relatively</w:t>
            </w:r>
            <w:r>
              <w:rPr>
                <w:rFonts w:cs="Arial"/>
                <w:szCs w:val="22"/>
                <w:lang w:val="en-NZ"/>
              </w:rPr>
              <w:t xml:space="preserve"> new to New Zealand, and </w:t>
            </w:r>
            <w:r w:rsidR="00B20E4D">
              <w:rPr>
                <w:rFonts w:cs="Arial"/>
                <w:szCs w:val="22"/>
                <w:lang w:val="en-NZ"/>
              </w:rPr>
              <w:t>it</w:t>
            </w:r>
            <w:r w:rsidR="00817326">
              <w:rPr>
                <w:rFonts w:cs="Arial"/>
                <w:szCs w:val="22"/>
                <w:lang w:val="en-NZ"/>
              </w:rPr>
              <w:t xml:space="preserve">s distribution </w:t>
            </w:r>
            <w:r w:rsidR="00B20E4D">
              <w:rPr>
                <w:rFonts w:cs="Arial"/>
                <w:szCs w:val="22"/>
                <w:lang w:val="en-NZ"/>
              </w:rPr>
              <w:t xml:space="preserve">is not </w:t>
            </w:r>
            <w:r w:rsidR="00817326">
              <w:rPr>
                <w:rFonts w:cs="Arial"/>
                <w:szCs w:val="22"/>
                <w:lang w:val="en-NZ"/>
              </w:rPr>
              <w:t xml:space="preserve">expressly </w:t>
            </w:r>
            <w:r w:rsidR="000B0135">
              <w:rPr>
                <w:rFonts w:cs="Arial"/>
                <w:szCs w:val="22"/>
                <w:lang w:val="en-NZ"/>
              </w:rPr>
              <w:t>covered</w:t>
            </w:r>
            <w:r w:rsidR="00B20E4D">
              <w:rPr>
                <w:rFonts w:cs="Arial"/>
                <w:szCs w:val="22"/>
                <w:lang w:val="en-NZ"/>
              </w:rPr>
              <w:t xml:space="preserve"> </w:t>
            </w:r>
            <w:r w:rsidR="000B0135">
              <w:rPr>
                <w:rFonts w:cs="Arial"/>
                <w:szCs w:val="22"/>
                <w:lang w:val="en-NZ"/>
              </w:rPr>
              <w:t>in</w:t>
            </w:r>
            <w:r w:rsidR="00B20E4D">
              <w:rPr>
                <w:rFonts w:cs="Arial"/>
                <w:szCs w:val="22"/>
                <w:lang w:val="en-NZ"/>
              </w:rPr>
              <w:t xml:space="preserve"> existing</w:t>
            </w:r>
            <w:r w:rsidR="00817326">
              <w:rPr>
                <w:rFonts w:cs="Arial"/>
                <w:szCs w:val="22"/>
                <w:lang w:val="en-NZ"/>
              </w:rPr>
              <w:t xml:space="preserve"> tax</w:t>
            </w:r>
            <w:r w:rsidR="00B20E4D">
              <w:rPr>
                <w:rFonts w:cs="Arial"/>
                <w:szCs w:val="22"/>
                <w:lang w:val="en-NZ"/>
              </w:rPr>
              <w:t xml:space="preserve"> law. Using </w:t>
            </w:r>
            <w:r w:rsidR="00381B56">
              <w:rPr>
                <w:rFonts w:cs="Arial"/>
                <w:szCs w:val="22"/>
                <w:lang w:val="en-NZ"/>
              </w:rPr>
              <w:t xml:space="preserve">the software is a form of tax evasion, and users could be penalised on that basis. However, it is not currently an offence to make, sell, buy, or possess the software, meaning that </w:t>
            </w:r>
            <w:r w:rsidR="00DA6EC1">
              <w:rPr>
                <w:rFonts w:cs="Arial"/>
                <w:szCs w:val="22"/>
                <w:lang w:val="en-NZ"/>
              </w:rPr>
              <w:t xml:space="preserve">the software can spread </w:t>
            </w:r>
            <w:r w:rsidR="000B0135">
              <w:rPr>
                <w:rFonts w:cs="Arial"/>
                <w:szCs w:val="22"/>
                <w:lang w:val="en-NZ"/>
              </w:rPr>
              <w:t>in</w:t>
            </w:r>
            <w:r w:rsidR="00DA6EC1">
              <w:rPr>
                <w:rFonts w:cs="Arial"/>
                <w:szCs w:val="22"/>
                <w:lang w:val="en-NZ"/>
              </w:rPr>
              <w:t xml:space="preserve"> the tax base without repercussions, to the point where </w:t>
            </w:r>
            <w:r w:rsidR="00BF78C1">
              <w:rPr>
                <w:rFonts w:cs="Arial"/>
                <w:szCs w:val="22"/>
                <w:lang w:val="en-NZ"/>
              </w:rPr>
              <w:t>removing it from the base is likely to be very difficult</w:t>
            </w:r>
            <w:r w:rsidR="002469E9">
              <w:rPr>
                <w:rFonts w:cs="Arial"/>
                <w:szCs w:val="22"/>
                <w:lang w:val="en-NZ"/>
              </w:rPr>
              <w:t xml:space="preserve">. Action is required to </w:t>
            </w:r>
            <w:r w:rsidR="00865F60">
              <w:rPr>
                <w:rFonts w:cs="Arial"/>
                <w:szCs w:val="22"/>
                <w:lang w:val="en-NZ"/>
              </w:rPr>
              <w:t xml:space="preserve">give authorities the legal tools to </w:t>
            </w:r>
            <w:r w:rsidR="0015795C">
              <w:rPr>
                <w:rFonts w:cs="Arial"/>
                <w:szCs w:val="22"/>
                <w:lang w:val="en-NZ"/>
              </w:rPr>
              <w:t xml:space="preserve">deter </w:t>
            </w:r>
            <w:r w:rsidR="00865F60">
              <w:rPr>
                <w:rFonts w:cs="Arial"/>
                <w:szCs w:val="22"/>
                <w:lang w:val="en-NZ"/>
              </w:rPr>
              <w:t>the spread of the software.</w:t>
            </w:r>
          </w:p>
          <w:p w14:paraId="561203A6" w14:textId="4686A879" w:rsidR="00865F60" w:rsidRDefault="000E3D58" w:rsidP="00805DB4">
            <w:pPr>
              <w:tabs>
                <w:tab w:val="left" w:pos="7424"/>
                <w:tab w:val="right" w:pos="8636"/>
              </w:tabs>
              <w:rPr>
                <w:rFonts w:cs="Arial"/>
                <w:szCs w:val="22"/>
                <w:lang w:val="en-NZ"/>
              </w:rPr>
            </w:pPr>
            <w:r>
              <w:rPr>
                <w:rFonts w:cs="Arial"/>
                <w:szCs w:val="22"/>
                <w:lang w:val="en-NZ"/>
              </w:rPr>
              <w:t xml:space="preserve">Overseas jurisdictions have employed two broad methods to curtail the spread of sales suppression software. The first </w:t>
            </w:r>
            <w:r w:rsidR="00817326">
              <w:rPr>
                <w:rFonts w:cs="Arial"/>
                <w:szCs w:val="22"/>
                <w:lang w:val="en-NZ"/>
              </w:rPr>
              <w:t xml:space="preserve">approach uses </w:t>
            </w:r>
            <w:r w:rsidR="00DA6623">
              <w:rPr>
                <w:rFonts w:cs="Arial"/>
                <w:szCs w:val="22"/>
                <w:lang w:val="en-NZ"/>
              </w:rPr>
              <w:t xml:space="preserve">penalties (both civil and criminal) </w:t>
            </w:r>
            <w:r w:rsidR="00817326">
              <w:rPr>
                <w:rFonts w:cs="Arial"/>
                <w:szCs w:val="22"/>
                <w:lang w:val="en-NZ"/>
              </w:rPr>
              <w:t xml:space="preserve">that are </w:t>
            </w:r>
            <w:r w:rsidR="00DA6623">
              <w:rPr>
                <w:rFonts w:cs="Arial"/>
                <w:szCs w:val="22"/>
                <w:lang w:val="en-NZ"/>
              </w:rPr>
              <w:t>targeted at taxpayers who make, sell, acquire, possess, or use the software. The second</w:t>
            </w:r>
            <w:r w:rsidR="00817326">
              <w:rPr>
                <w:rFonts w:cs="Arial"/>
                <w:szCs w:val="22"/>
                <w:lang w:val="en-NZ"/>
              </w:rPr>
              <w:t xml:space="preserve"> approach</w:t>
            </w:r>
            <w:r w:rsidR="00DA6623">
              <w:rPr>
                <w:rFonts w:cs="Arial"/>
                <w:szCs w:val="22"/>
                <w:lang w:val="en-NZ"/>
              </w:rPr>
              <w:t xml:space="preserve"> is regulating </w:t>
            </w:r>
            <w:r w:rsidR="00584E87">
              <w:rPr>
                <w:rFonts w:cs="Arial"/>
                <w:szCs w:val="22"/>
                <w:lang w:val="en-NZ"/>
              </w:rPr>
              <w:t>point-of-sale</w:t>
            </w:r>
            <w:r w:rsidR="00603466">
              <w:rPr>
                <w:rFonts w:cs="Arial"/>
                <w:szCs w:val="22"/>
                <w:lang w:val="en-NZ"/>
              </w:rPr>
              <w:t xml:space="preserve"> systems </w:t>
            </w:r>
            <w:r w:rsidR="00191E9B">
              <w:rPr>
                <w:rFonts w:cs="Arial"/>
                <w:szCs w:val="22"/>
                <w:lang w:val="en-NZ"/>
              </w:rPr>
              <w:t>used</w:t>
            </w:r>
            <w:r w:rsidR="00603466">
              <w:rPr>
                <w:rFonts w:cs="Arial"/>
                <w:szCs w:val="22"/>
                <w:lang w:val="en-NZ"/>
              </w:rPr>
              <w:t xml:space="preserve"> in the country to ensure that the systems are incompatible with sales suppression software. </w:t>
            </w:r>
            <w:r w:rsidR="000E2F38">
              <w:rPr>
                <w:rFonts w:cs="Arial"/>
                <w:szCs w:val="22"/>
                <w:lang w:val="en-NZ"/>
              </w:rPr>
              <w:t xml:space="preserve">Given that the problem appears new to New Zealand </w:t>
            </w:r>
            <w:r w:rsidR="00327DA2">
              <w:rPr>
                <w:rFonts w:cs="Arial"/>
                <w:szCs w:val="22"/>
                <w:lang w:val="en-NZ"/>
              </w:rPr>
              <w:t xml:space="preserve">(and </w:t>
            </w:r>
            <w:r w:rsidR="00817326">
              <w:rPr>
                <w:rFonts w:cs="Arial"/>
                <w:szCs w:val="22"/>
                <w:lang w:val="en-NZ"/>
              </w:rPr>
              <w:t>evidence suggests there is little market penetration</w:t>
            </w:r>
            <w:r w:rsidR="00327DA2">
              <w:rPr>
                <w:rFonts w:cs="Arial"/>
                <w:szCs w:val="22"/>
                <w:lang w:val="en-NZ"/>
              </w:rPr>
              <w:t xml:space="preserve">) </w:t>
            </w:r>
            <w:r w:rsidR="000E2F38">
              <w:rPr>
                <w:rFonts w:cs="Arial"/>
                <w:szCs w:val="22"/>
                <w:lang w:val="en-NZ"/>
              </w:rPr>
              <w:t xml:space="preserve">and the compliance costs of regulation are high, </w:t>
            </w:r>
            <w:r w:rsidR="004E023A">
              <w:rPr>
                <w:rFonts w:cs="Arial"/>
                <w:szCs w:val="22"/>
                <w:lang w:val="en-NZ"/>
              </w:rPr>
              <w:t>we</w:t>
            </w:r>
            <w:r w:rsidR="000E2F38">
              <w:rPr>
                <w:rFonts w:cs="Arial"/>
                <w:szCs w:val="22"/>
                <w:lang w:val="en-NZ"/>
              </w:rPr>
              <w:t xml:space="preserve"> currently favour </w:t>
            </w:r>
            <w:r w:rsidR="004E023A">
              <w:rPr>
                <w:rFonts w:cs="Arial"/>
                <w:szCs w:val="22"/>
                <w:lang w:val="en-NZ"/>
              </w:rPr>
              <w:t>the penalty approach over a regulatory regime.</w:t>
            </w:r>
          </w:p>
          <w:p w14:paraId="32A1256D" w14:textId="4AE7199E" w:rsidR="004E023A" w:rsidRPr="00A864A5" w:rsidRDefault="00655724" w:rsidP="005751EE">
            <w:pPr>
              <w:tabs>
                <w:tab w:val="left" w:pos="7424"/>
                <w:tab w:val="right" w:pos="8636"/>
              </w:tabs>
              <w:rPr>
                <w:rFonts w:cs="Arial"/>
                <w:szCs w:val="22"/>
                <w:lang w:val="en-NZ"/>
              </w:rPr>
            </w:pPr>
            <w:r>
              <w:rPr>
                <w:rFonts w:cs="Arial"/>
                <w:szCs w:val="22"/>
                <w:lang w:val="en-NZ"/>
              </w:rPr>
              <w:t>A penalty regime carries minimal compliance costs for taxpayers</w:t>
            </w:r>
            <w:r w:rsidR="00817326">
              <w:rPr>
                <w:rFonts w:cs="Arial"/>
                <w:szCs w:val="22"/>
                <w:lang w:val="en-NZ"/>
              </w:rPr>
              <w:t xml:space="preserve"> who are</w:t>
            </w:r>
            <w:r>
              <w:rPr>
                <w:rFonts w:cs="Arial"/>
                <w:szCs w:val="22"/>
                <w:lang w:val="en-NZ"/>
              </w:rPr>
              <w:t xml:space="preserve"> not using the software, and its administrative costs can be absorbed within Inland Revenue’s existing investigation and prosecution functions. </w:t>
            </w:r>
            <w:r w:rsidR="00DB7C43">
              <w:rPr>
                <w:rFonts w:cs="Arial"/>
                <w:szCs w:val="22"/>
                <w:lang w:val="en-NZ"/>
              </w:rPr>
              <w:t xml:space="preserve">Working properly, </w:t>
            </w:r>
            <w:r w:rsidR="00817326">
              <w:rPr>
                <w:rFonts w:cs="Arial"/>
                <w:szCs w:val="22"/>
                <w:lang w:val="en-NZ"/>
              </w:rPr>
              <w:t>penalties should</w:t>
            </w:r>
            <w:r w:rsidR="00DB7C43">
              <w:rPr>
                <w:rFonts w:cs="Arial"/>
                <w:szCs w:val="22"/>
                <w:lang w:val="en-NZ"/>
              </w:rPr>
              <w:t xml:space="preserve"> sufficiently deter taxpayers from </w:t>
            </w:r>
            <w:r w:rsidR="002576BB">
              <w:rPr>
                <w:rFonts w:cs="Arial"/>
                <w:szCs w:val="22"/>
                <w:lang w:val="en-NZ"/>
              </w:rPr>
              <w:t xml:space="preserve">supplying, acquiring, or using </w:t>
            </w:r>
            <w:r w:rsidR="00DB7C43">
              <w:rPr>
                <w:rFonts w:cs="Arial"/>
                <w:szCs w:val="22"/>
                <w:lang w:val="en-NZ"/>
              </w:rPr>
              <w:t>sales suppression software</w:t>
            </w:r>
            <w:r w:rsidR="002576BB">
              <w:rPr>
                <w:rFonts w:cs="Arial"/>
                <w:szCs w:val="22"/>
                <w:lang w:val="en-NZ"/>
              </w:rPr>
              <w:t xml:space="preserve"> </w:t>
            </w:r>
            <w:r w:rsidR="00DB7C43">
              <w:rPr>
                <w:rFonts w:cs="Arial"/>
                <w:szCs w:val="22"/>
                <w:lang w:val="en-NZ"/>
              </w:rPr>
              <w:t xml:space="preserve">that the </w:t>
            </w:r>
            <w:r w:rsidR="00DB7C43">
              <w:rPr>
                <w:rFonts w:cs="Arial"/>
                <w:szCs w:val="22"/>
                <w:lang w:val="en-NZ"/>
              </w:rPr>
              <w:lastRenderedPageBreak/>
              <w:t xml:space="preserve">software is unable to take </w:t>
            </w:r>
            <w:r w:rsidR="00817326">
              <w:rPr>
                <w:rFonts w:cs="Arial"/>
                <w:szCs w:val="22"/>
                <w:lang w:val="en-NZ"/>
              </w:rPr>
              <w:t xml:space="preserve">a deep </w:t>
            </w:r>
            <w:r w:rsidR="00DB7C43">
              <w:rPr>
                <w:rFonts w:cs="Arial"/>
                <w:szCs w:val="22"/>
                <w:lang w:val="en-NZ"/>
              </w:rPr>
              <w:t>hold in New Zealand</w:t>
            </w:r>
            <w:r w:rsidR="00707C9E">
              <w:rPr>
                <w:rFonts w:cs="Arial"/>
                <w:szCs w:val="22"/>
                <w:lang w:val="en-NZ"/>
              </w:rPr>
              <w:t>,</w:t>
            </w:r>
            <w:r w:rsidR="00817326">
              <w:rPr>
                <w:rFonts w:cs="Arial"/>
                <w:szCs w:val="22"/>
                <w:lang w:val="en-NZ"/>
              </w:rPr>
              <w:t xml:space="preserve"> thereby</w:t>
            </w:r>
            <w:r w:rsidR="00707C9E">
              <w:rPr>
                <w:rFonts w:cs="Arial"/>
                <w:szCs w:val="22"/>
                <w:lang w:val="en-NZ"/>
              </w:rPr>
              <w:t xml:space="preserve"> maintaining the integrity of the tax base</w:t>
            </w:r>
            <w:r w:rsidR="00A430B1">
              <w:rPr>
                <w:rFonts w:cs="Arial"/>
                <w:szCs w:val="22"/>
                <w:lang w:val="en-NZ"/>
              </w:rPr>
              <w:t xml:space="preserve"> and ensuring a level playing field for taxpayers</w:t>
            </w:r>
            <w:r w:rsidR="00DB7C43">
              <w:rPr>
                <w:rFonts w:cs="Arial"/>
                <w:szCs w:val="22"/>
                <w:lang w:val="en-NZ"/>
              </w:rPr>
              <w:t xml:space="preserve">. </w:t>
            </w:r>
          </w:p>
        </w:tc>
      </w:tr>
      <w:tr w:rsidR="00E8143E" w:rsidRPr="00A864A5" w14:paraId="42ED5650" w14:textId="77777777" w:rsidTr="008D0FF3">
        <w:tc>
          <w:tcPr>
            <w:tcW w:w="5000" w:type="pct"/>
            <w:gridSpan w:val="2"/>
            <w:tcBorders>
              <w:bottom w:val="single" w:sz="4" w:space="0" w:color="DDDDDD"/>
            </w:tcBorders>
            <w:shd w:val="clear" w:color="auto" w:fill="99CDDD"/>
            <w:hideMark/>
          </w:tcPr>
          <w:p w14:paraId="195A9405" w14:textId="74F1F41C" w:rsidR="00E8143E" w:rsidRPr="00A864A5" w:rsidRDefault="00E8143E" w:rsidP="008D0FF3">
            <w:pPr>
              <w:pStyle w:val="TableHeadings"/>
              <w:rPr>
                <w:color w:val="002060"/>
                <w:szCs w:val="22"/>
                <w:lang w:val="en-NZ"/>
              </w:rPr>
            </w:pPr>
            <w:bookmarkStart w:id="2" w:name="_Hlk57203483"/>
            <w:bookmarkEnd w:id="0"/>
            <w:bookmarkEnd w:id="1"/>
            <w:r w:rsidRPr="00A864A5">
              <w:rPr>
                <w:szCs w:val="22"/>
                <w:lang w:val="en-NZ"/>
              </w:rPr>
              <w:lastRenderedPageBreak/>
              <w:t xml:space="preserve">Limitations </w:t>
            </w:r>
            <w:r w:rsidR="003F775E">
              <w:rPr>
                <w:szCs w:val="22"/>
                <w:lang w:val="en-NZ"/>
              </w:rPr>
              <w:t>and</w:t>
            </w:r>
            <w:r w:rsidRPr="00A864A5">
              <w:rPr>
                <w:szCs w:val="22"/>
                <w:lang w:val="en-NZ"/>
              </w:rPr>
              <w:t xml:space="preserve"> Constraints on Analysis</w:t>
            </w:r>
          </w:p>
        </w:tc>
      </w:tr>
      <w:tr w:rsidR="00E8143E" w:rsidRPr="00A864A5" w14:paraId="2E89EDEC" w14:textId="77777777" w:rsidTr="001D599D">
        <w:trPr>
          <w:trHeight w:val="1517"/>
        </w:trPr>
        <w:tc>
          <w:tcPr>
            <w:tcW w:w="5000" w:type="pct"/>
            <w:gridSpan w:val="2"/>
            <w:tcBorders>
              <w:top w:val="nil"/>
            </w:tcBorders>
            <w:shd w:val="clear" w:color="auto" w:fill="auto"/>
          </w:tcPr>
          <w:p w14:paraId="7C179497" w14:textId="62EDC869" w:rsidR="0012142E" w:rsidRDefault="007527DC" w:rsidP="008D0FF3">
            <w:pPr>
              <w:spacing w:after="180"/>
              <w:rPr>
                <w:rFonts w:cs="Arial"/>
                <w:iCs/>
                <w:color w:val="000000"/>
                <w:szCs w:val="22"/>
                <w:lang w:val="en-NZ"/>
              </w:rPr>
            </w:pPr>
            <w:r>
              <w:rPr>
                <w:rFonts w:cs="Arial"/>
                <w:iCs/>
                <w:color w:val="000000"/>
                <w:szCs w:val="22"/>
                <w:lang w:val="en-NZ"/>
              </w:rPr>
              <w:t xml:space="preserve">The problem being addressed is new to New Zealand, and as such </w:t>
            </w:r>
            <w:r w:rsidR="00755D36">
              <w:rPr>
                <w:rFonts w:cs="Arial"/>
                <w:iCs/>
                <w:color w:val="000000"/>
                <w:szCs w:val="22"/>
                <w:lang w:val="en-NZ"/>
              </w:rPr>
              <w:t>our proposal is not constrained by</w:t>
            </w:r>
            <w:r w:rsidR="0018664D">
              <w:rPr>
                <w:rFonts w:cs="Arial"/>
                <w:iCs/>
                <w:color w:val="000000"/>
                <w:szCs w:val="22"/>
                <w:lang w:val="en-NZ"/>
              </w:rPr>
              <w:t xml:space="preserve"> Ministers’ commissioning or by</w:t>
            </w:r>
            <w:r w:rsidR="00755D36">
              <w:rPr>
                <w:rFonts w:cs="Arial"/>
                <w:iCs/>
                <w:color w:val="000000"/>
                <w:szCs w:val="22"/>
                <w:lang w:val="en-NZ"/>
              </w:rPr>
              <w:t xml:space="preserve"> any prior policy decisions</w:t>
            </w:r>
            <w:r w:rsidR="0018664D">
              <w:rPr>
                <w:rFonts w:cs="Arial"/>
                <w:iCs/>
                <w:color w:val="000000"/>
                <w:szCs w:val="22"/>
                <w:lang w:val="en-NZ"/>
              </w:rPr>
              <w:t>.</w:t>
            </w:r>
            <w:r w:rsidR="00231197">
              <w:rPr>
                <w:rFonts w:cs="Arial"/>
                <w:iCs/>
                <w:color w:val="000000"/>
                <w:szCs w:val="22"/>
                <w:lang w:val="en-NZ"/>
              </w:rPr>
              <w:t xml:space="preserve"> To some extent, it is constrained by legal norms</w:t>
            </w:r>
            <w:r w:rsidR="00FC4DC7">
              <w:rPr>
                <w:rFonts w:cs="Arial"/>
                <w:iCs/>
                <w:color w:val="000000"/>
                <w:szCs w:val="22"/>
                <w:lang w:val="en-NZ"/>
              </w:rPr>
              <w:t xml:space="preserve"> for offences and</w:t>
            </w:r>
            <w:r w:rsidR="00220212">
              <w:rPr>
                <w:rFonts w:cs="Arial"/>
                <w:iCs/>
                <w:color w:val="000000"/>
                <w:szCs w:val="22"/>
                <w:lang w:val="en-NZ"/>
              </w:rPr>
              <w:t xml:space="preserve"> imposing</w:t>
            </w:r>
            <w:r w:rsidR="00FC4DC7">
              <w:rPr>
                <w:rFonts w:cs="Arial"/>
                <w:iCs/>
                <w:color w:val="000000"/>
                <w:szCs w:val="22"/>
                <w:lang w:val="en-NZ"/>
              </w:rPr>
              <w:t xml:space="preserve"> penalties.</w:t>
            </w:r>
          </w:p>
          <w:p w14:paraId="135A0FC9" w14:textId="1ECE9A4B" w:rsidR="00193ED9" w:rsidRDefault="00193ED9" w:rsidP="008D0FF3">
            <w:pPr>
              <w:spacing w:after="180"/>
              <w:rPr>
                <w:rFonts w:cs="Arial"/>
                <w:iCs/>
                <w:color w:val="000000"/>
                <w:szCs w:val="22"/>
                <w:lang w:val="en-NZ"/>
              </w:rPr>
            </w:pPr>
            <w:r>
              <w:rPr>
                <w:rFonts w:cs="Arial"/>
                <w:iCs/>
                <w:color w:val="000000"/>
                <w:szCs w:val="22"/>
                <w:lang w:val="en-NZ"/>
              </w:rPr>
              <w:t xml:space="preserve">We do not have data on the existing reach of sales suppression software in New Zealand.  Although </w:t>
            </w:r>
            <w:r w:rsidR="00220212">
              <w:rPr>
                <w:rFonts w:cs="Arial"/>
                <w:iCs/>
                <w:color w:val="000000"/>
                <w:szCs w:val="22"/>
                <w:lang w:val="en-NZ"/>
              </w:rPr>
              <w:t xml:space="preserve">this software </w:t>
            </w:r>
            <w:r>
              <w:rPr>
                <w:rFonts w:cs="Arial"/>
                <w:iCs/>
                <w:color w:val="000000"/>
                <w:szCs w:val="22"/>
                <w:lang w:val="en-NZ"/>
              </w:rPr>
              <w:t>has been around internationally in various forms for some time there is no evidence that it has become prevalent in New Zealand yet.  This assumption has been formed from discussions with relevant Inland Revenue staff including staff responsible for review and audit of businesses which would be expected targets of sellers of sales suppression software.</w:t>
            </w:r>
          </w:p>
          <w:p w14:paraId="3DBA48DC" w14:textId="7247D7E1" w:rsidR="0012142E" w:rsidRPr="00A864A5" w:rsidRDefault="0012142E" w:rsidP="008D0FF3">
            <w:pPr>
              <w:spacing w:after="180"/>
              <w:rPr>
                <w:rFonts w:cs="Arial"/>
                <w:iCs/>
                <w:color w:val="000000"/>
                <w:szCs w:val="22"/>
                <w:lang w:val="en-NZ"/>
              </w:rPr>
            </w:pPr>
            <w:r>
              <w:rPr>
                <w:rFonts w:cs="Arial"/>
                <w:szCs w:val="22"/>
                <w:lang w:val="en-NZ"/>
              </w:rPr>
              <w:t xml:space="preserve">As the subject matter is sensitive, we </w:t>
            </w:r>
            <w:r w:rsidR="0064359E">
              <w:rPr>
                <w:rFonts w:cs="Arial"/>
                <w:szCs w:val="22"/>
                <w:lang w:val="en-NZ"/>
              </w:rPr>
              <w:t>have not wide</w:t>
            </w:r>
            <w:r w:rsidR="00643127">
              <w:rPr>
                <w:rFonts w:cs="Arial"/>
                <w:szCs w:val="22"/>
                <w:lang w:val="en-NZ"/>
              </w:rPr>
              <w:t>ly consulted on this issue</w:t>
            </w:r>
            <w:r>
              <w:rPr>
                <w:rFonts w:cs="Arial"/>
                <w:szCs w:val="22"/>
                <w:lang w:val="en-NZ"/>
              </w:rPr>
              <w:t>. We have consulted with the Ministry of Justice, the Treasury, the Department of Internal Affairs, and Inland Revenue internal experts on evasion and sales suppression, as well as officials from the Australian Taxation Office.</w:t>
            </w:r>
            <w:r w:rsidR="00643127">
              <w:rPr>
                <w:rFonts w:cs="Arial"/>
                <w:szCs w:val="22"/>
                <w:lang w:val="en-NZ"/>
              </w:rPr>
              <w:t xml:space="preserve"> We have also discussed the issue with </w:t>
            </w:r>
            <w:r w:rsidR="000C2BC3">
              <w:rPr>
                <w:rFonts w:cs="Arial"/>
                <w:szCs w:val="22"/>
                <w:lang w:val="en-NZ"/>
              </w:rPr>
              <w:t>Chartered Accountants Australia and New Zealand</w:t>
            </w:r>
            <w:r w:rsidR="00643127">
              <w:rPr>
                <w:rFonts w:cs="Arial"/>
                <w:szCs w:val="22"/>
                <w:lang w:val="en-NZ"/>
              </w:rPr>
              <w:t xml:space="preserve"> and the New Zealand Law Society.</w:t>
            </w:r>
            <w:r w:rsidR="00771B6E">
              <w:rPr>
                <w:rFonts w:cs="Arial"/>
                <w:szCs w:val="22"/>
                <w:lang w:val="en-NZ"/>
              </w:rPr>
              <w:t xml:space="preserve"> Consulted parties support</w:t>
            </w:r>
            <w:r w:rsidR="006D4E48">
              <w:rPr>
                <w:rFonts w:cs="Arial"/>
                <w:szCs w:val="22"/>
                <w:lang w:val="en-NZ"/>
              </w:rPr>
              <w:t xml:space="preserve"> the Government taking steps to</w:t>
            </w:r>
            <w:r w:rsidR="00771B6E">
              <w:rPr>
                <w:rFonts w:cs="Arial"/>
                <w:szCs w:val="22"/>
                <w:lang w:val="en-NZ"/>
              </w:rPr>
              <w:t xml:space="preserve"> respond to the issue and</w:t>
            </w:r>
            <w:r w:rsidR="006D4E48">
              <w:rPr>
                <w:rFonts w:cs="Arial"/>
                <w:szCs w:val="22"/>
                <w:lang w:val="en-NZ"/>
              </w:rPr>
              <w:t>,</w:t>
            </w:r>
            <w:r w:rsidR="00771B6E">
              <w:rPr>
                <w:rFonts w:cs="Arial"/>
                <w:szCs w:val="22"/>
                <w:lang w:val="en-NZ"/>
              </w:rPr>
              <w:t xml:space="preserve"> in general</w:t>
            </w:r>
            <w:r w:rsidR="006D4E48">
              <w:rPr>
                <w:rFonts w:cs="Arial"/>
                <w:szCs w:val="22"/>
                <w:lang w:val="en-NZ"/>
              </w:rPr>
              <w:t>,</w:t>
            </w:r>
            <w:r w:rsidR="00771B6E">
              <w:rPr>
                <w:rFonts w:cs="Arial"/>
                <w:szCs w:val="22"/>
                <w:lang w:val="en-NZ"/>
              </w:rPr>
              <w:t xml:space="preserve"> are supportive of the pr</w:t>
            </w:r>
            <w:r w:rsidR="006D4E48">
              <w:rPr>
                <w:rFonts w:cs="Arial"/>
                <w:szCs w:val="22"/>
                <w:lang w:val="en-NZ"/>
              </w:rPr>
              <w:t>eferred option</w:t>
            </w:r>
            <w:r w:rsidR="00771B6E">
              <w:rPr>
                <w:rFonts w:cs="Arial"/>
                <w:szCs w:val="22"/>
                <w:lang w:val="en-NZ"/>
              </w:rPr>
              <w:t>.</w:t>
            </w:r>
          </w:p>
        </w:tc>
      </w:tr>
      <w:tr w:rsidR="00413FD8" w:rsidRPr="00A864A5" w14:paraId="0EA0047F" w14:textId="77777777" w:rsidTr="008D0FF3">
        <w:tc>
          <w:tcPr>
            <w:tcW w:w="5000" w:type="pct"/>
            <w:gridSpan w:val="2"/>
            <w:tcBorders>
              <w:bottom w:val="single" w:sz="4" w:space="0" w:color="DDDDDD"/>
            </w:tcBorders>
            <w:shd w:val="clear" w:color="auto" w:fill="99CDDD"/>
            <w:hideMark/>
          </w:tcPr>
          <w:p w14:paraId="7A579FF2" w14:textId="77777777" w:rsidR="00413FD8" w:rsidRPr="00A864A5" w:rsidRDefault="00413FD8" w:rsidP="008D0FF3">
            <w:pPr>
              <w:pStyle w:val="TableHeadings"/>
              <w:rPr>
                <w:color w:val="002060"/>
                <w:szCs w:val="22"/>
                <w:lang w:val="en-NZ"/>
              </w:rPr>
            </w:pPr>
            <w:bookmarkStart w:id="3" w:name="_Hlk47608084"/>
            <w:bookmarkEnd w:id="2"/>
            <w:r w:rsidRPr="00A864A5">
              <w:rPr>
                <w:szCs w:val="22"/>
                <w:lang w:val="en-NZ"/>
              </w:rPr>
              <w:t>Responsible Manager(s) (completed by relevant manager)</w:t>
            </w:r>
          </w:p>
        </w:tc>
      </w:tr>
      <w:tr w:rsidR="00413FD8" w:rsidRPr="00A864A5" w14:paraId="091E60B6" w14:textId="77777777" w:rsidTr="007A20DD">
        <w:trPr>
          <w:trHeight w:val="1761"/>
        </w:trPr>
        <w:tc>
          <w:tcPr>
            <w:tcW w:w="5000" w:type="pct"/>
            <w:gridSpan w:val="2"/>
            <w:tcBorders>
              <w:top w:val="nil"/>
            </w:tcBorders>
            <w:shd w:val="clear" w:color="auto" w:fill="auto"/>
          </w:tcPr>
          <w:p w14:paraId="0B7F9D4F" w14:textId="08B271CE" w:rsidR="00193ED9" w:rsidRDefault="00193ED9" w:rsidP="00560FED">
            <w:pPr>
              <w:spacing w:before="60" w:after="0" w:line="276" w:lineRule="auto"/>
              <w:ind w:left="284" w:hanging="284"/>
              <w:jc w:val="both"/>
              <w:rPr>
                <w:rFonts w:cs="Arial"/>
                <w:i/>
                <w:iCs/>
                <w:szCs w:val="22"/>
                <w:lang w:val="en-NZ"/>
              </w:rPr>
            </w:pPr>
          </w:p>
          <w:p w14:paraId="40C499C4" w14:textId="77777777" w:rsidR="00193ED9" w:rsidRDefault="00193ED9" w:rsidP="00560FED">
            <w:pPr>
              <w:spacing w:before="60" w:after="0" w:line="276" w:lineRule="auto"/>
              <w:ind w:left="284" w:hanging="284"/>
              <w:jc w:val="both"/>
              <w:rPr>
                <w:rFonts w:cs="Arial"/>
                <w:i/>
                <w:iCs/>
                <w:szCs w:val="22"/>
                <w:lang w:val="en-NZ"/>
              </w:rPr>
            </w:pPr>
          </w:p>
          <w:p w14:paraId="79FF26B9" w14:textId="77777777" w:rsidR="00193ED9" w:rsidRDefault="00193ED9" w:rsidP="00560FED">
            <w:pPr>
              <w:spacing w:before="60" w:after="0" w:line="276" w:lineRule="auto"/>
              <w:ind w:left="284" w:hanging="284"/>
              <w:jc w:val="both"/>
              <w:rPr>
                <w:rFonts w:cs="Arial"/>
                <w:i/>
                <w:iCs/>
                <w:szCs w:val="22"/>
                <w:lang w:val="en-NZ"/>
              </w:rPr>
            </w:pPr>
          </w:p>
          <w:p w14:paraId="039BBD1B" w14:textId="77777777" w:rsidR="00193ED9" w:rsidRDefault="00193ED9" w:rsidP="00560FED">
            <w:pPr>
              <w:spacing w:before="60" w:after="0" w:line="276" w:lineRule="auto"/>
              <w:ind w:left="284" w:hanging="284"/>
              <w:jc w:val="both"/>
              <w:rPr>
                <w:rFonts w:cs="Arial"/>
                <w:i/>
                <w:iCs/>
                <w:szCs w:val="22"/>
                <w:lang w:val="en-NZ"/>
              </w:rPr>
            </w:pPr>
          </w:p>
          <w:p w14:paraId="2BD94019" w14:textId="4C7D726E" w:rsidR="00413FD8" w:rsidRPr="00A864A5" w:rsidRDefault="007154A6" w:rsidP="00560FED">
            <w:pPr>
              <w:spacing w:before="60" w:after="0" w:line="276" w:lineRule="auto"/>
              <w:ind w:left="284" w:hanging="284"/>
              <w:jc w:val="both"/>
              <w:rPr>
                <w:rFonts w:cs="Arial"/>
                <w:i/>
                <w:iCs/>
                <w:szCs w:val="22"/>
                <w:lang w:val="en-NZ"/>
              </w:rPr>
            </w:pPr>
            <w:r>
              <w:rPr>
                <w:rFonts w:cs="Arial"/>
                <w:i/>
                <w:iCs/>
                <w:szCs w:val="22"/>
                <w:lang w:val="en-NZ"/>
              </w:rPr>
              <w:t>Paul Fulton</w:t>
            </w:r>
          </w:p>
          <w:p w14:paraId="14C17A55" w14:textId="15CAFC6A" w:rsidR="00560FED" w:rsidRPr="00A864A5" w:rsidRDefault="007154A6" w:rsidP="00560FED">
            <w:pPr>
              <w:spacing w:before="60" w:after="0" w:line="276" w:lineRule="auto"/>
              <w:ind w:left="284" w:hanging="284"/>
              <w:jc w:val="both"/>
              <w:rPr>
                <w:rFonts w:cs="Arial"/>
                <w:i/>
                <w:iCs/>
                <w:szCs w:val="22"/>
                <w:lang w:val="en-NZ"/>
              </w:rPr>
            </w:pPr>
            <w:r>
              <w:rPr>
                <w:rFonts w:cs="Arial"/>
                <w:i/>
                <w:iCs/>
                <w:szCs w:val="22"/>
                <w:lang w:val="en-NZ"/>
              </w:rPr>
              <w:t>Principal Policy Advisor</w:t>
            </w:r>
          </w:p>
          <w:p w14:paraId="4E99BE46" w14:textId="080D1D09" w:rsidR="00413FD8" w:rsidRDefault="005751EE" w:rsidP="00560FED">
            <w:pPr>
              <w:spacing w:before="60" w:after="0" w:line="276" w:lineRule="auto"/>
              <w:ind w:left="284" w:hanging="284"/>
              <w:jc w:val="both"/>
              <w:rPr>
                <w:rFonts w:cs="Arial"/>
                <w:i/>
                <w:iCs/>
                <w:szCs w:val="22"/>
                <w:lang w:val="en-NZ"/>
              </w:rPr>
            </w:pPr>
            <w:r>
              <w:rPr>
                <w:rFonts w:cs="Arial"/>
                <w:i/>
                <w:iCs/>
                <w:szCs w:val="22"/>
                <w:lang w:val="en-NZ"/>
              </w:rPr>
              <w:t>Inland Revenue</w:t>
            </w:r>
          </w:p>
          <w:p w14:paraId="7A1F8538" w14:textId="2646BE94" w:rsidR="00CE3162" w:rsidRDefault="00CE3162" w:rsidP="001904CE">
            <w:pPr>
              <w:spacing w:after="0" w:line="276" w:lineRule="auto"/>
              <w:ind w:left="284" w:hanging="284"/>
              <w:jc w:val="both"/>
              <w:rPr>
                <w:rFonts w:cs="Arial"/>
                <w:i/>
                <w:iCs/>
                <w:szCs w:val="22"/>
                <w:lang w:val="en-NZ"/>
              </w:rPr>
            </w:pPr>
          </w:p>
          <w:p w14:paraId="0309EDFD" w14:textId="4931CA66" w:rsidR="00CE3162" w:rsidRPr="00A864A5" w:rsidRDefault="00D34F8E" w:rsidP="00560FED">
            <w:pPr>
              <w:spacing w:before="60" w:after="0" w:line="276" w:lineRule="auto"/>
              <w:ind w:left="284" w:hanging="284"/>
              <w:jc w:val="both"/>
              <w:rPr>
                <w:rFonts w:cs="Arial"/>
                <w:i/>
                <w:iCs/>
                <w:szCs w:val="22"/>
                <w:lang w:val="en-NZ"/>
              </w:rPr>
            </w:pPr>
            <w:r>
              <w:rPr>
                <w:rFonts w:cs="Arial"/>
                <w:i/>
                <w:iCs/>
                <w:szCs w:val="22"/>
                <w:lang w:val="en-NZ"/>
              </w:rPr>
              <w:t>1 June</w:t>
            </w:r>
            <w:r w:rsidR="00CE3162">
              <w:rPr>
                <w:rFonts w:cs="Arial"/>
                <w:i/>
                <w:iCs/>
                <w:szCs w:val="22"/>
                <w:lang w:val="en-NZ"/>
              </w:rPr>
              <w:t xml:space="preserve"> 2021</w:t>
            </w:r>
          </w:p>
          <w:p w14:paraId="65FBD4C4" w14:textId="6AD0A028" w:rsidR="007A20DD" w:rsidRPr="00A864A5" w:rsidRDefault="007A20DD" w:rsidP="003811EF">
            <w:pPr>
              <w:spacing w:after="0"/>
              <w:rPr>
                <w:rFonts w:cs="Arial"/>
                <w:iCs/>
                <w:color w:val="000000"/>
                <w:sz w:val="14"/>
                <w:szCs w:val="14"/>
                <w:lang w:val="en-NZ"/>
              </w:rPr>
            </w:pPr>
          </w:p>
        </w:tc>
      </w:tr>
      <w:tr w:rsidR="00EB2157" w:rsidRPr="00A864A5" w14:paraId="5FCD62D5" w14:textId="77777777" w:rsidTr="008D0FF3">
        <w:tc>
          <w:tcPr>
            <w:tcW w:w="5000" w:type="pct"/>
            <w:gridSpan w:val="2"/>
            <w:tcBorders>
              <w:bottom w:val="single" w:sz="4" w:space="0" w:color="DDDDDD"/>
            </w:tcBorders>
            <w:shd w:val="clear" w:color="auto" w:fill="99CDDD"/>
            <w:hideMark/>
          </w:tcPr>
          <w:p w14:paraId="55C0C834" w14:textId="0B23483F" w:rsidR="00EB2157" w:rsidRPr="00A864A5" w:rsidRDefault="00EB2157" w:rsidP="008D0FF3">
            <w:pPr>
              <w:pStyle w:val="TableHeadings"/>
              <w:rPr>
                <w:color w:val="002060"/>
                <w:szCs w:val="22"/>
                <w:lang w:val="en-NZ"/>
              </w:rPr>
            </w:pPr>
            <w:r w:rsidRPr="00A864A5">
              <w:rPr>
                <w:szCs w:val="22"/>
                <w:lang w:val="en-NZ"/>
              </w:rPr>
              <w:t xml:space="preserve">Quality </w:t>
            </w:r>
            <w:r w:rsidR="009F6501" w:rsidRPr="00A864A5">
              <w:rPr>
                <w:szCs w:val="22"/>
                <w:lang w:val="en-NZ"/>
              </w:rPr>
              <w:t>A</w:t>
            </w:r>
            <w:r w:rsidRPr="00A864A5">
              <w:rPr>
                <w:szCs w:val="22"/>
                <w:lang w:val="en-NZ"/>
              </w:rPr>
              <w:t xml:space="preserve">ssurance </w:t>
            </w:r>
            <w:r w:rsidR="00076368" w:rsidRPr="00A864A5">
              <w:rPr>
                <w:szCs w:val="22"/>
                <w:lang w:val="en-NZ"/>
              </w:rPr>
              <w:t>(completed by QA panel)</w:t>
            </w:r>
          </w:p>
        </w:tc>
      </w:tr>
      <w:tr w:rsidR="00EB2157" w:rsidRPr="00A864A5" w14:paraId="6F7BACA2" w14:textId="77777777" w:rsidTr="00B81C76">
        <w:trPr>
          <w:trHeight w:val="141"/>
        </w:trPr>
        <w:tc>
          <w:tcPr>
            <w:tcW w:w="1297" w:type="pct"/>
            <w:tcBorders>
              <w:top w:val="nil"/>
            </w:tcBorders>
            <w:shd w:val="clear" w:color="auto" w:fill="EBF5F8"/>
          </w:tcPr>
          <w:p w14:paraId="22AF1207" w14:textId="7EA6C592" w:rsidR="00EB2157" w:rsidRPr="00A864A5" w:rsidRDefault="00EB2157" w:rsidP="008D0FF3">
            <w:pPr>
              <w:spacing w:after="180"/>
              <w:rPr>
                <w:rFonts w:cs="Arial"/>
                <w:iCs/>
                <w:color w:val="000000"/>
                <w:szCs w:val="22"/>
                <w:lang w:val="en-NZ"/>
              </w:rPr>
            </w:pPr>
            <w:r w:rsidRPr="00A864A5">
              <w:rPr>
                <w:rFonts w:cs="Arial"/>
                <w:iCs/>
                <w:color w:val="000000"/>
                <w:szCs w:val="22"/>
                <w:lang w:val="en-NZ"/>
              </w:rPr>
              <w:t xml:space="preserve">Reviewing </w:t>
            </w:r>
            <w:r w:rsidR="00575FF9" w:rsidRPr="00A864A5">
              <w:rPr>
                <w:rFonts w:cs="Arial"/>
                <w:iCs/>
                <w:color w:val="000000"/>
                <w:szCs w:val="22"/>
                <w:lang w:val="en-NZ"/>
              </w:rPr>
              <w:t>A</w:t>
            </w:r>
            <w:r w:rsidRPr="00A864A5">
              <w:rPr>
                <w:rFonts w:cs="Arial"/>
                <w:iCs/>
                <w:color w:val="000000"/>
                <w:szCs w:val="22"/>
                <w:lang w:val="en-NZ"/>
              </w:rPr>
              <w:t>gency:</w:t>
            </w:r>
          </w:p>
        </w:tc>
        <w:tc>
          <w:tcPr>
            <w:tcW w:w="3703" w:type="pct"/>
            <w:tcBorders>
              <w:top w:val="nil"/>
            </w:tcBorders>
            <w:shd w:val="clear" w:color="auto" w:fill="auto"/>
          </w:tcPr>
          <w:p w14:paraId="402BE84D" w14:textId="5D9B91B0" w:rsidR="00EB2157" w:rsidRPr="00A864A5" w:rsidRDefault="007154A6" w:rsidP="008D0FF3">
            <w:pPr>
              <w:spacing w:after="180"/>
              <w:rPr>
                <w:rFonts w:cs="Arial"/>
                <w:iCs/>
                <w:color w:val="000000"/>
                <w:szCs w:val="22"/>
                <w:lang w:val="en-NZ"/>
              </w:rPr>
            </w:pPr>
            <w:r>
              <w:rPr>
                <w:rFonts w:cs="Arial"/>
                <w:szCs w:val="22"/>
                <w:lang w:val="en-NZ"/>
              </w:rPr>
              <w:t>Inland Revenue</w:t>
            </w:r>
          </w:p>
        </w:tc>
      </w:tr>
      <w:tr w:rsidR="00EB2157" w:rsidRPr="00A864A5" w14:paraId="228C68D7" w14:textId="77777777" w:rsidTr="00B81C76">
        <w:trPr>
          <w:trHeight w:val="1807"/>
        </w:trPr>
        <w:tc>
          <w:tcPr>
            <w:tcW w:w="1297" w:type="pct"/>
            <w:tcBorders>
              <w:top w:val="nil"/>
            </w:tcBorders>
            <w:shd w:val="clear" w:color="auto" w:fill="EBF5F8"/>
          </w:tcPr>
          <w:p w14:paraId="4DF0990E" w14:textId="00252464" w:rsidR="00EB2157" w:rsidRPr="00A864A5" w:rsidRDefault="00F321A6" w:rsidP="008D0FF3">
            <w:pPr>
              <w:spacing w:after="180"/>
              <w:rPr>
                <w:rFonts w:cs="Arial"/>
                <w:iCs/>
                <w:color w:val="000000"/>
                <w:szCs w:val="22"/>
                <w:lang w:val="en-NZ"/>
              </w:rPr>
            </w:pPr>
            <w:r w:rsidRPr="00A864A5">
              <w:rPr>
                <w:rFonts w:cs="Arial"/>
                <w:iCs/>
                <w:color w:val="000000"/>
                <w:szCs w:val="22"/>
                <w:lang w:val="en-NZ"/>
              </w:rPr>
              <w:t xml:space="preserve">Panel </w:t>
            </w:r>
            <w:r w:rsidR="00EB2157" w:rsidRPr="00A864A5">
              <w:rPr>
                <w:rFonts w:cs="Arial"/>
                <w:iCs/>
                <w:color w:val="000000"/>
                <w:szCs w:val="22"/>
                <w:lang w:val="en-NZ"/>
              </w:rPr>
              <w:t>Assessment</w:t>
            </w:r>
            <w:r w:rsidRPr="00A864A5">
              <w:rPr>
                <w:rFonts w:cs="Arial"/>
                <w:iCs/>
                <w:color w:val="000000"/>
                <w:szCs w:val="22"/>
                <w:lang w:val="en-NZ"/>
              </w:rPr>
              <w:t xml:space="preserve"> &amp; </w:t>
            </w:r>
            <w:r w:rsidR="0085441F" w:rsidRPr="00A864A5">
              <w:rPr>
                <w:rFonts w:cs="Arial"/>
                <w:iCs/>
                <w:color w:val="000000"/>
                <w:szCs w:val="22"/>
                <w:lang w:val="en-NZ"/>
              </w:rPr>
              <w:t>Comment</w:t>
            </w:r>
            <w:r w:rsidR="00EB2157" w:rsidRPr="00A864A5">
              <w:rPr>
                <w:rFonts w:cs="Arial"/>
                <w:iCs/>
                <w:color w:val="000000"/>
                <w:szCs w:val="22"/>
                <w:lang w:val="en-NZ"/>
              </w:rPr>
              <w:t>:</w:t>
            </w:r>
          </w:p>
        </w:tc>
        <w:tc>
          <w:tcPr>
            <w:tcW w:w="3703" w:type="pct"/>
            <w:tcBorders>
              <w:top w:val="nil"/>
            </w:tcBorders>
            <w:shd w:val="clear" w:color="auto" w:fill="auto"/>
          </w:tcPr>
          <w:p w14:paraId="28FD900F" w14:textId="77F466C5" w:rsidR="00EB2157" w:rsidRPr="001904CE" w:rsidRDefault="001904CE" w:rsidP="001904CE">
            <w:pPr>
              <w:pStyle w:val="NumberedParagraphCabStandard"/>
              <w:numPr>
                <w:ilvl w:val="0"/>
                <w:numId w:val="0"/>
              </w:numPr>
              <w:ind w:left="33"/>
              <w:rPr>
                <w:rFonts w:eastAsia="Calibri"/>
                <w:szCs w:val="24"/>
              </w:rPr>
            </w:pPr>
            <w:r>
              <w:t xml:space="preserve">The Quality Assurance reviewer at Inland Revenue has reviewed the </w:t>
            </w:r>
            <w:r>
              <w:rPr>
                <w:i/>
                <w:iCs/>
              </w:rPr>
              <w:t xml:space="preserve">Sales suppression software </w:t>
            </w:r>
            <w:r>
              <w:t>RIA prepared by Inland Revenue and considers that the information and analysis summarised in the RIA meets the quality assurance criteria.</w:t>
            </w:r>
          </w:p>
        </w:tc>
      </w:tr>
    </w:tbl>
    <w:p w14:paraId="5E3E715F" w14:textId="77777777" w:rsidR="007E0A08" w:rsidRDefault="007E0A08">
      <w:pPr>
        <w:spacing w:after="0" w:line="240" w:lineRule="auto"/>
        <w:rPr>
          <w:rFonts w:ascii="Arial Bold" w:hAnsi="Arial Bold"/>
          <w:b/>
          <w:color w:val="0082AB"/>
          <w:spacing w:val="20"/>
          <w:w w:val="90"/>
          <w:sz w:val="32"/>
          <w:szCs w:val="24"/>
          <w:lang w:val="en-NZ"/>
        </w:rPr>
      </w:pPr>
      <w:bookmarkStart w:id="4" w:name="_Toc363047038"/>
      <w:bookmarkStart w:id="5" w:name="_Toc362940530"/>
      <w:bookmarkStart w:id="6" w:name="_Toc362618966"/>
      <w:bookmarkStart w:id="7" w:name="_Toc362434720"/>
      <w:bookmarkStart w:id="8" w:name="_Toc362368098"/>
      <w:bookmarkEnd w:id="3"/>
      <w:r>
        <w:rPr>
          <w:lang w:val="en-NZ"/>
        </w:rPr>
        <w:br w:type="page"/>
      </w:r>
    </w:p>
    <w:p w14:paraId="3E327532" w14:textId="79C27BB0" w:rsidR="00C53DAC" w:rsidRDefault="00F16C50" w:rsidP="00CD4B62">
      <w:pPr>
        <w:pStyle w:val="Heading2"/>
        <w:rPr>
          <w:lang w:val="en-NZ"/>
        </w:rPr>
      </w:pPr>
      <w:r w:rsidRPr="00A864A5">
        <w:rPr>
          <w:lang w:val="en-NZ"/>
        </w:rPr>
        <w:t xml:space="preserve">Section 1: </w:t>
      </w:r>
      <w:r w:rsidR="0022201B">
        <w:rPr>
          <w:lang w:val="en-NZ"/>
        </w:rPr>
        <w:t>Diagnos</w:t>
      </w:r>
      <w:r w:rsidR="001C4A82">
        <w:rPr>
          <w:lang w:val="en-NZ"/>
        </w:rPr>
        <w:t>ing</w:t>
      </w:r>
      <w:r w:rsidR="0022201B">
        <w:rPr>
          <w:lang w:val="en-NZ"/>
        </w:rPr>
        <w:t xml:space="preserve"> the policy problem</w:t>
      </w:r>
    </w:p>
    <w:p w14:paraId="351013F0" w14:textId="77777777" w:rsidR="004251FE" w:rsidRPr="004251FE" w:rsidRDefault="004251FE" w:rsidP="004251FE">
      <w:pPr>
        <w:rPr>
          <w:lang w:val="en-NZ"/>
        </w:rPr>
      </w:pPr>
    </w:p>
    <w:p w14:paraId="4E48D616" w14:textId="10535BE4" w:rsidR="007D78A1" w:rsidRPr="00A864A5" w:rsidRDefault="007E4F5A" w:rsidP="007D78A1">
      <w:pPr>
        <w:pStyle w:val="Heading3"/>
        <w:rPr>
          <w:lang w:val="en-NZ"/>
        </w:rPr>
      </w:pPr>
      <w:r>
        <w:rPr>
          <w:lang w:val="en-NZ"/>
        </w:rPr>
        <w:t xml:space="preserve">What is the context behind the </w:t>
      </w:r>
      <w:r w:rsidR="003A6757">
        <w:rPr>
          <w:lang w:val="en-NZ"/>
        </w:rPr>
        <w:t xml:space="preserve">policy </w:t>
      </w:r>
      <w:r>
        <w:rPr>
          <w:lang w:val="en-NZ"/>
        </w:rPr>
        <w:t>problem?</w:t>
      </w:r>
    </w:p>
    <w:p w14:paraId="3F51160C" w14:textId="6CB793BF" w:rsidR="007D78A1" w:rsidRPr="00950E36" w:rsidRDefault="00950E36" w:rsidP="002C7C74">
      <w:pPr>
        <w:pStyle w:val="ListParagraph"/>
        <w:numPr>
          <w:ilvl w:val="0"/>
          <w:numId w:val="24"/>
        </w:numPr>
        <w:ind w:hanging="720"/>
        <w:rPr>
          <w:lang w:val="en-NZ"/>
        </w:rPr>
      </w:pPr>
      <w:r w:rsidRPr="00950E36">
        <w:rPr>
          <w:rFonts w:cs="Arial"/>
          <w:szCs w:val="22"/>
          <w:lang w:val="en-NZ"/>
        </w:rPr>
        <w:t>Inland Revenue has been informed by competent authorities</w:t>
      </w:r>
      <w:r w:rsidR="00C62363">
        <w:rPr>
          <w:rStyle w:val="FootnoteReference"/>
          <w:rFonts w:cs="Arial"/>
          <w:szCs w:val="22"/>
          <w:lang w:val="en-NZ"/>
        </w:rPr>
        <w:footnoteReference w:id="1"/>
      </w:r>
      <w:r w:rsidRPr="00950E36">
        <w:rPr>
          <w:rFonts w:cs="Arial"/>
          <w:szCs w:val="22"/>
          <w:lang w:val="en-NZ"/>
        </w:rPr>
        <w:t xml:space="preserve"> from Australia and the United Kingdom that a UK-based company </w:t>
      </w:r>
      <w:r w:rsidRPr="00327DA2">
        <w:rPr>
          <w:rFonts w:cs="Arial"/>
          <w:szCs w:val="22"/>
          <w:lang w:val="en-NZ"/>
        </w:rPr>
        <w:t xml:space="preserve">may be selling sales suppression software to hospitality businesses in New Zealand. Sales suppression software </w:t>
      </w:r>
      <w:r w:rsidRPr="00327DA2">
        <w:t>systematically alters point-of-sale data collected by a business in</w:t>
      </w:r>
      <w:r>
        <w:t xml:space="preserve"> order to understate or completely conceal revenues for the purpose of evading tax. </w:t>
      </w:r>
    </w:p>
    <w:p w14:paraId="2E84A88A" w14:textId="77777777" w:rsidR="003811EF" w:rsidRPr="00157C5D" w:rsidRDefault="003811EF" w:rsidP="00157C5D">
      <w:pPr>
        <w:pStyle w:val="ListParagraph"/>
        <w:rPr>
          <w:lang w:val="en-NZ"/>
        </w:rPr>
      </w:pPr>
    </w:p>
    <w:p w14:paraId="5DC13300" w14:textId="0833BBD2" w:rsidR="00545BBC" w:rsidRPr="00950E36" w:rsidRDefault="00545BBC" w:rsidP="00545BBC">
      <w:pPr>
        <w:pStyle w:val="ListParagraph"/>
        <w:numPr>
          <w:ilvl w:val="0"/>
          <w:numId w:val="24"/>
        </w:numPr>
        <w:ind w:hanging="720"/>
        <w:rPr>
          <w:lang w:val="en-NZ"/>
        </w:rPr>
      </w:pPr>
      <w:r>
        <w:t>The OECD has</w:t>
      </w:r>
      <w:r w:rsidRPr="0025441F">
        <w:t xml:space="preserve"> identified </w:t>
      </w:r>
      <w:r>
        <w:t xml:space="preserve">a number of </w:t>
      </w:r>
      <w:r w:rsidRPr="0025441F">
        <w:t>risks for tax administrations arising from the vulnerability of electronic cash register data to sales suppression</w:t>
      </w:r>
      <w:r>
        <w:t xml:space="preserve"> software</w:t>
      </w:r>
      <w:r w:rsidRPr="0025441F">
        <w:t xml:space="preserve"> and consequent under-reporting of income.</w:t>
      </w:r>
      <w:r>
        <w:t xml:space="preserve"> Overseas jurisdictions have reported significant revenue losses to software-enabled tax evasion in cash-heavy business sectors such as hospitality and retail. </w:t>
      </w:r>
      <w:r w:rsidR="00CE3162">
        <w:t>A 2013 OECD report</w:t>
      </w:r>
      <w:r w:rsidR="00CE3162">
        <w:rPr>
          <w:rStyle w:val="FootnoteReference"/>
        </w:rPr>
        <w:footnoteReference w:id="2"/>
      </w:r>
      <w:r w:rsidR="00CE3162">
        <w:t xml:space="preserve"> recommended tax administrations consider </w:t>
      </w:r>
      <w:r w:rsidR="004009AA">
        <w:t>criminalising the providing or possession or use of electronic sales suppression software.</w:t>
      </w:r>
    </w:p>
    <w:p w14:paraId="3B14EDAC" w14:textId="77777777" w:rsidR="003811EF" w:rsidRDefault="003811EF" w:rsidP="00157C5D">
      <w:pPr>
        <w:pStyle w:val="ListParagraph"/>
        <w:rPr>
          <w:lang w:val="en-NZ"/>
        </w:rPr>
      </w:pPr>
    </w:p>
    <w:p w14:paraId="034DA1FE" w14:textId="162E880B" w:rsidR="00950E36" w:rsidRDefault="00950E36" w:rsidP="002C7C74">
      <w:pPr>
        <w:pStyle w:val="ListParagraph"/>
        <w:numPr>
          <w:ilvl w:val="0"/>
          <w:numId w:val="24"/>
        </w:numPr>
        <w:ind w:hanging="720"/>
        <w:rPr>
          <w:lang w:val="en-NZ"/>
        </w:rPr>
      </w:pPr>
      <w:r>
        <w:rPr>
          <w:noProof/>
          <w:lang w:val="en-NZ" w:eastAsia="en-NZ"/>
        </w:rPr>
        <w:t>Sales suppression software appears to be new to New Zealand</w:t>
      </w:r>
      <w:r w:rsidR="00545BBC">
        <w:rPr>
          <w:noProof/>
          <w:lang w:val="en-NZ" w:eastAsia="en-NZ"/>
        </w:rPr>
        <w:t>, and it is not covered by New Zealand’s existing regulatory systems</w:t>
      </w:r>
      <w:r>
        <w:rPr>
          <w:noProof/>
          <w:lang w:val="en-NZ" w:eastAsia="en-NZ"/>
        </w:rPr>
        <w:t xml:space="preserve">. </w:t>
      </w:r>
      <w:r w:rsidR="00B62DF6">
        <w:rPr>
          <w:noProof/>
          <w:lang w:val="en-NZ" w:eastAsia="en-NZ"/>
        </w:rPr>
        <w:t xml:space="preserve">There are only limited mechanisms to prevent the software from spreading through the New Zealand tax base. </w:t>
      </w:r>
      <w:r>
        <w:rPr>
          <w:noProof/>
          <w:lang w:val="en-NZ" w:eastAsia="en-NZ"/>
        </w:rPr>
        <w:t xml:space="preserve">While its usage is a form of tax evasion and could be penalised </w:t>
      </w:r>
      <w:r w:rsidR="005B448A">
        <w:rPr>
          <w:noProof/>
          <w:lang w:val="en-NZ" w:eastAsia="en-NZ"/>
        </w:rPr>
        <w:t>as such</w:t>
      </w:r>
      <w:r>
        <w:rPr>
          <w:noProof/>
          <w:lang w:val="en-NZ" w:eastAsia="en-NZ"/>
        </w:rPr>
        <w:t>, it is not illegal to manufacture, sell, supply, acquire, or possess the software</w:t>
      </w:r>
      <w:r w:rsidR="001D27D7">
        <w:rPr>
          <w:noProof/>
          <w:lang w:val="en-NZ" w:eastAsia="en-NZ"/>
        </w:rPr>
        <w:t xml:space="preserve">. Existing promoter penalties cannot be applied to </w:t>
      </w:r>
      <w:r w:rsidR="009942BA">
        <w:rPr>
          <w:noProof/>
          <w:lang w:val="en-NZ" w:eastAsia="en-NZ"/>
        </w:rPr>
        <w:t>suppliers</w:t>
      </w:r>
      <w:r w:rsidR="001D27D7">
        <w:rPr>
          <w:noProof/>
          <w:lang w:val="en-NZ" w:eastAsia="en-NZ"/>
        </w:rPr>
        <w:t xml:space="preserve"> of sales suppression software as they </w:t>
      </w:r>
      <w:r w:rsidR="005F65AE">
        <w:rPr>
          <w:noProof/>
          <w:lang w:val="en-NZ" w:eastAsia="en-NZ"/>
        </w:rPr>
        <w:t xml:space="preserve">only apply </w:t>
      </w:r>
      <w:r w:rsidR="007C1BD3">
        <w:rPr>
          <w:noProof/>
          <w:lang w:val="en-NZ" w:eastAsia="en-NZ"/>
        </w:rPr>
        <w:t>to promoters of tax avoidance arrangements, rather than evasion</w:t>
      </w:r>
      <w:r>
        <w:rPr>
          <w:noProof/>
          <w:lang w:val="en-NZ" w:eastAsia="en-NZ"/>
        </w:rPr>
        <w:t>.</w:t>
      </w:r>
      <w:r w:rsidR="00545BBC">
        <w:rPr>
          <w:noProof/>
          <w:lang w:val="en-NZ" w:eastAsia="en-NZ"/>
        </w:rPr>
        <w:t xml:space="preserve"> </w:t>
      </w:r>
      <w:r w:rsidR="00B62DF6">
        <w:rPr>
          <w:noProof/>
          <w:lang w:val="en-NZ" w:eastAsia="en-NZ"/>
        </w:rPr>
        <w:t xml:space="preserve">This means Inland Revenue has </w:t>
      </w:r>
      <w:r w:rsidR="005B404E">
        <w:rPr>
          <w:noProof/>
          <w:lang w:val="en-NZ" w:eastAsia="en-NZ"/>
        </w:rPr>
        <w:t xml:space="preserve">limited </w:t>
      </w:r>
      <w:r w:rsidR="00B62DF6">
        <w:rPr>
          <w:noProof/>
          <w:lang w:val="en-NZ" w:eastAsia="en-NZ"/>
        </w:rPr>
        <w:t>means of prosecuting or penalising software suppliers, which is likely the most efficient method of deterring the software’s spread.</w:t>
      </w:r>
    </w:p>
    <w:p w14:paraId="5E3B5BDB" w14:textId="77777777" w:rsidR="003811EF" w:rsidRPr="00157C5D" w:rsidRDefault="003811EF" w:rsidP="00157C5D">
      <w:pPr>
        <w:pStyle w:val="ListParagraph"/>
        <w:rPr>
          <w:lang w:val="en-NZ"/>
        </w:rPr>
      </w:pPr>
    </w:p>
    <w:p w14:paraId="34B97886" w14:textId="360EEB71" w:rsidR="00E848D2" w:rsidRPr="00771B6E" w:rsidRDefault="00220212" w:rsidP="00771B6E">
      <w:pPr>
        <w:pStyle w:val="ListParagraph"/>
        <w:numPr>
          <w:ilvl w:val="0"/>
          <w:numId w:val="24"/>
        </w:numPr>
        <w:ind w:hanging="720"/>
        <w:rPr>
          <w:lang w:val="en-NZ"/>
        </w:rPr>
      </w:pPr>
      <w:r>
        <w:t>Left unchecked</w:t>
      </w:r>
      <w:r w:rsidR="009F2486">
        <w:t>, sales</w:t>
      </w:r>
      <w:r w:rsidR="00950E36">
        <w:t xml:space="preserve"> suppression software </w:t>
      </w:r>
      <w:r>
        <w:t>risks becoming embedded</w:t>
      </w:r>
      <w:r w:rsidR="009F2486">
        <w:t xml:space="preserve"> </w:t>
      </w:r>
      <w:r>
        <w:t>in</w:t>
      </w:r>
      <w:r w:rsidR="009F2486">
        <w:t xml:space="preserve"> New Zealand businesses. There are strong incentives for businesses in cash-heavy sectors to adopt the software; as businesses using software to suppress their sales data will </w:t>
      </w:r>
      <w:r w:rsidR="008601A8">
        <w:t>be able to evade their tax obligations</w:t>
      </w:r>
      <w:r w:rsidR="009F2486">
        <w:t xml:space="preserve">, they will have an advantage over their rivals who are not using software. </w:t>
      </w:r>
      <w:r w:rsidR="008D0FF3">
        <w:t>This will create pressure on businesses to adopt the software to stay competitive</w:t>
      </w:r>
      <w:r w:rsidR="00545BBC">
        <w:t xml:space="preserve"> with their rivals</w:t>
      </w:r>
      <w:r w:rsidR="004B3A6A">
        <w:t>, which</w:t>
      </w:r>
      <w:r w:rsidR="00E848D2" w:rsidRPr="00771B6E">
        <w:rPr>
          <w:lang w:val="en-NZ"/>
        </w:rPr>
        <w:t xml:space="preserve"> endangers </w:t>
      </w:r>
      <w:r w:rsidR="004B3A6A">
        <w:rPr>
          <w:lang w:val="en-NZ"/>
        </w:rPr>
        <w:t xml:space="preserve">taxpayers’ </w:t>
      </w:r>
      <w:r w:rsidR="00E848D2" w:rsidRPr="00771B6E">
        <w:rPr>
          <w:lang w:val="en-NZ"/>
        </w:rPr>
        <w:t>voluntary complianc</w:t>
      </w:r>
      <w:r w:rsidR="004B3A6A" w:rsidRPr="00771B6E">
        <w:rPr>
          <w:lang w:val="en-NZ"/>
        </w:rPr>
        <w:t>e</w:t>
      </w:r>
      <w:r w:rsidR="004B3A6A">
        <w:rPr>
          <w:lang w:val="en-NZ"/>
        </w:rPr>
        <w:t xml:space="preserve"> with their obligations.</w:t>
      </w:r>
    </w:p>
    <w:p w14:paraId="22AC04BB" w14:textId="66A41F6E" w:rsidR="007D78A1" w:rsidRPr="00A864A5" w:rsidRDefault="007D78A1">
      <w:pPr>
        <w:spacing w:after="0" w:line="240" w:lineRule="auto"/>
        <w:rPr>
          <w:rFonts w:ascii="Arial Bold" w:hAnsi="Arial Bold"/>
          <w:b/>
          <w:color w:val="0082AB"/>
          <w:spacing w:val="20"/>
          <w:w w:val="90"/>
          <w:sz w:val="24"/>
          <w:szCs w:val="22"/>
          <w:lang w:val="en-NZ"/>
        </w:rPr>
      </w:pPr>
    </w:p>
    <w:p w14:paraId="021997E8" w14:textId="77777777" w:rsidR="001904CE" w:rsidRDefault="001904CE">
      <w:pPr>
        <w:spacing w:after="0" w:line="240" w:lineRule="auto"/>
        <w:rPr>
          <w:rFonts w:ascii="Arial Bold" w:hAnsi="Arial Bold"/>
          <w:b/>
          <w:color w:val="0082AB"/>
          <w:spacing w:val="20"/>
          <w:w w:val="90"/>
          <w:sz w:val="24"/>
          <w:szCs w:val="22"/>
          <w:lang w:val="en-NZ"/>
        </w:rPr>
      </w:pPr>
      <w:r>
        <w:rPr>
          <w:lang w:val="en-NZ"/>
        </w:rPr>
        <w:br w:type="page"/>
      </w:r>
    </w:p>
    <w:p w14:paraId="478EFC4A" w14:textId="76179770" w:rsidR="00E901E5" w:rsidRPr="00E901E5" w:rsidRDefault="007D78A1" w:rsidP="00E901E5">
      <w:pPr>
        <w:pStyle w:val="Heading3"/>
        <w:rPr>
          <w:lang w:val="en-NZ"/>
        </w:rPr>
      </w:pPr>
      <w:r w:rsidRPr="00A864A5">
        <w:rPr>
          <w:lang w:val="en-NZ"/>
        </w:rPr>
        <w:t>What is the policy problem?</w:t>
      </w:r>
    </w:p>
    <w:p w14:paraId="0A262619" w14:textId="4FBE0F9D" w:rsidR="004B3A6A" w:rsidRDefault="00570886" w:rsidP="003966A5">
      <w:pPr>
        <w:pStyle w:val="ListParagraph"/>
        <w:numPr>
          <w:ilvl w:val="0"/>
          <w:numId w:val="24"/>
        </w:numPr>
        <w:ind w:hanging="720"/>
        <w:rPr>
          <w:lang w:val="en-NZ"/>
        </w:rPr>
      </w:pPr>
      <w:r>
        <w:rPr>
          <w:lang w:val="en-NZ"/>
        </w:rPr>
        <w:t xml:space="preserve">Sales suppression software presents </w:t>
      </w:r>
      <w:r w:rsidR="00E87081">
        <w:rPr>
          <w:lang w:val="en-NZ"/>
        </w:rPr>
        <w:t xml:space="preserve">a threat to the integrity of the New Zealand tax system. </w:t>
      </w:r>
      <w:r w:rsidR="001D2196">
        <w:rPr>
          <w:lang w:val="en-NZ"/>
        </w:rPr>
        <w:t>It provides an easy</w:t>
      </w:r>
      <w:r w:rsidR="000C6E26">
        <w:rPr>
          <w:lang w:val="en-NZ"/>
        </w:rPr>
        <w:t>-to-use, difficult-to-trace</w:t>
      </w:r>
      <w:r w:rsidR="001D2196">
        <w:rPr>
          <w:lang w:val="en-NZ"/>
        </w:rPr>
        <w:t xml:space="preserve"> mechanism for businesses to reduce their income tax and GST </w:t>
      </w:r>
      <w:r w:rsidR="000C6E26">
        <w:rPr>
          <w:lang w:val="en-NZ"/>
        </w:rPr>
        <w:t>liabilities</w:t>
      </w:r>
      <w:r w:rsidR="004B3A6A">
        <w:rPr>
          <w:lang w:val="en-NZ"/>
        </w:rPr>
        <w:t>. In this way, sales suppression software undermines the principles of voluntary compliance and self-assessment; it provides both method and motive for a taxpayer to be non-compliant</w:t>
      </w:r>
      <w:r w:rsidR="00750F14">
        <w:rPr>
          <w:lang w:val="en-NZ"/>
        </w:rPr>
        <w:t xml:space="preserve"> and reduces Inland Revenue’s ability to detect instances where taxpayers have incorrectly self-assessed their income.</w:t>
      </w:r>
    </w:p>
    <w:p w14:paraId="5BEA0C8D" w14:textId="77777777" w:rsidR="004B3A6A" w:rsidRDefault="004B3A6A" w:rsidP="00DD5E6A">
      <w:pPr>
        <w:pStyle w:val="ListParagraph"/>
        <w:rPr>
          <w:lang w:val="en-NZ"/>
        </w:rPr>
      </w:pPr>
    </w:p>
    <w:p w14:paraId="05E40DAB" w14:textId="34284349" w:rsidR="003966A5" w:rsidRPr="00771B6E" w:rsidRDefault="004B3A6A" w:rsidP="00771B6E">
      <w:pPr>
        <w:pStyle w:val="ListParagraph"/>
        <w:numPr>
          <w:ilvl w:val="0"/>
          <w:numId w:val="24"/>
        </w:numPr>
        <w:ind w:hanging="720"/>
        <w:rPr>
          <w:lang w:val="en-NZ"/>
        </w:rPr>
      </w:pPr>
      <w:r>
        <w:rPr>
          <w:lang w:val="en-NZ"/>
        </w:rPr>
        <w:t>A</w:t>
      </w:r>
      <w:r w:rsidR="00DD65AD">
        <w:rPr>
          <w:lang w:val="en-NZ"/>
        </w:rPr>
        <w:t>s business income tax and GST taken together constitute a</w:t>
      </w:r>
      <w:r w:rsidR="0036454B">
        <w:rPr>
          <w:lang w:val="en-NZ"/>
        </w:rPr>
        <w:t xml:space="preserve"> major portion of government revenue, </w:t>
      </w:r>
      <w:r w:rsidR="00C9208C">
        <w:rPr>
          <w:lang w:val="en-NZ"/>
        </w:rPr>
        <w:t xml:space="preserve">spread of the software </w:t>
      </w:r>
      <w:r w:rsidR="00935AF8">
        <w:rPr>
          <w:lang w:val="en-NZ"/>
        </w:rPr>
        <w:t xml:space="preserve">among businesses may lead to </w:t>
      </w:r>
      <w:r w:rsidR="00220212">
        <w:rPr>
          <w:lang w:val="en-NZ"/>
        </w:rPr>
        <w:t>material</w:t>
      </w:r>
      <w:r w:rsidR="00935AF8">
        <w:rPr>
          <w:lang w:val="en-NZ"/>
        </w:rPr>
        <w:t xml:space="preserve"> reductions in revenue.</w:t>
      </w:r>
      <w:r w:rsidR="00E848D2">
        <w:rPr>
          <w:lang w:val="en-NZ"/>
        </w:rPr>
        <w:t xml:space="preserve"> </w:t>
      </w:r>
      <w:r w:rsidR="003025F2">
        <w:t>OECD data suggests that revenue losses from sales suppression software can be very high.</w:t>
      </w:r>
      <w:r w:rsidR="003025F2">
        <w:rPr>
          <w:rStyle w:val="FootnoteReference"/>
        </w:rPr>
        <w:footnoteReference w:id="3"/>
      </w:r>
      <w:r w:rsidR="003025F2">
        <w:t xml:space="preserve"> For instance, </w:t>
      </w:r>
      <w:proofErr w:type="spellStart"/>
      <w:r w:rsidR="003025F2" w:rsidRPr="007220D9">
        <w:t>Revenu</w:t>
      </w:r>
      <w:proofErr w:type="spellEnd"/>
      <w:r w:rsidR="003025F2" w:rsidRPr="007220D9">
        <w:t xml:space="preserve"> Québec</w:t>
      </w:r>
      <w:r w:rsidR="003025F2">
        <w:t xml:space="preserve"> estimate</w:t>
      </w:r>
      <w:r w:rsidR="002864A3">
        <w:t>d</w:t>
      </w:r>
      <w:r w:rsidR="003025F2">
        <w:t xml:space="preserve"> </w:t>
      </w:r>
      <w:r w:rsidR="003025F2" w:rsidRPr="007220D9">
        <w:t>Québec</w:t>
      </w:r>
      <w:r w:rsidR="003025F2">
        <w:t xml:space="preserve">’s tax losses to sales suppression software at </w:t>
      </w:r>
      <w:r w:rsidR="000D48A7">
        <w:t>$</w:t>
      </w:r>
      <w:r w:rsidR="003025F2" w:rsidRPr="007220D9">
        <w:t>CA4</w:t>
      </w:r>
      <w:r w:rsidR="003025F2">
        <w:t>17</w:t>
      </w:r>
      <w:r w:rsidR="003025F2" w:rsidRPr="007220D9">
        <w:t xml:space="preserve"> </w:t>
      </w:r>
      <w:r w:rsidR="003025F2">
        <w:t>m</w:t>
      </w:r>
      <w:r w:rsidR="003025F2" w:rsidRPr="007220D9">
        <w:t>illio</w:t>
      </w:r>
      <w:r w:rsidR="003025F2">
        <w:t xml:space="preserve">n in 2007-2008, while </w:t>
      </w:r>
      <w:r w:rsidR="00D924FF">
        <w:t>a professor at Boston University estimated in 2017 that up to $US</w:t>
      </w:r>
      <w:r w:rsidR="00283979">
        <w:t xml:space="preserve">20 billion </w:t>
      </w:r>
      <w:r w:rsidR="00AE0AC8">
        <w:t xml:space="preserve">of state sales tax revenue </w:t>
      </w:r>
      <w:r w:rsidR="00283979">
        <w:t>may be being lost per annum</w:t>
      </w:r>
      <w:r w:rsidR="00290D34">
        <w:t xml:space="preserve"> across US states</w:t>
      </w:r>
      <w:r w:rsidR="00283979">
        <w:t>.</w:t>
      </w:r>
      <w:r w:rsidR="003025F2">
        <w:t xml:space="preserve"> </w:t>
      </w:r>
      <w:r w:rsidR="00193ED9">
        <w:t xml:space="preserve">During </w:t>
      </w:r>
      <w:r w:rsidR="003025F2">
        <w:t>2006-2010</w:t>
      </w:r>
      <w:r w:rsidR="00BE4FB2">
        <w:t>,</w:t>
      </w:r>
      <w:r w:rsidR="003025F2">
        <w:t xml:space="preserve"> Sweden’s</w:t>
      </w:r>
      <w:r w:rsidR="00BE4FB2">
        <w:t xml:space="preserve"> tax agency</w:t>
      </w:r>
      <w:r w:rsidR="003025F2">
        <w:t xml:space="preserve"> audited a variety of industries including hairdressers, clothing stores, and food stores, and showed that businesses in these industries were routinely under-reporting 20-40% of their turnover.</w:t>
      </w:r>
    </w:p>
    <w:p w14:paraId="7A95F668" w14:textId="77777777" w:rsidR="003811EF" w:rsidRPr="00157C5D" w:rsidRDefault="003811EF" w:rsidP="00157C5D">
      <w:pPr>
        <w:pStyle w:val="ListParagraph"/>
        <w:rPr>
          <w:lang w:val="en-NZ"/>
        </w:rPr>
      </w:pPr>
    </w:p>
    <w:p w14:paraId="05FB88B1" w14:textId="20FD3700" w:rsidR="00094363" w:rsidRPr="003966A5" w:rsidRDefault="007A3AD2" w:rsidP="003966A5">
      <w:pPr>
        <w:pStyle w:val="ListParagraph"/>
        <w:numPr>
          <w:ilvl w:val="0"/>
          <w:numId w:val="24"/>
        </w:numPr>
        <w:ind w:hanging="720"/>
        <w:rPr>
          <w:lang w:val="en-NZ"/>
        </w:rPr>
      </w:pPr>
      <w:r>
        <w:t xml:space="preserve">The spread of sales suppression software throughout the </w:t>
      </w:r>
      <w:r w:rsidR="002D6F74">
        <w:t xml:space="preserve">New Zealand </w:t>
      </w:r>
      <w:r>
        <w:t xml:space="preserve">tax base </w:t>
      </w:r>
      <w:r w:rsidR="008601A8">
        <w:t xml:space="preserve">could </w:t>
      </w:r>
      <w:r>
        <w:t xml:space="preserve">pose similar major revenue losses to those that have been reported in other jurisdictions. The Crown’s income tax and GST intake </w:t>
      </w:r>
      <w:r w:rsidR="00220212">
        <w:t xml:space="preserve">would </w:t>
      </w:r>
      <w:r>
        <w:t>be reduced as the tax base diminishes, which will have implications for government spending on other issues.</w:t>
      </w:r>
    </w:p>
    <w:p w14:paraId="609E9C07" w14:textId="77777777" w:rsidR="003811EF" w:rsidRDefault="003811EF" w:rsidP="00094363">
      <w:pPr>
        <w:pStyle w:val="ListParagraph"/>
        <w:rPr>
          <w:lang w:val="en-NZ"/>
        </w:rPr>
      </w:pPr>
    </w:p>
    <w:p w14:paraId="18E7F6DB" w14:textId="416420DA" w:rsidR="00C14F4E" w:rsidRPr="001904CE" w:rsidRDefault="007A3AD2" w:rsidP="00DD5E6A">
      <w:pPr>
        <w:pStyle w:val="ListParagraph"/>
        <w:numPr>
          <w:ilvl w:val="0"/>
          <w:numId w:val="24"/>
        </w:numPr>
        <w:ind w:hanging="720"/>
        <w:rPr>
          <w:lang w:val="en-NZ"/>
        </w:rPr>
      </w:pPr>
      <w:r w:rsidRPr="00771B6E">
        <w:rPr>
          <w:lang w:val="en-NZ"/>
        </w:rPr>
        <w:t xml:space="preserve">The widespread presence of sales suppression software </w:t>
      </w:r>
      <w:r w:rsidR="003966A5" w:rsidRPr="00771B6E">
        <w:rPr>
          <w:lang w:val="en-NZ"/>
        </w:rPr>
        <w:t>in the New Zealand tax</w:t>
      </w:r>
      <w:r w:rsidR="003966A5" w:rsidRPr="00D7095E">
        <w:rPr>
          <w:lang w:val="en-NZ"/>
        </w:rPr>
        <w:t xml:space="preserve"> base </w:t>
      </w:r>
      <w:r w:rsidR="00251BD0" w:rsidRPr="00210498">
        <w:rPr>
          <w:lang w:val="en-NZ"/>
        </w:rPr>
        <w:t xml:space="preserve">would </w:t>
      </w:r>
      <w:r w:rsidR="005B404E">
        <w:rPr>
          <w:lang w:val="en-NZ"/>
        </w:rPr>
        <w:t xml:space="preserve">also </w:t>
      </w:r>
      <w:r w:rsidR="00251BD0" w:rsidRPr="00210498">
        <w:rPr>
          <w:lang w:val="en-NZ"/>
        </w:rPr>
        <w:t>create horizontal equity issues</w:t>
      </w:r>
      <w:r w:rsidR="008A0941" w:rsidRPr="00210498">
        <w:rPr>
          <w:lang w:val="en-NZ"/>
        </w:rPr>
        <w:t xml:space="preserve">, as the </w:t>
      </w:r>
      <w:r w:rsidR="00A159DF" w:rsidRPr="00210498">
        <w:rPr>
          <w:lang w:val="en-NZ"/>
        </w:rPr>
        <w:t xml:space="preserve">software allows certain taxpayers to artificially reduce their </w:t>
      </w:r>
      <w:r w:rsidR="007E6077" w:rsidRPr="00210498">
        <w:rPr>
          <w:lang w:val="en-NZ"/>
        </w:rPr>
        <w:t>tax bill</w:t>
      </w:r>
      <w:r w:rsidR="00220212" w:rsidRPr="00210498">
        <w:rPr>
          <w:lang w:val="en-NZ"/>
        </w:rPr>
        <w:t>, creating</w:t>
      </w:r>
      <w:r w:rsidR="007E6077" w:rsidRPr="00210498">
        <w:rPr>
          <w:lang w:val="en-NZ"/>
        </w:rPr>
        <w:t xml:space="preserve"> unfairness between compliant businesses and offending businesses.</w:t>
      </w:r>
      <w:r w:rsidR="008A0941" w:rsidRPr="00210498">
        <w:rPr>
          <w:lang w:val="en-NZ"/>
        </w:rPr>
        <w:t xml:space="preserve"> </w:t>
      </w:r>
      <w:r w:rsidR="00251BD0" w:rsidRPr="00210498">
        <w:rPr>
          <w:lang w:val="en-NZ"/>
        </w:rPr>
        <w:t xml:space="preserve">This </w:t>
      </w:r>
      <w:r w:rsidRPr="00210498">
        <w:rPr>
          <w:lang w:val="en-NZ"/>
        </w:rPr>
        <w:t xml:space="preserve">would also lead to imperfect competition, as businesses using the software to commit tax evasion would be at an advantage over rival firms which are compliant with their tax obligations. This would create pressure on compliant firms to adopt the software to keep up with their </w:t>
      </w:r>
      <w:r w:rsidR="003966A5" w:rsidRPr="00210498">
        <w:rPr>
          <w:lang w:val="en-NZ"/>
        </w:rPr>
        <w:t>competitors</w:t>
      </w:r>
      <w:r w:rsidR="000F2FA8" w:rsidRPr="00210498">
        <w:rPr>
          <w:lang w:val="en-NZ"/>
        </w:rPr>
        <w:t xml:space="preserve">, further eroding </w:t>
      </w:r>
      <w:r w:rsidR="005B404E">
        <w:rPr>
          <w:lang w:val="en-NZ"/>
        </w:rPr>
        <w:t xml:space="preserve">the principles of </w:t>
      </w:r>
      <w:r w:rsidR="00771B6E">
        <w:rPr>
          <w:lang w:val="en-NZ"/>
        </w:rPr>
        <w:t>voluntary compliance</w:t>
      </w:r>
      <w:r w:rsidR="005B404E">
        <w:rPr>
          <w:lang w:val="en-NZ"/>
        </w:rPr>
        <w:t xml:space="preserve"> on which the New Zealand tax system is based</w:t>
      </w:r>
      <w:r w:rsidR="00771B6E">
        <w:rPr>
          <w:lang w:val="en-NZ"/>
        </w:rPr>
        <w:t>.</w:t>
      </w:r>
    </w:p>
    <w:p w14:paraId="59BB5BCF" w14:textId="4D97F528" w:rsidR="007037C4" w:rsidRPr="00847E6E" w:rsidRDefault="007037C4" w:rsidP="00847E6E">
      <w:pPr>
        <w:pStyle w:val="Heading3"/>
        <w:rPr>
          <w:lang w:val="en-NZ"/>
        </w:rPr>
      </w:pPr>
      <w:r w:rsidRPr="00A864A5">
        <w:rPr>
          <w:lang w:val="en-NZ"/>
        </w:rPr>
        <w:t xml:space="preserve">What objectives </w:t>
      </w:r>
      <w:r w:rsidR="00CB08AA">
        <w:rPr>
          <w:lang w:val="en-NZ"/>
        </w:rPr>
        <w:t>are you seeking</w:t>
      </w:r>
      <w:r w:rsidRPr="00A864A5">
        <w:rPr>
          <w:lang w:val="en-NZ"/>
        </w:rPr>
        <w:t xml:space="preserve"> in relation to th</w:t>
      </w:r>
      <w:r w:rsidR="0052670F">
        <w:rPr>
          <w:lang w:val="en-NZ"/>
        </w:rPr>
        <w:t>e</w:t>
      </w:r>
      <w:r w:rsidRPr="00A864A5">
        <w:rPr>
          <w:lang w:val="en-NZ"/>
        </w:rPr>
        <w:t xml:space="preserve"> policy problem?</w:t>
      </w:r>
    </w:p>
    <w:bookmarkEnd w:id="4"/>
    <w:bookmarkEnd w:id="5"/>
    <w:bookmarkEnd w:id="6"/>
    <w:bookmarkEnd w:id="7"/>
    <w:bookmarkEnd w:id="8"/>
    <w:p w14:paraId="2D76F915" w14:textId="16288815" w:rsidR="000523BC" w:rsidRPr="000523BC" w:rsidRDefault="003966A5" w:rsidP="00FD5497">
      <w:pPr>
        <w:pStyle w:val="ListParagraph"/>
        <w:numPr>
          <w:ilvl w:val="0"/>
          <w:numId w:val="24"/>
        </w:numPr>
        <w:ind w:hanging="720"/>
        <w:jc w:val="both"/>
        <w:rPr>
          <w:lang w:val="en-NZ"/>
        </w:rPr>
      </w:pPr>
      <w:r>
        <w:rPr>
          <w:rFonts w:cs="Arial"/>
          <w:szCs w:val="22"/>
          <w:lang w:val="en-NZ"/>
        </w:rPr>
        <w:t>Prevent</w:t>
      </w:r>
      <w:r w:rsidR="000523BC">
        <w:rPr>
          <w:rFonts w:cs="Arial"/>
          <w:szCs w:val="22"/>
          <w:lang w:val="en-NZ"/>
        </w:rPr>
        <w:t xml:space="preserve"> spread of sales suppression software </w:t>
      </w:r>
      <w:r>
        <w:rPr>
          <w:rFonts w:cs="Arial"/>
          <w:szCs w:val="22"/>
          <w:lang w:val="en-NZ"/>
        </w:rPr>
        <w:t>in</w:t>
      </w:r>
      <w:r w:rsidR="000523BC">
        <w:rPr>
          <w:rFonts w:cs="Arial"/>
          <w:szCs w:val="22"/>
          <w:lang w:val="en-NZ"/>
        </w:rPr>
        <w:t xml:space="preserve"> the New Zealand tax base.</w:t>
      </w:r>
    </w:p>
    <w:p w14:paraId="5D0B5CB7" w14:textId="77777777" w:rsidR="003811EF" w:rsidRDefault="003811EF" w:rsidP="00157C5D">
      <w:pPr>
        <w:pStyle w:val="ListParagraph"/>
        <w:jc w:val="both"/>
        <w:rPr>
          <w:lang w:val="en-NZ"/>
        </w:rPr>
      </w:pPr>
    </w:p>
    <w:p w14:paraId="781E8E47" w14:textId="3FD4AD5B" w:rsidR="000523BC" w:rsidRPr="000523BC" w:rsidRDefault="00736302" w:rsidP="003966A5">
      <w:pPr>
        <w:pStyle w:val="ListParagraph"/>
        <w:numPr>
          <w:ilvl w:val="0"/>
          <w:numId w:val="24"/>
        </w:numPr>
        <w:ind w:hanging="720"/>
        <w:jc w:val="both"/>
        <w:rPr>
          <w:lang w:val="en-NZ"/>
        </w:rPr>
      </w:pPr>
      <w:r>
        <w:rPr>
          <w:lang w:val="en-NZ"/>
        </w:rPr>
        <w:t>Minimise</w:t>
      </w:r>
      <w:r w:rsidR="00303372">
        <w:rPr>
          <w:lang w:val="en-NZ"/>
        </w:rPr>
        <w:t xml:space="preserve"> </w:t>
      </w:r>
      <w:r w:rsidR="003966A5">
        <w:rPr>
          <w:lang w:val="en-NZ"/>
        </w:rPr>
        <w:t>taxpayers’ ability to use</w:t>
      </w:r>
      <w:r w:rsidR="000523BC">
        <w:rPr>
          <w:rFonts w:cs="Arial"/>
          <w:szCs w:val="22"/>
          <w:lang w:val="en-NZ"/>
        </w:rPr>
        <w:t xml:space="preserve"> sales suppression software.</w:t>
      </w:r>
    </w:p>
    <w:p w14:paraId="09C77084" w14:textId="77777777" w:rsidR="003811EF" w:rsidRDefault="003811EF" w:rsidP="00157C5D">
      <w:pPr>
        <w:pStyle w:val="ListParagraph"/>
        <w:jc w:val="both"/>
        <w:rPr>
          <w:lang w:val="en-NZ"/>
        </w:rPr>
      </w:pPr>
    </w:p>
    <w:p w14:paraId="47B34B95" w14:textId="17F0BE76" w:rsidR="000523BC" w:rsidRDefault="00303372" w:rsidP="00FD5497">
      <w:pPr>
        <w:pStyle w:val="ListParagraph"/>
        <w:numPr>
          <w:ilvl w:val="0"/>
          <w:numId w:val="24"/>
        </w:numPr>
        <w:ind w:hanging="720"/>
        <w:jc w:val="both"/>
        <w:rPr>
          <w:lang w:val="en-NZ"/>
        </w:rPr>
      </w:pPr>
      <w:r>
        <w:rPr>
          <w:lang w:val="en-NZ"/>
        </w:rPr>
        <w:t>Minimise</w:t>
      </w:r>
      <w:r w:rsidR="000523BC">
        <w:rPr>
          <w:lang w:val="en-NZ"/>
        </w:rPr>
        <w:t xml:space="preserve"> compliance </w:t>
      </w:r>
      <w:r w:rsidR="003966A5">
        <w:rPr>
          <w:lang w:val="en-NZ"/>
        </w:rPr>
        <w:t>burden on</w:t>
      </w:r>
      <w:r w:rsidR="000523BC">
        <w:rPr>
          <w:lang w:val="en-NZ"/>
        </w:rPr>
        <w:t xml:space="preserve"> </w:t>
      </w:r>
      <w:r w:rsidR="003966A5">
        <w:rPr>
          <w:lang w:val="en-NZ"/>
        </w:rPr>
        <w:t xml:space="preserve">taxpayers </w:t>
      </w:r>
      <w:r w:rsidR="000523BC">
        <w:rPr>
          <w:lang w:val="en-NZ"/>
        </w:rPr>
        <w:t>wh</w:t>
      </w:r>
      <w:r w:rsidR="003966A5">
        <w:rPr>
          <w:lang w:val="en-NZ"/>
        </w:rPr>
        <w:t>o</w:t>
      </w:r>
      <w:r w:rsidR="000523BC">
        <w:rPr>
          <w:lang w:val="en-NZ"/>
        </w:rPr>
        <w:t xml:space="preserve"> are following the rules.</w:t>
      </w:r>
    </w:p>
    <w:p w14:paraId="4111880D" w14:textId="77777777" w:rsidR="003811EF" w:rsidRDefault="003811EF" w:rsidP="00157C5D">
      <w:pPr>
        <w:pStyle w:val="ListParagraph"/>
        <w:jc w:val="both"/>
        <w:rPr>
          <w:lang w:val="en-NZ"/>
        </w:rPr>
      </w:pPr>
    </w:p>
    <w:p w14:paraId="60C6CF32" w14:textId="16591910" w:rsidR="008321F8" w:rsidRPr="001904CE" w:rsidRDefault="00303372" w:rsidP="00520530">
      <w:pPr>
        <w:pStyle w:val="ListParagraph"/>
        <w:numPr>
          <w:ilvl w:val="0"/>
          <w:numId w:val="24"/>
        </w:numPr>
        <w:ind w:hanging="720"/>
        <w:jc w:val="both"/>
        <w:rPr>
          <w:lang w:val="en-NZ"/>
        </w:rPr>
      </w:pPr>
      <w:r w:rsidRPr="001904CE">
        <w:rPr>
          <w:lang w:val="en-NZ"/>
        </w:rPr>
        <w:t xml:space="preserve">Minimise </w:t>
      </w:r>
      <w:r w:rsidR="00C64A54" w:rsidRPr="001904CE">
        <w:rPr>
          <w:lang w:val="en-NZ"/>
        </w:rPr>
        <w:t>administrative costs of ensuring compliance.</w:t>
      </w:r>
      <w:r w:rsidR="008321F8" w:rsidRPr="001904CE">
        <w:rPr>
          <w:lang w:val="en-NZ"/>
        </w:rPr>
        <w:br w:type="page"/>
      </w:r>
    </w:p>
    <w:p w14:paraId="2B635B3D" w14:textId="3A8D050E" w:rsidR="008321F8" w:rsidRDefault="00F402DF" w:rsidP="00CD4B62">
      <w:pPr>
        <w:pStyle w:val="Heading2"/>
        <w:rPr>
          <w:lang w:val="en-NZ"/>
        </w:rPr>
      </w:pPr>
      <w:r w:rsidRPr="00A864A5">
        <w:rPr>
          <w:lang w:val="en-NZ"/>
        </w:rPr>
        <w:t xml:space="preserve">Section 2: </w:t>
      </w:r>
      <w:r w:rsidR="001C4A82">
        <w:rPr>
          <w:lang w:val="en-NZ"/>
        </w:rPr>
        <w:t>Deciding upon a</w:t>
      </w:r>
      <w:r w:rsidR="00B63DE7">
        <w:rPr>
          <w:lang w:val="en-NZ"/>
        </w:rPr>
        <w:t xml:space="preserve"> preferred option</w:t>
      </w:r>
      <w:r w:rsidR="005C38A2">
        <w:rPr>
          <w:lang w:val="en-NZ"/>
        </w:rPr>
        <w:t xml:space="preserve"> to address the policy problem</w:t>
      </w:r>
    </w:p>
    <w:p w14:paraId="4F07C86C" w14:textId="77777777" w:rsidR="004251FE" w:rsidRPr="004251FE" w:rsidRDefault="004251FE" w:rsidP="004251FE">
      <w:pPr>
        <w:rPr>
          <w:lang w:val="en-NZ"/>
        </w:rPr>
      </w:pPr>
    </w:p>
    <w:p w14:paraId="3A199392" w14:textId="1D205946" w:rsidR="008321F8" w:rsidRPr="00A864A5" w:rsidRDefault="008321F8" w:rsidP="008321F8">
      <w:pPr>
        <w:pStyle w:val="Heading3"/>
        <w:rPr>
          <w:lang w:val="en-NZ"/>
        </w:rPr>
      </w:pPr>
      <w:r w:rsidRPr="00A864A5">
        <w:rPr>
          <w:lang w:val="en-NZ"/>
        </w:rPr>
        <w:t xml:space="preserve">What criteria will </w:t>
      </w:r>
      <w:r w:rsidR="003A6757">
        <w:rPr>
          <w:lang w:val="en-NZ"/>
        </w:rPr>
        <w:t>you use to</w:t>
      </w:r>
      <w:r w:rsidRPr="00A864A5">
        <w:rPr>
          <w:lang w:val="en-NZ"/>
        </w:rPr>
        <w:t xml:space="preserve"> </w:t>
      </w:r>
      <w:r w:rsidR="003A6757">
        <w:rPr>
          <w:lang w:val="en-NZ"/>
        </w:rPr>
        <w:t>compare</w:t>
      </w:r>
      <w:r w:rsidRPr="00A864A5">
        <w:rPr>
          <w:lang w:val="en-NZ"/>
        </w:rPr>
        <w:t xml:space="preserve"> options </w:t>
      </w:r>
      <w:r w:rsidR="003A6757">
        <w:rPr>
          <w:lang w:val="en-NZ"/>
        </w:rPr>
        <w:t>to</w:t>
      </w:r>
      <w:r w:rsidRPr="00A864A5">
        <w:rPr>
          <w:lang w:val="en-NZ"/>
        </w:rPr>
        <w:t xml:space="preserve"> the status quo?</w:t>
      </w:r>
    </w:p>
    <w:p w14:paraId="6F2D13FF" w14:textId="3046BB58" w:rsidR="00C07FA5" w:rsidRDefault="00583004" w:rsidP="00C07FA5">
      <w:pPr>
        <w:pStyle w:val="ListParagraph"/>
        <w:numPr>
          <w:ilvl w:val="0"/>
          <w:numId w:val="24"/>
        </w:numPr>
        <w:ind w:hanging="720"/>
        <w:rPr>
          <w:lang w:val="en-NZ"/>
        </w:rPr>
      </w:pPr>
      <w:r>
        <w:rPr>
          <w:lang w:val="en-NZ"/>
        </w:rPr>
        <w:t>The criteria being used to consider the options are as follows:</w:t>
      </w:r>
    </w:p>
    <w:p w14:paraId="44A753C4" w14:textId="293A620E" w:rsidR="00A926DC" w:rsidRDefault="00E5624D" w:rsidP="00583004">
      <w:pPr>
        <w:pStyle w:val="ListParagraph"/>
        <w:numPr>
          <w:ilvl w:val="1"/>
          <w:numId w:val="24"/>
        </w:numPr>
        <w:rPr>
          <w:lang w:val="en-NZ"/>
        </w:rPr>
      </w:pPr>
      <w:r>
        <w:rPr>
          <w:lang w:val="en-NZ"/>
        </w:rPr>
        <w:t>Sustainability of</w:t>
      </w:r>
      <w:r w:rsidR="00A926DC">
        <w:rPr>
          <w:lang w:val="en-NZ"/>
        </w:rPr>
        <w:t xml:space="preserve"> the tax base</w:t>
      </w:r>
      <w:r w:rsidR="0015564C">
        <w:rPr>
          <w:lang w:val="en-NZ"/>
        </w:rPr>
        <w:t xml:space="preserve"> </w:t>
      </w:r>
    </w:p>
    <w:p w14:paraId="2312923A" w14:textId="686D81C7" w:rsidR="00583004" w:rsidRDefault="005A671E" w:rsidP="00583004">
      <w:pPr>
        <w:pStyle w:val="ListParagraph"/>
        <w:numPr>
          <w:ilvl w:val="1"/>
          <w:numId w:val="24"/>
        </w:numPr>
        <w:rPr>
          <w:lang w:val="en-NZ"/>
        </w:rPr>
      </w:pPr>
      <w:r>
        <w:rPr>
          <w:lang w:val="en-NZ"/>
        </w:rPr>
        <w:t>Compliance costs</w:t>
      </w:r>
    </w:p>
    <w:p w14:paraId="4EBAE1B0" w14:textId="15B9BB7D" w:rsidR="005A671E" w:rsidRDefault="003025C5" w:rsidP="00583004">
      <w:pPr>
        <w:pStyle w:val="ListParagraph"/>
        <w:numPr>
          <w:ilvl w:val="1"/>
          <w:numId w:val="24"/>
        </w:numPr>
        <w:rPr>
          <w:lang w:val="en-NZ"/>
        </w:rPr>
      </w:pPr>
      <w:r>
        <w:rPr>
          <w:lang w:val="en-NZ"/>
        </w:rPr>
        <w:t>Administration costs</w:t>
      </w:r>
    </w:p>
    <w:p w14:paraId="3252D892" w14:textId="7902B852" w:rsidR="00E52B84" w:rsidRPr="00CD4B62" w:rsidRDefault="007D78A1" w:rsidP="00CD4B62">
      <w:pPr>
        <w:pStyle w:val="Heading3"/>
        <w:rPr>
          <w:lang w:val="en-NZ"/>
        </w:rPr>
      </w:pPr>
      <w:r w:rsidRPr="00A864A5">
        <w:rPr>
          <w:lang w:val="en-NZ"/>
        </w:rPr>
        <w:t xml:space="preserve">What scope </w:t>
      </w:r>
      <w:r w:rsidR="003A6757">
        <w:rPr>
          <w:lang w:val="en-NZ"/>
        </w:rPr>
        <w:t>will</w:t>
      </w:r>
      <w:r w:rsidRPr="00A864A5">
        <w:rPr>
          <w:lang w:val="en-NZ"/>
        </w:rPr>
        <w:t xml:space="preserve"> you consider options within?</w:t>
      </w:r>
    </w:p>
    <w:p w14:paraId="2E77DC25" w14:textId="0417D99C" w:rsidR="008321F8" w:rsidRDefault="00FB7A37" w:rsidP="00CD4B62">
      <w:pPr>
        <w:pStyle w:val="ListParagraph"/>
        <w:numPr>
          <w:ilvl w:val="0"/>
          <w:numId w:val="24"/>
        </w:numPr>
        <w:ind w:hanging="720"/>
        <w:rPr>
          <w:lang w:val="en-NZ"/>
        </w:rPr>
      </w:pPr>
      <w:r>
        <w:rPr>
          <w:lang w:val="en-NZ"/>
        </w:rPr>
        <w:t>Our options are not constrained by any</w:t>
      </w:r>
      <w:r w:rsidR="00E61D56">
        <w:rPr>
          <w:lang w:val="en-NZ"/>
        </w:rPr>
        <w:t xml:space="preserve"> previous policy decisions or legislation</w:t>
      </w:r>
      <w:r w:rsidR="00AD1FC5">
        <w:rPr>
          <w:lang w:val="en-NZ"/>
        </w:rPr>
        <w:t>.</w:t>
      </w:r>
      <w:r w:rsidR="00AE407B">
        <w:rPr>
          <w:lang w:val="en-NZ"/>
        </w:rPr>
        <w:t xml:space="preserve"> </w:t>
      </w:r>
    </w:p>
    <w:p w14:paraId="209799C4" w14:textId="77777777" w:rsidR="003811EF" w:rsidRDefault="003811EF" w:rsidP="00157C5D">
      <w:pPr>
        <w:pStyle w:val="ListParagraph"/>
        <w:rPr>
          <w:lang w:val="en-NZ"/>
        </w:rPr>
      </w:pPr>
    </w:p>
    <w:p w14:paraId="1175DE3C" w14:textId="19CC1AA1" w:rsidR="002F1B44" w:rsidRDefault="00193ED9" w:rsidP="00CD4B62">
      <w:pPr>
        <w:pStyle w:val="ListParagraph"/>
        <w:numPr>
          <w:ilvl w:val="0"/>
          <w:numId w:val="24"/>
        </w:numPr>
        <w:ind w:hanging="720"/>
        <w:rPr>
          <w:lang w:val="en-NZ"/>
        </w:rPr>
      </w:pPr>
      <w:r>
        <w:rPr>
          <w:lang w:val="en-NZ"/>
        </w:rPr>
        <w:t>We have refined our approach to penalty setting following engagement with t</w:t>
      </w:r>
      <w:r w:rsidR="002F1B44">
        <w:rPr>
          <w:lang w:val="en-NZ"/>
        </w:rPr>
        <w:t>he Ministry of Justice</w:t>
      </w:r>
      <w:r w:rsidR="00F43C33">
        <w:rPr>
          <w:lang w:val="en-NZ"/>
        </w:rPr>
        <w:t>.</w:t>
      </w:r>
      <w:r w:rsidR="00A138E7">
        <w:rPr>
          <w:lang w:val="en-NZ"/>
        </w:rPr>
        <w:t xml:space="preserve"> Additionally, we have consulted with the Department of Internal Affairs, the Treasury, </w:t>
      </w:r>
      <w:r w:rsidR="000C2BC3">
        <w:rPr>
          <w:lang w:val="en-NZ"/>
        </w:rPr>
        <w:t>Chartered Accountants Australia and New Zealand</w:t>
      </w:r>
      <w:r w:rsidR="00A138E7">
        <w:rPr>
          <w:lang w:val="en-NZ"/>
        </w:rPr>
        <w:t>, and the New Zealand Law Society – these</w:t>
      </w:r>
      <w:r w:rsidR="0064359E">
        <w:rPr>
          <w:lang w:val="en-NZ"/>
        </w:rPr>
        <w:t xml:space="preserve"> discussions have informed our response.</w:t>
      </w:r>
    </w:p>
    <w:p w14:paraId="62A189AC" w14:textId="77777777" w:rsidR="003811EF" w:rsidRDefault="003811EF" w:rsidP="00157C5D">
      <w:pPr>
        <w:pStyle w:val="ListParagraph"/>
        <w:rPr>
          <w:lang w:val="en-NZ"/>
        </w:rPr>
      </w:pPr>
    </w:p>
    <w:p w14:paraId="46C42FA6" w14:textId="72F2AB46" w:rsidR="00E54650" w:rsidRDefault="00E54650" w:rsidP="00CD4B62">
      <w:pPr>
        <w:pStyle w:val="ListParagraph"/>
        <w:numPr>
          <w:ilvl w:val="0"/>
          <w:numId w:val="24"/>
        </w:numPr>
        <w:ind w:hanging="720"/>
        <w:rPr>
          <w:lang w:val="en-NZ"/>
        </w:rPr>
      </w:pPr>
      <w:r>
        <w:rPr>
          <w:lang w:val="en-NZ"/>
        </w:rPr>
        <w:t xml:space="preserve">Experience from other countries, particularly Australia, Canada, and the United Kingdom, has been considered in determining our options. We have also considered relevant material </w:t>
      </w:r>
      <w:r w:rsidR="00A15778">
        <w:rPr>
          <w:lang w:val="en-NZ"/>
        </w:rPr>
        <w:t>published by</w:t>
      </w:r>
      <w:r>
        <w:rPr>
          <w:lang w:val="en-NZ"/>
        </w:rPr>
        <w:t xml:space="preserve"> the OECD</w:t>
      </w:r>
      <w:r w:rsidR="006B00A4">
        <w:rPr>
          <w:lang w:val="en-NZ"/>
        </w:rPr>
        <w:t>.</w:t>
      </w:r>
    </w:p>
    <w:p w14:paraId="22A93B7A" w14:textId="77777777" w:rsidR="003811EF" w:rsidRDefault="003811EF" w:rsidP="00157C5D">
      <w:pPr>
        <w:pStyle w:val="ListParagraph"/>
        <w:rPr>
          <w:lang w:val="en-NZ"/>
        </w:rPr>
      </w:pPr>
    </w:p>
    <w:p w14:paraId="656FA7BD" w14:textId="77777777" w:rsidR="00373983" w:rsidRDefault="006B00A4" w:rsidP="00CD4B62">
      <w:pPr>
        <w:pStyle w:val="ListParagraph"/>
        <w:numPr>
          <w:ilvl w:val="0"/>
          <w:numId w:val="24"/>
        </w:numPr>
        <w:ind w:hanging="720"/>
        <w:rPr>
          <w:lang w:val="en-NZ"/>
        </w:rPr>
      </w:pPr>
      <w:r>
        <w:rPr>
          <w:lang w:val="en-NZ"/>
        </w:rPr>
        <w:t xml:space="preserve">Options considered </w:t>
      </w:r>
      <w:r w:rsidR="00CD2D17">
        <w:rPr>
          <w:lang w:val="en-NZ"/>
        </w:rPr>
        <w:t xml:space="preserve">to address the issue fall broadly into two categories: </w:t>
      </w:r>
    </w:p>
    <w:p w14:paraId="66D55950" w14:textId="77777777" w:rsidR="00373983" w:rsidRDefault="00CD2D17" w:rsidP="00373983">
      <w:pPr>
        <w:pStyle w:val="ListParagraph"/>
        <w:numPr>
          <w:ilvl w:val="1"/>
          <w:numId w:val="24"/>
        </w:numPr>
        <w:rPr>
          <w:lang w:val="en-NZ"/>
        </w:rPr>
      </w:pPr>
      <w:r>
        <w:rPr>
          <w:lang w:val="en-NZ"/>
        </w:rPr>
        <w:t>a penalty response illegalising various activities in relation to sales suppression software</w:t>
      </w:r>
    </w:p>
    <w:p w14:paraId="680E7841" w14:textId="456265E3" w:rsidR="00373983" w:rsidRDefault="00CD2D17" w:rsidP="00373983">
      <w:pPr>
        <w:pStyle w:val="ListParagraph"/>
        <w:numPr>
          <w:ilvl w:val="1"/>
          <w:numId w:val="24"/>
        </w:numPr>
        <w:rPr>
          <w:lang w:val="en-NZ"/>
        </w:rPr>
      </w:pPr>
      <w:r>
        <w:rPr>
          <w:lang w:val="en-NZ"/>
        </w:rPr>
        <w:t xml:space="preserve">a regulatory response that places standards on </w:t>
      </w:r>
      <w:r w:rsidR="00485C2A">
        <w:rPr>
          <w:lang w:val="en-NZ"/>
        </w:rPr>
        <w:t xml:space="preserve">EFTPOS machines sold in </w:t>
      </w:r>
      <w:r w:rsidR="00373983">
        <w:rPr>
          <w:lang w:val="en-NZ"/>
        </w:rPr>
        <w:t>N</w:t>
      </w:r>
      <w:r w:rsidR="00485C2A">
        <w:rPr>
          <w:lang w:val="en-NZ"/>
        </w:rPr>
        <w:t xml:space="preserve">ew Zealand which prevent taxpayers from using the software. </w:t>
      </w:r>
    </w:p>
    <w:p w14:paraId="220B64AD" w14:textId="77777777" w:rsidR="00373983" w:rsidRPr="00B62DF6" w:rsidRDefault="00373983" w:rsidP="00DD5E6A">
      <w:pPr>
        <w:pStyle w:val="ListParagraph"/>
        <w:ind w:left="1440"/>
        <w:rPr>
          <w:lang w:val="en-NZ"/>
        </w:rPr>
      </w:pPr>
    </w:p>
    <w:p w14:paraId="51F4882D" w14:textId="293A23F6" w:rsidR="006B00A4" w:rsidRPr="00210498" w:rsidRDefault="000648A4" w:rsidP="00B62DF6">
      <w:pPr>
        <w:pStyle w:val="ListParagraph"/>
        <w:numPr>
          <w:ilvl w:val="0"/>
          <w:numId w:val="24"/>
        </w:numPr>
        <w:ind w:hanging="720"/>
        <w:rPr>
          <w:lang w:val="en-NZ"/>
        </w:rPr>
      </w:pPr>
      <w:r w:rsidRPr="00B62DF6">
        <w:rPr>
          <w:lang w:val="en-NZ"/>
        </w:rPr>
        <w:t xml:space="preserve">These two </w:t>
      </w:r>
      <w:r w:rsidR="00F556DF" w:rsidRPr="00110945">
        <w:rPr>
          <w:lang w:val="en-NZ"/>
        </w:rPr>
        <w:t xml:space="preserve">options </w:t>
      </w:r>
      <w:r w:rsidRPr="00110945">
        <w:rPr>
          <w:lang w:val="en-NZ"/>
        </w:rPr>
        <w:t xml:space="preserve">are based on </w:t>
      </w:r>
      <w:r w:rsidR="0046780C" w:rsidRPr="00771B6E">
        <w:rPr>
          <w:lang w:val="en-NZ"/>
        </w:rPr>
        <w:t xml:space="preserve">approaches </w:t>
      </w:r>
      <w:r w:rsidRPr="00771B6E">
        <w:rPr>
          <w:lang w:val="en-NZ"/>
        </w:rPr>
        <w:t>taken by other jurisdictions to address this</w:t>
      </w:r>
      <w:r w:rsidRPr="00210498">
        <w:rPr>
          <w:lang w:val="en-NZ"/>
        </w:rPr>
        <w:t xml:space="preserve"> issue.</w:t>
      </w:r>
    </w:p>
    <w:p w14:paraId="00861FFE" w14:textId="6ED5C7C5" w:rsidR="00294646" w:rsidRPr="00A864A5" w:rsidRDefault="00373851" w:rsidP="001904CE">
      <w:pPr>
        <w:pStyle w:val="Heading3"/>
        <w:rPr>
          <w:lang w:val="en-NZ"/>
        </w:rPr>
      </w:pPr>
      <w:r>
        <w:rPr>
          <w:lang w:val="en-NZ"/>
        </w:rPr>
        <w:t xml:space="preserve">What options </w:t>
      </w:r>
      <w:r w:rsidR="003A6757">
        <w:rPr>
          <w:lang w:val="en-NZ"/>
        </w:rPr>
        <w:t>are you considering</w:t>
      </w:r>
      <w:r>
        <w:rPr>
          <w:lang w:val="en-NZ"/>
        </w:rPr>
        <w:t>?</w:t>
      </w:r>
      <w:r w:rsidR="00097119" w:rsidRPr="00A864A5">
        <w:rPr>
          <w:lang w:val="en-NZ"/>
        </w:rPr>
        <w:br/>
      </w:r>
      <w:r w:rsidR="00037F29" w:rsidRPr="00A864A5">
        <w:rPr>
          <w:lang w:val="en-NZ"/>
        </w:rPr>
        <w:br/>
      </w:r>
      <w:r w:rsidR="007D78A1" w:rsidRPr="001904CE">
        <w:rPr>
          <w:rFonts w:ascii="Arial" w:hAnsi="Arial"/>
          <w:bCs/>
          <w:i/>
          <w:iCs/>
          <w:color w:val="335087"/>
          <w:spacing w:val="0"/>
          <w:w w:val="100"/>
          <w:sz w:val="20"/>
          <w:szCs w:val="20"/>
          <w:lang w:val="en-NZ"/>
        </w:rPr>
        <w:t xml:space="preserve">Option One – </w:t>
      </w:r>
      <w:r w:rsidR="000210ED" w:rsidRPr="001904CE">
        <w:rPr>
          <w:rFonts w:ascii="Arial" w:hAnsi="Arial"/>
          <w:bCs/>
          <w:i/>
          <w:iCs/>
          <w:color w:val="335087"/>
          <w:spacing w:val="0"/>
          <w:w w:val="100"/>
          <w:sz w:val="20"/>
          <w:szCs w:val="20"/>
          <w:lang w:val="en-NZ"/>
        </w:rPr>
        <w:t>Counterfactual</w:t>
      </w:r>
    </w:p>
    <w:p w14:paraId="79D92767" w14:textId="13343DAD" w:rsidR="007D78A1" w:rsidRPr="001A4B31" w:rsidRDefault="003966A5" w:rsidP="001A4B31">
      <w:pPr>
        <w:pStyle w:val="ListParagraph"/>
        <w:numPr>
          <w:ilvl w:val="0"/>
          <w:numId w:val="24"/>
        </w:numPr>
        <w:ind w:hanging="720"/>
        <w:rPr>
          <w:lang w:val="en-NZ"/>
        </w:rPr>
      </w:pPr>
      <w:r>
        <w:rPr>
          <w:lang w:val="en-NZ"/>
        </w:rPr>
        <w:t xml:space="preserve">The counterfactual is that the government </w:t>
      </w:r>
      <w:r w:rsidR="00A410C0">
        <w:rPr>
          <w:lang w:val="en-NZ"/>
        </w:rPr>
        <w:t xml:space="preserve">takes no </w:t>
      </w:r>
      <w:r w:rsidR="00193ED9">
        <w:rPr>
          <w:lang w:val="en-NZ"/>
        </w:rPr>
        <w:t xml:space="preserve">additional </w:t>
      </w:r>
      <w:r w:rsidR="00FC0D8C">
        <w:rPr>
          <w:lang w:val="en-NZ"/>
        </w:rPr>
        <w:t xml:space="preserve">regulatory </w:t>
      </w:r>
      <w:r w:rsidR="00A410C0">
        <w:rPr>
          <w:lang w:val="en-NZ"/>
        </w:rPr>
        <w:t>action to</w:t>
      </w:r>
      <w:r>
        <w:rPr>
          <w:lang w:val="en-NZ"/>
        </w:rPr>
        <w:t xml:space="preserve"> prevent the spread of sales suppression software. </w:t>
      </w:r>
      <w:r w:rsidR="001B4BF0">
        <w:rPr>
          <w:lang w:val="en-NZ"/>
        </w:rPr>
        <w:t xml:space="preserve">Although </w:t>
      </w:r>
      <w:r w:rsidR="007866E7">
        <w:rPr>
          <w:lang w:val="en-NZ"/>
        </w:rPr>
        <w:t xml:space="preserve">Inland Revenue </w:t>
      </w:r>
      <w:r w:rsidR="00455AC2">
        <w:rPr>
          <w:lang w:val="en-NZ"/>
        </w:rPr>
        <w:t xml:space="preserve">can to an extent mitigate the spread of software through its existing evasion penalties, this is unlikely to be sufficient to deter </w:t>
      </w:r>
      <w:r w:rsidR="00737053">
        <w:rPr>
          <w:lang w:val="en-NZ"/>
        </w:rPr>
        <w:t xml:space="preserve">its spread </w:t>
      </w:r>
      <w:r w:rsidR="00322F16">
        <w:rPr>
          <w:lang w:val="en-NZ"/>
        </w:rPr>
        <w:t xml:space="preserve">altogether. </w:t>
      </w:r>
      <w:r w:rsidR="00AE5AF0">
        <w:rPr>
          <w:lang w:val="en-NZ"/>
        </w:rPr>
        <w:t xml:space="preserve">There is a major risk that the software </w:t>
      </w:r>
      <w:r w:rsidR="00737053">
        <w:rPr>
          <w:lang w:val="en-NZ"/>
        </w:rPr>
        <w:t xml:space="preserve">would </w:t>
      </w:r>
      <w:r w:rsidR="00A15778">
        <w:rPr>
          <w:lang w:val="en-NZ"/>
        </w:rPr>
        <w:t>spread</w:t>
      </w:r>
      <w:r>
        <w:rPr>
          <w:lang w:val="en-NZ"/>
        </w:rPr>
        <w:t xml:space="preserve"> through the tax base and undermine its integrity</w:t>
      </w:r>
      <w:r w:rsidR="00504A2A">
        <w:rPr>
          <w:lang w:val="en-NZ"/>
        </w:rPr>
        <w:t>,</w:t>
      </w:r>
      <w:r w:rsidR="00322F16">
        <w:rPr>
          <w:lang w:val="en-NZ"/>
        </w:rPr>
        <w:t xml:space="preserve"> potential</w:t>
      </w:r>
      <w:r w:rsidR="00504A2A">
        <w:rPr>
          <w:lang w:val="en-NZ"/>
        </w:rPr>
        <w:t>ly</w:t>
      </w:r>
      <w:r w:rsidR="00322F16">
        <w:rPr>
          <w:lang w:val="en-NZ"/>
        </w:rPr>
        <w:t xml:space="preserve"> </w:t>
      </w:r>
      <w:r>
        <w:rPr>
          <w:lang w:val="en-NZ"/>
        </w:rPr>
        <w:t>lead</w:t>
      </w:r>
      <w:r w:rsidR="00504A2A">
        <w:rPr>
          <w:lang w:val="en-NZ"/>
        </w:rPr>
        <w:t>ing</w:t>
      </w:r>
      <w:r>
        <w:rPr>
          <w:lang w:val="en-NZ"/>
        </w:rPr>
        <w:t xml:space="preserve"> to significant revenue losses in income tax and GST.</w:t>
      </w:r>
    </w:p>
    <w:p w14:paraId="0F6FCE9D" w14:textId="1AD2CCB0" w:rsidR="00570E3F" w:rsidRPr="003966A5" w:rsidRDefault="001A4B31" w:rsidP="00570E3F">
      <w:pPr>
        <w:pStyle w:val="Heading4"/>
        <w:rPr>
          <w:i/>
          <w:iCs/>
          <w:lang w:val="en-NZ"/>
        </w:rPr>
      </w:pPr>
      <w:r>
        <w:rPr>
          <w:lang w:val="en-NZ"/>
        </w:rPr>
        <w:br/>
      </w:r>
      <w:r w:rsidR="00570E3F" w:rsidRPr="00A864A5">
        <w:rPr>
          <w:lang w:val="en-NZ"/>
        </w:rPr>
        <w:t xml:space="preserve">Option Two – </w:t>
      </w:r>
      <w:r w:rsidR="003966A5">
        <w:rPr>
          <w:i/>
          <w:iCs/>
          <w:lang w:val="en-NZ"/>
        </w:rPr>
        <w:t>Penalty regime</w:t>
      </w:r>
    </w:p>
    <w:p w14:paraId="2CE6058D" w14:textId="6D0BB405" w:rsidR="00570E3F" w:rsidRDefault="0013190A" w:rsidP="001A4B31">
      <w:pPr>
        <w:pStyle w:val="ListParagraph"/>
        <w:numPr>
          <w:ilvl w:val="0"/>
          <w:numId w:val="24"/>
        </w:numPr>
        <w:ind w:hanging="720"/>
        <w:rPr>
          <w:lang w:val="en-NZ"/>
        </w:rPr>
      </w:pPr>
      <w:r>
        <w:rPr>
          <w:lang w:val="en-NZ"/>
        </w:rPr>
        <w:t>This option would introduce</w:t>
      </w:r>
      <w:r w:rsidR="003966A5">
        <w:rPr>
          <w:lang w:val="en-NZ"/>
        </w:rPr>
        <w:t xml:space="preserve"> civil and criminal penalties to make manufacturing, selling, providing, acquiring, or possessing sales suppression software illegal</w:t>
      </w:r>
      <w:r>
        <w:rPr>
          <w:lang w:val="en-NZ"/>
        </w:rPr>
        <w:t>.</w:t>
      </w:r>
      <w:r w:rsidR="0005594D">
        <w:rPr>
          <w:lang w:val="en-NZ"/>
        </w:rPr>
        <w:t xml:space="preserve"> </w:t>
      </w:r>
      <w:r>
        <w:rPr>
          <w:lang w:val="en-NZ"/>
        </w:rPr>
        <w:t>A</w:t>
      </w:r>
      <w:r w:rsidR="0005594D">
        <w:rPr>
          <w:lang w:val="en-NZ"/>
        </w:rPr>
        <w:t>s usage of the software is inarguably a form of tax evasion, a separate penalty for this is not needed</w:t>
      </w:r>
      <w:r w:rsidR="003966A5">
        <w:rPr>
          <w:lang w:val="en-NZ"/>
        </w:rPr>
        <w:t>. The</w:t>
      </w:r>
      <w:r w:rsidR="00B62DF6">
        <w:rPr>
          <w:lang w:val="en-NZ"/>
        </w:rPr>
        <w:t xml:space="preserve"> new</w:t>
      </w:r>
      <w:r w:rsidR="003966A5">
        <w:rPr>
          <w:lang w:val="en-NZ"/>
        </w:rPr>
        <w:t xml:space="preserve"> penalties</w:t>
      </w:r>
      <w:r w:rsidR="00B62DF6">
        <w:rPr>
          <w:lang w:val="en-NZ"/>
        </w:rPr>
        <w:t xml:space="preserve"> allow Inland Revenue to target suppliers of software, which is likely to be a more efficient means of preventing the spread of the software than </w:t>
      </w:r>
      <w:r w:rsidR="00110945">
        <w:rPr>
          <w:lang w:val="en-NZ"/>
        </w:rPr>
        <w:t>prosecuting end-users under existing evasion penalties.</w:t>
      </w:r>
      <w:r w:rsidR="00B62DF6">
        <w:rPr>
          <w:lang w:val="en-NZ"/>
        </w:rPr>
        <w:t xml:space="preserve"> </w:t>
      </w:r>
      <w:r w:rsidR="009409C3">
        <w:rPr>
          <w:lang w:val="en-NZ"/>
        </w:rPr>
        <w:t xml:space="preserve">The desired outcome is that taxpayers </w:t>
      </w:r>
      <w:r w:rsidR="00B62DF6">
        <w:rPr>
          <w:lang w:val="en-NZ"/>
        </w:rPr>
        <w:t>are deterred</w:t>
      </w:r>
      <w:r w:rsidR="003966A5">
        <w:rPr>
          <w:lang w:val="en-NZ"/>
        </w:rPr>
        <w:t xml:space="preserve"> from adopting the software, maintaining the integrity of the tax base.</w:t>
      </w:r>
    </w:p>
    <w:p w14:paraId="2F7157CA" w14:textId="77777777" w:rsidR="007B73E0" w:rsidRDefault="007B73E0" w:rsidP="00DD5E6A">
      <w:pPr>
        <w:pStyle w:val="ListParagraph"/>
        <w:rPr>
          <w:lang w:val="en-NZ"/>
        </w:rPr>
      </w:pPr>
    </w:p>
    <w:p w14:paraId="485FA8BF" w14:textId="32BA6646" w:rsidR="00576AF6" w:rsidRDefault="007B73E0" w:rsidP="00373983">
      <w:pPr>
        <w:pStyle w:val="ListParagraph"/>
        <w:numPr>
          <w:ilvl w:val="0"/>
          <w:numId w:val="24"/>
        </w:numPr>
        <w:ind w:hanging="720"/>
        <w:rPr>
          <w:lang w:val="en-NZ"/>
        </w:rPr>
      </w:pPr>
      <w:r w:rsidRPr="00C533E7">
        <w:rPr>
          <w:lang w:val="en-NZ"/>
        </w:rPr>
        <w:t>The proposed approach introduces c</w:t>
      </w:r>
      <w:r w:rsidRPr="0089617A">
        <w:rPr>
          <w:lang w:val="en-NZ"/>
        </w:rPr>
        <w:t xml:space="preserve">riminal penalties on </w:t>
      </w:r>
      <w:r w:rsidR="009D4C7C" w:rsidRPr="0089617A">
        <w:rPr>
          <w:lang w:val="en-NZ"/>
        </w:rPr>
        <w:t>making, selling, or supplying the software</w:t>
      </w:r>
      <w:r w:rsidR="009D4C7C" w:rsidRPr="00C533E7">
        <w:rPr>
          <w:lang w:val="en-NZ"/>
        </w:rPr>
        <w:t xml:space="preserve"> of up to $250,000. It also introduces criminal penalties for acquiring or possessing the software of up to $50,000, and a civil penalty for the same behaviour of $5,000.</w:t>
      </w:r>
      <w:r w:rsidR="006F2C55" w:rsidRPr="00C533E7">
        <w:rPr>
          <w:lang w:val="en-NZ"/>
        </w:rPr>
        <w:t xml:space="preserve"> </w:t>
      </w:r>
      <w:r w:rsidR="00576AF6">
        <w:rPr>
          <w:lang w:val="en-NZ"/>
        </w:rPr>
        <w:t>The</w:t>
      </w:r>
      <w:r w:rsidR="00532479">
        <w:rPr>
          <w:lang w:val="en-NZ"/>
        </w:rPr>
        <w:t xml:space="preserve"> </w:t>
      </w:r>
      <w:r w:rsidR="009A6D47">
        <w:rPr>
          <w:lang w:val="en-NZ"/>
        </w:rPr>
        <w:t>maximum penalty</w:t>
      </w:r>
      <w:r w:rsidR="00532479">
        <w:rPr>
          <w:lang w:val="en-NZ"/>
        </w:rPr>
        <w:t xml:space="preserve"> of $50,000 proposed for the criminal penalty for acquisition or possession is intended to </w:t>
      </w:r>
      <w:r w:rsidR="009A6D47">
        <w:rPr>
          <w:lang w:val="en-NZ"/>
        </w:rPr>
        <w:t xml:space="preserve">be on par with the maximum penalty for evasion </w:t>
      </w:r>
      <w:r w:rsidR="00BF1FBD">
        <w:rPr>
          <w:lang w:val="en-NZ"/>
        </w:rPr>
        <w:t>or similar offence</w:t>
      </w:r>
      <w:r w:rsidR="00801C6F">
        <w:rPr>
          <w:lang w:val="en-NZ"/>
        </w:rPr>
        <w:t>,</w:t>
      </w:r>
      <w:r w:rsidR="00FC0D8C">
        <w:rPr>
          <w:rStyle w:val="FootnoteReference"/>
          <w:lang w:val="en-NZ"/>
        </w:rPr>
        <w:footnoteReference w:id="4"/>
      </w:r>
      <w:r w:rsidR="00801C6F">
        <w:rPr>
          <w:lang w:val="en-NZ"/>
        </w:rPr>
        <w:t xml:space="preserve"> while the </w:t>
      </w:r>
      <w:r w:rsidR="00517D8E">
        <w:rPr>
          <w:lang w:val="en-NZ"/>
        </w:rPr>
        <w:t xml:space="preserve">criminal penalty of $250,000 proposed for making or selling software is set in line with the Australian model, which </w:t>
      </w:r>
      <w:r w:rsidR="008222EA">
        <w:rPr>
          <w:lang w:val="en-NZ"/>
        </w:rPr>
        <w:t>imposes a penalty for making or selling at a rate five times that of the penalty for usage.</w:t>
      </w:r>
      <w:r w:rsidR="008222EA">
        <w:rPr>
          <w:rStyle w:val="FootnoteReference"/>
          <w:lang w:val="en-NZ"/>
        </w:rPr>
        <w:footnoteReference w:id="5"/>
      </w:r>
    </w:p>
    <w:p w14:paraId="18D97E75" w14:textId="77777777" w:rsidR="00576AF6" w:rsidRPr="00576AF6" w:rsidRDefault="00576AF6" w:rsidP="00DD5E6A">
      <w:pPr>
        <w:pStyle w:val="ListParagraph"/>
        <w:rPr>
          <w:lang w:val="en-NZ"/>
        </w:rPr>
      </w:pPr>
    </w:p>
    <w:p w14:paraId="00D2FE2A" w14:textId="7506236B" w:rsidR="007B73E0" w:rsidRPr="00576AF6" w:rsidRDefault="006F3BFB" w:rsidP="00576AF6">
      <w:pPr>
        <w:pStyle w:val="ListParagraph"/>
        <w:numPr>
          <w:ilvl w:val="0"/>
          <w:numId w:val="24"/>
        </w:numPr>
        <w:ind w:hanging="720"/>
        <w:rPr>
          <w:lang w:val="en-NZ"/>
        </w:rPr>
      </w:pPr>
      <w:r w:rsidRPr="00C533E7">
        <w:rPr>
          <w:lang w:val="en-NZ"/>
        </w:rPr>
        <w:t xml:space="preserve">This </w:t>
      </w:r>
      <w:r w:rsidR="006344E0">
        <w:rPr>
          <w:lang w:val="en-NZ"/>
        </w:rPr>
        <w:t xml:space="preserve">approach </w:t>
      </w:r>
      <w:r w:rsidRPr="00C533E7">
        <w:rPr>
          <w:lang w:val="en-NZ"/>
        </w:rPr>
        <w:t xml:space="preserve">is based on </w:t>
      </w:r>
      <w:r w:rsidR="001A7CB9" w:rsidRPr="00C533E7">
        <w:rPr>
          <w:lang w:val="en-NZ"/>
        </w:rPr>
        <w:t>the Australian Taxation Office</w:t>
      </w:r>
      <w:r w:rsidR="007A3F88" w:rsidRPr="00C533E7">
        <w:rPr>
          <w:lang w:val="en-NZ"/>
        </w:rPr>
        <w:t xml:space="preserve"> (ATO)</w:t>
      </w:r>
      <w:r w:rsidR="001A7CB9" w:rsidRPr="00C533E7">
        <w:rPr>
          <w:lang w:val="en-NZ"/>
        </w:rPr>
        <w:t>’s experience in applying similar penalties</w:t>
      </w:r>
      <w:r w:rsidR="007A3F88" w:rsidRPr="00C533E7">
        <w:rPr>
          <w:lang w:val="en-NZ"/>
        </w:rPr>
        <w:t xml:space="preserve">. </w:t>
      </w:r>
      <w:r w:rsidR="00C533E7" w:rsidRPr="00576AF6">
        <w:rPr>
          <w:lang w:val="en-NZ"/>
        </w:rPr>
        <w:t xml:space="preserve">The ATO’s </w:t>
      </w:r>
      <w:r w:rsidR="001A7CB9" w:rsidRPr="00576AF6">
        <w:rPr>
          <w:lang w:val="en-NZ"/>
        </w:rPr>
        <w:t xml:space="preserve">approach is to </w:t>
      </w:r>
      <w:r w:rsidR="00F07E75" w:rsidRPr="00576AF6">
        <w:rPr>
          <w:lang w:val="en-NZ"/>
        </w:rPr>
        <w:t>find users of sales suppression software</w:t>
      </w:r>
      <w:r w:rsidR="00F07E75" w:rsidRPr="008222EA">
        <w:rPr>
          <w:lang w:val="en-NZ"/>
        </w:rPr>
        <w:t xml:space="preserve"> and charge them with criminal penalties, trace the software back to the seller and charge </w:t>
      </w:r>
      <w:r w:rsidR="00F07E75" w:rsidRPr="00576AF6">
        <w:rPr>
          <w:lang w:val="en-NZ"/>
        </w:rPr>
        <w:t>them as well</w:t>
      </w:r>
      <w:r w:rsidR="007A3F88" w:rsidRPr="00576AF6">
        <w:rPr>
          <w:lang w:val="en-NZ"/>
        </w:rPr>
        <w:t xml:space="preserve">, and then trace the seller’s sales down to other purchasers of the software. However, as </w:t>
      </w:r>
      <w:r w:rsidR="001C770C" w:rsidRPr="00576AF6">
        <w:rPr>
          <w:lang w:val="en-NZ"/>
        </w:rPr>
        <w:t>the ATO has noted that these purchasers are generally very high in number, they</w:t>
      </w:r>
      <w:r w:rsidR="007A3F88" w:rsidRPr="00576AF6">
        <w:rPr>
          <w:lang w:val="en-NZ"/>
        </w:rPr>
        <w:t xml:space="preserve"> advise us that the cost-effective approach is to levy civil penalties against </w:t>
      </w:r>
      <w:r w:rsidR="00394C04" w:rsidRPr="00576AF6">
        <w:rPr>
          <w:lang w:val="en-NZ"/>
        </w:rPr>
        <w:t xml:space="preserve">these users </w:t>
      </w:r>
      <w:proofErr w:type="spellStart"/>
      <w:r w:rsidR="00394C04" w:rsidRPr="00DD5E6A">
        <w:rPr>
          <w:i/>
          <w:iCs/>
          <w:lang w:val="en-NZ"/>
        </w:rPr>
        <w:t>en</w:t>
      </w:r>
      <w:proofErr w:type="spellEnd"/>
      <w:r w:rsidR="00394C04" w:rsidRPr="00DD5E6A">
        <w:rPr>
          <w:i/>
          <w:iCs/>
          <w:lang w:val="en-NZ"/>
        </w:rPr>
        <w:t xml:space="preserve"> masse</w:t>
      </w:r>
      <w:r w:rsidR="00394C04" w:rsidRPr="00576AF6">
        <w:rPr>
          <w:lang w:val="en-NZ"/>
        </w:rPr>
        <w:t xml:space="preserve">, rather than take them individually through the </w:t>
      </w:r>
      <w:r w:rsidR="009409C3">
        <w:rPr>
          <w:lang w:val="en-NZ"/>
        </w:rPr>
        <w:t>C</w:t>
      </w:r>
      <w:r w:rsidR="00394C04" w:rsidRPr="00576AF6">
        <w:rPr>
          <w:lang w:val="en-NZ"/>
        </w:rPr>
        <w:t>ourts.</w:t>
      </w:r>
      <w:r w:rsidR="00E961A1" w:rsidRPr="008222EA">
        <w:rPr>
          <w:lang w:val="en-NZ"/>
        </w:rPr>
        <w:t xml:space="preserve"> At its di</w:t>
      </w:r>
      <w:r w:rsidR="00E961A1" w:rsidRPr="000602CF">
        <w:rPr>
          <w:lang w:val="en-NZ"/>
        </w:rPr>
        <w:t xml:space="preserve">scretion, Inland Revenue can </w:t>
      </w:r>
      <w:r w:rsidR="00056D90" w:rsidRPr="005857D1">
        <w:rPr>
          <w:lang w:val="en-NZ"/>
        </w:rPr>
        <w:t>prosecute</w:t>
      </w:r>
      <w:r w:rsidR="00E961A1" w:rsidRPr="005857D1">
        <w:rPr>
          <w:lang w:val="en-NZ"/>
        </w:rPr>
        <w:t xml:space="preserve"> </w:t>
      </w:r>
      <w:r w:rsidR="00E961A1" w:rsidRPr="00DA7820">
        <w:rPr>
          <w:lang w:val="en-NZ"/>
        </w:rPr>
        <w:t>major offenders i</w:t>
      </w:r>
      <w:r w:rsidR="00056D90" w:rsidRPr="00576AF6">
        <w:rPr>
          <w:lang w:val="en-NZ"/>
        </w:rPr>
        <w:t xml:space="preserve">dentified in this way using criminal penalties, while </w:t>
      </w:r>
      <w:r w:rsidR="003A6027" w:rsidRPr="00576AF6">
        <w:rPr>
          <w:lang w:val="en-NZ"/>
        </w:rPr>
        <w:t>applying</w:t>
      </w:r>
      <w:r w:rsidR="00056D90" w:rsidRPr="00576AF6">
        <w:rPr>
          <w:lang w:val="en-NZ"/>
        </w:rPr>
        <w:t xml:space="preserve"> the civil penalty against smaller offenders</w:t>
      </w:r>
      <w:r w:rsidR="00AD2D70" w:rsidRPr="00576AF6">
        <w:rPr>
          <w:lang w:val="en-NZ"/>
        </w:rPr>
        <w:t xml:space="preserve"> (in addition to evasion shortfall penalties</w:t>
      </w:r>
      <w:r w:rsidR="001243EB">
        <w:rPr>
          <w:lang w:val="en-NZ"/>
        </w:rPr>
        <w:t xml:space="preserve"> where applicable</w:t>
      </w:r>
      <w:r w:rsidR="00AD2D70" w:rsidRPr="00576AF6">
        <w:rPr>
          <w:lang w:val="en-NZ"/>
        </w:rPr>
        <w:t>).</w:t>
      </w:r>
      <w:r w:rsidR="001243EB">
        <w:rPr>
          <w:lang w:val="en-NZ"/>
        </w:rPr>
        <w:t xml:space="preserve">  Consistent with existing shortfall penalties, the civil penalty will be </w:t>
      </w:r>
      <w:proofErr w:type="gramStart"/>
      <w:r w:rsidR="001243EB">
        <w:rPr>
          <w:lang w:val="en-NZ"/>
        </w:rPr>
        <w:t>reduce</w:t>
      </w:r>
      <w:proofErr w:type="gramEnd"/>
      <w:r w:rsidR="001243EB">
        <w:rPr>
          <w:lang w:val="en-NZ"/>
        </w:rPr>
        <w:t xml:space="preserve"> or eliminated if a taxpayer with the software makes a voluntary disclosure.</w:t>
      </w:r>
    </w:p>
    <w:p w14:paraId="1F22356A" w14:textId="77777777" w:rsidR="00492CBA" w:rsidRPr="00492CBA" w:rsidRDefault="00492CBA" w:rsidP="00DD5E6A">
      <w:pPr>
        <w:pStyle w:val="ListParagraph"/>
        <w:rPr>
          <w:lang w:val="en-NZ"/>
        </w:rPr>
      </w:pPr>
    </w:p>
    <w:p w14:paraId="65BD02D3" w14:textId="2B759FD7" w:rsidR="00492CBA" w:rsidRPr="00C533E7" w:rsidRDefault="006B31DA" w:rsidP="00C533E7">
      <w:pPr>
        <w:pStyle w:val="ListParagraph"/>
        <w:numPr>
          <w:ilvl w:val="0"/>
          <w:numId w:val="24"/>
        </w:numPr>
        <w:ind w:hanging="720"/>
        <w:rPr>
          <w:lang w:val="en-NZ"/>
        </w:rPr>
      </w:pPr>
      <w:r>
        <w:rPr>
          <w:lang w:val="en-NZ"/>
        </w:rPr>
        <w:t xml:space="preserve">It is also proposed to </w:t>
      </w:r>
      <w:r w:rsidR="0026224E">
        <w:rPr>
          <w:rStyle w:val="normaltextrun"/>
          <w:rFonts w:cs="Arial"/>
          <w:color w:val="000000"/>
          <w:shd w:val="clear" w:color="auto" w:fill="FFFFFF"/>
        </w:rPr>
        <w:t>specifically remove eligibility for </w:t>
      </w:r>
      <w:r w:rsidR="00B15A03">
        <w:rPr>
          <w:rStyle w:val="normaltextrun"/>
          <w:rFonts w:cs="Arial"/>
          <w:color w:val="000000"/>
          <w:shd w:val="clear" w:color="auto" w:fill="FFFFFF"/>
        </w:rPr>
        <w:t xml:space="preserve">the existing 50% reduction of the civil evasion penalty for prior behaviour when the evasion included use of sales suppression software. </w:t>
      </w:r>
      <w:r w:rsidR="00371AA6">
        <w:rPr>
          <w:rStyle w:val="normaltextrun"/>
          <w:rFonts w:cs="Arial"/>
          <w:color w:val="000000"/>
          <w:shd w:val="clear" w:color="auto" w:fill="FFFFFF"/>
        </w:rPr>
        <w:t xml:space="preserve">This is because the prior behaviour reduction is intended to </w:t>
      </w:r>
      <w:proofErr w:type="gramStart"/>
      <w:r w:rsidR="00371AA6">
        <w:rPr>
          <w:rStyle w:val="normaltextrun"/>
          <w:rFonts w:cs="Arial"/>
          <w:color w:val="000000"/>
          <w:shd w:val="clear" w:color="auto" w:fill="FFFFFF"/>
        </w:rPr>
        <w:t>take into account</w:t>
      </w:r>
      <w:proofErr w:type="gramEnd"/>
      <w:r w:rsidR="00371AA6">
        <w:rPr>
          <w:rStyle w:val="normaltextrun"/>
          <w:rFonts w:cs="Arial"/>
          <w:color w:val="000000"/>
          <w:shd w:val="clear" w:color="auto" w:fill="FFFFFF"/>
        </w:rPr>
        <w:t xml:space="preserve"> situations </w:t>
      </w:r>
      <w:r w:rsidR="0026224E">
        <w:rPr>
          <w:rStyle w:val="normaltextrun"/>
          <w:rFonts w:cs="Arial"/>
          <w:color w:val="000000"/>
          <w:shd w:val="clear" w:color="auto" w:fill="FFFFFF"/>
        </w:rPr>
        <w:t xml:space="preserve">when </w:t>
      </w:r>
      <w:r w:rsidR="00371AA6">
        <w:rPr>
          <w:rStyle w:val="normaltextrun"/>
          <w:rFonts w:cs="Arial"/>
          <w:color w:val="000000"/>
          <w:shd w:val="clear" w:color="auto" w:fill="FFFFFF"/>
        </w:rPr>
        <w:t xml:space="preserve">a </w:t>
      </w:r>
      <w:r w:rsidR="00CF22E9">
        <w:rPr>
          <w:rStyle w:val="normaltextrun"/>
          <w:rFonts w:cs="Arial"/>
          <w:color w:val="000000"/>
          <w:shd w:val="clear" w:color="auto" w:fill="FFFFFF"/>
        </w:rPr>
        <w:t>taxpayer</w:t>
      </w:r>
      <w:r w:rsidR="00371AA6">
        <w:rPr>
          <w:rStyle w:val="normaltextrun"/>
          <w:rFonts w:cs="Arial"/>
          <w:color w:val="000000"/>
          <w:shd w:val="clear" w:color="auto" w:fill="FFFFFF"/>
        </w:rPr>
        <w:t xml:space="preserve"> has no prior history of </w:t>
      </w:r>
      <w:r w:rsidR="00CF22E9">
        <w:rPr>
          <w:rStyle w:val="normaltextrun"/>
          <w:rFonts w:cs="Arial"/>
          <w:color w:val="000000"/>
          <w:shd w:val="clear" w:color="auto" w:fill="FFFFFF"/>
        </w:rPr>
        <w:t>non-compliance</w:t>
      </w:r>
      <w:r w:rsidR="00C90F55">
        <w:rPr>
          <w:rStyle w:val="normaltextrun"/>
          <w:rFonts w:cs="Arial"/>
          <w:color w:val="000000"/>
          <w:shd w:val="clear" w:color="auto" w:fill="FFFFFF"/>
        </w:rPr>
        <w:t xml:space="preserve">. However, </w:t>
      </w:r>
      <w:r w:rsidR="00CF22E9">
        <w:rPr>
          <w:rStyle w:val="normaltextrun"/>
          <w:rFonts w:cs="Arial"/>
          <w:color w:val="000000"/>
          <w:shd w:val="clear" w:color="auto" w:fill="FFFFFF"/>
        </w:rPr>
        <w:t>evasion involving sales suppression software requires the taxpayer to acquire the software</w:t>
      </w:r>
      <w:r w:rsidR="00EA6164">
        <w:rPr>
          <w:rStyle w:val="normaltextrun"/>
          <w:rFonts w:cs="Arial"/>
          <w:color w:val="000000"/>
          <w:shd w:val="clear" w:color="auto" w:fill="FFFFFF"/>
        </w:rPr>
        <w:t xml:space="preserve"> (</w:t>
      </w:r>
      <w:r w:rsidR="003A014C">
        <w:rPr>
          <w:rStyle w:val="normaltextrun"/>
          <w:rFonts w:cs="Arial"/>
          <w:color w:val="000000"/>
          <w:shd w:val="clear" w:color="auto" w:fill="FFFFFF"/>
        </w:rPr>
        <w:t>itself a premeditated act of non-compliance</w:t>
      </w:r>
      <w:r w:rsidR="00EA6164">
        <w:rPr>
          <w:rStyle w:val="normaltextrun"/>
          <w:rFonts w:cs="Arial"/>
          <w:color w:val="000000"/>
          <w:shd w:val="clear" w:color="auto" w:fill="FFFFFF"/>
        </w:rPr>
        <w:t>)</w:t>
      </w:r>
      <w:r w:rsidR="003A014C">
        <w:rPr>
          <w:rStyle w:val="normaltextrun"/>
          <w:rFonts w:cs="Arial"/>
          <w:color w:val="000000"/>
          <w:shd w:val="clear" w:color="auto" w:fill="FFFFFF"/>
        </w:rPr>
        <w:t xml:space="preserve"> and </w:t>
      </w:r>
      <w:r w:rsidR="00EA6164">
        <w:rPr>
          <w:rStyle w:val="normaltextrun"/>
          <w:rFonts w:cs="Arial"/>
          <w:color w:val="000000"/>
          <w:shd w:val="clear" w:color="auto" w:fill="FFFFFF"/>
        </w:rPr>
        <w:t>therefore already establishes a history of non-compliance</w:t>
      </w:r>
      <w:r w:rsidR="00DE3EF0">
        <w:rPr>
          <w:rStyle w:val="normaltextrun"/>
          <w:rFonts w:cs="Arial"/>
          <w:color w:val="000000"/>
          <w:shd w:val="clear" w:color="auto" w:fill="FFFFFF"/>
        </w:rPr>
        <w:t xml:space="preserve"> with their obligations under the Inland Revenue Acts</w:t>
      </w:r>
      <w:r w:rsidR="00EA6164">
        <w:rPr>
          <w:rStyle w:val="normaltextrun"/>
          <w:rFonts w:cs="Arial"/>
          <w:color w:val="000000"/>
          <w:shd w:val="clear" w:color="auto" w:fill="FFFFFF"/>
        </w:rPr>
        <w:t>.</w:t>
      </w:r>
    </w:p>
    <w:p w14:paraId="3B2E2502" w14:textId="77777777" w:rsidR="003811EF" w:rsidRDefault="003811EF" w:rsidP="00157C5D">
      <w:pPr>
        <w:pStyle w:val="ListParagraph"/>
        <w:rPr>
          <w:lang w:val="en-NZ"/>
        </w:rPr>
      </w:pPr>
    </w:p>
    <w:p w14:paraId="5AF907AA" w14:textId="116D51F3" w:rsidR="003966A5" w:rsidRDefault="003966A5" w:rsidP="001A4B31">
      <w:pPr>
        <w:pStyle w:val="ListParagraph"/>
        <w:numPr>
          <w:ilvl w:val="0"/>
          <w:numId w:val="24"/>
        </w:numPr>
        <w:ind w:hanging="720"/>
        <w:rPr>
          <w:lang w:val="en-NZ"/>
        </w:rPr>
      </w:pPr>
      <w:r>
        <w:rPr>
          <w:lang w:val="en-NZ"/>
        </w:rPr>
        <w:t>A sufficiently robust penalty regime increase</w:t>
      </w:r>
      <w:r w:rsidR="00DE3EF0">
        <w:rPr>
          <w:lang w:val="en-NZ"/>
        </w:rPr>
        <w:t>s</w:t>
      </w:r>
      <w:r>
        <w:rPr>
          <w:lang w:val="en-NZ"/>
        </w:rPr>
        <w:t xml:space="preserve"> the</w:t>
      </w:r>
      <w:r w:rsidR="00DE3EF0">
        <w:rPr>
          <w:lang w:val="en-NZ"/>
        </w:rPr>
        <w:t xml:space="preserve"> financial</w:t>
      </w:r>
      <w:r>
        <w:rPr>
          <w:lang w:val="en-NZ"/>
        </w:rPr>
        <w:t xml:space="preserve"> risk o</w:t>
      </w:r>
      <w:r w:rsidR="00DE3EF0">
        <w:rPr>
          <w:lang w:val="en-NZ"/>
        </w:rPr>
        <w:t>f</w:t>
      </w:r>
      <w:r>
        <w:rPr>
          <w:lang w:val="en-NZ"/>
        </w:rPr>
        <w:t xml:space="preserve"> selling and owning sales suppression software</w:t>
      </w:r>
      <w:r w:rsidR="00DE3EF0">
        <w:rPr>
          <w:lang w:val="en-NZ"/>
        </w:rPr>
        <w:t>. The purpose of this is to</w:t>
      </w:r>
      <w:r>
        <w:rPr>
          <w:lang w:val="en-NZ"/>
        </w:rPr>
        <w:t xml:space="preserve"> deter taxpayers from engaging in these behaviours. </w:t>
      </w:r>
      <w:r w:rsidR="00DE3EF0">
        <w:rPr>
          <w:lang w:val="en-NZ"/>
        </w:rPr>
        <w:t>There are limits to this effect, as there will be some taxpayers who will take compliance risks if they perceive the rewards are great enough.</w:t>
      </w:r>
    </w:p>
    <w:p w14:paraId="025392CE" w14:textId="77777777" w:rsidR="003811EF" w:rsidRDefault="003811EF" w:rsidP="00157C5D">
      <w:pPr>
        <w:pStyle w:val="ListParagraph"/>
        <w:rPr>
          <w:lang w:val="en-NZ"/>
        </w:rPr>
      </w:pPr>
    </w:p>
    <w:p w14:paraId="16475415" w14:textId="18B9B078" w:rsidR="003966A5" w:rsidRDefault="00DE3EF0" w:rsidP="001A4B31">
      <w:pPr>
        <w:pStyle w:val="ListParagraph"/>
        <w:numPr>
          <w:ilvl w:val="0"/>
          <w:numId w:val="24"/>
        </w:numPr>
        <w:ind w:hanging="720"/>
        <w:rPr>
          <w:lang w:val="en-NZ"/>
        </w:rPr>
      </w:pPr>
      <w:r>
        <w:rPr>
          <w:lang w:val="en-NZ"/>
        </w:rPr>
        <w:t xml:space="preserve">We expect the </w:t>
      </w:r>
      <w:r w:rsidR="003966A5">
        <w:rPr>
          <w:lang w:val="en-NZ"/>
        </w:rPr>
        <w:t>compliance costs for this option are low</w:t>
      </w:r>
      <w:r w:rsidR="00A73742">
        <w:rPr>
          <w:lang w:val="en-NZ"/>
        </w:rPr>
        <w:t xml:space="preserve"> </w:t>
      </w:r>
      <w:r>
        <w:rPr>
          <w:lang w:val="en-NZ"/>
        </w:rPr>
        <w:t xml:space="preserve">to non-existent </w:t>
      </w:r>
      <w:r w:rsidR="00A73742">
        <w:rPr>
          <w:lang w:val="en-NZ"/>
        </w:rPr>
        <w:t>for t</w:t>
      </w:r>
      <w:r w:rsidR="003966A5">
        <w:rPr>
          <w:lang w:val="en-NZ"/>
        </w:rPr>
        <w:t>axpayers not engag</w:t>
      </w:r>
      <w:r w:rsidR="00A73742">
        <w:rPr>
          <w:lang w:val="en-NZ"/>
        </w:rPr>
        <w:t>ed</w:t>
      </w:r>
      <w:r w:rsidR="003966A5">
        <w:rPr>
          <w:lang w:val="en-NZ"/>
        </w:rPr>
        <w:t xml:space="preserve"> in offensive behaviour</w:t>
      </w:r>
      <w:r w:rsidR="00A73742">
        <w:rPr>
          <w:lang w:val="en-NZ"/>
        </w:rPr>
        <w:t xml:space="preserve">, </w:t>
      </w:r>
      <w:r>
        <w:rPr>
          <w:lang w:val="en-NZ"/>
        </w:rPr>
        <w:t xml:space="preserve">as they </w:t>
      </w:r>
      <w:r w:rsidR="003966A5">
        <w:rPr>
          <w:lang w:val="en-NZ"/>
        </w:rPr>
        <w:t>will not need to change their behaviour.</w:t>
      </w:r>
      <w:r w:rsidR="00A73742">
        <w:rPr>
          <w:lang w:val="en-NZ"/>
        </w:rPr>
        <w:t xml:space="preserve"> Taxpayers who commit an offence and are caught will face high costs, but this is by design.</w:t>
      </w:r>
    </w:p>
    <w:p w14:paraId="667EF50B" w14:textId="77777777" w:rsidR="003811EF" w:rsidRDefault="003811EF" w:rsidP="00157C5D">
      <w:pPr>
        <w:pStyle w:val="ListParagraph"/>
        <w:rPr>
          <w:lang w:val="en-NZ"/>
        </w:rPr>
      </w:pPr>
    </w:p>
    <w:p w14:paraId="25FB7EC0" w14:textId="26B3AF42" w:rsidR="003966A5" w:rsidRPr="001A4B31" w:rsidRDefault="003966A5" w:rsidP="001A4B31">
      <w:pPr>
        <w:pStyle w:val="ListParagraph"/>
        <w:numPr>
          <w:ilvl w:val="0"/>
          <w:numId w:val="24"/>
        </w:numPr>
        <w:ind w:hanging="720"/>
        <w:rPr>
          <w:lang w:val="en-NZ"/>
        </w:rPr>
      </w:pPr>
      <w:r>
        <w:rPr>
          <w:lang w:val="en-NZ"/>
        </w:rPr>
        <w:t xml:space="preserve">The option requires Inland Revenue to actively audit taxpayers and prosecute offenders. This will impose some administrative costs on an ongoing basis, but these </w:t>
      </w:r>
      <w:r w:rsidR="00DE3EF0">
        <w:rPr>
          <w:lang w:val="en-NZ"/>
        </w:rPr>
        <w:t>would</w:t>
      </w:r>
      <w:r>
        <w:rPr>
          <w:lang w:val="en-NZ"/>
        </w:rPr>
        <w:t xml:space="preserve"> fall within Inland Revenue’s normal auditing functions</w:t>
      </w:r>
      <w:r w:rsidR="00730C62">
        <w:rPr>
          <w:lang w:val="en-NZ"/>
        </w:rPr>
        <w:t xml:space="preserve">, </w:t>
      </w:r>
      <w:r>
        <w:rPr>
          <w:lang w:val="en-NZ"/>
        </w:rPr>
        <w:t xml:space="preserve">so any additional cost is unlikely to be </w:t>
      </w:r>
      <w:r w:rsidR="00E73F27">
        <w:rPr>
          <w:lang w:val="en-NZ"/>
        </w:rPr>
        <w:t>significant</w:t>
      </w:r>
      <w:r>
        <w:rPr>
          <w:lang w:val="en-NZ"/>
        </w:rPr>
        <w:t>.</w:t>
      </w:r>
    </w:p>
    <w:p w14:paraId="3F7AA2C2" w14:textId="3B6643B6" w:rsidR="007D78A1" w:rsidRPr="00CF368B" w:rsidRDefault="001A4B31" w:rsidP="00EE03E6">
      <w:pPr>
        <w:pStyle w:val="Heading4"/>
        <w:rPr>
          <w:i/>
          <w:iCs/>
          <w:lang w:val="en-NZ"/>
        </w:rPr>
      </w:pPr>
      <w:r>
        <w:rPr>
          <w:lang w:val="en-NZ"/>
        </w:rPr>
        <w:br/>
      </w:r>
      <w:r w:rsidR="007D78A1" w:rsidRPr="00127879">
        <w:rPr>
          <w:lang w:val="en-NZ"/>
        </w:rPr>
        <w:t xml:space="preserve">Option </w:t>
      </w:r>
      <w:r w:rsidR="004877B3" w:rsidRPr="00127879">
        <w:rPr>
          <w:lang w:val="en-NZ"/>
        </w:rPr>
        <w:t>Three</w:t>
      </w:r>
      <w:r w:rsidR="007D78A1" w:rsidRPr="00127879">
        <w:rPr>
          <w:lang w:val="en-NZ"/>
        </w:rPr>
        <w:t xml:space="preserve"> </w:t>
      </w:r>
      <w:r w:rsidR="003966A5" w:rsidRPr="008E4AC1">
        <w:rPr>
          <w:lang w:val="en-NZ"/>
        </w:rPr>
        <w:t>–</w:t>
      </w:r>
      <w:r w:rsidR="007D78A1" w:rsidRPr="008E4AC1">
        <w:rPr>
          <w:lang w:val="en-NZ"/>
        </w:rPr>
        <w:t xml:space="preserve"> </w:t>
      </w:r>
      <w:r w:rsidR="003966A5" w:rsidRPr="008E4AC1">
        <w:rPr>
          <w:i/>
          <w:iCs/>
          <w:lang w:val="en-NZ"/>
        </w:rPr>
        <w:t>Regulatory regime</w:t>
      </w:r>
    </w:p>
    <w:p w14:paraId="0B4EEE74" w14:textId="19E4AEC9" w:rsidR="003966A5" w:rsidRPr="00127879" w:rsidRDefault="0013190A" w:rsidP="003966A5">
      <w:pPr>
        <w:pStyle w:val="ListParagraph"/>
        <w:numPr>
          <w:ilvl w:val="0"/>
          <w:numId w:val="24"/>
        </w:numPr>
        <w:ind w:hanging="720"/>
        <w:rPr>
          <w:lang w:val="en-NZ"/>
        </w:rPr>
      </w:pPr>
      <w:r w:rsidRPr="00127879">
        <w:rPr>
          <w:lang w:val="en-NZ"/>
        </w:rPr>
        <w:t>This option would impose r</w:t>
      </w:r>
      <w:r w:rsidR="003966A5" w:rsidRPr="00127879">
        <w:rPr>
          <w:lang w:val="en-NZ"/>
        </w:rPr>
        <w:t>egulations on EFTPOS machines sold in New Zealand to make these machines incompatible with sales suppression software</w:t>
      </w:r>
      <w:r w:rsidRPr="00127879">
        <w:rPr>
          <w:lang w:val="en-NZ"/>
        </w:rPr>
        <w:t>.</w:t>
      </w:r>
      <w:r w:rsidR="003966A5" w:rsidRPr="00127879">
        <w:rPr>
          <w:lang w:val="en-NZ"/>
        </w:rPr>
        <w:t xml:space="preserve"> </w:t>
      </w:r>
      <w:r w:rsidRPr="00127879">
        <w:rPr>
          <w:lang w:val="en-NZ"/>
        </w:rPr>
        <w:t>B</w:t>
      </w:r>
      <w:r w:rsidR="003966A5" w:rsidRPr="00127879">
        <w:rPr>
          <w:lang w:val="en-NZ"/>
        </w:rPr>
        <w:t xml:space="preserve">usinesses </w:t>
      </w:r>
      <w:r w:rsidRPr="00127879">
        <w:rPr>
          <w:lang w:val="en-NZ"/>
        </w:rPr>
        <w:t xml:space="preserve">would be </w:t>
      </w:r>
      <w:r w:rsidR="003966A5" w:rsidRPr="00127879">
        <w:rPr>
          <w:lang w:val="en-NZ"/>
        </w:rPr>
        <w:t xml:space="preserve">required to upgrade their systems in line with these new regulations. </w:t>
      </w:r>
    </w:p>
    <w:p w14:paraId="75120472" w14:textId="77777777" w:rsidR="0089617A" w:rsidRPr="00127879" w:rsidRDefault="0089617A" w:rsidP="00DD5E6A">
      <w:pPr>
        <w:pStyle w:val="ListParagraph"/>
        <w:rPr>
          <w:lang w:val="en-NZ"/>
        </w:rPr>
      </w:pPr>
    </w:p>
    <w:p w14:paraId="6D0CAA0D" w14:textId="2873703F" w:rsidR="0089617A" w:rsidRPr="00DD5E6A" w:rsidRDefault="0089617A" w:rsidP="003966A5">
      <w:pPr>
        <w:pStyle w:val="ListParagraph"/>
        <w:numPr>
          <w:ilvl w:val="0"/>
          <w:numId w:val="24"/>
        </w:numPr>
        <w:ind w:hanging="720"/>
        <w:rPr>
          <w:lang w:val="en-NZ"/>
        </w:rPr>
      </w:pPr>
      <w:r w:rsidRPr="00DD5E6A">
        <w:rPr>
          <w:lang w:val="en-NZ"/>
        </w:rPr>
        <w:t>A number of models exist overseas which we could base our approach on</w:t>
      </w:r>
      <w:r w:rsidR="00D571AA" w:rsidRPr="00127879">
        <w:t xml:space="preserve">, including so-called “fiscal till” systems (used by jurisdictions such as Argentina, Bulgaria, Lithuania, and Russia) and “certified” cash register systems (used by </w:t>
      </w:r>
      <w:proofErr w:type="gramStart"/>
      <w:r w:rsidR="00D571AA" w:rsidRPr="00127879">
        <w:t>e.g.</w:t>
      </w:r>
      <w:proofErr w:type="gramEnd"/>
      <w:r w:rsidR="00D571AA" w:rsidRPr="00127879">
        <w:t xml:space="preserve"> Belgium, Greece, and Sweden). There are differences between the two approaches, but in essence they both place requirements on cash registers used in certain industries to store, track, and upload sales data in secured formats and/or to secure servers.</w:t>
      </w:r>
    </w:p>
    <w:p w14:paraId="4B5D1C97" w14:textId="77777777" w:rsidR="001F66FE" w:rsidRPr="00DD5E6A" w:rsidRDefault="001F66FE" w:rsidP="00DD5E6A">
      <w:pPr>
        <w:pStyle w:val="ListParagraph"/>
        <w:rPr>
          <w:lang w:val="en-NZ"/>
        </w:rPr>
      </w:pPr>
    </w:p>
    <w:p w14:paraId="6FA5EC0A" w14:textId="41E3785A" w:rsidR="001F66FE" w:rsidRPr="00DD5E6A" w:rsidRDefault="001F66FE" w:rsidP="003966A5">
      <w:pPr>
        <w:pStyle w:val="ListParagraph"/>
        <w:numPr>
          <w:ilvl w:val="0"/>
          <w:numId w:val="24"/>
        </w:numPr>
        <w:ind w:hanging="720"/>
        <w:rPr>
          <w:lang w:val="en-NZ"/>
        </w:rPr>
      </w:pPr>
      <w:r w:rsidRPr="00127879">
        <w:t xml:space="preserve">The </w:t>
      </w:r>
      <w:r w:rsidR="00A57025">
        <w:t>Dutch government</w:t>
      </w:r>
      <w:r w:rsidRPr="00127879">
        <w:t xml:space="preserve"> has taken a </w:t>
      </w:r>
      <w:r w:rsidR="00A57025" w:rsidRPr="00127879">
        <w:t xml:space="preserve">voluntary compliance </w:t>
      </w:r>
      <w:r w:rsidRPr="00127879">
        <w:t>approach</w:t>
      </w:r>
      <w:r w:rsidR="00A57025">
        <w:t xml:space="preserve"> to regulation</w:t>
      </w:r>
      <w:r w:rsidRPr="00127879">
        <w:t xml:space="preserve"> </w:t>
      </w:r>
      <w:r w:rsidR="00A57025">
        <w:t>through</w:t>
      </w:r>
      <w:r w:rsidRPr="00127879">
        <w:t xml:space="preserve"> its </w:t>
      </w:r>
      <w:proofErr w:type="spellStart"/>
      <w:r w:rsidRPr="00127879">
        <w:t>Keurmerk</w:t>
      </w:r>
      <w:proofErr w:type="spellEnd"/>
      <w:r w:rsidRPr="00127879">
        <w:t xml:space="preserve"> (Quality Mark) system</w:t>
      </w:r>
      <w:r w:rsidR="00A04EAE">
        <w:t>, establishing an</w:t>
      </w:r>
      <w:r w:rsidRPr="00127879">
        <w:t xml:space="preserve"> industry body with representation from the </w:t>
      </w:r>
      <w:proofErr w:type="spellStart"/>
      <w:r w:rsidRPr="00127879">
        <w:t>Belastingdienst</w:t>
      </w:r>
      <w:proofErr w:type="spellEnd"/>
      <w:r w:rsidRPr="00127879">
        <w:t xml:space="preserve"> (the Dutch tax </w:t>
      </w:r>
      <w:r w:rsidR="00DE3EF0">
        <w:t>authority</w:t>
      </w:r>
      <w:r w:rsidRPr="00127879">
        <w:t xml:space="preserve">) and </w:t>
      </w:r>
      <w:r w:rsidR="00DE3EF0">
        <w:t>point-of-sale</w:t>
      </w:r>
      <w:r w:rsidRPr="00127879">
        <w:t xml:space="preserve"> system manufacturers to set </w:t>
      </w:r>
      <w:r w:rsidR="00D738EA" w:rsidRPr="00127879">
        <w:t xml:space="preserve">quality </w:t>
      </w:r>
      <w:r w:rsidRPr="00127879">
        <w:t xml:space="preserve">standards </w:t>
      </w:r>
      <w:r w:rsidR="00D738EA">
        <w:t>for</w:t>
      </w:r>
      <w:r w:rsidRPr="00127879">
        <w:t xml:space="preserve"> systems </w:t>
      </w:r>
      <w:r w:rsidR="00C9042F">
        <w:t>sold</w:t>
      </w:r>
      <w:r w:rsidRPr="00127879">
        <w:t xml:space="preserve"> in the Netherlands. </w:t>
      </w:r>
      <w:r w:rsidR="006B5FB6" w:rsidRPr="00127879">
        <w:t>Compliant</w:t>
      </w:r>
      <w:r w:rsidRPr="00127879">
        <w:t xml:space="preserve"> </w:t>
      </w:r>
      <w:r w:rsidR="006B5FB6" w:rsidRPr="00127879">
        <w:t xml:space="preserve">systems </w:t>
      </w:r>
      <w:r w:rsidRPr="00127879">
        <w:t xml:space="preserve">receive a </w:t>
      </w:r>
      <w:proofErr w:type="spellStart"/>
      <w:r w:rsidRPr="00127879">
        <w:t>Keurmerk</w:t>
      </w:r>
      <w:proofErr w:type="spellEnd"/>
      <w:r w:rsidRPr="00127879">
        <w:t xml:space="preserve"> label</w:t>
      </w:r>
      <w:r w:rsidR="006B5FB6" w:rsidRPr="00127879">
        <w:t>; b</w:t>
      </w:r>
      <w:r w:rsidRPr="00127879">
        <w:t xml:space="preserve">usinesses using </w:t>
      </w:r>
      <w:r w:rsidR="006B5FB6" w:rsidRPr="00127879">
        <w:t>these</w:t>
      </w:r>
      <w:r w:rsidRPr="00127879">
        <w:t xml:space="preserve"> systems are considered lower risk under the </w:t>
      </w:r>
      <w:proofErr w:type="spellStart"/>
      <w:r w:rsidRPr="00127879">
        <w:t>Belastingdienst’s</w:t>
      </w:r>
      <w:proofErr w:type="spellEnd"/>
      <w:r w:rsidRPr="00127879">
        <w:t xml:space="preserve"> fraud risk management systems.</w:t>
      </w:r>
    </w:p>
    <w:p w14:paraId="1ACE0A62" w14:textId="77777777" w:rsidR="003811EF" w:rsidRPr="00127879" w:rsidRDefault="003811EF" w:rsidP="00157C5D">
      <w:pPr>
        <w:pStyle w:val="ListParagraph"/>
        <w:rPr>
          <w:lang w:val="en-NZ"/>
        </w:rPr>
      </w:pPr>
    </w:p>
    <w:p w14:paraId="5B5885BE" w14:textId="5A81B8EC" w:rsidR="008E4AC1" w:rsidRPr="00210498" w:rsidRDefault="00CF368B" w:rsidP="00B62DF6">
      <w:pPr>
        <w:pStyle w:val="ListParagraph"/>
        <w:numPr>
          <w:ilvl w:val="0"/>
          <w:numId w:val="24"/>
        </w:numPr>
        <w:ind w:hanging="720"/>
        <w:rPr>
          <w:lang w:val="en-NZ"/>
        </w:rPr>
      </w:pPr>
      <w:r>
        <w:rPr>
          <w:lang w:val="en-NZ"/>
        </w:rPr>
        <w:t>A regulatory</w:t>
      </w:r>
      <w:r w:rsidRPr="00CF368B">
        <w:rPr>
          <w:lang w:val="en-NZ"/>
        </w:rPr>
        <w:t xml:space="preserve"> </w:t>
      </w:r>
      <w:r w:rsidR="003966A5" w:rsidRPr="00CF368B">
        <w:rPr>
          <w:lang w:val="en-NZ"/>
        </w:rPr>
        <w:t>option is likely to go farthest in preventing the spread of the software and protecting the integrit</w:t>
      </w:r>
      <w:r w:rsidR="003966A5" w:rsidRPr="00127879">
        <w:rPr>
          <w:lang w:val="en-NZ"/>
        </w:rPr>
        <w:t xml:space="preserve">y of the tax base, as it makes the software incompatible with business </w:t>
      </w:r>
      <w:r w:rsidR="00DE3EF0">
        <w:t>point-of-sale</w:t>
      </w:r>
      <w:r w:rsidR="00DE3EF0" w:rsidRPr="00127879">
        <w:t xml:space="preserve"> </w:t>
      </w:r>
      <w:r w:rsidR="003966A5" w:rsidRPr="00127879">
        <w:rPr>
          <w:lang w:val="en-NZ"/>
        </w:rPr>
        <w:t xml:space="preserve">systems and thereby removes its </w:t>
      </w:r>
      <w:r w:rsidR="00C90F55">
        <w:rPr>
          <w:lang w:val="en-NZ"/>
        </w:rPr>
        <w:t>usefulness</w:t>
      </w:r>
      <w:r w:rsidR="003966A5" w:rsidRPr="00127879">
        <w:rPr>
          <w:lang w:val="en-NZ"/>
        </w:rPr>
        <w:t xml:space="preserve">. </w:t>
      </w:r>
      <w:r w:rsidR="003966A5" w:rsidRPr="00B62DF6">
        <w:rPr>
          <w:lang w:val="en-NZ"/>
        </w:rPr>
        <w:t xml:space="preserve">However, </w:t>
      </w:r>
      <w:r w:rsidR="00056DD5" w:rsidRPr="00210498">
        <w:rPr>
          <w:lang w:val="en-NZ"/>
        </w:rPr>
        <w:t xml:space="preserve">the option </w:t>
      </w:r>
      <w:r w:rsidR="003966A5" w:rsidRPr="00210498">
        <w:rPr>
          <w:lang w:val="en-NZ"/>
        </w:rPr>
        <w:t>is likely to impose significant compliance costs on</w:t>
      </w:r>
      <w:r w:rsidR="00DE3EF0" w:rsidRPr="00210498">
        <w:rPr>
          <w:lang w:val="en-NZ"/>
        </w:rPr>
        <w:t xml:space="preserve"> all</w:t>
      </w:r>
      <w:r w:rsidR="003966A5" w:rsidRPr="00210498">
        <w:rPr>
          <w:lang w:val="en-NZ"/>
        </w:rPr>
        <w:t xml:space="preserve"> businesses, even those not using sales suppression software, as all businesses would need to upgrade or replace their systems to meet the new regulatory standards.</w:t>
      </w:r>
      <w:r w:rsidR="005F14E8" w:rsidRPr="00210498">
        <w:rPr>
          <w:lang w:val="en-NZ"/>
        </w:rPr>
        <w:t xml:space="preserve"> </w:t>
      </w:r>
      <w:r w:rsidR="003966A5" w:rsidRPr="00210498">
        <w:rPr>
          <w:lang w:val="en-NZ"/>
        </w:rPr>
        <w:t>The option also has relatively high initial administrative costs, as the government must design a set of regulatory standards that meet the policy objective.</w:t>
      </w:r>
      <w:r w:rsidR="00F31551" w:rsidRPr="00210498">
        <w:rPr>
          <w:lang w:val="en-NZ"/>
        </w:rPr>
        <w:t xml:space="preserve"> </w:t>
      </w:r>
    </w:p>
    <w:p w14:paraId="4E1643EB" w14:textId="77777777" w:rsidR="008E4AC1" w:rsidRDefault="008E4AC1">
      <w:pPr>
        <w:spacing w:after="0" w:line="240" w:lineRule="auto"/>
        <w:rPr>
          <w:lang w:val="en-NZ"/>
        </w:rPr>
      </w:pPr>
      <w:r>
        <w:rPr>
          <w:lang w:val="en-NZ"/>
        </w:rPr>
        <w:br w:type="page"/>
      </w:r>
    </w:p>
    <w:p w14:paraId="607962DE" w14:textId="77777777" w:rsidR="003966A5" w:rsidRPr="003966A5" w:rsidRDefault="003966A5" w:rsidP="003966A5">
      <w:pPr>
        <w:pStyle w:val="ListParagraph"/>
        <w:numPr>
          <w:ilvl w:val="0"/>
          <w:numId w:val="24"/>
        </w:numPr>
        <w:ind w:hanging="720"/>
        <w:rPr>
          <w:lang w:val="en-NZ"/>
        </w:rPr>
        <w:sectPr w:rsidR="003966A5" w:rsidRPr="003966A5" w:rsidSect="001904CE">
          <w:headerReference w:type="even" r:id="rId8"/>
          <w:headerReference w:type="default" r:id="rId9"/>
          <w:footerReference w:type="even" r:id="rId10"/>
          <w:footerReference w:type="default" r:id="rId11"/>
          <w:pgSz w:w="11906" w:h="16838" w:code="9"/>
          <w:pgMar w:top="1007" w:right="1274" w:bottom="992" w:left="1418" w:header="709" w:footer="709" w:gutter="0"/>
          <w:cols w:space="708"/>
          <w:docGrid w:linePitch="360"/>
        </w:sectPr>
      </w:pPr>
    </w:p>
    <w:p w14:paraId="4EC02C43" w14:textId="5A1FE996" w:rsidR="00D71CE0" w:rsidRPr="00A864A5" w:rsidRDefault="00DB51CD" w:rsidP="001E7D01">
      <w:pPr>
        <w:pStyle w:val="Heading3"/>
        <w:rPr>
          <w:lang w:val="en-NZ"/>
        </w:rPr>
      </w:pPr>
      <w:r>
        <w:rPr>
          <w:lang w:val="en-NZ"/>
        </w:rPr>
        <w:t>How do the options compare to the</w:t>
      </w:r>
      <w:r w:rsidR="004C0B1A">
        <w:rPr>
          <w:lang w:val="en-NZ"/>
        </w:rPr>
        <w:t xml:space="preserve"> </w:t>
      </w:r>
      <w:r>
        <w:rPr>
          <w:lang w:val="en-NZ"/>
        </w:rPr>
        <w:t>counterfactual?</w:t>
      </w:r>
    </w:p>
    <w:tbl>
      <w:tblPr>
        <w:tblW w:w="9101"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1766"/>
        <w:gridCol w:w="1949"/>
        <w:gridCol w:w="2877"/>
        <w:gridCol w:w="2509"/>
      </w:tblGrid>
      <w:tr w:rsidR="003966A5" w:rsidRPr="00A864A5" w14:paraId="69591A07" w14:textId="77777777" w:rsidTr="00157C5D">
        <w:trPr>
          <w:trHeight w:val="395"/>
        </w:trPr>
        <w:tc>
          <w:tcPr>
            <w:tcW w:w="1766" w:type="dxa"/>
            <w:shd w:val="clear" w:color="auto" w:fill="99CDDD"/>
            <w:vAlign w:val="center"/>
          </w:tcPr>
          <w:p w14:paraId="054FA8C1" w14:textId="77777777" w:rsidR="003966A5" w:rsidRPr="00DB51CD" w:rsidRDefault="003966A5" w:rsidP="00373983">
            <w:pPr>
              <w:spacing w:before="60" w:after="60" w:line="276" w:lineRule="auto"/>
              <w:jc w:val="center"/>
              <w:rPr>
                <w:rFonts w:cs="Arial"/>
                <w:bCs/>
                <w:i/>
                <w:iCs/>
                <w:color w:val="FFFFFF"/>
                <w:sz w:val="20"/>
                <w:szCs w:val="24"/>
                <w:lang w:val="en-NZ"/>
              </w:rPr>
            </w:pPr>
          </w:p>
        </w:tc>
        <w:tc>
          <w:tcPr>
            <w:tcW w:w="1949" w:type="dxa"/>
            <w:shd w:val="clear" w:color="auto" w:fill="99CDDD"/>
            <w:vAlign w:val="center"/>
          </w:tcPr>
          <w:p w14:paraId="5C09A7BD" w14:textId="77777777" w:rsidR="003966A5" w:rsidRPr="00A864A5" w:rsidRDefault="003966A5" w:rsidP="00373983">
            <w:pPr>
              <w:spacing w:before="60" w:after="60" w:line="240" w:lineRule="auto"/>
              <w:jc w:val="center"/>
              <w:rPr>
                <w:rFonts w:cs="Arial"/>
                <w:b/>
                <w:color w:val="000000"/>
                <w:szCs w:val="22"/>
                <w:lang w:val="en-NZ"/>
              </w:rPr>
            </w:pPr>
            <w:r w:rsidRPr="00A864A5">
              <w:rPr>
                <w:rFonts w:cs="Arial"/>
                <w:b/>
                <w:color w:val="000000"/>
                <w:szCs w:val="22"/>
                <w:lang w:val="en-NZ"/>
              </w:rPr>
              <w:t xml:space="preserve">Option One – </w:t>
            </w:r>
            <w:r w:rsidRPr="00B84E15">
              <w:rPr>
                <w:rFonts w:cs="Arial"/>
                <w:b/>
                <w:i/>
                <w:iCs/>
                <w:color w:val="000000"/>
                <w:szCs w:val="22"/>
                <w:lang w:val="en-NZ"/>
              </w:rPr>
              <w:t>Counterfactual</w:t>
            </w:r>
          </w:p>
        </w:tc>
        <w:tc>
          <w:tcPr>
            <w:tcW w:w="2877" w:type="dxa"/>
            <w:shd w:val="clear" w:color="auto" w:fill="99CDDD"/>
            <w:vAlign w:val="center"/>
          </w:tcPr>
          <w:p w14:paraId="7974DD44" w14:textId="77777777" w:rsidR="003966A5" w:rsidRPr="00A864A5" w:rsidRDefault="003966A5" w:rsidP="00373983">
            <w:pPr>
              <w:spacing w:before="60" w:after="60" w:line="276" w:lineRule="auto"/>
              <w:jc w:val="center"/>
              <w:rPr>
                <w:rFonts w:cs="Arial"/>
                <w:b/>
                <w:color w:val="000000"/>
                <w:szCs w:val="22"/>
                <w:lang w:val="en-NZ"/>
              </w:rPr>
            </w:pPr>
            <w:r w:rsidRPr="00A864A5">
              <w:rPr>
                <w:rFonts w:cs="Arial"/>
                <w:b/>
                <w:color w:val="000000"/>
                <w:szCs w:val="22"/>
                <w:lang w:val="en-NZ"/>
              </w:rPr>
              <w:t xml:space="preserve">Option Two – </w:t>
            </w:r>
            <w:r w:rsidRPr="00A27E2A">
              <w:rPr>
                <w:rFonts w:cs="Arial"/>
                <w:b/>
                <w:i/>
                <w:iCs/>
                <w:color w:val="000000"/>
                <w:szCs w:val="22"/>
                <w:lang w:val="en-NZ"/>
              </w:rPr>
              <w:t>Penalty regime</w:t>
            </w:r>
          </w:p>
        </w:tc>
        <w:tc>
          <w:tcPr>
            <w:tcW w:w="2509" w:type="dxa"/>
            <w:shd w:val="clear" w:color="auto" w:fill="99CDDD"/>
            <w:vAlign w:val="center"/>
          </w:tcPr>
          <w:p w14:paraId="13597138" w14:textId="6081F805" w:rsidR="003966A5" w:rsidRPr="00A864A5" w:rsidRDefault="003966A5" w:rsidP="00373983">
            <w:pPr>
              <w:spacing w:before="60" w:after="60" w:line="276" w:lineRule="auto"/>
              <w:jc w:val="center"/>
              <w:rPr>
                <w:rFonts w:cs="Arial"/>
                <w:b/>
                <w:color w:val="000000"/>
                <w:szCs w:val="22"/>
                <w:lang w:val="en-NZ"/>
              </w:rPr>
            </w:pPr>
            <w:r w:rsidRPr="00A864A5">
              <w:rPr>
                <w:rFonts w:cs="Arial"/>
                <w:b/>
                <w:color w:val="000000"/>
                <w:szCs w:val="22"/>
                <w:lang w:val="en-NZ"/>
              </w:rPr>
              <w:t xml:space="preserve">Option </w:t>
            </w:r>
            <w:r w:rsidR="003811EF">
              <w:rPr>
                <w:rFonts w:cs="Arial"/>
                <w:b/>
                <w:color w:val="000000"/>
                <w:szCs w:val="22"/>
                <w:lang w:val="en-NZ"/>
              </w:rPr>
              <w:t>Three</w:t>
            </w:r>
            <w:r w:rsidRPr="00A864A5">
              <w:rPr>
                <w:rFonts w:cs="Arial"/>
                <w:b/>
                <w:color w:val="000000"/>
                <w:szCs w:val="22"/>
                <w:lang w:val="en-NZ"/>
              </w:rPr>
              <w:t xml:space="preserve"> </w:t>
            </w:r>
            <w:r>
              <w:rPr>
                <w:rFonts w:cs="Arial"/>
                <w:b/>
                <w:color w:val="000000"/>
                <w:szCs w:val="22"/>
                <w:lang w:val="en-NZ"/>
              </w:rPr>
              <w:t xml:space="preserve">- </w:t>
            </w:r>
            <w:r w:rsidRPr="00A27E2A">
              <w:rPr>
                <w:rFonts w:cs="Arial"/>
                <w:b/>
                <w:i/>
                <w:iCs/>
                <w:color w:val="000000"/>
                <w:szCs w:val="22"/>
                <w:lang w:val="en-NZ"/>
              </w:rPr>
              <w:t>Regulatory regime</w:t>
            </w:r>
          </w:p>
        </w:tc>
      </w:tr>
      <w:tr w:rsidR="003966A5" w:rsidRPr="00A864A5" w14:paraId="52D17B85" w14:textId="77777777" w:rsidTr="00157C5D">
        <w:trPr>
          <w:trHeight w:val="615"/>
        </w:trPr>
        <w:tc>
          <w:tcPr>
            <w:tcW w:w="1766" w:type="dxa"/>
            <w:shd w:val="clear" w:color="auto" w:fill="99CDDD"/>
            <w:vAlign w:val="center"/>
          </w:tcPr>
          <w:p w14:paraId="1A487096" w14:textId="77777777" w:rsidR="003966A5" w:rsidRPr="00A864A5" w:rsidRDefault="003966A5" w:rsidP="00373983">
            <w:pPr>
              <w:spacing w:before="60" w:after="60" w:line="240" w:lineRule="auto"/>
              <w:jc w:val="center"/>
              <w:rPr>
                <w:rFonts w:cs="Arial"/>
                <w:b/>
                <w:color w:val="000000"/>
                <w:szCs w:val="22"/>
                <w:lang w:val="en-NZ"/>
              </w:rPr>
            </w:pPr>
            <w:r>
              <w:rPr>
                <w:rFonts w:cs="Arial"/>
                <w:b/>
                <w:color w:val="000000"/>
                <w:szCs w:val="22"/>
                <w:lang w:val="en-NZ"/>
              </w:rPr>
              <w:t>Compliance costs</w:t>
            </w:r>
          </w:p>
        </w:tc>
        <w:tc>
          <w:tcPr>
            <w:tcW w:w="1949" w:type="dxa"/>
            <w:shd w:val="clear" w:color="auto" w:fill="auto"/>
            <w:vAlign w:val="center"/>
          </w:tcPr>
          <w:p w14:paraId="6813EF80" w14:textId="77777777" w:rsidR="003966A5" w:rsidRPr="00A864A5" w:rsidRDefault="003966A5" w:rsidP="00373983">
            <w:pPr>
              <w:pStyle w:val="TableText"/>
              <w:spacing w:line="276" w:lineRule="auto"/>
              <w:jc w:val="center"/>
              <w:rPr>
                <w:bCs/>
                <w:lang w:val="en-NZ"/>
              </w:rPr>
            </w:pPr>
            <w:r w:rsidRPr="00A864A5">
              <w:rPr>
                <w:bCs/>
                <w:lang w:val="en-NZ"/>
              </w:rPr>
              <w:t>0</w:t>
            </w:r>
          </w:p>
        </w:tc>
        <w:tc>
          <w:tcPr>
            <w:tcW w:w="2877" w:type="dxa"/>
            <w:shd w:val="clear" w:color="auto" w:fill="auto"/>
            <w:vAlign w:val="center"/>
          </w:tcPr>
          <w:p w14:paraId="5FD7E680" w14:textId="77777777" w:rsidR="003966A5" w:rsidRDefault="003966A5" w:rsidP="00373983">
            <w:pPr>
              <w:pStyle w:val="TableText"/>
              <w:spacing w:line="276" w:lineRule="auto"/>
              <w:jc w:val="center"/>
              <w:rPr>
                <w:lang w:val="en-NZ"/>
              </w:rPr>
            </w:pPr>
            <w:r w:rsidRPr="00A27E2A">
              <w:rPr>
                <w:lang w:val="en-NZ"/>
              </w:rPr>
              <w:t>0</w:t>
            </w:r>
          </w:p>
          <w:p w14:paraId="78B2B701" w14:textId="77777777" w:rsidR="003966A5" w:rsidRPr="00A27E2A" w:rsidRDefault="003966A5" w:rsidP="00373983">
            <w:pPr>
              <w:pStyle w:val="TableText"/>
              <w:spacing w:line="276" w:lineRule="auto"/>
              <w:jc w:val="center"/>
              <w:rPr>
                <w:i/>
                <w:iCs/>
                <w:lang w:val="en-NZ"/>
              </w:rPr>
            </w:pPr>
            <w:r>
              <w:rPr>
                <w:i/>
                <w:iCs/>
                <w:lang w:val="en-NZ"/>
              </w:rPr>
              <w:t>Businesses not using software will not need to alter their behaviour.</w:t>
            </w:r>
          </w:p>
        </w:tc>
        <w:tc>
          <w:tcPr>
            <w:tcW w:w="2509" w:type="dxa"/>
            <w:shd w:val="clear" w:color="auto" w:fill="auto"/>
            <w:vAlign w:val="center"/>
          </w:tcPr>
          <w:p w14:paraId="7B23A0E3" w14:textId="77777777" w:rsidR="003966A5" w:rsidRDefault="003966A5" w:rsidP="00373983">
            <w:pPr>
              <w:pStyle w:val="TableText"/>
              <w:spacing w:line="276" w:lineRule="auto"/>
              <w:jc w:val="center"/>
              <w:rPr>
                <w:rFonts w:cs="Arial"/>
                <w:b/>
                <w:color w:val="FF0000"/>
              </w:rPr>
            </w:pPr>
            <w:r w:rsidRPr="00A864A5">
              <w:rPr>
                <w:rFonts w:cs="Arial"/>
                <w:b/>
                <w:color w:val="FF0000"/>
              </w:rPr>
              <w:t>- -</w:t>
            </w:r>
          </w:p>
          <w:p w14:paraId="20E02AAA" w14:textId="019419F9" w:rsidR="003966A5" w:rsidRPr="00A27E2A" w:rsidRDefault="004C72CA" w:rsidP="00373983">
            <w:pPr>
              <w:pStyle w:val="TableText"/>
              <w:spacing w:line="276" w:lineRule="auto"/>
              <w:jc w:val="center"/>
              <w:rPr>
                <w:i/>
                <w:iCs/>
                <w:lang w:val="en-NZ"/>
              </w:rPr>
            </w:pPr>
            <w:r>
              <w:rPr>
                <w:i/>
                <w:iCs/>
                <w:lang w:val="en-NZ"/>
              </w:rPr>
              <w:t>B</w:t>
            </w:r>
            <w:r w:rsidR="003966A5">
              <w:rPr>
                <w:i/>
                <w:iCs/>
                <w:lang w:val="en-NZ"/>
              </w:rPr>
              <w:t xml:space="preserve">usinesses will need to replace their </w:t>
            </w:r>
            <w:r w:rsidR="00D32CA2">
              <w:rPr>
                <w:i/>
                <w:iCs/>
                <w:lang w:val="en-NZ"/>
              </w:rPr>
              <w:t xml:space="preserve">point-of-sale </w:t>
            </w:r>
            <w:r w:rsidR="003966A5">
              <w:rPr>
                <w:i/>
                <w:iCs/>
                <w:lang w:val="en-NZ"/>
              </w:rPr>
              <w:t>software, imposing high costs.</w:t>
            </w:r>
          </w:p>
        </w:tc>
      </w:tr>
      <w:tr w:rsidR="003966A5" w:rsidRPr="00A864A5" w14:paraId="167C98B8" w14:textId="77777777" w:rsidTr="00157C5D">
        <w:trPr>
          <w:trHeight w:val="378"/>
        </w:trPr>
        <w:tc>
          <w:tcPr>
            <w:tcW w:w="1766" w:type="dxa"/>
            <w:shd w:val="clear" w:color="auto" w:fill="99CDDD"/>
            <w:vAlign w:val="center"/>
          </w:tcPr>
          <w:p w14:paraId="497C8D42" w14:textId="77777777" w:rsidR="003966A5" w:rsidRPr="00A864A5" w:rsidRDefault="003966A5" w:rsidP="00373983">
            <w:pPr>
              <w:spacing w:before="60" w:after="60" w:line="240" w:lineRule="auto"/>
              <w:jc w:val="center"/>
              <w:rPr>
                <w:rFonts w:cs="Arial"/>
                <w:b/>
                <w:color w:val="000000"/>
                <w:szCs w:val="22"/>
                <w:lang w:val="en-NZ"/>
              </w:rPr>
            </w:pPr>
            <w:r>
              <w:rPr>
                <w:rFonts w:cs="Arial"/>
                <w:b/>
                <w:color w:val="000000"/>
                <w:szCs w:val="22"/>
                <w:lang w:val="en-NZ"/>
              </w:rPr>
              <w:t>Administrative costs</w:t>
            </w:r>
          </w:p>
        </w:tc>
        <w:tc>
          <w:tcPr>
            <w:tcW w:w="1949" w:type="dxa"/>
            <w:shd w:val="clear" w:color="auto" w:fill="auto"/>
            <w:vAlign w:val="center"/>
          </w:tcPr>
          <w:p w14:paraId="4A44050D" w14:textId="77777777" w:rsidR="003966A5" w:rsidRPr="00A864A5" w:rsidRDefault="003966A5" w:rsidP="00373983">
            <w:pPr>
              <w:pStyle w:val="TableText"/>
              <w:spacing w:line="276" w:lineRule="auto"/>
              <w:jc w:val="center"/>
              <w:rPr>
                <w:bCs/>
                <w:lang w:val="en-NZ"/>
              </w:rPr>
            </w:pPr>
            <w:r w:rsidRPr="00A864A5">
              <w:rPr>
                <w:bCs/>
                <w:lang w:val="en-NZ"/>
              </w:rPr>
              <w:t>0</w:t>
            </w:r>
          </w:p>
        </w:tc>
        <w:tc>
          <w:tcPr>
            <w:tcW w:w="2877" w:type="dxa"/>
            <w:shd w:val="clear" w:color="auto" w:fill="auto"/>
            <w:vAlign w:val="center"/>
          </w:tcPr>
          <w:p w14:paraId="2E82A907" w14:textId="480737E1" w:rsidR="003966A5" w:rsidRPr="000D1E59" w:rsidRDefault="000D1E59" w:rsidP="00373983">
            <w:pPr>
              <w:pStyle w:val="TableText"/>
              <w:spacing w:line="276" w:lineRule="auto"/>
              <w:jc w:val="center"/>
              <w:rPr>
                <w:rFonts w:cs="Arial"/>
                <w:bCs/>
              </w:rPr>
            </w:pPr>
            <w:r>
              <w:rPr>
                <w:rFonts w:cs="Arial"/>
                <w:bCs/>
              </w:rPr>
              <w:t>0</w:t>
            </w:r>
          </w:p>
          <w:p w14:paraId="659B3B32" w14:textId="3FAAB5C6" w:rsidR="003966A5" w:rsidRPr="00A27E2A" w:rsidRDefault="000273E3" w:rsidP="00373983">
            <w:pPr>
              <w:pStyle w:val="TableText"/>
              <w:spacing w:line="276" w:lineRule="auto"/>
              <w:jc w:val="center"/>
              <w:rPr>
                <w:rFonts w:cs="Arial"/>
                <w:b/>
                <w:color w:val="FF0000"/>
              </w:rPr>
            </w:pPr>
            <w:r>
              <w:rPr>
                <w:i/>
                <w:iCs/>
                <w:lang w:val="en-NZ"/>
              </w:rPr>
              <w:t>A</w:t>
            </w:r>
            <w:r w:rsidR="00C83D46">
              <w:rPr>
                <w:i/>
                <w:iCs/>
                <w:lang w:val="en-NZ"/>
              </w:rPr>
              <w:t xml:space="preserve">dministrative requirements are </w:t>
            </w:r>
            <w:r>
              <w:rPr>
                <w:i/>
                <w:iCs/>
                <w:lang w:val="en-NZ"/>
              </w:rPr>
              <w:t xml:space="preserve">largely </w:t>
            </w:r>
            <w:r w:rsidR="00C83D46">
              <w:rPr>
                <w:i/>
                <w:iCs/>
                <w:lang w:val="en-NZ"/>
              </w:rPr>
              <w:t>already</w:t>
            </w:r>
            <w:r>
              <w:rPr>
                <w:i/>
                <w:iCs/>
                <w:lang w:val="en-NZ"/>
              </w:rPr>
              <w:t xml:space="preserve"> met by existing </w:t>
            </w:r>
            <w:r w:rsidR="00D34F8E">
              <w:rPr>
                <w:i/>
                <w:iCs/>
                <w:lang w:val="en-NZ"/>
              </w:rPr>
              <w:t xml:space="preserve">Inland Revenue </w:t>
            </w:r>
            <w:r>
              <w:rPr>
                <w:i/>
                <w:iCs/>
                <w:lang w:val="en-NZ"/>
              </w:rPr>
              <w:t>functions.</w:t>
            </w:r>
          </w:p>
        </w:tc>
        <w:tc>
          <w:tcPr>
            <w:tcW w:w="2509" w:type="dxa"/>
            <w:shd w:val="clear" w:color="auto" w:fill="auto"/>
            <w:vAlign w:val="center"/>
          </w:tcPr>
          <w:p w14:paraId="0F3ADC36" w14:textId="77777777" w:rsidR="003966A5" w:rsidRDefault="003966A5" w:rsidP="00373983">
            <w:pPr>
              <w:pStyle w:val="TableText"/>
              <w:spacing w:line="276" w:lineRule="auto"/>
              <w:jc w:val="center"/>
              <w:rPr>
                <w:rFonts w:cs="Arial"/>
                <w:b/>
                <w:color w:val="FF0000"/>
              </w:rPr>
            </w:pPr>
            <w:r w:rsidRPr="00A864A5">
              <w:rPr>
                <w:rFonts w:cs="Arial"/>
                <w:b/>
                <w:color w:val="FF0000"/>
              </w:rPr>
              <w:t>-</w:t>
            </w:r>
          </w:p>
          <w:p w14:paraId="601EBE6F" w14:textId="61FAAACF" w:rsidR="003966A5" w:rsidRPr="00A27E2A" w:rsidRDefault="003966A5" w:rsidP="00373983">
            <w:pPr>
              <w:pStyle w:val="TableText"/>
              <w:spacing w:line="276" w:lineRule="auto"/>
              <w:jc w:val="center"/>
              <w:rPr>
                <w:i/>
                <w:iCs/>
                <w:lang w:val="en-NZ"/>
              </w:rPr>
            </w:pPr>
            <w:r>
              <w:rPr>
                <w:i/>
                <w:iCs/>
                <w:lang w:val="en-NZ"/>
              </w:rPr>
              <w:t xml:space="preserve">Setting regulations will require high </w:t>
            </w:r>
            <w:r w:rsidR="00A63DD4">
              <w:rPr>
                <w:i/>
                <w:iCs/>
                <w:lang w:val="en-NZ"/>
              </w:rPr>
              <w:t xml:space="preserve">upfront </w:t>
            </w:r>
            <w:r>
              <w:rPr>
                <w:i/>
                <w:iCs/>
                <w:lang w:val="en-NZ"/>
              </w:rPr>
              <w:t>effort, but this cost will diminish over time.</w:t>
            </w:r>
          </w:p>
        </w:tc>
      </w:tr>
      <w:tr w:rsidR="003966A5" w:rsidRPr="00A864A5" w14:paraId="6D311F23" w14:textId="77777777" w:rsidTr="00157C5D">
        <w:trPr>
          <w:trHeight w:val="395"/>
        </w:trPr>
        <w:tc>
          <w:tcPr>
            <w:tcW w:w="1766" w:type="dxa"/>
            <w:shd w:val="clear" w:color="auto" w:fill="99CDDD"/>
            <w:vAlign w:val="center"/>
          </w:tcPr>
          <w:p w14:paraId="44FB9001" w14:textId="045C33C6" w:rsidR="003966A5" w:rsidRPr="00A864A5" w:rsidRDefault="0013190A" w:rsidP="003966A5">
            <w:pPr>
              <w:spacing w:before="60" w:after="60" w:line="240" w:lineRule="auto"/>
              <w:jc w:val="center"/>
              <w:rPr>
                <w:rFonts w:cs="Arial"/>
                <w:b/>
                <w:color w:val="000000"/>
                <w:szCs w:val="22"/>
                <w:lang w:val="en-NZ"/>
              </w:rPr>
            </w:pPr>
            <w:r>
              <w:rPr>
                <w:rFonts w:cs="Arial"/>
                <w:b/>
                <w:color w:val="000000"/>
                <w:szCs w:val="22"/>
                <w:lang w:val="en-NZ"/>
              </w:rPr>
              <w:t>Sustainability</w:t>
            </w:r>
          </w:p>
        </w:tc>
        <w:tc>
          <w:tcPr>
            <w:tcW w:w="1949" w:type="dxa"/>
            <w:shd w:val="clear" w:color="auto" w:fill="auto"/>
            <w:vAlign w:val="center"/>
          </w:tcPr>
          <w:p w14:paraId="01D042F2" w14:textId="68929563" w:rsidR="003966A5" w:rsidRPr="00A864A5" w:rsidRDefault="003966A5" w:rsidP="003966A5">
            <w:pPr>
              <w:pStyle w:val="TableText"/>
              <w:spacing w:line="276" w:lineRule="auto"/>
              <w:jc w:val="center"/>
              <w:rPr>
                <w:bCs/>
                <w:lang w:val="en-NZ"/>
              </w:rPr>
            </w:pPr>
            <w:r w:rsidRPr="00A864A5">
              <w:rPr>
                <w:bCs/>
                <w:lang w:val="en-NZ"/>
              </w:rPr>
              <w:t>0</w:t>
            </w:r>
          </w:p>
        </w:tc>
        <w:tc>
          <w:tcPr>
            <w:tcW w:w="2877" w:type="dxa"/>
            <w:shd w:val="clear" w:color="auto" w:fill="auto"/>
            <w:vAlign w:val="center"/>
          </w:tcPr>
          <w:p w14:paraId="3F58443E" w14:textId="11A04680" w:rsidR="003966A5" w:rsidRDefault="003966A5" w:rsidP="003966A5">
            <w:pPr>
              <w:pStyle w:val="TableText"/>
              <w:spacing w:line="276" w:lineRule="auto"/>
              <w:jc w:val="center"/>
              <w:rPr>
                <w:rFonts w:cs="Arial"/>
                <w:b/>
                <w:color w:val="00B050"/>
              </w:rPr>
            </w:pPr>
            <w:r w:rsidRPr="00A864A5">
              <w:rPr>
                <w:rFonts w:cs="Arial"/>
                <w:b/>
                <w:color w:val="00B050"/>
              </w:rPr>
              <w:t>+</w:t>
            </w:r>
          </w:p>
          <w:p w14:paraId="29B6B30F" w14:textId="54A679EC" w:rsidR="003966A5" w:rsidRPr="00A27E2A" w:rsidRDefault="000273E3" w:rsidP="003966A5">
            <w:pPr>
              <w:pStyle w:val="TableText"/>
              <w:spacing w:line="276" w:lineRule="auto"/>
              <w:jc w:val="center"/>
              <w:rPr>
                <w:i/>
                <w:iCs/>
                <w:lang w:val="en-NZ"/>
              </w:rPr>
            </w:pPr>
            <w:r w:rsidRPr="00A27E2A">
              <w:rPr>
                <w:i/>
                <w:iCs/>
                <w:lang w:val="en-NZ"/>
              </w:rPr>
              <w:t>A</w:t>
            </w:r>
            <w:r>
              <w:rPr>
                <w:i/>
                <w:iCs/>
                <w:lang w:val="en-NZ"/>
              </w:rPr>
              <w:t xml:space="preserve"> </w:t>
            </w:r>
            <w:r w:rsidRPr="00A27E2A">
              <w:rPr>
                <w:i/>
                <w:iCs/>
                <w:lang w:val="en-NZ"/>
              </w:rPr>
              <w:t xml:space="preserve">penalty regime </w:t>
            </w:r>
            <w:r w:rsidR="003966A5">
              <w:rPr>
                <w:i/>
                <w:iCs/>
                <w:lang w:val="en-NZ"/>
              </w:rPr>
              <w:t>will</w:t>
            </w:r>
            <w:r w:rsidR="003966A5" w:rsidRPr="00A27E2A">
              <w:rPr>
                <w:i/>
                <w:iCs/>
                <w:lang w:val="en-NZ"/>
              </w:rPr>
              <w:t xml:space="preserve"> discourage </w:t>
            </w:r>
            <w:r w:rsidR="003966A5">
              <w:rPr>
                <w:i/>
                <w:iCs/>
                <w:lang w:val="en-NZ"/>
              </w:rPr>
              <w:t xml:space="preserve">sale or purchase </w:t>
            </w:r>
            <w:r>
              <w:rPr>
                <w:i/>
                <w:iCs/>
                <w:lang w:val="en-NZ"/>
              </w:rPr>
              <w:t>(but some taxpayers may risk it)</w:t>
            </w:r>
            <w:r w:rsidR="003966A5" w:rsidRPr="00A27E2A">
              <w:rPr>
                <w:i/>
                <w:iCs/>
                <w:lang w:val="en-NZ"/>
              </w:rPr>
              <w:t>.</w:t>
            </w:r>
          </w:p>
        </w:tc>
        <w:tc>
          <w:tcPr>
            <w:tcW w:w="2509" w:type="dxa"/>
            <w:shd w:val="clear" w:color="auto" w:fill="auto"/>
            <w:vAlign w:val="center"/>
          </w:tcPr>
          <w:p w14:paraId="2F90B64D" w14:textId="30F0148F" w:rsidR="003966A5" w:rsidRDefault="003966A5" w:rsidP="003966A5">
            <w:pPr>
              <w:pStyle w:val="TableText"/>
              <w:spacing w:line="276" w:lineRule="auto"/>
              <w:jc w:val="center"/>
              <w:rPr>
                <w:rFonts w:cs="Arial"/>
                <w:b/>
                <w:color w:val="00B050"/>
              </w:rPr>
            </w:pPr>
            <w:r w:rsidRPr="00A864A5">
              <w:rPr>
                <w:rFonts w:cs="Arial"/>
                <w:b/>
                <w:color w:val="00B050"/>
              </w:rPr>
              <w:t>++</w:t>
            </w:r>
          </w:p>
          <w:p w14:paraId="5A684522" w14:textId="7B0501B8" w:rsidR="003966A5" w:rsidRPr="00A864A5" w:rsidRDefault="003966A5" w:rsidP="003966A5">
            <w:pPr>
              <w:pStyle w:val="TableText"/>
              <w:spacing w:line="276" w:lineRule="auto"/>
              <w:jc w:val="center"/>
              <w:rPr>
                <w:lang w:val="en-NZ"/>
              </w:rPr>
            </w:pPr>
            <w:r>
              <w:rPr>
                <w:i/>
                <w:iCs/>
                <w:lang w:val="en-NZ"/>
              </w:rPr>
              <w:t xml:space="preserve">Regulations will </w:t>
            </w:r>
            <w:r w:rsidR="00117DF0">
              <w:rPr>
                <w:i/>
                <w:iCs/>
                <w:lang w:val="en-NZ"/>
              </w:rPr>
              <w:t xml:space="preserve">greatly </w:t>
            </w:r>
            <w:r w:rsidR="00BE6B13">
              <w:rPr>
                <w:i/>
                <w:iCs/>
                <w:lang w:val="en-NZ"/>
              </w:rPr>
              <w:t>reduce</w:t>
            </w:r>
            <w:r>
              <w:rPr>
                <w:i/>
                <w:iCs/>
                <w:lang w:val="en-NZ"/>
              </w:rPr>
              <w:t xml:space="preserve"> utility of the software, </w:t>
            </w:r>
            <w:r w:rsidR="00BE6B13">
              <w:rPr>
                <w:i/>
                <w:iCs/>
                <w:lang w:val="en-NZ"/>
              </w:rPr>
              <w:t>discouraging</w:t>
            </w:r>
            <w:r>
              <w:rPr>
                <w:i/>
                <w:iCs/>
                <w:lang w:val="en-NZ"/>
              </w:rPr>
              <w:t xml:space="preserve"> uptake.</w:t>
            </w:r>
          </w:p>
        </w:tc>
      </w:tr>
      <w:tr w:rsidR="003966A5" w:rsidRPr="00A864A5" w14:paraId="1676B4C0" w14:textId="77777777" w:rsidTr="00157C5D">
        <w:trPr>
          <w:trHeight w:val="584"/>
        </w:trPr>
        <w:tc>
          <w:tcPr>
            <w:tcW w:w="1766" w:type="dxa"/>
            <w:shd w:val="clear" w:color="auto" w:fill="99CDDD"/>
            <w:vAlign w:val="center"/>
          </w:tcPr>
          <w:p w14:paraId="3888D8E2" w14:textId="77777777" w:rsidR="003966A5" w:rsidRPr="00A864A5" w:rsidRDefault="003966A5" w:rsidP="003966A5">
            <w:pPr>
              <w:spacing w:before="60" w:after="60" w:line="240" w:lineRule="auto"/>
              <w:jc w:val="center"/>
              <w:rPr>
                <w:rFonts w:cs="Arial"/>
                <w:b/>
                <w:color w:val="000000"/>
                <w:szCs w:val="22"/>
                <w:lang w:val="en-NZ"/>
              </w:rPr>
            </w:pPr>
            <w:r w:rsidRPr="00A864A5">
              <w:rPr>
                <w:rFonts w:cs="Arial"/>
                <w:b/>
                <w:color w:val="000000"/>
                <w:szCs w:val="22"/>
                <w:lang w:val="en-NZ"/>
              </w:rPr>
              <w:t>Overall assessment</w:t>
            </w:r>
          </w:p>
        </w:tc>
        <w:tc>
          <w:tcPr>
            <w:tcW w:w="1949" w:type="dxa"/>
            <w:shd w:val="clear" w:color="auto" w:fill="auto"/>
            <w:vAlign w:val="center"/>
          </w:tcPr>
          <w:p w14:paraId="74F53089" w14:textId="77777777" w:rsidR="003966A5" w:rsidRPr="00A864A5" w:rsidRDefault="003966A5" w:rsidP="003966A5">
            <w:pPr>
              <w:pStyle w:val="TableText"/>
              <w:spacing w:line="276" w:lineRule="auto"/>
              <w:jc w:val="center"/>
              <w:rPr>
                <w:lang w:val="en-NZ"/>
              </w:rPr>
            </w:pPr>
            <w:r w:rsidRPr="00A864A5">
              <w:rPr>
                <w:lang w:val="en-NZ"/>
              </w:rPr>
              <w:t>0</w:t>
            </w:r>
          </w:p>
        </w:tc>
        <w:tc>
          <w:tcPr>
            <w:tcW w:w="2877" w:type="dxa"/>
            <w:shd w:val="clear" w:color="auto" w:fill="auto"/>
            <w:vAlign w:val="center"/>
          </w:tcPr>
          <w:p w14:paraId="4A05228F" w14:textId="77777777" w:rsidR="003966A5" w:rsidRDefault="003966A5" w:rsidP="003966A5">
            <w:pPr>
              <w:pStyle w:val="TableText"/>
              <w:spacing w:line="276" w:lineRule="auto"/>
              <w:jc w:val="center"/>
              <w:rPr>
                <w:rFonts w:cs="Arial"/>
                <w:b/>
                <w:color w:val="00B050"/>
              </w:rPr>
            </w:pPr>
            <w:r w:rsidRPr="00A864A5">
              <w:rPr>
                <w:rFonts w:cs="Arial"/>
                <w:b/>
                <w:color w:val="00B050"/>
              </w:rPr>
              <w:t>++</w:t>
            </w:r>
          </w:p>
          <w:p w14:paraId="7D54012F" w14:textId="4B88A099" w:rsidR="0013190A" w:rsidRPr="003966A5" w:rsidRDefault="001F5C53" w:rsidP="003966A5">
            <w:pPr>
              <w:pStyle w:val="TableText"/>
              <w:spacing w:line="276" w:lineRule="auto"/>
              <w:jc w:val="center"/>
              <w:rPr>
                <w:rFonts w:cs="Arial"/>
                <w:b/>
                <w:color w:val="00B050"/>
              </w:rPr>
            </w:pPr>
            <w:r w:rsidRPr="00193ED9">
              <w:rPr>
                <w:i/>
                <w:iCs/>
                <w:lang w:val="en-NZ"/>
              </w:rPr>
              <w:t>This option is effective while having a low compliance/administrative cost.</w:t>
            </w:r>
          </w:p>
        </w:tc>
        <w:tc>
          <w:tcPr>
            <w:tcW w:w="2509" w:type="dxa"/>
            <w:shd w:val="clear" w:color="auto" w:fill="auto"/>
            <w:vAlign w:val="center"/>
          </w:tcPr>
          <w:p w14:paraId="7B63E12D" w14:textId="77777777" w:rsidR="003966A5" w:rsidRDefault="003966A5" w:rsidP="003966A5">
            <w:pPr>
              <w:pStyle w:val="TableText"/>
              <w:spacing w:line="276" w:lineRule="auto"/>
              <w:jc w:val="center"/>
              <w:rPr>
                <w:rFonts w:cs="Arial"/>
                <w:b/>
                <w:color w:val="00B050"/>
              </w:rPr>
            </w:pPr>
            <w:r w:rsidRPr="00A864A5">
              <w:rPr>
                <w:rFonts w:cs="Arial"/>
                <w:b/>
                <w:color w:val="00B050"/>
              </w:rPr>
              <w:t>+</w:t>
            </w:r>
          </w:p>
          <w:p w14:paraId="1ABE6D60" w14:textId="7514AF8E" w:rsidR="001F5C53" w:rsidRPr="00193ED9" w:rsidRDefault="001F5C53" w:rsidP="003966A5">
            <w:pPr>
              <w:pStyle w:val="TableText"/>
              <w:spacing w:line="276" w:lineRule="auto"/>
              <w:jc w:val="center"/>
              <w:rPr>
                <w:i/>
                <w:iCs/>
                <w:lang w:val="en-NZ"/>
              </w:rPr>
            </w:pPr>
            <w:r w:rsidRPr="00193ED9">
              <w:rPr>
                <w:rFonts w:cs="Arial"/>
                <w:i/>
                <w:iCs/>
              </w:rPr>
              <w:t xml:space="preserve">This option is likely to be extremely effective but comes </w:t>
            </w:r>
            <w:r w:rsidR="003811EF">
              <w:rPr>
                <w:rFonts w:cs="Arial"/>
                <w:i/>
                <w:iCs/>
              </w:rPr>
              <w:t>with</w:t>
            </w:r>
            <w:r w:rsidRPr="00193ED9">
              <w:rPr>
                <w:rFonts w:cs="Arial"/>
                <w:i/>
                <w:iCs/>
              </w:rPr>
              <w:t xml:space="preserve"> high costs.</w:t>
            </w:r>
          </w:p>
        </w:tc>
      </w:tr>
    </w:tbl>
    <w:p w14:paraId="1FEA8154" w14:textId="7AF451E5" w:rsidR="00D71CE0" w:rsidRPr="00A864A5" w:rsidRDefault="00D71CE0" w:rsidP="00D71CE0">
      <w:pPr>
        <w:pStyle w:val="spacer"/>
        <w:rPr>
          <w:sz w:val="8"/>
          <w:szCs w:val="14"/>
          <w:lang w:val="en-NZ"/>
        </w:rPr>
      </w:pPr>
    </w:p>
    <w:p w14:paraId="2A1335E5" w14:textId="466EDA4B" w:rsidR="003811EF" w:rsidRDefault="003811EF">
      <w:pPr>
        <w:spacing w:after="0" w:line="240" w:lineRule="auto"/>
        <w:rPr>
          <w:rFonts w:ascii="Arial Bold" w:hAnsi="Arial Bold"/>
          <w:b/>
          <w:noProof/>
          <w:color w:val="0082AB"/>
          <w:spacing w:val="20"/>
          <w:w w:val="90"/>
          <w:sz w:val="24"/>
          <w:szCs w:val="22"/>
          <w:lang w:val="en-NZ" w:eastAsia="en-NZ"/>
        </w:rPr>
      </w:pPr>
      <w:r w:rsidRPr="00A864A5">
        <w:rPr>
          <w:noProof/>
          <w:lang w:val="en-NZ" w:eastAsia="en-NZ"/>
        </w:rPr>
        <mc:AlternateContent>
          <mc:Choice Requires="wps">
            <w:drawing>
              <wp:anchor distT="45720" distB="45720" distL="114300" distR="114300" simplePos="0" relativeHeight="251659776" behindDoc="0" locked="0" layoutInCell="1" allowOverlap="1" wp14:anchorId="66D76EFA" wp14:editId="6711460A">
                <wp:simplePos x="0" y="0"/>
                <wp:positionH relativeFrom="margin">
                  <wp:posOffset>103505</wp:posOffset>
                </wp:positionH>
                <wp:positionV relativeFrom="paragraph">
                  <wp:posOffset>93980</wp:posOffset>
                </wp:positionV>
                <wp:extent cx="2905125" cy="1548130"/>
                <wp:effectExtent l="0" t="0" r="28575"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548130"/>
                        </a:xfrm>
                        <a:prstGeom prst="rect">
                          <a:avLst/>
                        </a:prstGeom>
                        <a:noFill/>
                        <a:ln w="9525">
                          <a:solidFill>
                            <a:srgbClr val="000000"/>
                          </a:solidFill>
                          <a:miter lim="800000"/>
                          <a:headEnd/>
                          <a:tailEnd/>
                        </a:ln>
                        <a:effectLst/>
                      </wps:spPr>
                      <wps:txbx>
                        <w:txbxContent>
                          <w:p w14:paraId="1CD50E0D" w14:textId="6D9A6402" w:rsidR="00470053" w:rsidRPr="00A864A5" w:rsidRDefault="00470053" w:rsidP="00846C56">
                            <w:pPr>
                              <w:spacing w:after="120" w:line="276" w:lineRule="auto"/>
                              <w:rPr>
                                <w:rFonts w:cs="Arial"/>
                                <w:b/>
                                <w:sz w:val="20"/>
                              </w:rPr>
                            </w:pPr>
                            <w:r>
                              <w:rPr>
                                <w:rFonts w:cs="Arial"/>
                                <w:b/>
                                <w:sz w:val="20"/>
                              </w:rPr>
                              <w:t>Key</w:t>
                            </w:r>
                            <w:r w:rsidRPr="00A864A5">
                              <w:rPr>
                                <w:rFonts w:cs="Arial"/>
                                <w:b/>
                                <w:sz w:val="20"/>
                              </w:rPr>
                              <w:t>:</w:t>
                            </w:r>
                          </w:p>
                          <w:p w14:paraId="3488C3D8" w14:textId="74CFC3C1" w:rsidR="00470053" w:rsidRPr="00A864A5" w:rsidRDefault="00470053" w:rsidP="00E5441F">
                            <w:pPr>
                              <w:spacing w:after="120" w:line="276" w:lineRule="auto"/>
                              <w:ind w:left="709" w:hanging="709"/>
                              <w:rPr>
                                <w:rFonts w:cs="Arial"/>
                                <w:sz w:val="20"/>
                              </w:rPr>
                            </w:pPr>
                            <w:r w:rsidRPr="00A864A5">
                              <w:rPr>
                                <w:rFonts w:cs="Arial"/>
                                <w:b/>
                                <w:color w:val="00B050"/>
                                <w:sz w:val="20"/>
                              </w:rPr>
                              <w:t>++</w:t>
                            </w:r>
                            <w:r w:rsidRPr="00A864A5">
                              <w:rPr>
                                <w:rFonts w:cs="Arial"/>
                                <w:sz w:val="20"/>
                              </w:rPr>
                              <w:tab/>
                              <w:t>much better than the counterfactual</w:t>
                            </w:r>
                          </w:p>
                          <w:p w14:paraId="7DCDF501" w14:textId="7CFB3588" w:rsidR="00470053" w:rsidRPr="00A864A5" w:rsidRDefault="00470053" w:rsidP="00E5441F">
                            <w:pPr>
                              <w:spacing w:after="120" w:line="276" w:lineRule="auto"/>
                              <w:ind w:left="709" w:hanging="709"/>
                              <w:rPr>
                                <w:rFonts w:cs="Arial"/>
                                <w:sz w:val="20"/>
                              </w:rPr>
                            </w:pPr>
                            <w:r w:rsidRPr="00A864A5">
                              <w:rPr>
                                <w:rFonts w:cs="Arial"/>
                                <w:b/>
                                <w:color w:val="00B050"/>
                                <w:sz w:val="20"/>
                              </w:rPr>
                              <w:t>+</w:t>
                            </w:r>
                            <w:r w:rsidRPr="00A864A5">
                              <w:rPr>
                                <w:rFonts w:cs="Arial"/>
                                <w:color w:val="00B050"/>
                                <w:sz w:val="20"/>
                              </w:rPr>
                              <w:tab/>
                            </w:r>
                            <w:r w:rsidRPr="00A864A5">
                              <w:rPr>
                                <w:rFonts w:cs="Arial"/>
                                <w:sz w:val="20"/>
                              </w:rPr>
                              <w:t>better than the</w:t>
                            </w:r>
                            <w:r>
                              <w:rPr>
                                <w:rFonts w:cs="Arial"/>
                                <w:sz w:val="20"/>
                              </w:rPr>
                              <w:t xml:space="preserve"> </w:t>
                            </w:r>
                            <w:r w:rsidRPr="00A864A5">
                              <w:rPr>
                                <w:rFonts w:cs="Arial"/>
                                <w:sz w:val="20"/>
                              </w:rPr>
                              <w:t>counterfactual</w:t>
                            </w:r>
                          </w:p>
                          <w:p w14:paraId="613D28C3" w14:textId="18E5640A" w:rsidR="00470053" w:rsidRPr="00A864A5" w:rsidRDefault="00470053" w:rsidP="00E5441F">
                            <w:pPr>
                              <w:spacing w:after="120" w:line="276" w:lineRule="auto"/>
                              <w:ind w:left="709" w:hanging="709"/>
                              <w:rPr>
                                <w:rFonts w:cs="Arial"/>
                                <w:sz w:val="20"/>
                              </w:rPr>
                            </w:pPr>
                            <w:r w:rsidRPr="00A864A5">
                              <w:rPr>
                                <w:rFonts w:cs="Arial"/>
                                <w:bCs/>
                                <w:sz w:val="20"/>
                              </w:rPr>
                              <w:t>0</w:t>
                            </w:r>
                            <w:r w:rsidRPr="00A864A5">
                              <w:rPr>
                                <w:rFonts w:cs="Arial"/>
                                <w:sz w:val="20"/>
                              </w:rPr>
                              <w:tab/>
                              <w:t>about the same as</w:t>
                            </w:r>
                            <w:r>
                              <w:rPr>
                                <w:rFonts w:cs="Arial"/>
                                <w:sz w:val="20"/>
                              </w:rPr>
                              <w:t xml:space="preserve"> </w:t>
                            </w:r>
                            <w:r w:rsidRPr="00A864A5">
                              <w:rPr>
                                <w:rFonts w:cs="Arial"/>
                                <w:sz w:val="20"/>
                              </w:rPr>
                              <w:t>the counterfactual</w:t>
                            </w:r>
                          </w:p>
                          <w:p w14:paraId="0251B55C" w14:textId="1DB2D717" w:rsidR="00470053" w:rsidRPr="00A864A5" w:rsidRDefault="00470053" w:rsidP="00E5441F">
                            <w:pPr>
                              <w:spacing w:after="120" w:line="276" w:lineRule="auto"/>
                              <w:ind w:left="709" w:hanging="709"/>
                              <w:rPr>
                                <w:rFonts w:cs="Arial"/>
                                <w:sz w:val="20"/>
                              </w:rPr>
                            </w:pPr>
                            <w:r w:rsidRPr="00A864A5">
                              <w:rPr>
                                <w:rFonts w:cs="Arial"/>
                                <w:b/>
                                <w:color w:val="FF0000"/>
                                <w:sz w:val="20"/>
                              </w:rPr>
                              <w:t>-</w:t>
                            </w:r>
                            <w:r w:rsidRPr="00A864A5">
                              <w:rPr>
                                <w:rFonts w:cs="Arial"/>
                                <w:sz w:val="20"/>
                              </w:rPr>
                              <w:tab/>
                              <w:t>worse than the counterfactual</w:t>
                            </w:r>
                          </w:p>
                          <w:p w14:paraId="13A728D9" w14:textId="70F0F0C3" w:rsidR="00470053" w:rsidRPr="0049467D" w:rsidRDefault="00470053" w:rsidP="00E5441F">
                            <w:pPr>
                              <w:spacing w:after="120" w:line="276" w:lineRule="auto"/>
                              <w:ind w:left="709" w:hanging="709"/>
                              <w:rPr>
                                <w:rFonts w:cs="Arial"/>
                                <w:sz w:val="20"/>
                              </w:rPr>
                            </w:pPr>
                            <w:r w:rsidRPr="00A864A5">
                              <w:rPr>
                                <w:rFonts w:cs="Arial"/>
                                <w:b/>
                                <w:color w:val="FF0000"/>
                                <w:sz w:val="20"/>
                              </w:rPr>
                              <w:t>- -</w:t>
                            </w:r>
                            <w:r w:rsidRPr="00A864A5">
                              <w:rPr>
                                <w:rFonts w:cs="Arial"/>
                                <w:sz w:val="20"/>
                              </w:rPr>
                              <w:tab/>
                              <w:t>much worse than the counterfactual</w:t>
                            </w:r>
                          </w:p>
                          <w:p w14:paraId="5C384372" w14:textId="77777777" w:rsidR="00470053" w:rsidRPr="00D90DE0" w:rsidRDefault="00470053" w:rsidP="00846C56">
                            <w:pPr>
                              <w:pStyle w:val="Bullet-list"/>
                              <w:numPr>
                                <w:ilvl w:val="0"/>
                                <w:numId w:val="0"/>
                              </w:numPr>
                              <w:spacing w:after="120"/>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D76EFA" id="_x0000_t202" coordsize="21600,21600" o:spt="202" path="m,l,21600r21600,l21600,xe">
                <v:stroke joinstyle="miter"/>
                <v:path gradientshapeok="t" o:connecttype="rect"/>
              </v:shapetype>
              <v:shape id="Text Box 2" o:spid="_x0000_s1026" type="#_x0000_t202" style="position:absolute;margin-left:8.15pt;margin-top:7.4pt;width:228.75pt;height:121.9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" filled="f">
                <v:textbox>
                  <w:txbxContent>
                    <w:p w14:paraId="1CD50E0D" w14:textId="6D9A6402" w:rsidR="00470053" w:rsidRPr="00A864A5" w:rsidRDefault="00470053" w:rsidP="00846C56">
                      <w:pPr>
                        <w:spacing w:after="120" w:line="276" w:lineRule="auto"/>
                        <w:rPr>
                          <w:rFonts w:cs="Arial"/>
                          <w:b/>
                          <w:sz w:val="20"/>
                        </w:rPr>
                      </w:pPr>
                      <w:r>
                        <w:rPr>
                          <w:rFonts w:cs="Arial"/>
                          <w:b/>
                          <w:sz w:val="20"/>
                        </w:rPr>
                        <w:t>Key</w:t>
                      </w:r>
                      <w:r w:rsidRPr="00A864A5">
                        <w:rPr>
                          <w:rFonts w:cs="Arial"/>
                          <w:b/>
                          <w:sz w:val="20"/>
                        </w:rPr>
                        <w:t>:</w:t>
                      </w:r>
                    </w:p>
                    <w:p w14:paraId="3488C3D8" w14:textId="74CFC3C1" w:rsidR="00470053" w:rsidRPr="00A864A5" w:rsidRDefault="00470053" w:rsidP="00E5441F">
                      <w:pPr>
                        <w:spacing w:after="120" w:line="276" w:lineRule="auto"/>
                        <w:ind w:left="709" w:hanging="709"/>
                        <w:rPr>
                          <w:rFonts w:cs="Arial"/>
                          <w:sz w:val="20"/>
                        </w:rPr>
                      </w:pPr>
                      <w:r w:rsidRPr="00A864A5">
                        <w:rPr>
                          <w:rFonts w:cs="Arial"/>
                          <w:b/>
                          <w:color w:val="00B050"/>
                          <w:sz w:val="20"/>
                        </w:rPr>
                        <w:t>++</w:t>
                      </w:r>
                      <w:r w:rsidRPr="00A864A5">
                        <w:rPr>
                          <w:rFonts w:cs="Arial"/>
                          <w:sz w:val="20"/>
                        </w:rPr>
                        <w:tab/>
                        <w:t>much better than the counterfactual</w:t>
                      </w:r>
                    </w:p>
                    <w:p w14:paraId="7DCDF501" w14:textId="7CFB3588" w:rsidR="00470053" w:rsidRPr="00A864A5" w:rsidRDefault="00470053" w:rsidP="00E5441F">
                      <w:pPr>
                        <w:spacing w:after="120" w:line="276" w:lineRule="auto"/>
                        <w:ind w:left="709" w:hanging="709"/>
                        <w:rPr>
                          <w:rFonts w:cs="Arial"/>
                          <w:sz w:val="20"/>
                        </w:rPr>
                      </w:pPr>
                      <w:r w:rsidRPr="00A864A5">
                        <w:rPr>
                          <w:rFonts w:cs="Arial"/>
                          <w:b/>
                          <w:color w:val="00B050"/>
                          <w:sz w:val="20"/>
                        </w:rPr>
                        <w:t>+</w:t>
                      </w:r>
                      <w:r w:rsidRPr="00A864A5">
                        <w:rPr>
                          <w:rFonts w:cs="Arial"/>
                          <w:color w:val="00B050"/>
                          <w:sz w:val="20"/>
                        </w:rPr>
                        <w:tab/>
                      </w:r>
                      <w:r w:rsidRPr="00A864A5">
                        <w:rPr>
                          <w:rFonts w:cs="Arial"/>
                          <w:sz w:val="20"/>
                        </w:rPr>
                        <w:t>better than the</w:t>
                      </w:r>
                      <w:r>
                        <w:rPr>
                          <w:rFonts w:cs="Arial"/>
                          <w:sz w:val="20"/>
                        </w:rPr>
                        <w:t xml:space="preserve"> </w:t>
                      </w:r>
                      <w:r w:rsidRPr="00A864A5">
                        <w:rPr>
                          <w:rFonts w:cs="Arial"/>
                          <w:sz w:val="20"/>
                        </w:rPr>
                        <w:t>counterfactual</w:t>
                      </w:r>
                    </w:p>
                    <w:p w14:paraId="613D28C3" w14:textId="18E5640A" w:rsidR="00470053" w:rsidRPr="00A864A5" w:rsidRDefault="00470053" w:rsidP="00E5441F">
                      <w:pPr>
                        <w:spacing w:after="120" w:line="276" w:lineRule="auto"/>
                        <w:ind w:left="709" w:hanging="709"/>
                        <w:rPr>
                          <w:rFonts w:cs="Arial"/>
                          <w:sz w:val="20"/>
                        </w:rPr>
                      </w:pPr>
                      <w:r w:rsidRPr="00A864A5">
                        <w:rPr>
                          <w:rFonts w:cs="Arial"/>
                          <w:bCs/>
                          <w:sz w:val="20"/>
                        </w:rPr>
                        <w:t>0</w:t>
                      </w:r>
                      <w:r w:rsidRPr="00A864A5">
                        <w:rPr>
                          <w:rFonts w:cs="Arial"/>
                          <w:sz w:val="20"/>
                        </w:rPr>
                        <w:tab/>
                        <w:t>about the same as</w:t>
                      </w:r>
                      <w:r>
                        <w:rPr>
                          <w:rFonts w:cs="Arial"/>
                          <w:sz w:val="20"/>
                        </w:rPr>
                        <w:t xml:space="preserve"> </w:t>
                      </w:r>
                      <w:r w:rsidRPr="00A864A5">
                        <w:rPr>
                          <w:rFonts w:cs="Arial"/>
                          <w:sz w:val="20"/>
                        </w:rPr>
                        <w:t>the counterfactual</w:t>
                      </w:r>
                    </w:p>
                    <w:p w14:paraId="0251B55C" w14:textId="1DB2D717" w:rsidR="00470053" w:rsidRPr="00A864A5" w:rsidRDefault="00470053" w:rsidP="00E5441F">
                      <w:pPr>
                        <w:spacing w:after="120" w:line="276" w:lineRule="auto"/>
                        <w:ind w:left="709" w:hanging="709"/>
                        <w:rPr>
                          <w:rFonts w:cs="Arial"/>
                          <w:sz w:val="20"/>
                        </w:rPr>
                      </w:pPr>
                      <w:r w:rsidRPr="00A864A5">
                        <w:rPr>
                          <w:rFonts w:cs="Arial"/>
                          <w:b/>
                          <w:color w:val="FF0000"/>
                          <w:sz w:val="20"/>
                        </w:rPr>
                        <w:t>-</w:t>
                      </w:r>
                      <w:r w:rsidRPr="00A864A5">
                        <w:rPr>
                          <w:rFonts w:cs="Arial"/>
                          <w:sz w:val="20"/>
                        </w:rPr>
                        <w:tab/>
                        <w:t>worse than the counterfactual</w:t>
                      </w:r>
                    </w:p>
                    <w:p w14:paraId="13A728D9" w14:textId="70F0F0C3" w:rsidR="00470053" w:rsidRPr="0049467D" w:rsidRDefault="00470053" w:rsidP="00E5441F">
                      <w:pPr>
                        <w:spacing w:after="120" w:line="276" w:lineRule="auto"/>
                        <w:ind w:left="709" w:hanging="709"/>
                        <w:rPr>
                          <w:rFonts w:cs="Arial"/>
                          <w:sz w:val="20"/>
                        </w:rPr>
                      </w:pPr>
                      <w:r w:rsidRPr="00A864A5">
                        <w:rPr>
                          <w:rFonts w:cs="Arial"/>
                          <w:b/>
                          <w:color w:val="FF0000"/>
                          <w:sz w:val="20"/>
                        </w:rPr>
                        <w:t>- -</w:t>
                      </w:r>
                      <w:r w:rsidRPr="00A864A5">
                        <w:rPr>
                          <w:rFonts w:cs="Arial"/>
                          <w:sz w:val="20"/>
                        </w:rPr>
                        <w:tab/>
                        <w:t>much worse than the counterfactual</w:t>
                      </w:r>
                    </w:p>
                    <w:p w14:paraId="5C384372" w14:textId="77777777" w:rsidR="00470053" w:rsidRPr="00D90DE0" w:rsidRDefault="00470053" w:rsidP="00846C56">
                      <w:pPr>
                        <w:pStyle w:val="Bullet-list"/>
                        <w:numPr>
                          <w:ilvl w:val="0"/>
                          <w:numId w:val="0"/>
                        </w:numPr>
                        <w:spacing w:after="120"/>
                        <w:rPr>
                          <w:i/>
                          <w:iCs/>
                        </w:rPr>
                      </w:pPr>
                    </w:p>
                  </w:txbxContent>
                </v:textbox>
                <w10:wrap type="square" anchorx="margin"/>
              </v:shape>
            </w:pict>
          </mc:Fallback>
        </mc:AlternateContent>
      </w:r>
      <w:r>
        <w:rPr>
          <w:noProof/>
          <w:lang w:val="en-NZ" w:eastAsia="en-NZ"/>
        </w:rPr>
        <w:br w:type="page"/>
      </w:r>
    </w:p>
    <w:p w14:paraId="156E57E7" w14:textId="00D7967F" w:rsidR="00D71CE0" w:rsidRPr="00A864A5" w:rsidRDefault="00DB51CD" w:rsidP="00846C56">
      <w:pPr>
        <w:pStyle w:val="Heading3"/>
        <w:rPr>
          <w:noProof/>
          <w:lang w:val="en-NZ" w:eastAsia="en-NZ"/>
        </w:rPr>
      </w:pPr>
      <w:r>
        <w:rPr>
          <w:noProof/>
          <w:lang w:val="en-NZ" w:eastAsia="en-NZ"/>
        </w:rPr>
        <w:t>What is your preferred option?</w:t>
      </w:r>
    </w:p>
    <w:p w14:paraId="08411B68" w14:textId="5945E243" w:rsidR="005F14E8" w:rsidRDefault="008F2B19" w:rsidP="00110945">
      <w:pPr>
        <w:pStyle w:val="ListParagraph"/>
        <w:numPr>
          <w:ilvl w:val="0"/>
          <w:numId w:val="24"/>
        </w:numPr>
        <w:ind w:hanging="720"/>
        <w:rPr>
          <w:lang w:val="en-NZ" w:eastAsia="en-NZ"/>
        </w:rPr>
      </w:pPr>
      <w:r w:rsidRPr="00B62DF6">
        <w:rPr>
          <w:lang w:val="en-NZ" w:eastAsia="en-NZ"/>
        </w:rPr>
        <w:t>Establishing an appropriate penalty regime</w:t>
      </w:r>
      <w:r w:rsidR="008D784D" w:rsidRPr="00B62DF6">
        <w:rPr>
          <w:lang w:val="en-NZ" w:eastAsia="en-NZ"/>
        </w:rPr>
        <w:t xml:space="preserve"> (Option Two)</w:t>
      </w:r>
      <w:r w:rsidRPr="00110945">
        <w:rPr>
          <w:lang w:val="en-NZ" w:eastAsia="en-NZ"/>
        </w:rPr>
        <w:t xml:space="preserve"> </w:t>
      </w:r>
      <w:r w:rsidR="005F14E8" w:rsidRPr="00210498">
        <w:rPr>
          <w:lang w:val="en-NZ" w:eastAsia="en-NZ"/>
        </w:rPr>
        <w:t>should deter</w:t>
      </w:r>
      <w:r w:rsidR="00B123CB" w:rsidRPr="00210498">
        <w:rPr>
          <w:lang w:val="en-NZ" w:eastAsia="en-NZ"/>
        </w:rPr>
        <w:t xml:space="preserve"> the spread and incidence of sales suppression software in the New Zealand tax base, as taxpayers who might otherwise have been inclined to </w:t>
      </w:r>
      <w:r w:rsidR="00D2726A" w:rsidRPr="00210498">
        <w:rPr>
          <w:lang w:val="en-NZ" w:eastAsia="en-NZ"/>
        </w:rPr>
        <w:t xml:space="preserve">use or sell the software </w:t>
      </w:r>
      <w:r w:rsidR="004F4BA4">
        <w:rPr>
          <w:lang w:val="en-NZ" w:eastAsia="en-NZ"/>
        </w:rPr>
        <w:t>would</w:t>
      </w:r>
      <w:r w:rsidR="004F4BA4" w:rsidRPr="00210498">
        <w:rPr>
          <w:lang w:val="en-NZ" w:eastAsia="en-NZ"/>
        </w:rPr>
        <w:t xml:space="preserve"> </w:t>
      </w:r>
      <w:r w:rsidR="00D2726A" w:rsidRPr="00210498">
        <w:rPr>
          <w:lang w:val="en-NZ" w:eastAsia="en-NZ"/>
        </w:rPr>
        <w:t xml:space="preserve">be discouraged by the penalty rates. </w:t>
      </w:r>
      <w:r w:rsidR="00017279" w:rsidRPr="00210498">
        <w:rPr>
          <w:lang w:val="en-NZ" w:eastAsia="en-NZ"/>
        </w:rPr>
        <w:t xml:space="preserve">It cannot be guaranteed that this will </w:t>
      </w:r>
      <w:r w:rsidR="002E72A0" w:rsidRPr="00210498">
        <w:rPr>
          <w:lang w:val="en-NZ" w:eastAsia="en-NZ"/>
        </w:rPr>
        <w:t xml:space="preserve">discourage all taxpayers; however, if it is sufficiently robust to discourage enough of them, the </w:t>
      </w:r>
      <w:r w:rsidR="00150958" w:rsidRPr="00210498">
        <w:rPr>
          <w:lang w:val="en-NZ" w:eastAsia="en-NZ"/>
        </w:rPr>
        <w:t xml:space="preserve">ability of </w:t>
      </w:r>
      <w:r w:rsidR="00CD3A43" w:rsidRPr="00210498">
        <w:rPr>
          <w:lang w:val="en-NZ" w:eastAsia="en-NZ"/>
        </w:rPr>
        <w:t xml:space="preserve">vendors of the software to penetrate the New Zealand market will be greatly curtailed and the software may never take sufficient foothold in the tax base to require </w:t>
      </w:r>
      <w:r w:rsidR="00276B93">
        <w:rPr>
          <w:lang w:val="en-NZ" w:eastAsia="en-NZ"/>
        </w:rPr>
        <w:t xml:space="preserve">more </w:t>
      </w:r>
      <w:r w:rsidR="00CD3A43" w:rsidRPr="00210498">
        <w:rPr>
          <w:lang w:val="en-NZ" w:eastAsia="en-NZ"/>
        </w:rPr>
        <w:t>substantial</w:t>
      </w:r>
      <w:r w:rsidR="00276B93">
        <w:rPr>
          <w:lang w:val="en-NZ" w:eastAsia="en-NZ"/>
        </w:rPr>
        <w:t xml:space="preserve"> (and perhaps more costly)</w:t>
      </w:r>
      <w:r w:rsidR="00CD3A43" w:rsidRPr="00210498">
        <w:rPr>
          <w:lang w:val="en-NZ" w:eastAsia="en-NZ"/>
        </w:rPr>
        <w:t xml:space="preserve"> action.</w:t>
      </w:r>
      <w:r w:rsidR="007C11F8" w:rsidRPr="00210498">
        <w:rPr>
          <w:lang w:val="en-NZ" w:eastAsia="en-NZ"/>
        </w:rPr>
        <w:t xml:space="preserve"> This option also has the benefit of having very low compliance costs for taxpayers who are meeting their obligations, as they do not have to change any aspect of their business or behaviour to continue to be compliant with the law.</w:t>
      </w:r>
      <w:r w:rsidR="000D53C3" w:rsidRPr="00210498">
        <w:rPr>
          <w:lang w:val="en-NZ" w:eastAsia="en-NZ"/>
        </w:rPr>
        <w:t xml:space="preserve"> </w:t>
      </w:r>
      <w:r w:rsidR="00DD3ABC" w:rsidRPr="00210498">
        <w:rPr>
          <w:lang w:val="en-NZ" w:eastAsia="en-NZ"/>
        </w:rPr>
        <w:t>It does impose some administrative costs</w:t>
      </w:r>
      <w:r w:rsidR="004D7DF8" w:rsidRPr="00210498">
        <w:rPr>
          <w:lang w:val="en-NZ" w:eastAsia="en-NZ"/>
        </w:rPr>
        <w:t>,</w:t>
      </w:r>
      <w:r w:rsidR="00DD3ABC" w:rsidRPr="00210498">
        <w:rPr>
          <w:lang w:val="en-NZ" w:eastAsia="en-NZ"/>
        </w:rPr>
        <w:t xml:space="preserve"> as Inland Revenue must </w:t>
      </w:r>
      <w:r w:rsidR="00FA4E22" w:rsidRPr="00210498">
        <w:rPr>
          <w:lang w:val="en-NZ" w:eastAsia="en-NZ"/>
        </w:rPr>
        <w:t xml:space="preserve">expend resources on auditing taxpayers and </w:t>
      </w:r>
      <w:r w:rsidR="00424732" w:rsidRPr="00210498">
        <w:rPr>
          <w:lang w:val="en-NZ" w:eastAsia="en-NZ"/>
        </w:rPr>
        <w:t xml:space="preserve">taking the non-compliant to court (which then ties up the </w:t>
      </w:r>
      <w:r w:rsidR="005F14E8" w:rsidRPr="00210498">
        <w:rPr>
          <w:lang w:val="en-NZ" w:eastAsia="en-NZ"/>
        </w:rPr>
        <w:t>C</w:t>
      </w:r>
      <w:r w:rsidR="00424732" w:rsidRPr="00210498">
        <w:rPr>
          <w:lang w:val="en-NZ" w:eastAsia="en-NZ"/>
        </w:rPr>
        <w:t xml:space="preserve">ourts’ resources). </w:t>
      </w:r>
    </w:p>
    <w:p w14:paraId="73BF84BB" w14:textId="77777777" w:rsidR="003811EF" w:rsidRPr="00B62DF6" w:rsidRDefault="003811EF" w:rsidP="00B62DF6">
      <w:pPr>
        <w:pStyle w:val="ListParagraph"/>
        <w:rPr>
          <w:lang w:val="en-NZ" w:eastAsia="en-NZ"/>
        </w:rPr>
      </w:pPr>
    </w:p>
    <w:p w14:paraId="11DB9DC9" w14:textId="50AA51EB" w:rsidR="00DD69E6" w:rsidRDefault="000375D6" w:rsidP="00DD69E6">
      <w:pPr>
        <w:pStyle w:val="ListParagraph"/>
        <w:numPr>
          <w:ilvl w:val="0"/>
          <w:numId w:val="24"/>
        </w:numPr>
        <w:ind w:hanging="720"/>
        <w:rPr>
          <w:lang w:val="en-NZ" w:eastAsia="en-NZ"/>
        </w:rPr>
      </w:pPr>
      <w:r>
        <w:rPr>
          <w:lang w:val="en-NZ" w:eastAsia="en-NZ"/>
        </w:rPr>
        <w:t xml:space="preserve">An effective regime of regulating the quality of EFTPOS </w:t>
      </w:r>
      <w:r w:rsidR="00E407AA">
        <w:rPr>
          <w:lang w:val="en-NZ" w:eastAsia="en-NZ"/>
        </w:rPr>
        <w:t>systems</w:t>
      </w:r>
      <w:r>
        <w:rPr>
          <w:lang w:val="en-NZ" w:eastAsia="en-NZ"/>
        </w:rPr>
        <w:t xml:space="preserve"> sold in New Zealand</w:t>
      </w:r>
      <w:r w:rsidR="008D784D">
        <w:rPr>
          <w:lang w:val="en-NZ" w:eastAsia="en-NZ"/>
        </w:rPr>
        <w:t xml:space="preserve"> (Option Three)</w:t>
      </w:r>
      <w:r>
        <w:rPr>
          <w:lang w:val="en-NZ" w:eastAsia="en-NZ"/>
        </w:rPr>
        <w:t xml:space="preserve"> </w:t>
      </w:r>
      <w:r w:rsidR="005F14E8">
        <w:rPr>
          <w:lang w:val="en-NZ" w:eastAsia="en-NZ"/>
        </w:rPr>
        <w:t xml:space="preserve">would </w:t>
      </w:r>
      <w:r>
        <w:rPr>
          <w:lang w:val="en-NZ" w:eastAsia="en-NZ"/>
        </w:rPr>
        <w:t xml:space="preserve">greatly reduce opportunities for non-compliance through sales suppression software. If the software </w:t>
      </w:r>
      <w:r w:rsidR="00114B31">
        <w:rPr>
          <w:lang w:val="en-NZ" w:eastAsia="en-NZ"/>
        </w:rPr>
        <w:t>cannot be used to suppress</w:t>
      </w:r>
      <w:r>
        <w:rPr>
          <w:lang w:val="en-NZ" w:eastAsia="en-NZ"/>
        </w:rPr>
        <w:t xml:space="preserve"> sales, </w:t>
      </w:r>
      <w:r w:rsidR="00B80B07">
        <w:rPr>
          <w:lang w:val="en-NZ" w:eastAsia="en-NZ"/>
        </w:rPr>
        <w:t>it becomes valueless</w:t>
      </w:r>
      <w:r w:rsidR="009E2E77">
        <w:rPr>
          <w:lang w:val="en-NZ" w:eastAsia="en-NZ"/>
        </w:rPr>
        <w:t xml:space="preserve"> to taxpayers, so </w:t>
      </w:r>
      <w:proofErr w:type="gramStart"/>
      <w:r w:rsidR="009E2E77">
        <w:rPr>
          <w:lang w:val="en-NZ" w:eastAsia="en-NZ"/>
        </w:rPr>
        <w:t>its</w:t>
      </w:r>
      <w:proofErr w:type="gramEnd"/>
      <w:r w:rsidR="009E2E77">
        <w:rPr>
          <w:lang w:val="en-NZ" w:eastAsia="en-NZ"/>
        </w:rPr>
        <w:t xml:space="preserve"> spread throughout the tax base is unlikely (but also not likely to cause much damage to the base</w:t>
      </w:r>
      <w:r w:rsidR="00944250">
        <w:rPr>
          <w:lang w:val="en-NZ" w:eastAsia="en-NZ"/>
        </w:rPr>
        <w:t xml:space="preserve"> if it does occur</w:t>
      </w:r>
      <w:r w:rsidR="009E2E77">
        <w:rPr>
          <w:lang w:val="en-NZ" w:eastAsia="en-NZ"/>
        </w:rPr>
        <w:t xml:space="preserve">). </w:t>
      </w:r>
      <w:r w:rsidR="008646D4">
        <w:rPr>
          <w:lang w:val="en-NZ" w:eastAsia="en-NZ"/>
        </w:rPr>
        <w:t xml:space="preserve">However, the major drawback of a regulatory regime is its significant compliance costs. </w:t>
      </w:r>
      <w:r w:rsidR="00E407AA">
        <w:rPr>
          <w:lang w:val="en-NZ" w:eastAsia="en-NZ"/>
        </w:rPr>
        <w:t>Requiring</w:t>
      </w:r>
      <w:r w:rsidR="00DA47DA">
        <w:rPr>
          <w:lang w:val="en-NZ" w:eastAsia="en-NZ"/>
        </w:rPr>
        <w:t xml:space="preserve"> all businesses using EFTPOS </w:t>
      </w:r>
      <w:r w:rsidR="00E407AA">
        <w:rPr>
          <w:lang w:val="en-NZ" w:eastAsia="en-NZ"/>
        </w:rPr>
        <w:t>systems</w:t>
      </w:r>
      <w:r w:rsidR="00DA47DA">
        <w:rPr>
          <w:lang w:val="en-NZ" w:eastAsia="en-NZ"/>
        </w:rPr>
        <w:t xml:space="preserve"> in New Zealand to upgrade or replace their </w:t>
      </w:r>
      <w:r w:rsidR="00E407AA">
        <w:rPr>
          <w:lang w:val="en-NZ" w:eastAsia="en-NZ"/>
        </w:rPr>
        <w:t>systems</w:t>
      </w:r>
      <w:r w:rsidR="00DA47DA">
        <w:rPr>
          <w:lang w:val="en-NZ" w:eastAsia="en-NZ"/>
        </w:rPr>
        <w:t xml:space="preserve"> </w:t>
      </w:r>
      <w:r w:rsidR="00E407AA">
        <w:rPr>
          <w:lang w:val="en-NZ" w:eastAsia="en-NZ"/>
        </w:rPr>
        <w:t>would</w:t>
      </w:r>
      <w:r w:rsidR="00B14DA5">
        <w:rPr>
          <w:lang w:val="en-NZ" w:eastAsia="en-NZ"/>
        </w:rPr>
        <w:t xml:space="preserve"> </w:t>
      </w:r>
      <w:r w:rsidR="00AC01F1">
        <w:rPr>
          <w:lang w:val="en-NZ" w:eastAsia="en-NZ"/>
        </w:rPr>
        <w:t>be imposing a major compliance burden</w:t>
      </w:r>
      <w:r w:rsidR="00B14DA5">
        <w:rPr>
          <w:lang w:val="en-NZ" w:eastAsia="en-NZ"/>
        </w:rPr>
        <w:t xml:space="preserve"> to resolve a problem that is </w:t>
      </w:r>
      <w:r w:rsidR="00E407AA">
        <w:rPr>
          <w:lang w:val="en-NZ" w:eastAsia="en-NZ"/>
        </w:rPr>
        <w:t xml:space="preserve">not currently widespread </w:t>
      </w:r>
      <w:r w:rsidR="003B349A">
        <w:rPr>
          <w:lang w:val="en-NZ" w:eastAsia="en-NZ"/>
        </w:rPr>
        <w:t>(as far as we know).</w:t>
      </w:r>
      <w:r w:rsidR="007419E2">
        <w:rPr>
          <w:lang w:val="en-NZ" w:eastAsia="en-NZ"/>
        </w:rPr>
        <w:t xml:space="preserve"> Compliance costs are also placed on the vendors of EFTPOS systems, who would </w:t>
      </w:r>
      <w:r w:rsidR="00DD69E6">
        <w:rPr>
          <w:lang w:val="en-NZ" w:eastAsia="en-NZ"/>
        </w:rPr>
        <w:t>need to ensure their products are meeting the standard.</w:t>
      </w:r>
      <w:r w:rsidR="00AC01F1">
        <w:rPr>
          <w:lang w:val="en-NZ" w:eastAsia="en-NZ"/>
        </w:rPr>
        <w:t xml:space="preserve"> </w:t>
      </w:r>
      <w:r w:rsidR="00F80513">
        <w:rPr>
          <w:lang w:val="en-NZ" w:eastAsia="en-NZ"/>
        </w:rPr>
        <w:t>Option Three</w:t>
      </w:r>
      <w:r w:rsidR="00AC01F1">
        <w:rPr>
          <w:lang w:val="en-NZ" w:eastAsia="en-NZ"/>
        </w:rPr>
        <w:t xml:space="preserve"> also requires a major investment to establish a sensible regulatory framework</w:t>
      </w:r>
      <w:r w:rsidR="007419E2">
        <w:rPr>
          <w:lang w:val="en-NZ" w:eastAsia="en-NZ"/>
        </w:rPr>
        <w:t>, as well as ongoing costs to make sure the regulations stay up to date.</w:t>
      </w:r>
    </w:p>
    <w:p w14:paraId="4F70FC53" w14:textId="77777777" w:rsidR="003811EF" w:rsidRDefault="003811EF" w:rsidP="00157C5D">
      <w:pPr>
        <w:pStyle w:val="ListParagraph"/>
        <w:rPr>
          <w:lang w:val="en-NZ" w:eastAsia="en-NZ"/>
        </w:rPr>
      </w:pPr>
    </w:p>
    <w:p w14:paraId="32BF683B" w14:textId="1ECEA3DB" w:rsidR="00FC1A81" w:rsidRDefault="000517AE" w:rsidP="00DD69E6">
      <w:pPr>
        <w:pStyle w:val="ListParagraph"/>
        <w:numPr>
          <w:ilvl w:val="0"/>
          <w:numId w:val="24"/>
        </w:numPr>
        <w:ind w:hanging="720"/>
        <w:rPr>
          <w:lang w:val="en-NZ" w:eastAsia="en-NZ"/>
        </w:rPr>
      </w:pPr>
      <w:r>
        <w:rPr>
          <w:lang w:val="en-NZ" w:eastAsia="en-NZ"/>
        </w:rPr>
        <w:t xml:space="preserve">Officials </w:t>
      </w:r>
      <w:r w:rsidR="004D7DF8">
        <w:rPr>
          <w:lang w:val="en-NZ" w:eastAsia="en-NZ"/>
        </w:rPr>
        <w:t>prefer</w:t>
      </w:r>
      <w:r w:rsidR="008D784D">
        <w:rPr>
          <w:lang w:val="en-NZ" w:eastAsia="en-NZ"/>
        </w:rPr>
        <w:t xml:space="preserve"> Option Two. </w:t>
      </w:r>
      <w:r w:rsidR="003A045A">
        <w:rPr>
          <w:lang w:val="en-NZ" w:eastAsia="en-NZ"/>
        </w:rPr>
        <w:t xml:space="preserve">A penalty regime targeted at specific offenders is a more appropriate response to the current scale of the problem than a regulatory response that affects the entire tax </w:t>
      </w:r>
      <w:r w:rsidR="00EB4E51">
        <w:rPr>
          <w:lang w:val="en-NZ" w:eastAsia="en-NZ"/>
        </w:rPr>
        <w:t>base</w:t>
      </w:r>
      <w:r w:rsidR="008A4E88">
        <w:rPr>
          <w:lang w:val="en-NZ" w:eastAsia="en-NZ"/>
        </w:rPr>
        <w:t>. I</w:t>
      </w:r>
      <w:r w:rsidR="00F80513">
        <w:rPr>
          <w:lang w:val="en-NZ" w:eastAsia="en-NZ"/>
        </w:rPr>
        <w:t>t is in</w:t>
      </w:r>
      <w:r w:rsidR="003811EF">
        <w:rPr>
          <w:lang w:val="en-NZ" w:eastAsia="en-NZ"/>
        </w:rPr>
        <w:t>efficient</w:t>
      </w:r>
      <w:r w:rsidR="00F80513">
        <w:rPr>
          <w:lang w:val="en-NZ" w:eastAsia="en-NZ"/>
        </w:rPr>
        <w:t xml:space="preserve"> to impose burdens on </w:t>
      </w:r>
      <w:r w:rsidR="00EB4E51">
        <w:rPr>
          <w:lang w:val="en-NZ" w:eastAsia="en-NZ"/>
        </w:rPr>
        <w:t>all users</w:t>
      </w:r>
      <w:r w:rsidR="00925B22">
        <w:rPr>
          <w:lang w:val="en-NZ" w:eastAsia="en-NZ"/>
        </w:rPr>
        <w:t xml:space="preserve"> of EFTPOS systems</w:t>
      </w:r>
      <w:r w:rsidR="008A4E88">
        <w:rPr>
          <w:lang w:val="en-NZ" w:eastAsia="en-NZ"/>
        </w:rPr>
        <w:t xml:space="preserve"> </w:t>
      </w:r>
      <w:r w:rsidR="00925B22">
        <w:rPr>
          <w:lang w:val="en-NZ" w:eastAsia="en-NZ"/>
        </w:rPr>
        <w:t>to resolve an issue wh</w:t>
      </w:r>
      <w:r w:rsidR="00F4506C">
        <w:rPr>
          <w:lang w:val="en-NZ" w:eastAsia="en-NZ"/>
        </w:rPr>
        <w:t xml:space="preserve">ere there is no evidence </w:t>
      </w:r>
      <w:r w:rsidR="004D7DF8">
        <w:rPr>
          <w:lang w:val="en-NZ" w:eastAsia="en-NZ"/>
        </w:rPr>
        <w:t xml:space="preserve">at this time </w:t>
      </w:r>
      <w:r w:rsidR="00F4506C">
        <w:rPr>
          <w:lang w:val="en-NZ" w:eastAsia="en-NZ"/>
        </w:rPr>
        <w:t xml:space="preserve">suggesting the issue is </w:t>
      </w:r>
      <w:r w:rsidR="00626E8A">
        <w:rPr>
          <w:lang w:val="en-NZ" w:eastAsia="en-NZ"/>
        </w:rPr>
        <w:t>widespread in New Zealand</w:t>
      </w:r>
      <w:r w:rsidR="00FD6D26">
        <w:rPr>
          <w:lang w:val="en-NZ" w:eastAsia="en-NZ"/>
        </w:rPr>
        <w:t>.</w:t>
      </w:r>
      <w:r w:rsidR="0080077C">
        <w:rPr>
          <w:lang w:val="en-NZ" w:eastAsia="en-NZ"/>
        </w:rPr>
        <w:t xml:space="preserve"> </w:t>
      </w:r>
      <w:r w:rsidR="008A4E88">
        <w:rPr>
          <w:lang w:val="en-NZ" w:eastAsia="en-NZ"/>
        </w:rPr>
        <w:t>An approach that targets noncompliant taxpayers directly is likely to be more efficient and have smaller economic costs than an approach that targets all users of EFTPOS systems.</w:t>
      </w:r>
    </w:p>
    <w:p w14:paraId="740E6364" w14:textId="77777777" w:rsidR="00FC1A81" w:rsidRPr="00B62DF6" w:rsidRDefault="00FC1A81" w:rsidP="00DD5E6A">
      <w:pPr>
        <w:pStyle w:val="ListParagraph"/>
        <w:rPr>
          <w:lang w:val="en-NZ" w:eastAsia="en-NZ"/>
        </w:rPr>
      </w:pPr>
    </w:p>
    <w:p w14:paraId="1C2A66CC" w14:textId="77777777" w:rsidR="001904CE" w:rsidRDefault="001904CE">
      <w:pPr>
        <w:spacing w:after="0" w:line="240" w:lineRule="auto"/>
        <w:rPr>
          <w:lang w:val="en-NZ" w:eastAsia="en-NZ"/>
        </w:rPr>
      </w:pPr>
      <w:r>
        <w:rPr>
          <w:lang w:val="en-NZ" w:eastAsia="en-NZ"/>
        </w:rPr>
        <w:br w:type="page"/>
      </w:r>
    </w:p>
    <w:p w14:paraId="33E9C511" w14:textId="1A5DD112" w:rsidR="00771B6E" w:rsidRPr="00D7095E" w:rsidRDefault="00FC1A81" w:rsidP="00DD5E6A">
      <w:pPr>
        <w:pStyle w:val="ListParagraph"/>
        <w:numPr>
          <w:ilvl w:val="0"/>
          <w:numId w:val="24"/>
        </w:numPr>
        <w:ind w:hanging="720"/>
        <w:rPr>
          <w:lang w:val="en-NZ" w:eastAsia="en-NZ"/>
        </w:rPr>
      </w:pPr>
      <w:r>
        <w:rPr>
          <w:lang w:val="en-NZ" w:eastAsia="en-NZ"/>
        </w:rPr>
        <w:t>Stakeholders</w:t>
      </w:r>
      <w:r w:rsidR="00E56B27">
        <w:rPr>
          <w:lang w:val="en-NZ" w:eastAsia="en-NZ"/>
        </w:rPr>
        <w:t xml:space="preserve"> </w:t>
      </w:r>
      <w:r w:rsidR="00DD5E6A">
        <w:rPr>
          <w:lang w:val="en-NZ" w:eastAsia="en-NZ"/>
        </w:rPr>
        <w:t>were generally supportive of</w:t>
      </w:r>
      <w:r w:rsidR="00E56B27">
        <w:rPr>
          <w:lang w:val="en-NZ" w:eastAsia="en-NZ"/>
        </w:rPr>
        <w:t xml:space="preserve"> Option Two as an approach to deal with the issue</w:t>
      </w:r>
      <w:r w:rsidR="00F872B6">
        <w:rPr>
          <w:lang w:val="en-NZ" w:eastAsia="en-NZ"/>
        </w:rPr>
        <w:t>.</w:t>
      </w:r>
      <w:r w:rsidR="00E56B27">
        <w:rPr>
          <w:lang w:val="en-NZ" w:eastAsia="en-NZ"/>
        </w:rPr>
        <w:t xml:space="preserve"> They have not expressed significant support for Option Three, although we have not discussed Option Three in depth with them. </w:t>
      </w:r>
      <w:r w:rsidR="00771B6E">
        <w:rPr>
          <w:lang w:val="en-NZ" w:eastAsia="en-NZ"/>
        </w:rPr>
        <w:t>Certain</w:t>
      </w:r>
      <w:r w:rsidR="00E56B27">
        <w:rPr>
          <w:lang w:val="en-NZ" w:eastAsia="en-NZ"/>
        </w:rPr>
        <w:t xml:space="preserve"> stakeholders </w:t>
      </w:r>
      <w:r w:rsidR="003B6D49">
        <w:rPr>
          <w:lang w:val="en-NZ" w:eastAsia="en-NZ"/>
        </w:rPr>
        <w:t>raised the following concerns:</w:t>
      </w:r>
    </w:p>
    <w:p w14:paraId="00A5F611" w14:textId="77777777" w:rsidR="00DD5E6A" w:rsidRDefault="00DD5E6A" w:rsidP="00DD5E6A">
      <w:pPr>
        <w:pStyle w:val="ListParagraph"/>
        <w:numPr>
          <w:ilvl w:val="1"/>
          <w:numId w:val="24"/>
        </w:numPr>
        <w:rPr>
          <w:lang w:val="en-NZ"/>
        </w:rPr>
      </w:pPr>
      <w:r>
        <w:rPr>
          <w:lang w:val="en-NZ"/>
        </w:rPr>
        <w:t>Some stakeholders were concerned that instituting a penalty for possession in addition to the existing evasion penalty might lead to a double jeopardy situation in which taxpayers are effectively being charged twice for the same offence.</w:t>
      </w:r>
    </w:p>
    <w:p w14:paraId="79DDA06C" w14:textId="77777777" w:rsidR="00DD5E6A" w:rsidRDefault="00DD5E6A" w:rsidP="00DD5E6A">
      <w:pPr>
        <w:pStyle w:val="ListParagraph"/>
        <w:numPr>
          <w:ilvl w:val="1"/>
          <w:numId w:val="24"/>
        </w:numPr>
        <w:rPr>
          <w:lang w:val="en-NZ"/>
        </w:rPr>
      </w:pPr>
      <w:r>
        <w:rPr>
          <w:lang w:val="en-NZ"/>
        </w:rPr>
        <w:t xml:space="preserve">Other stakeholders cautioned against making the proposed offences </w:t>
      </w:r>
      <w:proofErr w:type="spellStart"/>
      <w:r>
        <w:rPr>
          <w:lang w:val="en-NZ"/>
        </w:rPr>
        <w:t>offences</w:t>
      </w:r>
      <w:proofErr w:type="spellEnd"/>
      <w:r>
        <w:rPr>
          <w:lang w:val="en-NZ"/>
        </w:rPr>
        <w:t xml:space="preserve"> of strict liability, as Australia has done, and suggested that a requirement of criminal intent be added to the offence definitions.</w:t>
      </w:r>
    </w:p>
    <w:p w14:paraId="46603C8E" w14:textId="77777777" w:rsidR="00DD5E6A" w:rsidRDefault="00DD5E6A" w:rsidP="00DD5E6A">
      <w:pPr>
        <w:pStyle w:val="ListParagraph"/>
        <w:rPr>
          <w:lang w:val="en-NZ" w:eastAsia="en-NZ"/>
        </w:rPr>
      </w:pPr>
    </w:p>
    <w:p w14:paraId="74FFF98F" w14:textId="77777777" w:rsidR="00DD5E6A" w:rsidRPr="00686693" w:rsidRDefault="00DD5E6A" w:rsidP="00DD5E6A">
      <w:pPr>
        <w:pStyle w:val="ListParagraph"/>
        <w:numPr>
          <w:ilvl w:val="0"/>
          <w:numId w:val="24"/>
        </w:numPr>
        <w:ind w:hanging="720"/>
        <w:rPr>
          <w:lang w:val="en-NZ" w:eastAsia="en-NZ"/>
        </w:rPr>
        <w:sectPr w:rsidR="00DD5E6A" w:rsidRPr="00686693" w:rsidSect="00157C5D">
          <w:type w:val="continuous"/>
          <w:pgSz w:w="11906" w:h="16838" w:code="9"/>
          <w:pgMar w:top="1134" w:right="1418" w:bottom="992" w:left="1418" w:header="709" w:footer="709" w:gutter="0"/>
          <w:cols w:space="708"/>
          <w:docGrid w:linePitch="360"/>
        </w:sectPr>
      </w:pPr>
      <w:r w:rsidRPr="00686693">
        <w:rPr>
          <w:lang w:val="en-NZ" w:eastAsia="en-NZ"/>
        </w:rPr>
        <w:t>Officials will take these comments into consideration when developing the legislation and accompanying Commentary on the Bill giving effect to the preferred option</w:t>
      </w:r>
      <w:r>
        <w:rPr>
          <w:lang w:val="en-NZ" w:eastAsia="en-NZ"/>
        </w:rPr>
        <w:t>.</w:t>
      </w:r>
    </w:p>
    <w:p w14:paraId="58ACFE9B" w14:textId="5E6ABEE1" w:rsidR="00097119" w:rsidRDefault="00DB51CD" w:rsidP="00570E3F">
      <w:pPr>
        <w:pStyle w:val="Heading3"/>
        <w:rPr>
          <w:lang w:val="en-NZ"/>
        </w:rPr>
      </w:pPr>
      <w:bookmarkStart w:id="9" w:name="_Hlk53565460"/>
      <w:r>
        <w:rPr>
          <w:noProof/>
          <w:lang w:val="en-NZ" w:eastAsia="en-NZ"/>
        </w:rPr>
        <w:t>What are</w:t>
      </w:r>
      <w:r w:rsidR="004625C9" w:rsidRPr="00A864A5">
        <w:rPr>
          <w:lang w:val="en-NZ"/>
        </w:rPr>
        <w:t xml:space="preserve"> the </w:t>
      </w:r>
      <w:r w:rsidR="00F01ED1" w:rsidRPr="00A864A5">
        <w:rPr>
          <w:lang w:val="en-NZ"/>
        </w:rPr>
        <w:t>costs and benefits</w:t>
      </w:r>
      <w:r w:rsidR="004625C9" w:rsidRPr="00A864A5">
        <w:rPr>
          <w:lang w:val="en-NZ"/>
        </w:rPr>
        <w:t xml:space="preserve"> of your preferred option</w:t>
      </w:r>
      <w:r>
        <w:rPr>
          <w:lang w:val="en-NZ"/>
        </w:rPr>
        <w:t>?</w:t>
      </w:r>
    </w:p>
    <w:tbl>
      <w:tblPr>
        <w:tblpPr w:leftFromText="180" w:rightFromText="180" w:vertAnchor="text" w:horzAnchor="margin" w:tblpY="124"/>
        <w:tblOverlap w:val="never"/>
        <w:tblW w:w="9493"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2830"/>
        <w:gridCol w:w="2410"/>
        <w:gridCol w:w="2410"/>
        <w:gridCol w:w="1843"/>
      </w:tblGrid>
      <w:tr w:rsidR="00136700" w:rsidRPr="00A864A5" w14:paraId="5EA92CE7" w14:textId="77777777" w:rsidTr="0026139D">
        <w:trPr>
          <w:trHeight w:val="762"/>
        </w:trPr>
        <w:tc>
          <w:tcPr>
            <w:tcW w:w="2830" w:type="dxa"/>
            <w:shd w:val="clear" w:color="auto" w:fill="99CDDD"/>
          </w:tcPr>
          <w:p w14:paraId="74B32D65" w14:textId="134FF54A" w:rsidR="009D0B82" w:rsidRPr="00A864A5" w:rsidRDefault="009D0B82" w:rsidP="009D0B82">
            <w:pPr>
              <w:pStyle w:val="TableText"/>
              <w:keepNext/>
              <w:rPr>
                <w:rFonts w:eastAsia="Calibri"/>
                <w:color w:val="000000"/>
                <w:sz w:val="22"/>
                <w:lang w:val="en-NZ"/>
              </w:rPr>
            </w:pPr>
            <w:r w:rsidRPr="00A864A5">
              <w:rPr>
                <w:rFonts w:eastAsia="Calibri"/>
                <w:b/>
                <w:color w:val="000000"/>
                <w:sz w:val="22"/>
                <w:lang w:val="en-NZ"/>
              </w:rPr>
              <w:t>Affected groups</w:t>
            </w:r>
          </w:p>
        </w:tc>
        <w:tc>
          <w:tcPr>
            <w:tcW w:w="2410" w:type="dxa"/>
            <w:shd w:val="clear" w:color="auto" w:fill="99CDDD"/>
          </w:tcPr>
          <w:p w14:paraId="18E17B4C" w14:textId="0D865927" w:rsidR="009D0B82" w:rsidRPr="00A864A5" w:rsidRDefault="009D0B82" w:rsidP="009D0B82">
            <w:pPr>
              <w:pStyle w:val="TableText"/>
              <w:keepNext/>
              <w:rPr>
                <w:rFonts w:eastAsia="Calibri"/>
                <w:color w:val="000000"/>
                <w:sz w:val="22"/>
                <w:lang w:val="en-NZ"/>
              </w:rPr>
            </w:pPr>
            <w:r w:rsidRPr="00A864A5">
              <w:rPr>
                <w:rFonts w:eastAsia="Calibri"/>
                <w:b/>
                <w:color w:val="000000"/>
                <w:sz w:val="22"/>
                <w:lang w:val="en-NZ"/>
              </w:rPr>
              <w:t>Comment</w:t>
            </w:r>
            <w:r w:rsidR="00136700">
              <w:rPr>
                <w:rFonts w:eastAsia="Calibri"/>
                <w:color w:val="000000"/>
                <w:sz w:val="22"/>
                <w:lang w:val="en-NZ"/>
              </w:rPr>
              <w:br/>
            </w:r>
          </w:p>
        </w:tc>
        <w:tc>
          <w:tcPr>
            <w:tcW w:w="2410" w:type="dxa"/>
            <w:shd w:val="clear" w:color="auto" w:fill="99CDDD"/>
          </w:tcPr>
          <w:p w14:paraId="4E01756B" w14:textId="3A5CB672" w:rsidR="009D0B82" w:rsidRPr="00136700" w:rsidRDefault="009D0B82" w:rsidP="009D0B82">
            <w:pPr>
              <w:pStyle w:val="TableText"/>
              <w:keepNext/>
              <w:rPr>
                <w:rFonts w:eastAsia="Calibri"/>
                <w:b/>
                <w:color w:val="000000"/>
                <w:sz w:val="22"/>
                <w:lang w:val="en-NZ"/>
              </w:rPr>
            </w:pPr>
            <w:r w:rsidRPr="00A864A5">
              <w:rPr>
                <w:rFonts w:eastAsia="Calibri"/>
                <w:b/>
                <w:color w:val="000000"/>
                <w:sz w:val="22"/>
                <w:lang w:val="en-NZ"/>
              </w:rPr>
              <w:t>Impact</w:t>
            </w:r>
            <w:r w:rsidR="00136700">
              <w:rPr>
                <w:rFonts w:eastAsia="Calibri"/>
                <w:b/>
                <w:color w:val="000000"/>
                <w:sz w:val="22"/>
                <w:lang w:val="en-NZ"/>
              </w:rPr>
              <w:br/>
            </w:r>
          </w:p>
        </w:tc>
        <w:tc>
          <w:tcPr>
            <w:tcW w:w="1843" w:type="dxa"/>
            <w:shd w:val="clear" w:color="auto" w:fill="99CDDD"/>
          </w:tcPr>
          <w:p w14:paraId="29027758" w14:textId="0E5DA9B6" w:rsidR="009D0B82" w:rsidRPr="00136700" w:rsidRDefault="009D0B82" w:rsidP="009D0B82">
            <w:pPr>
              <w:pStyle w:val="TableText"/>
              <w:keepNext/>
              <w:rPr>
                <w:rFonts w:eastAsia="Calibri"/>
                <w:bCs/>
                <w:i/>
                <w:iCs/>
                <w:color w:val="000000"/>
                <w:szCs w:val="20"/>
                <w:lang w:val="en-NZ"/>
              </w:rPr>
            </w:pPr>
            <w:r>
              <w:rPr>
                <w:rFonts w:eastAsia="Calibri"/>
                <w:b/>
                <w:color w:val="000000"/>
                <w:sz w:val="22"/>
                <w:lang w:val="en-NZ"/>
              </w:rPr>
              <w:t>Evidence Certainty</w:t>
            </w:r>
          </w:p>
        </w:tc>
      </w:tr>
      <w:tr w:rsidR="00136700" w:rsidRPr="00A864A5" w14:paraId="3BC25AF6" w14:textId="77777777" w:rsidTr="00792525">
        <w:trPr>
          <w:trHeight w:val="391"/>
        </w:trPr>
        <w:tc>
          <w:tcPr>
            <w:tcW w:w="9493" w:type="dxa"/>
            <w:gridSpan w:val="4"/>
            <w:shd w:val="clear" w:color="auto" w:fill="99CDDD"/>
            <w:vAlign w:val="center"/>
          </w:tcPr>
          <w:p w14:paraId="183B7348" w14:textId="74D1CAE5" w:rsidR="00136700" w:rsidRDefault="00136700" w:rsidP="00792525">
            <w:pPr>
              <w:keepNext/>
              <w:spacing w:before="40" w:after="20" w:line="240" w:lineRule="auto"/>
              <w:jc w:val="center"/>
              <w:rPr>
                <w:rFonts w:eastAsia="Calibri"/>
                <w:b/>
                <w:bCs/>
                <w:color w:val="000000"/>
                <w:szCs w:val="22"/>
                <w:lang w:val="en-NZ"/>
              </w:rPr>
            </w:pPr>
            <w:r>
              <w:rPr>
                <w:rFonts w:eastAsia="Calibri"/>
                <w:b/>
                <w:bCs/>
                <w:color w:val="000000"/>
                <w:szCs w:val="22"/>
                <w:lang w:val="en-NZ"/>
              </w:rPr>
              <w:t>Additional c</w:t>
            </w:r>
            <w:r w:rsidRPr="00A864A5">
              <w:rPr>
                <w:rFonts w:eastAsia="Calibri"/>
                <w:b/>
                <w:bCs/>
                <w:color w:val="000000"/>
                <w:szCs w:val="22"/>
                <w:lang w:val="en-NZ"/>
              </w:rPr>
              <w:t xml:space="preserve">osts of the preferred option compared to </w:t>
            </w:r>
            <w:r>
              <w:rPr>
                <w:rFonts w:eastAsia="Calibri"/>
                <w:b/>
                <w:bCs/>
                <w:color w:val="000000"/>
                <w:szCs w:val="22"/>
                <w:lang w:val="en-NZ"/>
              </w:rPr>
              <w:t>taking no action</w:t>
            </w:r>
          </w:p>
        </w:tc>
      </w:tr>
      <w:tr w:rsidR="00136700" w:rsidRPr="00A864A5" w14:paraId="69C818D7" w14:textId="77777777" w:rsidTr="0026139D">
        <w:trPr>
          <w:trHeight w:val="380"/>
        </w:trPr>
        <w:tc>
          <w:tcPr>
            <w:tcW w:w="2830" w:type="dxa"/>
            <w:shd w:val="clear" w:color="auto" w:fill="auto"/>
          </w:tcPr>
          <w:p w14:paraId="2A2865FC" w14:textId="6EDA1E9F" w:rsidR="009D0B82" w:rsidRPr="00A864A5" w:rsidRDefault="009D0B82" w:rsidP="009D0B82">
            <w:pPr>
              <w:pStyle w:val="TableText"/>
              <w:keepNext/>
              <w:rPr>
                <w:rFonts w:eastAsia="Calibri"/>
                <w:sz w:val="22"/>
                <w:lang w:val="en-NZ"/>
              </w:rPr>
            </w:pPr>
            <w:r w:rsidRPr="00A864A5">
              <w:rPr>
                <w:rFonts w:eastAsia="Calibri"/>
                <w:sz w:val="22"/>
                <w:lang w:val="en-NZ"/>
              </w:rPr>
              <w:t>Regulated groups</w:t>
            </w:r>
            <w:r w:rsidR="00F2363D">
              <w:rPr>
                <w:rFonts w:eastAsia="Calibri"/>
                <w:sz w:val="22"/>
                <w:lang w:val="en-NZ"/>
              </w:rPr>
              <w:t xml:space="preserve"> (taxpayers </w:t>
            </w:r>
            <w:r w:rsidR="00407C81">
              <w:rPr>
                <w:rFonts w:eastAsia="Calibri"/>
                <w:sz w:val="22"/>
                <w:lang w:val="en-NZ"/>
              </w:rPr>
              <w:t xml:space="preserve">who would otherwise </w:t>
            </w:r>
            <w:r w:rsidR="00F2363D">
              <w:rPr>
                <w:rFonts w:eastAsia="Calibri"/>
                <w:sz w:val="22"/>
                <w:lang w:val="en-NZ"/>
              </w:rPr>
              <w:t>us</w:t>
            </w:r>
            <w:r w:rsidR="00407C81">
              <w:rPr>
                <w:rFonts w:eastAsia="Calibri"/>
                <w:sz w:val="22"/>
                <w:lang w:val="en-NZ"/>
              </w:rPr>
              <w:t>e</w:t>
            </w:r>
            <w:r w:rsidR="00F2363D">
              <w:rPr>
                <w:rFonts w:eastAsia="Calibri"/>
                <w:sz w:val="22"/>
                <w:lang w:val="en-NZ"/>
              </w:rPr>
              <w:t xml:space="preserve"> sales suppression software)</w:t>
            </w:r>
          </w:p>
        </w:tc>
        <w:tc>
          <w:tcPr>
            <w:tcW w:w="2410" w:type="dxa"/>
            <w:shd w:val="clear" w:color="auto" w:fill="auto"/>
          </w:tcPr>
          <w:p w14:paraId="2533CAA5" w14:textId="5B57FA24" w:rsidR="009D0B82" w:rsidRDefault="00A25101" w:rsidP="009D0B82">
            <w:pPr>
              <w:pStyle w:val="TableText"/>
              <w:keepNext/>
              <w:rPr>
                <w:rFonts w:eastAsia="Calibri"/>
                <w:sz w:val="22"/>
                <w:lang w:val="en-NZ"/>
              </w:rPr>
            </w:pPr>
            <w:r>
              <w:rPr>
                <w:rFonts w:eastAsia="Calibri"/>
                <w:sz w:val="22"/>
                <w:lang w:val="en-NZ"/>
              </w:rPr>
              <w:t>Ongoing cost</w:t>
            </w:r>
            <w:r w:rsidR="00194919">
              <w:rPr>
                <w:rFonts w:eastAsia="Calibri"/>
                <w:sz w:val="22"/>
                <w:lang w:val="en-NZ"/>
              </w:rPr>
              <w:t xml:space="preserve"> of not being able to use software to suppress sales (therefore higher </w:t>
            </w:r>
            <w:r>
              <w:rPr>
                <w:rFonts w:eastAsia="Calibri"/>
                <w:sz w:val="22"/>
                <w:lang w:val="en-NZ"/>
              </w:rPr>
              <w:t>tax to pay)</w:t>
            </w:r>
          </w:p>
          <w:p w14:paraId="6ADD4D7C" w14:textId="5C640298" w:rsidR="00A25101" w:rsidRPr="00A864A5" w:rsidRDefault="00A25101" w:rsidP="009D0B82">
            <w:pPr>
              <w:pStyle w:val="TableText"/>
              <w:keepNext/>
              <w:rPr>
                <w:rFonts w:eastAsia="Calibri"/>
                <w:sz w:val="22"/>
                <w:lang w:val="en-NZ"/>
              </w:rPr>
            </w:pPr>
            <w:r>
              <w:rPr>
                <w:rFonts w:eastAsia="Calibri"/>
                <w:sz w:val="22"/>
                <w:lang w:val="en-NZ"/>
              </w:rPr>
              <w:t>One-off cost of paying penalties if caught</w:t>
            </w:r>
          </w:p>
        </w:tc>
        <w:tc>
          <w:tcPr>
            <w:tcW w:w="2410" w:type="dxa"/>
            <w:shd w:val="clear" w:color="auto" w:fill="auto"/>
          </w:tcPr>
          <w:p w14:paraId="46F27F30" w14:textId="458341D5" w:rsidR="009D0B82" w:rsidRPr="00A864A5" w:rsidRDefault="00BA6839" w:rsidP="009D0B82">
            <w:pPr>
              <w:pStyle w:val="TableText"/>
              <w:keepNext/>
              <w:rPr>
                <w:rFonts w:eastAsia="Calibri"/>
                <w:sz w:val="22"/>
                <w:lang w:val="en-NZ"/>
              </w:rPr>
            </w:pPr>
            <w:r>
              <w:rPr>
                <w:rFonts w:eastAsia="Calibri"/>
                <w:sz w:val="22"/>
                <w:lang w:val="en-NZ"/>
              </w:rPr>
              <w:t>High</w:t>
            </w:r>
          </w:p>
        </w:tc>
        <w:tc>
          <w:tcPr>
            <w:tcW w:w="1843" w:type="dxa"/>
          </w:tcPr>
          <w:p w14:paraId="60063911" w14:textId="3736BAF7" w:rsidR="009D0B82" w:rsidRPr="00A864A5" w:rsidRDefault="0013009E" w:rsidP="009D0B82">
            <w:pPr>
              <w:pStyle w:val="TableText"/>
              <w:keepNext/>
              <w:rPr>
                <w:rFonts w:eastAsia="Calibri"/>
                <w:sz w:val="22"/>
                <w:lang w:val="en-NZ"/>
              </w:rPr>
            </w:pPr>
            <w:r>
              <w:rPr>
                <w:rFonts w:eastAsia="Calibri"/>
                <w:sz w:val="22"/>
                <w:lang w:val="en-NZ"/>
              </w:rPr>
              <w:t>Medium</w:t>
            </w:r>
          </w:p>
        </w:tc>
      </w:tr>
      <w:tr w:rsidR="00136700" w:rsidRPr="00A864A5" w14:paraId="6C96536B" w14:textId="77777777" w:rsidTr="0026139D">
        <w:trPr>
          <w:trHeight w:val="380"/>
        </w:trPr>
        <w:tc>
          <w:tcPr>
            <w:tcW w:w="2830" w:type="dxa"/>
            <w:shd w:val="clear" w:color="auto" w:fill="auto"/>
          </w:tcPr>
          <w:p w14:paraId="3C6DDDE0" w14:textId="37CCE385" w:rsidR="009D0B82" w:rsidRPr="00A864A5" w:rsidRDefault="009D0B82" w:rsidP="009D0B82">
            <w:pPr>
              <w:pStyle w:val="TableText"/>
              <w:keepNext/>
              <w:rPr>
                <w:rFonts w:eastAsia="Calibri"/>
                <w:sz w:val="22"/>
                <w:lang w:val="en-NZ"/>
              </w:rPr>
            </w:pPr>
            <w:r w:rsidRPr="00A864A5">
              <w:rPr>
                <w:rFonts w:eastAsia="Calibri"/>
                <w:sz w:val="22"/>
                <w:lang w:val="en-NZ"/>
              </w:rPr>
              <w:t>Regulators</w:t>
            </w:r>
            <w:r w:rsidR="00BA6839">
              <w:rPr>
                <w:rFonts w:eastAsia="Calibri"/>
                <w:sz w:val="22"/>
                <w:lang w:val="en-NZ"/>
              </w:rPr>
              <w:t xml:space="preserve"> (Inland Revenue)</w:t>
            </w:r>
          </w:p>
        </w:tc>
        <w:tc>
          <w:tcPr>
            <w:tcW w:w="2410" w:type="dxa"/>
            <w:shd w:val="clear" w:color="auto" w:fill="auto"/>
          </w:tcPr>
          <w:p w14:paraId="5DE5B82F" w14:textId="5985B321" w:rsidR="009D0B82" w:rsidRPr="00A864A5" w:rsidRDefault="001A38FE" w:rsidP="009D0B82">
            <w:pPr>
              <w:pStyle w:val="TableText"/>
              <w:keepNext/>
              <w:rPr>
                <w:rFonts w:eastAsia="Calibri"/>
                <w:sz w:val="22"/>
                <w:lang w:val="en-NZ"/>
              </w:rPr>
            </w:pPr>
            <w:r>
              <w:rPr>
                <w:rFonts w:eastAsia="Calibri"/>
                <w:sz w:val="22"/>
                <w:lang w:val="en-NZ"/>
              </w:rPr>
              <w:t>Ongoing cost of auditing and prosec</w:t>
            </w:r>
            <w:r w:rsidR="00194919">
              <w:rPr>
                <w:rFonts w:eastAsia="Calibri"/>
                <w:sz w:val="22"/>
                <w:lang w:val="en-NZ"/>
              </w:rPr>
              <w:t>u</w:t>
            </w:r>
            <w:r>
              <w:rPr>
                <w:rFonts w:eastAsia="Calibri"/>
                <w:sz w:val="22"/>
                <w:lang w:val="en-NZ"/>
              </w:rPr>
              <w:t>tion</w:t>
            </w:r>
          </w:p>
        </w:tc>
        <w:tc>
          <w:tcPr>
            <w:tcW w:w="2410" w:type="dxa"/>
            <w:shd w:val="clear" w:color="auto" w:fill="auto"/>
          </w:tcPr>
          <w:p w14:paraId="50D7CCCC" w14:textId="0E40B95F" w:rsidR="009D0B82" w:rsidRPr="00A864A5" w:rsidRDefault="00194919" w:rsidP="009D0B82">
            <w:pPr>
              <w:pStyle w:val="TableText"/>
              <w:keepNext/>
              <w:rPr>
                <w:rFonts w:eastAsia="Calibri"/>
                <w:sz w:val="22"/>
                <w:lang w:val="en-NZ"/>
              </w:rPr>
            </w:pPr>
            <w:r>
              <w:rPr>
                <w:rFonts w:eastAsia="Calibri"/>
                <w:sz w:val="22"/>
                <w:lang w:val="en-NZ"/>
              </w:rPr>
              <w:t>Low</w:t>
            </w:r>
          </w:p>
        </w:tc>
        <w:tc>
          <w:tcPr>
            <w:tcW w:w="1843" w:type="dxa"/>
          </w:tcPr>
          <w:p w14:paraId="01D89344" w14:textId="0C2F80B3" w:rsidR="009D0B82" w:rsidRPr="00A864A5" w:rsidRDefault="0013009E" w:rsidP="009D0B82">
            <w:pPr>
              <w:pStyle w:val="TableText"/>
              <w:keepNext/>
              <w:rPr>
                <w:rFonts w:eastAsia="Calibri"/>
                <w:sz w:val="22"/>
                <w:lang w:val="en-NZ"/>
              </w:rPr>
            </w:pPr>
            <w:r>
              <w:rPr>
                <w:rFonts w:eastAsia="Calibri"/>
                <w:sz w:val="22"/>
                <w:lang w:val="en-NZ"/>
              </w:rPr>
              <w:t>High</w:t>
            </w:r>
          </w:p>
        </w:tc>
      </w:tr>
      <w:tr w:rsidR="00136700" w:rsidRPr="00A864A5" w14:paraId="1EC05492" w14:textId="77777777" w:rsidTr="0026139D">
        <w:trPr>
          <w:trHeight w:val="263"/>
        </w:trPr>
        <w:tc>
          <w:tcPr>
            <w:tcW w:w="2830" w:type="dxa"/>
            <w:shd w:val="clear" w:color="auto" w:fill="auto"/>
          </w:tcPr>
          <w:p w14:paraId="5E0B2728" w14:textId="30E41098" w:rsidR="009D0B82" w:rsidRPr="00A864A5" w:rsidRDefault="00EB0784" w:rsidP="009D0B82">
            <w:pPr>
              <w:pStyle w:val="TableText"/>
              <w:keepNext/>
              <w:rPr>
                <w:rFonts w:eastAsia="Calibri" w:cs="Arial"/>
                <w:color w:val="000000"/>
                <w:sz w:val="22"/>
                <w:lang w:val="en-NZ"/>
              </w:rPr>
            </w:pPr>
            <w:r>
              <w:rPr>
                <w:rFonts w:eastAsia="Calibri"/>
                <w:color w:val="000000"/>
                <w:sz w:val="22"/>
                <w:lang w:val="en-NZ"/>
              </w:rPr>
              <w:t>Taxpayers not using sales suppression software</w:t>
            </w:r>
          </w:p>
        </w:tc>
        <w:tc>
          <w:tcPr>
            <w:tcW w:w="2410" w:type="dxa"/>
            <w:shd w:val="clear" w:color="auto" w:fill="auto"/>
          </w:tcPr>
          <w:p w14:paraId="6CEA210A" w14:textId="1B6AF51E" w:rsidR="009D0B82" w:rsidRPr="00A864A5" w:rsidRDefault="00B60F5B" w:rsidP="009D0B82">
            <w:pPr>
              <w:pStyle w:val="TableText"/>
              <w:keepNext/>
              <w:rPr>
                <w:rFonts w:eastAsia="Calibri"/>
                <w:sz w:val="22"/>
                <w:lang w:val="en-NZ"/>
              </w:rPr>
            </w:pPr>
            <w:r>
              <w:rPr>
                <w:rFonts w:eastAsia="Calibri"/>
                <w:sz w:val="22"/>
                <w:lang w:val="en-NZ"/>
              </w:rPr>
              <w:t>No costs</w:t>
            </w:r>
          </w:p>
        </w:tc>
        <w:tc>
          <w:tcPr>
            <w:tcW w:w="2410" w:type="dxa"/>
            <w:shd w:val="clear" w:color="auto" w:fill="auto"/>
          </w:tcPr>
          <w:p w14:paraId="6D0271F8" w14:textId="08384E5C" w:rsidR="009D0B82" w:rsidRPr="00A864A5" w:rsidRDefault="00B60F5B" w:rsidP="009D0B82">
            <w:pPr>
              <w:pStyle w:val="TableText"/>
              <w:keepNext/>
              <w:rPr>
                <w:rFonts w:eastAsia="Calibri"/>
                <w:sz w:val="22"/>
                <w:lang w:val="en-NZ"/>
              </w:rPr>
            </w:pPr>
            <w:r>
              <w:rPr>
                <w:rFonts w:eastAsia="Calibri"/>
                <w:sz w:val="22"/>
                <w:lang w:val="en-NZ"/>
              </w:rPr>
              <w:t>None</w:t>
            </w:r>
          </w:p>
        </w:tc>
        <w:tc>
          <w:tcPr>
            <w:tcW w:w="1843" w:type="dxa"/>
          </w:tcPr>
          <w:p w14:paraId="11DB2252" w14:textId="3BF12F5D" w:rsidR="009D0B82" w:rsidRPr="00A864A5" w:rsidRDefault="00B60F5B" w:rsidP="009D0B82">
            <w:pPr>
              <w:pStyle w:val="TableText"/>
              <w:keepNext/>
              <w:rPr>
                <w:rFonts w:eastAsia="Calibri"/>
                <w:sz w:val="22"/>
                <w:lang w:val="en-NZ"/>
              </w:rPr>
            </w:pPr>
            <w:r>
              <w:rPr>
                <w:rFonts w:eastAsia="Calibri"/>
                <w:sz w:val="22"/>
                <w:lang w:val="en-NZ"/>
              </w:rPr>
              <w:t>High</w:t>
            </w:r>
          </w:p>
        </w:tc>
      </w:tr>
      <w:tr w:rsidR="00EB0784" w:rsidRPr="00A864A5" w14:paraId="5CAB82B7" w14:textId="77777777" w:rsidTr="0026139D">
        <w:trPr>
          <w:trHeight w:val="263"/>
        </w:trPr>
        <w:tc>
          <w:tcPr>
            <w:tcW w:w="2830" w:type="dxa"/>
            <w:shd w:val="clear" w:color="auto" w:fill="auto"/>
          </w:tcPr>
          <w:p w14:paraId="28B7EEA2" w14:textId="7F45710C" w:rsidR="00EB0784" w:rsidRPr="00A864A5" w:rsidRDefault="00EB0784" w:rsidP="009D0B82">
            <w:pPr>
              <w:pStyle w:val="TableText"/>
              <w:keepNext/>
              <w:rPr>
                <w:rFonts w:eastAsia="Calibri"/>
                <w:color w:val="000000"/>
                <w:sz w:val="22"/>
                <w:lang w:val="en-NZ"/>
              </w:rPr>
            </w:pPr>
            <w:r>
              <w:rPr>
                <w:rFonts w:eastAsia="Calibri"/>
                <w:color w:val="000000"/>
                <w:sz w:val="22"/>
                <w:lang w:val="en-NZ"/>
              </w:rPr>
              <w:t>Wider government</w:t>
            </w:r>
          </w:p>
        </w:tc>
        <w:tc>
          <w:tcPr>
            <w:tcW w:w="2410" w:type="dxa"/>
            <w:shd w:val="clear" w:color="auto" w:fill="auto"/>
          </w:tcPr>
          <w:p w14:paraId="334A725A" w14:textId="1E40D748" w:rsidR="00EB0784" w:rsidRPr="00A864A5" w:rsidRDefault="005F6A3B" w:rsidP="009D0B82">
            <w:pPr>
              <w:pStyle w:val="TableText"/>
              <w:keepNext/>
              <w:rPr>
                <w:rFonts w:eastAsia="Calibri"/>
                <w:sz w:val="22"/>
                <w:lang w:val="en-NZ"/>
              </w:rPr>
            </w:pPr>
            <w:r>
              <w:rPr>
                <w:rFonts w:eastAsia="Calibri"/>
                <w:sz w:val="22"/>
                <w:lang w:val="en-NZ"/>
              </w:rPr>
              <w:t xml:space="preserve">Ongoing cost of courts’ time </w:t>
            </w:r>
            <w:r w:rsidR="00B60F5B">
              <w:rPr>
                <w:rFonts w:eastAsia="Calibri"/>
                <w:sz w:val="22"/>
                <w:lang w:val="en-NZ"/>
              </w:rPr>
              <w:t>in trying offenders</w:t>
            </w:r>
          </w:p>
        </w:tc>
        <w:tc>
          <w:tcPr>
            <w:tcW w:w="2410" w:type="dxa"/>
            <w:shd w:val="clear" w:color="auto" w:fill="auto"/>
          </w:tcPr>
          <w:p w14:paraId="4A11B4B2" w14:textId="6B3B53E8" w:rsidR="00EB0784" w:rsidRPr="00A864A5" w:rsidRDefault="00B60F5B" w:rsidP="009D0B82">
            <w:pPr>
              <w:pStyle w:val="TableText"/>
              <w:keepNext/>
              <w:rPr>
                <w:rFonts w:eastAsia="Calibri"/>
                <w:sz w:val="22"/>
                <w:lang w:val="en-NZ"/>
              </w:rPr>
            </w:pPr>
            <w:r>
              <w:rPr>
                <w:rFonts w:eastAsia="Calibri"/>
                <w:sz w:val="22"/>
                <w:lang w:val="en-NZ"/>
              </w:rPr>
              <w:t>Low</w:t>
            </w:r>
          </w:p>
        </w:tc>
        <w:tc>
          <w:tcPr>
            <w:tcW w:w="1843" w:type="dxa"/>
          </w:tcPr>
          <w:p w14:paraId="244DEDE0" w14:textId="0BC74DD9" w:rsidR="00EB0784" w:rsidRPr="00A864A5" w:rsidRDefault="00B60F5B" w:rsidP="009D0B82">
            <w:pPr>
              <w:pStyle w:val="TableText"/>
              <w:keepNext/>
              <w:rPr>
                <w:rFonts w:eastAsia="Calibri"/>
                <w:sz w:val="22"/>
                <w:lang w:val="en-NZ"/>
              </w:rPr>
            </w:pPr>
            <w:r>
              <w:rPr>
                <w:rFonts w:eastAsia="Calibri"/>
                <w:sz w:val="22"/>
                <w:lang w:val="en-NZ"/>
              </w:rPr>
              <w:t>High</w:t>
            </w:r>
          </w:p>
        </w:tc>
      </w:tr>
      <w:tr w:rsidR="00136700" w:rsidRPr="00A864A5" w14:paraId="7B594653" w14:textId="77777777" w:rsidTr="0026139D">
        <w:trPr>
          <w:trHeight w:val="263"/>
        </w:trPr>
        <w:tc>
          <w:tcPr>
            <w:tcW w:w="2830" w:type="dxa"/>
            <w:shd w:val="clear" w:color="auto" w:fill="auto"/>
          </w:tcPr>
          <w:p w14:paraId="53792208" w14:textId="77777777" w:rsidR="009D0B82" w:rsidRPr="00A864A5" w:rsidRDefault="009D0B82" w:rsidP="009D0B82">
            <w:pPr>
              <w:pStyle w:val="TableText"/>
              <w:keepNext/>
              <w:rPr>
                <w:rFonts w:eastAsia="Calibri"/>
                <w:b/>
                <w:sz w:val="22"/>
                <w:lang w:val="en-NZ"/>
              </w:rPr>
            </w:pPr>
            <w:r w:rsidRPr="00A864A5">
              <w:rPr>
                <w:rFonts w:eastAsia="Calibri"/>
                <w:b/>
                <w:sz w:val="22"/>
                <w:lang w:val="en-NZ"/>
              </w:rPr>
              <w:t>Total monetised costs</w:t>
            </w:r>
          </w:p>
        </w:tc>
        <w:tc>
          <w:tcPr>
            <w:tcW w:w="2410" w:type="dxa"/>
            <w:shd w:val="clear" w:color="auto" w:fill="auto"/>
          </w:tcPr>
          <w:p w14:paraId="691B6133" w14:textId="77777777" w:rsidR="009D0B82" w:rsidRPr="00A864A5" w:rsidRDefault="009D0B82" w:rsidP="009D0B82">
            <w:pPr>
              <w:pStyle w:val="TableText"/>
              <w:keepNext/>
              <w:rPr>
                <w:rFonts w:eastAsia="Calibri"/>
                <w:i/>
                <w:sz w:val="22"/>
                <w:lang w:val="en-NZ"/>
              </w:rPr>
            </w:pPr>
          </w:p>
        </w:tc>
        <w:tc>
          <w:tcPr>
            <w:tcW w:w="2410" w:type="dxa"/>
            <w:shd w:val="clear" w:color="auto" w:fill="auto"/>
          </w:tcPr>
          <w:p w14:paraId="5A6CC8A1" w14:textId="37D9A479" w:rsidR="009D0B82" w:rsidRPr="00A864A5" w:rsidRDefault="0065552A" w:rsidP="009D0B82">
            <w:pPr>
              <w:pStyle w:val="TableText"/>
              <w:keepNext/>
              <w:rPr>
                <w:rFonts w:eastAsia="Calibri"/>
                <w:sz w:val="22"/>
                <w:lang w:val="en-NZ"/>
              </w:rPr>
            </w:pPr>
            <w:r>
              <w:rPr>
                <w:rFonts w:eastAsia="Calibri"/>
                <w:sz w:val="22"/>
                <w:lang w:val="en-NZ"/>
              </w:rPr>
              <w:t>-</w:t>
            </w:r>
          </w:p>
        </w:tc>
        <w:tc>
          <w:tcPr>
            <w:tcW w:w="1843" w:type="dxa"/>
          </w:tcPr>
          <w:p w14:paraId="1A599FEF" w14:textId="77777777" w:rsidR="009D0B82" w:rsidRPr="00A864A5" w:rsidRDefault="009D0B82" w:rsidP="009D0B82">
            <w:pPr>
              <w:pStyle w:val="TableText"/>
              <w:keepNext/>
              <w:rPr>
                <w:rFonts w:eastAsia="Calibri"/>
                <w:sz w:val="22"/>
                <w:lang w:val="en-NZ"/>
              </w:rPr>
            </w:pPr>
          </w:p>
        </w:tc>
      </w:tr>
      <w:tr w:rsidR="00136700" w:rsidRPr="00A864A5" w14:paraId="78D06DB5" w14:textId="77777777" w:rsidTr="0026139D">
        <w:trPr>
          <w:trHeight w:val="263"/>
        </w:trPr>
        <w:tc>
          <w:tcPr>
            <w:tcW w:w="2830" w:type="dxa"/>
            <w:shd w:val="clear" w:color="auto" w:fill="auto"/>
          </w:tcPr>
          <w:p w14:paraId="2AEBC854" w14:textId="77777777" w:rsidR="009D0B82" w:rsidRPr="00A864A5" w:rsidRDefault="009D0B82" w:rsidP="009D0B82">
            <w:pPr>
              <w:pStyle w:val="TableText"/>
              <w:keepNext/>
              <w:rPr>
                <w:rFonts w:eastAsia="Calibri"/>
                <w:b/>
                <w:sz w:val="22"/>
                <w:lang w:val="en-NZ"/>
              </w:rPr>
            </w:pPr>
            <w:r w:rsidRPr="00A864A5">
              <w:rPr>
                <w:rFonts w:eastAsia="Calibri"/>
                <w:b/>
                <w:sz w:val="22"/>
                <w:lang w:val="en-NZ"/>
              </w:rPr>
              <w:t xml:space="preserve">Non-monetised costs </w:t>
            </w:r>
          </w:p>
        </w:tc>
        <w:tc>
          <w:tcPr>
            <w:tcW w:w="2410" w:type="dxa"/>
            <w:shd w:val="clear" w:color="auto" w:fill="auto"/>
          </w:tcPr>
          <w:p w14:paraId="327100D4" w14:textId="77777777" w:rsidR="009D0B82" w:rsidRPr="00A864A5" w:rsidRDefault="009D0B82" w:rsidP="009D0B82">
            <w:pPr>
              <w:pStyle w:val="TableText"/>
              <w:keepNext/>
              <w:rPr>
                <w:rFonts w:eastAsia="Calibri"/>
                <w:i/>
                <w:sz w:val="22"/>
                <w:lang w:val="en-NZ"/>
              </w:rPr>
            </w:pPr>
          </w:p>
        </w:tc>
        <w:tc>
          <w:tcPr>
            <w:tcW w:w="2410" w:type="dxa"/>
            <w:shd w:val="clear" w:color="auto" w:fill="auto"/>
          </w:tcPr>
          <w:p w14:paraId="34399557" w14:textId="5B04AB3E" w:rsidR="009D0B82" w:rsidRPr="00A864A5" w:rsidRDefault="0065552A" w:rsidP="009D0B82">
            <w:pPr>
              <w:pStyle w:val="TableText"/>
              <w:keepNext/>
              <w:rPr>
                <w:rFonts w:eastAsia="Calibri"/>
                <w:i/>
                <w:sz w:val="22"/>
                <w:lang w:val="en-NZ"/>
              </w:rPr>
            </w:pPr>
            <w:r>
              <w:rPr>
                <w:rFonts w:eastAsia="Calibri"/>
                <w:i/>
                <w:sz w:val="22"/>
                <w:lang w:val="en-NZ"/>
              </w:rPr>
              <w:t>Low</w:t>
            </w:r>
          </w:p>
        </w:tc>
        <w:tc>
          <w:tcPr>
            <w:tcW w:w="1843" w:type="dxa"/>
          </w:tcPr>
          <w:p w14:paraId="2022F9A8" w14:textId="77777777" w:rsidR="009D0B82" w:rsidRPr="00A864A5" w:rsidRDefault="009D0B82" w:rsidP="009D0B82">
            <w:pPr>
              <w:pStyle w:val="TableText"/>
              <w:keepNext/>
              <w:rPr>
                <w:rFonts w:eastAsia="Calibri"/>
                <w:i/>
                <w:sz w:val="22"/>
                <w:lang w:val="en-NZ"/>
              </w:rPr>
            </w:pPr>
          </w:p>
        </w:tc>
      </w:tr>
      <w:tr w:rsidR="00136700" w:rsidRPr="00A864A5" w14:paraId="307E8894" w14:textId="77777777" w:rsidTr="00792525">
        <w:trPr>
          <w:trHeight w:val="426"/>
        </w:trPr>
        <w:tc>
          <w:tcPr>
            <w:tcW w:w="9493" w:type="dxa"/>
            <w:gridSpan w:val="4"/>
            <w:shd w:val="clear" w:color="auto" w:fill="99CDDD"/>
            <w:vAlign w:val="center"/>
          </w:tcPr>
          <w:p w14:paraId="795E44B3" w14:textId="40103083" w:rsidR="00136700" w:rsidRDefault="00136700" w:rsidP="00792525">
            <w:pPr>
              <w:spacing w:before="40" w:after="20" w:line="240" w:lineRule="auto"/>
              <w:jc w:val="center"/>
              <w:rPr>
                <w:rFonts w:eastAsia="Calibri"/>
                <w:b/>
                <w:bCs/>
                <w:color w:val="000000"/>
                <w:szCs w:val="22"/>
                <w:lang w:val="en-NZ"/>
              </w:rPr>
            </w:pPr>
            <w:r>
              <w:rPr>
                <w:rFonts w:eastAsia="Calibri"/>
                <w:b/>
                <w:bCs/>
                <w:color w:val="000000"/>
                <w:szCs w:val="22"/>
                <w:lang w:val="en-NZ"/>
              </w:rPr>
              <w:t>Additional b</w:t>
            </w:r>
            <w:r w:rsidRPr="00A864A5">
              <w:rPr>
                <w:rFonts w:eastAsia="Calibri"/>
                <w:b/>
                <w:bCs/>
                <w:color w:val="000000"/>
                <w:szCs w:val="22"/>
                <w:lang w:val="en-NZ"/>
              </w:rPr>
              <w:t xml:space="preserve">enefits of the preferred option compared to </w:t>
            </w:r>
            <w:r>
              <w:rPr>
                <w:rFonts w:eastAsia="Calibri"/>
                <w:b/>
                <w:bCs/>
                <w:color w:val="000000"/>
                <w:szCs w:val="22"/>
                <w:lang w:val="en-NZ"/>
              </w:rPr>
              <w:t>taking no action</w:t>
            </w:r>
          </w:p>
        </w:tc>
      </w:tr>
      <w:tr w:rsidR="00B60F5B" w:rsidRPr="00A864A5" w14:paraId="32734276" w14:textId="77777777" w:rsidTr="0026139D">
        <w:trPr>
          <w:trHeight w:val="381"/>
        </w:trPr>
        <w:tc>
          <w:tcPr>
            <w:tcW w:w="2830" w:type="dxa"/>
            <w:shd w:val="clear" w:color="auto" w:fill="auto"/>
          </w:tcPr>
          <w:p w14:paraId="014A71DB" w14:textId="4FE0D6EF" w:rsidR="00B60F5B" w:rsidRPr="00A864A5" w:rsidRDefault="00B60F5B" w:rsidP="00B60F5B">
            <w:pPr>
              <w:pStyle w:val="TableText"/>
              <w:rPr>
                <w:rFonts w:eastAsia="Calibri"/>
                <w:sz w:val="22"/>
                <w:lang w:val="en-NZ"/>
              </w:rPr>
            </w:pPr>
            <w:r w:rsidRPr="00A864A5">
              <w:rPr>
                <w:rFonts w:eastAsia="Calibri"/>
                <w:sz w:val="22"/>
                <w:lang w:val="en-NZ"/>
              </w:rPr>
              <w:t>Regulated groups</w:t>
            </w:r>
            <w:r>
              <w:rPr>
                <w:rFonts w:eastAsia="Calibri"/>
                <w:sz w:val="22"/>
                <w:lang w:val="en-NZ"/>
              </w:rPr>
              <w:t xml:space="preserve"> (taxpayers</w:t>
            </w:r>
            <w:r w:rsidR="00407C81">
              <w:rPr>
                <w:rFonts w:eastAsia="Calibri"/>
                <w:sz w:val="22"/>
                <w:lang w:val="en-NZ"/>
              </w:rPr>
              <w:t xml:space="preserve"> who would otherwise use </w:t>
            </w:r>
            <w:r>
              <w:rPr>
                <w:rFonts w:eastAsia="Calibri"/>
                <w:sz w:val="22"/>
                <w:lang w:val="en-NZ"/>
              </w:rPr>
              <w:t>sales suppression software)</w:t>
            </w:r>
          </w:p>
        </w:tc>
        <w:tc>
          <w:tcPr>
            <w:tcW w:w="2410" w:type="dxa"/>
            <w:shd w:val="clear" w:color="auto" w:fill="auto"/>
          </w:tcPr>
          <w:p w14:paraId="1FFE9B1A" w14:textId="7CB5F9EA" w:rsidR="00B60F5B" w:rsidRPr="00A864A5" w:rsidRDefault="00765935" w:rsidP="00B60F5B">
            <w:pPr>
              <w:pStyle w:val="TableText"/>
              <w:rPr>
                <w:rFonts w:eastAsia="Calibri"/>
                <w:sz w:val="22"/>
                <w:lang w:val="en-NZ"/>
              </w:rPr>
            </w:pPr>
            <w:r>
              <w:rPr>
                <w:rFonts w:eastAsia="Calibri"/>
                <w:sz w:val="22"/>
                <w:lang w:val="en-NZ"/>
              </w:rPr>
              <w:t>No direct benefit</w:t>
            </w:r>
          </w:p>
        </w:tc>
        <w:tc>
          <w:tcPr>
            <w:tcW w:w="2410" w:type="dxa"/>
            <w:shd w:val="clear" w:color="auto" w:fill="auto"/>
          </w:tcPr>
          <w:p w14:paraId="0591054C" w14:textId="1FEAA536" w:rsidR="00B60F5B" w:rsidRPr="00A864A5" w:rsidRDefault="00E46B5D" w:rsidP="00B60F5B">
            <w:pPr>
              <w:pStyle w:val="TableText"/>
              <w:rPr>
                <w:rFonts w:eastAsia="Calibri"/>
                <w:sz w:val="22"/>
                <w:lang w:val="en-NZ"/>
              </w:rPr>
            </w:pPr>
            <w:r>
              <w:rPr>
                <w:rFonts w:eastAsia="Calibri"/>
                <w:sz w:val="22"/>
                <w:lang w:val="en-NZ"/>
              </w:rPr>
              <w:t>None</w:t>
            </w:r>
          </w:p>
        </w:tc>
        <w:tc>
          <w:tcPr>
            <w:tcW w:w="1843" w:type="dxa"/>
          </w:tcPr>
          <w:p w14:paraId="2784F337" w14:textId="4F064713" w:rsidR="00B60F5B" w:rsidRPr="00A864A5" w:rsidRDefault="00CA6FA7" w:rsidP="00B60F5B">
            <w:pPr>
              <w:pStyle w:val="TableText"/>
              <w:rPr>
                <w:rFonts w:eastAsia="Calibri"/>
                <w:sz w:val="22"/>
                <w:lang w:val="en-NZ"/>
              </w:rPr>
            </w:pPr>
            <w:r>
              <w:rPr>
                <w:rFonts w:eastAsia="Calibri"/>
                <w:sz w:val="22"/>
                <w:lang w:val="en-NZ"/>
              </w:rPr>
              <w:t>High</w:t>
            </w:r>
          </w:p>
        </w:tc>
      </w:tr>
      <w:tr w:rsidR="00B60F5B" w:rsidRPr="00A864A5" w14:paraId="05587945" w14:textId="77777777" w:rsidTr="0026139D">
        <w:trPr>
          <w:trHeight w:val="381"/>
        </w:trPr>
        <w:tc>
          <w:tcPr>
            <w:tcW w:w="2830" w:type="dxa"/>
            <w:shd w:val="clear" w:color="auto" w:fill="auto"/>
          </w:tcPr>
          <w:p w14:paraId="0AC970EA" w14:textId="29C24AFE" w:rsidR="00B60F5B" w:rsidRPr="00A864A5" w:rsidRDefault="00B60F5B" w:rsidP="00B60F5B">
            <w:pPr>
              <w:pStyle w:val="TableText"/>
              <w:rPr>
                <w:rFonts w:eastAsia="Calibri"/>
                <w:sz w:val="22"/>
                <w:lang w:val="en-NZ"/>
              </w:rPr>
            </w:pPr>
            <w:r w:rsidRPr="00A864A5">
              <w:rPr>
                <w:rFonts w:eastAsia="Calibri"/>
                <w:sz w:val="22"/>
                <w:lang w:val="en-NZ"/>
              </w:rPr>
              <w:t>Regulators</w:t>
            </w:r>
            <w:r>
              <w:rPr>
                <w:rFonts w:eastAsia="Calibri"/>
                <w:sz w:val="22"/>
                <w:lang w:val="en-NZ"/>
              </w:rPr>
              <w:t xml:space="preserve"> (Inland Revenue)</w:t>
            </w:r>
          </w:p>
        </w:tc>
        <w:tc>
          <w:tcPr>
            <w:tcW w:w="2410" w:type="dxa"/>
            <w:shd w:val="clear" w:color="auto" w:fill="auto"/>
          </w:tcPr>
          <w:p w14:paraId="6CFD7A23" w14:textId="2E758C11" w:rsidR="00B60F5B" w:rsidRPr="00A864A5" w:rsidRDefault="0092710F" w:rsidP="00B60F5B">
            <w:pPr>
              <w:pStyle w:val="TableText"/>
              <w:rPr>
                <w:rFonts w:eastAsia="Calibri"/>
                <w:sz w:val="22"/>
                <w:lang w:val="en-NZ"/>
              </w:rPr>
            </w:pPr>
            <w:r>
              <w:rPr>
                <w:rFonts w:eastAsia="Calibri"/>
                <w:sz w:val="22"/>
                <w:lang w:val="en-NZ"/>
              </w:rPr>
              <w:t>Additional tools to use against taxpayers identified using the software</w:t>
            </w:r>
          </w:p>
        </w:tc>
        <w:tc>
          <w:tcPr>
            <w:tcW w:w="2410" w:type="dxa"/>
            <w:shd w:val="clear" w:color="auto" w:fill="auto"/>
          </w:tcPr>
          <w:p w14:paraId="534390F4" w14:textId="6E8B343A" w:rsidR="00B60F5B" w:rsidRPr="00A864A5" w:rsidRDefault="00D648C1" w:rsidP="00B60F5B">
            <w:pPr>
              <w:pStyle w:val="TableText"/>
              <w:rPr>
                <w:rFonts w:eastAsia="Calibri"/>
                <w:sz w:val="22"/>
                <w:lang w:val="en-NZ"/>
              </w:rPr>
            </w:pPr>
            <w:r>
              <w:rPr>
                <w:rFonts w:eastAsia="Calibri"/>
                <w:sz w:val="22"/>
                <w:lang w:val="en-NZ"/>
              </w:rPr>
              <w:t>Medium</w:t>
            </w:r>
          </w:p>
        </w:tc>
        <w:tc>
          <w:tcPr>
            <w:tcW w:w="1843" w:type="dxa"/>
          </w:tcPr>
          <w:p w14:paraId="621CC904" w14:textId="1C000CFF" w:rsidR="00B60F5B" w:rsidRPr="00A864A5" w:rsidRDefault="00CA6FA7" w:rsidP="00B60F5B">
            <w:pPr>
              <w:pStyle w:val="TableText"/>
              <w:rPr>
                <w:rFonts w:eastAsia="Calibri"/>
                <w:sz w:val="22"/>
                <w:lang w:val="en-NZ"/>
              </w:rPr>
            </w:pPr>
            <w:r>
              <w:rPr>
                <w:rFonts w:eastAsia="Calibri"/>
                <w:sz w:val="22"/>
                <w:lang w:val="en-NZ"/>
              </w:rPr>
              <w:t>High</w:t>
            </w:r>
          </w:p>
        </w:tc>
      </w:tr>
      <w:tr w:rsidR="00B60F5B" w:rsidRPr="00A864A5" w14:paraId="43C5CC39" w14:textId="77777777" w:rsidTr="0026139D">
        <w:trPr>
          <w:trHeight w:val="263"/>
        </w:trPr>
        <w:tc>
          <w:tcPr>
            <w:tcW w:w="2830" w:type="dxa"/>
            <w:shd w:val="clear" w:color="auto" w:fill="auto"/>
          </w:tcPr>
          <w:p w14:paraId="2E31053D" w14:textId="77CE507E" w:rsidR="00B60F5B" w:rsidRPr="00A864A5" w:rsidRDefault="00B60F5B" w:rsidP="00B60F5B">
            <w:pPr>
              <w:pStyle w:val="TableText"/>
              <w:rPr>
                <w:rFonts w:eastAsia="Calibri"/>
                <w:sz w:val="22"/>
                <w:lang w:val="en-NZ"/>
              </w:rPr>
            </w:pPr>
            <w:r>
              <w:rPr>
                <w:rFonts w:eastAsia="Calibri"/>
                <w:color w:val="000000"/>
                <w:sz w:val="22"/>
                <w:lang w:val="en-NZ"/>
              </w:rPr>
              <w:t>Taxpayers not using sales suppression software</w:t>
            </w:r>
          </w:p>
        </w:tc>
        <w:tc>
          <w:tcPr>
            <w:tcW w:w="2410" w:type="dxa"/>
            <w:shd w:val="clear" w:color="auto" w:fill="auto"/>
          </w:tcPr>
          <w:p w14:paraId="29A2BF57" w14:textId="7EADC435" w:rsidR="001F6845" w:rsidRPr="00A864A5" w:rsidRDefault="00765935" w:rsidP="00B60F5B">
            <w:pPr>
              <w:pStyle w:val="TableText"/>
              <w:rPr>
                <w:rFonts w:eastAsia="Calibri"/>
                <w:sz w:val="22"/>
                <w:lang w:val="en-NZ"/>
              </w:rPr>
            </w:pPr>
            <w:r>
              <w:rPr>
                <w:rFonts w:eastAsia="Calibri"/>
                <w:sz w:val="22"/>
                <w:lang w:val="en-NZ"/>
              </w:rPr>
              <w:t>Ongoing benefit of market competition remaining fairer</w:t>
            </w:r>
          </w:p>
        </w:tc>
        <w:tc>
          <w:tcPr>
            <w:tcW w:w="2410" w:type="dxa"/>
            <w:shd w:val="clear" w:color="auto" w:fill="auto"/>
          </w:tcPr>
          <w:p w14:paraId="63933FB3" w14:textId="1032746E" w:rsidR="00B60F5B" w:rsidRPr="00A864A5" w:rsidRDefault="00DC4BA4" w:rsidP="00B60F5B">
            <w:pPr>
              <w:pStyle w:val="TableText"/>
              <w:rPr>
                <w:rFonts w:eastAsia="Calibri"/>
                <w:sz w:val="22"/>
                <w:lang w:val="en-NZ"/>
              </w:rPr>
            </w:pPr>
            <w:r>
              <w:rPr>
                <w:rFonts w:eastAsia="Calibri"/>
                <w:sz w:val="22"/>
                <w:lang w:val="en-NZ"/>
              </w:rPr>
              <w:t>High</w:t>
            </w:r>
          </w:p>
        </w:tc>
        <w:tc>
          <w:tcPr>
            <w:tcW w:w="1843" w:type="dxa"/>
          </w:tcPr>
          <w:p w14:paraId="22FFA0BA" w14:textId="762A7028" w:rsidR="00B60F5B" w:rsidRPr="00A864A5" w:rsidRDefault="00835076" w:rsidP="00B60F5B">
            <w:pPr>
              <w:pStyle w:val="TableText"/>
              <w:rPr>
                <w:rFonts w:eastAsia="Calibri"/>
                <w:sz w:val="22"/>
                <w:lang w:val="en-NZ"/>
              </w:rPr>
            </w:pPr>
            <w:r>
              <w:rPr>
                <w:rFonts w:eastAsia="Calibri"/>
                <w:sz w:val="22"/>
                <w:lang w:val="en-NZ"/>
              </w:rPr>
              <w:t>Medium</w:t>
            </w:r>
          </w:p>
        </w:tc>
      </w:tr>
      <w:tr w:rsidR="00B60F5B" w:rsidRPr="00A864A5" w14:paraId="3A114D39" w14:textId="77777777" w:rsidTr="0026139D">
        <w:trPr>
          <w:trHeight w:val="263"/>
        </w:trPr>
        <w:tc>
          <w:tcPr>
            <w:tcW w:w="2830" w:type="dxa"/>
            <w:shd w:val="clear" w:color="auto" w:fill="auto"/>
          </w:tcPr>
          <w:p w14:paraId="66EC3A57" w14:textId="40F2F666" w:rsidR="00B60F5B" w:rsidRPr="00A864A5" w:rsidRDefault="00B60F5B" w:rsidP="00B60F5B">
            <w:pPr>
              <w:pStyle w:val="TableText"/>
              <w:rPr>
                <w:rFonts w:eastAsia="Calibri"/>
                <w:color w:val="000000"/>
                <w:sz w:val="22"/>
                <w:lang w:val="en-NZ"/>
              </w:rPr>
            </w:pPr>
            <w:r>
              <w:rPr>
                <w:rFonts w:eastAsia="Calibri"/>
                <w:color w:val="000000"/>
                <w:sz w:val="22"/>
                <w:lang w:val="en-NZ"/>
              </w:rPr>
              <w:t>Wider government</w:t>
            </w:r>
          </w:p>
        </w:tc>
        <w:tc>
          <w:tcPr>
            <w:tcW w:w="2410" w:type="dxa"/>
            <w:shd w:val="clear" w:color="auto" w:fill="auto"/>
          </w:tcPr>
          <w:p w14:paraId="0F871B49" w14:textId="01A42C16" w:rsidR="00B60F5B" w:rsidRPr="00A864A5" w:rsidRDefault="00997639" w:rsidP="00B60F5B">
            <w:pPr>
              <w:pStyle w:val="TableText"/>
              <w:rPr>
                <w:rFonts w:eastAsia="Calibri"/>
                <w:sz w:val="22"/>
                <w:lang w:val="en-NZ"/>
              </w:rPr>
            </w:pPr>
            <w:r>
              <w:rPr>
                <w:rFonts w:eastAsia="Calibri"/>
                <w:sz w:val="22"/>
                <w:lang w:val="en-NZ"/>
              </w:rPr>
              <w:t>Ongoing benefit of maintaining revenue base and existing taxation</w:t>
            </w:r>
            <w:r w:rsidR="00C62EC4">
              <w:rPr>
                <w:rFonts w:eastAsia="Calibri"/>
                <w:sz w:val="22"/>
                <w:lang w:val="en-NZ"/>
              </w:rPr>
              <w:t xml:space="preserve"> levels</w:t>
            </w:r>
          </w:p>
        </w:tc>
        <w:tc>
          <w:tcPr>
            <w:tcW w:w="2410" w:type="dxa"/>
            <w:shd w:val="clear" w:color="auto" w:fill="auto"/>
          </w:tcPr>
          <w:p w14:paraId="4D2E86C7" w14:textId="4262A7E6" w:rsidR="00B60F5B" w:rsidRPr="00A864A5" w:rsidRDefault="00BB422A" w:rsidP="00B60F5B">
            <w:pPr>
              <w:pStyle w:val="TableText"/>
              <w:rPr>
                <w:rFonts w:eastAsia="Calibri"/>
                <w:sz w:val="22"/>
                <w:lang w:val="en-NZ"/>
              </w:rPr>
            </w:pPr>
            <w:r>
              <w:rPr>
                <w:rFonts w:eastAsia="Calibri"/>
                <w:sz w:val="22"/>
                <w:lang w:val="en-NZ"/>
              </w:rPr>
              <w:t>High</w:t>
            </w:r>
          </w:p>
        </w:tc>
        <w:tc>
          <w:tcPr>
            <w:tcW w:w="1843" w:type="dxa"/>
          </w:tcPr>
          <w:p w14:paraId="0CF5502C" w14:textId="6D2D0668" w:rsidR="00B60F5B" w:rsidRPr="00A864A5" w:rsidRDefault="00835076" w:rsidP="00B60F5B">
            <w:pPr>
              <w:pStyle w:val="TableText"/>
              <w:rPr>
                <w:rFonts w:eastAsia="Calibri"/>
                <w:sz w:val="22"/>
                <w:lang w:val="en-NZ"/>
              </w:rPr>
            </w:pPr>
            <w:r>
              <w:rPr>
                <w:rFonts w:eastAsia="Calibri"/>
                <w:sz w:val="22"/>
                <w:lang w:val="en-NZ"/>
              </w:rPr>
              <w:t>Medium</w:t>
            </w:r>
          </w:p>
        </w:tc>
      </w:tr>
      <w:tr w:rsidR="00136700" w:rsidRPr="00A864A5" w14:paraId="0F3F57AE" w14:textId="77777777" w:rsidTr="0026139D">
        <w:trPr>
          <w:trHeight w:val="263"/>
        </w:trPr>
        <w:tc>
          <w:tcPr>
            <w:tcW w:w="2830" w:type="dxa"/>
            <w:shd w:val="clear" w:color="auto" w:fill="auto"/>
          </w:tcPr>
          <w:p w14:paraId="16387995" w14:textId="77777777" w:rsidR="009D0B82" w:rsidRPr="00A864A5" w:rsidRDefault="009D0B82" w:rsidP="009D0B82">
            <w:pPr>
              <w:pStyle w:val="TableText"/>
              <w:rPr>
                <w:rFonts w:eastAsia="Calibri"/>
                <w:b/>
                <w:sz w:val="22"/>
                <w:lang w:val="en-NZ"/>
              </w:rPr>
            </w:pPr>
            <w:r w:rsidRPr="00A864A5">
              <w:rPr>
                <w:rFonts w:eastAsia="Calibri"/>
                <w:b/>
                <w:sz w:val="22"/>
                <w:lang w:val="en-NZ"/>
              </w:rPr>
              <w:t>Total monetised benefits</w:t>
            </w:r>
          </w:p>
        </w:tc>
        <w:tc>
          <w:tcPr>
            <w:tcW w:w="2410" w:type="dxa"/>
            <w:shd w:val="clear" w:color="auto" w:fill="auto"/>
          </w:tcPr>
          <w:p w14:paraId="0F9CF890" w14:textId="6684FDAE" w:rsidR="009D0B82" w:rsidRPr="00A864A5" w:rsidRDefault="009D0B82" w:rsidP="009D0B82">
            <w:pPr>
              <w:pStyle w:val="TableText"/>
              <w:rPr>
                <w:rFonts w:eastAsia="Calibri"/>
                <w:sz w:val="22"/>
                <w:lang w:val="en-NZ"/>
              </w:rPr>
            </w:pPr>
          </w:p>
        </w:tc>
        <w:tc>
          <w:tcPr>
            <w:tcW w:w="2410" w:type="dxa"/>
            <w:shd w:val="clear" w:color="auto" w:fill="auto"/>
          </w:tcPr>
          <w:p w14:paraId="13F85EF8" w14:textId="25B0FEE6" w:rsidR="009D0B82" w:rsidRPr="00A864A5" w:rsidRDefault="00074B65" w:rsidP="009D0B82">
            <w:pPr>
              <w:pStyle w:val="TableText"/>
              <w:rPr>
                <w:rFonts w:eastAsia="Calibri"/>
                <w:sz w:val="22"/>
                <w:lang w:val="en-NZ"/>
              </w:rPr>
            </w:pPr>
            <w:r>
              <w:rPr>
                <w:rFonts w:eastAsia="Calibri"/>
                <w:sz w:val="22"/>
                <w:lang w:val="en-NZ"/>
              </w:rPr>
              <w:t>-</w:t>
            </w:r>
          </w:p>
        </w:tc>
        <w:tc>
          <w:tcPr>
            <w:tcW w:w="1843" w:type="dxa"/>
          </w:tcPr>
          <w:p w14:paraId="3A5FFB7A" w14:textId="77777777" w:rsidR="009D0B82" w:rsidRPr="00A864A5" w:rsidRDefault="009D0B82" w:rsidP="009D0B82">
            <w:pPr>
              <w:pStyle w:val="TableText"/>
              <w:rPr>
                <w:rFonts w:eastAsia="Calibri"/>
                <w:sz w:val="22"/>
                <w:lang w:val="en-NZ"/>
              </w:rPr>
            </w:pPr>
          </w:p>
        </w:tc>
      </w:tr>
      <w:tr w:rsidR="00136700" w:rsidRPr="00A864A5" w14:paraId="2832F0D3" w14:textId="77777777" w:rsidTr="0026139D">
        <w:trPr>
          <w:trHeight w:val="187"/>
        </w:trPr>
        <w:tc>
          <w:tcPr>
            <w:tcW w:w="2830" w:type="dxa"/>
            <w:shd w:val="clear" w:color="auto" w:fill="auto"/>
          </w:tcPr>
          <w:p w14:paraId="0C137852" w14:textId="77777777" w:rsidR="009D0B82" w:rsidRPr="00A864A5" w:rsidRDefault="009D0B82" w:rsidP="009D0B82">
            <w:pPr>
              <w:pStyle w:val="TableText"/>
              <w:rPr>
                <w:rFonts w:eastAsia="Calibri"/>
                <w:b/>
                <w:sz w:val="22"/>
                <w:lang w:val="en-NZ"/>
              </w:rPr>
            </w:pPr>
            <w:r w:rsidRPr="00A864A5">
              <w:rPr>
                <w:rFonts w:eastAsia="Calibri"/>
                <w:b/>
                <w:sz w:val="22"/>
                <w:lang w:val="en-NZ"/>
              </w:rPr>
              <w:t>Non-monetised benefits</w:t>
            </w:r>
          </w:p>
        </w:tc>
        <w:tc>
          <w:tcPr>
            <w:tcW w:w="2410" w:type="dxa"/>
            <w:shd w:val="clear" w:color="auto" w:fill="auto"/>
          </w:tcPr>
          <w:p w14:paraId="61FB878D" w14:textId="77777777" w:rsidR="009D0B82" w:rsidRPr="00A864A5" w:rsidRDefault="009D0B82" w:rsidP="009D0B82">
            <w:pPr>
              <w:pStyle w:val="TableText"/>
              <w:rPr>
                <w:rFonts w:eastAsia="Calibri"/>
                <w:sz w:val="22"/>
                <w:lang w:val="en-NZ"/>
              </w:rPr>
            </w:pPr>
          </w:p>
        </w:tc>
        <w:tc>
          <w:tcPr>
            <w:tcW w:w="2410" w:type="dxa"/>
            <w:shd w:val="clear" w:color="auto" w:fill="auto"/>
          </w:tcPr>
          <w:p w14:paraId="098C1B0C" w14:textId="14FE40DC" w:rsidR="009D0B82" w:rsidRPr="00A864A5" w:rsidRDefault="0065552A" w:rsidP="009D0B82">
            <w:pPr>
              <w:pStyle w:val="TableText"/>
              <w:rPr>
                <w:rFonts w:eastAsia="Calibri"/>
                <w:i/>
                <w:sz w:val="22"/>
                <w:lang w:val="en-NZ"/>
              </w:rPr>
            </w:pPr>
            <w:r>
              <w:rPr>
                <w:rFonts w:eastAsia="Calibri"/>
                <w:i/>
                <w:sz w:val="22"/>
                <w:lang w:val="en-NZ"/>
              </w:rPr>
              <w:t>High</w:t>
            </w:r>
          </w:p>
        </w:tc>
        <w:tc>
          <w:tcPr>
            <w:tcW w:w="1843" w:type="dxa"/>
          </w:tcPr>
          <w:p w14:paraId="5EF64146" w14:textId="77777777" w:rsidR="009D0B82" w:rsidRPr="00A864A5" w:rsidRDefault="009D0B82" w:rsidP="009D0B82">
            <w:pPr>
              <w:pStyle w:val="TableText"/>
              <w:rPr>
                <w:rFonts w:eastAsia="Calibri"/>
                <w:i/>
                <w:sz w:val="22"/>
                <w:lang w:val="en-NZ"/>
              </w:rPr>
            </w:pPr>
          </w:p>
        </w:tc>
      </w:tr>
    </w:tbl>
    <w:p w14:paraId="05BD37A0" w14:textId="77777777" w:rsidR="003811EF" w:rsidRDefault="003811EF" w:rsidP="00157C5D">
      <w:pPr>
        <w:pStyle w:val="ListParagraph"/>
        <w:ind w:left="709"/>
        <w:rPr>
          <w:lang w:val="en-NZ"/>
        </w:rPr>
      </w:pPr>
    </w:p>
    <w:p w14:paraId="6EF2E226" w14:textId="77777777" w:rsidR="001904CE" w:rsidRDefault="001904CE">
      <w:pPr>
        <w:spacing w:after="0" w:line="240" w:lineRule="auto"/>
        <w:rPr>
          <w:lang w:val="en-NZ"/>
        </w:rPr>
      </w:pPr>
      <w:r>
        <w:rPr>
          <w:lang w:val="en-NZ"/>
        </w:rPr>
        <w:br w:type="page"/>
      </w:r>
    </w:p>
    <w:p w14:paraId="1EB52208" w14:textId="21B66FFC" w:rsidR="00D648C1" w:rsidRPr="00D648C1" w:rsidRDefault="008322CE" w:rsidP="00D648C1">
      <w:pPr>
        <w:pStyle w:val="ListParagraph"/>
        <w:numPr>
          <w:ilvl w:val="0"/>
          <w:numId w:val="24"/>
        </w:numPr>
        <w:ind w:left="709" w:hanging="709"/>
        <w:rPr>
          <w:lang w:val="en-NZ"/>
        </w:rPr>
      </w:pPr>
      <w:r>
        <w:rPr>
          <w:lang w:val="en-NZ"/>
        </w:rPr>
        <w:t>The major assumption underlying this cost-benefit analysis is that the penalty regime effectively deters t</w:t>
      </w:r>
      <w:r w:rsidR="003E3006">
        <w:rPr>
          <w:lang w:val="en-NZ"/>
        </w:rPr>
        <w:t xml:space="preserve">axpayers from adopting or providing sales suppression software. This is a reasonable assumption as the proposed </w:t>
      </w:r>
      <w:r w:rsidR="00473442">
        <w:rPr>
          <w:lang w:val="en-NZ"/>
        </w:rPr>
        <w:t>penalty rates</w:t>
      </w:r>
      <w:r w:rsidR="003E3006">
        <w:rPr>
          <w:lang w:val="en-NZ"/>
        </w:rPr>
        <w:t xml:space="preserve"> are high </w:t>
      </w:r>
      <w:r w:rsidR="00473442">
        <w:rPr>
          <w:lang w:val="en-NZ"/>
        </w:rPr>
        <w:t xml:space="preserve">and </w:t>
      </w:r>
      <w:r w:rsidR="00D648C1">
        <w:rPr>
          <w:lang w:val="en-NZ"/>
        </w:rPr>
        <w:t>are expected to</w:t>
      </w:r>
      <w:r w:rsidR="00473442">
        <w:rPr>
          <w:lang w:val="en-NZ"/>
        </w:rPr>
        <w:t xml:space="preserve"> significantly discourage taxpayers. </w:t>
      </w:r>
    </w:p>
    <w:p w14:paraId="06E5FA59" w14:textId="77777777" w:rsidR="00D648C1" w:rsidRDefault="00D648C1" w:rsidP="00157C5D">
      <w:pPr>
        <w:pStyle w:val="ListParagraph"/>
        <w:ind w:left="709"/>
        <w:rPr>
          <w:lang w:val="en-NZ"/>
        </w:rPr>
      </w:pPr>
    </w:p>
    <w:p w14:paraId="574B8681" w14:textId="344FEAA1" w:rsidR="00164D97" w:rsidRDefault="00473442" w:rsidP="002C7C74">
      <w:pPr>
        <w:pStyle w:val="ListParagraph"/>
        <w:numPr>
          <w:ilvl w:val="0"/>
          <w:numId w:val="24"/>
        </w:numPr>
        <w:ind w:left="709" w:hanging="709"/>
        <w:rPr>
          <w:lang w:val="en-NZ"/>
        </w:rPr>
      </w:pPr>
      <w:r>
        <w:rPr>
          <w:lang w:val="en-NZ"/>
        </w:rPr>
        <w:t>However, some taxpayers may choose to take the risk</w:t>
      </w:r>
      <w:r w:rsidR="001525AA">
        <w:rPr>
          <w:lang w:val="en-NZ"/>
        </w:rPr>
        <w:t>; whether this will happen in sufficient quantities</w:t>
      </w:r>
      <w:r w:rsidR="00157C5D">
        <w:rPr>
          <w:lang w:val="en-NZ"/>
        </w:rPr>
        <w:t xml:space="preserve"> to pose a problem</w:t>
      </w:r>
      <w:r w:rsidR="001525AA">
        <w:rPr>
          <w:lang w:val="en-NZ"/>
        </w:rPr>
        <w:t xml:space="preserve"> </w:t>
      </w:r>
      <w:r w:rsidR="00A460C7">
        <w:rPr>
          <w:lang w:val="en-NZ"/>
        </w:rPr>
        <w:t>will be determined by the size of the penalties and taxpayers</w:t>
      </w:r>
      <w:r w:rsidR="00157C5D">
        <w:rPr>
          <w:lang w:val="en-NZ"/>
        </w:rPr>
        <w:t>’</w:t>
      </w:r>
      <w:r w:rsidR="00A460C7">
        <w:rPr>
          <w:lang w:val="en-NZ"/>
        </w:rPr>
        <w:t xml:space="preserve"> perception of their chances of </w:t>
      </w:r>
      <w:r w:rsidR="00F23684">
        <w:rPr>
          <w:lang w:val="en-NZ"/>
        </w:rPr>
        <w:t>the behaviour being identified</w:t>
      </w:r>
      <w:r w:rsidR="00B15AE2">
        <w:rPr>
          <w:lang w:val="en-NZ"/>
        </w:rPr>
        <w:t xml:space="preserve">. </w:t>
      </w:r>
      <w:r w:rsidR="00D06837">
        <w:rPr>
          <w:lang w:val="en-NZ"/>
        </w:rPr>
        <w:t>As</w:t>
      </w:r>
      <w:r w:rsidR="009D4D1F">
        <w:rPr>
          <w:lang w:val="en-NZ"/>
        </w:rPr>
        <w:t xml:space="preserve"> such</w:t>
      </w:r>
      <w:r w:rsidR="00B15AE2">
        <w:rPr>
          <w:lang w:val="en-NZ"/>
        </w:rPr>
        <w:t xml:space="preserve">, the evidence certainty </w:t>
      </w:r>
      <w:r w:rsidR="00167891">
        <w:rPr>
          <w:lang w:val="en-NZ"/>
        </w:rPr>
        <w:t>entry for these effects in the above table has been set at Medium.</w:t>
      </w:r>
    </w:p>
    <w:p w14:paraId="2552CD7D" w14:textId="77777777" w:rsidR="003811EF" w:rsidRDefault="003811EF" w:rsidP="00157C5D">
      <w:pPr>
        <w:pStyle w:val="ListParagraph"/>
        <w:ind w:left="709"/>
        <w:rPr>
          <w:lang w:val="en-NZ"/>
        </w:rPr>
      </w:pPr>
    </w:p>
    <w:p w14:paraId="140180A8" w14:textId="18E66513" w:rsidR="003459D6" w:rsidRDefault="00D06837" w:rsidP="002C7C74">
      <w:pPr>
        <w:pStyle w:val="ListParagraph"/>
        <w:numPr>
          <w:ilvl w:val="0"/>
          <w:numId w:val="24"/>
        </w:numPr>
        <w:ind w:left="709" w:hanging="709"/>
        <w:rPr>
          <w:lang w:val="en-NZ"/>
        </w:rPr>
      </w:pPr>
      <w:r>
        <w:rPr>
          <w:lang w:val="en-NZ"/>
        </w:rPr>
        <w:t xml:space="preserve">The table also assumes that the costs of administering the scheme </w:t>
      </w:r>
      <w:r w:rsidR="005B50CA">
        <w:rPr>
          <w:lang w:val="en-NZ"/>
        </w:rPr>
        <w:t xml:space="preserve">will largely fall within the existing costs of upholding compliance across the tax system and any additional cost will therefore be relatively minor. </w:t>
      </w:r>
      <w:r w:rsidR="002C1E86">
        <w:rPr>
          <w:lang w:val="en-NZ"/>
        </w:rPr>
        <w:t>For this reason, although the individual cost of evasion cases can be quite high, the overall costs for regulators are set at Lo</w:t>
      </w:r>
      <w:r w:rsidR="00147D9A">
        <w:rPr>
          <w:lang w:val="en-NZ"/>
        </w:rPr>
        <w:t xml:space="preserve">w; should the penalties work as intended, few cases will need to be taken to court and the overall </w:t>
      </w:r>
      <w:r w:rsidR="003459D6">
        <w:rPr>
          <w:lang w:val="en-NZ"/>
        </w:rPr>
        <w:t>administrative burden should be low.</w:t>
      </w:r>
      <w:r w:rsidR="00FE240C">
        <w:rPr>
          <w:lang w:val="en-NZ"/>
        </w:rPr>
        <w:t xml:space="preserve"> </w:t>
      </w:r>
    </w:p>
    <w:p w14:paraId="18B15F9C" w14:textId="77777777" w:rsidR="003459D6" w:rsidRPr="003459D6" w:rsidRDefault="003459D6" w:rsidP="00DD5E6A">
      <w:pPr>
        <w:pStyle w:val="ListParagraph"/>
        <w:rPr>
          <w:lang w:val="en-NZ"/>
        </w:rPr>
      </w:pPr>
    </w:p>
    <w:p w14:paraId="0A49EC85" w14:textId="59C05428" w:rsidR="00117B74" w:rsidRDefault="00F23684" w:rsidP="002C7C74">
      <w:pPr>
        <w:pStyle w:val="ListParagraph"/>
        <w:numPr>
          <w:ilvl w:val="0"/>
          <w:numId w:val="24"/>
        </w:numPr>
        <w:ind w:left="709" w:hanging="709"/>
        <w:rPr>
          <w:lang w:val="en-NZ"/>
        </w:rPr>
      </w:pPr>
      <w:r>
        <w:rPr>
          <w:lang w:val="en-NZ"/>
        </w:rPr>
        <w:t xml:space="preserve">Inland Revenue conducts </w:t>
      </w:r>
      <w:r w:rsidR="0089745E">
        <w:rPr>
          <w:lang w:val="en-NZ"/>
        </w:rPr>
        <w:t xml:space="preserve">compliance work on a risk prioritisation basis. To the extent </w:t>
      </w:r>
      <w:r w:rsidR="003D46B0">
        <w:rPr>
          <w:lang w:val="en-NZ"/>
        </w:rPr>
        <w:t xml:space="preserve">the introduction of new penalties </w:t>
      </w:r>
      <w:r w:rsidR="001D5BD2">
        <w:rPr>
          <w:lang w:val="en-NZ"/>
        </w:rPr>
        <w:t>increases the penalty for a person undertaking this behaviour</w:t>
      </w:r>
      <w:r w:rsidR="003459D6">
        <w:rPr>
          <w:lang w:val="en-NZ"/>
        </w:rPr>
        <w:t>,</w:t>
      </w:r>
      <w:r w:rsidR="001D5BD2">
        <w:rPr>
          <w:lang w:val="en-NZ"/>
        </w:rPr>
        <w:t xml:space="preserve"> it may result in resources being reallocated </w:t>
      </w:r>
      <w:r w:rsidR="003F2F92">
        <w:rPr>
          <w:lang w:val="en-NZ"/>
        </w:rPr>
        <w:t>to identify sales suppression software and away from relatively lower priority work</w:t>
      </w:r>
      <w:r w:rsidR="008C6374">
        <w:rPr>
          <w:lang w:val="en-NZ"/>
        </w:rPr>
        <w:t>.</w:t>
      </w:r>
    </w:p>
    <w:p w14:paraId="425CA82B" w14:textId="77777777" w:rsidR="00117B74" w:rsidRDefault="00117B74">
      <w:pPr>
        <w:spacing w:after="0" w:line="240" w:lineRule="auto"/>
        <w:rPr>
          <w:lang w:val="en-NZ"/>
        </w:rPr>
      </w:pPr>
      <w:r>
        <w:rPr>
          <w:lang w:val="en-NZ"/>
        </w:rPr>
        <w:br w:type="page"/>
      </w:r>
    </w:p>
    <w:bookmarkEnd w:id="9"/>
    <w:p w14:paraId="75F637CC" w14:textId="78A0A502" w:rsidR="00A0728D" w:rsidRDefault="00417B4A" w:rsidP="00556893">
      <w:pPr>
        <w:pStyle w:val="Heading2"/>
        <w:rPr>
          <w:lang w:val="en-NZ"/>
        </w:rPr>
      </w:pPr>
      <w:r w:rsidRPr="00A864A5">
        <w:rPr>
          <w:lang w:val="en-NZ"/>
        </w:rPr>
        <w:t xml:space="preserve">Section </w:t>
      </w:r>
      <w:r w:rsidR="00D62B30" w:rsidRPr="00A864A5">
        <w:rPr>
          <w:lang w:val="en-NZ"/>
        </w:rPr>
        <w:t>3</w:t>
      </w:r>
      <w:r w:rsidRPr="00A864A5">
        <w:rPr>
          <w:lang w:val="en-NZ"/>
        </w:rPr>
        <w:t xml:space="preserve">: </w:t>
      </w:r>
      <w:r w:rsidR="0022201B">
        <w:rPr>
          <w:lang w:val="en-NZ"/>
        </w:rPr>
        <w:t xml:space="preserve">Delivering </w:t>
      </w:r>
      <w:r w:rsidR="00B63DE7">
        <w:rPr>
          <w:lang w:val="en-NZ"/>
        </w:rPr>
        <w:t>the preferred option</w:t>
      </w:r>
    </w:p>
    <w:p w14:paraId="45E72C65" w14:textId="77777777" w:rsidR="004251FE" w:rsidRPr="004251FE" w:rsidRDefault="004251FE" w:rsidP="004251FE">
      <w:pPr>
        <w:rPr>
          <w:lang w:val="en-NZ"/>
        </w:rPr>
      </w:pPr>
    </w:p>
    <w:p w14:paraId="77D8CE5A" w14:textId="1E317836" w:rsidR="006B5794" w:rsidRPr="00A864A5" w:rsidRDefault="00A16B89" w:rsidP="006B5794">
      <w:pPr>
        <w:pStyle w:val="Heading3"/>
        <w:rPr>
          <w:lang w:val="en-NZ"/>
        </w:rPr>
      </w:pPr>
      <w:r w:rsidRPr="00A864A5">
        <w:rPr>
          <w:lang w:val="en-NZ"/>
        </w:rPr>
        <w:t xml:space="preserve">How will </w:t>
      </w:r>
      <w:r w:rsidR="003A6757">
        <w:rPr>
          <w:lang w:val="en-NZ"/>
        </w:rPr>
        <w:t>you implement the preferred option</w:t>
      </w:r>
      <w:r w:rsidRPr="00A864A5">
        <w:rPr>
          <w:lang w:val="en-NZ"/>
        </w:rPr>
        <w:t>?</w:t>
      </w:r>
    </w:p>
    <w:p w14:paraId="6A728090" w14:textId="4F9D97AE" w:rsidR="00792525" w:rsidRDefault="004B2B31" w:rsidP="002C7C74">
      <w:pPr>
        <w:pStyle w:val="ListParagraph"/>
        <w:numPr>
          <w:ilvl w:val="0"/>
          <w:numId w:val="24"/>
        </w:numPr>
        <w:ind w:left="709" w:hanging="709"/>
        <w:rPr>
          <w:lang w:val="en-NZ"/>
        </w:rPr>
      </w:pPr>
      <w:r>
        <w:rPr>
          <w:lang w:val="en-NZ"/>
        </w:rPr>
        <w:t>Enforcement of the new penalty regime will be a matter for Inland Revenue</w:t>
      </w:r>
      <w:r w:rsidR="00CB65DE">
        <w:rPr>
          <w:lang w:val="en-NZ"/>
        </w:rPr>
        <w:t>.</w:t>
      </w:r>
      <w:r w:rsidR="00155DD4">
        <w:rPr>
          <w:lang w:val="en-NZ"/>
        </w:rPr>
        <w:t xml:space="preserve"> Inland Revenue also handles tax prosecution</w:t>
      </w:r>
      <w:r w:rsidR="00186EAA">
        <w:rPr>
          <w:lang w:val="en-NZ"/>
        </w:rPr>
        <w:t>s</w:t>
      </w:r>
      <w:r w:rsidR="00155DD4">
        <w:rPr>
          <w:lang w:val="en-NZ"/>
        </w:rPr>
        <w:t xml:space="preserve"> and will </w:t>
      </w:r>
      <w:r w:rsidR="00186EAA">
        <w:rPr>
          <w:lang w:val="en-NZ"/>
        </w:rPr>
        <w:t>therefore be the agency prosecuting offenders</w:t>
      </w:r>
      <w:r w:rsidR="00174EC9">
        <w:rPr>
          <w:lang w:val="en-NZ"/>
        </w:rPr>
        <w:t>.</w:t>
      </w:r>
      <w:r w:rsidR="00566D2F">
        <w:rPr>
          <w:lang w:val="en-NZ"/>
        </w:rPr>
        <w:t xml:space="preserve"> The new penalties </w:t>
      </w:r>
      <w:r w:rsidR="00B52157">
        <w:rPr>
          <w:lang w:val="en-NZ"/>
        </w:rPr>
        <w:t xml:space="preserve">thus </w:t>
      </w:r>
      <w:r w:rsidR="00566D2F">
        <w:rPr>
          <w:lang w:val="en-NZ"/>
        </w:rPr>
        <w:t>have minimal implementation costs</w:t>
      </w:r>
      <w:r w:rsidR="00B52157">
        <w:rPr>
          <w:lang w:val="en-NZ"/>
        </w:rPr>
        <w:t>, as the</w:t>
      </w:r>
      <w:r w:rsidR="00434AB7">
        <w:rPr>
          <w:lang w:val="en-NZ"/>
        </w:rPr>
        <w:t xml:space="preserve"> mechanisms by which it will be implemented (</w:t>
      </w:r>
      <w:r w:rsidR="00D34F8E">
        <w:rPr>
          <w:lang w:val="en-NZ"/>
        </w:rPr>
        <w:t xml:space="preserve">Inland Revenue’s </w:t>
      </w:r>
      <w:r w:rsidR="00434AB7">
        <w:rPr>
          <w:lang w:val="en-NZ"/>
        </w:rPr>
        <w:t>auditing and legal functions) are already in place.</w:t>
      </w:r>
    </w:p>
    <w:p w14:paraId="075A26D1" w14:textId="77777777" w:rsidR="003811EF" w:rsidRDefault="003811EF" w:rsidP="00157C5D">
      <w:pPr>
        <w:pStyle w:val="ListParagraph"/>
        <w:ind w:left="709"/>
        <w:rPr>
          <w:lang w:val="en-NZ"/>
        </w:rPr>
      </w:pPr>
    </w:p>
    <w:p w14:paraId="2BBF22EF" w14:textId="74A209AD" w:rsidR="00CB65DE" w:rsidRDefault="00CB65DE" w:rsidP="002C7C74">
      <w:pPr>
        <w:pStyle w:val="ListParagraph"/>
        <w:numPr>
          <w:ilvl w:val="0"/>
          <w:numId w:val="24"/>
        </w:numPr>
        <w:ind w:left="709" w:hanging="709"/>
        <w:rPr>
          <w:lang w:val="en-NZ"/>
        </w:rPr>
      </w:pPr>
      <w:r>
        <w:rPr>
          <w:lang w:val="en-NZ"/>
        </w:rPr>
        <w:t xml:space="preserve">The penalties will come into effect from the enactment date of </w:t>
      </w:r>
      <w:r w:rsidR="00ED2FBB">
        <w:rPr>
          <w:lang w:val="en-NZ"/>
        </w:rPr>
        <w:t xml:space="preserve">the </w:t>
      </w:r>
      <w:r>
        <w:rPr>
          <w:lang w:val="en-NZ"/>
        </w:rPr>
        <w:t>Bill</w:t>
      </w:r>
      <w:r w:rsidR="00174EC9">
        <w:rPr>
          <w:lang w:val="en-NZ"/>
        </w:rPr>
        <w:t xml:space="preserve"> they are included in, which will likely be the next available omnibus </w:t>
      </w:r>
      <w:proofErr w:type="gramStart"/>
      <w:r w:rsidR="00174EC9">
        <w:rPr>
          <w:lang w:val="en-NZ"/>
        </w:rPr>
        <w:t>taxation</w:t>
      </w:r>
      <w:proofErr w:type="gramEnd"/>
      <w:r w:rsidR="00174EC9">
        <w:rPr>
          <w:lang w:val="en-NZ"/>
        </w:rPr>
        <w:t xml:space="preserve"> Bill</w:t>
      </w:r>
      <w:r>
        <w:rPr>
          <w:lang w:val="en-NZ"/>
        </w:rPr>
        <w:t xml:space="preserve">. </w:t>
      </w:r>
      <w:r w:rsidR="00174EC9">
        <w:rPr>
          <w:lang w:val="en-NZ"/>
        </w:rPr>
        <w:t xml:space="preserve">Taxpayers will be notified when the contents of this Bill are publicly announced. </w:t>
      </w:r>
    </w:p>
    <w:p w14:paraId="2E0D465A" w14:textId="77777777" w:rsidR="003811EF" w:rsidRDefault="003811EF" w:rsidP="00157C5D">
      <w:pPr>
        <w:pStyle w:val="ListParagraph"/>
        <w:ind w:left="709"/>
        <w:rPr>
          <w:lang w:val="en-NZ"/>
        </w:rPr>
      </w:pPr>
    </w:p>
    <w:p w14:paraId="7901B17E" w14:textId="450E40E5" w:rsidR="00536E68" w:rsidRDefault="006361BE" w:rsidP="002C7C74">
      <w:pPr>
        <w:pStyle w:val="ListParagraph"/>
        <w:numPr>
          <w:ilvl w:val="0"/>
          <w:numId w:val="24"/>
        </w:numPr>
        <w:ind w:left="709" w:hanging="709"/>
        <w:rPr>
          <w:lang w:val="en-NZ"/>
        </w:rPr>
      </w:pPr>
      <w:r>
        <w:rPr>
          <w:lang w:val="en-NZ"/>
        </w:rPr>
        <w:t>As the penalties are not retrospective,</w:t>
      </w:r>
      <w:r w:rsidR="00CD1C4C">
        <w:rPr>
          <w:lang w:val="en-NZ"/>
        </w:rPr>
        <w:t xml:space="preserve"> </w:t>
      </w:r>
      <w:r>
        <w:rPr>
          <w:lang w:val="en-NZ"/>
        </w:rPr>
        <w:t>t</w:t>
      </w:r>
      <w:r w:rsidR="00CD1C4C">
        <w:rPr>
          <w:lang w:val="en-NZ"/>
        </w:rPr>
        <w:t xml:space="preserve">here is a risk that </w:t>
      </w:r>
      <w:r>
        <w:rPr>
          <w:lang w:val="en-NZ"/>
        </w:rPr>
        <w:t>notifying taxpayers of the issue before the penalty is in place</w:t>
      </w:r>
      <w:r w:rsidDel="006361BE">
        <w:rPr>
          <w:lang w:val="en-NZ"/>
        </w:rPr>
        <w:t xml:space="preserve"> </w:t>
      </w:r>
      <w:r w:rsidR="00CD1C4C">
        <w:rPr>
          <w:lang w:val="en-NZ"/>
        </w:rPr>
        <w:t>will lead to a</w:t>
      </w:r>
      <w:r w:rsidR="00E41FBB">
        <w:rPr>
          <w:lang w:val="en-NZ"/>
        </w:rPr>
        <w:t>n effective</w:t>
      </w:r>
      <w:r w:rsidR="00CD1C4C">
        <w:rPr>
          <w:lang w:val="en-NZ"/>
        </w:rPr>
        <w:t xml:space="preserve"> grace period in which taxpayers are aware of the issue and can buy, sell, and possess the software without </w:t>
      </w:r>
      <w:r w:rsidR="00F72CE3">
        <w:rPr>
          <w:lang w:val="en-NZ"/>
        </w:rPr>
        <w:t>being subject to any legal consequence</w:t>
      </w:r>
      <w:r w:rsidR="00F31551">
        <w:rPr>
          <w:lang w:val="en-NZ"/>
        </w:rPr>
        <w:t xml:space="preserve"> aside from the existing evasion penalty</w:t>
      </w:r>
      <w:r w:rsidR="00F72CE3">
        <w:rPr>
          <w:lang w:val="en-NZ"/>
        </w:rPr>
        <w:t>.</w:t>
      </w:r>
      <w:r w:rsidR="006A1AA9">
        <w:rPr>
          <w:lang w:val="en-NZ"/>
        </w:rPr>
        <w:t xml:space="preserve"> </w:t>
      </w:r>
      <w:r w:rsidR="00BF7B40">
        <w:rPr>
          <w:lang w:val="en-NZ"/>
        </w:rPr>
        <w:t xml:space="preserve">This may </w:t>
      </w:r>
      <w:r w:rsidR="00243612">
        <w:rPr>
          <w:lang w:val="en-NZ"/>
        </w:rPr>
        <w:t xml:space="preserve">increase the </w:t>
      </w:r>
      <w:r w:rsidR="00BF7B40">
        <w:rPr>
          <w:lang w:val="en-NZ"/>
        </w:rPr>
        <w:t xml:space="preserve">spread </w:t>
      </w:r>
      <w:r w:rsidR="00243612">
        <w:rPr>
          <w:lang w:val="en-NZ"/>
        </w:rPr>
        <w:t xml:space="preserve">of </w:t>
      </w:r>
      <w:r w:rsidR="00BF7B40">
        <w:rPr>
          <w:lang w:val="en-NZ"/>
        </w:rPr>
        <w:t xml:space="preserve">the software through the tax base </w:t>
      </w:r>
      <w:r w:rsidR="00243612">
        <w:rPr>
          <w:lang w:val="en-NZ"/>
        </w:rPr>
        <w:t>before any effective countermeasure can be deployed.</w:t>
      </w:r>
      <w:r w:rsidR="00F31551">
        <w:rPr>
          <w:lang w:val="en-NZ"/>
        </w:rPr>
        <w:t xml:space="preserve">  However, this is unavoidable under the standard approach that activity that is not illegal at the time it is undertaken will not subsequently become so retrospectively.</w:t>
      </w:r>
      <w:r w:rsidR="00140394" w:rsidRPr="00140394">
        <w:rPr>
          <w:lang w:val="en-NZ"/>
        </w:rPr>
        <w:t xml:space="preserve"> </w:t>
      </w:r>
    </w:p>
    <w:p w14:paraId="51033964" w14:textId="77777777" w:rsidR="00536E68" w:rsidRPr="00536E68" w:rsidRDefault="00536E68" w:rsidP="00DD5E6A">
      <w:pPr>
        <w:pStyle w:val="ListParagraph"/>
        <w:rPr>
          <w:lang w:val="en-NZ"/>
        </w:rPr>
      </w:pPr>
    </w:p>
    <w:p w14:paraId="663D1685" w14:textId="7AB4F00C" w:rsidR="002A5F83" w:rsidRPr="002C7C74" w:rsidRDefault="00F31551" w:rsidP="002C7C74">
      <w:pPr>
        <w:pStyle w:val="ListParagraph"/>
        <w:numPr>
          <w:ilvl w:val="0"/>
          <w:numId w:val="24"/>
        </w:numPr>
        <w:ind w:left="709" w:hanging="709"/>
        <w:rPr>
          <w:lang w:val="en-NZ"/>
        </w:rPr>
      </w:pPr>
      <w:r>
        <w:rPr>
          <w:lang w:val="en-NZ"/>
        </w:rPr>
        <w:t xml:space="preserve">Inland Revenue runs </w:t>
      </w:r>
      <w:r w:rsidR="00867D43">
        <w:rPr>
          <w:lang w:val="en-NZ"/>
        </w:rPr>
        <w:t xml:space="preserve">public awareness </w:t>
      </w:r>
      <w:r>
        <w:rPr>
          <w:lang w:val="en-NZ"/>
        </w:rPr>
        <w:t>campaigns from time to time on areas it considers are a high risk</w:t>
      </w:r>
      <w:r w:rsidR="004C10F4">
        <w:rPr>
          <w:lang w:val="en-NZ"/>
        </w:rPr>
        <w:t>;</w:t>
      </w:r>
      <w:r>
        <w:rPr>
          <w:lang w:val="en-NZ"/>
        </w:rPr>
        <w:t xml:space="preserve"> </w:t>
      </w:r>
      <w:r w:rsidR="00E56B27">
        <w:rPr>
          <w:lang w:val="en-NZ"/>
        </w:rPr>
        <w:t xml:space="preserve">an awareness-raising action such as a Revenue Alert </w:t>
      </w:r>
      <w:r>
        <w:rPr>
          <w:lang w:val="en-NZ"/>
        </w:rPr>
        <w:t>could be considered as part of its normal prioritisation process.</w:t>
      </w:r>
    </w:p>
    <w:p w14:paraId="7F54F831" w14:textId="77777777" w:rsidR="004251FE" w:rsidRPr="001A6F2E" w:rsidRDefault="004251FE" w:rsidP="001A6F2E"/>
    <w:p w14:paraId="5AA39C72" w14:textId="509F0378" w:rsidR="006B5794" w:rsidRPr="00A864A5" w:rsidRDefault="0099086E" w:rsidP="006B5794">
      <w:pPr>
        <w:pStyle w:val="Heading3"/>
        <w:rPr>
          <w:lang w:val="en-NZ"/>
        </w:rPr>
      </w:pPr>
      <w:r>
        <w:rPr>
          <w:lang w:val="en-NZ"/>
        </w:rPr>
        <w:t xml:space="preserve">How will </w:t>
      </w:r>
      <w:r w:rsidR="003A6757">
        <w:rPr>
          <w:lang w:val="en-NZ"/>
        </w:rPr>
        <w:t>you</w:t>
      </w:r>
      <w:r>
        <w:rPr>
          <w:lang w:val="en-NZ"/>
        </w:rPr>
        <w:t xml:space="preserve"> m</w:t>
      </w:r>
      <w:r w:rsidR="00A16B89" w:rsidRPr="00A864A5">
        <w:rPr>
          <w:lang w:val="en-NZ"/>
        </w:rPr>
        <w:t xml:space="preserve">onitor, </w:t>
      </w:r>
      <w:r>
        <w:rPr>
          <w:lang w:val="en-NZ"/>
        </w:rPr>
        <w:t>e</w:t>
      </w:r>
      <w:r w:rsidR="00A16B89" w:rsidRPr="00A864A5">
        <w:rPr>
          <w:lang w:val="en-NZ"/>
        </w:rPr>
        <w:t>valuat</w:t>
      </w:r>
      <w:r>
        <w:rPr>
          <w:lang w:val="en-NZ"/>
        </w:rPr>
        <w:t>e</w:t>
      </w:r>
      <w:r w:rsidR="00A16B89" w:rsidRPr="00A864A5">
        <w:rPr>
          <w:lang w:val="en-NZ"/>
        </w:rPr>
        <w:t xml:space="preserve">, and </w:t>
      </w:r>
      <w:r>
        <w:rPr>
          <w:lang w:val="en-NZ"/>
        </w:rPr>
        <w:t>r</w:t>
      </w:r>
      <w:r w:rsidR="00A16B89" w:rsidRPr="00A864A5">
        <w:rPr>
          <w:lang w:val="en-NZ"/>
        </w:rPr>
        <w:t>eview</w:t>
      </w:r>
      <w:r w:rsidR="003A6757">
        <w:rPr>
          <w:lang w:val="en-NZ"/>
        </w:rPr>
        <w:t xml:space="preserve"> the preferred option</w:t>
      </w:r>
      <w:r>
        <w:rPr>
          <w:lang w:val="en-NZ"/>
        </w:rPr>
        <w:t>?</w:t>
      </w:r>
    </w:p>
    <w:p w14:paraId="59C38634" w14:textId="3F36F0F3" w:rsidR="008321F8" w:rsidRDefault="00BB3848" w:rsidP="002C7C74">
      <w:pPr>
        <w:pStyle w:val="ListParagraph"/>
        <w:numPr>
          <w:ilvl w:val="0"/>
          <w:numId w:val="24"/>
        </w:numPr>
        <w:ind w:hanging="720"/>
        <w:rPr>
          <w:lang w:val="en-NZ"/>
        </w:rPr>
      </w:pPr>
      <w:r>
        <w:rPr>
          <w:lang w:val="en-NZ"/>
        </w:rPr>
        <w:t xml:space="preserve">Inland Revenue’s existing </w:t>
      </w:r>
      <w:r w:rsidR="00520EAA">
        <w:rPr>
          <w:lang w:val="en-NZ"/>
        </w:rPr>
        <w:t xml:space="preserve">taxpayer compliance </w:t>
      </w:r>
      <w:r w:rsidR="009C614C">
        <w:rPr>
          <w:lang w:val="en-NZ"/>
        </w:rPr>
        <w:t xml:space="preserve">specialists </w:t>
      </w:r>
      <w:r>
        <w:rPr>
          <w:lang w:val="en-NZ"/>
        </w:rPr>
        <w:t>will</w:t>
      </w:r>
      <w:r w:rsidR="00AC3408">
        <w:rPr>
          <w:lang w:val="en-NZ"/>
        </w:rPr>
        <w:t xml:space="preserve"> be responsible for the ongoing monitoring of the effectiveness of the new penalties (as part of their regular work of monitoring taxpayer behaviour</w:t>
      </w:r>
      <w:r w:rsidR="0006518F">
        <w:rPr>
          <w:lang w:val="en-NZ"/>
        </w:rPr>
        <w:t xml:space="preserve"> and the </w:t>
      </w:r>
      <w:r w:rsidR="009E4306">
        <w:rPr>
          <w:lang w:val="en-NZ"/>
        </w:rPr>
        <w:t>general level of taxpayer compliance</w:t>
      </w:r>
      <w:r w:rsidR="00AC3408">
        <w:rPr>
          <w:lang w:val="en-NZ"/>
        </w:rPr>
        <w:t xml:space="preserve">). </w:t>
      </w:r>
      <w:r w:rsidR="00D85BF4">
        <w:rPr>
          <w:lang w:val="en-NZ"/>
        </w:rPr>
        <w:t>We will be able to determine the</w:t>
      </w:r>
      <w:r w:rsidR="001D5358">
        <w:rPr>
          <w:lang w:val="en-NZ"/>
        </w:rPr>
        <w:t xml:space="preserve"> degree to which the penalties succe</w:t>
      </w:r>
      <w:r w:rsidR="001E79FF">
        <w:rPr>
          <w:lang w:val="en-NZ"/>
        </w:rPr>
        <w:t>ed</w:t>
      </w:r>
      <w:r w:rsidR="001D5358">
        <w:rPr>
          <w:lang w:val="en-NZ"/>
        </w:rPr>
        <w:t xml:space="preserve"> in </w:t>
      </w:r>
      <w:r w:rsidR="001E79FF">
        <w:rPr>
          <w:lang w:val="en-NZ"/>
        </w:rPr>
        <w:t xml:space="preserve">deterring the spread and use of sales suppression software </w:t>
      </w:r>
      <w:r w:rsidR="00D85BF4">
        <w:rPr>
          <w:lang w:val="en-NZ"/>
        </w:rPr>
        <w:t>through this work.</w:t>
      </w:r>
      <w:r w:rsidR="00474EE2">
        <w:rPr>
          <w:lang w:val="en-NZ"/>
        </w:rPr>
        <w:t xml:space="preserve"> Monitoring the actual level of </w:t>
      </w:r>
      <w:r w:rsidR="00B26200">
        <w:rPr>
          <w:lang w:val="en-NZ"/>
        </w:rPr>
        <w:t xml:space="preserve">business income tax and GST paid to Inland Revenue and comparing it to expected levels </w:t>
      </w:r>
      <w:r w:rsidR="009D7351">
        <w:rPr>
          <w:lang w:val="en-NZ"/>
        </w:rPr>
        <w:t>will</w:t>
      </w:r>
      <w:r w:rsidR="00B26200">
        <w:rPr>
          <w:lang w:val="en-NZ"/>
        </w:rPr>
        <w:t xml:space="preserve"> also provide useful insight.</w:t>
      </w:r>
    </w:p>
    <w:p w14:paraId="0C48852B" w14:textId="77777777" w:rsidR="003811EF" w:rsidRDefault="003811EF" w:rsidP="00157C5D">
      <w:pPr>
        <w:pStyle w:val="ListParagraph"/>
        <w:rPr>
          <w:lang w:val="en-NZ"/>
        </w:rPr>
      </w:pPr>
    </w:p>
    <w:p w14:paraId="4D3A1E3B" w14:textId="430A92BB" w:rsidR="003967F9" w:rsidRPr="003967F9" w:rsidRDefault="001F7773" w:rsidP="009B6E1F">
      <w:pPr>
        <w:pStyle w:val="ListParagraph"/>
        <w:numPr>
          <w:ilvl w:val="0"/>
          <w:numId w:val="24"/>
        </w:numPr>
        <w:ind w:hanging="720"/>
        <w:rPr>
          <w:lang w:val="en-NZ"/>
        </w:rPr>
      </w:pPr>
      <w:r>
        <w:rPr>
          <w:lang w:val="en-NZ"/>
        </w:rPr>
        <w:t xml:space="preserve">The work of reviewing the success of </w:t>
      </w:r>
      <w:r w:rsidR="00D55195">
        <w:rPr>
          <w:lang w:val="en-NZ"/>
        </w:rPr>
        <w:t xml:space="preserve">the new penalties will also fall to </w:t>
      </w:r>
      <w:r w:rsidR="00520EAA">
        <w:rPr>
          <w:lang w:val="en-NZ"/>
        </w:rPr>
        <w:t xml:space="preserve">Inland Revenue’s existing compliance </w:t>
      </w:r>
      <w:r w:rsidR="009C614C">
        <w:rPr>
          <w:lang w:val="en-NZ"/>
        </w:rPr>
        <w:t>specialists</w:t>
      </w:r>
      <w:r w:rsidR="00D55195">
        <w:rPr>
          <w:lang w:val="en-NZ"/>
        </w:rPr>
        <w:t xml:space="preserve">, </w:t>
      </w:r>
      <w:r w:rsidR="004C10F4">
        <w:rPr>
          <w:lang w:val="en-NZ"/>
        </w:rPr>
        <w:t xml:space="preserve">who </w:t>
      </w:r>
      <w:r w:rsidR="00D55195">
        <w:rPr>
          <w:lang w:val="en-NZ"/>
        </w:rPr>
        <w:t xml:space="preserve">will inform </w:t>
      </w:r>
      <w:r w:rsidR="00B03BCC">
        <w:rPr>
          <w:lang w:val="en-NZ"/>
        </w:rPr>
        <w:t xml:space="preserve">officials </w:t>
      </w:r>
      <w:r w:rsidR="00D55195">
        <w:rPr>
          <w:lang w:val="en-NZ"/>
        </w:rPr>
        <w:t xml:space="preserve">if further </w:t>
      </w:r>
      <w:r w:rsidR="000D6293">
        <w:rPr>
          <w:lang w:val="en-NZ"/>
        </w:rPr>
        <w:t xml:space="preserve">measures </w:t>
      </w:r>
      <w:r w:rsidR="00BD20D9">
        <w:rPr>
          <w:lang w:val="en-NZ"/>
        </w:rPr>
        <w:t>or development are</w:t>
      </w:r>
      <w:r w:rsidR="000D6293">
        <w:rPr>
          <w:lang w:val="en-NZ"/>
        </w:rPr>
        <w:t xml:space="preserve"> required</w:t>
      </w:r>
      <w:r w:rsidR="00D55195">
        <w:rPr>
          <w:lang w:val="en-NZ"/>
        </w:rPr>
        <w:t xml:space="preserve">. </w:t>
      </w:r>
      <w:r w:rsidR="00224B5B">
        <w:rPr>
          <w:lang w:val="en-NZ"/>
        </w:rPr>
        <w:t xml:space="preserve">It will </w:t>
      </w:r>
      <w:r w:rsidR="000D6293">
        <w:rPr>
          <w:lang w:val="en-NZ"/>
        </w:rPr>
        <w:t xml:space="preserve">likely </w:t>
      </w:r>
      <w:r w:rsidR="00224B5B">
        <w:rPr>
          <w:lang w:val="en-NZ"/>
        </w:rPr>
        <w:t>take some time for the effects (</w:t>
      </w:r>
      <w:r w:rsidR="004F3DFD">
        <w:rPr>
          <w:lang w:val="en-NZ"/>
        </w:rPr>
        <w:t xml:space="preserve">or lack thereof if the regime succeeds) </w:t>
      </w:r>
      <w:r w:rsidR="00D11C6B">
        <w:rPr>
          <w:lang w:val="en-NZ"/>
        </w:rPr>
        <w:t xml:space="preserve">of sales suppression software to be felt in the tax base. Any review of the regime’s effectiveness will therefore need to be conducted at some delay. </w:t>
      </w:r>
    </w:p>
    <w:sectPr w:rsidR="003967F9" w:rsidRPr="003967F9" w:rsidSect="0005691A">
      <w:pgSz w:w="11906" w:h="16838"/>
      <w:pgMar w:top="1134"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0E3C6" w14:textId="77777777" w:rsidR="00681FC4" w:rsidRDefault="00681FC4">
      <w:pPr>
        <w:spacing w:after="0" w:line="240" w:lineRule="auto"/>
      </w:pPr>
      <w:r>
        <w:separator/>
      </w:r>
    </w:p>
    <w:p w14:paraId="011EF50E" w14:textId="77777777" w:rsidR="00681FC4" w:rsidRDefault="00681FC4"/>
  </w:endnote>
  <w:endnote w:type="continuationSeparator" w:id="0">
    <w:p w14:paraId="296CD9D0" w14:textId="77777777" w:rsidR="00681FC4" w:rsidRDefault="00681FC4">
      <w:pPr>
        <w:spacing w:after="0" w:line="240" w:lineRule="auto"/>
      </w:pPr>
      <w:r>
        <w:continuationSeparator/>
      </w:r>
    </w:p>
    <w:p w14:paraId="4FECDA10" w14:textId="77777777" w:rsidR="00681FC4" w:rsidRDefault="00681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altName w:val="Calibri"/>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69A0" w14:textId="77777777" w:rsidR="00470053" w:rsidRDefault="00470053" w:rsidP="00743278">
    <w:pPr>
      <w:pStyle w:val="Footer"/>
    </w:pPr>
  </w:p>
  <w:p w14:paraId="6E40FA9B" w14:textId="77777777" w:rsidR="00470053" w:rsidRDefault="004700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386A" w14:textId="255318C8" w:rsidR="00470053" w:rsidRDefault="00470053" w:rsidP="00743278">
    <w:pPr>
      <w:pStyle w:val="Footer"/>
      <w:rPr>
        <w:sz w:val="14"/>
      </w:rPr>
    </w:pPr>
  </w:p>
  <w:p w14:paraId="3F4886C0" w14:textId="05DA58E2" w:rsidR="00470053" w:rsidRPr="00743278" w:rsidRDefault="00470053" w:rsidP="00743278">
    <w:pPr>
      <w:pStyle w:val="Footer"/>
    </w:pPr>
    <w:r>
      <w:rPr>
        <w:sz w:val="14"/>
      </w:rPr>
      <w:tab/>
    </w:r>
    <w:r>
      <w:t xml:space="preserve">Regulatory Impact Statement: Sales Suppression Software </w:t>
    </w:r>
    <w:r w:rsidRPr="009435C4">
      <w:t xml:space="preserve">| </w:t>
    </w:r>
    <w:r w:rsidRPr="009435C4">
      <w:fldChar w:fldCharType="begin"/>
    </w:r>
    <w:r w:rsidRPr="009435C4">
      <w:instrText xml:space="preserve"> PAGE </w:instrText>
    </w:r>
    <w:r w:rsidRPr="009435C4">
      <w:fldChar w:fldCharType="separate"/>
    </w:r>
    <w:r>
      <w:t>11</w:t>
    </w:r>
    <w:r w:rsidRPr="009435C4">
      <w:fldChar w:fldCharType="end"/>
    </w:r>
  </w:p>
  <w:p w14:paraId="25B99CB4" w14:textId="77777777" w:rsidR="00470053" w:rsidRDefault="004700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BB3DC" w14:textId="77777777" w:rsidR="00681FC4" w:rsidRDefault="00681FC4">
      <w:pPr>
        <w:spacing w:after="0" w:line="240" w:lineRule="auto"/>
      </w:pPr>
      <w:r>
        <w:separator/>
      </w:r>
    </w:p>
    <w:p w14:paraId="680FE160" w14:textId="77777777" w:rsidR="00681FC4" w:rsidRDefault="00681FC4"/>
  </w:footnote>
  <w:footnote w:type="continuationSeparator" w:id="0">
    <w:p w14:paraId="4F6C4668" w14:textId="77777777" w:rsidR="00681FC4" w:rsidRDefault="00681FC4">
      <w:pPr>
        <w:spacing w:after="0" w:line="240" w:lineRule="auto"/>
      </w:pPr>
      <w:r>
        <w:continuationSeparator/>
      </w:r>
    </w:p>
    <w:p w14:paraId="07D5D6BB" w14:textId="77777777" w:rsidR="00681FC4" w:rsidRDefault="00681FC4"/>
  </w:footnote>
  <w:footnote w:id="1">
    <w:p w14:paraId="59ABF01C" w14:textId="52AD490B" w:rsidR="00470053" w:rsidRPr="00DD5E6A" w:rsidRDefault="00470053">
      <w:pPr>
        <w:pStyle w:val="FootnoteText"/>
        <w:rPr>
          <w:lang w:val="en-NZ"/>
        </w:rPr>
      </w:pPr>
      <w:r>
        <w:rPr>
          <w:rStyle w:val="FootnoteReference"/>
        </w:rPr>
        <w:footnoteRef/>
      </w:r>
      <w:r>
        <w:t xml:space="preserve"> A competent authority is a person in a revenue agency who, amongst other tasks, can share relevant information with other tax jurisdictions.</w:t>
      </w:r>
    </w:p>
  </w:footnote>
  <w:footnote w:id="2">
    <w:p w14:paraId="4730CCE6" w14:textId="0E6182DF" w:rsidR="00470053" w:rsidRPr="00DD5E6A" w:rsidRDefault="00470053">
      <w:pPr>
        <w:pStyle w:val="FootnoteText"/>
        <w:rPr>
          <w:lang w:val="en-NZ"/>
        </w:rPr>
      </w:pPr>
      <w:r>
        <w:rPr>
          <w:rStyle w:val="FootnoteReference"/>
        </w:rPr>
        <w:footnoteRef/>
      </w:r>
      <w:r>
        <w:t xml:space="preserve"> </w:t>
      </w:r>
      <w:r w:rsidRPr="00CE3162">
        <w:t>https://www.oecd.org/ctp/crime/ElectronicSalesSupression.pdf</w:t>
      </w:r>
    </w:p>
  </w:footnote>
  <w:footnote w:id="3">
    <w:p w14:paraId="531109F4" w14:textId="77777777" w:rsidR="00470053" w:rsidRDefault="00470053" w:rsidP="003025F2">
      <w:pPr>
        <w:pStyle w:val="FootnoteText"/>
      </w:pPr>
      <w:r>
        <w:rPr>
          <w:rStyle w:val="FootnoteReference"/>
        </w:rPr>
        <w:footnoteRef/>
      </w:r>
      <w:r>
        <w:t xml:space="preserve"> E.g. </w:t>
      </w:r>
      <w:r w:rsidRPr="007220D9">
        <w:rPr>
          <w:i/>
          <w:iCs/>
        </w:rPr>
        <w:t>Electronic Sales Suppression: a threat to tax revenues (2013)</w:t>
      </w:r>
      <w:r>
        <w:t>, pp.6-7 and corrigendum.</w:t>
      </w:r>
    </w:p>
  </w:footnote>
  <w:footnote w:id="4">
    <w:p w14:paraId="33F24E0B" w14:textId="4B843B38" w:rsidR="00470053" w:rsidRPr="00DD5E6A" w:rsidRDefault="00470053">
      <w:pPr>
        <w:pStyle w:val="FootnoteText"/>
        <w:rPr>
          <w:lang w:val="en-NZ"/>
        </w:rPr>
      </w:pPr>
      <w:r>
        <w:rPr>
          <w:rStyle w:val="FootnoteReference"/>
        </w:rPr>
        <w:footnoteRef/>
      </w:r>
      <w:r>
        <w:t xml:space="preserve"> </w:t>
      </w:r>
      <w:r>
        <w:rPr>
          <w:lang w:val="en-NZ"/>
        </w:rPr>
        <w:t>Refer section 143B of the Tax Administration Act 1994.</w:t>
      </w:r>
    </w:p>
  </w:footnote>
  <w:footnote w:id="5">
    <w:p w14:paraId="7DEF4783" w14:textId="4135DE2E" w:rsidR="00470053" w:rsidRPr="00DD5E6A" w:rsidRDefault="00470053">
      <w:pPr>
        <w:pStyle w:val="FootnoteText"/>
        <w:rPr>
          <w:lang w:val="en-NZ"/>
        </w:rPr>
      </w:pPr>
      <w:r>
        <w:rPr>
          <w:rStyle w:val="FootnoteReference"/>
        </w:rPr>
        <w:footnoteRef/>
      </w:r>
      <w:r>
        <w:t xml:space="preserve"> </w:t>
      </w:r>
      <w:r>
        <w:rPr>
          <w:lang w:val="en-NZ"/>
        </w:rPr>
        <w:t>Respectively, 5,000 penalty units for making or selling versus 1,000 for usage. A penalty unit is (as of the time of writing, 25 May 2021) worth AU$222 at the federal level, equating to AU$1,110,000 and AU$222,000.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1076" w14:textId="31B427BB" w:rsidR="00470053" w:rsidRDefault="00470053">
    <w:pPr>
      <w:pStyle w:val="Header"/>
    </w:pPr>
  </w:p>
  <w:p w14:paraId="5B68D6FF" w14:textId="77777777" w:rsidR="00470053" w:rsidRDefault="004700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215B" w14:textId="14AD3C9E" w:rsidR="00470053" w:rsidRPr="00EB1B21" w:rsidRDefault="00470053" w:rsidP="004B6F7D">
    <w:pPr>
      <w:tabs>
        <w:tab w:val="center" w:pos="4253"/>
      </w:tabs>
      <w:rPr>
        <w:b/>
      </w:rPr>
    </w:pPr>
    <w:r>
      <w:rPr>
        <w:noProof/>
      </w:rPr>
      <mc:AlternateContent>
        <mc:Choice Requires="wps">
          <w:drawing>
            <wp:anchor distT="0" distB="0" distL="114300" distR="114300" simplePos="0" relativeHeight="251658240" behindDoc="0" locked="0" layoutInCell="0" allowOverlap="1" wp14:anchorId="54FB417A" wp14:editId="7CA31845">
              <wp:simplePos x="0" y="0"/>
              <wp:positionH relativeFrom="page">
                <wp:posOffset>0</wp:posOffset>
              </wp:positionH>
              <wp:positionV relativeFrom="page">
                <wp:posOffset>190500</wp:posOffset>
              </wp:positionV>
              <wp:extent cx="7560310" cy="271780"/>
              <wp:effectExtent l="0" t="0" r="0" b="13970"/>
              <wp:wrapNone/>
              <wp:docPr id="1" name="MSIPCM8db4448d8cfecec90960cf82" descr="{&quot;HashCode&quot;:130510670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EFE8AE" w14:textId="3959CD5E" w:rsidR="00470053" w:rsidRPr="00C06D6A" w:rsidRDefault="00C06D6A" w:rsidP="00C06D6A">
                          <w:pPr>
                            <w:spacing w:after="0"/>
                            <w:jc w:val="center"/>
                            <w:rPr>
                              <w:rFonts w:ascii="Verdana" w:hAnsi="Verdana"/>
                              <w:color w:val="000000"/>
                              <w:sz w:val="20"/>
                            </w:rPr>
                          </w:pPr>
                          <w:r w:rsidRPr="00C06D6A">
                            <w:rPr>
                              <w:rFonts w:ascii="Verdana" w:hAnsi="Verdana"/>
                              <w:color w:val="000000"/>
                              <w:sz w:val="20"/>
                            </w:rPr>
                            <w:t xml:space="preserve">[IN CONFIDENCE]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4FB417A" id="_x0000_t202" coordsize="21600,21600" o:spt="202" path="m,l,21600r21600,l21600,xe">
              <v:stroke joinstyle="miter"/>
              <v:path gradientshapeok="t" o:connecttype="rect"/>
            </v:shapetype>
            <v:shape id="MSIPCM8db4448d8cfecec90960cf82" o:spid="_x0000_s1027" type="#_x0000_t202" alt="{&quot;HashCode&quot;:1305106702,&quot;Height&quot;:841.0,&quot;Width&quot;:595.0,&quot;Placement&quot;:&quot;Header&quot;,&quot;Index&quot;:&quot;Primary&quot;,&quot;Section&quot;:1,&quot;Top&quot;:0.0,&quot;Left&quot;:0.0}" style="position:absolute;margin-left:0;margin-top:15pt;width:595.3pt;height:21.4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" o:allowincell="f" filled="f" stroked="f" strokeweight=".5pt">
              <v:textbox inset=",0,,0">
                <w:txbxContent>
                  <w:p w14:paraId="4FEFE8AE" w14:textId="3959CD5E" w:rsidR="00470053" w:rsidRPr="00C06D6A" w:rsidRDefault="00C06D6A" w:rsidP="00C06D6A">
                    <w:pPr>
                      <w:spacing w:after="0"/>
                      <w:jc w:val="center"/>
                      <w:rPr>
                        <w:rFonts w:ascii="Verdana" w:hAnsi="Verdana"/>
                        <w:color w:val="000000"/>
                        <w:sz w:val="20"/>
                      </w:rPr>
                    </w:pPr>
                    <w:r w:rsidRPr="00C06D6A">
                      <w:rPr>
                        <w:rFonts w:ascii="Verdana" w:hAnsi="Verdana"/>
                        <w:color w:val="000000"/>
                        <w:sz w:val="20"/>
                      </w:rPr>
                      <w:t xml:space="preserve">[IN CONFIDENCE] </w:t>
                    </w:r>
                  </w:p>
                </w:txbxContent>
              </v:textbox>
              <w10:wrap anchorx="page" anchory="page"/>
            </v:shape>
          </w:pict>
        </mc:Fallback>
      </mc:AlternateContent>
    </w:r>
    <w:r>
      <w:tab/>
    </w:r>
  </w:p>
  <w:p w14:paraId="60EA4F3F" w14:textId="77777777" w:rsidR="00470053" w:rsidRDefault="004700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6D0"/>
    <w:multiLevelType w:val="hybridMultilevel"/>
    <w:tmpl w:val="D3F85AB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2B92AF1"/>
    <w:multiLevelType w:val="hybridMultilevel"/>
    <w:tmpl w:val="158024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A82164"/>
    <w:multiLevelType w:val="hybridMultilevel"/>
    <w:tmpl w:val="49522E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38C214B"/>
    <w:multiLevelType w:val="hybridMultilevel"/>
    <w:tmpl w:val="DEEEFA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20B8763B"/>
    <w:multiLevelType w:val="hybridMultilevel"/>
    <w:tmpl w:val="FD16E11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1DF19B5"/>
    <w:multiLevelType w:val="hybridMultilevel"/>
    <w:tmpl w:val="B8AC30F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1FA20F1"/>
    <w:multiLevelType w:val="hybridMultilevel"/>
    <w:tmpl w:val="E77044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5E62F65"/>
    <w:multiLevelType w:val="hybridMultilevel"/>
    <w:tmpl w:val="AD14867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539082D"/>
    <w:multiLevelType w:val="hybridMultilevel"/>
    <w:tmpl w:val="B30C4CCA"/>
    <w:lvl w:ilvl="0" w:tplc="6C0C79D2">
      <w:start w:val="1"/>
      <w:numFmt w:val="bullet"/>
      <w:pStyle w:val="Table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8DE5A8D"/>
    <w:multiLevelType w:val="hybridMultilevel"/>
    <w:tmpl w:val="1BE440D0"/>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79D190F"/>
    <w:multiLevelType w:val="hybridMultilevel"/>
    <w:tmpl w:val="FDA2E6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B973755"/>
    <w:multiLevelType w:val="hybridMultilevel"/>
    <w:tmpl w:val="CFBAC5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13774C8"/>
    <w:multiLevelType w:val="hybridMultilevel"/>
    <w:tmpl w:val="DA9C14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3E12988"/>
    <w:multiLevelType w:val="hybridMultilevel"/>
    <w:tmpl w:val="E0C0E7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48410C0"/>
    <w:multiLevelType w:val="multilevel"/>
    <w:tmpl w:val="C8E2319C"/>
    <w:lvl w:ilvl="0">
      <w:start w:val="20"/>
      <w:numFmt w:val="decimal"/>
      <w:pStyle w:val="BodyText-Numbered"/>
      <w:lvlText w:val="%1."/>
      <w:lvlJc w:val="left"/>
      <w:pPr>
        <w:ind w:left="1287" w:hanging="567"/>
      </w:pPr>
      <w:rPr>
        <w:rFonts w:hint="default"/>
      </w:rPr>
    </w:lvl>
    <w:lvl w:ilvl="1">
      <w:start w:val="1"/>
      <w:numFmt w:val="bullet"/>
      <w:lvlText w:val=""/>
      <w:lvlJc w:val="left"/>
      <w:pPr>
        <w:ind w:left="1854" w:hanging="567"/>
      </w:pPr>
      <w:rPr>
        <w:rFonts w:ascii="Symbol" w:hAnsi="Symbol" w:hint="default"/>
      </w:rPr>
    </w:lvl>
    <w:lvl w:ilvl="2">
      <w:start w:val="1"/>
      <w:numFmt w:val="lowerRoman"/>
      <w:lvlText w:val="%3."/>
      <w:lvlJc w:val="left"/>
      <w:pPr>
        <w:ind w:left="2421" w:hanging="567"/>
      </w:pPr>
      <w:rPr>
        <w:rFonts w:hint="default"/>
      </w:rPr>
    </w:lvl>
    <w:lvl w:ilvl="3">
      <w:start w:val="1"/>
      <w:numFmt w:val="decimal"/>
      <w:lvlText w:val="(%4)"/>
      <w:lvlJc w:val="left"/>
      <w:pPr>
        <w:ind w:left="2988" w:hanging="567"/>
      </w:pPr>
      <w:rPr>
        <w:rFonts w:hint="default"/>
      </w:rPr>
    </w:lvl>
    <w:lvl w:ilvl="4">
      <w:start w:val="1"/>
      <w:numFmt w:val="lowerLetter"/>
      <w:lvlText w:val="(%5)"/>
      <w:lvlJc w:val="left"/>
      <w:pPr>
        <w:ind w:left="3555" w:hanging="567"/>
      </w:pPr>
      <w:rPr>
        <w:rFonts w:hint="default"/>
      </w:rPr>
    </w:lvl>
    <w:lvl w:ilvl="5">
      <w:start w:val="1"/>
      <w:numFmt w:val="lowerRoman"/>
      <w:lvlText w:val="(%6)"/>
      <w:lvlJc w:val="left"/>
      <w:pPr>
        <w:ind w:left="4122" w:hanging="567"/>
      </w:pPr>
      <w:rPr>
        <w:rFonts w:hint="default"/>
      </w:rPr>
    </w:lvl>
    <w:lvl w:ilvl="6">
      <w:start w:val="1"/>
      <w:numFmt w:val="decimal"/>
      <w:lvlText w:val="%7."/>
      <w:lvlJc w:val="left"/>
      <w:pPr>
        <w:ind w:left="4689" w:hanging="567"/>
      </w:pPr>
      <w:rPr>
        <w:rFonts w:hint="default"/>
      </w:rPr>
    </w:lvl>
    <w:lvl w:ilvl="7">
      <w:start w:val="1"/>
      <w:numFmt w:val="lowerLetter"/>
      <w:lvlText w:val="%8."/>
      <w:lvlJc w:val="left"/>
      <w:pPr>
        <w:ind w:left="5256" w:hanging="567"/>
      </w:pPr>
      <w:rPr>
        <w:rFonts w:hint="default"/>
      </w:rPr>
    </w:lvl>
    <w:lvl w:ilvl="8">
      <w:start w:val="1"/>
      <w:numFmt w:val="lowerRoman"/>
      <w:lvlText w:val="%9."/>
      <w:lvlJc w:val="left"/>
      <w:pPr>
        <w:ind w:left="5823" w:hanging="567"/>
      </w:pPr>
      <w:rPr>
        <w:rFonts w:hint="default"/>
      </w:rPr>
    </w:lvl>
  </w:abstractNum>
  <w:abstractNum w:abstractNumId="15"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F71A17"/>
    <w:multiLevelType w:val="hybridMultilevel"/>
    <w:tmpl w:val="1902DF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5FDD7E64"/>
    <w:multiLevelType w:val="hybridMultilevel"/>
    <w:tmpl w:val="7F22D250"/>
    <w:lvl w:ilvl="0" w:tplc="FC2A6B8E">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285490A"/>
    <w:multiLevelType w:val="hybridMultilevel"/>
    <w:tmpl w:val="6FAA3E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3993153"/>
    <w:multiLevelType w:val="multilevel"/>
    <w:tmpl w:val="6F2C5926"/>
    <w:lvl w:ilvl="0">
      <w:start w:val="4"/>
      <w:numFmt w:val="decimal"/>
      <w:pStyle w:val="NumberedParagraphCabStandard"/>
      <w:lvlText w:val="%1."/>
      <w:lvlJc w:val="left"/>
      <w:pPr>
        <w:tabs>
          <w:tab w:val="num" w:pos="709"/>
        </w:tabs>
        <w:ind w:left="709" w:hanging="709"/>
      </w:pPr>
      <w:rPr>
        <w:rFonts w:ascii="Arial" w:hAnsi="Arial" w:cs="Arial" w:hint="default"/>
        <w:b w:val="0"/>
        <w:bCs w:val="0"/>
        <w:i w:val="0"/>
        <w:iCs w:val="0"/>
        <w:sz w:val="24"/>
      </w:rPr>
    </w:lvl>
    <w:lvl w:ilvl="1">
      <w:start w:val="1"/>
      <w:numFmt w:val="decimal"/>
      <w:lvlText w:val="%1.%2"/>
      <w:lvlJc w:val="left"/>
      <w:pPr>
        <w:tabs>
          <w:tab w:val="num" w:pos="1418"/>
        </w:tabs>
        <w:ind w:left="1418" w:hanging="709"/>
      </w:pPr>
      <w:rPr>
        <w:rFonts w:hint="default"/>
        <w:i w:val="0"/>
        <w:iCs w:val="0"/>
        <w:sz w:val="24"/>
      </w:rPr>
    </w:lvl>
    <w:lvl w:ilvl="2">
      <w:start w:val="1"/>
      <w:numFmt w:val="decimal"/>
      <w:lvlText w:val="%1.%2.%3"/>
      <w:lvlJc w:val="left"/>
      <w:pPr>
        <w:tabs>
          <w:tab w:val="num" w:pos="2127"/>
        </w:tabs>
        <w:ind w:left="2127" w:hanging="709"/>
      </w:pPr>
      <w:rPr>
        <w:rFonts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b w:val="0"/>
        <w:bCs w:val="0"/>
        <w:i w:val="0"/>
        <w:iCs w:val="0"/>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20" w15:restartNumberingAfterBreak="0">
    <w:nsid w:val="68E67E35"/>
    <w:multiLevelType w:val="hybridMultilevel"/>
    <w:tmpl w:val="FAAE77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6A062730"/>
    <w:multiLevelType w:val="hybridMultilevel"/>
    <w:tmpl w:val="18827DC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76753EB4"/>
    <w:multiLevelType w:val="hybridMultilevel"/>
    <w:tmpl w:val="33360198"/>
    <w:lvl w:ilvl="0" w:tplc="F356CA2A">
      <w:numFmt w:val="bullet"/>
      <w:lvlText w:val="-"/>
      <w:lvlJc w:val="left"/>
      <w:pPr>
        <w:ind w:left="720" w:hanging="360"/>
      </w:pPr>
      <w:rPr>
        <w:rFonts w:ascii="Calibri" w:eastAsia="Times New Roman" w:hAnsi="Calibri" w:cs="Times New Roman"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8"/>
  </w:num>
  <w:num w:numId="5">
    <w:abstractNumId w:val="0"/>
  </w:num>
  <w:num w:numId="6">
    <w:abstractNumId w:val="4"/>
  </w:num>
  <w:num w:numId="7">
    <w:abstractNumId w:val="5"/>
  </w:num>
  <w:num w:numId="8">
    <w:abstractNumId w:val="21"/>
  </w:num>
  <w:num w:numId="9">
    <w:abstractNumId w:val="12"/>
  </w:num>
  <w:num w:numId="10">
    <w:abstractNumId w:val="20"/>
  </w:num>
  <w:num w:numId="11">
    <w:abstractNumId w:val="2"/>
  </w:num>
  <w:num w:numId="12">
    <w:abstractNumId w:val="11"/>
  </w:num>
  <w:num w:numId="13">
    <w:abstractNumId w:val="9"/>
  </w:num>
  <w:num w:numId="14">
    <w:abstractNumId w:val="16"/>
  </w:num>
  <w:num w:numId="15">
    <w:abstractNumId w:val="9"/>
  </w:num>
  <w:num w:numId="16">
    <w:abstractNumId w:val="2"/>
  </w:num>
  <w:num w:numId="17">
    <w:abstractNumId w:val="3"/>
  </w:num>
  <w:num w:numId="18">
    <w:abstractNumId w:val="13"/>
  </w:num>
  <w:num w:numId="19">
    <w:abstractNumId w:val="9"/>
  </w:num>
  <w:num w:numId="20">
    <w:abstractNumId w:val="9"/>
  </w:num>
  <w:num w:numId="21">
    <w:abstractNumId w:val="9"/>
  </w:num>
  <w:num w:numId="22">
    <w:abstractNumId w:val="9"/>
  </w:num>
  <w:num w:numId="23">
    <w:abstractNumId w:val="1"/>
  </w:num>
  <w:num w:numId="24">
    <w:abstractNumId w:val="7"/>
  </w:num>
  <w:num w:numId="25">
    <w:abstractNumId w:val="6"/>
  </w:num>
  <w:num w:numId="26">
    <w:abstractNumId w:val="18"/>
  </w:num>
  <w:num w:numId="27">
    <w:abstractNumId w:val="22"/>
  </w:num>
  <w:num w:numId="28">
    <w:abstractNumId w:val="17"/>
  </w:num>
  <w:num w:numId="29">
    <w:abstractNumId w:val="10"/>
  </w:num>
  <w:num w:numId="30">
    <w:abstractNumId w:val="9"/>
  </w:num>
  <w:num w:numId="31">
    <w:abstractNumId w:val="9"/>
  </w:num>
  <w:num w:numId="32">
    <w:abstractNumId w:val="9"/>
  </w:num>
  <w:num w:numId="33">
    <w:abstractNumId w:val="9"/>
  </w:num>
  <w:num w:numId="3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209"/>
    <w:rsid w:val="0000201A"/>
    <w:rsid w:val="0000328A"/>
    <w:rsid w:val="0000724E"/>
    <w:rsid w:val="00007FD3"/>
    <w:rsid w:val="00012998"/>
    <w:rsid w:val="000132F6"/>
    <w:rsid w:val="00014FB7"/>
    <w:rsid w:val="00017279"/>
    <w:rsid w:val="00020F75"/>
    <w:rsid w:val="000210ED"/>
    <w:rsid w:val="00024303"/>
    <w:rsid w:val="0002454F"/>
    <w:rsid w:val="00024979"/>
    <w:rsid w:val="000273E3"/>
    <w:rsid w:val="00030190"/>
    <w:rsid w:val="00034615"/>
    <w:rsid w:val="00035076"/>
    <w:rsid w:val="00035D2E"/>
    <w:rsid w:val="000375D6"/>
    <w:rsid w:val="00037F29"/>
    <w:rsid w:val="00041FC0"/>
    <w:rsid w:val="000424B7"/>
    <w:rsid w:val="00046A04"/>
    <w:rsid w:val="00051193"/>
    <w:rsid w:val="000517AE"/>
    <w:rsid w:val="000523BC"/>
    <w:rsid w:val="000524A6"/>
    <w:rsid w:val="000548CE"/>
    <w:rsid w:val="0005594D"/>
    <w:rsid w:val="00056384"/>
    <w:rsid w:val="0005691A"/>
    <w:rsid w:val="00056D90"/>
    <w:rsid w:val="00056DD5"/>
    <w:rsid w:val="000602CF"/>
    <w:rsid w:val="00062349"/>
    <w:rsid w:val="000626D7"/>
    <w:rsid w:val="00063943"/>
    <w:rsid w:val="000648A4"/>
    <w:rsid w:val="0006518F"/>
    <w:rsid w:val="0007168A"/>
    <w:rsid w:val="00072C3E"/>
    <w:rsid w:val="0007474B"/>
    <w:rsid w:val="00074B65"/>
    <w:rsid w:val="00076368"/>
    <w:rsid w:val="00080FED"/>
    <w:rsid w:val="0008397A"/>
    <w:rsid w:val="000905D6"/>
    <w:rsid w:val="00093E9C"/>
    <w:rsid w:val="000940D1"/>
    <w:rsid w:val="00094363"/>
    <w:rsid w:val="000968D0"/>
    <w:rsid w:val="00097119"/>
    <w:rsid w:val="000A0BE9"/>
    <w:rsid w:val="000A2B04"/>
    <w:rsid w:val="000B0135"/>
    <w:rsid w:val="000B0D4D"/>
    <w:rsid w:val="000B2320"/>
    <w:rsid w:val="000B360F"/>
    <w:rsid w:val="000B49B4"/>
    <w:rsid w:val="000B5AB4"/>
    <w:rsid w:val="000B7AB6"/>
    <w:rsid w:val="000C268D"/>
    <w:rsid w:val="000C299F"/>
    <w:rsid w:val="000C29FA"/>
    <w:rsid w:val="000C2BC3"/>
    <w:rsid w:val="000C356C"/>
    <w:rsid w:val="000C4659"/>
    <w:rsid w:val="000C6E26"/>
    <w:rsid w:val="000C7053"/>
    <w:rsid w:val="000D1E59"/>
    <w:rsid w:val="000D34D3"/>
    <w:rsid w:val="000D48A7"/>
    <w:rsid w:val="000D53C3"/>
    <w:rsid w:val="000D6293"/>
    <w:rsid w:val="000D7757"/>
    <w:rsid w:val="000D7BD3"/>
    <w:rsid w:val="000E00AF"/>
    <w:rsid w:val="000E2F38"/>
    <w:rsid w:val="000E35FF"/>
    <w:rsid w:val="000E3D58"/>
    <w:rsid w:val="000E6CD6"/>
    <w:rsid w:val="000F2FA8"/>
    <w:rsid w:val="000F5D1D"/>
    <w:rsid w:val="000F62E0"/>
    <w:rsid w:val="000F6B2E"/>
    <w:rsid w:val="000F720E"/>
    <w:rsid w:val="00101FE6"/>
    <w:rsid w:val="0010467F"/>
    <w:rsid w:val="001049D4"/>
    <w:rsid w:val="00105D66"/>
    <w:rsid w:val="00110945"/>
    <w:rsid w:val="00114B31"/>
    <w:rsid w:val="001163EB"/>
    <w:rsid w:val="00117B74"/>
    <w:rsid w:val="00117DF0"/>
    <w:rsid w:val="0012142E"/>
    <w:rsid w:val="001220BD"/>
    <w:rsid w:val="001243EB"/>
    <w:rsid w:val="00124FA4"/>
    <w:rsid w:val="00125BA7"/>
    <w:rsid w:val="00127879"/>
    <w:rsid w:val="0013009E"/>
    <w:rsid w:val="0013190A"/>
    <w:rsid w:val="00132393"/>
    <w:rsid w:val="0013264B"/>
    <w:rsid w:val="00135B24"/>
    <w:rsid w:val="00136004"/>
    <w:rsid w:val="00136700"/>
    <w:rsid w:val="00136946"/>
    <w:rsid w:val="00137414"/>
    <w:rsid w:val="001402E8"/>
    <w:rsid w:val="00140394"/>
    <w:rsid w:val="0014074D"/>
    <w:rsid w:val="00143F2D"/>
    <w:rsid w:val="00147D9A"/>
    <w:rsid w:val="00150958"/>
    <w:rsid w:val="001525AA"/>
    <w:rsid w:val="001527E9"/>
    <w:rsid w:val="0015564C"/>
    <w:rsid w:val="00155B8B"/>
    <w:rsid w:val="00155DD4"/>
    <w:rsid w:val="0015795C"/>
    <w:rsid w:val="00157C5D"/>
    <w:rsid w:val="00164445"/>
    <w:rsid w:val="00164D97"/>
    <w:rsid w:val="00167308"/>
    <w:rsid w:val="00167871"/>
    <w:rsid w:val="00167891"/>
    <w:rsid w:val="0017116F"/>
    <w:rsid w:val="00173460"/>
    <w:rsid w:val="00174EC9"/>
    <w:rsid w:val="00175B52"/>
    <w:rsid w:val="001802E8"/>
    <w:rsid w:val="001817F4"/>
    <w:rsid w:val="00182FAD"/>
    <w:rsid w:val="001837C1"/>
    <w:rsid w:val="00185A12"/>
    <w:rsid w:val="00186592"/>
    <w:rsid w:val="0018664D"/>
    <w:rsid w:val="00186EAA"/>
    <w:rsid w:val="001904CE"/>
    <w:rsid w:val="00190F33"/>
    <w:rsid w:val="00191E9B"/>
    <w:rsid w:val="00193917"/>
    <w:rsid w:val="00193ED9"/>
    <w:rsid w:val="00194919"/>
    <w:rsid w:val="001967D5"/>
    <w:rsid w:val="001A07B8"/>
    <w:rsid w:val="001A38FE"/>
    <w:rsid w:val="001A4B31"/>
    <w:rsid w:val="001A4C46"/>
    <w:rsid w:val="001A6552"/>
    <w:rsid w:val="001A6F2E"/>
    <w:rsid w:val="001A7CB9"/>
    <w:rsid w:val="001B20A2"/>
    <w:rsid w:val="001B4BF0"/>
    <w:rsid w:val="001C1540"/>
    <w:rsid w:val="001C4A82"/>
    <w:rsid w:val="001C6453"/>
    <w:rsid w:val="001C66CD"/>
    <w:rsid w:val="001C770C"/>
    <w:rsid w:val="001D0AA6"/>
    <w:rsid w:val="001D1874"/>
    <w:rsid w:val="001D1CC4"/>
    <w:rsid w:val="001D2196"/>
    <w:rsid w:val="001D27D7"/>
    <w:rsid w:val="001D4DEC"/>
    <w:rsid w:val="001D5358"/>
    <w:rsid w:val="001D599D"/>
    <w:rsid w:val="001D5A29"/>
    <w:rsid w:val="001D5BD2"/>
    <w:rsid w:val="001D7B9B"/>
    <w:rsid w:val="001E166B"/>
    <w:rsid w:val="001E34C4"/>
    <w:rsid w:val="001E79FF"/>
    <w:rsid w:val="001E7D01"/>
    <w:rsid w:val="001F2384"/>
    <w:rsid w:val="001F29E6"/>
    <w:rsid w:val="001F5C53"/>
    <w:rsid w:val="001F66FE"/>
    <w:rsid w:val="001F6845"/>
    <w:rsid w:val="001F6FBD"/>
    <w:rsid w:val="001F7773"/>
    <w:rsid w:val="00200DA1"/>
    <w:rsid w:val="002060EC"/>
    <w:rsid w:val="00210498"/>
    <w:rsid w:val="00210C3D"/>
    <w:rsid w:val="002112EA"/>
    <w:rsid w:val="00212395"/>
    <w:rsid w:val="00212A84"/>
    <w:rsid w:val="002167FC"/>
    <w:rsid w:val="00216981"/>
    <w:rsid w:val="00220212"/>
    <w:rsid w:val="00221C0F"/>
    <w:rsid w:val="0022201B"/>
    <w:rsid w:val="00222441"/>
    <w:rsid w:val="00224B5B"/>
    <w:rsid w:val="002254E4"/>
    <w:rsid w:val="0022557C"/>
    <w:rsid w:val="00231197"/>
    <w:rsid w:val="00231673"/>
    <w:rsid w:val="002316E5"/>
    <w:rsid w:val="0023241A"/>
    <w:rsid w:val="002428A4"/>
    <w:rsid w:val="00243612"/>
    <w:rsid w:val="0024415A"/>
    <w:rsid w:val="002469E9"/>
    <w:rsid w:val="00250F16"/>
    <w:rsid w:val="00251BD0"/>
    <w:rsid w:val="002546A9"/>
    <w:rsid w:val="002576BB"/>
    <w:rsid w:val="0026139D"/>
    <w:rsid w:val="0026224E"/>
    <w:rsid w:val="0026379C"/>
    <w:rsid w:val="0026379E"/>
    <w:rsid w:val="00263D08"/>
    <w:rsid w:val="002663F5"/>
    <w:rsid w:val="00273014"/>
    <w:rsid w:val="00273573"/>
    <w:rsid w:val="00275103"/>
    <w:rsid w:val="00275987"/>
    <w:rsid w:val="0027622D"/>
    <w:rsid w:val="00276B93"/>
    <w:rsid w:val="00281606"/>
    <w:rsid w:val="00282154"/>
    <w:rsid w:val="00283979"/>
    <w:rsid w:val="0028538B"/>
    <w:rsid w:val="002864A3"/>
    <w:rsid w:val="00290D34"/>
    <w:rsid w:val="00291243"/>
    <w:rsid w:val="00293D8D"/>
    <w:rsid w:val="0029421E"/>
    <w:rsid w:val="00294646"/>
    <w:rsid w:val="00295393"/>
    <w:rsid w:val="002958E5"/>
    <w:rsid w:val="0029653F"/>
    <w:rsid w:val="002A2C43"/>
    <w:rsid w:val="002A5F83"/>
    <w:rsid w:val="002A7820"/>
    <w:rsid w:val="002B01D8"/>
    <w:rsid w:val="002B1665"/>
    <w:rsid w:val="002B27D8"/>
    <w:rsid w:val="002B426E"/>
    <w:rsid w:val="002B4450"/>
    <w:rsid w:val="002B6E0D"/>
    <w:rsid w:val="002C1E86"/>
    <w:rsid w:val="002C2785"/>
    <w:rsid w:val="002C346F"/>
    <w:rsid w:val="002C3926"/>
    <w:rsid w:val="002C7C74"/>
    <w:rsid w:val="002D2932"/>
    <w:rsid w:val="002D4285"/>
    <w:rsid w:val="002D5018"/>
    <w:rsid w:val="002D52C3"/>
    <w:rsid w:val="002D589F"/>
    <w:rsid w:val="002D6F74"/>
    <w:rsid w:val="002E06CC"/>
    <w:rsid w:val="002E140F"/>
    <w:rsid w:val="002E1635"/>
    <w:rsid w:val="002E3773"/>
    <w:rsid w:val="002E487F"/>
    <w:rsid w:val="002E72A0"/>
    <w:rsid w:val="002E789E"/>
    <w:rsid w:val="002F1B44"/>
    <w:rsid w:val="002F456E"/>
    <w:rsid w:val="002F52B4"/>
    <w:rsid w:val="002F59DB"/>
    <w:rsid w:val="002F7B32"/>
    <w:rsid w:val="003025C5"/>
    <w:rsid w:val="003025F2"/>
    <w:rsid w:val="003032F0"/>
    <w:rsid w:val="00303372"/>
    <w:rsid w:val="0030464E"/>
    <w:rsid w:val="00305A53"/>
    <w:rsid w:val="00310035"/>
    <w:rsid w:val="00310839"/>
    <w:rsid w:val="00314476"/>
    <w:rsid w:val="00315A06"/>
    <w:rsid w:val="00317F29"/>
    <w:rsid w:val="00322F16"/>
    <w:rsid w:val="0032495B"/>
    <w:rsid w:val="00324E1E"/>
    <w:rsid w:val="00326496"/>
    <w:rsid w:val="00327DA2"/>
    <w:rsid w:val="0033231A"/>
    <w:rsid w:val="003335DC"/>
    <w:rsid w:val="0034086B"/>
    <w:rsid w:val="00341836"/>
    <w:rsid w:val="00342381"/>
    <w:rsid w:val="003459D6"/>
    <w:rsid w:val="00346116"/>
    <w:rsid w:val="00346B30"/>
    <w:rsid w:val="00347BA1"/>
    <w:rsid w:val="00354F55"/>
    <w:rsid w:val="003565F9"/>
    <w:rsid w:val="0036100C"/>
    <w:rsid w:val="00361281"/>
    <w:rsid w:val="00363B61"/>
    <w:rsid w:val="0036454B"/>
    <w:rsid w:val="00364C4C"/>
    <w:rsid w:val="0036646F"/>
    <w:rsid w:val="00367CF2"/>
    <w:rsid w:val="00371AA6"/>
    <w:rsid w:val="00373851"/>
    <w:rsid w:val="00373983"/>
    <w:rsid w:val="00373CD5"/>
    <w:rsid w:val="003811EF"/>
    <w:rsid w:val="00381B56"/>
    <w:rsid w:val="00384E9B"/>
    <w:rsid w:val="00390DC2"/>
    <w:rsid w:val="00394C04"/>
    <w:rsid w:val="0039577B"/>
    <w:rsid w:val="003966A5"/>
    <w:rsid w:val="003967F9"/>
    <w:rsid w:val="00397C8D"/>
    <w:rsid w:val="003A014C"/>
    <w:rsid w:val="003A045A"/>
    <w:rsid w:val="003A0C4D"/>
    <w:rsid w:val="003A2BB1"/>
    <w:rsid w:val="003A6027"/>
    <w:rsid w:val="003A6757"/>
    <w:rsid w:val="003B04D5"/>
    <w:rsid w:val="003B349A"/>
    <w:rsid w:val="003B6D49"/>
    <w:rsid w:val="003B742A"/>
    <w:rsid w:val="003B77EA"/>
    <w:rsid w:val="003B7835"/>
    <w:rsid w:val="003C3183"/>
    <w:rsid w:val="003C48E9"/>
    <w:rsid w:val="003C4999"/>
    <w:rsid w:val="003C5267"/>
    <w:rsid w:val="003C61B5"/>
    <w:rsid w:val="003D0DB1"/>
    <w:rsid w:val="003D46B0"/>
    <w:rsid w:val="003D4DA7"/>
    <w:rsid w:val="003D500E"/>
    <w:rsid w:val="003D5655"/>
    <w:rsid w:val="003D6D1C"/>
    <w:rsid w:val="003E20E0"/>
    <w:rsid w:val="003E3006"/>
    <w:rsid w:val="003E5879"/>
    <w:rsid w:val="003F1C16"/>
    <w:rsid w:val="003F2D3B"/>
    <w:rsid w:val="003F2F6F"/>
    <w:rsid w:val="003F2F92"/>
    <w:rsid w:val="003F3813"/>
    <w:rsid w:val="003F4BA1"/>
    <w:rsid w:val="003F4EE0"/>
    <w:rsid w:val="003F59E1"/>
    <w:rsid w:val="003F775E"/>
    <w:rsid w:val="003F7F54"/>
    <w:rsid w:val="004009AA"/>
    <w:rsid w:val="00400E95"/>
    <w:rsid w:val="00401E3C"/>
    <w:rsid w:val="0040297B"/>
    <w:rsid w:val="0040497A"/>
    <w:rsid w:val="00405E5B"/>
    <w:rsid w:val="00406EC7"/>
    <w:rsid w:val="00407C81"/>
    <w:rsid w:val="0041056D"/>
    <w:rsid w:val="004111B8"/>
    <w:rsid w:val="0041278D"/>
    <w:rsid w:val="00413FD8"/>
    <w:rsid w:val="004148E6"/>
    <w:rsid w:val="0041785C"/>
    <w:rsid w:val="004179F5"/>
    <w:rsid w:val="00417B4A"/>
    <w:rsid w:val="00420F13"/>
    <w:rsid w:val="004217EF"/>
    <w:rsid w:val="00422C20"/>
    <w:rsid w:val="0042454E"/>
    <w:rsid w:val="00424732"/>
    <w:rsid w:val="004251FE"/>
    <w:rsid w:val="00430835"/>
    <w:rsid w:val="00431CA7"/>
    <w:rsid w:val="0043361C"/>
    <w:rsid w:val="00434211"/>
    <w:rsid w:val="00434AB7"/>
    <w:rsid w:val="004402CE"/>
    <w:rsid w:val="00441E39"/>
    <w:rsid w:val="00441FF6"/>
    <w:rsid w:val="00442959"/>
    <w:rsid w:val="00447453"/>
    <w:rsid w:val="00455AC2"/>
    <w:rsid w:val="00460CD2"/>
    <w:rsid w:val="00461DDC"/>
    <w:rsid w:val="004625C9"/>
    <w:rsid w:val="004628FF"/>
    <w:rsid w:val="0046780C"/>
    <w:rsid w:val="00467AB7"/>
    <w:rsid w:val="00470053"/>
    <w:rsid w:val="00473442"/>
    <w:rsid w:val="00474EE2"/>
    <w:rsid w:val="00477E82"/>
    <w:rsid w:val="00484A6C"/>
    <w:rsid w:val="004851B1"/>
    <w:rsid w:val="004855E8"/>
    <w:rsid w:val="00485C2A"/>
    <w:rsid w:val="004861B5"/>
    <w:rsid w:val="004877B3"/>
    <w:rsid w:val="00487FAD"/>
    <w:rsid w:val="00491FAD"/>
    <w:rsid w:val="0049234F"/>
    <w:rsid w:val="00492CBA"/>
    <w:rsid w:val="00493DFB"/>
    <w:rsid w:val="0049467D"/>
    <w:rsid w:val="00496B0A"/>
    <w:rsid w:val="004A11FC"/>
    <w:rsid w:val="004A1AE3"/>
    <w:rsid w:val="004A24B6"/>
    <w:rsid w:val="004A2714"/>
    <w:rsid w:val="004A2BD0"/>
    <w:rsid w:val="004A4084"/>
    <w:rsid w:val="004A6E33"/>
    <w:rsid w:val="004B0926"/>
    <w:rsid w:val="004B0A19"/>
    <w:rsid w:val="004B200D"/>
    <w:rsid w:val="004B2B31"/>
    <w:rsid w:val="004B2E9A"/>
    <w:rsid w:val="004B3A6A"/>
    <w:rsid w:val="004B4C9E"/>
    <w:rsid w:val="004B6F7D"/>
    <w:rsid w:val="004B7BD3"/>
    <w:rsid w:val="004C056B"/>
    <w:rsid w:val="004C0B1A"/>
    <w:rsid w:val="004C10F4"/>
    <w:rsid w:val="004C12D0"/>
    <w:rsid w:val="004C4603"/>
    <w:rsid w:val="004C6060"/>
    <w:rsid w:val="004C72CA"/>
    <w:rsid w:val="004D000C"/>
    <w:rsid w:val="004D1722"/>
    <w:rsid w:val="004D5AF6"/>
    <w:rsid w:val="004D7DF8"/>
    <w:rsid w:val="004E023A"/>
    <w:rsid w:val="004E1A06"/>
    <w:rsid w:val="004E72AD"/>
    <w:rsid w:val="004F3DA8"/>
    <w:rsid w:val="004F3DFD"/>
    <w:rsid w:val="004F4BA4"/>
    <w:rsid w:val="004F5B65"/>
    <w:rsid w:val="00501053"/>
    <w:rsid w:val="0050418B"/>
    <w:rsid w:val="00504A2A"/>
    <w:rsid w:val="00505B2B"/>
    <w:rsid w:val="00514770"/>
    <w:rsid w:val="005167FA"/>
    <w:rsid w:val="00517BA2"/>
    <w:rsid w:val="00517D8E"/>
    <w:rsid w:val="00520EAA"/>
    <w:rsid w:val="00521403"/>
    <w:rsid w:val="00523D6A"/>
    <w:rsid w:val="005258E4"/>
    <w:rsid w:val="0052670F"/>
    <w:rsid w:val="00527C27"/>
    <w:rsid w:val="00530722"/>
    <w:rsid w:val="00532479"/>
    <w:rsid w:val="00536E68"/>
    <w:rsid w:val="00537B28"/>
    <w:rsid w:val="00537EFE"/>
    <w:rsid w:val="00541194"/>
    <w:rsid w:val="00541C3D"/>
    <w:rsid w:val="00543026"/>
    <w:rsid w:val="00543648"/>
    <w:rsid w:val="00545BBC"/>
    <w:rsid w:val="00546076"/>
    <w:rsid w:val="00550200"/>
    <w:rsid w:val="00550CEB"/>
    <w:rsid w:val="00553C18"/>
    <w:rsid w:val="00554046"/>
    <w:rsid w:val="00556893"/>
    <w:rsid w:val="00560B8C"/>
    <w:rsid w:val="00560FED"/>
    <w:rsid w:val="0056317B"/>
    <w:rsid w:val="00564321"/>
    <w:rsid w:val="0056545E"/>
    <w:rsid w:val="00565849"/>
    <w:rsid w:val="00565FA5"/>
    <w:rsid w:val="00566D2F"/>
    <w:rsid w:val="00567740"/>
    <w:rsid w:val="00570089"/>
    <w:rsid w:val="00570886"/>
    <w:rsid w:val="00570E3F"/>
    <w:rsid w:val="005751EE"/>
    <w:rsid w:val="00575FF9"/>
    <w:rsid w:val="00576AF6"/>
    <w:rsid w:val="00583004"/>
    <w:rsid w:val="005843AC"/>
    <w:rsid w:val="00584E87"/>
    <w:rsid w:val="005855FE"/>
    <w:rsid w:val="005857D1"/>
    <w:rsid w:val="00585891"/>
    <w:rsid w:val="00586451"/>
    <w:rsid w:val="005905CD"/>
    <w:rsid w:val="00590AF5"/>
    <w:rsid w:val="00593B97"/>
    <w:rsid w:val="005A0B65"/>
    <w:rsid w:val="005A2E71"/>
    <w:rsid w:val="005A5398"/>
    <w:rsid w:val="005A671E"/>
    <w:rsid w:val="005A7388"/>
    <w:rsid w:val="005A7603"/>
    <w:rsid w:val="005B27FB"/>
    <w:rsid w:val="005B3A75"/>
    <w:rsid w:val="005B404E"/>
    <w:rsid w:val="005B42C1"/>
    <w:rsid w:val="005B448A"/>
    <w:rsid w:val="005B50CA"/>
    <w:rsid w:val="005B5FC4"/>
    <w:rsid w:val="005C028F"/>
    <w:rsid w:val="005C1D93"/>
    <w:rsid w:val="005C38A2"/>
    <w:rsid w:val="005C76D8"/>
    <w:rsid w:val="005D14FF"/>
    <w:rsid w:val="005E24C2"/>
    <w:rsid w:val="005E6C7E"/>
    <w:rsid w:val="005F14E8"/>
    <w:rsid w:val="005F358D"/>
    <w:rsid w:val="005F4E4B"/>
    <w:rsid w:val="005F51DE"/>
    <w:rsid w:val="005F65AE"/>
    <w:rsid w:val="005F6A3B"/>
    <w:rsid w:val="0060071B"/>
    <w:rsid w:val="00603466"/>
    <w:rsid w:val="00605092"/>
    <w:rsid w:val="00605C2F"/>
    <w:rsid w:val="006172F1"/>
    <w:rsid w:val="00624CAF"/>
    <w:rsid w:val="0062657E"/>
    <w:rsid w:val="00626E8A"/>
    <w:rsid w:val="006278DF"/>
    <w:rsid w:val="00634395"/>
    <w:rsid w:val="006344E0"/>
    <w:rsid w:val="006354F8"/>
    <w:rsid w:val="006356D0"/>
    <w:rsid w:val="00636019"/>
    <w:rsid w:val="006361BE"/>
    <w:rsid w:val="00637874"/>
    <w:rsid w:val="00642209"/>
    <w:rsid w:val="00643127"/>
    <w:rsid w:val="0064359E"/>
    <w:rsid w:val="0064405E"/>
    <w:rsid w:val="0064540E"/>
    <w:rsid w:val="006468E1"/>
    <w:rsid w:val="00652C2E"/>
    <w:rsid w:val="00654CEA"/>
    <w:rsid w:val="0065552A"/>
    <w:rsid w:val="00655724"/>
    <w:rsid w:val="00656925"/>
    <w:rsid w:val="00663BAA"/>
    <w:rsid w:val="00664F50"/>
    <w:rsid w:val="00671451"/>
    <w:rsid w:val="00671877"/>
    <w:rsid w:val="00675711"/>
    <w:rsid w:val="00676458"/>
    <w:rsid w:val="00676730"/>
    <w:rsid w:val="006767B7"/>
    <w:rsid w:val="006768B3"/>
    <w:rsid w:val="006777C4"/>
    <w:rsid w:val="00681FC4"/>
    <w:rsid w:val="00686045"/>
    <w:rsid w:val="00687118"/>
    <w:rsid w:val="00693232"/>
    <w:rsid w:val="006A1AA9"/>
    <w:rsid w:val="006A55EB"/>
    <w:rsid w:val="006A5CC7"/>
    <w:rsid w:val="006A6B3A"/>
    <w:rsid w:val="006B00A4"/>
    <w:rsid w:val="006B096F"/>
    <w:rsid w:val="006B31DA"/>
    <w:rsid w:val="006B5794"/>
    <w:rsid w:val="006B5FB6"/>
    <w:rsid w:val="006B67CE"/>
    <w:rsid w:val="006B7116"/>
    <w:rsid w:val="006C1313"/>
    <w:rsid w:val="006C644B"/>
    <w:rsid w:val="006C684F"/>
    <w:rsid w:val="006D05B2"/>
    <w:rsid w:val="006D0A1B"/>
    <w:rsid w:val="006D12A5"/>
    <w:rsid w:val="006D17FA"/>
    <w:rsid w:val="006D4E48"/>
    <w:rsid w:val="006E1F3D"/>
    <w:rsid w:val="006E7EEB"/>
    <w:rsid w:val="006F1A67"/>
    <w:rsid w:val="006F2C55"/>
    <w:rsid w:val="006F3BFB"/>
    <w:rsid w:val="006F3E62"/>
    <w:rsid w:val="006F636E"/>
    <w:rsid w:val="007037C4"/>
    <w:rsid w:val="007041E3"/>
    <w:rsid w:val="00707C9E"/>
    <w:rsid w:val="007154A6"/>
    <w:rsid w:val="00715EB8"/>
    <w:rsid w:val="00720C55"/>
    <w:rsid w:val="00721CE1"/>
    <w:rsid w:val="00723C46"/>
    <w:rsid w:val="00723DF3"/>
    <w:rsid w:val="007245C5"/>
    <w:rsid w:val="00725B5B"/>
    <w:rsid w:val="007271F7"/>
    <w:rsid w:val="0072799F"/>
    <w:rsid w:val="00730034"/>
    <w:rsid w:val="00730C62"/>
    <w:rsid w:val="00731FAE"/>
    <w:rsid w:val="007325A8"/>
    <w:rsid w:val="00733BF2"/>
    <w:rsid w:val="00736302"/>
    <w:rsid w:val="00737053"/>
    <w:rsid w:val="0073765C"/>
    <w:rsid w:val="00737F63"/>
    <w:rsid w:val="007413CF"/>
    <w:rsid w:val="007419E2"/>
    <w:rsid w:val="00743278"/>
    <w:rsid w:val="007441E0"/>
    <w:rsid w:val="00750F14"/>
    <w:rsid w:val="007518CB"/>
    <w:rsid w:val="007527DC"/>
    <w:rsid w:val="00755099"/>
    <w:rsid w:val="00755D36"/>
    <w:rsid w:val="00756B15"/>
    <w:rsid w:val="00760A40"/>
    <w:rsid w:val="00761786"/>
    <w:rsid w:val="00765935"/>
    <w:rsid w:val="00771B6E"/>
    <w:rsid w:val="00773638"/>
    <w:rsid w:val="00773A84"/>
    <w:rsid w:val="00776E61"/>
    <w:rsid w:val="0078143F"/>
    <w:rsid w:val="00782B12"/>
    <w:rsid w:val="00783C55"/>
    <w:rsid w:val="007866E7"/>
    <w:rsid w:val="007916A6"/>
    <w:rsid w:val="00792525"/>
    <w:rsid w:val="0079435C"/>
    <w:rsid w:val="007A20DD"/>
    <w:rsid w:val="007A2192"/>
    <w:rsid w:val="007A390D"/>
    <w:rsid w:val="007A3AD2"/>
    <w:rsid w:val="007A3BF5"/>
    <w:rsid w:val="007A3F88"/>
    <w:rsid w:val="007A7736"/>
    <w:rsid w:val="007B024A"/>
    <w:rsid w:val="007B0612"/>
    <w:rsid w:val="007B090A"/>
    <w:rsid w:val="007B1E67"/>
    <w:rsid w:val="007B1FB2"/>
    <w:rsid w:val="007B4CEA"/>
    <w:rsid w:val="007B73E0"/>
    <w:rsid w:val="007C05CC"/>
    <w:rsid w:val="007C11F8"/>
    <w:rsid w:val="007C1BD3"/>
    <w:rsid w:val="007C6348"/>
    <w:rsid w:val="007D6E61"/>
    <w:rsid w:val="007D78A1"/>
    <w:rsid w:val="007D7A5C"/>
    <w:rsid w:val="007D7EDC"/>
    <w:rsid w:val="007E0A08"/>
    <w:rsid w:val="007E4F5A"/>
    <w:rsid w:val="007E6077"/>
    <w:rsid w:val="007F2441"/>
    <w:rsid w:val="007F4A52"/>
    <w:rsid w:val="007F5EBD"/>
    <w:rsid w:val="007F6004"/>
    <w:rsid w:val="007F63A6"/>
    <w:rsid w:val="007F6633"/>
    <w:rsid w:val="007F7F7C"/>
    <w:rsid w:val="0080077C"/>
    <w:rsid w:val="00800893"/>
    <w:rsid w:val="00801C6F"/>
    <w:rsid w:val="00804E26"/>
    <w:rsid w:val="00805DB4"/>
    <w:rsid w:val="008064C0"/>
    <w:rsid w:val="00812CAB"/>
    <w:rsid w:val="00813D4E"/>
    <w:rsid w:val="008155BF"/>
    <w:rsid w:val="00816332"/>
    <w:rsid w:val="00817326"/>
    <w:rsid w:val="00817D48"/>
    <w:rsid w:val="00817EF6"/>
    <w:rsid w:val="00821749"/>
    <w:rsid w:val="008222EA"/>
    <w:rsid w:val="0082413D"/>
    <w:rsid w:val="008246BA"/>
    <w:rsid w:val="008270D9"/>
    <w:rsid w:val="0083060A"/>
    <w:rsid w:val="008321F8"/>
    <w:rsid w:val="008322CE"/>
    <w:rsid w:val="00832767"/>
    <w:rsid w:val="00835076"/>
    <w:rsid w:val="00836306"/>
    <w:rsid w:val="00840ECA"/>
    <w:rsid w:val="00841FAB"/>
    <w:rsid w:val="00846C56"/>
    <w:rsid w:val="00847E6E"/>
    <w:rsid w:val="00850EFB"/>
    <w:rsid w:val="0085212E"/>
    <w:rsid w:val="00853169"/>
    <w:rsid w:val="00853E6C"/>
    <w:rsid w:val="0085441F"/>
    <w:rsid w:val="0085526D"/>
    <w:rsid w:val="00855BBA"/>
    <w:rsid w:val="008601A8"/>
    <w:rsid w:val="008603C7"/>
    <w:rsid w:val="00860829"/>
    <w:rsid w:val="00860A2C"/>
    <w:rsid w:val="0086254E"/>
    <w:rsid w:val="008646D4"/>
    <w:rsid w:val="00864D58"/>
    <w:rsid w:val="00865F60"/>
    <w:rsid w:val="00867D43"/>
    <w:rsid w:val="0087047A"/>
    <w:rsid w:val="008704DC"/>
    <w:rsid w:val="00873D22"/>
    <w:rsid w:val="00880730"/>
    <w:rsid w:val="008810DD"/>
    <w:rsid w:val="00881A01"/>
    <w:rsid w:val="00881CA9"/>
    <w:rsid w:val="00881DF1"/>
    <w:rsid w:val="00881E95"/>
    <w:rsid w:val="00882849"/>
    <w:rsid w:val="00882A34"/>
    <w:rsid w:val="00883A80"/>
    <w:rsid w:val="00890436"/>
    <w:rsid w:val="0089617A"/>
    <w:rsid w:val="0089735D"/>
    <w:rsid w:val="0089745E"/>
    <w:rsid w:val="008A0941"/>
    <w:rsid w:val="008A1FFA"/>
    <w:rsid w:val="008A4E88"/>
    <w:rsid w:val="008A504D"/>
    <w:rsid w:val="008C1879"/>
    <w:rsid w:val="008C2163"/>
    <w:rsid w:val="008C53FE"/>
    <w:rsid w:val="008C5B2D"/>
    <w:rsid w:val="008C6374"/>
    <w:rsid w:val="008C69EC"/>
    <w:rsid w:val="008D051A"/>
    <w:rsid w:val="008D0FF3"/>
    <w:rsid w:val="008D1BAE"/>
    <w:rsid w:val="008D22EF"/>
    <w:rsid w:val="008D265C"/>
    <w:rsid w:val="008D4BEA"/>
    <w:rsid w:val="008D784D"/>
    <w:rsid w:val="008E0865"/>
    <w:rsid w:val="008E4AC1"/>
    <w:rsid w:val="008F02B0"/>
    <w:rsid w:val="008F2B19"/>
    <w:rsid w:val="008F3D7F"/>
    <w:rsid w:val="008F6E88"/>
    <w:rsid w:val="0090127B"/>
    <w:rsid w:val="009037EA"/>
    <w:rsid w:val="0090696D"/>
    <w:rsid w:val="00907E5A"/>
    <w:rsid w:val="009125FB"/>
    <w:rsid w:val="00913334"/>
    <w:rsid w:val="009140EC"/>
    <w:rsid w:val="00914E7A"/>
    <w:rsid w:val="00920842"/>
    <w:rsid w:val="009215BF"/>
    <w:rsid w:val="0092176D"/>
    <w:rsid w:val="00925B22"/>
    <w:rsid w:val="0092710F"/>
    <w:rsid w:val="00932544"/>
    <w:rsid w:val="00935AF8"/>
    <w:rsid w:val="00936146"/>
    <w:rsid w:val="009409C3"/>
    <w:rsid w:val="009410E3"/>
    <w:rsid w:val="00942D5A"/>
    <w:rsid w:val="009435C4"/>
    <w:rsid w:val="009438E4"/>
    <w:rsid w:val="00944250"/>
    <w:rsid w:val="0094584C"/>
    <w:rsid w:val="00946A39"/>
    <w:rsid w:val="009476AF"/>
    <w:rsid w:val="00950E36"/>
    <w:rsid w:val="00954259"/>
    <w:rsid w:val="00956684"/>
    <w:rsid w:val="00956EC1"/>
    <w:rsid w:val="00957A1D"/>
    <w:rsid w:val="009609C7"/>
    <w:rsid w:val="00962946"/>
    <w:rsid w:val="00964E59"/>
    <w:rsid w:val="00970321"/>
    <w:rsid w:val="00970B59"/>
    <w:rsid w:val="00971284"/>
    <w:rsid w:val="00971A61"/>
    <w:rsid w:val="0097236D"/>
    <w:rsid w:val="00973985"/>
    <w:rsid w:val="00975D61"/>
    <w:rsid w:val="00977915"/>
    <w:rsid w:val="009809CD"/>
    <w:rsid w:val="0098254D"/>
    <w:rsid w:val="00984692"/>
    <w:rsid w:val="00984A4A"/>
    <w:rsid w:val="0099086E"/>
    <w:rsid w:val="00991E5D"/>
    <w:rsid w:val="009927C0"/>
    <w:rsid w:val="00993DD9"/>
    <w:rsid w:val="009942BA"/>
    <w:rsid w:val="00996453"/>
    <w:rsid w:val="00997542"/>
    <w:rsid w:val="00997639"/>
    <w:rsid w:val="009A1323"/>
    <w:rsid w:val="009A331F"/>
    <w:rsid w:val="009A6D47"/>
    <w:rsid w:val="009B0796"/>
    <w:rsid w:val="009B0A55"/>
    <w:rsid w:val="009B4F59"/>
    <w:rsid w:val="009B55E4"/>
    <w:rsid w:val="009B6E1F"/>
    <w:rsid w:val="009C2397"/>
    <w:rsid w:val="009C4129"/>
    <w:rsid w:val="009C614C"/>
    <w:rsid w:val="009C6559"/>
    <w:rsid w:val="009D0B82"/>
    <w:rsid w:val="009D1C90"/>
    <w:rsid w:val="009D4C7C"/>
    <w:rsid w:val="009D4D1F"/>
    <w:rsid w:val="009D7351"/>
    <w:rsid w:val="009E0634"/>
    <w:rsid w:val="009E068E"/>
    <w:rsid w:val="009E2E0C"/>
    <w:rsid w:val="009E2E77"/>
    <w:rsid w:val="009E4306"/>
    <w:rsid w:val="009E458D"/>
    <w:rsid w:val="009E6303"/>
    <w:rsid w:val="009F080F"/>
    <w:rsid w:val="009F2486"/>
    <w:rsid w:val="009F36BA"/>
    <w:rsid w:val="009F3DFA"/>
    <w:rsid w:val="009F6501"/>
    <w:rsid w:val="00A01D69"/>
    <w:rsid w:val="00A02270"/>
    <w:rsid w:val="00A03CE3"/>
    <w:rsid w:val="00A03E72"/>
    <w:rsid w:val="00A04EAE"/>
    <w:rsid w:val="00A059D1"/>
    <w:rsid w:val="00A0728D"/>
    <w:rsid w:val="00A10C0E"/>
    <w:rsid w:val="00A118BF"/>
    <w:rsid w:val="00A129DE"/>
    <w:rsid w:val="00A137FB"/>
    <w:rsid w:val="00A138E7"/>
    <w:rsid w:val="00A15778"/>
    <w:rsid w:val="00A159DF"/>
    <w:rsid w:val="00A16654"/>
    <w:rsid w:val="00A16B89"/>
    <w:rsid w:val="00A206AC"/>
    <w:rsid w:val="00A20BA4"/>
    <w:rsid w:val="00A211D4"/>
    <w:rsid w:val="00A21330"/>
    <w:rsid w:val="00A25101"/>
    <w:rsid w:val="00A27611"/>
    <w:rsid w:val="00A31FC6"/>
    <w:rsid w:val="00A330B3"/>
    <w:rsid w:val="00A355C6"/>
    <w:rsid w:val="00A36232"/>
    <w:rsid w:val="00A36767"/>
    <w:rsid w:val="00A410C0"/>
    <w:rsid w:val="00A428E6"/>
    <w:rsid w:val="00A430B1"/>
    <w:rsid w:val="00A44B01"/>
    <w:rsid w:val="00A460C7"/>
    <w:rsid w:val="00A50D05"/>
    <w:rsid w:val="00A53E1A"/>
    <w:rsid w:val="00A57025"/>
    <w:rsid w:val="00A60FE7"/>
    <w:rsid w:val="00A61552"/>
    <w:rsid w:val="00A63DD4"/>
    <w:rsid w:val="00A73106"/>
    <w:rsid w:val="00A73742"/>
    <w:rsid w:val="00A77B0A"/>
    <w:rsid w:val="00A83219"/>
    <w:rsid w:val="00A8334C"/>
    <w:rsid w:val="00A849D8"/>
    <w:rsid w:val="00A864A5"/>
    <w:rsid w:val="00A91104"/>
    <w:rsid w:val="00A9187F"/>
    <w:rsid w:val="00A926DC"/>
    <w:rsid w:val="00A931AA"/>
    <w:rsid w:val="00A957DF"/>
    <w:rsid w:val="00AA0F7D"/>
    <w:rsid w:val="00AA5A3C"/>
    <w:rsid w:val="00AA6A54"/>
    <w:rsid w:val="00AA78FB"/>
    <w:rsid w:val="00AB108D"/>
    <w:rsid w:val="00AB54C1"/>
    <w:rsid w:val="00AB680D"/>
    <w:rsid w:val="00AC01F1"/>
    <w:rsid w:val="00AC18F6"/>
    <w:rsid w:val="00AC3408"/>
    <w:rsid w:val="00AC41C9"/>
    <w:rsid w:val="00AC645F"/>
    <w:rsid w:val="00AC6E2D"/>
    <w:rsid w:val="00AD0D77"/>
    <w:rsid w:val="00AD1FC5"/>
    <w:rsid w:val="00AD2D70"/>
    <w:rsid w:val="00AD4078"/>
    <w:rsid w:val="00AD41C9"/>
    <w:rsid w:val="00AD4328"/>
    <w:rsid w:val="00AE0AC8"/>
    <w:rsid w:val="00AE407B"/>
    <w:rsid w:val="00AE4AE0"/>
    <w:rsid w:val="00AE5AF0"/>
    <w:rsid w:val="00AE6881"/>
    <w:rsid w:val="00AF2098"/>
    <w:rsid w:val="00AF5BE6"/>
    <w:rsid w:val="00AF6E79"/>
    <w:rsid w:val="00AF79BD"/>
    <w:rsid w:val="00AF79E9"/>
    <w:rsid w:val="00B01C63"/>
    <w:rsid w:val="00B03BCC"/>
    <w:rsid w:val="00B05FDA"/>
    <w:rsid w:val="00B061CF"/>
    <w:rsid w:val="00B121E3"/>
    <w:rsid w:val="00B123CB"/>
    <w:rsid w:val="00B1304E"/>
    <w:rsid w:val="00B14DA5"/>
    <w:rsid w:val="00B15A03"/>
    <w:rsid w:val="00B15AE2"/>
    <w:rsid w:val="00B20E4D"/>
    <w:rsid w:val="00B2239E"/>
    <w:rsid w:val="00B25CA4"/>
    <w:rsid w:val="00B26200"/>
    <w:rsid w:val="00B27096"/>
    <w:rsid w:val="00B3077E"/>
    <w:rsid w:val="00B30A80"/>
    <w:rsid w:val="00B36406"/>
    <w:rsid w:val="00B4047F"/>
    <w:rsid w:val="00B51988"/>
    <w:rsid w:val="00B52157"/>
    <w:rsid w:val="00B53653"/>
    <w:rsid w:val="00B53D0C"/>
    <w:rsid w:val="00B56036"/>
    <w:rsid w:val="00B56273"/>
    <w:rsid w:val="00B566F4"/>
    <w:rsid w:val="00B60F5B"/>
    <w:rsid w:val="00B62DF6"/>
    <w:rsid w:val="00B63DE7"/>
    <w:rsid w:val="00B64126"/>
    <w:rsid w:val="00B6527B"/>
    <w:rsid w:val="00B6693F"/>
    <w:rsid w:val="00B6752E"/>
    <w:rsid w:val="00B71B2A"/>
    <w:rsid w:val="00B72858"/>
    <w:rsid w:val="00B73053"/>
    <w:rsid w:val="00B748BF"/>
    <w:rsid w:val="00B74BD4"/>
    <w:rsid w:val="00B80582"/>
    <w:rsid w:val="00B80B07"/>
    <w:rsid w:val="00B81C76"/>
    <w:rsid w:val="00B8492F"/>
    <w:rsid w:val="00B84E15"/>
    <w:rsid w:val="00B853A7"/>
    <w:rsid w:val="00B86CE3"/>
    <w:rsid w:val="00B87AED"/>
    <w:rsid w:val="00B87DF8"/>
    <w:rsid w:val="00B92D3C"/>
    <w:rsid w:val="00B937FC"/>
    <w:rsid w:val="00B96523"/>
    <w:rsid w:val="00B96D00"/>
    <w:rsid w:val="00BA2072"/>
    <w:rsid w:val="00BA43F6"/>
    <w:rsid w:val="00BA6839"/>
    <w:rsid w:val="00BA7788"/>
    <w:rsid w:val="00BA7837"/>
    <w:rsid w:val="00BB04B4"/>
    <w:rsid w:val="00BB28F4"/>
    <w:rsid w:val="00BB3848"/>
    <w:rsid w:val="00BB422A"/>
    <w:rsid w:val="00BC3EA0"/>
    <w:rsid w:val="00BC5C7C"/>
    <w:rsid w:val="00BD20D9"/>
    <w:rsid w:val="00BD5AD4"/>
    <w:rsid w:val="00BE3133"/>
    <w:rsid w:val="00BE3504"/>
    <w:rsid w:val="00BE36E3"/>
    <w:rsid w:val="00BE4FB2"/>
    <w:rsid w:val="00BE6B13"/>
    <w:rsid w:val="00BF1286"/>
    <w:rsid w:val="00BF1FBD"/>
    <w:rsid w:val="00BF44B9"/>
    <w:rsid w:val="00BF4DAE"/>
    <w:rsid w:val="00BF5F05"/>
    <w:rsid w:val="00BF7672"/>
    <w:rsid w:val="00BF78C1"/>
    <w:rsid w:val="00BF7B40"/>
    <w:rsid w:val="00C019C2"/>
    <w:rsid w:val="00C06D6A"/>
    <w:rsid w:val="00C07C5D"/>
    <w:rsid w:val="00C07FA5"/>
    <w:rsid w:val="00C10F89"/>
    <w:rsid w:val="00C11B3B"/>
    <w:rsid w:val="00C14C7A"/>
    <w:rsid w:val="00C14F4E"/>
    <w:rsid w:val="00C17661"/>
    <w:rsid w:val="00C25027"/>
    <w:rsid w:val="00C267C2"/>
    <w:rsid w:val="00C27170"/>
    <w:rsid w:val="00C279F5"/>
    <w:rsid w:val="00C31924"/>
    <w:rsid w:val="00C3263C"/>
    <w:rsid w:val="00C341DB"/>
    <w:rsid w:val="00C36B2A"/>
    <w:rsid w:val="00C42BBD"/>
    <w:rsid w:val="00C42CAD"/>
    <w:rsid w:val="00C45EDF"/>
    <w:rsid w:val="00C46B47"/>
    <w:rsid w:val="00C47E5E"/>
    <w:rsid w:val="00C52225"/>
    <w:rsid w:val="00C52D29"/>
    <w:rsid w:val="00C533E7"/>
    <w:rsid w:val="00C53DAC"/>
    <w:rsid w:val="00C62363"/>
    <w:rsid w:val="00C62569"/>
    <w:rsid w:val="00C62EC4"/>
    <w:rsid w:val="00C63290"/>
    <w:rsid w:val="00C64A54"/>
    <w:rsid w:val="00C64A8D"/>
    <w:rsid w:val="00C65149"/>
    <w:rsid w:val="00C71268"/>
    <w:rsid w:val="00C7185B"/>
    <w:rsid w:val="00C74254"/>
    <w:rsid w:val="00C74255"/>
    <w:rsid w:val="00C763BC"/>
    <w:rsid w:val="00C81209"/>
    <w:rsid w:val="00C83D46"/>
    <w:rsid w:val="00C9042F"/>
    <w:rsid w:val="00C90F55"/>
    <w:rsid w:val="00C9208C"/>
    <w:rsid w:val="00C931B2"/>
    <w:rsid w:val="00C93549"/>
    <w:rsid w:val="00C943A0"/>
    <w:rsid w:val="00CA1ADD"/>
    <w:rsid w:val="00CA4E90"/>
    <w:rsid w:val="00CA6FA7"/>
    <w:rsid w:val="00CB08AA"/>
    <w:rsid w:val="00CB2549"/>
    <w:rsid w:val="00CB3AC3"/>
    <w:rsid w:val="00CB4A66"/>
    <w:rsid w:val="00CB65DE"/>
    <w:rsid w:val="00CB73AD"/>
    <w:rsid w:val="00CC2F41"/>
    <w:rsid w:val="00CC3A0A"/>
    <w:rsid w:val="00CD1C4C"/>
    <w:rsid w:val="00CD2D17"/>
    <w:rsid w:val="00CD3472"/>
    <w:rsid w:val="00CD3984"/>
    <w:rsid w:val="00CD3A43"/>
    <w:rsid w:val="00CD435A"/>
    <w:rsid w:val="00CD4B62"/>
    <w:rsid w:val="00CD5424"/>
    <w:rsid w:val="00CE0B03"/>
    <w:rsid w:val="00CE3162"/>
    <w:rsid w:val="00CE3900"/>
    <w:rsid w:val="00CE53AE"/>
    <w:rsid w:val="00CE5474"/>
    <w:rsid w:val="00CF22E7"/>
    <w:rsid w:val="00CF22E9"/>
    <w:rsid w:val="00CF368B"/>
    <w:rsid w:val="00CF6EA8"/>
    <w:rsid w:val="00D01A62"/>
    <w:rsid w:val="00D04461"/>
    <w:rsid w:val="00D052EF"/>
    <w:rsid w:val="00D06837"/>
    <w:rsid w:val="00D0750C"/>
    <w:rsid w:val="00D10ED7"/>
    <w:rsid w:val="00D11C6B"/>
    <w:rsid w:val="00D2726A"/>
    <w:rsid w:val="00D278AA"/>
    <w:rsid w:val="00D27BEA"/>
    <w:rsid w:val="00D3194A"/>
    <w:rsid w:val="00D32240"/>
    <w:rsid w:val="00D322ED"/>
    <w:rsid w:val="00D32CA2"/>
    <w:rsid w:val="00D33EC0"/>
    <w:rsid w:val="00D34F8E"/>
    <w:rsid w:val="00D41E92"/>
    <w:rsid w:val="00D479EF"/>
    <w:rsid w:val="00D47CF9"/>
    <w:rsid w:val="00D47E19"/>
    <w:rsid w:val="00D53829"/>
    <w:rsid w:val="00D55195"/>
    <w:rsid w:val="00D55369"/>
    <w:rsid w:val="00D5555C"/>
    <w:rsid w:val="00D571AA"/>
    <w:rsid w:val="00D619CC"/>
    <w:rsid w:val="00D62B30"/>
    <w:rsid w:val="00D648C1"/>
    <w:rsid w:val="00D6519D"/>
    <w:rsid w:val="00D7095E"/>
    <w:rsid w:val="00D71CE0"/>
    <w:rsid w:val="00D72A78"/>
    <w:rsid w:val="00D734B2"/>
    <w:rsid w:val="00D738EA"/>
    <w:rsid w:val="00D740C3"/>
    <w:rsid w:val="00D76D2A"/>
    <w:rsid w:val="00D774E4"/>
    <w:rsid w:val="00D80782"/>
    <w:rsid w:val="00D821E3"/>
    <w:rsid w:val="00D85BF4"/>
    <w:rsid w:val="00D90DE0"/>
    <w:rsid w:val="00D91EB7"/>
    <w:rsid w:val="00D92028"/>
    <w:rsid w:val="00D923B2"/>
    <w:rsid w:val="00D924FF"/>
    <w:rsid w:val="00D93CD2"/>
    <w:rsid w:val="00D9660A"/>
    <w:rsid w:val="00D96EB2"/>
    <w:rsid w:val="00DA2762"/>
    <w:rsid w:val="00DA47DA"/>
    <w:rsid w:val="00DA6623"/>
    <w:rsid w:val="00DA6EC1"/>
    <w:rsid w:val="00DA7820"/>
    <w:rsid w:val="00DB2769"/>
    <w:rsid w:val="00DB51CD"/>
    <w:rsid w:val="00DB7C43"/>
    <w:rsid w:val="00DC018D"/>
    <w:rsid w:val="00DC341E"/>
    <w:rsid w:val="00DC40C5"/>
    <w:rsid w:val="00DC4BA4"/>
    <w:rsid w:val="00DC653C"/>
    <w:rsid w:val="00DD1605"/>
    <w:rsid w:val="00DD2C30"/>
    <w:rsid w:val="00DD3ABC"/>
    <w:rsid w:val="00DD54C8"/>
    <w:rsid w:val="00DD5E6A"/>
    <w:rsid w:val="00DD65AD"/>
    <w:rsid w:val="00DD69E6"/>
    <w:rsid w:val="00DD7964"/>
    <w:rsid w:val="00DE0913"/>
    <w:rsid w:val="00DE0A47"/>
    <w:rsid w:val="00DE3EF0"/>
    <w:rsid w:val="00DE5F65"/>
    <w:rsid w:val="00DE63FC"/>
    <w:rsid w:val="00DF0840"/>
    <w:rsid w:val="00DF216D"/>
    <w:rsid w:val="00DF2E7B"/>
    <w:rsid w:val="00DF537C"/>
    <w:rsid w:val="00DF6A6C"/>
    <w:rsid w:val="00E11CD5"/>
    <w:rsid w:val="00E163C4"/>
    <w:rsid w:val="00E16BDB"/>
    <w:rsid w:val="00E17042"/>
    <w:rsid w:val="00E23D42"/>
    <w:rsid w:val="00E271F3"/>
    <w:rsid w:val="00E31400"/>
    <w:rsid w:val="00E33E87"/>
    <w:rsid w:val="00E407AA"/>
    <w:rsid w:val="00E41FBB"/>
    <w:rsid w:val="00E427A8"/>
    <w:rsid w:val="00E44ECE"/>
    <w:rsid w:val="00E45B4B"/>
    <w:rsid w:val="00E45C34"/>
    <w:rsid w:val="00E46B5D"/>
    <w:rsid w:val="00E478DF"/>
    <w:rsid w:val="00E50CB8"/>
    <w:rsid w:val="00E50DD0"/>
    <w:rsid w:val="00E52B84"/>
    <w:rsid w:val="00E5441F"/>
    <w:rsid w:val="00E54650"/>
    <w:rsid w:val="00E5624D"/>
    <w:rsid w:val="00E56B27"/>
    <w:rsid w:val="00E61D56"/>
    <w:rsid w:val="00E652BF"/>
    <w:rsid w:val="00E655B8"/>
    <w:rsid w:val="00E658E9"/>
    <w:rsid w:val="00E6617F"/>
    <w:rsid w:val="00E71205"/>
    <w:rsid w:val="00E71B32"/>
    <w:rsid w:val="00E73F27"/>
    <w:rsid w:val="00E76E63"/>
    <w:rsid w:val="00E8143E"/>
    <w:rsid w:val="00E841AD"/>
    <w:rsid w:val="00E848D2"/>
    <w:rsid w:val="00E84E17"/>
    <w:rsid w:val="00E87081"/>
    <w:rsid w:val="00E901E5"/>
    <w:rsid w:val="00E961A1"/>
    <w:rsid w:val="00EA063C"/>
    <w:rsid w:val="00EA25FD"/>
    <w:rsid w:val="00EA2E0C"/>
    <w:rsid w:val="00EA6164"/>
    <w:rsid w:val="00EA7ED8"/>
    <w:rsid w:val="00EB0784"/>
    <w:rsid w:val="00EB2157"/>
    <w:rsid w:val="00EB2434"/>
    <w:rsid w:val="00EB2BCC"/>
    <w:rsid w:val="00EB3953"/>
    <w:rsid w:val="00EB43C0"/>
    <w:rsid w:val="00EB4E51"/>
    <w:rsid w:val="00EC10E5"/>
    <w:rsid w:val="00EC214F"/>
    <w:rsid w:val="00ED06BB"/>
    <w:rsid w:val="00ED18C4"/>
    <w:rsid w:val="00ED2E63"/>
    <w:rsid w:val="00ED2FBB"/>
    <w:rsid w:val="00ED69FB"/>
    <w:rsid w:val="00ED7BCB"/>
    <w:rsid w:val="00EE03E6"/>
    <w:rsid w:val="00EE056B"/>
    <w:rsid w:val="00EE3214"/>
    <w:rsid w:val="00EE6317"/>
    <w:rsid w:val="00EF1A94"/>
    <w:rsid w:val="00EF50FD"/>
    <w:rsid w:val="00F00A9D"/>
    <w:rsid w:val="00F01ED1"/>
    <w:rsid w:val="00F034D0"/>
    <w:rsid w:val="00F05768"/>
    <w:rsid w:val="00F05937"/>
    <w:rsid w:val="00F05A65"/>
    <w:rsid w:val="00F05AD9"/>
    <w:rsid w:val="00F07E75"/>
    <w:rsid w:val="00F15365"/>
    <w:rsid w:val="00F16C50"/>
    <w:rsid w:val="00F2296D"/>
    <w:rsid w:val="00F2363D"/>
    <w:rsid w:val="00F23684"/>
    <w:rsid w:val="00F23703"/>
    <w:rsid w:val="00F31430"/>
    <w:rsid w:val="00F31551"/>
    <w:rsid w:val="00F315FD"/>
    <w:rsid w:val="00F321A6"/>
    <w:rsid w:val="00F359DB"/>
    <w:rsid w:val="00F37083"/>
    <w:rsid w:val="00F402DF"/>
    <w:rsid w:val="00F40E6D"/>
    <w:rsid w:val="00F42D05"/>
    <w:rsid w:val="00F42D87"/>
    <w:rsid w:val="00F43C33"/>
    <w:rsid w:val="00F4506C"/>
    <w:rsid w:val="00F556DF"/>
    <w:rsid w:val="00F5746E"/>
    <w:rsid w:val="00F57F6F"/>
    <w:rsid w:val="00F6185A"/>
    <w:rsid w:val="00F637B2"/>
    <w:rsid w:val="00F64A80"/>
    <w:rsid w:val="00F64DC6"/>
    <w:rsid w:val="00F706D2"/>
    <w:rsid w:val="00F70F22"/>
    <w:rsid w:val="00F72CE3"/>
    <w:rsid w:val="00F72E1C"/>
    <w:rsid w:val="00F778FC"/>
    <w:rsid w:val="00F80513"/>
    <w:rsid w:val="00F811EF"/>
    <w:rsid w:val="00F83C17"/>
    <w:rsid w:val="00F84928"/>
    <w:rsid w:val="00F8530C"/>
    <w:rsid w:val="00F8641A"/>
    <w:rsid w:val="00F872B6"/>
    <w:rsid w:val="00F87AEB"/>
    <w:rsid w:val="00F91B9E"/>
    <w:rsid w:val="00F945D8"/>
    <w:rsid w:val="00F96D2B"/>
    <w:rsid w:val="00FA1A5E"/>
    <w:rsid w:val="00FA4E22"/>
    <w:rsid w:val="00FA598B"/>
    <w:rsid w:val="00FA60B6"/>
    <w:rsid w:val="00FA7145"/>
    <w:rsid w:val="00FA7EFC"/>
    <w:rsid w:val="00FB1871"/>
    <w:rsid w:val="00FB21EF"/>
    <w:rsid w:val="00FB367A"/>
    <w:rsid w:val="00FB7A37"/>
    <w:rsid w:val="00FC0D8C"/>
    <w:rsid w:val="00FC1A81"/>
    <w:rsid w:val="00FC27A3"/>
    <w:rsid w:val="00FC4DC7"/>
    <w:rsid w:val="00FC5740"/>
    <w:rsid w:val="00FD020E"/>
    <w:rsid w:val="00FD1402"/>
    <w:rsid w:val="00FD5497"/>
    <w:rsid w:val="00FD6D26"/>
    <w:rsid w:val="00FE1068"/>
    <w:rsid w:val="00FE1832"/>
    <w:rsid w:val="00FE240C"/>
    <w:rsid w:val="00FE292F"/>
    <w:rsid w:val="00FE3199"/>
    <w:rsid w:val="00FE7CEA"/>
    <w:rsid w:val="00FE7D55"/>
    <w:rsid w:val="00FF0E98"/>
    <w:rsid w:val="00FF1C4D"/>
    <w:rsid w:val="00FF3C1F"/>
    <w:rsid w:val="00FF48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6E221"/>
  <w15:chartTrackingRefBased/>
  <w15:docId w15:val="{1B1E4683-2D4C-49FE-AA98-AA4930E1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35C"/>
    <w:pPr>
      <w:spacing w:after="240" w:line="280" w:lineRule="atLeast"/>
    </w:pPr>
    <w:rPr>
      <w:rFonts w:ascii="Arial" w:eastAsia="Times New Roman" w:hAnsi="Arial"/>
      <w:sz w:val="22"/>
      <w:lang w:val="en-GB" w:eastAsia="en-GB"/>
    </w:rPr>
  </w:style>
  <w:style w:type="paragraph" w:styleId="Heading1">
    <w:name w:val="heading 1"/>
    <w:basedOn w:val="Normal"/>
    <w:next w:val="Normal"/>
    <w:link w:val="Heading1Char"/>
    <w:qFormat/>
    <w:rsid w:val="00BC3EA0"/>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346B30"/>
    <w:pPr>
      <w:keepNext/>
      <w:spacing w:before="120" w:after="120" w:line="240" w:lineRule="auto"/>
      <w:outlineLvl w:val="1"/>
    </w:pPr>
    <w:rPr>
      <w:rFonts w:ascii="Arial Bold" w:hAnsi="Arial Bold"/>
      <w:b/>
      <w:color w:val="0082AB"/>
      <w:spacing w:val="20"/>
      <w:w w:val="90"/>
      <w:sz w:val="32"/>
      <w:szCs w:val="24"/>
    </w:rPr>
  </w:style>
  <w:style w:type="paragraph" w:styleId="Heading3">
    <w:name w:val="heading 3"/>
    <w:basedOn w:val="Heading2"/>
    <w:next w:val="Normal"/>
    <w:link w:val="Heading3Char"/>
    <w:qFormat/>
    <w:rsid w:val="00BC3EA0"/>
    <w:pPr>
      <w:spacing w:before="200"/>
      <w:outlineLvl w:val="2"/>
    </w:pPr>
    <w:rPr>
      <w:sz w:val="24"/>
      <w:szCs w:val="22"/>
    </w:rPr>
  </w:style>
  <w:style w:type="paragraph" w:styleId="Heading4">
    <w:name w:val="heading 4"/>
    <w:basedOn w:val="Normal"/>
    <w:next w:val="Normal"/>
    <w:link w:val="Heading4Char"/>
    <w:qFormat/>
    <w:rsid w:val="00BC3EA0"/>
    <w:pPr>
      <w:spacing w:before="120" w:after="200" w:line="240" w:lineRule="auto"/>
      <w:outlineLvl w:val="3"/>
    </w:pPr>
    <w:rPr>
      <w:b/>
      <w:bCs/>
      <w:color w:val="335087"/>
      <w:sz w:val="20"/>
    </w:rPr>
  </w:style>
  <w:style w:type="paragraph" w:styleId="Heading5">
    <w:name w:val="heading 5"/>
    <w:basedOn w:val="Normal"/>
    <w:next w:val="Normal"/>
    <w:link w:val="Heading5Char"/>
    <w:rsid w:val="00BC3EA0"/>
    <w:pPr>
      <w:keepNext/>
      <w:widowControl w:val="0"/>
      <w:spacing w:before="80" w:after="120"/>
      <w:outlineLvl w:val="4"/>
    </w:pPr>
    <w:rPr>
      <w:color w:val="000000"/>
      <w:szCs w:val="22"/>
    </w:rPr>
  </w:style>
  <w:style w:type="paragraph" w:styleId="Heading6">
    <w:name w:val="heading 6"/>
    <w:basedOn w:val="Normal"/>
    <w:next w:val="Normal"/>
    <w:link w:val="Heading6Char"/>
    <w:rsid w:val="00BC3EA0"/>
    <w:pPr>
      <w:spacing w:before="240"/>
      <w:outlineLvl w:val="5"/>
    </w:pPr>
    <w:rPr>
      <w:i/>
      <w:sz w:val="20"/>
    </w:rPr>
  </w:style>
  <w:style w:type="paragraph" w:styleId="Heading7">
    <w:name w:val="heading 7"/>
    <w:basedOn w:val="Normal"/>
    <w:next w:val="Normal"/>
    <w:link w:val="Heading7Char"/>
    <w:rsid w:val="00BC3EA0"/>
    <w:pPr>
      <w:spacing w:before="240"/>
      <w:outlineLvl w:val="6"/>
    </w:pPr>
    <w:rPr>
      <w:sz w:val="20"/>
    </w:rPr>
  </w:style>
  <w:style w:type="paragraph" w:styleId="Heading8">
    <w:name w:val="heading 8"/>
    <w:basedOn w:val="Normal"/>
    <w:next w:val="Normal"/>
    <w:link w:val="Heading8Char"/>
    <w:rsid w:val="00BC3EA0"/>
    <w:pPr>
      <w:spacing w:before="80" w:after="80"/>
      <w:outlineLvl w:val="7"/>
    </w:pPr>
    <w:rPr>
      <w:sz w:val="20"/>
    </w:rPr>
  </w:style>
  <w:style w:type="paragraph" w:styleId="Heading9">
    <w:name w:val="heading 9"/>
    <w:next w:val="Normal"/>
    <w:link w:val="Heading9Char"/>
    <w:rsid w:val="00BC3EA0"/>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rsid w:val="00743278"/>
    <w:pPr>
      <w:tabs>
        <w:tab w:val="decimal" w:pos="9070"/>
        <w:tab w:val="right" w:pos="14002"/>
      </w:tabs>
      <w:spacing w:after="0" w:line="240" w:lineRule="auto"/>
    </w:pPr>
    <w:rPr>
      <w:noProof/>
      <w:color w:val="0082AB"/>
      <w:spacing w:val="6"/>
      <w:sz w:val="16"/>
      <w:szCs w:val="16"/>
    </w:rPr>
  </w:style>
  <w:style w:type="character" w:customStyle="1" w:styleId="FooterChar">
    <w:name w:val="Footer Char"/>
    <w:link w:val="Footer"/>
    <w:rsid w:val="00743278"/>
    <w:rPr>
      <w:rFonts w:ascii="Arial" w:eastAsia="Times New Roman" w:hAnsi="Arial"/>
      <w:noProof/>
      <w:color w:val="0082AB"/>
      <w:spacing w:val="6"/>
      <w:sz w:val="16"/>
      <w:szCs w:val="16"/>
      <w:lang w:val="en-GB" w:eastAsia="en-GB"/>
    </w:rPr>
  </w:style>
  <w:style w:type="table" w:styleId="TableGrid">
    <w:name w:val="Table Grid"/>
    <w:basedOn w:val="TableNormal"/>
    <w:rsid w:val="00BC3EA0"/>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C3EA0"/>
    <w:rPr>
      <w:rFonts w:ascii="Tahoma" w:hAnsi="Tahoma" w:cs="Tahoma"/>
      <w:sz w:val="16"/>
      <w:szCs w:val="16"/>
    </w:rPr>
  </w:style>
  <w:style w:type="character" w:customStyle="1" w:styleId="BalloonTextChar">
    <w:name w:val="Balloon Text Char"/>
    <w:link w:val="BalloonText"/>
    <w:semiHidden/>
    <w:rsid w:val="00487FAD"/>
    <w:rPr>
      <w:rFonts w:ascii="Tahoma" w:eastAsia="Times New Roman" w:hAnsi="Tahoma" w:cs="Tahoma"/>
      <w:sz w:val="16"/>
      <w:szCs w:val="16"/>
      <w:lang w:val="en-GB" w:eastAsia="en-GB"/>
    </w:rPr>
  </w:style>
  <w:style w:type="paragraph" w:styleId="ListParagraph">
    <w:name w:val="List Paragraph"/>
    <w:basedOn w:val="Normal"/>
    <w:uiPriority w:val="34"/>
    <w:qFormat/>
    <w:rsid w:val="00D278AA"/>
    <w:pPr>
      <w:ind w:left="720"/>
      <w:contextualSpacing/>
    </w:pPr>
  </w:style>
  <w:style w:type="character" w:styleId="Hyperlink">
    <w:name w:val="Hyperlink"/>
    <w:uiPriority w:val="99"/>
    <w:rsid w:val="00537EFE"/>
    <w:rPr>
      <w:color w:val="0082AB"/>
      <w:u w:val="single"/>
    </w:rPr>
  </w:style>
  <w:style w:type="character" w:styleId="CommentReference">
    <w:name w:val="annotation reference"/>
    <w:semiHidden/>
    <w:rsid w:val="00BC3EA0"/>
    <w:rPr>
      <w:sz w:val="16"/>
      <w:szCs w:val="16"/>
    </w:rPr>
  </w:style>
  <w:style w:type="paragraph" w:styleId="CommentText">
    <w:name w:val="annotation text"/>
    <w:basedOn w:val="Normal"/>
    <w:link w:val="CommentTextChar"/>
    <w:semiHidden/>
    <w:rsid w:val="00BC3EA0"/>
    <w:rPr>
      <w:sz w:val="20"/>
    </w:rPr>
  </w:style>
  <w:style w:type="character" w:customStyle="1" w:styleId="CommentTextChar">
    <w:name w:val="Comment Text Char"/>
    <w:link w:val="CommentText"/>
    <w:semiHidden/>
    <w:rsid w:val="004A4084"/>
    <w:rPr>
      <w:rFonts w:ascii="Arial" w:eastAsia="Times New Roman" w:hAnsi="Arial" w:cs="Times New Roman"/>
      <w:sz w:val="20"/>
      <w:szCs w:val="20"/>
      <w:lang w:val="en-GB" w:eastAsia="en-GB"/>
    </w:rPr>
  </w:style>
  <w:style w:type="paragraph" w:customStyle="1" w:styleId="BodyText-Numbered">
    <w:name w:val="Body Text - Numbered"/>
    <w:basedOn w:val="BodyText"/>
    <w:link w:val="BodyText-NumberedChar"/>
    <w:qFormat/>
    <w:rsid w:val="004A4084"/>
    <w:pPr>
      <w:keepNext/>
      <w:numPr>
        <w:numId w:val="1"/>
      </w:numPr>
      <w:spacing w:before="60" w:line="240" w:lineRule="auto"/>
    </w:pPr>
    <w:rPr>
      <w:rFonts w:cs="Arial"/>
    </w:rPr>
  </w:style>
  <w:style w:type="character" w:customStyle="1" w:styleId="BodyText-NumberedChar">
    <w:name w:val="Body Text - Numbered Char"/>
    <w:link w:val="BodyText-Numbered"/>
    <w:rsid w:val="004A4084"/>
    <w:rPr>
      <w:rFonts w:ascii="Arial" w:eastAsia="Times New Roman" w:hAnsi="Arial" w:cs="Arial"/>
      <w:sz w:val="22"/>
      <w:lang w:val="en-GB" w:eastAsia="en-GB"/>
    </w:rPr>
  </w:style>
  <w:style w:type="paragraph" w:styleId="BodyText">
    <w:name w:val="Body Text"/>
    <w:basedOn w:val="Normal"/>
    <w:link w:val="BodyTextChar"/>
    <w:uiPriority w:val="99"/>
    <w:semiHidden/>
    <w:unhideWhenUsed/>
    <w:rsid w:val="004A4084"/>
    <w:pPr>
      <w:spacing w:after="120"/>
    </w:pPr>
  </w:style>
  <w:style w:type="character" w:customStyle="1" w:styleId="BodyTextChar">
    <w:name w:val="Body Text Char"/>
    <w:basedOn w:val="DefaultParagraphFont"/>
    <w:link w:val="BodyText"/>
    <w:uiPriority w:val="99"/>
    <w:semiHidden/>
    <w:rsid w:val="004A4084"/>
  </w:style>
  <w:style w:type="paragraph" w:customStyle="1" w:styleId="spacer">
    <w:name w:val="spacer"/>
    <w:basedOn w:val="Normal"/>
    <w:qFormat/>
    <w:rsid w:val="00BC3EA0"/>
    <w:pPr>
      <w:spacing w:after="0" w:line="240" w:lineRule="auto"/>
    </w:pPr>
    <w:rPr>
      <w:sz w:val="16"/>
      <w:szCs w:val="22"/>
      <w:lang w:eastAsia="en-AU"/>
    </w:rPr>
  </w:style>
  <w:style w:type="paragraph" w:styleId="CommentSubject">
    <w:name w:val="annotation subject"/>
    <w:basedOn w:val="CommentText"/>
    <w:next w:val="CommentText"/>
    <w:link w:val="CommentSubjectChar"/>
    <w:semiHidden/>
    <w:rsid w:val="00BC3EA0"/>
    <w:rPr>
      <w:b/>
      <w:bCs/>
    </w:rPr>
  </w:style>
  <w:style w:type="character" w:customStyle="1" w:styleId="CommentSubjectChar">
    <w:name w:val="Comment Subject Char"/>
    <w:link w:val="CommentSubject"/>
    <w:semiHidden/>
    <w:rsid w:val="000C4659"/>
    <w:rPr>
      <w:rFonts w:ascii="Arial" w:eastAsia="Times New Roman" w:hAnsi="Arial" w:cs="Times New Roman"/>
      <w:b/>
      <w:bCs/>
      <w:sz w:val="20"/>
      <w:szCs w:val="20"/>
      <w:lang w:val="en-GB" w:eastAsia="en-GB"/>
    </w:rPr>
  </w:style>
  <w:style w:type="paragraph" w:styleId="Header">
    <w:name w:val="header"/>
    <w:basedOn w:val="Normal"/>
    <w:link w:val="HeaderChar"/>
    <w:rsid w:val="00BC3EA0"/>
    <w:pPr>
      <w:tabs>
        <w:tab w:val="center" w:pos="4153"/>
        <w:tab w:val="right" w:pos="8306"/>
      </w:tabs>
    </w:pPr>
  </w:style>
  <w:style w:type="character" w:customStyle="1" w:styleId="HeaderChar">
    <w:name w:val="Header Char"/>
    <w:link w:val="Header"/>
    <w:rsid w:val="008D265C"/>
    <w:rPr>
      <w:rFonts w:ascii="Arial" w:eastAsia="Times New Roman" w:hAnsi="Arial" w:cs="Times New Roman"/>
      <w:szCs w:val="20"/>
      <w:lang w:val="en-GB" w:eastAsia="en-GB"/>
    </w:rPr>
  </w:style>
  <w:style w:type="character" w:styleId="FollowedHyperlink">
    <w:name w:val="FollowedHyperlink"/>
    <w:rsid w:val="00BC3EA0"/>
    <w:rPr>
      <w:color w:val="800080"/>
      <w:u w:val="single"/>
    </w:rPr>
  </w:style>
  <w:style w:type="paragraph" w:styleId="Revision">
    <w:name w:val="Revision"/>
    <w:hidden/>
    <w:uiPriority w:val="99"/>
    <w:semiHidden/>
    <w:rsid w:val="0082413D"/>
    <w:rPr>
      <w:sz w:val="22"/>
      <w:szCs w:val="22"/>
      <w:lang w:eastAsia="en-US"/>
    </w:rPr>
  </w:style>
  <w:style w:type="paragraph" w:customStyle="1" w:styleId="Author">
    <w:name w:val="Author"/>
    <w:basedOn w:val="Normal"/>
    <w:semiHidden/>
    <w:rsid w:val="00BC3EA0"/>
    <w:pPr>
      <w:spacing w:before="240" w:after="1200"/>
      <w:ind w:left="-181"/>
      <w:jc w:val="right"/>
    </w:pPr>
    <w:rPr>
      <w:rFonts w:cs="Arial"/>
      <w:i/>
      <w:sz w:val="40"/>
      <w:szCs w:val="22"/>
    </w:rPr>
  </w:style>
  <w:style w:type="paragraph" w:customStyle="1" w:styleId="Boxtext">
    <w:name w:val="Box text"/>
    <w:basedOn w:val="Normal"/>
    <w:rsid w:val="00FA7EFC"/>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i/>
    </w:rPr>
  </w:style>
  <w:style w:type="paragraph" w:customStyle="1" w:styleId="Boxbullet">
    <w:name w:val="Box bullet"/>
    <w:basedOn w:val="Boxtext"/>
    <w:rsid w:val="00BC3EA0"/>
    <w:pPr>
      <w:numPr>
        <w:numId w:val="2"/>
      </w:numPr>
      <w:tabs>
        <w:tab w:val="clear" w:pos="644"/>
        <w:tab w:val="num" w:pos="426"/>
      </w:tabs>
      <w:spacing w:before="80"/>
    </w:pPr>
  </w:style>
  <w:style w:type="paragraph" w:customStyle="1" w:styleId="Boxheading">
    <w:name w:val="Box heading"/>
    <w:basedOn w:val="Normal"/>
    <w:next w:val="Boxtext"/>
    <w:autoRedefine/>
    <w:rsid w:val="00BC3EA0"/>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BC3EA0"/>
    <w:pPr>
      <w:tabs>
        <w:tab w:val="left" w:pos="426"/>
      </w:tabs>
      <w:ind w:left="426" w:hanging="284"/>
    </w:pPr>
  </w:style>
  <w:style w:type="paragraph" w:customStyle="1" w:styleId="Bullet-list">
    <w:name w:val="Bullet-list"/>
    <w:qFormat/>
    <w:rsid w:val="00BC3EA0"/>
    <w:pPr>
      <w:numPr>
        <w:numId w:val="3"/>
      </w:numPr>
      <w:spacing w:after="180" w:line="280" w:lineRule="exact"/>
    </w:pPr>
    <w:rPr>
      <w:rFonts w:ascii="Arial" w:eastAsia="Times New Roman" w:hAnsi="Arial"/>
      <w:sz w:val="22"/>
      <w:lang w:val="en-AU" w:eastAsia="en-US"/>
    </w:rPr>
  </w:style>
  <w:style w:type="paragraph" w:styleId="Caption">
    <w:name w:val="caption"/>
    <w:basedOn w:val="Normal"/>
    <w:next w:val="Normal"/>
    <w:rsid w:val="00BC3EA0"/>
    <w:rPr>
      <w:b/>
      <w:bCs/>
      <w:sz w:val="20"/>
    </w:rPr>
  </w:style>
  <w:style w:type="paragraph" w:styleId="DocumentMap">
    <w:name w:val="Document Map"/>
    <w:basedOn w:val="Normal"/>
    <w:link w:val="DocumentMapChar"/>
    <w:semiHidden/>
    <w:rsid w:val="00BC3EA0"/>
    <w:pPr>
      <w:shd w:val="clear" w:color="auto" w:fill="000080"/>
    </w:pPr>
    <w:rPr>
      <w:rFonts w:ascii="Tahoma" w:hAnsi="Tahoma" w:cs="Tahoma"/>
      <w:sz w:val="20"/>
    </w:rPr>
  </w:style>
  <w:style w:type="character" w:customStyle="1" w:styleId="DocumentMapChar">
    <w:name w:val="Document Map Char"/>
    <w:link w:val="DocumentMap"/>
    <w:semiHidden/>
    <w:rsid w:val="00BC3EA0"/>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BC3EA0"/>
  </w:style>
  <w:style w:type="paragraph" w:customStyle="1" w:styleId="Evenfooter-wide">
    <w:name w:val="Even footer-wide"/>
    <w:basedOn w:val="EvenFooter"/>
    <w:rsid w:val="00BC3EA0"/>
  </w:style>
  <w:style w:type="character" w:styleId="FootnoteReference">
    <w:name w:val="footnote reference"/>
    <w:uiPriority w:val="99"/>
    <w:semiHidden/>
    <w:rsid w:val="00BC3EA0"/>
    <w:rPr>
      <w:rFonts w:ascii="Arial" w:hAnsi="Arial"/>
      <w:color w:val="auto"/>
      <w:position w:val="8"/>
      <w:sz w:val="16"/>
    </w:rPr>
  </w:style>
  <w:style w:type="paragraph" w:styleId="FootnoteText">
    <w:name w:val="footnote text"/>
    <w:basedOn w:val="Normal"/>
    <w:link w:val="FootnoteTextChar"/>
    <w:uiPriority w:val="99"/>
    <w:semiHidden/>
    <w:rsid w:val="00BC3EA0"/>
    <w:pPr>
      <w:tabs>
        <w:tab w:val="left" w:pos="425"/>
      </w:tabs>
      <w:spacing w:after="60" w:line="240" w:lineRule="auto"/>
      <w:ind w:left="425" w:hanging="425"/>
    </w:pPr>
    <w:rPr>
      <w:sz w:val="18"/>
    </w:rPr>
  </w:style>
  <w:style w:type="character" w:customStyle="1" w:styleId="FootnoteTextChar">
    <w:name w:val="Footnote Text Char"/>
    <w:link w:val="FootnoteText"/>
    <w:uiPriority w:val="99"/>
    <w:semiHidden/>
    <w:rsid w:val="00BC3EA0"/>
    <w:rPr>
      <w:rFonts w:ascii="Arial" w:eastAsia="Times New Roman" w:hAnsi="Arial" w:cs="Times New Roman"/>
      <w:sz w:val="18"/>
      <w:szCs w:val="20"/>
      <w:lang w:val="en-GB" w:eastAsia="en-GB"/>
    </w:rPr>
  </w:style>
  <w:style w:type="character" w:customStyle="1" w:styleId="Heading1Char">
    <w:name w:val="Heading 1 Char"/>
    <w:link w:val="Heading1"/>
    <w:rsid w:val="00BC3EA0"/>
    <w:rPr>
      <w:rFonts w:ascii="Arial" w:eastAsia="Times New Roman" w:hAnsi="Arial" w:cs="Times New Roman"/>
      <w:b/>
      <w:color w:val="002469"/>
      <w:spacing w:val="20"/>
      <w:w w:val="90"/>
      <w:sz w:val="44"/>
      <w:szCs w:val="44"/>
      <w:lang w:val="en-GB" w:eastAsia="en-GB"/>
    </w:rPr>
  </w:style>
  <w:style w:type="character" w:customStyle="1" w:styleId="Heading2Char">
    <w:name w:val="Heading 2 Char"/>
    <w:link w:val="Heading2"/>
    <w:rsid w:val="00346B30"/>
    <w:rPr>
      <w:rFonts w:ascii="Arial Bold" w:eastAsia="Times New Roman" w:hAnsi="Arial Bold"/>
      <w:b/>
      <w:color w:val="0082AB"/>
      <w:spacing w:val="20"/>
      <w:w w:val="90"/>
      <w:sz w:val="32"/>
      <w:szCs w:val="24"/>
      <w:lang w:val="en-GB" w:eastAsia="en-GB"/>
    </w:rPr>
  </w:style>
  <w:style w:type="character" w:customStyle="1" w:styleId="Heading3Char">
    <w:name w:val="Heading 3 Char"/>
    <w:link w:val="Heading3"/>
    <w:rsid w:val="00BC3EA0"/>
    <w:rPr>
      <w:rFonts w:ascii="Arial" w:eastAsia="Times New Roman" w:hAnsi="Arial" w:cs="Times New Roman"/>
      <w:b/>
      <w:color w:val="335087"/>
      <w:spacing w:val="20"/>
      <w:w w:val="90"/>
      <w:sz w:val="24"/>
      <w:lang w:val="en-GB" w:eastAsia="en-GB"/>
    </w:rPr>
  </w:style>
  <w:style w:type="character" w:customStyle="1" w:styleId="Heading4Char">
    <w:name w:val="Heading 4 Char"/>
    <w:link w:val="Heading4"/>
    <w:rsid w:val="00BC3EA0"/>
    <w:rPr>
      <w:rFonts w:ascii="Arial" w:eastAsia="Times New Roman" w:hAnsi="Arial" w:cs="Times New Roman"/>
      <w:b/>
      <w:bCs/>
      <w:color w:val="335087"/>
      <w:sz w:val="20"/>
      <w:szCs w:val="20"/>
      <w:lang w:val="en-GB" w:eastAsia="en-GB"/>
    </w:rPr>
  </w:style>
  <w:style w:type="character" w:customStyle="1" w:styleId="Heading5Char">
    <w:name w:val="Heading 5 Char"/>
    <w:link w:val="Heading5"/>
    <w:rsid w:val="00BC3EA0"/>
    <w:rPr>
      <w:rFonts w:ascii="Arial" w:eastAsia="Times New Roman" w:hAnsi="Arial" w:cs="Times New Roman"/>
      <w:color w:val="000000"/>
      <w:lang w:val="en-GB" w:eastAsia="en-GB"/>
    </w:rPr>
  </w:style>
  <w:style w:type="character" w:customStyle="1" w:styleId="Heading6Char">
    <w:name w:val="Heading 6 Char"/>
    <w:link w:val="Heading6"/>
    <w:rsid w:val="00BC3EA0"/>
    <w:rPr>
      <w:rFonts w:ascii="Arial" w:eastAsia="Times New Roman" w:hAnsi="Arial" w:cs="Times New Roman"/>
      <w:i/>
      <w:sz w:val="20"/>
      <w:szCs w:val="20"/>
      <w:lang w:val="en-GB" w:eastAsia="en-GB"/>
    </w:rPr>
  </w:style>
  <w:style w:type="character" w:customStyle="1" w:styleId="Heading7Char">
    <w:name w:val="Heading 7 Char"/>
    <w:link w:val="Heading7"/>
    <w:rsid w:val="00BC3EA0"/>
    <w:rPr>
      <w:rFonts w:ascii="Arial" w:eastAsia="Times New Roman" w:hAnsi="Arial" w:cs="Times New Roman"/>
      <w:sz w:val="20"/>
      <w:szCs w:val="20"/>
      <w:lang w:val="en-GB" w:eastAsia="en-GB"/>
    </w:rPr>
  </w:style>
  <w:style w:type="character" w:customStyle="1" w:styleId="Heading8Char">
    <w:name w:val="Heading 8 Char"/>
    <w:link w:val="Heading8"/>
    <w:rsid w:val="00BC3EA0"/>
    <w:rPr>
      <w:rFonts w:ascii="Arial" w:eastAsia="Times New Roman" w:hAnsi="Arial" w:cs="Times New Roman"/>
      <w:sz w:val="20"/>
      <w:szCs w:val="20"/>
      <w:lang w:val="en-GB" w:eastAsia="en-GB"/>
    </w:rPr>
  </w:style>
  <w:style w:type="character" w:customStyle="1" w:styleId="Heading9Char">
    <w:name w:val="Heading 9 Char"/>
    <w:link w:val="Heading9"/>
    <w:rsid w:val="00BC3EA0"/>
    <w:rPr>
      <w:rFonts w:ascii="Arial" w:eastAsia="Times New Roman" w:hAnsi="Arial" w:cs="Times New Roman"/>
      <w:b/>
      <w:i/>
      <w:sz w:val="20"/>
      <w:szCs w:val="20"/>
      <w:lang w:val="en-AU"/>
    </w:rPr>
  </w:style>
  <w:style w:type="paragraph" w:styleId="List">
    <w:name w:val="List"/>
    <w:basedOn w:val="Normal"/>
    <w:rsid w:val="00BC3EA0"/>
    <w:pPr>
      <w:ind w:left="283" w:hanging="283"/>
    </w:pPr>
  </w:style>
  <w:style w:type="paragraph" w:styleId="Title">
    <w:name w:val="Title"/>
    <w:basedOn w:val="Normal"/>
    <w:link w:val="TitleChar"/>
    <w:rsid w:val="00BC3EA0"/>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BC3EA0"/>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BC3EA0"/>
    <w:pPr>
      <w:spacing w:before="360" w:line="600" w:lineRule="atLeast"/>
    </w:pPr>
    <w:rPr>
      <w:sz w:val="36"/>
      <w:szCs w:val="36"/>
    </w:rPr>
  </w:style>
  <w:style w:type="character" w:customStyle="1" w:styleId="SubtitleChar">
    <w:name w:val="Subtitle Char"/>
    <w:link w:val="Subtitle"/>
    <w:rsid w:val="00BC3EA0"/>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BC3EA0"/>
    <w:pPr>
      <w:autoSpaceDE w:val="0"/>
      <w:autoSpaceDN w:val="0"/>
      <w:adjustRightInd w:val="0"/>
      <w:spacing w:before="60" w:after="60" w:line="240" w:lineRule="atLeast"/>
    </w:pPr>
    <w:rPr>
      <w:rFonts w:cs="GillSans"/>
      <w:sz w:val="20"/>
      <w:szCs w:val="22"/>
      <w:lang w:eastAsia="en-AU"/>
    </w:rPr>
  </w:style>
  <w:style w:type="paragraph" w:customStyle="1" w:styleId="tablespacer">
    <w:name w:val="table_spacer"/>
    <w:basedOn w:val="Normal"/>
    <w:next w:val="Normal"/>
    <w:rsid w:val="00BC3EA0"/>
    <w:pPr>
      <w:keepNext/>
      <w:spacing w:after="0" w:line="240" w:lineRule="auto"/>
    </w:pPr>
    <w:rPr>
      <w:sz w:val="20"/>
    </w:rPr>
  </w:style>
  <w:style w:type="paragraph" w:styleId="TOC1">
    <w:name w:val="toc 1"/>
    <w:basedOn w:val="Normal"/>
    <w:next w:val="Normal"/>
    <w:uiPriority w:val="39"/>
    <w:rsid w:val="00BC3EA0"/>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BC3EA0"/>
    <w:pPr>
      <w:tabs>
        <w:tab w:val="right" w:leader="dot" w:pos="9214"/>
      </w:tabs>
      <w:spacing w:before="100" w:after="100"/>
      <w:ind w:left="709" w:right="284"/>
    </w:pPr>
    <w:rPr>
      <w:noProof/>
      <w:sz w:val="24"/>
    </w:rPr>
  </w:style>
  <w:style w:type="paragraph" w:styleId="TOC3">
    <w:name w:val="toc 3"/>
    <w:basedOn w:val="Normal"/>
    <w:next w:val="Normal"/>
    <w:semiHidden/>
    <w:rsid w:val="00BC3EA0"/>
    <w:pPr>
      <w:tabs>
        <w:tab w:val="left" w:leader="dot" w:pos="8646"/>
        <w:tab w:val="right" w:pos="9072"/>
      </w:tabs>
      <w:ind w:left="1418" w:right="850"/>
    </w:pPr>
  </w:style>
  <w:style w:type="paragraph" w:customStyle="1" w:styleId="Tier2Bullet-list">
    <w:name w:val="Tier 2 Bullet-list"/>
    <w:qFormat/>
    <w:rsid w:val="0062657E"/>
    <w:pPr>
      <w:spacing w:after="160" w:line="259" w:lineRule="auto"/>
      <w:ind w:left="568" w:hanging="284"/>
    </w:pPr>
    <w:rPr>
      <w:rFonts w:ascii="Arial" w:eastAsia="Times New Roman" w:hAnsi="Arial"/>
      <w:sz w:val="22"/>
      <w:lang w:val="en-AU" w:eastAsia="en-US"/>
    </w:rPr>
  </w:style>
  <w:style w:type="paragraph" w:customStyle="1" w:styleId="TableHeading2">
    <w:name w:val="Table Heading 2"/>
    <w:basedOn w:val="Normal"/>
    <w:qFormat/>
    <w:rsid w:val="00DF2E7B"/>
    <w:pPr>
      <w:spacing w:before="60" w:after="60" w:line="276" w:lineRule="auto"/>
    </w:pPr>
    <w:rPr>
      <w:i/>
      <w:szCs w:val="22"/>
    </w:rPr>
  </w:style>
  <w:style w:type="paragraph" w:customStyle="1" w:styleId="Tablebullet">
    <w:name w:val="Table bullet"/>
    <w:basedOn w:val="Normal"/>
    <w:qFormat/>
    <w:rsid w:val="00B56273"/>
    <w:pPr>
      <w:numPr>
        <w:numId w:val="4"/>
      </w:numPr>
      <w:autoSpaceDE w:val="0"/>
      <w:autoSpaceDN w:val="0"/>
      <w:adjustRightInd w:val="0"/>
      <w:spacing w:before="60" w:after="60"/>
    </w:pPr>
    <w:rPr>
      <w:rFonts w:cs="GillSans"/>
      <w:szCs w:val="22"/>
      <w:lang w:eastAsia="en-AU"/>
    </w:rPr>
  </w:style>
  <w:style w:type="table" w:styleId="GridTable4-Accent1">
    <w:name w:val="Grid Table 4 Accent 1"/>
    <w:basedOn w:val="TableNormal"/>
    <w:uiPriority w:val="49"/>
    <w:rsid w:val="00C9354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ableHeadings">
    <w:name w:val="Table Headings"/>
    <w:basedOn w:val="Normal"/>
    <w:qFormat/>
    <w:rsid w:val="00C93549"/>
    <w:pPr>
      <w:spacing w:before="60" w:after="60"/>
    </w:pPr>
    <w:rPr>
      <w:rFonts w:cs="Arial"/>
      <w:b/>
      <w:color w:val="000000"/>
    </w:rPr>
  </w:style>
  <w:style w:type="character" w:customStyle="1" w:styleId="UnresolvedMention1">
    <w:name w:val="Unresolved Mention1"/>
    <w:basedOn w:val="DefaultParagraphFont"/>
    <w:uiPriority w:val="99"/>
    <w:semiHidden/>
    <w:unhideWhenUsed/>
    <w:rsid w:val="00E52B84"/>
    <w:rPr>
      <w:color w:val="605E5C"/>
      <w:shd w:val="clear" w:color="auto" w:fill="E1DFDD"/>
    </w:rPr>
  </w:style>
  <w:style w:type="character" w:styleId="UnresolvedMention">
    <w:name w:val="Unresolved Mention"/>
    <w:basedOn w:val="DefaultParagraphFont"/>
    <w:uiPriority w:val="99"/>
    <w:unhideWhenUsed/>
    <w:rsid w:val="00447453"/>
    <w:rPr>
      <w:color w:val="605E5C"/>
      <w:shd w:val="clear" w:color="auto" w:fill="E1DFDD"/>
    </w:rPr>
  </w:style>
  <w:style w:type="character" w:customStyle="1" w:styleId="normaltextrun">
    <w:name w:val="normaltextrun"/>
    <w:basedOn w:val="DefaultParagraphFont"/>
    <w:rsid w:val="00B15A03"/>
  </w:style>
  <w:style w:type="paragraph" w:customStyle="1" w:styleId="NumberedParagraphCabStandard">
    <w:name w:val="Numbered Paragraph (CabStandard)"/>
    <w:basedOn w:val="Normal"/>
    <w:qFormat/>
    <w:rsid w:val="001904CE"/>
    <w:pPr>
      <w:numPr>
        <w:numId w:val="34"/>
      </w:numPr>
      <w:spacing w:line="240" w:lineRule="auto"/>
      <w:jc w:val="both"/>
    </w:pPr>
    <w:rPr>
      <w:rFonts w:eastAsiaTheme="minorHAnsi" w:cstheme="minorBidi"/>
      <w:sz w:val="24"/>
      <w:szCs w:val="23"/>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0275">
      <w:bodyDiv w:val="1"/>
      <w:marLeft w:val="0"/>
      <w:marRight w:val="0"/>
      <w:marTop w:val="0"/>
      <w:marBottom w:val="0"/>
      <w:divBdr>
        <w:top w:val="none" w:sz="0" w:space="0" w:color="auto"/>
        <w:left w:val="none" w:sz="0" w:space="0" w:color="auto"/>
        <w:bottom w:val="none" w:sz="0" w:space="0" w:color="auto"/>
        <w:right w:val="none" w:sz="0" w:space="0" w:color="auto"/>
      </w:divBdr>
    </w:div>
    <w:div w:id="191576040">
      <w:bodyDiv w:val="1"/>
      <w:marLeft w:val="0"/>
      <w:marRight w:val="0"/>
      <w:marTop w:val="0"/>
      <w:marBottom w:val="0"/>
      <w:divBdr>
        <w:top w:val="none" w:sz="0" w:space="0" w:color="auto"/>
        <w:left w:val="none" w:sz="0" w:space="0" w:color="auto"/>
        <w:bottom w:val="none" w:sz="0" w:space="0" w:color="auto"/>
        <w:right w:val="none" w:sz="0" w:space="0" w:color="auto"/>
      </w:divBdr>
    </w:div>
    <w:div w:id="196696763">
      <w:bodyDiv w:val="1"/>
      <w:marLeft w:val="0"/>
      <w:marRight w:val="0"/>
      <w:marTop w:val="0"/>
      <w:marBottom w:val="0"/>
      <w:divBdr>
        <w:top w:val="none" w:sz="0" w:space="0" w:color="auto"/>
        <w:left w:val="none" w:sz="0" w:space="0" w:color="auto"/>
        <w:bottom w:val="none" w:sz="0" w:space="0" w:color="auto"/>
        <w:right w:val="none" w:sz="0" w:space="0" w:color="auto"/>
      </w:divBdr>
    </w:div>
    <w:div w:id="1232036928">
      <w:bodyDiv w:val="1"/>
      <w:marLeft w:val="0"/>
      <w:marRight w:val="0"/>
      <w:marTop w:val="0"/>
      <w:marBottom w:val="0"/>
      <w:divBdr>
        <w:top w:val="none" w:sz="0" w:space="0" w:color="auto"/>
        <w:left w:val="none" w:sz="0" w:space="0" w:color="auto"/>
        <w:bottom w:val="none" w:sz="0" w:space="0" w:color="auto"/>
        <w:right w:val="none" w:sz="0" w:space="0" w:color="auto"/>
      </w:divBdr>
    </w:div>
    <w:div w:id="1701081625">
      <w:bodyDiv w:val="1"/>
      <w:marLeft w:val="0"/>
      <w:marRight w:val="0"/>
      <w:marTop w:val="0"/>
      <w:marBottom w:val="0"/>
      <w:divBdr>
        <w:top w:val="none" w:sz="0" w:space="0" w:color="auto"/>
        <w:left w:val="none" w:sz="0" w:space="0" w:color="auto"/>
        <w:bottom w:val="none" w:sz="0" w:space="0" w:color="auto"/>
        <w:right w:val="none" w:sz="0" w:space="0" w:color="auto"/>
      </w:divBdr>
    </w:div>
    <w:div w:id="19009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20" ma:contentTypeDescription="Inland Revenue NZ Document" ma:contentTypeScope="" ma:versionID="d7cdd2610728d0a53e46ead4a9bf6310">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d8768d0c539d454016a489537b6c6a93"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urityClassificationTaxHTField xmlns="http://schemas.microsoft.com/sharepoint/v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5fccf67f-7cb1-4561-8450-fe0d2ea19178</TermId>
        </TermInfo>
      </Terms>
    </SecurityClassificationTaxHTField>
    <BusinessUnitTaxHTField xmlns="http://schemas.microsoft.com/sharepoint/v3">
      <Terms xmlns="http://schemas.microsoft.com/office/infopath/2007/PartnerControls">
        <TermInfo xmlns="http://schemas.microsoft.com/office/infopath/2007/PartnerControls">
          <TermName xmlns="http://schemas.microsoft.com/office/infopath/2007/PartnerControls">Policy ＆ Regulatory Stewardship</TermName>
          <TermId xmlns="http://schemas.microsoft.com/office/infopath/2007/PartnerControls">5c6da56c-2219-46c1-9c7b-c15fc3fd45a5</TermId>
        </TermInfo>
      </Terms>
    </BusinessUnitTaxHTField>
    <BusinessActivityTaxHTField xmlns="http://schemas.microsoft.com/sharepoint/v3">
      <Terms xmlns="http://schemas.microsoft.com/office/infopath/2007/PartnerControls">
        <TermInfo xmlns="http://schemas.microsoft.com/office/infopath/2007/PartnerControls">
          <TermName xmlns="http://schemas.microsoft.com/office/infopath/2007/PartnerControls">Tax policy work</TermName>
          <TermId xmlns="http://schemas.microsoft.com/office/infopath/2007/PartnerControls">c05dfd7c-a5ba-47bf-969f-3422104229d3</TermId>
        </TermInfo>
      </Terms>
    </BusinessActivityTaxHTField>
    <wic_System_Copyright xmlns="http://schemas.microsoft.com/sharepoint/v3/fields">Inland Revenue NZ</wic_System_Copyright>
    <TaxCatchAll xmlns="a4a9dc13-bb31-46d7-b689-a0a4d48a0c28">
      <Value>3</Value>
      <Value>2</Value>
      <Value>1</Value>
    </TaxCatchAll>
    <_Version xmlns="http://schemas.microsoft.com/sharepoint/v3/fields" xsi:nil="true"/>
    <lcf76f155ced4ddcb4097134ff3c332f xmlns="86f2116b-51b8-4a6f-8648-0c472a1911ee">
      <Terms xmlns="http://schemas.microsoft.com/office/infopath/2007/PartnerControls"/>
    </lcf76f155ced4ddcb4097134ff3c332f>
    <InformationTypeTaxHTField xmlns="http://schemas.microsoft.com/sharepoint/v3">
      <Terms xmlns="http://schemas.microsoft.com/office/infopath/2007/PartnerControls"/>
    </InformationTypeTaxHTField>
    <DocumentStatusTaxHTField xmlns="http://schemas.microsoft.com/sharepoint/v3">
      <Terms xmlns="http://schemas.microsoft.com/office/infopath/2007/PartnerControls"/>
    </DocumentStatusTaxHTField>
  </documentManagement>
</p:properties>
</file>

<file path=customXml/itemProps1.xml><?xml version="1.0" encoding="utf-8"?>
<ds:datastoreItem xmlns:ds="http://schemas.openxmlformats.org/officeDocument/2006/customXml" ds:itemID="{62042ADD-9702-47E9-A265-C9FE4175AD4B}">
  <ds:schemaRefs>
    <ds:schemaRef ds:uri="http://schemas.openxmlformats.org/officeDocument/2006/bibliography"/>
  </ds:schemaRefs>
</ds:datastoreItem>
</file>

<file path=customXml/itemProps2.xml><?xml version="1.0" encoding="utf-8"?>
<ds:datastoreItem xmlns:ds="http://schemas.openxmlformats.org/officeDocument/2006/customXml" ds:itemID="{78C486E2-0EA8-4CFE-BD5B-609A3BB170CE}"/>
</file>

<file path=customXml/itemProps3.xml><?xml version="1.0" encoding="utf-8"?>
<ds:datastoreItem xmlns:ds="http://schemas.openxmlformats.org/officeDocument/2006/customXml" ds:itemID="{514D9D6F-8917-4275-AC34-30AFA9242096}"/>
</file>

<file path=customXml/itemProps4.xml><?xml version="1.0" encoding="utf-8"?>
<ds:datastoreItem xmlns:ds="http://schemas.openxmlformats.org/officeDocument/2006/customXml" ds:itemID="{ED9555D0-153D-4C39-B261-5E79FC537AD1}"/>
</file>

<file path=docProps/app.xml><?xml version="1.0" encoding="utf-8"?>
<Properties xmlns="http://schemas.openxmlformats.org/officeDocument/2006/extended-properties" xmlns:vt="http://schemas.openxmlformats.org/officeDocument/2006/docPropsVTypes">
  <Template>Normal.dotm</Template>
  <TotalTime>0</TotalTime>
  <Pages>13</Pages>
  <Words>3932</Words>
  <Characters>22414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Regulatory impact assessment/statement: Sales suppression software (1 June 2021)</vt:lpstr>
    </vt:vector>
  </TitlesOfParts>
  <Company>Inland Revenue</Company>
  <LinksUpToDate>false</LinksUpToDate>
  <CharactersWithSpaces>26294</CharactersWithSpaces>
  <SharedDoc>false</SharedDoc>
  <HLinks>
    <vt:vector size="54" baseType="variant">
      <vt:variant>
        <vt:i4>2687029</vt:i4>
      </vt:variant>
      <vt:variant>
        <vt:i4>24</vt:i4>
      </vt:variant>
      <vt:variant>
        <vt:i4>0</vt:i4>
      </vt:variant>
      <vt:variant>
        <vt:i4>5</vt:i4>
      </vt:variant>
      <vt:variant>
        <vt:lpwstr>http://www.treasury.govt.nz/regulation/expectations</vt:lpwstr>
      </vt:variant>
      <vt:variant>
        <vt:lpwstr/>
      </vt:variant>
      <vt:variant>
        <vt:i4>2687029</vt:i4>
      </vt:variant>
      <vt:variant>
        <vt:i4>21</vt:i4>
      </vt:variant>
      <vt:variant>
        <vt:i4>0</vt:i4>
      </vt:variant>
      <vt:variant>
        <vt:i4>5</vt:i4>
      </vt:variant>
      <vt:variant>
        <vt:lpwstr>http://www.treasury.govt.nz/regulation/expectations</vt:lpwstr>
      </vt:variant>
      <vt:variant>
        <vt:lpwstr/>
      </vt:variant>
      <vt:variant>
        <vt:i4>8257662</vt:i4>
      </vt:variant>
      <vt:variant>
        <vt:i4>18</vt:i4>
      </vt:variant>
      <vt:variant>
        <vt:i4>0</vt:i4>
      </vt:variant>
      <vt:variant>
        <vt:i4>5</vt:i4>
      </vt:variant>
      <vt:variant>
        <vt:lpwstr>http://www.treasury.govt.nz/publications/guidance/planning/costbenefitanalysis</vt:lpwstr>
      </vt:variant>
      <vt:variant>
        <vt:lpwstr/>
      </vt:variant>
      <vt:variant>
        <vt:i4>2949239</vt:i4>
      </vt:variant>
      <vt:variant>
        <vt:i4>15</vt:i4>
      </vt:variant>
      <vt:variant>
        <vt:i4>0</vt:i4>
      </vt:variant>
      <vt:variant>
        <vt:i4>5</vt:i4>
      </vt:variant>
      <vt:variant>
        <vt:lpwstr>http://www.treasury.govt.nz/publications/guidance/planning/costbenefitanalysis/x/x-guide-oct15.pdf</vt:lpwstr>
      </vt:variant>
      <vt:variant>
        <vt:lpwstr/>
      </vt:variant>
      <vt:variant>
        <vt:i4>2687029</vt:i4>
      </vt:variant>
      <vt:variant>
        <vt:i4>12</vt:i4>
      </vt:variant>
      <vt:variant>
        <vt:i4>0</vt:i4>
      </vt:variant>
      <vt:variant>
        <vt:i4>5</vt:i4>
      </vt:variant>
      <vt:variant>
        <vt:lpwstr>http://www.treasury.govt.nz/regulation/expectations</vt:lpwstr>
      </vt:variant>
      <vt:variant>
        <vt:lpwstr/>
      </vt:variant>
      <vt:variant>
        <vt:i4>4128805</vt:i4>
      </vt:variant>
      <vt:variant>
        <vt:i4>9</vt:i4>
      </vt:variant>
      <vt:variant>
        <vt:i4>0</vt:i4>
      </vt:variant>
      <vt:variant>
        <vt:i4>5</vt:i4>
      </vt:variant>
      <vt:variant>
        <vt:lpwstr>http://www.treasury.govt.nz/regulation/regulatoryproposal/ria/handbook</vt:lpwstr>
      </vt:variant>
      <vt:variant>
        <vt:lpwstr/>
      </vt:variant>
      <vt:variant>
        <vt:i4>2687029</vt:i4>
      </vt:variant>
      <vt:variant>
        <vt:i4>6</vt:i4>
      </vt:variant>
      <vt:variant>
        <vt:i4>0</vt:i4>
      </vt:variant>
      <vt:variant>
        <vt:i4>5</vt:i4>
      </vt:variant>
      <vt:variant>
        <vt:lpwstr>http://www.treasury.govt.nz/regulation/expectations</vt:lpwstr>
      </vt:variant>
      <vt:variant>
        <vt:lpwstr/>
      </vt:variant>
      <vt:variant>
        <vt:i4>4128805</vt:i4>
      </vt:variant>
      <vt:variant>
        <vt:i4>3</vt:i4>
      </vt:variant>
      <vt:variant>
        <vt:i4>0</vt:i4>
      </vt:variant>
      <vt:variant>
        <vt:i4>5</vt:i4>
      </vt:variant>
      <vt:variant>
        <vt:lpwstr>http://www.treasury.govt.nz/regulation/regulatoryproposal/ria/handbook</vt:lpwstr>
      </vt:variant>
      <vt:variant>
        <vt:lpwstr/>
      </vt:variant>
      <vt:variant>
        <vt:i4>3801155</vt:i4>
      </vt:variant>
      <vt:variant>
        <vt:i4>0</vt:i4>
      </vt:variant>
      <vt:variant>
        <vt:i4>0</vt:i4>
      </vt:variant>
      <vt:variant>
        <vt:i4>5</vt:i4>
      </vt:variant>
      <vt:variant>
        <vt:lpwstr>mailto:ria@treasury.govt.nz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assessment/statement: Sales suppression software (1 June 2021)</dc:title>
  <dc:subject/>
  <dc:creator>Policy and Regulatory Stewardship</dc:creator>
  <cp:keywords/>
  <dc:description/>
  <dcterms:created xsi:type="dcterms:W3CDTF">2021-08-20T02:29:00Z</dcterms:created>
  <dcterms:modified xsi:type="dcterms:W3CDTF">2021-08-20T02:29:00Z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2;#Policy ＆ Regulatory Stewardship|5c6da56c-2219-46c1-9c7b-c15fc3fd45a5</vt:lpwstr>
  </property>
  <property fmtid="{D5CDD505-2E9C-101B-9397-08002B2CF9AE}" pid="3" name="ContentTypeId">
    <vt:lpwstr>0x0101000B461733DE48CC4985E239AAFC9C41590100670D0BD9AB7101418FC69E4F42B3A5BC</vt:lpwstr>
  </property>
  <property fmtid="{D5CDD505-2E9C-101B-9397-08002B2CF9AE}" pid="4" name="SecurityClassification">
    <vt:lpwstr>3;#In Confidence|5fccf67f-7cb1-4561-8450-fe0d2ea19178</vt:lpwstr>
  </property>
  <property fmtid="{D5CDD505-2E9C-101B-9397-08002B2CF9AE}" pid="5" name="BusinessActivity">
    <vt:lpwstr>1;#Tax policy work|c05dfd7c-a5ba-47bf-969f-3422104229d3</vt:lpwstr>
  </property>
  <property fmtid="{D5CDD505-2E9C-101B-9397-08002B2CF9AE}" pid="6" name="InformationType">
    <vt:lpwstr/>
  </property>
  <property fmtid="{D5CDD505-2E9C-101B-9397-08002B2CF9AE}" pid="7" name="DocumentStatus">
    <vt:lpwstr/>
  </property>
  <property fmtid="{D5CDD505-2E9C-101B-9397-08002B2CF9AE}" pid="8" name="MediaServiceImageTags">
    <vt:lpwstr/>
  </property>
</Properties>
</file>