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75961167" w:rsidR="00EF50FD" w:rsidRPr="00A864A5" w:rsidRDefault="00EF50FD" w:rsidP="00EF50FD">
      <w:pPr>
        <w:pStyle w:val="Heading1"/>
        <w:spacing w:before="0" w:after="120" w:line="276" w:lineRule="auto"/>
        <w:rPr>
          <w:color w:val="0082AB"/>
          <w:lang w:val="en-NZ"/>
        </w:rPr>
      </w:pPr>
      <w:r w:rsidRPr="00A864A5">
        <w:rPr>
          <w:color w:val="0082AB"/>
          <w:lang w:val="en-NZ"/>
        </w:rPr>
        <w:t xml:space="preserve">Regulatory Impact Statement: </w:t>
      </w:r>
      <w:r w:rsidR="009B4B14">
        <w:rPr>
          <w:color w:val="0082AB"/>
          <w:lang w:val="en-NZ"/>
        </w:rPr>
        <w:t>Local authority taxation – dividends and deductions</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296"/>
        <w:gridCol w:w="6556"/>
      </w:tblGrid>
      <w:tr w:rsidR="001F29E6" w:rsidRPr="00A864A5" w14:paraId="24CAC5A8" w14:textId="77777777" w:rsidTr="27FA92CD">
        <w:tc>
          <w:tcPr>
            <w:tcW w:w="5000" w:type="pct"/>
            <w:gridSpan w:val="2"/>
            <w:tcBorders>
              <w:bottom w:val="single" w:sz="4" w:space="0" w:color="DDDDDD"/>
            </w:tcBorders>
            <w:shd w:val="clear" w:color="auto" w:fill="99CDDD"/>
            <w:hideMark/>
          </w:tcPr>
          <w:p w14:paraId="3273EFFF" w14:textId="48C848C9" w:rsidR="001F29E6" w:rsidRPr="00A864A5" w:rsidRDefault="001F29E6" w:rsidP="006068AB">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24C44C49" w14:textId="77777777" w:rsidTr="27FA92CD">
        <w:trPr>
          <w:trHeight w:val="414"/>
        </w:trPr>
        <w:tc>
          <w:tcPr>
            <w:tcW w:w="1297" w:type="pct"/>
            <w:tcBorders>
              <w:top w:val="nil"/>
            </w:tcBorders>
            <w:shd w:val="clear" w:color="auto" w:fill="EBF5F8"/>
          </w:tcPr>
          <w:p w14:paraId="120D8478" w14:textId="731F9FCE" w:rsidR="001F29E6" w:rsidRPr="00A864A5" w:rsidRDefault="001F29E6" w:rsidP="006068AB">
            <w:pPr>
              <w:spacing w:after="180"/>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703" w:type="pct"/>
            <w:tcBorders>
              <w:top w:val="nil"/>
            </w:tcBorders>
            <w:shd w:val="clear" w:color="auto" w:fill="auto"/>
          </w:tcPr>
          <w:p w14:paraId="2B9F992E" w14:textId="4436988E" w:rsidR="001F29E6" w:rsidRPr="005D3B1D" w:rsidRDefault="005D3B1D" w:rsidP="006068AB">
            <w:pPr>
              <w:spacing w:after="180"/>
              <w:rPr>
                <w:rFonts w:cs="Arial"/>
                <w:iCs/>
                <w:color w:val="000000"/>
                <w:szCs w:val="22"/>
                <w:lang w:val="en-NZ"/>
              </w:rPr>
            </w:pPr>
            <w:r w:rsidRPr="005D3B1D">
              <w:rPr>
                <w:rFonts w:cs="Arial"/>
                <w:iCs/>
                <w:color w:val="000000"/>
                <w:szCs w:val="22"/>
                <w:lang w:val="en-NZ"/>
              </w:rPr>
              <w:t xml:space="preserve">Legislative changes to improve the integrity of </w:t>
            </w:r>
            <w:r w:rsidR="00235C37">
              <w:rPr>
                <w:rFonts w:cs="Arial"/>
                <w:iCs/>
                <w:color w:val="000000"/>
                <w:szCs w:val="22"/>
                <w:lang w:val="en-NZ"/>
              </w:rPr>
              <w:t>local authority</w:t>
            </w:r>
            <w:r w:rsidRPr="005D3B1D">
              <w:rPr>
                <w:rFonts w:cs="Arial"/>
                <w:iCs/>
                <w:color w:val="000000"/>
                <w:szCs w:val="22"/>
                <w:lang w:val="en-NZ"/>
              </w:rPr>
              <w:t xml:space="preserve"> tax</w:t>
            </w:r>
            <w:r w:rsidR="008E7613">
              <w:rPr>
                <w:rFonts w:cs="Arial"/>
                <w:iCs/>
                <w:color w:val="000000"/>
                <w:szCs w:val="22"/>
                <w:lang w:val="en-NZ"/>
              </w:rPr>
              <w:t>ation</w:t>
            </w:r>
            <w:r w:rsidRPr="005D3B1D">
              <w:rPr>
                <w:rFonts w:cs="Arial"/>
                <w:iCs/>
                <w:color w:val="000000"/>
                <w:szCs w:val="22"/>
                <w:lang w:val="en-NZ"/>
              </w:rPr>
              <w:t>.</w:t>
            </w:r>
          </w:p>
        </w:tc>
      </w:tr>
      <w:tr w:rsidR="001F29E6" w:rsidRPr="00A864A5" w14:paraId="2895A1B0" w14:textId="77777777" w:rsidTr="27FA92CD">
        <w:trPr>
          <w:trHeight w:val="506"/>
        </w:trPr>
        <w:tc>
          <w:tcPr>
            <w:tcW w:w="1297" w:type="pct"/>
            <w:tcBorders>
              <w:top w:val="nil"/>
            </w:tcBorders>
            <w:shd w:val="clear" w:color="auto" w:fill="EBF5F8"/>
          </w:tcPr>
          <w:p w14:paraId="19AF4671" w14:textId="697D59E7" w:rsidR="001F29E6" w:rsidRPr="00A864A5" w:rsidRDefault="002C0E77" w:rsidP="006068AB">
            <w:pPr>
              <w:spacing w:after="180"/>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703" w:type="pct"/>
            <w:tcBorders>
              <w:top w:val="nil"/>
            </w:tcBorders>
            <w:shd w:val="clear" w:color="auto" w:fill="auto"/>
          </w:tcPr>
          <w:p w14:paraId="742E202F" w14:textId="66094114" w:rsidR="001F29E6" w:rsidRPr="009D57C5" w:rsidRDefault="009D57C5" w:rsidP="006068AB">
            <w:pPr>
              <w:spacing w:after="180"/>
              <w:rPr>
                <w:rFonts w:cs="Arial"/>
                <w:iCs/>
                <w:color w:val="000000"/>
                <w:szCs w:val="22"/>
                <w:lang w:val="en-NZ"/>
              </w:rPr>
            </w:pPr>
            <w:r w:rsidRPr="009D57C5">
              <w:rPr>
                <w:rFonts w:cs="Arial"/>
                <w:iCs/>
                <w:color w:val="000000"/>
                <w:szCs w:val="22"/>
                <w:lang w:val="en-NZ"/>
              </w:rPr>
              <w:t>Inland Revenue</w:t>
            </w:r>
          </w:p>
        </w:tc>
      </w:tr>
      <w:tr w:rsidR="001F29E6" w:rsidRPr="00A864A5" w14:paraId="568C5BEC" w14:textId="77777777" w:rsidTr="27FA92CD">
        <w:trPr>
          <w:trHeight w:val="317"/>
        </w:trPr>
        <w:tc>
          <w:tcPr>
            <w:tcW w:w="1297" w:type="pct"/>
            <w:tcBorders>
              <w:top w:val="nil"/>
            </w:tcBorders>
            <w:shd w:val="clear" w:color="auto" w:fill="EBF5F8"/>
          </w:tcPr>
          <w:p w14:paraId="0F68A519" w14:textId="4F678206" w:rsidR="001F29E6" w:rsidRPr="00A864A5" w:rsidRDefault="001F29E6" w:rsidP="006068AB">
            <w:pPr>
              <w:spacing w:after="180"/>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703" w:type="pct"/>
            <w:tcBorders>
              <w:top w:val="nil"/>
            </w:tcBorders>
            <w:shd w:val="clear" w:color="auto" w:fill="auto"/>
          </w:tcPr>
          <w:p w14:paraId="3C92607C" w14:textId="7C36067A" w:rsidR="001F29E6" w:rsidRPr="009D57C5" w:rsidRDefault="009D57C5" w:rsidP="006068AB">
            <w:pPr>
              <w:spacing w:after="180"/>
              <w:rPr>
                <w:rFonts w:cs="Arial"/>
                <w:iCs/>
                <w:color w:val="000000"/>
                <w:szCs w:val="22"/>
                <w:lang w:val="en-NZ"/>
              </w:rPr>
            </w:pPr>
            <w:r w:rsidRPr="009D57C5">
              <w:rPr>
                <w:rFonts w:cs="Arial"/>
                <w:iCs/>
                <w:color w:val="000000"/>
                <w:szCs w:val="22"/>
                <w:lang w:val="en-NZ"/>
              </w:rPr>
              <w:t>Minister of Revenue</w:t>
            </w:r>
          </w:p>
        </w:tc>
      </w:tr>
      <w:tr w:rsidR="00C11B3B" w:rsidRPr="00A864A5" w14:paraId="73C7C7FD" w14:textId="77777777" w:rsidTr="27FA92CD">
        <w:trPr>
          <w:trHeight w:val="202"/>
        </w:trPr>
        <w:tc>
          <w:tcPr>
            <w:tcW w:w="1297" w:type="pct"/>
            <w:tcBorders>
              <w:top w:val="nil"/>
            </w:tcBorders>
            <w:shd w:val="clear" w:color="auto" w:fill="EBF5F8"/>
          </w:tcPr>
          <w:p w14:paraId="5B57759D" w14:textId="6F936C83" w:rsidR="00C11B3B" w:rsidRPr="00A864A5" w:rsidRDefault="00C11B3B" w:rsidP="006068AB">
            <w:pPr>
              <w:spacing w:after="180"/>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703" w:type="pct"/>
            <w:tcBorders>
              <w:top w:val="nil"/>
            </w:tcBorders>
            <w:shd w:val="clear" w:color="auto" w:fill="auto"/>
          </w:tcPr>
          <w:p w14:paraId="4547EFD0" w14:textId="17C8B78A" w:rsidR="00C11B3B" w:rsidRPr="003B2786" w:rsidRDefault="00DB765C" w:rsidP="006068AB">
            <w:pPr>
              <w:spacing w:after="180"/>
              <w:rPr>
                <w:rFonts w:cs="Arial"/>
                <w:iCs/>
                <w:color w:val="000000"/>
                <w:szCs w:val="22"/>
                <w:highlight w:val="yellow"/>
                <w:lang w:val="en-NZ"/>
              </w:rPr>
            </w:pPr>
            <w:r w:rsidRPr="003B2786">
              <w:rPr>
                <w:rFonts w:cs="Arial"/>
                <w:iCs/>
                <w:color w:val="000000"/>
                <w:szCs w:val="22"/>
                <w:lang w:val="en-NZ"/>
              </w:rPr>
              <w:t>1</w:t>
            </w:r>
            <w:r w:rsidR="003B2786">
              <w:rPr>
                <w:rFonts w:cs="Arial"/>
                <w:iCs/>
                <w:color w:val="000000"/>
                <w:szCs w:val="22"/>
                <w:lang w:val="en-NZ"/>
              </w:rPr>
              <w:t>7</w:t>
            </w:r>
            <w:r w:rsidRPr="003B2786">
              <w:rPr>
                <w:rFonts w:cs="Arial"/>
                <w:iCs/>
                <w:color w:val="000000"/>
                <w:szCs w:val="22"/>
                <w:lang w:val="en-NZ"/>
              </w:rPr>
              <w:t xml:space="preserve"> June 2021</w:t>
            </w:r>
          </w:p>
        </w:tc>
      </w:tr>
      <w:tr w:rsidR="0079435C" w:rsidRPr="00A864A5" w14:paraId="7F643A0E" w14:textId="77777777" w:rsidTr="27FA92CD">
        <w:tc>
          <w:tcPr>
            <w:tcW w:w="5000" w:type="pct"/>
            <w:gridSpan w:val="2"/>
            <w:tcBorders>
              <w:bottom w:val="single" w:sz="4" w:space="0" w:color="DDDDDD"/>
            </w:tcBorders>
            <w:shd w:val="clear" w:color="auto" w:fill="99CDDD"/>
            <w:hideMark/>
          </w:tcPr>
          <w:p w14:paraId="7F446F06" w14:textId="570ED786" w:rsidR="0079435C" w:rsidRPr="00A864A5" w:rsidRDefault="0079435C" w:rsidP="006068AB">
            <w:pPr>
              <w:pStyle w:val="TableHeadings"/>
              <w:rPr>
                <w:color w:val="002060"/>
                <w:szCs w:val="22"/>
                <w:lang w:val="en-NZ"/>
              </w:rPr>
            </w:pPr>
            <w:r w:rsidRPr="00A864A5">
              <w:rPr>
                <w:szCs w:val="22"/>
                <w:lang w:val="en-NZ"/>
              </w:rPr>
              <w:t>Problem Definition</w:t>
            </w:r>
          </w:p>
        </w:tc>
      </w:tr>
      <w:tr w:rsidR="0079435C" w:rsidRPr="00A864A5" w14:paraId="058C86B2" w14:textId="77777777" w:rsidTr="27FA92CD">
        <w:trPr>
          <w:trHeight w:val="824"/>
        </w:trPr>
        <w:tc>
          <w:tcPr>
            <w:tcW w:w="5000" w:type="pct"/>
            <w:gridSpan w:val="2"/>
            <w:tcBorders>
              <w:top w:val="nil"/>
            </w:tcBorders>
            <w:shd w:val="clear" w:color="auto" w:fill="auto"/>
          </w:tcPr>
          <w:p w14:paraId="2C7BE063" w14:textId="55D9E658" w:rsidR="000C4AA7" w:rsidRDefault="45787370" w:rsidP="7CDCE639">
            <w:pPr>
              <w:tabs>
                <w:tab w:val="left" w:pos="7424"/>
                <w:tab w:val="right" w:pos="8636"/>
              </w:tabs>
              <w:rPr>
                <w:rFonts w:cs="Arial"/>
                <w:lang w:val="en-NZ"/>
              </w:rPr>
            </w:pPr>
            <w:r w:rsidRPr="5708860E">
              <w:rPr>
                <w:rFonts w:cs="Arial"/>
                <w:lang w:val="en-NZ"/>
              </w:rPr>
              <w:t>Council-controlled organisations (CCOs) are treated as ordinary companies and are taxed to ensure competitive neutrality with the private sector. However, c</w:t>
            </w:r>
            <w:r w:rsidR="7195BA15" w:rsidRPr="5708860E">
              <w:rPr>
                <w:rFonts w:cs="Arial"/>
                <w:lang w:val="en-NZ"/>
              </w:rPr>
              <w:t xml:space="preserve">urrent </w:t>
            </w:r>
            <w:r w:rsidR="3A585E4C" w:rsidRPr="5708860E">
              <w:rPr>
                <w:rFonts w:cs="Arial"/>
                <w:lang w:val="en-NZ"/>
              </w:rPr>
              <w:t xml:space="preserve">tax law allows </w:t>
            </w:r>
            <w:r w:rsidR="66EDF8F0" w:rsidRPr="5708860E">
              <w:rPr>
                <w:rFonts w:cs="Arial"/>
                <w:lang w:val="en-NZ"/>
              </w:rPr>
              <w:t xml:space="preserve">local authorities to </w:t>
            </w:r>
            <w:r w:rsidR="4B4CC0C5" w:rsidRPr="5708860E">
              <w:rPr>
                <w:rFonts w:cs="Arial"/>
                <w:lang w:val="en-NZ"/>
              </w:rPr>
              <w:t xml:space="preserve">transfer the benefit of their tax-exempt status to their taxable </w:t>
            </w:r>
            <w:r w:rsidRPr="5708860E">
              <w:rPr>
                <w:rFonts w:cs="Arial"/>
                <w:lang w:val="en-NZ"/>
              </w:rPr>
              <w:t>CCOs</w:t>
            </w:r>
            <w:r w:rsidR="4B4CC0C5" w:rsidRPr="5708860E">
              <w:rPr>
                <w:rFonts w:cs="Arial"/>
                <w:lang w:val="en-NZ"/>
              </w:rPr>
              <w:t>.</w:t>
            </w:r>
            <w:r w:rsidR="0076615E">
              <w:rPr>
                <w:rFonts w:cs="Arial"/>
                <w:lang w:val="en-NZ"/>
              </w:rPr>
              <w:t xml:space="preserve"> That is, l</w:t>
            </w:r>
            <w:r w:rsidR="00F72F12">
              <w:rPr>
                <w:rFonts w:cs="Arial"/>
                <w:lang w:val="en-NZ"/>
              </w:rPr>
              <w:t>ocal authorities are able to shelter their CCOs from tax.</w:t>
            </w:r>
          </w:p>
          <w:p w14:paraId="4EBB6131" w14:textId="7308ABE6" w:rsidR="0079435C" w:rsidRPr="00A864A5" w:rsidRDefault="000C4AA7" w:rsidP="7CDCE639">
            <w:pPr>
              <w:tabs>
                <w:tab w:val="left" w:pos="7424"/>
                <w:tab w:val="right" w:pos="8636"/>
              </w:tabs>
              <w:rPr>
                <w:rFonts w:cs="Arial"/>
                <w:lang w:val="en-NZ"/>
              </w:rPr>
            </w:pPr>
            <w:r>
              <w:rPr>
                <w:rFonts w:cs="Arial"/>
              </w:rPr>
              <w:t xml:space="preserve">This </w:t>
            </w:r>
            <w:r w:rsidR="000127C5">
              <w:rPr>
                <w:rFonts w:cs="Arial"/>
              </w:rPr>
              <w:t>undermines the integrity of the tax system by allowing local authorities to effectively extract profits from their CCOs tax-free. This reduces the gover</w:t>
            </w:r>
            <w:r w:rsidR="00F96CBD">
              <w:rPr>
                <w:rFonts w:cs="Arial"/>
              </w:rPr>
              <w:t xml:space="preserve">nment’s tax revenues </w:t>
            </w:r>
            <w:r w:rsidR="00094006">
              <w:rPr>
                <w:rFonts w:cs="Arial"/>
              </w:rPr>
              <w:t>from</w:t>
            </w:r>
            <w:r w:rsidR="00A35F27">
              <w:rPr>
                <w:rFonts w:cs="Arial"/>
              </w:rPr>
              <w:t xml:space="preserve"> CCOs</w:t>
            </w:r>
            <w:r w:rsidR="001B2946">
              <w:rPr>
                <w:rFonts w:cs="Arial"/>
              </w:rPr>
              <w:t>.</w:t>
            </w:r>
            <w:r w:rsidR="00B6680A">
              <w:tab/>
            </w:r>
          </w:p>
        </w:tc>
      </w:tr>
      <w:tr w:rsidR="00C93549" w:rsidRPr="00A864A5" w14:paraId="7CED8916" w14:textId="77777777" w:rsidTr="27FA92CD">
        <w:tc>
          <w:tcPr>
            <w:tcW w:w="5000" w:type="pct"/>
            <w:gridSpan w:val="2"/>
            <w:tcBorders>
              <w:bottom w:val="single" w:sz="4" w:space="0" w:color="DDDDDD"/>
            </w:tcBorders>
            <w:shd w:val="clear" w:color="auto" w:fill="99CDDD"/>
            <w:hideMark/>
          </w:tcPr>
          <w:p w14:paraId="163B530B" w14:textId="0ACEE607" w:rsidR="00C93549" w:rsidRPr="00A864A5" w:rsidRDefault="00063943" w:rsidP="006068AB">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FE3199" w:rsidRPr="00A864A5" w14:paraId="6B25993E" w14:textId="77777777" w:rsidTr="27FA92CD">
        <w:trPr>
          <w:trHeight w:val="944"/>
        </w:trPr>
        <w:tc>
          <w:tcPr>
            <w:tcW w:w="5000" w:type="pct"/>
            <w:gridSpan w:val="2"/>
            <w:tcBorders>
              <w:top w:val="nil"/>
            </w:tcBorders>
            <w:shd w:val="clear" w:color="auto" w:fill="auto"/>
          </w:tcPr>
          <w:p w14:paraId="79E32514" w14:textId="77777777" w:rsidR="00866B2B" w:rsidRDefault="00866B2B" w:rsidP="7CDCE639">
            <w:pPr>
              <w:tabs>
                <w:tab w:val="left" w:pos="7424"/>
                <w:tab w:val="right" w:pos="8636"/>
              </w:tabs>
              <w:rPr>
                <w:rFonts w:cs="Arial"/>
                <w:lang w:val="en-NZ"/>
              </w:rPr>
            </w:pPr>
            <w:r>
              <w:rPr>
                <w:rFonts w:cs="Arial"/>
                <w:lang w:val="en-NZ"/>
              </w:rPr>
              <w:t>The current tax policy settings for local authorities are that:</w:t>
            </w:r>
          </w:p>
          <w:p w14:paraId="4E01B97B" w14:textId="2215BD17" w:rsidR="00866B2B" w:rsidRDefault="00866B2B" w:rsidP="00866B2B">
            <w:pPr>
              <w:pStyle w:val="ListParagraph"/>
              <w:numPr>
                <w:ilvl w:val="0"/>
                <w:numId w:val="45"/>
              </w:numPr>
              <w:tabs>
                <w:tab w:val="left" w:pos="7424"/>
                <w:tab w:val="right" w:pos="8636"/>
              </w:tabs>
              <w:rPr>
                <w:rFonts w:cs="Arial"/>
                <w:lang w:val="en-NZ"/>
              </w:rPr>
            </w:pPr>
            <w:r>
              <w:rPr>
                <w:rFonts w:cs="Arial"/>
                <w:lang w:val="en-NZ"/>
              </w:rPr>
              <w:t>A local authority is tax-exempt on income (primarily rates) derived from carrying on activities within its statutory purpose</w:t>
            </w:r>
            <w:r w:rsidR="005C0B1B">
              <w:rPr>
                <w:rFonts w:cs="Arial"/>
                <w:lang w:val="en-NZ"/>
              </w:rPr>
              <w:t>s</w:t>
            </w:r>
            <w:r>
              <w:rPr>
                <w:rFonts w:cs="Arial"/>
                <w:lang w:val="en-NZ"/>
              </w:rPr>
              <w:t>, as per the Local Government Act</w:t>
            </w:r>
            <w:r w:rsidR="002C720B">
              <w:rPr>
                <w:rFonts w:cs="Arial"/>
                <w:lang w:val="en-NZ"/>
              </w:rPr>
              <w:t xml:space="preserve"> 2002</w:t>
            </w:r>
            <w:r>
              <w:rPr>
                <w:rFonts w:cs="Arial"/>
                <w:lang w:val="en-NZ"/>
              </w:rPr>
              <w:t xml:space="preserve"> (such as water supply).</w:t>
            </w:r>
          </w:p>
          <w:p w14:paraId="66C3607C" w14:textId="46563F52" w:rsidR="00866B2B" w:rsidRDefault="00866B2B" w:rsidP="00866B2B">
            <w:pPr>
              <w:pStyle w:val="ListParagraph"/>
              <w:numPr>
                <w:ilvl w:val="0"/>
                <w:numId w:val="45"/>
              </w:numPr>
              <w:tabs>
                <w:tab w:val="left" w:pos="7424"/>
                <w:tab w:val="right" w:pos="8636"/>
              </w:tabs>
              <w:rPr>
                <w:rFonts w:cs="Arial"/>
                <w:lang w:val="en-NZ"/>
              </w:rPr>
            </w:pPr>
            <w:r>
              <w:rPr>
                <w:rFonts w:cs="Arial"/>
                <w:lang w:val="en-NZ"/>
              </w:rPr>
              <w:t xml:space="preserve">A local authority </w:t>
            </w:r>
            <w:r w:rsidR="00A164CA">
              <w:rPr>
                <w:rFonts w:cs="Arial"/>
                <w:lang w:val="en-NZ"/>
              </w:rPr>
              <w:t>is taxable on income (e.g. rent, management fees, dividends) derived from a CCO.</w:t>
            </w:r>
          </w:p>
          <w:p w14:paraId="421AC3E7" w14:textId="0164A68E" w:rsidR="00A164CA" w:rsidRDefault="00A164CA" w:rsidP="00866B2B">
            <w:pPr>
              <w:pStyle w:val="ListParagraph"/>
              <w:numPr>
                <w:ilvl w:val="0"/>
                <w:numId w:val="45"/>
              </w:numPr>
              <w:tabs>
                <w:tab w:val="left" w:pos="7424"/>
                <w:tab w:val="right" w:pos="8636"/>
              </w:tabs>
              <w:rPr>
                <w:rFonts w:cs="Arial"/>
                <w:lang w:val="en-NZ"/>
              </w:rPr>
            </w:pPr>
            <w:r>
              <w:rPr>
                <w:rFonts w:cs="Arial"/>
                <w:lang w:val="en-NZ"/>
              </w:rPr>
              <w:t xml:space="preserve">A CCO </w:t>
            </w:r>
            <w:r w:rsidR="002C720B">
              <w:rPr>
                <w:rFonts w:cs="Arial"/>
                <w:lang w:val="en-NZ"/>
              </w:rPr>
              <w:t xml:space="preserve">that operates a trading undertaking </w:t>
            </w:r>
            <w:r w:rsidR="00070085">
              <w:rPr>
                <w:rFonts w:cs="Arial"/>
                <w:lang w:val="en-NZ"/>
              </w:rPr>
              <w:t>is taxed to ensure competitive neutrality with the private sector.</w:t>
            </w:r>
          </w:p>
          <w:p w14:paraId="6F359071" w14:textId="77777777" w:rsidR="00E90642" w:rsidRDefault="00070085" w:rsidP="00070085">
            <w:pPr>
              <w:tabs>
                <w:tab w:val="left" w:pos="7424"/>
                <w:tab w:val="right" w:pos="8636"/>
              </w:tabs>
              <w:rPr>
                <w:rFonts w:cs="Arial"/>
                <w:lang w:val="en-NZ"/>
              </w:rPr>
            </w:pPr>
            <w:r>
              <w:rPr>
                <w:rFonts w:cs="Arial"/>
                <w:lang w:val="en-NZ"/>
              </w:rPr>
              <w:t>The original policy rationale for treating all income a local authority derives from a CCO as taxable was to prevent profit shifting from these taxable entities to exempt local authorities.</w:t>
            </w:r>
          </w:p>
          <w:p w14:paraId="790D1E50" w14:textId="0D56501C" w:rsidR="00070085" w:rsidRPr="00070085" w:rsidRDefault="00070085" w:rsidP="00070085">
            <w:pPr>
              <w:tabs>
                <w:tab w:val="left" w:pos="7424"/>
                <w:tab w:val="right" w:pos="8636"/>
              </w:tabs>
              <w:rPr>
                <w:rFonts w:cs="Arial"/>
                <w:lang w:val="en-NZ"/>
              </w:rPr>
            </w:pPr>
            <w:r>
              <w:rPr>
                <w:rFonts w:cs="Arial"/>
                <w:lang w:val="en-NZ"/>
              </w:rPr>
              <w:t>Without this provision, income from a CCO could effectively be extracted tax-free by the local authority</w:t>
            </w:r>
            <w:r w:rsidR="00DD3946">
              <w:rPr>
                <w:rFonts w:cs="Arial"/>
                <w:lang w:val="en-NZ"/>
              </w:rPr>
              <w:t xml:space="preserve"> </w:t>
            </w:r>
            <w:r>
              <w:rPr>
                <w:rFonts w:cs="Arial"/>
                <w:lang w:val="en-NZ"/>
              </w:rPr>
              <w:t xml:space="preserve">charging the CCO </w:t>
            </w:r>
            <w:r w:rsidR="00B868B0">
              <w:rPr>
                <w:rFonts w:cs="Arial"/>
                <w:lang w:val="en-NZ"/>
              </w:rPr>
              <w:t>above-market</w:t>
            </w:r>
            <w:r>
              <w:rPr>
                <w:rFonts w:cs="Arial"/>
                <w:lang w:val="en-NZ"/>
              </w:rPr>
              <w:t xml:space="preserve"> rental or management fees, which would be deductible to the CCO b</w:t>
            </w:r>
            <w:r w:rsidR="00DD3946">
              <w:rPr>
                <w:rFonts w:cs="Arial"/>
                <w:lang w:val="en-NZ"/>
              </w:rPr>
              <w:t>ut</w:t>
            </w:r>
            <w:r>
              <w:rPr>
                <w:rFonts w:cs="Arial"/>
                <w:lang w:val="en-NZ"/>
              </w:rPr>
              <w:t xml:space="preserve"> not taxable to the local authority due to its tax-exempt status.</w:t>
            </w:r>
            <w:r w:rsidR="002A7EA5">
              <w:rPr>
                <w:rFonts w:cs="Arial"/>
                <w:lang w:val="en-NZ"/>
              </w:rPr>
              <w:t xml:space="preserve"> </w:t>
            </w:r>
            <w:r>
              <w:rPr>
                <w:rFonts w:cs="Arial"/>
                <w:lang w:val="en-NZ"/>
              </w:rPr>
              <w:t xml:space="preserve">Despite the above </w:t>
            </w:r>
            <w:r w:rsidR="002A7EA5">
              <w:rPr>
                <w:rFonts w:cs="Arial"/>
                <w:lang w:val="en-NZ"/>
              </w:rPr>
              <w:t>provision</w:t>
            </w:r>
            <w:r>
              <w:rPr>
                <w:rFonts w:cs="Arial"/>
                <w:lang w:val="en-NZ"/>
              </w:rPr>
              <w:t xml:space="preserve">, </w:t>
            </w:r>
            <w:r w:rsidR="00D720D3">
              <w:rPr>
                <w:rFonts w:cs="Arial"/>
                <w:lang w:val="en-NZ"/>
              </w:rPr>
              <w:t>structures can be entered into which allow local authorities to transfer the benefit of their tax-exempt status to their taxable CCOs.</w:t>
            </w:r>
          </w:p>
          <w:p w14:paraId="018AFFA1" w14:textId="77777777" w:rsidR="004F42C2" w:rsidRDefault="004F42C2" w:rsidP="00805DB4">
            <w:pPr>
              <w:tabs>
                <w:tab w:val="left" w:pos="7424"/>
                <w:tab w:val="right" w:pos="8636"/>
              </w:tabs>
              <w:rPr>
                <w:rFonts w:cs="Arial"/>
                <w:szCs w:val="22"/>
                <w:lang w:val="en-NZ"/>
              </w:rPr>
            </w:pPr>
            <w:r w:rsidRPr="004F42C2">
              <w:rPr>
                <w:rFonts w:cs="Arial"/>
                <w:b/>
                <w:bCs/>
                <w:szCs w:val="22"/>
                <w:lang w:val="en-NZ"/>
              </w:rPr>
              <w:lastRenderedPageBreak/>
              <w:t>Dividends</w:t>
            </w:r>
          </w:p>
          <w:p w14:paraId="2F68F1F7" w14:textId="14918967" w:rsidR="008E53FD" w:rsidRDefault="008E53FD" w:rsidP="008E53FD">
            <w:pPr>
              <w:tabs>
                <w:tab w:val="left" w:pos="7424"/>
                <w:tab w:val="right" w:pos="8636"/>
              </w:tabs>
              <w:rPr>
                <w:rFonts w:cs="Arial"/>
                <w:szCs w:val="22"/>
                <w:lang w:val="en-NZ"/>
              </w:rPr>
            </w:pPr>
            <w:r>
              <w:rPr>
                <w:rFonts w:cs="Arial"/>
                <w:szCs w:val="22"/>
                <w:lang w:val="en-NZ"/>
              </w:rPr>
              <w:t xml:space="preserve">Officials consider that the current treatment of taxing dividends derived by a local authority from a </w:t>
            </w:r>
            <w:proofErr w:type="gramStart"/>
            <w:r>
              <w:rPr>
                <w:rFonts w:cs="Arial"/>
                <w:szCs w:val="22"/>
                <w:lang w:val="en-NZ"/>
              </w:rPr>
              <w:t>wholly-owned</w:t>
            </w:r>
            <w:proofErr w:type="gramEnd"/>
            <w:r>
              <w:rPr>
                <w:rFonts w:cs="Arial"/>
                <w:szCs w:val="22"/>
                <w:lang w:val="en-NZ"/>
              </w:rPr>
              <w:t xml:space="preserve"> CCO is an overreach. This is because a dividend is not a deductible expense of a CCO so there are no profit shifting concerns.</w:t>
            </w:r>
            <w:r w:rsidR="00DE376F">
              <w:rPr>
                <w:rFonts w:cs="Arial"/>
                <w:szCs w:val="22"/>
                <w:lang w:val="en-NZ"/>
              </w:rPr>
              <w:t xml:space="preserve"> Taxing these dividends is an impediment to the movement of capital within </w:t>
            </w:r>
            <w:r w:rsidR="002A45B5">
              <w:rPr>
                <w:rFonts w:cs="Arial"/>
                <w:szCs w:val="22"/>
                <w:lang w:val="en-NZ"/>
              </w:rPr>
              <w:t>a local authority’s group</w:t>
            </w:r>
            <w:r w:rsidR="00826954">
              <w:rPr>
                <w:rFonts w:cs="Arial"/>
                <w:szCs w:val="22"/>
                <w:lang w:val="en-NZ"/>
              </w:rPr>
              <w:t xml:space="preserve"> to where it can most efficiently be used</w:t>
            </w:r>
            <w:r w:rsidR="002A45B5">
              <w:rPr>
                <w:rFonts w:cs="Arial"/>
                <w:szCs w:val="22"/>
                <w:lang w:val="en-NZ"/>
              </w:rPr>
              <w:t>.</w:t>
            </w:r>
          </w:p>
          <w:p w14:paraId="1B4B4ED2" w14:textId="30472639" w:rsidR="00A219A1" w:rsidRDefault="004D6899" w:rsidP="00805DB4">
            <w:pPr>
              <w:tabs>
                <w:tab w:val="left" w:pos="7424"/>
                <w:tab w:val="right" w:pos="8636"/>
              </w:tabs>
              <w:rPr>
                <w:rFonts w:cs="Arial"/>
                <w:szCs w:val="22"/>
                <w:lang w:val="en-NZ"/>
              </w:rPr>
            </w:pPr>
            <w:r>
              <w:rPr>
                <w:rFonts w:cs="Arial"/>
                <w:szCs w:val="22"/>
                <w:lang w:val="en-NZ"/>
              </w:rPr>
              <w:t>Officials</w:t>
            </w:r>
            <w:r w:rsidR="000E265C">
              <w:rPr>
                <w:rFonts w:cs="Arial"/>
                <w:szCs w:val="22"/>
                <w:lang w:val="en-NZ"/>
              </w:rPr>
              <w:t>’</w:t>
            </w:r>
            <w:r>
              <w:rPr>
                <w:rFonts w:cs="Arial"/>
                <w:szCs w:val="22"/>
                <w:lang w:val="en-NZ"/>
              </w:rPr>
              <w:t xml:space="preserve"> preferr</w:t>
            </w:r>
            <w:r w:rsidR="00CF6646">
              <w:rPr>
                <w:rFonts w:cs="Arial"/>
                <w:szCs w:val="22"/>
                <w:lang w:val="en-NZ"/>
              </w:rPr>
              <w:t xml:space="preserve">ed option to this issue is to </w:t>
            </w:r>
            <w:r w:rsidR="0087764D">
              <w:rPr>
                <w:rFonts w:cs="Arial"/>
                <w:szCs w:val="22"/>
                <w:lang w:val="en-NZ"/>
              </w:rPr>
              <w:t>exempt</w:t>
            </w:r>
            <w:r w:rsidR="0087764D" w:rsidRPr="00CF6646">
              <w:rPr>
                <w:rFonts w:cs="Arial"/>
                <w:szCs w:val="22"/>
                <w:lang w:val="en-NZ"/>
              </w:rPr>
              <w:t xml:space="preserve"> </w:t>
            </w:r>
            <w:r w:rsidR="00C13723" w:rsidRPr="00CF6646">
              <w:rPr>
                <w:rFonts w:cs="Arial"/>
                <w:szCs w:val="22"/>
                <w:lang w:val="en-NZ"/>
              </w:rPr>
              <w:t>these dividends</w:t>
            </w:r>
            <w:r w:rsidR="00462446">
              <w:rPr>
                <w:rFonts w:cs="Arial"/>
                <w:szCs w:val="22"/>
                <w:lang w:val="en-NZ"/>
              </w:rPr>
              <w:t xml:space="preserve"> from tax</w:t>
            </w:r>
            <w:r w:rsidR="00A219A1">
              <w:rPr>
                <w:rFonts w:cs="Arial"/>
                <w:szCs w:val="22"/>
                <w:lang w:val="en-NZ"/>
              </w:rPr>
              <w:t xml:space="preserve">, consistent with similar </w:t>
            </w:r>
            <w:r w:rsidR="00AA0A53">
              <w:rPr>
                <w:rFonts w:cs="Arial"/>
                <w:szCs w:val="22"/>
                <w:lang w:val="en-NZ"/>
              </w:rPr>
              <w:t xml:space="preserve">settings for </w:t>
            </w:r>
            <w:r w:rsidR="000A6DBD">
              <w:rPr>
                <w:rFonts w:cs="Arial"/>
                <w:szCs w:val="22"/>
                <w:lang w:val="en-NZ"/>
              </w:rPr>
              <w:t xml:space="preserve">dividends derived by </w:t>
            </w:r>
            <w:r w:rsidR="00AA0A53">
              <w:rPr>
                <w:rFonts w:cs="Arial"/>
                <w:szCs w:val="22"/>
                <w:lang w:val="en-NZ"/>
              </w:rPr>
              <w:t xml:space="preserve">the Crown from State enterprises, and dividends </w:t>
            </w:r>
            <w:r w:rsidR="00832721">
              <w:rPr>
                <w:rFonts w:cs="Arial"/>
                <w:szCs w:val="22"/>
                <w:lang w:val="en-NZ"/>
              </w:rPr>
              <w:t xml:space="preserve">paid between </w:t>
            </w:r>
            <w:r w:rsidR="00F0426A">
              <w:rPr>
                <w:rFonts w:cs="Arial"/>
                <w:szCs w:val="22"/>
                <w:lang w:val="en-NZ"/>
              </w:rPr>
              <w:t>companies</w:t>
            </w:r>
            <w:r w:rsidR="00832721">
              <w:rPr>
                <w:rFonts w:cs="Arial"/>
                <w:szCs w:val="22"/>
                <w:lang w:val="en-NZ"/>
              </w:rPr>
              <w:t xml:space="preserve"> with 100% common ownership</w:t>
            </w:r>
            <w:r w:rsidR="00F0426A">
              <w:rPr>
                <w:rFonts w:cs="Arial"/>
                <w:szCs w:val="22"/>
                <w:lang w:val="en-NZ"/>
              </w:rPr>
              <w:t>.</w:t>
            </w:r>
          </w:p>
          <w:p w14:paraId="4A861C24" w14:textId="34922C1A" w:rsidR="00C13723" w:rsidRDefault="56213AA7" w:rsidP="7CDCE639">
            <w:pPr>
              <w:tabs>
                <w:tab w:val="left" w:pos="7424"/>
                <w:tab w:val="right" w:pos="8636"/>
              </w:tabs>
              <w:rPr>
                <w:rFonts w:cs="Arial"/>
                <w:lang w:val="en-NZ"/>
              </w:rPr>
            </w:pPr>
            <w:r w:rsidRPr="7CDCE639">
              <w:rPr>
                <w:rFonts w:cs="Arial"/>
                <w:lang w:val="en-NZ"/>
              </w:rPr>
              <w:t xml:space="preserve">Officials undertook targeted consultation with </w:t>
            </w:r>
            <w:r w:rsidR="698BDE32" w:rsidRPr="7CDCE639">
              <w:rPr>
                <w:rFonts w:cs="Arial"/>
                <w:lang w:val="en-NZ"/>
              </w:rPr>
              <w:t>the local government sector</w:t>
            </w:r>
            <w:r w:rsidRPr="7CDCE639">
              <w:rPr>
                <w:rFonts w:cs="Arial"/>
                <w:lang w:val="en-NZ"/>
              </w:rPr>
              <w:t xml:space="preserve"> in early 2021</w:t>
            </w:r>
            <w:r w:rsidR="29B79EB3" w:rsidRPr="7CDCE639">
              <w:rPr>
                <w:rFonts w:cs="Arial"/>
                <w:lang w:val="en-NZ"/>
              </w:rPr>
              <w:t>, and this option was support</w:t>
            </w:r>
            <w:r w:rsidR="6A67E7AC" w:rsidRPr="7CDCE639">
              <w:rPr>
                <w:rFonts w:cs="Arial"/>
                <w:lang w:val="en-NZ"/>
              </w:rPr>
              <w:t>ed</w:t>
            </w:r>
            <w:r w:rsidR="29B79EB3" w:rsidRPr="7CDCE639">
              <w:rPr>
                <w:rFonts w:cs="Arial"/>
                <w:lang w:val="en-NZ"/>
              </w:rPr>
              <w:t>.</w:t>
            </w:r>
            <w:r w:rsidR="5A8BE676" w:rsidRPr="7CDCE639">
              <w:rPr>
                <w:rFonts w:cs="Arial"/>
                <w:lang w:val="en-NZ"/>
              </w:rPr>
              <w:t xml:space="preserve"> </w:t>
            </w:r>
            <w:r w:rsidR="5CA86C23" w:rsidRPr="7CDCE639">
              <w:rPr>
                <w:rFonts w:cs="Arial"/>
                <w:lang w:val="en-NZ"/>
              </w:rPr>
              <w:t xml:space="preserve">Exempting </w:t>
            </w:r>
            <w:r w:rsidR="4E94AF44" w:rsidRPr="7CDCE639">
              <w:rPr>
                <w:rFonts w:cs="Arial"/>
                <w:lang w:val="en-NZ"/>
              </w:rPr>
              <w:t xml:space="preserve">dividends derived by local authorities from </w:t>
            </w:r>
            <w:proofErr w:type="gramStart"/>
            <w:r w:rsidR="5CA86C23" w:rsidRPr="7CDCE639">
              <w:rPr>
                <w:rFonts w:cs="Arial"/>
                <w:lang w:val="en-NZ"/>
              </w:rPr>
              <w:t>wholly-owned</w:t>
            </w:r>
            <w:proofErr w:type="gramEnd"/>
            <w:r w:rsidR="5CA86C23" w:rsidRPr="7CDCE639">
              <w:rPr>
                <w:rFonts w:cs="Arial"/>
                <w:lang w:val="en-NZ"/>
              </w:rPr>
              <w:t xml:space="preserve"> </w:t>
            </w:r>
            <w:r w:rsidR="4E94AF44" w:rsidRPr="7CDCE639">
              <w:rPr>
                <w:rFonts w:cs="Arial"/>
                <w:lang w:val="en-NZ"/>
              </w:rPr>
              <w:t xml:space="preserve">CCOs </w:t>
            </w:r>
            <w:r w:rsidR="68F6F341" w:rsidRPr="7CDCE639">
              <w:rPr>
                <w:rFonts w:cs="Arial"/>
                <w:lang w:val="en-NZ"/>
              </w:rPr>
              <w:t xml:space="preserve">would </w:t>
            </w:r>
            <w:r w:rsidR="5CA86C23" w:rsidRPr="7CDCE639">
              <w:rPr>
                <w:rFonts w:cs="Arial"/>
                <w:lang w:val="en-NZ"/>
              </w:rPr>
              <w:t xml:space="preserve">have no fiscal </w:t>
            </w:r>
            <w:r w:rsidR="00196CB7">
              <w:rPr>
                <w:rFonts w:cs="Arial"/>
                <w:lang w:val="en-NZ"/>
              </w:rPr>
              <w:t>impact</w:t>
            </w:r>
            <w:r w:rsidR="3AB7EF25" w:rsidRPr="7CDCE639">
              <w:rPr>
                <w:rFonts w:cs="Arial"/>
                <w:lang w:val="en-NZ"/>
              </w:rPr>
              <w:t xml:space="preserve">. </w:t>
            </w:r>
            <w:r w:rsidR="00D720D3">
              <w:rPr>
                <w:rFonts w:cs="Arial"/>
                <w:lang w:val="en-NZ"/>
              </w:rPr>
              <w:t>This is because these dividends are generally fully imputed, and the attached imputation credits would satisfy any tax on the dividends.</w:t>
            </w:r>
          </w:p>
          <w:p w14:paraId="104467D0" w14:textId="3B7CCAA2" w:rsidR="00C13723" w:rsidRDefault="00C13723" w:rsidP="00805DB4">
            <w:pPr>
              <w:tabs>
                <w:tab w:val="left" w:pos="7424"/>
                <w:tab w:val="right" w:pos="8636"/>
              </w:tabs>
              <w:rPr>
                <w:rFonts w:cs="Arial"/>
                <w:b/>
                <w:bCs/>
                <w:szCs w:val="22"/>
                <w:lang w:val="en-NZ"/>
              </w:rPr>
            </w:pPr>
            <w:r>
              <w:rPr>
                <w:rFonts w:cs="Arial"/>
                <w:b/>
                <w:bCs/>
                <w:szCs w:val="22"/>
                <w:lang w:val="en-NZ"/>
              </w:rPr>
              <w:t>Deductions</w:t>
            </w:r>
          </w:p>
          <w:p w14:paraId="3D7674C1" w14:textId="35BB4313" w:rsidR="00C13723" w:rsidRDefault="00C13723" w:rsidP="00805DB4">
            <w:pPr>
              <w:tabs>
                <w:tab w:val="left" w:pos="7424"/>
                <w:tab w:val="right" w:pos="8636"/>
              </w:tabs>
              <w:rPr>
                <w:rFonts w:cs="Arial"/>
                <w:szCs w:val="22"/>
                <w:lang w:val="en-NZ"/>
              </w:rPr>
            </w:pPr>
            <w:r>
              <w:rPr>
                <w:rFonts w:cs="Arial"/>
                <w:szCs w:val="22"/>
                <w:lang w:val="en-NZ"/>
              </w:rPr>
              <w:t>Current law allows local authorities certain deductions for expenditure not incurred in deriving assessable income (such as corporate gift</w:t>
            </w:r>
            <w:r w:rsidR="00094006">
              <w:rPr>
                <w:rFonts w:cs="Arial"/>
                <w:szCs w:val="22"/>
                <w:lang w:val="en-NZ"/>
              </w:rPr>
              <w:t>s</w:t>
            </w:r>
            <w:r>
              <w:rPr>
                <w:rFonts w:cs="Arial"/>
                <w:szCs w:val="22"/>
                <w:lang w:val="en-NZ"/>
              </w:rPr>
              <w:t xml:space="preserve"> </w:t>
            </w:r>
            <w:r w:rsidR="005B706A">
              <w:rPr>
                <w:rFonts w:cs="Arial"/>
                <w:szCs w:val="22"/>
                <w:lang w:val="en-NZ"/>
              </w:rPr>
              <w:t xml:space="preserve">and </w:t>
            </w:r>
            <w:r w:rsidR="008B7F0C">
              <w:rPr>
                <w:rFonts w:cs="Arial"/>
                <w:szCs w:val="22"/>
                <w:lang w:val="en-NZ"/>
              </w:rPr>
              <w:t>some</w:t>
            </w:r>
            <w:r w:rsidR="00102BE2">
              <w:rPr>
                <w:rFonts w:cs="Arial"/>
                <w:szCs w:val="22"/>
                <w:lang w:val="en-NZ"/>
              </w:rPr>
              <w:t xml:space="preserve"> </w:t>
            </w:r>
            <w:r w:rsidR="005B706A">
              <w:rPr>
                <w:rFonts w:cs="Arial"/>
                <w:szCs w:val="22"/>
                <w:lang w:val="en-NZ"/>
              </w:rPr>
              <w:t xml:space="preserve">interest </w:t>
            </w:r>
            <w:r w:rsidR="00094006">
              <w:rPr>
                <w:rFonts w:cs="Arial"/>
                <w:szCs w:val="22"/>
                <w:lang w:val="en-NZ"/>
              </w:rPr>
              <w:t>expenses</w:t>
            </w:r>
            <w:r w:rsidR="005B706A">
              <w:rPr>
                <w:rFonts w:cs="Arial"/>
                <w:szCs w:val="22"/>
                <w:lang w:val="en-NZ"/>
              </w:rPr>
              <w:t>). Access to these deductions allow</w:t>
            </w:r>
            <w:r w:rsidR="0082424E">
              <w:rPr>
                <w:rFonts w:cs="Arial"/>
                <w:szCs w:val="22"/>
                <w:lang w:val="en-NZ"/>
              </w:rPr>
              <w:t>s</w:t>
            </w:r>
            <w:r w:rsidR="005B706A">
              <w:rPr>
                <w:rFonts w:cs="Arial"/>
                <w:szCs w:val="22"/>
                <w:lang w:val="en-NZ"/>
              </w:rPr>
              <w:t xml:space="preserve"> local authorities to have tax losses despite being largely exempt from tax</w:t>
            </w:r>
            <w:r w:rsidR="00D81CD8">
              <w:rPr>
                <w:rFonts w:cs="Arial"/>
                <w:szCs w:val="22"/>
                <w:lang w:val="en-NZ"/>
              </w:rPr>
              <w:t xml:space="preserve"> and</w:t>
            </w:r>
            <w:r w:rsidR="005B706A">
              <w:rPr>
                <w:rFonts w:cs="Arial"/>
                <w:szCs w:val="22"/>
                <w:lang w:val="en-NZ"/>
              </w:rPr>
              <w:t xml:space="preserve"> these losses </w:t>
            </w:r>
            <w:r w:rsidR="00D81CD8">
              <w:rPr>
                <w:rFonts w:cs="Arial"/>
                <w:szCs w:val="22"/>
                <w:lang w:val="en-NZ"/>
              </w:rPr>
              <w:t xml:space="preserve">can be used </w:t>
            </w:r>
            <w:r w:rsidR="005B706A">
              <w:rPr>
                <w:rFonts w:cs="Arial"/>
                <w:szCs w:val="22"/>
                <w:lang w:val="en-NZ"/>
              </w:rPr>
              <w:t xml:space="preserve">to </w:t>
            </w:r>
            <w:r w:rsidR="00020596">
              <w:rPr>
                <w:rFonts w:cs="Arial"/>
                <w:szCs w:val="22"/>
                <w:lang w:val="en-NZ"/>
              </w:rPr>
              <w:t>shelter their CCOs from tax</w:t>
            </w:r>
            <w:r w:rsidR="000A6DBD">
              <w:rPr>
                <w:rFonts w:cs="Arial"/>
                <w:szCs w:val="22"/>
                <w:lang w:val="en-NZ"/>
              </w:rPr>
              <w:t>.</w:t>
            </w:r>
            <w:r w:rsidR="00182DC5">
              <w:rPr>
                <w:rFonts w:cs="Arial"/>
                <w:szCs w:val="22"/>
                <w:lang w:val="en-NZ"/>
              </w:rPr>
              <w:t xml:space="preserve"> </w:t>
            </w:r>
            <w:r w:rsidR="00D81CD8">
              <w:rPr>
                <w:rFonts w:cs="Arial"/>
                <w:szCs w:val="22"/>
                <w:lang w:val="en-NZ"/>
              </w:rPr>
              <w:t xml:space="preserve">This reduces the government’s tax revenues </w:t>
            </w:r>
            <w:r w:rsidR="00094006">
              <w:rPr>
                <w:rFonts w:cs="Arial"/>
                <w:szCs w:val="22"/>
                <w:lang w:val="en-NZ"/>
              </w:rPr>
              <w:t>from</w:t>
            </w:r>
            <w:r w:rsidR="00D81CD8">
              <w:rPr>
                <w:rFonts w:cs="Arial"/>
                <w:szCs w:val="22"/>
                <w:lang w:val="en-NZ"/>
              </w:rPr>
              <w:t xml:space="preserve"> CCOs.</w:t>
            </w:r>
          </w:p>
          <w:p w14:paraId="5F3752B6" w14:textId="517B980E" w:rsidR="00DC422E" w:rsidRDefault="002378A7" w:rsidP="00805DB4">
            <w:pPr>
              <w:tabs>
                <w:tab w:val="left" w:pos="7424"/>
                <w:tab w:val="right" w:pos="8636"/>
              </w:tabs>
              <w:rPr>
                <w:rFonts w:cs="Arial"/>
                <w:szCs w:val="22"/>
                <w:lang w:val="en-NZ"/>
              </w:rPr>
            </w:pPr>
            <w:r>
              <w:rPr>
                <w:rFonts w:cs="Arial"/>
                <w:szCs w:val="22"/>
                <w:lang w:val="en-NZ"/>
              </w:rPr>
              <w:t>To address this concern, o</w:t>
            </w:r>
            <w:r w:rsidR="009E740E">
              <w:rPr>
                <w:rFonts w:cs="Arial"/>
                <w:szCs w:val="22"/>
                <w:lang w:val="en-NZ"/>
              </w:rPr>
              <w:t>fficials</w:t>
            </w:r>
            <w:r w:rsidR="000E265C">
              <w:rPr>
                <w:rFonts w:cs="Arial"/>
                <w:szCs w:val="22"/>
                <w:lang w:val="en-NZ"/>
              </w:rPr>
              <w:t xml:space="preserve"> </w:t>
            </w:r>
            <w:r>
              <w:rPr>
                <w:rFonts w:cs="Arial"/>
                <w:szCs w:val="22"/>
                <w:lang w:val="en-NZ"/>
              </w:rPr>
              <w:t xml:space="preserve">consulted </w:t>
            </w:r>
            <w:r w:rsidR="003260E2">
              <w:rPr>
                <w:rFonts w:cs="Arial"/>
                <w:szCs w:val="22"/>
                <w:lang w:val="en-NZ"/>
              </w:rPr>
              <w:t xml:space="preserve">the local government sector </w:t>
            </w:r>
            <w:r>
              <w:rPr>
                <w:rFonts w:cs="Arial"/>
                <w:szCs w:val="22"/>
                <w:lang w:val="en-NZ"/>
              </w:rPr>
              <w:t>on</w:t>
            </w:r>
            <w:r w:rsidR="0003788E">
              <w:rPr>
                <w:rFonts w:cs="Arial"/>
                <w:szCs w:val="22"/>
                <w:lang w:val="en-NZ"/>
              </w:rPr>
              <w:t xml:space="preserve"> denying loss grouping between </w:t>
            </w:r>
            <w:r w:rsidR="00E83E1A">
              <w:rPr>
                <w:rFonts w:cs="Arial"/>
                <w:szCs w:val="22"/>
                <w:lang w:val="en-NZ"/>
              </w:rPr>
              <w:t>a local authority and its CCOs</w:t>
            </w:r>
            <w:r w:rsidR="00AB5963">
              <w:rPr>
                <w:rFonts w:cs="Arial"/>
                <w:szCs w:val="22"/>
                <w:lang w:val="en-NZ"/>
              </w:rPr>
              <w:t>.</w:t>
            </w:r>
            <w:r w:rsidR="00AD098A">
              <w:rPr>
                <w:rFonts w:cs="Arial"/>
                <w:szCs w:val="22"/>
                <w:lang w:val="en-NZ"/>
              </w:rPr>
              <w:t xml:space="preserve"> </w:t>
            </w:r>
            <w:r w:rsidR="00AB5963">
              <w:rPr>
                <w:rFonts w:cs="Arial"/>
                <w:szCs w:val="22"/>
                <w:lang w:val="en-NZ"/>
              </w:rPr>
              <w:t xml:space="preserve">Officials </w:t>
            </w:r>
            <w:r w:rsidR="0061055E">
              <w:rPr>
                <w:rFonts w:cs="Arial"/>
                <w:szCs w:val="22"/>
                <w:lang w:val="en-NZ"/>
              </w:rPr>
              <w:t xml:space="preserve">have </w:t>
            </w:r>
            <w:r w:rsidR="00AB5963">
              <w:rPr>
                <w:rFonts w:cs="Arial"/>
                <w:szCs w:val="22"/>
                <w:lang w:val="en-NZ"/>
              </w:rPr>
              <w:t>accepted feedback from the sector that this option would be an overreach</w:t>
            </w:r>
            <w:r w:rsidR="001A3011">
              <w:rPr>
                <w:rFonts w:cs="Arial"/>
                <w:szCs w:val="22"/>
                <w:lang w:val="en-NZ"/>
              </w:rPr>
              <w:t xml:space="preserve">. </w:t>
            </w:r>
            <w:r w:rsidR="001A3011" w:rsidRPr="00A4161F">
              <w:rPr>
                <w:rFonts w:cs="Arial"/>
                <w:szCs w:val="22"/>
                <w:lang w:val="en-NZ"/>
              </w:rPr>
              <w:t>This is because</w:t>
            </w:r>
            <w:r w:rsidR="00D243F9" w:rsidRPr="00A4161F">
              <w:rPr>
                <w:rFonts w:cs="Arial"/>
                <w:szCs w:val="22"/>
                <w:lang w:val="en-NZ"/>
              </w:rPr>
              <w:t xml:space="preserve"> </w:t>
            </w:r>
            <w:r w:rsidR="00C83F12" w:rsidRPr="00A4161F">
              <w:rPr>
                <w:rFonts w:cs="Arial"/>
                <w:szCs w:val="22"/>
                <w:lang w:val="en-NZ"/>
              </w:rPr>
              <w:t>l</w:t>
            </w:r>
            <w:r w:rsidR="00AB5963" w:rsidRPr="00A4161F">
              <w:rPr>
                <w:rFonts w:cs="Arial"/>
                <w:szCs w:val="22"/>
                <w:lang w:val="en-NZ"/>
              </w:rPr>
              <w:t>ocal authorities</w:t>
            </w:r>
            <w:r w:rsidR="00AD098A">
              <w:rPr>
                <w:rFonts w:cs="Arial"/>
                <w:szCs w:val="22"/>
                <w:lang w:val="en-NZ"/>
              </w:rPr>
              <w:t xml:space="preserve"> can</w:t>
            </w:r>
            <w:r w:rsidR="00AB5963" w:rsidRPr="00A4161F">
              <w:rPr>
                <w:rFonts w:cs="Arial"/>
                <w:szCs w:val="22"/>
                <w:lang w:val="en-NZ"/>
              </w:rPr>
              <w:t xml:space="preserve"> </w:t>
            </w:r>
            <w:r w:rsidR="00636415" w:rsidRPr="00A4161F">
              <w:rPr>
                <w:rFonts w:cs="Arial"/>
                <w:szCs w:val="22"/>
                <w:lang w:val="en-NZ"/>
              </w:rPr>
              <w:t xml:space="preserve">legitimately </w:t>
            </w:r>
            <w:r w:rsidR="0069331D" w:rsidRPr="00A4161F">
              <w:rPr>
                <w:rFonts w:cs="Arial"/>
                <w:szCs w:val="22"/>
                <w:lang w:val="en-NZ"/>
              </w:rPr>
              <w:t xml:space="preserve">incur </w:t>
            </w:r>
            <w:r w:rsidR="00AB5963" w:rsidRPr="00A4161F">
              <w:rPr>
                <w:rFonts w:cs="Arial"/>
                <w:szCs w:val="22"/>
                <w:lang w:val="en-NZ"/>
              </w:rPr>
              <w:t>deductible expenditure</w:t>
            </w:r>
            <w:r w:rsidR="008E60BE" w:rsidRPr="00A4161F">
              <w:rPr>
                <w:rFonts w:cs="Arial"/>
                <w:szCs w:val="22"/>
                <w:lang w:val="en-NZ"/>
              </w:rPr>
              <w:t xml:space="preserve"> </w:t>
            </w:r>
            <w:r w:rsidR="00DC422E" w:rsidRPr="00A4161F">
              <w:rPr>
                <w:rFonts w:cs="Arial"/>
                <w:szCs w:val="22"/>
                <w:lang w:val="en-NZ"/>
              </w:rPr>
              <w:t xml:space="preserve">(such as providing administration services to </w:t>
            </w:r>
            <w:r w:rsidR="001A3011" w:rsidRPr="00A4161F">
              <w:rPr>
                <w:rFonts w:cs="Arial"/>
                <w:szCs w:val="22"/>
                <w:lang w:val="en-NZ"/>
              </w:rPr>
              <w:t>their CCOs), and</w:t>
            </w:r>
            <w:r w:rsidR="00A4161F" w:rsidRPr="00D05DED">
              <w:rPr>
                <w:rFonts w:cs="Arial"/>
                <w:szCs w:val="22"/>
                <w:lang w:val="en-NZ"/>
              </w:rPr>
              <w:t>, economically,</w:t>
            </w:r>
            <w:r w:rsidR="001A3011" w:rsidRPr="00A4161F">
              <w:rPr>
                <w:rFonts w:cs="Arial"/>
                <w:szCs w:val="22"/>
                <w:lang w:val="en-NZ"/>
              </w:rPr>
              <w:t xml:space="preserve"> they should be entitled to </w:t>
            </w:r>
            <w:r w:rsidR="0043480F" w:rsidRPr="00A4161F">
              <w:rPr>
                <w:rFonts w:cs="Arial"/>
                <w:szCs w:val="22"/>
                <w:lang w:val="en-NZ"/>
              </w:rPr>
              <w:t xml:space="preserve">deduct this expenditure against </w:t>
            </w:r>
            <w:r w:rsidR="005B7138" w:rsidRPr="00A4161F">
              <w:rPr>
                <w:rFonts w:cs="Arial"/>
                <w:szCs w:val="22"/>
                <w:lang w:val="en-NZ"/>
              </w:rPr>
              <w:t xml:space="preserve">the </w:t>
            </w:r>
            <w:r w:rsidR="0043480F" w:rsidRPr="00A4161F">
              <w:rPr>
                <w:rFonts w:cs="Arial"/>
                <w:szCs w:val="22"/>
                <w:lang w:val="en-NZ"/>
              </w:rPr>
              <w:t xml:space="preserve">taxable income of </w:t>
            </w:r>
            <w:r w:rsidR="00CB0358" w:rsidRPr="00A4161F">
              <w:rPr>
                <w:rFonts w:cs="Arial"/>
                <w:szCs w:val="22"/>
                <w:lang w:val="en-NZ"/>
              </w:rPr>
              <w:t>their CCO group</w:t>
            </w:r>
            <w:r w:rsidR="001A3011" w:rsidRPr="00A4161F">
              <w:rPr>
                <w:rFonts w:cs="Arial"/>
                <w:szCs w:val="22"/>
                <w:lang w:val="en-NZ"/>
              </w:rPr>
              <w:t>.</w:t>
            </w:r>
          </w:p>
          <w:p w14:paraId="3DFE5253" w14:textId="52EC6B7A" w:rsidR="00020596" w:rsidRDefault="003869E6" w:rsidP="7CDCE639">
            <w:pPr>
              <w:tabs>
                <w:tab w:val="left" w:pos="7424"/>
                <w:tab w:val="right" w:pos="8636"/>
              </w:tabs>
              <w:rPr>
                <w:rFonts w:cs="Arial"/>
                <w:lang w:val="en-NZ"/>
              </w:rPr>
            </w:pPr>
            <w:r w:rsidRPr="27FA92CD">
              <w:rPr>
                <w:rFonts w:cs="Arial"/>
                <w:lang w:val="en-NZ"/>
              </w:rPr>
              <w:t>After consideration of submissions from the local government sector, o</w:t>
            </w:r>
            <w:r w:rsidR="4028EE4A" w:rsidRPr="27FA92CD">
              <w:rPr>
                <w:rFonts w:cs="Arial"/>
                <w:lang w:val="en-NZ"/>
              </w:rPr>
              <w:t>fficials</w:t>
            </w:r>
            <w:r w:rsidR="2029EBC7" w:rsidRPr="27FA92CD">
              <w:rPr>
                <w:rFonts w:cs="Arial"/>
                <w:lang w:val="en-NZ"/>
              </w:rPr>
              <w:t xml:space="preserve">’ preferred option is to </w:t>
            </w:r>
            <w:r w:rsidR="4028EE4A" w:rsidRPr="27FA92CD">
              <w:rPr>
                <w:rFonts w:cs="Arial"/>
                <w:lang w:val="en-NZ"/>
              </w:rPr>
              <w:t>prevent local authorities from accessing the corporate gift deduction</w:t>
            </w:r>
            <w:r w:rsidR="4320369E" w:rsidRPr="27FA92CD">
              <w:rPr>
                <w:rFonts w:cs="Arial"/>
                <w:lang w:val="en-NZ"/>
              </w:rPr>
              <w:t xml:space="preserve"> and limiting interest deductions to </w:t>
            </w:r>
            <w:r w:rsidR="3796BB74" w:rsidRPr="27FA92CD">
              <w:rPr>
                <w:rFonts w:cs="Arial"/>
                <w:lang w:val="en-NZ"/>
              </w:rPr>
              <w:t xml:space="preserve">the extent they relate to </w:t>
            </w:r>
            <w:r w:rsidR="00D720D3" w:rsidRPr="27FA92CD">
              <w:rPr>
                <w:rFonts w:cs="Arial"/>
                <w:lang w:val="en-NZ"/>
              </w:rPr>
              <w:t>deriving assessable income</w:t>
            </w:r>
            <w:r w:rsidR="3796BB74" w:rsidRPr="27FA92CD">
              <w:rPr>
                <w:rFonts w:cs="Arial"/>
                <w:lang w:val="en-NZ"/>
              </w:rPr>
              <w:t>.</w:t>
            </w:r>
            <w:r w:rsidR="4320369E" w:rsidRPr="27FA92CD">
              <w:rPr>
                <w:rFonts w:cs="Arial"/>
                <w:lang w:val="en-NZ"/>
              </w:rPr>
              <w:t xml:space="preserve"> </w:t>
            </w:r>
            <w:r w:rsidR="3796BB74" w:rsidRPr="27FA92CD">
              <w:rPr>
                <w:rFonts w:cs="Arial"/>
                <w:lang w:val="en-NZ"/>
              </w:rPr>
              <w:t>Going forward, t</w:t>
            </w:r>
            <w:r w:rsidR="4320369E" w:rsidRPr="27FA92CD">
              <w:rPr>
                <w:rFonts w:cs="Arial"/>
                <w:lang w:val="en-NZ"/>
              </w:rPr>
              <w:t xml:space="preserve">his will </w:t>
            </w:r>
            <w:r w:rsidR="2C78764A" w:rsidRPr="27FA92CD">
              <w:rPr>
                <w:rFonts w:cs="Arial"/>
                <w:lang w:val="en-NZ"/>
              </w:rPr>
              <w:t xml:space="preserve">protect </w:t>
            </w:r>
            <w:r w:rsidR="0061055E" w:rsidRPr="27FA92CD">
              <w:rPr>
                <w:rFonts w:cs="Arial"/>
                <w:lang w:val="en-NZ"/>
              </w:rPr>
              <w:t xml:space="preserve">the government’s tax revenues by </w:t>
            </w:r>
            <w:r w:rsidR="3796BB74" w:rsidRPr="27FA92CD">
              <w:rPr>
                <w:rFonts w:cs="Arial"/>
                <w:lang w:val="en-NZ"/>
              </w:rPr>
              <w:t>reduc</w:t>
            </w:r>
            <w:r w:rsidR="0061055E" w:rsidRPr="27FA92CD">
              <w:rPr>
                <w:rFonts w:cs="Arial"/>
                <w:lang w:val="en-NZ"/>
              </w:rPr>
              <w:t>ing</w:t>
            </w:r>
            <w:r w:rsidR="3796BB74" w:rsidRPr="27FA92CD">
              <w:rPr>
                <w:rFonts w:cs="Arial"/>
                <w:lang w:val="en-NZ"/>
              </w:rPr>
              <w:t xml:space="preserve"> the ability </w:t>
            </w:r>
            <w:r w:rsidR="0A05DAD4" w:rsidRPr="27FA92CD">
              <w:rPr>
                <w:rFonts w:cs="Arial"/>
                <w:lang w:val="en-NZ"/>
              </w:rPr>
              <w:t>for</w:t>
            </w:r>
            <w:r w:rsidR="4320369E" w:rsidRPr="27FA92CD">
              <w:rPr>
                <w:rFonts w:cs="Arial"/>
                <w:lang w:val="en-NZ"/>
              </w:rPr>
              <w:t xml:space="preserve"> local authorities </w:t>
            </w:r>
            <w:r w:rsidR="0A05DAD4" w:rsidRPr="27FA92CD">
              <w:rPr>
                <w:rFonts w:cs="Arial"/>
                <w:lang w:val="en-NZ"/>
              </w:rPr>
              <w:t xml:space="preserve">to </w:t>
            </w:r>
            <w:r w:rsidR="4320369E" w:rsidRPr="27FA92CD">
              <w:rPr>
                <w:rFonts w:cs="Arial"/>
                <w:lang w:val="en-NZ"/>
              </w:rPr>
              <w:t xml:space="preserve">transfer </w:t>
            </w:r>
            <w:r w:rsidR="36887CC1" w:rsidRPr="27FA92CD">
              <w:rPr>
                <w:rFonts w:cs="Arial"/>
                <w:lang w:val="en-NZ"/>
              </w:rPr>
              <w:t xml:space="preserve">the benefit of </w:t>
            </w:r>
            <w:r w:rsidR="4320369E" w:rsidRPr="27FA92CD">
              <w:rPr>
                <w:rFonts w:cs="Arial"/>
                <w:lang w:val="en-NZ"/>
              </w:rPr>
              <w:t>their tax-exempt status to their CCOs</w:t>
            </w:r>
            <w:r w:rsidR="0A05DAD4" w:rsidRPr="27FA92CD">
              <w:rPr>
                <w:rFonts w:cs="Arial"/>
                <w:lang w:val="en-NZ"/>
              </w:rPr>
              <w:t xml:space="preserve">. </w:t>
            </w:r>
          </w:p>
          <w:p w14:paraId="6F17A217" w14:textId="4D0A24B2" w:rsidR="00973690" w:rsidRPr="00973690" w:rsidRDefault="00973690" w:rsidP="00805DB4">
            <w:pPr>
              <w:tabs>
                <w:tab w:val="left" w:pos="7424"/>
                <w:tab w:val="right" w:pos="8636"/>
              </w:tabs>
              <w:rPr>
                <w:rFonts w:cs="Arial"/>
                <w:b/>
                <w:bCs/>
                <w:szCs w:val="22"/>
                <w:lang w:val="en-NZ"/>
              </w:rPr>
            </w:pPr>
            <w:r w:rsidRPr="00973690">
              <w:rPr>
                <w:rFonts w:cs="Arial"/>
                <w:b/>
                <w:bCs/>
                <w:szCs w:val="22"/>
                <w:lang w:val="en-NZ"/>
              </w:rPr>
              <w:t>Imputation</w:t>
            </w:r>
          </w:p>
          <w:p w14:paraId="3339D2FC" w14:textId="2B33E098" w:rsidR="002F076E" w:rsidRDefault="00973690" w:rsidP="002F076E">
            <w:pPr>
              <w:tabs>
                <w:tab w:val="left" w:pos="7424"/>
                <w:tab w:val="right" w:pos="8636"/>
              </w:tabs>
              <w:rPr>
                <w:rFonts w:cs="Arial"/>
                <w:szCs w:val="22"/>
                <w:lang w:val="en-NZ"/>
              </w:rPr>
            </w:pPr>
            <w:r>
              <w:rPr>
                <w:rFonts w:cs="Arial"/>
                <w:szCs w:val="22"/>
                <w:lang w:val="en-NZ"/>
              </w:rPr>
              <w:t xml:space="preserve">Current tax rules allow local authorities to </w:t>
            </w:r>
            <w:r w:rsidR="004E69DB">
              <w:rPr>
                <w:rFonts w:cs="Arial"/>
                <w:szCs w:val="22"/>
                <w:lang w:val="en-NZ"/>
              </w:rPr>
              <w:t xml:space="preserve">use deductions to </w:t>
            </w:r>
            <w:r>
              <w:rPr>
                <w:rFonts w:cs="Arial"/>
                <w:szCs w:val="22"/>
                <w:lang w:val="en-NZ"/>
              </w:rPr>
              <w:t xml:space="preserve">satisfy their income tax liabilities on dividends </w:t>
            </w:r>
            <w:r w:rsidR="003716F6">
              <w:rPr>
                <w:rFonts w:cs="Arial"/>
                <w:szCs w:val="22"/>
                <w:lang w:val="en-NZ"/>
              </w:rPr>
              <w:t xml:space="preserve">from CCOs, </w:t>
            </w:r>
            <w:r>
              <w:rPr>
                <w:rFonts w:cs="Arial"/>
                <w:szCs w:val="22"/>
                <w:lang w:val="en-NZ"/>
              </w:rPr>
              <w:t>without using the full amount of imputation credits attached to those dividends. This results in the local authority having excess imputation credits</w:t>
            </w:r>
            <w:r w:rsidR="00025A78">
              <w:rPr>
                <w:rFonts w:cs="Arial"/>
                <w:szCs w:val="22"/>
                <w:lang w:val="en-NZ"/>
              </w:rPr>
              <w:t xml:space="preserve">. The local authority can then convert the excess imputation credits to a tax loss and offset this loss against </w:t>
            </w:r>
            <w:r w:rsidR="007D0703">
              <w:rPr>
                <w:rFonts w:cs="Arial"/>
                <w:szCs w:val="22"/>
                <w:lang w:val="en-NZ"/>
              </w:rPr>
              <w:t xml:space="preserve">the </w:t>
            </w:r>
            <w:r w:rsidR="00424858">
              <w:rPr>
                <w:rFonts w:cs="Arial"/>
                <w:szCs w:val="22"/>
                <w:lang w:val="en-NZ"/>
              </w:rPr>
              <w:t>taxabl</w:t>
            </w:r>
            <w:r w:rsidR="007D0703">
              <w:rPr>
                <w:rFonts w:cs="Arial"/>
                <w:szCs w:val="22"/>
                <w:lang w:val="en-NZ"/>
              </w:rPr>
              <w:t>e</w:t>
            </w:r>
            <w:r w:rsidR="00025A78">
              <w:rPr>
                <w:rFonts w:cs="Arial"/>
                <w:szCs w:val="22"/>
                <w:lang w:val="en-NZ"/>
              </w:rPr>
              <w:t xml:space="preserve"> income of its CCO</w:t>
            </w:r>
            <w:r w:rsidR="007D0703">
              <w:rPr>
                <w:rFonts w:cs="Arial"/>
                <w:szCs w:val="22"/>
                <w:lang w:val="en-NZ"/>
              </w:rPr>
              <w:t>s</w:t>
            </w:r>
            <w:r w:rsidR="00025A78">
              <w:rPr>
                <w:rFonts w:cs="Arial"/>
                <w:szCs w:val="22"/>
                <w:lang w:val="en-NZ"/>
              </w:rPr>
              <w:t xml:space="preserve">. This </w:t>
            </w:r>
            <w:r w:rsidR="007D0703">
              <w:rPr>
                <w:rFonts w:cs="Arial"/>
                <w:szCs w:val="22"/>
                <w:lang w:val="en-NZ"/>
              </w:rPr>
              <w:t xml:space="preserve">is not an intended policy outcome </w:t>
            </w:r>
            <w:r w:rsidR="00BD6171">
              <w:rPr>
                <w:rFonts w:cs="Arial"/>
                <w:szCs w:val="22"/>
                <w:lang w:val="en-NZ"/>
              </w:rPr>
              <w:t xml:space="preserve">and </w:t>
            </w:r>
            <w:r w:rsidR="00025A78">
              <w:rPr>
                <w:rFonts w:cs="Arial"/>
                <w:szCs w:val="22"/>
                <w:lang w:val="en-NZ"/>
              </w:rPr>
              <w:t>allows the local authority to shelter</w:t>
            </w:r>
            <w:r w:rsidR="00937170">
              <w:rPr>
                <w:rFonts w:cs="Arial"/>
                <w:szCs w:val="22"/>
                <w:lang w:val="en-NZ"/>
              </w:rPr>
              <w:t xml:space="preserve"> its CCOs from tax.</w:t>
            </w:r>
            <w:r w:rsidR="00CA4E01">
              <w:rPr>
                <w:rFonts w:cs="Arial"/>
                <w:szCs w:val="22"/>
                <w:lang w:val="en-NZ"/>
              </w:rPr>
              <w:t xml:space="preserve"> </w:t>
            </w:r>
            <w:r w:rsidR="003213F8">
              <w:rPr>
                <w:rFonts w:cs="Arial"/>
                <w:szCs w:val="22"/>
                <w:lang w:val="en-NZ"/>
              </w:rPr>
              <w:t>Similar to the current rules for deductions, the imputation rules result in redu</w:t>
            </w:r>
            <w:r w:rsidR="009D3440">
              <w:rPr>
                <w:rFonts w:cs="Arial"/>
                <w:szCs w:val="22"/>
                <w:lang w:val="en-NZ"/>
              </w:rPr>
              <w:t xml:space="preserve">ced tax revenues </w:t>
            </w:r>
            <w:r w:rsidR="00B753F9">
              <w:rPr>
                <w:rFonts w:cs="Arial"/>
                <w:szCs w:val="22"/>
                <w:lang w:val="en-NZ"/>
              </w:rPr>
              <w:t>from</w:t>
            </w:r>
            <w:r w:rsidR="009D3440">
              <w:rPr>
                <w:rFonts w:cs="Arial"/>
                <w:szCs w:val="22"/>
                <w:lang w:val="en-NZ"/>
              </w:rPr>
              <w:t xml:space="preserve"> CCOs.</w:t>
            </w:r>
            <w:r w:rsidR="00D41D67">
              <w:rPr>
                <w:rFonts w:cs="Arial"/>
                <w:szCs w:val="22"/>
                <w:lang w:val="en-NZ"/>
              </w:rPr>
              <w:t xml:space="preserve"> </w:t>
            </w:r>
            <w:r w:rsidR="002F076E">
              <w:rPr>
                <w:rFonts w:cs="Arial"/>
                <w:szCs w:val="22"/>
                <w:lang w:val="en-NZ"/>
              </w:rPr>
              <w:t>Officials’ preferred option is to prevent a local authority from converting unused imputation credits to a tax loss</w:t>
            </w:r>
            <w:r w:rsidR="00022812">
              <w:rPr>
                <w:rFonts w:cs="Arial"/>
                <w:szCs w:val="22"/>
                <w:lang w:val="en-NZ"/>
              </w:rPr>
              <w:t>.</w:t>
            </w:r>
            <w:r w:rsidR="009D3440">
              <w:rPr>
                <w:rFonts w:cs="Arial"/>
                <w:szCs w:val="22"/>
                <w:lang w:val="en-NZ"/>
              </w:rPr>
              <w:t xml:space="preserve"> </w:t>
            </w:r>
          </w:p>
          <w:p w14:paraId="47AF84E6" w14:textId="1ABFAB88" w:rsidR="00B26978" w:rsidRDefault="00022812">
            <w:pPr>
              <w:tabs>
                <w:tab w:val="left" w:pos="7424"/>
                <w:tab w:val="right" w:pos="8636"/>
              </w:tabs>
              <w:rPr>
                <w:rFonts w:cs="Arial"/>
                <w:szCs w:val="22"/>
                <w:lang w:val="en-NZ"/>
              </w:rPr>
            </w:pPr>
            <w:r>
              <w:rPr>
                <w:rFonts w:cs="Arial"/>
                <w:szCs w:val="22"/>
                <w:lang w:val="en-NZ"/>
              </w:rPr>
              <w:t>Additionally, l</w:t>
            </w:r>
            <w:r w:rsidR="00937170">
              <w:rPr>
                <w:rFonts w:cs="Arial"/>
                <w:szCs w:val="22"/>
                <w:lang w:val="en-NZ"/>
              </w:rPr>
              <w:t>ocal authorities in consolidated groups can access the group’s imputation credit account (ICA) and the local authority can credit to the group’s ICA imputation credits attached to dividends</w:t>
            </w:r>
            <w:r w:rsidR="00A05C6B">
              <w:rPr>
                <w:rFonts w:cs="Arial"/>
                <w:szCs w:val="22"/>
                <w:lang w:val="en-NZ"/>
              </w:rPr>
              <w:t xml:space="preserve"> it derives from a CCO. These credits are then available for reuse by CCOs within the group. This is not an intended policy outcome.</w:t>
            </w:r>
            <w:r w:rsidR="00676C41">
              <w:rPr>
                <w:rFonts w:cs="Arial"/>
                <w:szCs w:val="22"/>
                <w:lang w:val="en-NZ"/>
              </w:rPr>
              <w:t xml:space="preserve"> </w:t>
            </w:r>
            <w:r w:rsidR="00B64324">
              <w:rPr>
                <w:rFonts w:cs="Arial"/>
                <w:szCs w:val="22"/>
                <w:lang w:val="en-NZ"/>
              </w:rPr>
              <w:t xml:space="preserve">Officials’ preferred response is to </w:t>
            </w:r>
            <w:r w:rsidR="00676C41">
              <w:rPr>
                <w:rFonts w:cs="Arial"/>
                <w:szCs w:val="22"/>
                <w:lang w:val="en-NZ"/>
              </w:rPr>
              <w:t>ensur</w:t>
            </w:r>
            <w:r w:rsidR="00B64324">
              <w:rPr>
                <w:rFonts w:cs="Arial"/>
                <w:szCs w:val="22"/>
                <w:lang w:val="en-NZ"/>
              </w:rPr>
              <w:t>e</w:t>
            </w:r>
            <w:r w:rsidR="00676C41">
              <w:rPr>
                <w:rFonts w:cs="Arial"/>
                <w:szCs w:val="22"/>
                <w:lang w:val="en-NZ"/>
              </w:rPr>
              <w:t xml:space="preserve"> that a credit does not arise to a consolidated group’s ICA for imputation credits attached to a dividend derived by a local authority from a CCO.</w:t>
            </w:r>
          </w:p>
          <w:p w14:paraId="1F38270F" w14:textId="77777777" w:rsidR="000132F6" w:rsidRDefault="002A64CA">
            <w:pPr>
              <w:tabs>
                <w:tab w:val="left" w:pos="7424"/>
                <w:tab w:val="right" w:pos="8636"/>
              </w:tabs>
              <w:rPr>
                <w:rFonts w:cs="Arial"/>
                <w:szCs w:val="22"/>
                <w:lang w:val="en-NZ"/>
              </w:rPr>
            </w:pPr>
            <w:r>
              <w:rPr>
                <w:rFonts w:cs="Arial"/>
                <w:szCs w:val="22"/>
                <w:lang w:val="en-NZ"/>
              </w:rPr>
              <w:t>T</w:t>
            </w:r>
            <w:r w:rsidR="00B26978">
              <w:rPr>
                <w:rFonts w:cs="Arial"/>
                <w:szCs w:val="22"/>
                <w:lang w:val="en-NZ"/>
              </w:rPr>
              <w:t xml:space="preserve">hese imputation proposals were tested with the local government sector in </w:t>
            </w:r>
            <w:r>
              <w:rPr>
                <w:rFonts w:cs="Arial"/>
                <w:szCs w:val="22"/>
                <w:lang w:val="en-NZ"/>
              </w:rPr>
              <w:t>consultation in early 2021 and received support.</w:t>
            </w:r>
          </w:p>
          <w:p w14:paraId="41C0AB64" w14:textId="711F48BB" w:rsidR="00A06B57" w:rsidRPr="00D03986" w:rsidRDefault="00A06B57" w:rsidP="27FA92CD">
            <w:pPr>
              <w:tabs>
                <w:tab w:val="left" w:pos="7424"/>
                <w:tab w:val="right" w:pos="8636"/>
              </w:tabs>
              <w:rPr>
                <w:rFonts w:cs="Arial"/>
                <w:b/>
                <w:bCs/>
                <w:lang w:val="en-NZ"/>
              </w:rPr>
            </w:pPr>
            <w:r w:rsidRPr="00D03986">
              <w:rPr>
                <w:rFonts w:cs="Arial"/>
                <w:b/>
                <w:bCs/>
                <w:lang w:val="en-NZ"/>
              </w:rPr>
              <w:t>Impact on local government</w:t>
            </w:r>
            <w:r w:rsidR="778017C7" w:rsidRPr="27FA92CD">
              <w:rPr>
                <w:rFonts w:cs="Arial"/>
                <w:b/>
                <w:bCs/>
                <w:lang w:val="en-NZ"/>
              </w:rPr>
              <w:t xml:space="preserve"> sector</w:t>
            </w:r>
          </w:p>
          <w:p w14:paraId="32A1256D" w14:textId="6376D130" w:rsidR="00E0764E" w:rsidRPr="00023882" w:rsidRDefault="00103742" w:rsidP="00B61419">
            <w:pPr>
              <w:tabs>
                <w:tab w:val="left" w:pos="7424"/>
                <w:tab w:val="right" w:pos="8636"/>
              </w:tabs>
              <w:rPr>
                <w:rFonts w:cs="Arial"/>
                <w:szCs w:val="22"/>
                <w:lang w:val="en-NZ"/>
              </w:rPr>
            </w:pPr>
            <w:bookmarkStart w:id="2" w:name="_Hlk74753072"/>
            <w:r>
              <w:rPr>
                <w:rFonts w:cs="Arial"/>
                <w:szCs w:val="22"/>
                <w:lang w:val="en-NZ"/>
              </w:rPr>
              <w:t xml:space="preserve">The fiscal impact of officials’ preferred options is expected to be a revenue increase of $23.8m per year. For context, </w:t>
            </w:r>
            <w:r w:rsidR="00167AA3">
              <w:rPr>
                <w:rFonts w:cs="Arial"/>
                <w:szCs w:val="22"/>
                <w:lang w:val="en-NZ"/>
              </w:rPr>
              <w:t xml:space="preserve">the surplus for </w:t>
            </w:r>
            <w:r w:rsidR="00B61419">
              <w:rPr>
                <w:rFonts w:cs="Arial"/>
                <w:szCs w:val="22"/>
                <w:lang w:val="en-NZ"/>
              </w:rPr>
              <w:t>all council groups in the 2020 financial year was $2,322m.</w:t>
            </w:r>
            <w:r w:rsidR="00A06B57">
              <w:rPr>
                <w:rFonts w:cs="Arial"/>
                <w:szCs w:val="22"/>
                <w:lang w:val="en-NZ"/>
              </w:rPr>
              <w:t xml:space="preserve"> </w:t>
            </w:r>
            <w:r w:rsidR="00E0764E">
              <w:rPr>
                <w:rFonts w:cs="Arial"/>
                <w:szCs w:val="22"/>
                <w:lang w:val="en-NZ"/>
              </w:rPr>
              <w:t>Since the tax increases are relatively small, the flow-on economic impacts are expected to be relatively small.</w:t>
            </w:r>
            <w:bookmarkEnd w:id="2"/>
          </w:p>
        </w:tc>
      </w:tr>
      <w:tr w:rsidR="00E8143E" w:rsidRPr="00A864A5" w14:paraId="42ED5650" w14:textId="77777777" w:rsidTr="27FA92CD">
        <w:tc>
          <w:tcPr>
            <w:tcW w:w="5000" w:type="pct"/>
            <w:gridSpan w:val="2"/>
            <w:tcBorders>
              <w:bottom w:val="single" w:sz="4" w:space="0" w:color="DDDDDD"/>
            </w:tcBorders>
            <w:shd w:val="clear" w:color="auto" w:fill="99CDDD"/>
            <w:hideMark/>
          </w:tcPr>
          <w:p w14:paraId="195A9405" w14:textId="74F1F41C" w:rsidR="00E8143E" w:rsidRPr="00A864A5" w:rsidRDefault="00E8143E" w:rsidP="006068AB">
            <w:pPr>
              <w:pStyle w:val="TableHeadings"/>
              <w:rPr>
                <w:color w:val="002060"/>
                <w:szCs w:val="22"/>
                <w:lang w:val="en-NZ"/>
              </w:rPr>
            </w:pPr>
            <w:bookmarkStart w:id="3" w:name="_Hlk57203483"/>
            <w:bookmarkEnd w:id="0"/>
            <w:bookmarkEnd w:id="1"/>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E8143E" w:rsidRPr="00A864A5" w14:paraId="2E89EDEC" w14:textId="77777777" w:rsidTr="27FA92CD">
        <w:trPr>
          <w:trHeight w:val="978"/>
        </w:trPr>
        <w:tc>
          <w:tcPr>
            <w:tcW w:w="5000" w:type="pct"/>
            <w:gridSpan w:val="2"/>
            <w:tcBorders>
              <w:top w:val="nil"/>
            </w:tcBorders>
            <w:shd w:val="clear" w:color="auto" w:fill="auto"/>
          </w:tcPr>
          <w:p w14:paraId="3DBA48DC" w14:textId="11505F84" w:rsidR="00BB5B5F" w:rsidRPr="008F314A" w:rsidRDefault="00F83D63" w:rsidP="00102BE2">
            <w:pPr>
              <w:spacing w:after="180"/>
              <w:rPr>
                <w:rFonts w:cs="Arial"/>
                <w:szCs w:val="22"/>
                <w:lang w:val="en-NZ"/>
              </w:rPr>
            </w:pPr>
            <w:r w:rsidRPr="008F314A">
              <w:rPr>
                <w:rFonts w:cs="Arial"/>
                <w:szCs w:val="22"/>
                <w:lang w:val="en-NZ"/>
              </w:rPr>
              <w:t xml:space="preserve">The scope of this project is limited to the </w:t>
            </w:r>
            <w:r w:rsidR="00B8326B" w:rsidRPr="008F314A">
              <w:rPr>
                <w:rFonts w:cs="Arial"/>
                <w:szCs w:val="22"/>
                <w:lang w:val="en-NZ"/>
              </w:rPr>
              <w:t>immediate integrity risks to local government taxation.</w:t>
            </w:r>
            <w:r w:rsidR="009F3D02" w:rsidRPr="008F314A">
              <w:rPr>
                <w:rFonts w:cs="Arial"/>
                <w:szCs w:val="22"/>
                <w:lang w:val="en-NZ"/>
              </w:rPr>
              <w:t xml:space="preserve"> </w:t>
            </w:r>
            <w:r w:rsidR="00454E95" w:rsidRPr="008F314A">
              <w:rPr>
                <w:rFonts w:cs="Arial"/>
                <w:szCs w:val="22"/>
                <w:lang w:val="en-NZ"/>
              </w:rPr>
              <w:t>Reviewing the taxation of the local government sector</w:t>
            </w:r>
            <w:r w:rsidR="00F6053C" w:rsidRPr="008F314A">
              <w:rPr>
                <w:rFonts w:cs="Arial"/>
                <w:szCs w:val="22"/>
                <w:lang w:val="en-NZ"/>
              </w:rPr>
              <w:t xml:space="preserve"> as a whole</w:t>
            </w:r>
            <w:r w:rsidR="00454E95" w:rsidRPr="008F314A">
              <w:rPr>
                <w:rFonts w:cs="Arial"/>
                <w:szCs w:val="22"/>
                <w:lang w:val="en-NZ"/>
              </w:rPr>
              <w:t xml:space="preserve"> is not currently on the Tax Policy Work Programme and is </w:t>
            </w:r>
            <w:r w:rsidR="00F6053C" w:rsidRPr="008F314A">
              <w:rPr>
                <w:rFonts w:cs="Arial"/>
                <w:szCs w:val="22"/>
                <w:lang w:val="en-NZ"/>
              </w:rPr>
              <w:t>beyond</w:t>
            </w:r>
            <w:r w:rsidR="00454E95" w:rsidRPr="008F314A">
              <w:rPr>
                <w:rFonts w:cs="Arial"/>
                <w:szCs w:val="22"/>
                <w:lang w:val="en-NZ"/>
              </w:rPr>
              <w:t xml:space="preserve"> the scope of this project</w:t>
            </w:r>
            <w:r w:rsidR="00F6053C" w:rsidRPr="008F314A">
              <w:rPr>
                <w:rFonts w:cs="Arial"/>
                <w:szCs w:val="22"/>
                <w:lang w:val="en-NZ"/>
              </w:rPr>
              <w:t>.</w:t>
            </w:r>
          </w:p>
        </w:tc>
      </w:tr>
      <w:tr w:rsidR="00413FD8" w:rsidRPr="00A864A5" w14:paraId="0EA0047F" w14:textId="77777777" w:rsidTr="27FA92CD">
        <w:tc>
          <w:tcPr>
            <w:tcW w:w="5000" w:type="pct"/>
            <w:gridSpan w:val="2"/>
            <w:tcBorders>
              <w:bottom w:val="single" w:sz="4" w:space="0" w:color="DDDDDD"/>
            </w:tcBorders>
            <w:shd w:val="clear" w:color="auto" w:fill="99CDDD"/>
            <w:hideMark/>
          </w:tcPr>
          <w:p w14:paraId="7A579FF2" w14:textId="7FC2495C" w:rsidR="00413FD8" w:rsidRPr="00A864A5" w:rsidRDefault="00413FD8" w:rsidP="006068AB">
            <w:pPr>
              <w:pStyle w:val="TableHeadings"/>
              <w:rPr>
                <w:color w:val="002060"/>
                <w:szCs w:val="22"/>
                <w:lang w:val="en-NZ"/>
              </w:rPr>
            </w:pPr>
            <w:bookmarkStart w:id="4" w:name="_Hlk47608084"/>
            <w:bookmarkEnd w:id="3"/>
            <w:r w:rsidRPr="00A864A5">
              <w:rPr>
                <w:szCs w:val="22"/>
                <w:lang w:val="en-NZ"/>
              </w:rPr>
              <w:t xml:space="preserve">Responsible Manager </w:t>
            </w:r>
          </w:p>
        </w:tc>
      </w:tr>
      <w:tr w:rsidR="00413FD8" w:rsidRPr="00A864A5" w14:paraId="091E60B6" w14:textId="77777777" w:rsidTr="27FA92CD">
        <w:trPr>
          <w:trHeight w:val="1761"/>
        </w:trPr>
        <w:tc>
          <w:tcPr>
            <w:tcW w:w="5000" w:type="pct"/>
            <w:gridSpan w:val="2"/>
            <w:tcBorders>
              <w:top w:val="nil"/>
            </w:tcBorders>
            <w:shd w:val="clear" w:color="auto" w:fill="auto"/>
          </w:tcPr>
          <w:p w14:paraId="1AFF7574" w14:textId="5B5CAB96" w:rsidR="00A941C0" w:rsidRDefault="00A941C0" w:rsidP="00560FED">
            <w:pPr>
              <w:spacing w:before="60" w:after="0" w:line="276" w:lineRule="auto"/>
              <w:ind w:left="284" w:hanging="284"/>
              <w:jc w:val="both"/>
              <w:rPr>
                <w:rFonts w:cs="Arial"/>
                <w:noProof/>
                <w:szCs w:val="22"/>
                <w:lang w:val="en-NZ"/>
              </w:rPr>
            </w:pPr>
          </w:p>
          <w:p w14:paraId="0D2F75CF" w14:textId="221A3B1B" w:rsidR="009E5954" w:rsidRDefault="009E5954" w:rsidP="00560FED">
            <w:pPr>
              <w:spacing w:before="60" w:after="0" w:line="276" w:lineRule="auto"/>
              <w:ind w:left="284" w:hanging="284"/>
              <w:jc w:val="both"/>
              <w:rPr>
                <w:rFonts w:cs="Arial"/>
                <w:noProof/>
                <w:szCs w:val="22"/>
                <w:lang w:val="en-NZ"/>
              </w:rPr>
            </w:pPr>
          </w:p>
          <w:p w14:paraId="5A852A05" w14:textId="77777777" w:rsidR="009E5954" w:rsidRDefault="009E5954" w:rsidP="009E5954">
            <w:pPr>
              <w:spacing w:before="60" w:after="0" w:line="276" w:lineRule="auto"/>
              <w:jc w:val="both"/>
              <w:rPr>
                <w:rFonts w:cs="Arial"/>
                <w:szCs w:val="22"/>
                <w:lang w:val="en-NZ"/>
              </w:rPr>
            </w:pPr>
          </w:p>
          <w:p w14:paraId="2BD94019" w14:textId="2D6F35A9" w:rsidR="00413FD8" w:rsidRPr="007B4FE7" w:rsidRDefault="00ED3C5B" w:rsidP="00560FED">
            <w:pPr>
              <w:spacing w:before="60" w:after="0" w:line="276" w:lineRule="auto"/>
              <w:ind w:left="284" w:hanging="284"/>
              <w:jc w:val="both"/>
              <w:rPr>
                <w:rFonts w:cs="Arial"/>
                <w:b/>
                <w:bCs/>
                <w:szCs w:val="22"/>
                <w:lang w:val="en-NZ"/>
              </w:rPr>
            </w:pPr>
            <w:r w:rsidRPr="007B4FE7">
              <w:rPr>
                <w:rFonts w:cs="Arial"/>
                <w:b/>
                <w:bCs/>
                <w:szCs w:val="22"/>
                <w:lang w:val="en-NZ"/>
              </w:rPr>
              <w:t>Peter Frawley</w:t>
            </w:r>
          </w:p>
          <w:p w14:paraId="03E03C6A" w14:textId="77777777" w:rsidR="001649EE" w:rsidRDefault="00ED3C5B" w:rsidP="00A941C0">
            <w:pPr>
              <w:spacing w:before="60" w:after="0" w:line="276" w:lineRule="auto"/>
              <w:ind w:left="284" w:hanging="284"/>
              <w:jc w:val="both"/>
              <w:rPr>
                <w:rFonts w:cs="Arial"/>
                <w:szCs w:val="22"/>
                <w:lang w:val="en-NZ"/>
              </w:rPr>
            </w:pPr>
            <w:r w:rsidRPr="00ED3C5B">
              <w:rPr>
                <w:rFonts w:cs="Arial"/>
                <w:szCs w:val="22"/>
                <w:lang w:val="en-NZ"/>
              </w:rPr>
              <w:t>Policy Lead</w:t>
            </w:r>
            <w:r w:rsidR="00A941C0">
              <w:rPr>
                <w:rFonts w:cs="Arial"/>
                <w:szCs w:val="22"/>
                <w:lang w:val="en-NZ"/>
              </w:rPr>
              <w:t xml:space="preserve">, </w:t>
            </w:r>
            <w:r w:rsidRPr="00ED3C5B">
              <w:rPr>
                <w:rFonts w:cs="Arial"/>
                <w:szCs w:val="22"/>
                <w:lang w:val="en-NZ"/>
              </w:rPr>
              <w:t>Policy and Regulatory Stewardship</w:t>
            </w:r>
          </w:p>
          <w:p w14:paraId="26B6671F" w14:textId="50631317" w:rsidR="007A20DD" w:rsidRDefault="00ED3C5B" w:rsidP="00A941C0">
            <w:pPr>
              <w:spacing w:before="60" w:after="0" w:line="276" w:lineRule="auto"/>
              <w:ind w:left="284" w:hanging="284"/>
              <w:jc w:val="both"/>
              <w:rPr>
                <w:rFonts w:cs="Arial"/>
                <w:szCs w:val="22"/>
                <w:lang w:val="en-NZ"/>
              </w:rPr>
            </w:pPr>
            <w:r w:rsidRPr="00ED3C5B">
              <w:rPr>
                <w:rFonts w:cs="Arial"/>
                <w:szCs w:val="22"/>
                <w:lang w:val="en-NZ"/>
              </w:rPr>
              <w:t>Inland Revenue</w:t>
            </w:r>
          </w:p>
          <w:p w14:paraId="65FBD4C4" w14:textId="756561E7" w:rsidR="00A941C0" w:rsidRPr="00A864A5" w:rsidRDefault="00A941C0" w:rsidP="00A941C0">
            <w:pPr>
              <w:spacing w:before="60" w:after="0" w:line="276" w:lineRule="auto"/>
              <w:ind w:left="284" w:hanging="284"/>
              <w:jc w:val="both"/>
              <w:rPr>
                <w:rFonts w:cs="Arial"/>
                <w:iCs/>
                <w:color w:val="000000"/>
                <w:sz w:val="14"/>
                <w:szCs w:val="14"/>
                <w:lang w:val="en-NZ"/>
              </w:rPr>
            </w:pPr>
            <w:r>
              <w:rPr>
                <w:rFonts w:cs="Arial"/>
                <w:iCs/>
                <w:color w:val="000000"/>
                <w:szCs w:val="22"/>
                <w:lang w:val="en-NZ"/>
              </w:rPr>
              <w:t>17 June 2021</w:t>
            </w:r>
          </w:p>
        </w:tc>
      </w:tr>
      <w:tr w:rsidR="00EB2157" w:rsidRPr="00A864A5" w14:paraId="5FCD62D5" w14:textId="77777777" w:rsidTr="27FA92CD">
        <w:tc>
          <w:tcPr>
            <w:tcW w:w="5000" w:type="pct"/>
            <w:gridSpan w:val="2"/>
            <w:tcBorders>
              <w:bottom w:val="single" w:sz="4" w:space="0" w:color="DDDDDD"/>
            </w:tcBorders>
            <w:shd w:val="clear" w:color="auto" w:fill="99CDDD"/>
            <w:hideMark/>
          </w:tcPr>
          <w:p w14:paraId="55C0C834" w14:textId="0B23483F" w:rsidR="00EB2157" w:rsidRPr="00A864A5" w:rsidRDefault="00EB2157" w:rsidP="006068AB">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27FA92CD">
        <w:trPr>
          <w:trHeight w:val="141"/>
        </w:trPr>
        <w:tc>
          <w:tcPr>
            <w:tcW w:w="1297" w:type="pct"/>
            <w:tcBorders>
              <w:top w:val="nil"/>
            </w:tcBorders>
            <w:shd w:val="clear" w:color="auto" w:fill="EBF5F8"/>
          </w:tcPr>
          <w:p w14:paraId="22AF1207" w14:textId="7EA6C592" w:rsidR="00EB2157" w:rsidRPr="00A864A5" w:rsidRDefault="00EB2157" w:rsidP="006068AB">
            <w:pPr>
              <w:spacing w:after="18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703" w:type="pct"/>
            <w:tcBorders>
              <w:top w:val="nil"/>
            </w:tcBorders>
            <w:shd w:val="clear" w:color="auto" w:fill="auto"/>
          </w:tcPr>
          <w:p w14:paraId="402BE84D" w14:textId="7DE695CF" w:rsidR="00EB2157" w:rsidRPr="00ED3C5B" w:rsidRDefault="00145851" w:rsidP="006068AB">
            <w:pPr>
              <w:spacing w:after="180"/>
              <w:rPr>
                <w:rFonts w:cs="Arial"/>
                <w:iCs/>
                <w:color w:val="000000"/>
                <w:szCs w:val="22"/>
                <w:highlight w:val="yellow"/>
                <w:lang w:val="en-NZ"/>
              </w:rPr>
            </w:pPr>
            <w:r w:rsidRPr="00145851">
              <w:rPr>
                <w:rFonts w:cs="Arial"/>
                <w:szCs w:val="22"/>
                <w:lang w:val="en-NZ"/>
              </w:rPr>
              <w:t>Inland Revenue</w:t>
            </w:r>
          </w:p>
        </w:tc>
      </w:tr>
      <w:tr w:rsidR="00EB2157" w:rsidRPr="00A864A5" w14:paraId="228C68D7" w14:textId="77777777" w:rsidTr="27FA92CD">
        <w:trPr>
          <w:trHeight w:val="1639"/>
        </w:trPr>
        <w:tc>
          <w:tcPr>
            <w:tcW w:w="1297" w:type="pct"/>
            <w:tcBorders>
              <w:top w:val="nil"/>
            </w:tcBorders>
            <w:shd w:val="clear" w:color="auto" w:fill="EBF5F8"/>
          </w:tcPr>
          <w:p w14:paraId="4DF0990E" w14:textId="00252464" w:rsidR="00EB2157" w:rsidRPr="00A864A5" w:rsidRDefault="00F321A6" w:rsidP="006068AB">
            <w:pPr>
              <w:spacing w:after="180"/>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703" w:type="pct"/>
            <w:tcBorders>
              <w:top w:val="nil"/>
            </w:tcBorders>
            <w:shd w:val="clear" w:color="auto" w:fill="auto"/>
          </w:tcPr>
          <w:p w14:paraId="28FD900F" w14:textId="52E40534" w:rsidR="00EB2157" w:rsidRPr="00A864A5" w:rsidRDefault="00974823" w:rsidP="00D03986">
            <w:pPr>
              <w:rPr>
                <w:rFonts w:cs="Arial"/>
                <w:iCs/>
                <w:color w:val="000000"/>
                <w:szCs w:val="22"/>
                <w:lang w:val="en-NZ"/>
              </w:rPr>
            </w:pPr>
            <w:r>
              <w:t xml:space="preserve">The Quality Assurance reviewer at Inland Revenue has reviewed the </w:t>
            </w:r>
            <w:r>
              <w:rPr>
                <w:i/>
                <w:iCs/>
              </w:rPr>
              <w:t>Local authority taxation – dividends and deductions</w:t>
            </w:r>
            <w:r>
              <w:t xml:space="preserve"> Regulatory Impact Statement prepared by Inland </w:t>
            </w:r>
            <w:proofErr w:type="gramStart"/>
            <w:r>
              <w:t>Revenue, and</w:t>
            </w:r>
            <w:proofErr w:type="gramEnd"/>
            <w:r>
              <w:t xml:space="preserve"> considers that the information and analysis summarised in the Regulatory Impact Statement </w:t>
            </w:r>
            <w:r>
              <w:rPr>
                <w:b/>
                <w:bCs/>
              </w:rPr>
              <w:t>partially meets</w:t>
            </w:r>
            <w:r>
              <w:t xml:space="preserve"> the quality assurance criteria. This is because the affected stakeholders have not yet had an opportunity to submit on how they would be affected by two of the specific options (denying deductions for donations to donee organisations and denying interest deductions incurred in earning exempt income). Accordingly, the analysis of how these stakeholders would be affected is limited and uncertain. </w:t>
            </w:r>
          </w:p>
        </w:tc>
      </w:tr>
    </w:tbl>
    <w:p w14:paraId="3E327532" w14:textId="76189534" w:rsidR="00C53DAC" w:rsidRDefault="00F16C50" w:rsidP="00CD4B62">
      <w:pPr>
        <w:pStyle w:val="Heading2"/>
        <w:rPr>
          <w:lang w:val="en-NZ"/>
        </w:rPr>
      </w:pPr>
      <w:bookmarkStart w:id="5" w:name="_Toc363047038"/>
      <w:bookmarkStart w:id="6" w:name="_Toc362940530"/>
      <w:bookmarkStart w:id="7" w:name="_Toc362618966"/>
      <w:bookmarkStart w:id="8" w:name="_Toc362434720"/>
      <w:bookmarkStart w:id="9" w:name="_Toc362368098"/>
      <w:bookmarkEnd w:id="4"/>
      <w:r w:rsidRPr="00A864A5">
        <w:rPr>
          <w:lang w:val="en-NZ"/>
        </w:rPr>
        <w:t xml:space="preserve">Section 1: </w:t>
      </w:r>
      <w:r w:rsidR="0022201B">
        <w:rPr>
          <w:lang w:val="en-NZ"/>
        </w:rPr>
        <w:t>Diagnos</w:t>
      </w:r>
      <w:r w:rsidR="001C4A82">
        <w:rPr>
          <w:lang w:val="en-NZ"/>
        </w:rPr>
        <w:t>ing</w:t>
      </w:r>
      <w:r w:rsidR="0022201B">
        <w:rPr>
          <w:lang w:val="en-NZ"/>
        </w:rPr>
        <w:t xml:space="preserve"> the policy problem</w:t>
      </w:r>
    </w:p>
    <w:p w14:paraId="4E48D616" w14:textId="530CA23A" w:rsidR="007D78A1" w:rsidRPr="00A864A5" w:rsidRDefault="007E4F5A" w:rsidP="007D78A1">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6241A117" w14:textId="1B4F96A2" w:rsidR="00087A5D" w:rsidRPr="00683C2C" w:rsidRDefault="009F193B" w:rsidP="00683C2C">
      <w:pPr>
        <w:rPr>
          <w:lang w:val="en-NZ"/>
        </w:rPr>
      </w:pPr>
      <w:r w:rsidRPr="00683C2C">
        <w:rPr>
          <w:lang w:val="en-NZ"/>
        </w:rPr>
        <w:t>The current tax policy settings for local authorities stem from local government reforms of the late 1980s. Broadly speaking, since these reforms the tax settings for local authorities have been as follows:</w:t>
      </w:r>
    </w:p>
    <w:p w14:paraId="036BCC5E" w14:textId="2E63BD38" w:rsidR="00087A5D" w:rsidRDefault="009F193B" w:rsidP="00683C2C">
      <w:pPr>
        <w:pStyle w:val="ListParagraph"/>
        <w:numPr>
          <w:ilvl w:val="1"/>
          <w:numId w:val="37"/>
        </w:numPr>
        <w:ind w:left="851" w:hanging="425"/>
        <w:contextualSpacing w:val="0"/>
        <w:rPr>
          <w:lang w:val="en-NZ"/>
        </w:rPr>
      </w:pPr>
      <w:r w:rsidRPr="00087A5D">
        <w:rPr>
          <w:lang w:val="en-NZ"/>
        </w:rPr>
        <w:t xml:space="preserve">A local authority is </w:t>
      </w:r>
      <w:r w:rsidR="00BE6709">
        <w:rPr>
          <w:lang w:val="en-NZ"/>
        </w:rPr>
        <w:t>exempt from tax</w:t>
      </w:r>
      <w:r w:rsidRPr="00087A5D">
        <w:rPr>
          <w:lang w:val="en-NZ"/>
        </w:rPr>
        <w:t xml:space="preserve"> on income (primarily rates) derived from its core activities (such as water supply).</w:t>
      </w:r>
    </w:p>
    <w:p w14:paraId="3A567DDC" w14:textId="62ADF705" w:rsidR="00DE7B89" w:rsidRDefault="009F193B" w:rsidP="00DE7B89">
      <w:pPr>
        <w:pStyle w:val="ListParagraph"/>
        <w:numPr>
          <w:ilvl w:val="1"/>
          <w:numId w:val="37"/>
        </w:numPr>
        <w:ind w:left="851" w:hanging="425"/>
        <w:contextualSpacing w:val="0"/>
        <w:rPr>
          <w:lang w:val="en-NZ"/>
        </w:rPr>
      </w:pPr>
      <w:r w:rsidRPr="00087A5D">
        <w:rPr>
          <w:lang w:val="en-NZ"/>
        </w:rPr>
        <w:t xml:space="preserve">A local authority is </w:t>
      </w:r>
      <w:r w:rsidR="005B2124" w:rsidRPr="00087A5D">
        <w:rPr>
          <w:lang w:val="en-NZ"/>
        </w:rPr>
        <w:t>tax</w:t>
      </w:r>
      <w:r w:rsidR="005B2124">
        <w:rPr>
          <w:lang w:val="en-NZ"/>
        </w:rPr>
        <w:t>ed</w:t>
      </w:r>
      <w:r w:rsidR="005B2124" w:rsidRPr="00087A5D">
        <w:rPr>
          <w:lang w:val="en-NZ"/>
        </w:rPr>
        <w:t xml:space="preserve"> </w:t>
      </w:r>
      <w:r w:rsidRPr="00087A5D">
        <w:rPr>
          <w:lang w:val="en-NZ"/>
        </w:rPr>
        <w:t xml:space="preserve">on income (e.g. rent, management fees and dividends) derived from a council-controlled </w:t>
      </w:r>
      <w:r w:rsidR="00145134" w:rsidRPr="00087A5D">
        <w:rPr>
          <w:lang w:val="en-NZ"/>
        </w:rPr>
        <w:t xml:space="preserve">organisation (CCO) or a port company (trading subsidiaries of a local authority). </w:t>
      </w:r>
    </w:p>
    <w:p w14:paraId="44C58C6D" w14:textId="494AB202" w:rsidR="00DE7B89" w:rsidRPr="00DE7B89" w:rsidRDefault="00DE7B89">
      <w:pPr>
        <w:pStyle w:val="ListParagraph"/>
        <w:numPr>
          <w:ilvl w:val="1"/>
          <w:numId w:val="37"/>
        </w:numPr>
        <w:ind w:left="851" w:hanging="425"/>
        <w:contextualSpacing w:val="0"/>
        <w:rPr>
          <w:lang w:val="en-NZ"/>
        </w:rPr>
      </w:pPr>
      <w:r w:rsidRPr="7CDCE639">
        <w:rPr>
          <w:lang w:val="en-NZ"/>
        </w:rPr>
        <w:t>To ensure competitive neutrality with the private sector, CCOs are treated as ordinary companies and are taxed.</w:t>
      </w:r>
    </w:p>
    <w:p w14:paraId="37F3922E" w14:textId="77777777" w:rsidR="003439A9" w:rsidRDefault="002509F5" w:rsidP="00683C2C">
      <w:pPr>
        <w:rPr>
          <w:lang w:val="en-NZ"/>
        </w:rPr>
      </w:pPr>
      <w:r w:rsidRPr="00683C2C">
        <w:rPr>
          <w:lang w:val="en-NZ"/>
        </w:rPr>
        <w:t xml:space="preserve">The original policy rationale for treating all income a local authority derives from a CCO as taxable was to prevent profit shifting </w:t>
      </w:r>
      <w:r w:rsidR="00A14A52" w:rsidRPr="00683C2C">
        <w:rPr>
          <w:lang w:val="en-NZ"/>
        </w:rPr>
        <w:t xml:space="preserve">from these taxable entities to exempt local authorities. </w:t>
      </w:r>
    </w:p>
    <w:p w14:paraId="43237C8D" w14:textId="37CDF6BD" w:rsidR="00A916C6" w:rsidRPr="00683C2C" w:rsidRDefault="00A14A52" w:rsidP="00683C2C">
      <w:pPr>
        <w:rPr>
          <w:lang w:val="en-NZ"/>
        </w:rPr>
      </w:pPr>
      <w:r w:rsidRPr="00683C2C">
        <w:rPr>
          <w:lang w:val="en-NZ"/>
        </w:rPr>
        <w:t xml:space="preserve">Without this provision, income from a CCO could be extracted tax-free by the local authority charging </w:t>
      </w:r>
      <w:r w:rsidR="00B868B0">
        <w:rPr>
          <w:lang w:val="en-NZ"/>
        </w:rPr>
        <w:t>above-market</w:t>
      </w:r>
      <w:r w:rsidR="00B868B0" w:rsidRPr="00683C2C">
        <w:rPr>
          <w:lang w:val="en-NZ"/>
        </w:rPr>
        <w:t xml:space="preserve"> </w:t>
      </w:r>
      <w:r w:rsidRPr="00683C2C">
        <w:rPr>
          <w:lang w:val="en-NZ"/>
        </w:rPr>
        <w:t>rental or management fees, which would be deductible</w:t>
      </w:r>
      <w:r w:rsidR="00973179">
        <w:rPr>
          <w:lang w:val="en-NZ"/>
        </w:rPr>
        <w:t xml:space="preserve"> expenditure</w:t>
      </w:r>
      <w:r w:rsidRPr="00683C2C">
        <w:rPr>
          <w:lang w:val="en-NZ"/>
        </w:rPr>
        <w:t xml:space="preserve"> </w:t>
      </w:r>
      <w:r w:rsidR="00973179">
        <w:rPr>
          <w:lang w:val="en-NZ"/>
        </w:rPr>
        <w:t>for</w:t>
      </w:r>
      <w:r w:rsidR="00973179" w:rsidRPr="00683C2C">
        <w:rPr>
          <w:lang w:val="en-NZ"/>
        </w:rPr>
        <w:t xml:space="preserve"> </w:t>
      </w:r>
      <w:r w:rsidRPr="00683C2C">
        <w:rPr>
          <w:lang w:val="en-NZ"/>
        </w:rPr>
        <w:t>the CCO but not taxable to the local authority</w:t>
      </w:r>
      <w:r w:rsidR="00A916C6" w:rsidRPr="00683C2C">
        <w:rPr>
          <w:lang w:val="en-NZ"/>
        </w:rPr>
        <w:t xml:space="preserve"> due to its tax-exempt status.</w:t>
      </w:r>
      <w:r w:rsidR="003439A9">
        <w:rPr>
          <w:lang w:val="en-NZ"/>
        </w:rPr>
        <w:t xml:space="preserve"> </w:t>
      </w:r>
      <w:r w:rsidR="00A916C6" w:rsidRPr="00683C2C">
        <w:rPr>
          <w:lang w:val="en-NZ"/>
        </w:rPr>
        <w:t>Despite the above treatment, structures</w:t>
      </w:r>
      <w:r w:rsidR="00C24B11" w:rsidRPr="00683C2C">
        <w:rPr>
          <w:lang w:val="en-NZ"/>
        </w:rPr>
        <w:t xml:space="preserve"> can be entered into which allow local authoriti</w:t>
      </w:r>
      <w:r w:rsidR="00AE5D20" w:rsidRPr="00683C2C">
        <w:rPr>
          <w:lang w:val="en-NZ"/>
        </w:rPr>
        <w:t>es to transfer the benefit of their tax-exempt status to their taxable CCOs.</w:t>
      </w:r>
    </w:p>
    <w:p w14:paraId="478EFC4A" w14:textId="553E55CF" w:rsidR="00E901E5" w:rsidRPr="00E901E5" w:rsidRDefault="007D78A1" w:rsidP="00E901E5">
      <w:pPr>
        <w:pStyle w:val="Heading3"/>
        <w:rPr>
          <w:lang w:val="en-NZ"/>
        </w:rPr>
      </w:pPr>
      <w:r w:rsidRPr="7CDCE639">
        <w:rPr>
          <w:lang w:val="en-NZ"/>
        </w:rPr>
        <w:t>What is the policy problem</w:t>
      </w:r>
      <w:r w:rsidR="002352C4" w:rsidRPr="7CDCE639">
        <w:rPr>
          <w:lang w:val="en-NZ"/>
        </w:rPr>
        <w:t xml:space="preserve"> or opportunity</w:t>
      </w:r>
      <w:r w:rsidRPr="7CDCE639">
        <w:rPr>
          <w:lang w:val="en-NZ"/>
        </w:rPr>
        <w:t>?</w:t>
      </w:r>
    </w:p>
    <w:p w14:paraId="760FFEE0" w14:textId="6773B6AD" w:rsidR="007E4F5A" w:rsidRPr="001777CE" w:rsidRDefault="007D7A4A" w:rsidP="000970C8">
      <w:pPr>
        <w:rPr>
          <w:b/>
          <w:bCs/>
          <w:lang w:val="en-NZ"/>
        </w:rPr>
      </w:pPr>
      <w:r w:rsidRPr="001777CE">
        <w:rPr>
          <w:b/>
          <w:bCs/>
          <w:lang w:val="en-NZ"/>
        </w:rPr>
        <w:t>Dividends</w:t>
      </w:r>
    </w:p>
    <w:p w14:paraId="2ACC2C47" w14:textId="7D62B762" w:rsidR="00087A5D" w:rsidRPr="00683C2C" w:rsidRDefault="00892C08" w:rsidP="00683C2C">
      <w:pPr>
        <w:rPr>
          <w:lang w:val="en-NZ"/>
        </w:rPr>
      </w:pPr>
      <w:r>
        <w:rPr>
          <w:lang w:val="en-NZ"/>
        </w:rPr>
        <w:t>L</w:t>
      </w:r>
      <w:r w:rsidR="007D7A4A" w:rsidRPr="5BE31704">
        <w:rPr>
          <w:lang w:val="en-NZ"/>
        </w:rPr>
        <w:t xml:space="preserve">ocal authorities </w:t>
      </w:r>
      <w:r>
        <w:rPr>
          <w:lang w:val="en-NZ"/>
        </w:rPr>
        <w:t xml:space="preserve">are taxed </w:t>
      </w:r>
      <w:r w:rsidR="007D7A4A" w:rsidRPr="5BE31704">
        <w:rPr>
          <w:lang w:val="en-NZ"/>
        </w:rPr>
        <w:t>on dividends derived from their CCOs</w:t>
      </w:r>
      <w:r>
        <w:rPr>
          <w:lang w:val="en-NZ"/>
        </w:rPr>
        <w:t>. In contrast</w:t>
      </w:r>
      <w:r w:rsidR="00A66CE3">
        <w:rPr>
          <w:lang w:val="en-NZ"/>
        </w:rPr>
        <w:t>, an exemption applies for dividends derived by similar entities</w:t>
      </w:r>
      <w:r w:rsidR="00190843">
        <w:rPr>
          <w:lang w:val="en-NZ"/>
        </w:rPr>
        <w:t>, such as</w:t>
      </w:r>
      <w:r w:rsidR="007D7A4A" w:rsidRPr="5BE31704">
        <w:rPr>
          <w:lang w:val="en-NZ"/>
        </w:rPr>
        <w:t xml:space="preserve"> </w:t>
      </w:r>
      <w:r w:rsidR="003F7297">
        <w:rPr>
          <w:lang w:val="en-NZ"/>
        </w:rPr>
        <w:t xml:space="preserve">dividends derived by the Crown from State enterprises, and </w:t>
      </w:r>
      <w:r w:rsidR="00805F98">
        <w:rPr>
          <w:lang w:val="en-NZ"/>
        </w:rPr>
        <w:t>for d</w:t>
      </w:r>
      <w:r w:rsidR="0079563C" w:rsidRPr="5BE31704">
        <w:rPr>
          <w:lang w:val="en-NZ"/>
        </w:rPr>
        <w:t>ividends paid between New Zealand resident companies where there is 100% common ownership.</w:t>
      </w:r>
    </w:p>
    <w:p w14:paraId="32D6F29F" w14:textId="4F22185F" w:rsidR="00087A5D" w:rsidRDefault="0079563C" w:rsidP="00683C2C">
      <w:pPr>
        <w:rPr>
          <w:lang w:val="en-NZ"/>
        </w:rPr>
      </w:pPr>
      <w:r w:rsidRPr="7CDCE639">
        <w:rPr>
          <w:lang w:val="en-NZ"/>
        </w:rPr>
        <w:t xml:space="preserve">Officials consider that the current treatment of taxing dividends derived by a local authority from a </w:t>
      </w:r>
      <w:proofErr w:type="gramStart"/>
      <w:r w:rsidRPr="7CDCE639">
        <w:rPr>
          <w:lang w:val="en-NZ"/>
        </w:rPr>
        <w:t>wholly-owned</w:t>
      </w:r>
      <w:proofErr w:type="gramEnd"/>
      <w:r w:rsidRPr="7CDCE639">
        <w:rPr>
          <w:lang w:val="en-NZ"/>
        </w:rPr>
        <w:t xml:space="preserve"> CCO is an overreach</w:t>
      </w:r>
      <w:r w:rsidR="00DB268B">
        <w:rPr>
          <w:lang w:val="en-NZ"/>
        </w:rPr>
        <w:t xml:space="preserve"> because it </w:t>
      </w:r>
      <w:r w:rsidR="00311394">
        <w:rPr>
          <w:lang w:val="en-NZ"/>
        </w:rPr>
        <w:t>reduces the coherence of the</w:t>
      </w:r>
      <w:r w:rsidR="00DB268B">
        <w:rPr>
          <w:lang w:val="en-NZ"/>
        </w:rPr>
        <w:t xml:space="preserve"> tax rules</w:t>
      </w:r>
      <w:r w:rsidRPr="7CDCE639">
        <w:rPr>
          <w:lang w:val="en-NZ"/>
        </w:rPr>
        <w:t xml:space="preserve">. </w:t>
      </w:r>
      <w:r w:rsidR="00C40407">
        <w:rPr>
          <w:lang w:val="en-NZ"/>
        </w:rPr>
        <w:t>The</w:t>
      </w:r>
      <w:r w:rsidR="00BB6214">
        <w:rPr>
          <w:lang w:val="en-NZ"/>
        </w:rPr>
        <w:t xml:space="preserve"> </w:t>
      </w:r>
      <w:r w:rsidR="0074237C">
        <w:rPr>
          <w:lang w:val="en-NZ"/>
        </w:rPr>
        <w:t>taxation</w:t>
      </w:r>
      <w:r w:rsidR="007754CD">
        <w:rPr>
          <w:lang w:val="en-NZ"/>
        </w:rPr>
        <w:t xml:space="preserve"> of dividends from CCOs is not consistent with divi</w:t>
      </w:r>
      <w:r w:rsidR="00CE16E5">
        <w:rPr>
          <w:lang w:val="en-NZ"/>
        </w:rPr>
        <w:t xml:space="preserve">dends paid to </w:t>
      </w:r>
      <w:proofErr w:type="gramStart"/>
      <w:r w:rsidR="00CE16E5">
        <w:rPr>
          <w:lang w:val="en-NZ"/>
        </w:rPr>
        <w:t>wholly-owned</w:t>
      </w:r>
      <w:proofErr w:type="gramEnd"/>
      <w:r w:rsidR="00CE16E5">
        <w:rPr>
          <w:lang w:val="en-NZ"/>
        </w:rPr>
        <w:t xml:space="preserve"> companies no</w:t>
      </w:r>
      <w:r w:rsidR="00DB590D">
        <w:rPr>
          <w:lang w:val="en-NZ"/>
        </w:rPr>
        <w:t>r</w:t>
      </w:r>
      <w:r w:rsidR="00CE16E5">
        <w:rPr>
          <w:lang w:val="en-NZ"/>
        </w:rPr>
        <w:t xml:space="preserve"> with the exemption of dividends paid to other exempt entities.</w:t>
      </w:r>
      <w:r w:rsidR="00A85694">
        <w:rPr>
          <w:lang w:val="en-NZ"/>
        </w:rPr>
        <w:t xml:space="preserve"> </w:t>
      </w:r>
      <w:r w:rsidR="00DB268B">
        <w:rPr>
          <w:lang w:val="en-NZ"/>
        </w:rPr>
        <w:t xml:space="preserve">There is no tax policy justification for </w:t>
      </w:r>
      <w:r w:rsidR="00C16E7C">
        <w:rPr>
          <w:lang w:val="en-NZ"/>
        </w:rPr>
        <w:t>t</w:t>
      </w:r>
      <w:r w:rsidR="00C36731">
        <w:rPr>
          <w:lang w:val="en-NZ"/>
        </w:rPr>
        <w:t>reating</w:t>
      </w:r>
      <w:r w:rsidR="00DB268B">
        <w:rPr>
          <w:lang w:val="en-NZ"/>
        </w:rPr>
        <w:t xml:space="preserve"> these dividends</w:t>
      </w:r>
      <w:r w:rsidR="00C36731">
        <w:rPr>
          <w:lang w:val="en-NZ"/>
        </w:rPr>
        <w:t xml:space="preserve"> differently</w:t>
      </w:r>
      <w:r w:rsidR="00DB268B">
        <w:rPr>
          <w:lang w:val="en-NZ"/>
        </w:rPr>
        <w:t>. Since</w:t>
      </w:r>
      <w:r w:rsidRPr="7CDCE639">
        <w:rPr>
          <w:lang w:val="en-NZ"/>
        </w:rPr>
        <w:t xml:space="preserve"> a dividend is not a deductible expense of a CCO, there are no profit</w:t>
      </w:r>
      <w:r w:rsidR="0003536D" w:rsidRPr="7CDCE639">
        <w:rPr>
          <w:lang w:val="en-NZ"/>
        </w:rPr>
        <w:t xml:space="preserve"> shifting concerns with treating the dividends as exempt income of the local authority.</w:t>
      </w:r>
    </w:p>
    <w:p w14:paraId="1E14BF6B" w14:textId="2FEF7E4F" w:rsidR="00107365" w:rsidRPr="00683C2C" w:rsidRDefault="00CF04F5" w:rsidP="00683C2C">
      <w:pPr>
        <w:rPr>
          <w:lang w:val="en-NZ"/>
        </w:rPr>
      </w:pPr>
      <w:r>
        <w:rPr>
          <w:lang w:val="en-NZ"/>
        </w:rPr>
        <w:t xml:space="preserve">Furthermore, </w:t>
      </w:r>
      <w:r w:rsidR="00BD2470">
        <w:rPr>
          <w:lang w:val="en-NZ"/>
        </w:rPr>
        <w:t xml:space="preserve">the current tax rules are providing an impediment to </w:t>
      </w:r>
      <w:r w:rsidR="00AC2223">
        <w:rPr>
          <w:lang w:val="en-NZ"/>
        </w:rPr>
        <w:t xml:space="preserve">the most efficient allocation of resources in local government. </w:t>
      </w:r>
      <w:r w:rsidR="00BD2470">
        <w:rPr>
          <w:lang w:val="en-NZ"/>
        </w:rPr>
        <w:t>T</w:t>
      </w:r>
      <w:r>
        <w:rPr>
          <w:lang w:val="en-NZ"/>
        </w:rPr>
        <w:t xml:space="preserve">he local government sector has argued that in addition to improving the coherence of the tax rules, </w:t>
      </w:r>
      <w:r w:rsidRPr="00B70C7B">
        <w:rPr>
          <w:lang w:val="en-NZ"/>
        </w:rPr>
        <w:t>exempting these dividends from tax will allow councils to deliver on their commitments to their communities more e</w:t>
      </w:r>
      <w:r w:rsidR="00CC6E10" w:rsidRPr="00B70C7B">
        <w:rPr>
          <w:lang w:val="en-NZ"/>
        </w:rPr>
        <w:t>fficiently</w:t>
      </w:r>
      <w:r w:rsidRPr="00B70C7B">
        <w:rPr>
          <w:lang w:val="en-NZ"/>
        </w:rPr>
        <w:t xml:space="preserve">. This would </w:t>
      </w:r>
      <w:r w:rsidR="00B70C7B" w:rsidRPr="009C5F85">
        <w:rPr>
          <w:lang w:val="en-NZ"/>
        </w:rPr>
        <w:t>ensure that tax is not an impediment to the movement of surpluses from CCOs to their local authority</w:t>
      </w:r>
      <w:r w:rsidRPr="00B70C7B">
        <w:rPr>
          <w:lang w:val="en-NZ"/>
        </w:rPr>
        <w:t>.</w:t>
      </w:r>
    </w:p>
    <w:p w14:paraId="3E101C54" w14:textId="77777777" w:rsidR="002C7A9F" w:rsidRDefault="002C7A9F">
      <w:pPr>
        <w:spacing w:after="0" w:line="240" w:lineRule="auto"/>
        <w:rPr>
          <w:b/>
          <w:bCs/>
          <w:lang w:val="en-NZ"/>
        </w:rPr>
      </w:pPr>
      <w:r>
        <w:rPr>
          <w:b/>
          <w:bCs/>
          <w:lang w:val="en-NZ"/>
        </w:rPr>
        <w:br w:type="page"/>
      </w:r>
    </w:p>
    <w:p w14:paraId="2B841B59" w14:textId="77A98995" w:rsidR="0003536D" w:rsidRPr="001777CE" w:rsidRDefault="0003536D" w:rsidP="000970C8">
      <w:pPr>
        <w:rPr>
          <w:b/>
          <w:bCs/>
          <w:lang w:val="en-NZ"/>
        </w:rPr>
      </w:pPr>
      <w:r w:rsidRPr="001777CE">
        <w:rPr>
          <w:b/>
          <w:bCs/>
          <w:lang w:val="en-NZ"/>
        </w:rPr>
        <w:t>Deductions</w:t>
      </w:r>
    </w:p>
    <w:p w14:paraId="696DA83B" w14:textId="77777777" w:rsidR="00087A5D" w:rsidRPr="00683C2C" w:rsidRDefault="0003536D" w:rsidP="00683C2C">
      <w:pPr>
        <w:rPr>
          <w:lang w:val="en-NZ"/>
        </w:rPr>
      </w:pPr>
      <w:r w:rsidRPr="00683C2C">
        <w:rPr>
          <w:lang w:val="en-NZ"/>
        </w:rPr>
        <w:t>Broadly, a local authority should be allowed deductions for any expenditure incurred to the extent to which th</w:t>
      </w:r>
      <w:r w:rsidR="003A42AE" w:rsidRPr="00683C2C">
        <w:rPr>
          <w:lang w:val="en-NZ"/>
        </w:rPr>
        <w:t xml:space="preserve">e expenditure is incurred in deriving assessable income – </w:t>
      </w:r>
      <w:r w:rsidR="003A42AE" w:rsidRPr="00683C2C">
        <w:rPr>
          <w:i/>
          <w:iCs/>
          <w:lang w:val="en-NZ"/>
        </w:rPr>
        <w:t>not</w:t>
      </w:r>
      <w:r w:rsidR="003A42AE" w:rsidRPr="00683C2C">
        <w:rPr>
          <w:lang w:val="en-NZ"/>
        </w:rPr>
        <w:t xml:space="preserve"> exempt income.</w:t>
      </w:r>
    </w:p>
    <w:p w14:paraId="1810981E" w14:textId="11CD6A1A" w:rsidR="003A42AE" w:rsidRPr="00683C2C" w:rsidRDefault="003A42AE" w:rsidP="00683C2C">
      <w:pPr>
        <w:rPr>
          <w:lang w:val="en-NZ"/>
        </w:rPr>
      </w:pPr>
      <w:r w:rsidRPr="00683C2C">
        <w:rPr>
          <w:lang w:val="en-NZ"/>
        </w:rPr>
        <w:t xml:space="preserve">However, current law allows local authorities certain deductions for expenditure not incurred in deriving assessable income, such as corporate gift deductions and certain interest deductions. </w:t>
      </w:r>
      <w:r w:rsidR="002E3E8C" w:rsidRPr="00683C2C">
        <w:rPr>
          <w:lang w:val="en-NZ"/>
        </w:rPr>
        <w:t>We have identified that access to these deductions has allowed local authorities</w:t>
      </w:r>
      <w:r w:rsidR="00FC160F" w:rsidRPr="00683C2C">
        <w:rPr>
          <w:lang w:val="en-NZ"/>
        </w:rPr>
        <w:t xml:space="preserve"> to have tax losses despite being largely exempt from tax, and these losses are being used to shelter their CCOs from tax.</w:t>
      </w:r>
      <w:r w:rsidR="007B6A5E">
        <w:rPr>
          <w:lang w:val="en-NZ"/>
        </w:rPr>
        <w:t xml:space="preserve"> This unintentionally reduces the government’s tax revenues </w:t>
      </w:r>
      <w:r w:rsidR="006F7822">
        <w:rPr>
          <w:lang w:val="en-NZ"/>
        </w:rPr>
        <w:t>from</w:t>
      </w:r>
      <w:r w:rsidR="007B6A5E">
        <w:rPr>
          <w:lang w:val="en-NZ"/>
        </w:rPr>
        <w:t xml:space="preserve"> CCOs.</w:t>
      </w:r>
    </w:p>
    <w:p w14:paraId="60CBCD9A" w14:textId="25ADFB37" w:rsidR="001777CE" w:rsidRPr="00791AAB" w:rsidRDefault="001777CE" w:rsidP="000970C8">
      <w:pPr>
        <w:rPr>
          <w:i/>
          <w:iCs/>
          <w:lang w:val="en-NZ"/>
        </w:rPr>
      </w:pPr>
      <w:r w:rsidRPr="00791AAB">
        <w:rPr>
          <w:i/>
          <w:iCs/>
          <w:lang w:val="en-NZ"/>
        </w:rPr>
        <w:t>Corporate gift deductions</w:t>
      </w:r>
    </w:p>
    <w:p w14:paraId="295B8476" w14:textId="56BA8F24" w:rsidR="00087A5D" w:rsidRPr="00683C2C" w:rsidRDefault="006E5668" w:rsidP="00683C2C">
      <w:pPr>
        <w:rPr>
          <w:lang w:val="en-NZ"/>
        </w:rPr>
      </w:pPr>
      <w:r w:rsidRPr="00683C2C">
        <w:rPr>
          <w:lang w:val="en-NZ"/>
        </w:rPr>
        <w:t>Changes to the corporate gift deduction provision from the 2008-09 income year allowed companies a ded</w:t>
      </w:r>
      <w:r w:rsidR="00B60502" w:rsidRPr="00683C2C">
        <w:rPr>
          <w:lang w:val="en-NZ"/>
        </w:rPr>
        <w:t xml:space="preserve">uction for charitable donations to donee organisations, only limited by the company’s net income. </w:t>
      </w:r>
      <w:r w:rsidR="00352A27">
        <w:rPr>
          <w:lang w:val="en-NZ"/>
        </w:rPr>
        <w:t>As local authorities are treated as companies under the Income Tax Act 2007, they are able to access this provision.</w:t>
      </w:r>
    </w:p>
    <w:p w14:paraId="542E0D96" w14:textId="5F473192" w:rsidR="00E652C7" w:rsidRPr="00683C2C" w:rsidRDefault="00E652C7" w:rsidP="00683C2C">
      <w:pPr>
        <w:rPr>
          <w:lang w:val="en-NZ"/>
        </w:rPr>
      </w:pPr>
      <w:r w:rsidRPr="00683C2C">
        <w:rPr>
          <w:lang w:val="en-NZ"/>
        </w:rPr>
        <w:t>A significant proportion of corporate gift deductions are claimed by local authorities – they accounted for 38% of all company donations from 2016-17 to 2019-20</w:t>
      </w:r>
      <w:r w:rsidR="001A2468" w:rsidRPr="00683C2C">
        <w:rPr>
          <w:lang w:val="en-NZ"/>
        </w:rPr>
        <w:t>.</w:t>
      </w:r>
    </w:p>
    <w:tbl>
      <w:tblPr>
        <w:tblStyle w:val="TableGrid"/>
        <w:tblW w:w="10500" w:type="dxa"/>
        <w:tblInd w:w="-714" w:type="dxa"/>
        <w:tblLook w:val="04A0" w:firstRow="1" w:lastRow="0" w:firstColumn="1" w:lastColumn="0" w:noHBand="0" w:noVBand="1"/>
      </w:tblPr>
      <w:tblGrid>
        <w:gridCol w:w="1443"/>
        <w:gridCol w:w="1396"/>
        <w:gridCol w:w="1059"/>
        <w:gridCol w:w="1059"/>
        <w:gridCol w:w="1059"/>
        <w:gridCol w:w="1059"/>
        <w:gridCol w:w="1057"/>
        <w:gridCol w:w="1133"/>
        <w:gridCol w:w="1235"/>
      </w:tblGrid>
      <w:tr w:rsidR="00F95E76" w:rsidRPr="00C07807" w14:paraId="71A37AD4" w14:textId="77777777" w:rsidTr="00F95E76">
        <w:tc>
          <w:tcPr>
            <w:tcW w:w="10500" w:type="dxa"/>
            <w:gridSpan w:val="9"/>
            <w:tcBorders>
              <w:top w:val="nil"/>
              <w:left w:val="nil"/>
              <w:bottom w:val="single" w:sz="4" w:space="0" w:color="auto"/>
              <w:right w:val="nil"/>
            </w:tcBorders>
            <w:vAlign w:val="center"/>
          </w:tcPr>
          <w:p w14:paraId="6D65B37C" w14:textId="36C9955B" w:rsidR="00F95E76" w:rsidRPr="00C07807" w:rsidRDefault="00F95E76" w:rsidP="00F95E76">
            <w:pPr>
              <w:pStyle w:val="NumberedParagraph"/>
              <w:numPr>
                <w:ilvl w:val="0"/>
                <w:numId w:val="0"/>
              </w:numPr>
              <w:spacing w:after="60"/>
              <w:jc w:val="left"/>
              <w:rPr>
                <w:b/>
                <w:bCs/>
              </w:rPr>
            </w:pPr>
            <w:r>
              <w:rPr>
                <w:b/>
                <w:bCs/>
              </w:rPr>
              <w:t>Table 1: Company gift donations from 2016-17 to 2019-20</w:t>
            </w:r>
          </w:p>
        </w:tc>
      </w:tr>
      <w:tr w:rsidR="00F95E76" w:rsidRPr="00C07807" w14:paraId="78AF1C15" w14:textId="77777777" w:rsidTr="00F95E76">
        <w:tc>
          <w:tcPr>
            <w:tcW w:w="2839" w:type="dxa"/>
            <w:gridSpan w:val="2"/>
            <w:tcBorders>
              <w:top w:val="single" w:sz="4" w:space="0" w:color="auto"/>
              <w:bottom w:val="single" w:sz="4" w:space="0" w:color="auto"/>
            </w:tcBorders>
            <w:vAlign w:val="center"/>
          </w:tcPr>
          <w:p w14:paraId="68077314" w14:textId="77777777" w:rsidR="00F95E76" w:rsidRPr="00C07807" w:rsidRDefault="00F95E76" w:rsidP="006068AB">
            <w:pPr>
              <w:pStyle w:val="NumberedParagraph"/>
              <w:numPr>
                <w:ilvl w:val="0"/>
                <w:numId w:val="0"/>
              </w:numPr>
              <w:spacing w:after="60"/>
              <w:jc w:val="center"/>
              <w:rPr>
                <w:b/>
                <w:bCs/>
              </w:rPr>
            </w:pPr>
          </w:p>
        </w:tc>
        <w:tc>
          <w:tcPr>
            <w:tcW w:w="1059" w:type="dxa"/>
            <w:tcBorders>
              <w:top w:val="single" w:sz="4" w:space="0" w:color="auto"/>
              <w:bottom w:val="single" w:sz="4" w:space="0" w:color="auto"/>
            </w:tcBorders>
            <w:vAlign w:val="center"/>
          </w:tcPr>
          <w:p w14:paraId="00D6B77D" w14:textId="77777777" w:rsidR="00F95E76" w:rsidRPr="00C07807" w:rsidRDefault="00F95E76" w:rsidP="006068AB">
            <w:pPr>
              <w:pStyle w:val="NumberedParagraph"/>
              <w:numPr>
                <w:ilvl w:val="0"/>
                <w:numId w:val="0"/>
              </w:numPr>
              <w:spacing w:after="60"/>
              <w:jc w:val="center"/>
              <w:rPr>
                <w:b/>
                <w:bCs/>
              </w:rPr>
            </w:pPr>
            <w:r w:rsidRPr="00C07807">
              <w:rPr>
                <w:b/>
                <w:bCs/>
              </w:rPr>
              <w:t>2016-17</w:t>
            </w:r>
          </w:p>
        </w:tc>
        <w:tc>
          <w:tcPr>
            <w:tcW w:w="1059" w:type="dxa"/>
            <w:tcBorders>
              <w:top w:val="single" w:sz="4" w:space="0" w:color="auto"/>
              <w:bottom w:val="single" w:sz="4" w:space="0" w:color="auto"/>
            </w:tcBorders>
            <w:vAlign w:val="center"/>
          </w:tcPr>
          <w:p w14:paraId="4849D521" w14:textId="77777777" w:rsidR="00F95E76" w:rsidRPr="00C07807" w:rsidRDefault="00F95E76" w:rsidP="006068AB">
            <w:pPr>
              <w:pStyle w:val="NumberedParagraph"/>
              <w:numPr>
                <w:ilvl w:val="0"/>
                <w:numId w:val="0"/>
              </w:numPr>
              <w:spacing w:after="60"/>
              <w:jc w:val="center"/>
              <w:rPr>
                <w:b/>
                <w:bCs/>
              </w:rPr>
            </w:pPr>
            <w:r w:rsidRPr="00C07807">
              <w:rPr>
                <w:b/>
                <w:bCs/>
              </w:rPr>
              <w:t>2017-18</w:t>
            </w:r>
          </w:p>
        </w:tc>
        <w:tc>
          <w:tcPr>
            <w:tcW w:w="1059" w:type="dxa"/>
            <w:tcBorders>
              <w:top w:val="single" w:sz="4" w:space="0" w:color="auto"/>
              <w:bottom w:val="single" w:sz="4" w:space="0" w:color="auto"/>
            </w:tcBorders>
            <w:vAlign w:val="center"/>
          </w:tcPr>
          <w:p w14:paraId="53823EF6" w14:textId="77777777" w:rsidR="00F95E76" w:rsidRPr="00C07807" w:rsidRDefault="00F95E76" w:rsidP="006068AB">
            <w:pPr>
              <w:pStyle w:val="NumberedParagraph"/>
              <w:numPr>
                <w:ilvl w:val="0"/>
                <w:numId w:val="0"/>
              </w:numPr>
              <w:spacing w:after="60"/>
              <w:jc w:val="center"/>
              <w:rPr>
                <w:b/>
                <w:bCs/>
              </w:rPr>
            </w:pPr>
            <w:r w:rsidRPr="00C07807">
              <w:rPr>
                <w:b/>
                <w:bCs/>
              </w:rPr>
              <w:t>2018-19</w:t>
            </w:r>
          </w:p>
        </w:tc>
        <w:tc>
          <w:tcPr>
            <w:tcW w:w="1059" w:type="dxa"/>
            <w:tcBorders>
              <w:top w:val="single" w:sz="4" w:space="0" w:color="auto"/>
              <w:bottom w:val="single" w:sz="4" w:space="0" w:color="auto"/>
            </w:tcBorders>
            <w:vAlign w:val="center"/>
          </w:tcPr>
          <w:p w14:paraId="46B63EDB" w14:textId="77777777" w:rsidR="00F95E76" w:rsidRPr="00C07807" w:rsidRDefault="00F95E76" w:rsidP="006068AB">
            <w:pPr>
              <w:pStyle w:val="NumberedParagraph"/>
              <w:numPr>
                <w:ilvl w:val="0"/>
                <w:numId w:val="0"/>
              </w:numPr>
              <w:spacing w:after="60"/>
              <w:jc w:val="center"/>
              <w:rPr>
                <w:b/>
                <w:bCs/>
              </w:rPr>
            </w:pPr>
            <w:r w:rsidRPr="00C07807">
              <w:rPr>
                <w:b/>
                <w:bCs/>
              </w:rPr>
              <w:t>2019-20</w:t>
            </w:r>
          </w:p>
        </w:tc>
        <w:tc>
          <w:tcPr>
            <w:tcW w:w="1057" w:type="dxa"/>
            <w:tcBorders>
              <w:top w:val="single" w:sz="4" w:space="0" w:color="auto"/>
              <w:bottom w:val="single" w:sz="4" w:space="0" w:color="auto"/>
            </w:tcBorders>
            <w:vAlign w:val="center"/>
          </w:tcPr>
          <w:p w14:paraId="58962914" w14:textId="77777777" w:rsidR="00F95E76" w:rsidRPr="00C07807" w:rsidRDefault="00F95E76" w:rsidP="006068AB">
            <w:pPr>
              <w:pStyle w:val="NumberedParagraph"/>
              <w:numPr>
                <w:ilvl w:val="0"/>
                <w:numId w:val="0"/>
              </w:numPr>
              <w:spacing w:after="60"/>
              <w:jc w:val="center"/>
              <w:rPr>
                <w:b/>
                <w:bCs/>
              </w:rPr>
            </w:pPr>
            <w:r w:rsidRPr="00C07807">
              <w:rPr>
                <w:b/>
                <w:bCs/>
              </w:rPr>
              <w:t>Total</w:t>
            </w:r>
          </w:p>
        </w:tc>
        <w:tc>
          <w:tcPr>
            <w:tcW w:w="1133" w:type="dxa"/>
            <w:tcBorders>
              <w:top w:val="single" w:sz="4" w:space="0" w:color="auto"/>
              <w:bottom w:val="single" w:sz="4" w:space="0" w:color="auto"/>
            </w:tcBorders>
            <w:vAlign w:val="center"/>
          </w:tcPr>
          <w:p w14:paraId="13B2D616" w14:textId="77777777" w:rsidR="00F95E76" w:rsidRPr="00C07807" w:rsidRDefault="00F95E76" w:rsidP="006068AB">
            <w:pPr>
              <w:pStyle w:val="NumberedParagraph"/>
              <w:numPr>
                <w:ilvl w:val="0"/>
                <w:numId w:val="0"/>
              </w:numPr>
              <w:spacing w:after="60"/>
              <w:jc w:val="center"/>
              <w:rPr>
                <w:b/>
                <w:bCs/>
              </w:rPr>
            </w:pPr>
            <w:r w:rsidRPr="00C07807">
              <w:rPr>
                <w:b/>
                <w:bCs/>
              </w:rPr>
              <w:t>Four-year average</w:t>
            </w:r>
          </w:p>
        </w:tc>
        <w:tc>
          <w:tcPr>
            <w:tcW w:w="1235" w:type="dxa"/>
            <w:tcBorders>
              <w:top w:val="single" w:sz="4" w:space="0" w:color="auto"/>
              <w:bottom w:val="single" w:sz="4" w:space="0" w:color="auto"/>
            </w:tcBorders>
          </w:tcPr>
          <w:p w14:paraId="4ECBBA18" w14:textId="77777777" w:rsidR="00F95E76" w:rsidRPr="00C07807" w:rsidRDefault="00F95E76" w:rsidP="006068AB">
            <w:pPr>
              <w:pStyle w:val="NumberedParagraph"/>
              <w:numPr>
                <w:ilvl w:val="0"/>
                <w:numId w:val="0"/>
              </w:numPr>
              <w:spacing w:after="60"/>
              <w:jc w:val="center"/>
              <w:rPr>
                <w:b/>
                <w:bCs/>
              </w:rPr>
            </w:pPr>
            <w:r w:rsidRPr="00C07807">
              <w:rPr>
                <w:b/>
                <w:bCs/>
              </w:rPr>
              <w:t>Four-year average tax effect</w:t>
            </w:r>
          </w:p>
        </w:tc>
      </w:tr>
      <w:tr w:rsidR="00473033" w:rsidRPr="00C07807" w14:paraId="3FACF04E" w14:textId="77777777" w:rsidTr="00F95E76">
        <w:tc>
          <w:tcPr>
            <w:tcW w:w="1443" w:type="dxa"/>
            <w:vMerge w:val="restart"/>
            <w:tcBorders>
              <w:top w:val="single" w:sz="4" w:space="0" w:color="auto"/>
              <w:left w:val="single" w:sz="4" w:space="0" w:color="auto"/>
              <w:bottom w:val="dashed" w:sz="4" w:space="0" w:color="auto"/>
              <w:right w:val="dashed" w:sz="4" w:space="0" w:color="auto"/>
            </w:tcBorders>
            <w:vAlign w:val="center"/>
          </w:tcPr>
          <w:p w14:paraId="70D54B03" w14:textId="77777777" w:rsidR="00F95E76" w:rsidRPr="00C07807" w:rsidRDefault="00F95E76" w:rsidP="006068AB">
            <w:pPr>
              <w:pStyle w:val="NumberedParagraph"/>
              <w:numPr>
                <w:ilvl w:val="0"/>
                <w:numId w:val="0"/>
              </w:numPr>
              <w:spacing w:after="60"/>
              <w:jc w:val="left"/>
              <w:rPr>
                <w:b/>
                <w:bCs/>
              </w:rPr>
            </w:pPr>
            <w:r w:rsidRPr="00C07807">
              <w:rPr>
                <w:b/>
                <w:bCs/>
              </w:rPr>
              <w:t>Local authorities</w:t>
            </w:r>
          </w:p>
        </w:tc>
        <w:tc>
          <w:tcPr>
            <w:tcW w:w="1396" w:type="dxa"/>
            <w:tcBorders>
              <w:top w:val="single" w:sz="4" w:space="0" w:color="auto"/>
              <w:left w:val="dashed" w:sz="4" w:space="0" w:color="auto"/>
              <w:bottom w:val="dashed" w:sz="4" w:space="0" w:color="auto"/>
              <w:right w:val="single" w:sz="4" w:space="0" w:color="auto"/>
            </w:tcBorders>
          </w:tcPr>
          <w:p w14:paraId="41AB95D2" w14:textId="77777777" w:rsidR="00F95E76" w:rsidRPr="00C07807" w:rsidRDefault="00F95E76" w:rsidP="006068AB">
            <w:pPr>
              <w:pStyle w:val="NumberedParagraph"/>
              <w:numPr>
                <w:ilvl w:val="0"/>
                <w:numId w:val="0"/>
              </w:numPr>
              <w:spacing w:after="60"/>
              <w:jc w:val="right"/>
            </w:pPr>
            <w:r w:rsidRPr="00C07807">
              <w:t>Value ($m)</w:t>
            </w:r>
          </w:p>
        </w:tc>
        <w:tc>
          <w:tcPr>
            <w:tcW w:w="1059" w:type="dxa"/>
            <w:tcBorders>
              <w:top w:val="single" w:sz="4" w:space="0" w:color="auto"/>
              <w:left w:val="single" w:sz="4" w:space="0" w:color="auto"/>
              <w:bottom w:val="dashed" w:sz="4" w:space="0" w:color="auto"/>
              <w:right w:val="single" w:sz="4" w:space="0" w:color="auto"/>
            </w:tcBorders>
            <w:vAlign w:val="center"/>
          </w:tcPr>
          <w:p w14:paraId="6E9F6A22" w14:textId="77777777" w:rsidR="00F95E76" w:rsidRPr="00C07807" w:rsidRDefault="00F95E76" w:rsidP="006068AB">
            <w:pPr>
              <w:pStyle w:val="NumberedParagraph"/>
              <w:numPr>
                <w:ilvl w:val="0"/>
                <w:numId w:val="0"/>
              </w:numPr>
              <w:spacing w:after="60"/>
              <w:jc w:val="right"/>
            </w:pPr>
            <w:r w:rsidRPr="00C07807">
              <w:t>40.7</w:t>
            </w:r>
          </w:p>
        </w:tc>
        <w:tc>
          <w:tcPr>
            <w:tcW w:w="1059" w:type="dxa"/>
            <w:tcBorders>
              <w:top w:val="single" w:sz="4" w:space="0" w:color="auto"/>
              <w:left w:val="single" w:sz="4" w:space="0" w:color="auto"/>
              <w:bottom w:val="dashed" w:sz="4" w:space="0" w:color="auto"/>
              <w:right w:val="single" w:sz="4" w:space="0" w:color="auto"/>
            </w:tcBorders>
            <w:vAlign w:val="center"/>
          </w:tcPr>
          <w:p w14:paraId="74B79A2D" w14:textId="77777777" w:rsidR="00F95E76" w:rsidRPr="00C07807" w:rsidRDefault="00F95E76" w:rsidP="006068AB">
            <w:pPr>
              <w:pStyle w:val="NumberedParagraph"/>
              <w:numPr>
                <w:ilvl w:val="0"/>
                <w:numId w:val="0"/>
              </w:numPr>
              <w:spacing w:after="60"/>
              <w:jc w:val="right"/>
            </w:pPr>
            <w:r w:rsidRPr="00C07807">
              <w:t>54.4</w:t>
            </w:r>
          </w:p>
        </w:tc>
        <w:tc>
          <w:tcPr>
            <w:tcW w:w="1059" w:type="dxa"/>
            <w:tcBorders>
              <w:top w:val="single" w:sz="4" w:space="0" w:color="auto"/>
              <w:left w:val="single" w:sz="4" w:space="0" w:color="auto"/>
              <w:bottom w:val="dashed" w:sz="4" w:space="0" w:color="auto"/>
              <w:right w:val="single" w:sz="4" w:space="0" w:color="auto"/>
            </w:tcBorders>
            <w:vAlign w:val="center"/>
          </w:tcPr>
          <w:p w14:paraId="42A2AC0E" w14:textId="77777777" w:rsidR="00F95E76" w:rsidRPr="00C07807" w:rsidRDefault="00F95E76" w:rsidP="006068AB">
            <w:pPr>
              <w:pStyle w:val="NumberedParagraph"/>
              <w:numPr>
                <w:ilvl w:val="0"/>
                <w:numId w:val="0"/>
              </w:numPr>
              <w:spacing w:after="60"/>
              <w:jc w:val="right"/>
            </w:pPr>
            <w:r w:rsidRPr="00C07807">
              <w:t>55.1</w:t>
            </w:r>
          </w:p>
        </w:tc>
        <w:tc>
          <w:tcPr>
            <w:tcW w:w="1059" w:type="dxa"/>
            <w:tcBorders>
              <w:top w:val="single" w:sz="4" w:space="0" w:color="auto"/>
              <w:left w:val="single" w:sz="4" w:space="0" w:color="auto"/>
              <w:bottom w:val="dashed" w:sz="4" w:space="0" w:color="auto"/>
              <w:right w:val="single" w:sz="4" w:space="0" w:color="auto"/>
            </w:tcBorders>
            <w:vAlign w:val="center"/>
          </w:tcPr>
          <w:p w14:paraId="75AF6ABA" w14:textId="77777777" w:rsidR="00F95E76" w:rsidRPr="00C07807" w:rsidRDefault="00F95E76" w:rsidP="006068AB">
            <w:pPr>
              <w:pStyle w:val="NumberedParagraph"/>
              <w:numPr>
                <w:ilvl w:val="0"/>
                <w:numId w:val="0"/>
              </w:numPr>
              <w:spacing w:after="60"/>
              <w:jc w:val="right"/>
            </w:pPr>
            <w:r w:rsidRPr="00C07807">
              <w:t>37.7</w:t>
            </w:r>
          </w:p>
        </w:tc>
        <w:tc>
          <w:tcPr>
            <w:tcW w:w="1057" w:type="dxa"/>
            <w:tcBorders>
              <w:top w:val="single" w:sz="4" w:space="0" w:color="auto"/>
              <w:left w:val="single" w:sz="4" w:space="0" w:color="auto"/>
              <w:bottom w:val="dashed" w:sz="4" w:space="0" w:color="auto"/>
              <w:right w:val="single" w:sz="4" w:space="0" w:color="auto"/>
            </w:tcBorders>
            <w:vAlign w:val="center"/>
          </w:tcPr>
          <w:p w14:paraId="659E5303" w14:textId="77777777" w:rsidR="00F95E76" w:rsidRPr="00C07807" w:rsidRDefault="00F95E76" w:rsidP="006068AB">
            <w:pPr>
              <w:pStyle w:val="NumberedParagraph"/>
              <w:numPr>
                <w:ilvl w:val="0"/>
                <w:numId w:val="0"/>
              </w:numPr>
              <w:spacing w:after="60"/>
              <w:jc w:val="right"/>
            </w:pPr>
            <w:r w:rsidRPr="00C07807">
              <w:t>187.9</w:t>
            </w:r>
          </w:p>
        </w:tc>
        <w:tc>
          <w:tcPr>
            <w:tcW w:w="1133" w:type="dxa"/>
            <w:tcBorders>
              <w:top w:val="single" w:sz="4" w:space="0" w:color="auto"/>
              <w:left w:val="single" w:sz="4" w:space="0" w:color="auto"/>
              <w:bottom w:val="dashed" w:sz="4" w:space="0" w:color="auto"/>
              <w:right w:val="single" w:sz="4" w:space="0" w:color="auto"/>
            </w:tcBorders>
            <w:vAlign w:val="center"/>
          </w:tcPr>
          <w:p w14:paraId="05E3743C" w14:textId="77777777" w:rsidR="00F95E76" w:rsidRPr="00C07807" w:rsidRDefault="00F95E76" w:rsidP="006068AB">
            <w:pPr>
              <w:pStyle w:val="NumberedParagraph"/>
              <w:numPr>
                <w:ilvl w:val="0"/>
                <w:numId w:val="0"/>
              </w:numPr>
              <w:spacing w:after="60"/>
              <w:jc w:val="right"/>
            </w:pPr>
            <w:r w:rsidRPr="00C07807">
              <w:t>47.0</w:t>
            </w:r>
          </w:p>
        </w:tc>
        <w:tc>
          <w:tcPr>
            <w:tcW w:w="1235" w:type="dxa"/>
            <w:tcBorders>
              <w:top w:val="single" w:sz="4" w:space="0" w:color="auto"/>
              <w:left w:val="single" w:sz="4" w:space="0" w:color="auto"/>
              <w:bottom w:val="dashed" w:sz="4" w:space="0" w:color="auto"/>
              <w:right w:val="single" w:sz="4" w:space="0" w:color="auto"/>
            </w:tcBorders>
            <w:vAlign w:val="center"/>
          </w:tcPr>
          <w:p w14:paraId="01EEC29F" w14:textId="77777777" w:rsidR="00F95E76" w:rsidRPr="00C07807" w:rsidRDefault="00F95E76" w:rsidP="006068AB">
            <w:pPr>
              <w:pStyle w:val="NumberedParagraph"/>
              <w:numPr>
                <w:ilvl w:val="0"/>
                <w:numId w:val="0"/>
              </w:numPr>
              <w:spacing w:after="60"/>
              <w:jc w:val="right"/>
            </w:pPr>
            <w:r w:rsidRPr="00C07807">
              <w:t>13.2</w:t>
            </w:r>
          </w:p>
        </w:tc>
      </w:tr>
      <w:tr w:rsidR="00473033" w:rsidRPr="00C07807" w14:paraId="14571E4C" w14:textId="77777777" w:rsidTr="00F95E76">
        <w:tc>
          <w:tcPr>
            <w:tcW w:w="1443" w:type="dxa"/>
            <w:vMerge/>
            <w:tcBorders>
              <w:top w:val="dashed" w:sz="4" w:space="0" w:color="auto"/>
              <w:left w:val="single" w:sz="4" w:space="0" w:color="auto"/>
              <w:bottom w:val="single" w:sz="4" w:space="0" w:color="auto"/>
              <w:right w:val="dashed" w:sz="4" w:space="0" w:color="auto"/>
            </w:tcBorders>
          </w:tcPr>
          <w:p w14:paraId="688BB00F" w14:textId="77777777" w:rsidR="00F95E76" w:rsidRPr="00C07807" w:rsidRDefault="00F95E76" w:rsidP="006068AB">
            <w:pPr>
              <w:pStyle w:val="NumberedParagraph"/>
              <w:numPr>
                <w:ilvl w:val="0"/>
                <w:numId w:val="0"/>
              </w:numPr>
              <w:spacing w:after="60"/>
              <w:rPr>
                <w:b/>
                <w:bCs/>
              </w:rPr>
            </w:pPr>
          </w:p>
        </w:tc>
        <w:tc>
          <w:tcPr>
            <w:tcW w:w="1396" w:type="dxa"/>
            <w:tcBorders>
              <w:top w:val="dashed" w:sz="4" w:space="0" w:color="auto"/>
              <w:left w:val="dashed" w:sz="4" w:space="0" w:color="auto"/>
              <w:bottom w:val="single" w:sz="4" w:space="0" w:color="auto"/>
              <w:right w:val="single" w:sz="4" w:space="0" w:color="auto"/>
            </w:tcBorders>
          </w:tcPr>
          <w:p w14:paraId="51EE2A7B" w14:textId="77777777" w:rsidR="00F95E76" w:rsidRPr="00C07807" w:rsidRDefault="00F95E76" w:rsidP="006068AB">
            <w:pPr>
              <w:pStyle w:val="NumberedParagraph"/>
              <w:numPr>
                <w:ilvl w:val="0"/>
                <w:numId w:val="0"/>
              </w:numPr>
              <w:spacing w:after="60"/>
              <w:jc w:val="right"/>
            </w:pPr>
            <w:r w:rsidRPr="00C07807">
              <w:t>% of total</w:t>
            </w:r>
          </w:p>
        </w:tc>
        <w:tc>
          <w:tcPr>
            <w:tcW w:w="1059" w:type="dxa"/>
            <w:tcBorders>
              <w:top w:val="dashed" w:sz="4" w:space="0" w:color="auto"/>
              <w:left w:val="single" w:sz="4" w:space="0" w:color="auto"/>
              <w:bottom w:val="single" w:sz="4" w:space="0" w:color="auto"/>
              <w:right w:val="single" w:sz="4" w:space="0" w:color="auto"/>
            </w:tcBorders>
            <w:vAlign w:val="center"/>
          </w:tcPr>
          <w:p w14:paraId="38E09444" w14:textId="77777777" w:rsidR="00F95E76" w:rsidRPr="00C07807" w:rsidRDefault="00F95E76" w:rsidP="006068AB">
            <w:pPr>
              <w:pStyle w:val="NumberedParagraph"/>
              <w:numPr>
                <w:ilvl w:val="0"/>
                <w:numId w:val="0"/>
              </w:numPr>
              <w:spacing w:after="60"/>
              <w:jc w:val="right"/>
            </w:pPr>
            <w:r w:rsidRPr="00C07807">
              <w:t>38%</w:t>
            </w:r>
          </w:p>
        </w:tc>
        <w:tc>
          <w:tcPr>
            <w:tcW w:w="1059" w:type="dxa"/>
            <w:tcBorders>
              <w:top w:val="dashed" w:sz="4" w:space="0" w:color="auto"/>
              <w:left w:val="single" w:sz="4" w:space="0" w:color="auto"/>
              <w:bottom w:val="single" w:sz="4" w:space="0" w:color="auto"/>
              <w:right w:val="single" w:sz="4" w:space="0" w:color="auto"/>
            </w:tcBorders>
            <w:vAlign w:val="center"/>
          </w:tcPr>
          <w:p w14:paraId="1AA4B78B" w14:textId="77777777" w:rsidR="00F95E76" w:rsidRPr="00C07807" w:rsidRDefault="00F95E76" w:rsidP="006068AB">
            <w:pPr>
              <w:pStyle w:val="NumberedParagraph"/>
              <w:numPr>
                <w:ilvl w:val="0"/>
                <w:numId w:val="0"/>
              </w:numPr>
              <w:spacing w:after="60"/>
              <w:jc w:val="right"/>
            </w:pPr>
            <w:r w:rsidRPr="00C07807">
              <w:t>33%</w:t>
            </w:r>
          </w:p>
        </w:tc>
        <w:tc>
          <w:tcPr>
            <w:tcW w:w="1059" w:type="dxa"/>
            <w:tcBorders>
              <w:top w:val="dashed" w:sz="4" w:space="0" w:color="auto"/>
              <w:left w:val="single" w:sz="4" w:space="0" w:color="auto"/>
              <w:bottom w:val="single" w:sz="4" w:space="0" w:color="auto"/>
              <w:right w:val="single" w:sz="4" w:space="0" w:color="auto"/>
            </w:tcBorders>
            <w:vAlign w:val="center"/>
          </w:tcPr>
          <w:p w14:paraId="3C2203DF" w14:textId="77777777" w:rsidR="00F95E76" w:rsidRPr="00C07807" w:rsidRDefault="00F95E76" w:rsidP="006068AB">
            <w:pPr>
              <w:pStyle w:val="NumberedParagraph"/>
              <w:numPr>
                <w:ilvl w:val="0"/>
                <w:numId w:val="0"/>
              </w:numPr>
              <w:spacing w:after="60"/>
              <w:jc w:val="right"/>
            </w:pPr>
            <w:r w:rsidRPr="00C07807">
              <w:t>46%</w:t>
            </w:r>
          </w:p>
        </w:tc>
        <w:tc>
          <w:tcPr>
            <w:tcW w:w="1059" w:type="dxa"/>
            <w:tcBorders>
              <w:top w:val="dashed" w:sz="4" w:space="0" w:color="auto"/>
              <w:left w:val="single" w:sz="4" w:space="0" w:color="auto"/>
              <w:bottom w:val="single" w:sz="4" w:space="0" w:color="auto"/>
              <w:right w:val="single" w:sz="4" w:space="0" w:color="auto"/>
            </w:tcBorders>
            <w:vAlign w:val="center"/>
          </w:tcPr>
          <w:p w14:paraId="7FFB5A93" w14:textId="77777777" w:rsidR="00F95E76" w:rsidRPr="00C07807" w:rsidRDefault="00F95E76" w:rsidP="006068AB">
            <w:pPr>
              <w:pStyle w:val="NumberedParagraph"/>
              <w:numPr>
                <w:ilvl w:val="0"/>
                <w:numId w:val="0"/>
              </w:numPr>
              <w:spacing w:after="60"/>
              <w:jc w:val="right"/>
            </w:pPr>
            <w:r w:rsidRPr="00C07807">
              <w:t>38%</w:t>
            </w:r>
          </w:p>
        </w:tc>
        <w:tc>
          <w:tcPr>
            <w:tcW w:w="1057" w:type="dxa"/>
            <w:tcBorders>
              <w:top w:val="dashed" w:sz="4" w:space="0" w:color="auto"/>
              <w:left w:val="single" w:sz="4" w:space="0" w:color="auto"/>
              <w:bottom w:val="single" w:sz="4" w:space="0" w:color="auto"/>
              <w:right w:val="single" w:sz="4" w:space="0" w:color="auto"/>
            </w:tcBorders>
            <w:vAlign w:val="center"/>
          </w:tcPr>
          <w:p w14:paraId="68CEAE10" w14:textId="77777777" w:rsidR="00F95E76" w:rsidRPr="00C07807" w:rsidRDefault="00F95E76" w:rsidP="006068AB">
            <w:pPr>
              <w:pStyle w:val="NumberedParagraph"/>
              <w:numPr>
                <w:ilvl w:val="0"/>
                <w:numId w:val="0"/>
              </w:numPr>
              <w:spacing w:after="60"/>
              <w:jc w:val="right"/>
            </w:pPr>
            <w:r w:rsidRPr="00C07807">
              <w:t>38%</w:t>
            </w:r>
          </w:p>
        </w:tc>
        <w:tc>
          <w:tcPr>
            <w:tcW w:w="1133" w:type="dxa"/>
            <w:tcBorders>
              <w:top w:val="dashed" w:sz="4" w:space="0" w:color="auto"/>
              <w:left w:val="single" w:sz="4" w:space="0" w:color="auto"/>
              <w:bottom w:val="single" w:sz="4" w:space="0" w:color="auto"/>
              <w:right w:val="single" w:sz="4" w:space="0" w:color="auto"/>
            </w:tcBorders>
            <w:vAlign w:val="center"/>
          </w:tcPr>
          <w:p w14:paraId="5BF894F8" w14:textId="77777777" w:rsidR="00F95E76" w:rsidRPr="00C07807" w:rsidRDefault="00F95E76" w:rsidP="006068AB">
            <w:pPr>
              <w:pStyle w:val="NumberedParagraph"/>
              <w:numPr>
                <w:ilvl w:val="0"/>
                <w:numId w:val="0"/>
              </w:numPr>
              <w:spacing w:after="60"/>
              <w:jc w:val="right"/>
            </w:pPr>
            <w:r w:rsidRPr="00C07807">
              <w:t>38%</w:t>
            </w:r>
          </w:p>
        </w:tc>
        <w:tc>
          <w:tcPr>
            <w:tcW w:w="1235" w:type="dxa"/>
            <w:tcBorders>
              <w:top w:val="dashed" w:sz="4" w:space="0" w:color="auto"/>
              <w:left w:val="single" w:sz="4" w:space="0" w:color="auto"/>
              <w:bottom w:val="single" w:sz="4" w:space="0" w:color="auto"/>
              <w:right w:val="single" w:sz="4" w:space="0" w:color="auto"/>
            </w:tcBorders>
            <w:vAlign w:val="center"/>
          </w:tcPr>
          <w:p w14:paraId="6A77E348" w14:textId="77777777" w:rsidR="00F95E76" w:rsidRPr="00C07807" w:rsidRDefault="00F95E76" w:rsidP="006068AB">
            <w:pPr>
              <w:pStyle w:val="NumberedParagraph"/>
              <w:numPr>
                <w:ilvl w:val="0"/>
                <w:numId w:val="0"/>
              </w:numPr>
              <w:spacing w:after="60"/>
              <w:jc w:val="right"/>
            </w:pPr>
            <w:r w:rsidRPr="00C07807">
              <w:t>38%</w:t>
            </w:r>
          </w:p>
        </w:tc>
      </w:tr>
      <w:tr w:rsidR="00473033" w:rsidRPr="00C07807" w14:paraId="3B4863B2" w14:textId="77777777" w:rsidTr="00F95E76">
        <w:tc>
          <w:tcPr>
            <w:tcW w:w="1443" w:type="dxa"/>
            <w:vMerge w:val="restart"/>
            <w:tcBorders>
              <w:top w:val="single" w:sz="4" w:space="0" w:color="auto"/>
              <w:left w:val="single" w:sz="4" w:space="0" w:color="auto"/>
              <w:bottom w:val="dashed" w:sz="4" w:space="0" w:color="auto"/>
              <w:right w:val="dashed" w:sz="4" w:space="0" w:color="auto"/>
            </w:tcBorders>
            <w:vAlign w:val="center"/>
          </w:tcPr>
          <w:p w14:paraId="6D31F49E" w14:textId="77777777" w:rsidR="00F95E76" w:rsidRPr="00C07807" w:rsidRDefault="00F95E76" w:rsidP="006068AB">
            <w:pPr>
              <w:pStyle w:val="NumberedParagraph"/>
              <w:numPr>
                <w:ilvl w:val="0"/>
                <w:numId w:val="0"/>
              </w:numPr>
              <w:spacing w:after="60"/>
              <w:jc w:val="left"/>
              <w:rPr>
                <w:b/>
                <w:bCs/>
              </w:rPr>
            </w:pPr>
            <w:r w:rsidRPr="00C07807">
              <w:rPr>
                <w:b/>
                <w:bCs/>
              </w:rPr>
              <w:t>All other companies</w:t>
            </w:r>
          </w:p>
        </w:tc>
        <w:tc>
          <w:tcPr>
            <w:tcW w:w="1396" w:type="dxa"/>
            <w:tcBorders>
              <w:top w:val="single" w:sz="4" w:space="0" w:color="auto"/>
              <w:left w:val="dashed" w:sz="4" w:space="0" w:color="auto"/>
              <w:bottom w:val="dashed" w:sz="4" w:space="0" w:color="auto"/>
              <w:right w:val="single" w:sz="4" w:space="0" w:color="auto"/>
            </w:tcBorders>
          </w:tcPr>
          <w:p w14:paraId="30823547" w14:textId="77777777" w:rsidR="00F95E76" w:rsidRPr="00C07807" w:rsidRDefault="00F95E76" w:rsidP="006068AB">
            <w:pPr>
              <w:pStyle w:val="NumberedParagraph"/>
              <w:numPr>
                <w:ilvl w:val="0"/>
                <w:numId w:val="0"/>
              </w:numPr>
              <w:spacing w:after="60"/>
              <w:jc w:val="right"/>
            </w:pPr>
            <w:r w:rsidRPr="00C07807">
              <w:t>Value ($m)</w:t>
            </w:r>
          </w:p>
        </w:tc>
        <w:tc>
          <w:tcPr>
            <w:tcW w:w="1059" w:type="dxa"/>
            <w:tcBorders>
              <w:top w:val="single" w:sz="4" w:space="0" w:color="auto"/>
              <w:left w:val="single" w:sz="4" w:space="0" w:color="auto"/>
              <w:bottom w:val="dashed" w:sz="4" w:space="0" w:color="auto"/>
              <w:right w:val="single" w:sz="4" w:space="0" w:color="auto"/>
            </w:tcBorders>
            <w:vAlign w:val="center"/>
          </w:tcPr>
          <w:p w14:paraId="0E42C395" w14:textId="77777777" w:rsidR="00F95E76" w:rsidRPr="00C07807" w:rsidRDefault="00F95E76" w:rsidP="006068AB">
            <w:pPr>
              <w:pStyle w:val="NumberedParagraph"/>
              <w:numPr>
                <w:ilvl w:val="0"/>
                <w:numId w:val="0"/>
              </w:numPr>
              <w:spacing w:after="60"/>
              <w:jc w:val="right"/>
            </w:pPr>
            <w:r w:rsidRPr="00C07807">
              <w:t>66.5</w:t>
            </w:r>
          </w:p>
        </w:tc>
        <w:tc>
          <w:tcPr>
            <w:tcW w:w="1059" w:type="dxa"/>
            <w:tcBorders>
              <w:top w:val="single" w:sz="4" w:space="0" w:color="auto"/>
              <w:left w:val="single" w:sz="4" w:space="0" w:color="auto"/>
              <w:bottom w:val="dashed" w:sz="4" w:space="0" w:color="auto"/>
              <w:right w:val="single" w:sz="4" w:space="0" w:color="auto"/>
            </w:tcBorders>
            <w:vAlign w:val="center"/>
          </w:tcPr>
          <w:p w14:paraId="3255D5FD" w14:textId="77777777" w:rsidR="00F95E76" w:rsidRPr="00C07807" w:rsidRDefault="00F95E76" w:rsidP="006068AB">
            <w:pPr>
              <w:pStyle w:val="NumberedParagraph"/>
              <w:numPr>
                <w:ilvl w:val="0"/>
                <w:numId w:val="0"/>
              </w:numPr>
              <w:spacing w:after="60"/>
              <w:jc w:val="right"/>
            </w:pPr>
            <w:r w:rsidRPr="00C07807">
              <w:t>112.7</w:t>
            </w:r>
          </w:p>
        </w:tc>
        <w:tc>
          <w:tcPr>
            <w:tcW w:w="1059" w:type="dxa"/>
            <w:tcBorders>
              <w:top w:val="single" w:sz="4" w:space="0" w:color="auto"/>
              <w:left w:val="single" w:sz="4" w:space="0" w:color="auto"/>
              <w:bottom w:val="dashed" w:sz="4" w:space="0" w:color="auto"/>
              <w:right w:val="single" w:sz="4" w:space="0" w:color="auto"/>
            </w:tcBorders>
            <w:vAlign w:val="center"/>
          </w:tcPr>
          <w:p w14:paraId="21FF20DB" w14:textId="77777777" w:rsidR="00F95E76" w:rsidRPr="00C07807" w:rsidRDefault="00F95E76" w:rsidP="006068AB">
            <w:pPr>
              <w:pStyle w:val="NumberedParagraph"/>
              <w:numPr>
                <w:ilvl w:val="0"/>
                <w:numId w:val="0"/>
              </w:numPr>
              <w:spacing w:after="60"/>
              <w:jc w:val="right"/>
            </w:pPr>
            <w:r w:rsidRPr="00C07807">
              <w:t>64.6</w:t>
            </w:r>
          </w:p>
        </w:tc>
        <w:tc>
          <w:tcPr>
            <w:tcW w:w="1059" w:type="dxa"/>
            <w:tcBorders>
              <w:top w:val="single" w:sz="4" w:space="0" w:color="auto"/>
              <w:left w:val="single" w:sz="4" w:space="0" w:color="auto"/>
              <w:bottom w:val="dashed" w:sz="4" w:space="0" w:color="auto"/>
              <w:right w:val="single" w:sz="4" w:space="0" w:color="auto"/>
            </w:tcBorders>
            <w:vAlign w:val="center"/>
          </w:tcPr>
          <w:p w14:paraId="539C3225" w14:textId="77777777" w:rsidR="00F95E76" w:rsidRPr="00C07807" w:rsidRDefault="00F95E76" w:rsidP="006068AB">
            <w:pPr>
              <w:pStyle w:val="NumberedParagraph"/>
              <w:numPr>
                <w:ilvl w:val="0"/>
                <w:numId w:val="0"/>
              </w:numPr>
              <w:spacing w:after="60"/>
              <w:jc w:val="right"/>
            </w:pPr>
            <w:r w:rsidRPr="00C07807">
              <w:t>60.4</w:t>
            </w:r>
          </w:p>
        </w:tc>
        <w:tc>
          <w:tcPr>
            <w:tcW w:w="1057" w:type="dxa"/>
            <w:tcBorders>
              <w:top w:val="single" w:sz="4" w:space="0" w:color="auto"/>
              <w:left w:val="single" w:sz="4" w:space="0" w:color="auto"/>
              <w:bottom w:val="dashed" w:sz="4" w:space="0" w:color="auto"/>
              <w:right w:val="single" w:sz="4" w:space="0" w:color="auto"/>
            </w:tcBorders>
            <w:vAlign w:val="center"/>
          </w:tcPr>
          <w:p w14:paraId="2A3CA550" w14:textId="77777777" w:rsidR="00F95E76" w:rsidRPr="00C07807" w:rsidRDefault="00F95E76" w:rsidP="006068AB">
            <w:pPr>
              <w:pStyle w:val="NumberedParagraph"/>
              <w:numPr>
                <w:ilvl w:val="0"/>
                <w:numId w:val="0"/>
              </w:numPr>
              <w:spacing w:after="60"/>
              <w:jc w:val="right"/>
            </w:pPr>
            <w:r w:rsidRPr="00C07807">
              <w:t>76.1</w:t>
            </w:r>
          </w:p>
        </w:tc>
        <w:tc>
          <w:tcPr>
            <w:tcW w:w="1133" w:type="dxa"/>
            <w:tcBorders>
              <w:top w:val="single" w:sz="4" w:space="0" w:color="auto"/>
              <w:left w:val="single" w:sz="4" w:space="0" w:color="auto"/>
              <w:bottom w:val="dashed" w:sz="4" w:space="0" w:color="auto"/>
              <w:right w:val="single" w:sz="4" w:space="0" w:color="auto"/>
            </w:tcBorders>
            <w:vAlign w:val="center"/>
          </w:tcPr>
          <w:p w14:paraId="739EA8CE" w14:textId="77777777" w:rsidR="00F95E76" w:rsidRPr="00C07807" w:rsidRDefault="00F95E76" w:rsidP="006068AB">
            <w:pPr>
              <w:pStyle w:val="NumberedParagraph"/>
              <w:numPr>
                <w:ilvl w:val="0"/>
                <w:numId w:val="0"/>
              </w:numPr>
              <w:spacing w:after="60"/>
              <w:jc w:val="right"/>
            </w:pPr>
            <w:r w:rsidRPr="00C07807">
              <w:t>76.1</w:t>
            </w:r>
          </w:p>
        </w:tc>
        <w:tc>
          <w:tcPr>
            <w:tcW w:w="1235" w:type="dxa"/>
            <w:tcBorders>
              <w:top w:val="single" w:sz="4" w:space="0" w:color="auto"/>
              <w:left w:val="single" w:sz="4" w:space="0" w:color="auto"/>
              <w:bottom w:val="dashed" w:sz="4" w:space="0" w:color="auto"/>
              <w:right w:val="single" w:sz="4" w:space="0" w:color="auto"/>
            </w:tcBorders>
            <w:vAlign w:val="center"/>
          </w:tcPr>
          <w:p w14:paraId="28BED043" w14:textId="77777777" w:rsidR="00F95E76" w:rsidRPr="00C07807" w:rsidRDefault="00F95E76" w:rsidP="006068AB">
            <w:pPr>
              <w:pStyle w:val="NumberedParagraph"/>
              <w:numPr>
                <w:ilvl w:val="0"/>
                <w:numId w:val="0"/>
              </w:numPr>
              <w:spacing w:after="60"/>
              <w:jc w:val="right"/>
            </w:pPr>
            <w:r w:rsidRPr="00C07807">
              <w:t>21.3</w:t>
            </w:r>
          </w:p>
        </w:tc>
      </w:tr>
      <w:tr w:rsidR="00473033" w:rsidRPr="00C07807" w14:paraId="20D21E5B" w14:textId="77777777" w:rsidTr="00F95E76">
        <w:tc>
          <w:tcPr>
            <w:tcW w:w="1443" w:type="dxa"/>
            <w:vMerge/>
            <w:tcBorders>
              <w:top w:val="dashed" w:sz="4" w:space="0" w:color="auto"/>
              <w:left w:val="single" w:sz="4" w:space="0" w:color="auto"/>
              <w:bottom w:val="single" w:sz="4" w:space="0" w:color="auto"/>
              <w:right w:val="dashed" w:sz="4" w:space="0" w:color="auto"/>
            </w:tcBorders>
          </w:tcPr>
          <w:p w14:paraId="632576D5" w14:textId="77777777" w:rsidR="00F95E76" w:rsidRPr="00C07807" w:rsidRDefault="00F95E76" w:rsidP="006068AB">
            <w:pPr>
              <w:pStyle w:val="NumberedParagraph"/>
              <w:numPr>
                <w:ilvl w:val="0"/>
                <w:numId w:val="0"/>
              </w:numPr>
              <w:spacing w:after="60"/>
            </w:pPr>
          </w:p>
        </w:tc>
        <w:tc>
          <w:tcPr>
            <w:tcW w:w="1396" w:type="dxa"/>
            <w:tcBorders>
              <w:top w:val="dashed" w:sz="4" w:space="0" w:color="auto"/>
              <w:left w:val="dashed" w:sz="4" w:space="0" w:color="auto"/>
              <w:bottom w:val="single" w:sz="4" w:space="0" w:color="auto"/>
              <w:right w:val="single" w:sz="4" w:space="0" w:color="auto"/>
            </w:tcBorders>
          </w:tcPr>
          <w:p w14:paraId="2F4CBB0C" w14:textId="77777777" w:rsidR="00F95E76" w:rsidRPr="00C07807" w:rsidRDefault="00F95E76" w:rsidP="006068AB">
            <w:pPr>
              <w:pStyle w:val="NumberedParagraph"/>
              <w:numPr>
                <w:ilvl w:val="0"/>
                <w:numId w:val="0"/>
              </w:numPr>
              <w:spacing w:after="60"/>
              <w:jc w:val="right"/>
            </w:pPr>
            <w:r w:rsidRPr="00C07807">
              <w:t>% of total</w:t>
            </w:r>
          </w:p>
        </w:tc>
        <w:tc>
          <w:tcPr>
            <w:tcW w:w="1059" w:type="dxa"/>
            <w:tcBorders>
              <w:top w:val="dashed" w:sz="4" w:space="0" w:color="auto"/>
              <w:left w:val="single" w:sz="4" w:space="0" w:color="auto"/>
              <w:bottom w:val="single" w:sz="4" w:space="0" w:color="auto"/>
              <w:right w:val="single" w:sz="4" w:space="0" w:color="auto"/>
            </w:tcBorders>
            <w:vAlign w:val="center"/>
          </w:tcPr>
          <w:p w14:paraId="2DB083E4" w14:textId="77777777" w:rsidR="00F95E76" w:rsidRPr="00C07807" w:rsidRDefault="00F95E76" w:rsidP="006068AB">
            <w:pPr>
              <w:pStyle w:val="NumberedParagraph"/>
              <w:numPr>
                <w:ilvl w:val="0"/>
                <w:numId w:val="0"/>
              </w:numPr>
              <w:spacing w:after="60"/>
              <w:jc w:val="right"/>
            </w:pPr>
            <w:r w:rsidRPr="00C07807">
              <w:t>62%</w:t>
            </w:r>
          </w:p>
        </w:tc>
        <w:tc>
          <w:tcPr>
            <w:tcW w:w="1059" w:type="dxa"/>
            <w:tcBorders>
              <w:top w:val="dashed" w:sz="4" w:space="0" w:color="auto"/>
              <w:left w:val="single" w:sz="4" w:space="0" w:color="auto"/>
              <w:bottom w:val="single" w:sz="4" w:space="0" w:color="auto"/>
              <w:right w:val="single" w:sz="4" w:space="0" w:color="auto"/>
            </w:tcBorders>
            <w:vAlign w:val="center"/>
          </w:tcPr>
          <w:p w14:paraId="67C09512" w14:textId="77777777" w:rsidR="00F95E76" w:rsidRPr="00C07807" w:rsidRDefault="00F95E76" w:rsidP="006068AB">
            <w:pPr>
              <w:pStyle w:val="NumberedParagraph"/>
              <w:numPr>
                <w:ilvl w:val="0"/>
                <w:numId w:val="0"/>
              </w:numPr>
              <w:spacing w:after="60"/>
              <w:jc w:val="right"/>
            </w:pPr>
            <w:r w:rsidRPr="00C07807">
              <w:t>67%</w:t>
            </w:r>
          </w:p>
        </w:tc>
        <w:tc>
          <w:tcPr>
            <w:tcW w:w="1059" w:type="dxa"/>
            <w:tcBorders>
              <w:top w:val="dashed" w:sz="4" w:space="0" w:color="auto"/>
              <w:left w:val="single" w:sz="4" w:space="0" w:color="auto"/>
              <w:bottom w:val="single" w:sz="4" w:space="0" w:color="auto"/>
              <w:right w:val="single" w:sz="4" w:space="0" w:color="auto"/>
            </w:tcBorders>
            <w:vAlign w:val="center"/>
          </w:tcPr>
          <w:p w14:paraId="6223CC2C" w14:textId="77777777" w:rsidR="00F95E76" w:rsidRPr="00C07807" w:rsidRDefault="00F95E76" w:rsidP="006068AB">
            <w:pPr>
              <w:pStyle w:val="NumberedParagraph"/>
              <w:numPr>
                <w:ilvl w:val="0"/>
                <w:numId w:val="0"/>
              </w:numPr>
              <w:spacing w:after="60"/>
              <w:jc w:val="right"/>
            </w:pPr>
            <w:r w:rsidRPr="00C07807">
              <w:t>54%</w:t>
            </w:r>
          </w:p>
        </w:tc>
        <w:tc>
          <w:tcPr>
            <w:tcW w:w="1059" w:type="dxa"/>
            <w:tcBorders>
              <w:top w:val="dashed" w:sz="4" w:space="0" w:color="auto"/>
              <w:left w:val="single" w:sz="4" w:space="0" w:color="auto"/>
              <w:bottom w:val="single" w:sz="4" w:space="0" w:color="auto"/>
              <w:right w:val="single" w:sz="4" w:space="0" w:color="auto"/>
            </w:tcBorders>
            <w:vAlign w:val="center"/>
          </w:tcPr>
          <w:p w14:paraId="125C9EC3" w14:textId="77777777" w:rsidR="00F95E76" w:rsidRPr="00C07807" w:rsidRDefault="00F95E76" w:rsidP="006068AB">
            <w:pPr>
              <w:pStyle w:val="NumberedParagraph"/>
              <w:numPr>
                <w:ilvl w:val="0"/>
                <w:numId w:val="0"/>
              </w:numPr>
              <w:spacing w:after="60"/>
              <w:jc w:val="right"/>
            </w:pPr>
            <w:r w:rsidRPr="00C07807">
              <w:t>62%</w:t>
            </w:r>
          </w:p>
        </w:tc>
        <w:tc>
          <w:tcPr>
            <w:tcW w:w="1057" w:type="dxa"/>
            <w:tcBorders>
              <w:top w:val="dashed" w:sz="4" w:space="0" w:color="auto"/>
              <w:left w:val="single" w:sz="4" w:space="0" w:color="auto"/>
              <w:bottom w:val="single" w:sz="4" w:space="0" w:color="auto"/>
              <w:right w:val="single" w:sz="4" w:space="0" w:color="auto"/>
            </w:tcBorders>
            <w:vAlign w:val="center"/>
          </w:tcPr>
          <w:p w14:paraId="06434C1A" w14:textId="77777777" w:rsidR="00F95E76" w:rsidRPr="00C07807" w:rsidRDefault="00F95E76" w:rsidP="006068AB">
            <w:pPr>
              <w:pStyle w:val="NumberedParagraph"/>
              <w:numPr>
                <w:ilvl w:val="0"/>
                <w:numId w:val="0"/>
              </w:numPr>
              <w:spacing w:after="60"/>
              <w:jc w:val="right"/>
            </w:pPr>
            <w:r w:rsidRPr="00C07807">
              <w:t>62%</w:t>
            </w:r>
          </w:p>
        </w:tc>
        <w:tc>
          <w:tcPr>
            <w:tcW w:w="1133" w:type="dxa"/>
            <w:tcBorders>
              <w:top w:val="dashed" w:sz="4" w:space="0" w:color="auto"/>
              <w:left w:val="single" w:sz="4" w:space="0" w:color="auto"/>
              <w:bottom w:val="single" w:sz="4" w:space="0" w:color="auto"/>
              <w:right w:val="single" w:sz="4" w:space="0" w:color="auto"/>
            </w:tcBorders>
            <w:vAlign w:val="center"/>
          </w:tcPr>
          <w:p w14:paraId="5ECB29D5" w14:textId="77777777" w:rsidR="00F95E76" w:rsidRPr="00C07807" w:rsidRDefault="00F95E76" w:rsidP="006068AB">
            <w:pPr>
              <w:pStyle w:val="NumberedParagraph"/>
              <w:numPr>
                <w:ilvl w:val="0"/>
                <w:numId w:val="0"/>
              </w:numPr>
              <w:spacing w:after="60"/>
              <w:jc w:val="right"/>
            </w:pPr>
            <w:r w:rsidRPr="00C07807">
              <w:t>62%</w:t>
            </w:r>
          </w:p>
        </w:tc>
        <w:tc>
          <w:tcPr>
            <w:tcW w:w="1235" w:type="dxa"/>
            <w:tcBorders>
              <w:top w:val="dashed" w:sz="4" w:space="0" w:color="auto"/>
              <w:left w:val="single" w:sz="4" w:space="0" w:color="auto"/>
              <w:bottom w:val="single" w:sz="4" w:space="0" w:color="auto"/>
              <w:right w:val="single" w:sz="4" w:space="0" w:color="auto"/>
            </w:tcBorders>
            <w:vAlign w:val="center"/>
          </w:tcPr>
          <w:p w14:paraId="3310A68C" w14:textId="77777777" w:rsidR="00F95E76" w:rsidRPr="00C07807" w:rsidRDefault="00F95E76" w:rsidP="006068AB">
            <w:pPr>
              <w:pStyle w:val="NumberedParagraph"/>
              <w:numPr>
                <w:ilvl w:val="0"/>
                <w:numId w:val="0"/>
              </w:numPr>
              <w:spacing w:after="60"/>
              <w:jc w:val="right"/>
            </w:pPr>
            <w:r w:rsidRPr="00C07807">
              <w:t>62%</w:t>
            </w:r>
          </w:p>
        </w:tc>
      </w:tr>
      <w:tr w:rsidR="00F95E76" w:rsidRPr="00C07807" w14:paraId="38783A81" w14:textId="77777777" w:rsidTr="00F95E76">
        <w:tc>
          <w:tcPr>
            <w:tcW w:w="2839" w:type="dxa"/>
            <w:gridSpan w:val="2"/>
            <w:tcBorders>
              <w:top w:val="single" w:sz="4" w:space="0" w:color="auto"/>
            </w:tcBorders>
            <w:vAlign w:val="center"/>
          </w:tcPr>
          <w:p w14:paraId="37E34633" w14:textId="77777777" w:rsidR="00F95E76" w:rsidRPr="00C07807" w:rsidRDefault="00F95E76" w:rsidP="006068AB">
            <w:pPr>
              <w:pStyle w:val="NumberedParagraph"/>
              <w:numPr>
                <w:ilvl w:val="0"/>
                <w:numId w:val="0"/>
              </w:numPr>
              <w:spacing w:after="60"/>
              <w:jc w:val="left"/>
              <w:rPr>
                <w:b/>
                <w:bCs/>
              </w:rPr>
            </w:pPr>
            <w:r w:rsidRPr="00C07807">
              <w:rPr>
                <w:b/>
                <w:bCs/>
              </w:rPr>
              <w:t>Total value</w:t>
            </w:r>
          </w:p>
        </w:tc>
        <w:tc>
          <w:tcPr>
            <w:tcW w:w="1059" w:type="dxa"/>
            <w:tcBorders>
              <w:top w:val="single" w:sz="4" w:space="0" w:color="auto"/>
            </w:tcBorders>
            <w:vAlign w:val="center"/>
          </w:tcPr>
          <w:p w14:paraId="2508F4C3" w14:textId="77777777" w:rsidR="00F95E76" w:rsidRPr="00C07807" w:rsidRDefault="00F95E76" w:rsidP="006068AB">
            <w:pPr>
              <w:pStyle w:val="NumberedParagraph"/>
              <w:numPr>
                <w:ilvl w:val="0"/>
                <w:numId w:val="0"/>
              </w:numPr>
              <w:spacing w:after="60"/>
              <w:jc w:val="right"/>
              <w:rPr>
                <w:b/>
                <w:bCs/>
              </w:rPr>
            </w:pPr>
            <w:r w:rsidRPr="00C07807">
              <w:rPr>
                <w:b/>
                <w:bCs/>
              </w:rPr>
              <w:t>107.2</w:t>
            </w:r>
          </w:p>
        </w:tc>
        <w:tc>
          <w:tcPr>
            <w:tcW w:w="1059" w:type="dxa"/>
            <w:tcBorders>
              <w:top w:val="single" w:sz="4" w:space="0" w:color="auto"/>
            </w:tcBorders>
            <w:vAlign w:val="center"/>
          </w:tcPr>
          <w:p w14:paraId="63A29555" w14:textId="77777777" w:rsidR="00F95E76" w:rsidRPr="00C07807" w:rsidRDefault="00F95E76" w:rsidP="006068AB">
            <w:pPr>
              <w:pStyle w:val="NumberedParagraph"/>
              <w:numPr>
                <w:ilvl w:val="0"/>
                <w:numId w:val="0"/>
              </w:numPr>
              <w:spacing w:after="60"/>
              <w:jc w:val="right"/>
              <w:rPr>
                <w:b/>
                <w:bCs/>
              </w:rPr>
            </w:pPr>
            <w:r w:rsidRPr="00C07807">
              <w:rPr>
                <w:b/>
                <w:bCs/>
              </w:rPr>
              <w:t>167.1</w:t>
            </w:r>
          </w:p>
        </w:tc>
        <w:tc>
          <w:tcPr>
            <w:tcW w:w="1059" w:type="dxa"/>
            <w:tcBorders>
              <w:top w:val="single" w:sz="4" w:space="0" w:color="auto"/>
            </w:tcBorders>
            <w:vAlign w:val="center"/>
          </w:tcPr>
          <w:p w14:paraId="6F47DC6E" w14:textId="77777777" w:rsidR="00F95E76" w:rsidRPr="00C07807" w:rsidRDefault="00F95E76" w:rsidP="006068AB">
            <w:pPr>
              <w:pStyle w:val="NumberedParagraph"/>
              <w:numPr>
                <w:ilvl w:val="0"/>
                <w:numId w:val="0"/>
              </w:numPr>
              <w:spacing w:after="60"/>
              <w:jc w:val="right"/>
              <w:rPr>
                <w:b/>
                <w:bCs/>
              </w:rPr>
            </w:pPr>
            <w:r w:rsidRPr="00C07807">
              <w:rPr>
                <w:b/>
                <w:bCs/>
              </w:rPr>
              <w:t>119.7</w:t>
            </w:r>
          </w:p>
        </w:tc>
        <w:tc>
          <w:tcPr>
            <w:tcW w:w="1059" w:type="dxa"/>
            <w:tcBorders>
              <w:top w:val="single" w:sz="4" w:space="0" w:color="auto"/>
            </w:tcBorders>
            <w:vAlign w:val="center"/>
          </w:tcPr>
          <w:p w14:paraId="32E06026" w14:textId="77777777" w:rsidR="00F95E76" w:rsidRPr="00C07807" w:rsidRDefault="00F95E76" w:rsidP="006068AB">
            <w:pPr>
              <w:pStyle w:val="NumberedParagraph"/>
              <w:numPr>
                <w:ilvl w:val="0"/>
                <w:numId w:val="0"/>
              </w:numPr>
              <w:spacing w:after="60"/>
              <w:jc w:val="right"/>
              <w:rPr>
                <w:b/>
                <w:bCs/>
              </w:rPr>
            </w:pPr>
            <w:r w:rsidRPr="00C07807">
              <w:rPr>
                <w:b/>
                <w:bCs/>
              </w:rPr>
              <w:t>98.1</w:t>
            </w:r>
          </w:p>
        </w:tc>
        <w:tc>
          <w:tcPr>
            <w:tcW w:w="1057" w:type="dxa"/>
            <w:tcBorders>
              <w:top w:val="single" w:sz="4" w:space="0" w:color="auto"/>
            </w:tcBorders>
          </w:tcPr>
          <w:p w14:paraId="64D552C4" w14:textId="77777777" w:rsidR="00F95E76" w:rsidRPr="00C07807" w:rsidRDefault="00F95E76" w:rsidP="006068AB">
            <w:pPr>
              <w:pStyle w:val="NumberedParagraph"/>
              <w:numPr>
                <w:ilvl w:val="0"/>
                <w:numId w:val="0"/>
              </w:numPr>
              <w:spacing w:after="60"/>
              <w:jc w:val="right"/>
              <w:rPr>
                <w:b/>
                <w:bCs/>
              </w:rPr>
            </w:pPr>
            <w:r w:rsidRPr="00C07807">
              <w:rPr>
                <w:b/>
                <w:bCs/>
              </w:rPr>
              <w:t>492.1</w:t>
            </w:r>
          </w:p>
        </w:tc>
        <w:tc>
          <w:tcPr>
            <w:tcW w:w="1133" w:type="dxa"/>
            <w:tcBorders>
              <w:top w:val="single" w:sz="4" w:space="0" w:color="auto"/>
            </w:tcBorders>
          </w:tcPr>
          <w:p w14:paraId="66D5158C" w14:textId="77777777" w:rsidR="00F95E76" w:rsidRPr="00C07807" w:rsidRDefault="00F95E76" w:rsidP="006068AB">
            <w:pPr>
              <w:pStyle w:val="NumberedParagraph"/>
              <w:numPr>
                <w:ilvl w:val="0"/>
                <w:numId w:val="0"/>
              </w:numPr>
              <w:spacing w:after="60"/>
              <w:jc w:val="right"/>
              <w:rPr>
                <w:b/>
                <w:bCs/>
              </w:rPr>
            </w:pPr>
            <w:r w:rsidRPr="00C07807">
              <w:rPr>
                <w:b/>
                <w:bCs/>
              </w:rPr>
              <w:t>123.0</w:t>
            </w:r>
          </w:p>
        </w:tc>
        <w:tc>
          <w:tcPr>
            <w:tcW w:w="1235" w:type="dxa"/>
            <w:tcBorders>
              <w:top w:val="single" w:sz="4" w:space="0" w:color="auto"/>
            </w:tcBorders>
            <w:vAlign w:val="center"/>
          </w:tcPr>
          <w:p w14:paraId="17A88EBA" w14:textId="77777777" w:rsidR="00F95E76" w:rsidRPr="00C07807" w:rsidRDefault="00F95E76" w:rsidP="006068AB">
            <w:pPr>
              <w:pStyle w:val="NumberedParagraph"/>
              <w:numPr>
                <w:ilvl w:val="0"/>
                <w:numId w:val="0"/>
              </w:numPr>
              <w:spacing w:after="60"/>
              <w:jc w:val="right"/>
              <w:rPr>
                <w:b/>
                <w:bCs/>
              </w:rPr>
            </w:pPr>
            <w:r w:rsidRPr="00C07807">
              <w:rPr>
                <w:b/>
                <w:bCs/>
              </w:rPr>
              <w:t>34.4</w:t>
            </w:r>
          </w:p>
        </w:tc>
      </w:tr>
    </w:tbl>
    <w:p w14:paraId="2A06FB0E" w14:textId="77777777" w:rsidR="007C33FC" w:rsidRDefault="00B60502" w:rsidP="007C33FC">
      <w:pPr>
        <w:spacing w:before="240"/>
        <w:rPr>
          <w:lang w:val="en-NZ"/>
        </w:rPr>
      </w:pPr>
      <w:r w:rsidRPr="58CF6E77">
        <w:rPr>
          <w:lang w:val="en-NZ"/>
        </w:rPr>
        <w:t xml:space="preserve">The corporate gift deduction is intended to encourage companies to redirect part of their otherwise taxable income to charitable, benevolent, </w:t>
      </w:r>
      <w:proofErr w:type="gramStart"/>
      <w:r w:rsidRPr="58CF6E77">
        <w:rPr>
          <w:lang w:val="en-NZ"/>
        </w:rPr>
        <w:t>philanthropic</w:t>
      </w:r>
      <w:proofErr w:type="gramEnd"/>
      <w:r w:rsidRPr="58CF6E77">
        <w:rPr>
          <w:lang w:val="en-NZ"/>
        </w:rPr>
        <w:t xml:space="preserve"> or cultural purposes. The corporate gift deduction</w:t>
      </w:r>
      <w:r w:rsidR="00AC59C4" w:rsidRPr="58CF6E77">
        <w:rPr>
          <w:lang w:val="en-NZ"/>
        </w:rPr>
        <w:t xml:space="preserve"> should not apply to primarily exempt entities like local authorities</w:t>
      </w:r>
      <w:r w:rsidR="484FCCD4" w:rsidRPr="58CF6E77">
        <w:rPr>
          <w:lang w:val="en-NZ"/>
        </w:rPr>
        <w:t xml:space="preserve"> as this results </w:t>
      </w:r>
      <w:r w:rsidR="2A4A3BF0" w:rsidRPr="58CF6E77">
        <w:rPr>
          <w:lang w:val="en-NZ"/>
        </w:rPr>
        <w:t xml:space="preserve">in </w:t>
      </w:r>
      <w:r w:rsidR="484FCCD4" w:rsidRPr="58CF6E77">
        <w:rPr>
          <w:lang w:val="en-NZ"/>
        </w:rPr>
        <w:t>the tax system subsidising local government funding</w:t>
      </w:r>
      <w:r w:rsidR="3EAECEB1" w:rsidRPr="58CF6E77">
        <w:rPr>
          <w:lang w:val="en-NZ"/>
        </w:rPr>
        <w:t>.</w:t>
      </w:r>
      <w:r w:rsidR="00AC59C4" w:rsidRPr="58CF6E77">
        <w:rPr>
          <w:lang w:val="en-NZ"/>
        </w:rPr>
        <w:t xml:space="preserve"> </w:t>
      </w:r>
    </w:p>
    <w:p w14:paraId="1376D138" w14:textId="447EF475" w:rsidR="007C33FC" w:rsidRDefault="007C33FC" w:rsidP="007C33FC">
      <w:pPr>
        <w:spacing w:before="240"/>
        <w:rPr>
          <w:lang w:val="en-NZ"/>
        </w:rPr>
      </w:pPr>
      <w:r>
        <w:rPr>
          <w:lang w:val="en-NZ"/>
        </w:rPr>
        <w:t xml:space="preserve">The corporate gift deduction is effectively a tax concession for local government to undertake its legislated purpose </w:t>
      </w:r>
      <w:r w:rsidRPr="5BE31704">
        <w:rPr>
          <w:lang w:val="en-NZ"/>
        </w:rPr>
        <w:t>(under the Local Government Act 2002) is to promote the social, economic, environmental, and cultural well-being of communities</w:t>
      </w:r>
      <w:r>
        <w:rPr>
          <w:lang w:val="en-NZ"/>
        </w:rPr>
        <w:t xml:space="preserve">. Consequently, the corporate gift deduction is providing an increase to local government funding that has not been explicitly mandated by central government or considered through the Budget process. </w:t>
      </w:r>
    </w:p>
    <w:p w14:paraId="0A622F6C" w14:textId="035388BC" w:rsidR="008D5F88" w:rsidRDefault="00CA71E6" w:rsidP="000970C8">
      <w:pPr>
        <w:rPr>
          <w:lang w:val="en-NZ"/>
        </w:rPr>
      </w:pPr>
      <w:r w:rsidRPr="00590052">
        <w:rPr>
          <w:lang w:val="en-NZ"/>
        </w:rPr>
        <w:t>Allowing local authorities to access the corporate gift deduction allows them to transfer the benefit of their exempt status to their taxable CCOs, contrary to the policy intent.</w:t>
      </w:r>
      <w:r w:rsidR="00E5612A">
        <w:rPr>
          <w:lang w:val="en-NZ"/>
        </w:rPr>
        <w:t xml:space="preserve"> </w:t>
      </w:r>
      <w:r w:rsidR="003133F2">
        <w:rPr>
          <w:lang w:val="en-NZ"/>
        </w:rPr>
        <w:t>This reduces the incidence of tax paid by</w:t>
      </w:r>
      <w:r w:rsidR="00D10157">
        <w:rPr>
          <w:lang w:val="en-NZ"/>
        </w:rPr>
        <w:t xml:space="preserve"> CCOs.</w:t>
      </w:r>
    </w:p>
    <w:p w14:paraId="3D9A9D1C" w14:textId="77777777" w:rsidR="002C7A9F" w:rsidRDefault="002C7A9F">
      <w:pPr>
        <w:spacing w:after="0" w:line="240" w:lineRule="auto"/>
        <w:rPr>
          <w:i/>
          <w:iCs/>
          <w:lang w:val="en-NZ"/>
        </w:rPr>
      </w:pPr>
      <w:r>
        <w:rPr>
          <w:i/>
          <w:iCs/>
          <w:lang w:val="en-NZ"/>
        </w:rPr>
        <w:br w:type="page"/>
      </w:r>
    </w:p>
    <w:p w14:paraId="0DA2616C" w14:textId="0B1B9E75" w:rsidR="00E652C7" w:rsidRPr="00E652C7" w:rsidRDefault="00E652C7" w:rsidP="000970C8">
      <w:pPr>
        <w:rPr>
          <w:i/>
          <w:iCs/>
          <w:lang w:val="en-NZ"/>
        </w:rPr>
      </w:pPr>
      <w:r w:rsidRPr="00E652C7">
        <w:rPr>
          <w:i/>
          <w:iCs/>
          <w:lang w:val="en-NZ"/>
        </w:rPr>
        <w:t>Interest deductions</w:t>
      </w:r>
    </w:p>
    <w:p w14:paraId="2DC1B370" w14:textId="77A3A81D" w:rsidR="00061FEB" w:rsidRDefault="00E652C7" w:rsidP="00D219D9">
      <w:pPr>
        <w:jc w:val="both"/>
        <w:rPr>
          <w:lang w:val="en-NZ"/>
        </w:rPr>
      </w:pPr>
      <w:r w:rsidRPr="5BE31704">
        <w:rPr>
          <w:lang w:val="en-NZ"/>
        </w:rPr>
        <w:t>A local authority</w:t>
      </w:r>
      <w:r w:rsidR="00791AAB" w:rsidRPr="5BE31704">
        <w:rPr>
          <w:lang w:val="en-NZ"/>
        </w:rPr>
        <w:t xml:space="preserve"> should only be allowed a deduction for interest on money borrowed for the purpose of deriving assessable income</w:t>
      </w:r>
      <w:r w:rsidR="00A2465F" w:rsidRPr="5BE31704">
        <w:rPr>
          <w:lang w:val="en-NZ"/>
        </w:rPr>
        <w:t>. Local authorities are currently allowed deductions for interest on money borrowed to acquire shares in a CCO that is part of the same local authority group. These deductions are not limited to expenditure</w:t>
      </w:r>
      <w:r w:rsidR="007C4867" w:rsidRPr="5BE31704">
        <w:rPr>
          <w:lang w:val="en-NZ"/>
        </w:rPr>
        <w:t xml:space="preserve"> incurred in deriving assessable income.</w:t>
      </w:r>
      <w:r w:rsidR="0087468B" w:rsidRPr="5BE31704">
        <w:rPr>
          <w:lang w:val="en-NZ"/>
        </w:rPr>
        <w:t xml:space="preserve"> A local authority can shelter</w:t>
      </w:r>
      <w:r w:rsidR="00C71C8A" w:rsidRPr="5BE31704">
        <w:rPr>
          <w:lang w:val="en-NZ"/>
        </w:rPr>
        <w:t xml:space="preserve"> taxable income streams with deductions available for capitalising a CCO that is not carrying on a business to make a </w:t>
      </w:r>
      <w:r w:rsidR="00AB143E" w:rsidRPr="5BE31704">
        <w:rPr>
          <w:lang w:val="en-NZ"/>
        </w:rPr>
        <w:t>profit</w:t>
      </w:r>
    </w:p>
    <w:p w14:paraId="260CC7F3" w14:textId="77BCDC98" w:rsidR="001275F8" w:rsidRDefault="007E75CF" w:rsidP="008D5F88">
      <w:pPr>
        <w:jc w:val="both"/>
        <w:rPr>
          <w:szCs w:val="22"/>
          <w:lang w:val="en-NZ"/>
        </w:rPr>
      </w:pPr>
      <w:r w:rsidRPr="008D5F88">
        <w:rPr>
          <w:lang w:val="en-NZ"/>
        </w:rPr>
        <w:t>Access</w:t>
      </w:r>
      <w:r w:rsidR="00FE49F1" w:rsidRPr="008D5F88">
        <w:rPr>
          <w:lang w:val="en-NZ"/>
        </w:rPr>
        <w:t xml:space="preserve"> </w:t>
      </w:r>
      <w:r w:rsidR="00103C0A" w:rsidRPr="008D5F88">
        <w:rPr>
          <w:lang w:val="en-NZ"/>
        </w:rPr>
        <w:t>to</w:t>
      </w:r>
      <w:r w:rsidR="00FE49F1" w:rsidRPr="008D5F88">
        <w:rPr>
          <w:lang w:val="en-NZ"/>
        </w:rPr>
        <w:t xml:space="preserve"> deductions for interest expenditure</w:t>
      </w:r>
      <w:r w:rsidR="008363A5" w:rsidRPr="008D5F88">
        <w:rPr>
          <w:lang w:val="en-NZ"/>
        </w:rPr>
        <w:t xml:space="preserve"> not limited to interest incurred in deriving assessable income</w:t>
      </w:r>
      <w:r w:rsidR="00E344E3" w:rsidRPr="008D5F88">
        <w:rPr>
          <w:lang w:val="en-NZ"/>
        </w:rPr>
        <w:t xml:space="preserve"> is problematic because </w:t>
      </w:r>
      <w:r w:rsidR="00291CC7" w:rsidRPr="008D5F88">
        <w:rPr>
          <w:lang w:val="en-NZ"/>
        </w:rPr>
        <w:t xml:space="preserve">these deductions can result in </w:t>
      </w:r>
      <w:r w:rsidR="00E344E3" w:rsidRPr="008D5F88">
        <w:rPr>
          <w:lang w:val="en-NZ"/>
        </w:rPr>
        <w:t xml:space="preserve">local authorities </w:t>
      </w:r>
      <w:r w:rsidR="00291CC7" w:rsidRPr="008D5F88">
        <w:rPr>
          <w:lang w:val="en-NZ"/>
        </w:rPr>
        <w:t>ha</w:t>
      </w:r>
      <w:r w:rsidR="00F5502D" w:rsidRPr="008D5F88">
        <w:rPr>
          <w:lang w:val="en-NZ"/>
        </w:rPr>
        <w:t>v</w:t>
      </w:r>
      <w:r w:rsidR="00291CC7" w:rsidRPr="008D5F88">
        <w:rPr>
          <w:lang w:val="en-NZ"/>
        </w:rPr>
        <w:t>ing</w:t>
      </w:r>
      <w:r w:rsidR="00E344E3" w:rsidRPr="008D5F88">
        <w:rPr>
          <w:lang w:val="en-NZ"/>
        </w:rPr>
        <w:t xml:space="preserve"> tax losses</w:t>
      </w:r>
      <w:r w:rsidR="00FC6D1C" w:rsidRPr="008D5F88">
        <w:rPr>
          <w:lang w:val="en-NZ"/>
        </w:rPr>
        <w:t>. A local authority</w:t>
      </w:r>
      <w:r w:rsidR="00291CC7" w:rsidRPr="008D5F88">
        <w:rPr>
          <w:lang w:val="en-NZ"/>
        </w:rPr>
        <w:t xml:space="preserve"> </w:t>
      </w:r>
      <w:r w:rsidR="00E9780D" w:rsidRPr="008D5F88">
        <w:rPr>
          <w:lang w:val="en-NZ"/>
        </w:rPr>
        <w:t>can</w:t>
      </w:r>
      <w:r w:rsidR="00BE0BA2" w:rsidRPr="008D5F88">
        <w:rPr>
          <w:lang w:val="en-NZ"/>
        </w:rPr>
        <w:t xml:space="preserve"> then offset </w:t>
      </w:r>
      <w:r w:rsidR="00E9780D" w:rsidRPr="008D5F88">
        <w:rPr>
          <w:lang w:val="en-NZ"/>
        </w:rPr>
        <w:t xml:space="preserve">these losses </w:t>
      </w:r>
      <w:r w:rsidR="00BE0BA2" w:rsidRPr="008D5F88">
        <w:rPr>
          <w:lang w:val="en-NZ"/>
        </w:rPr>
        <w:t>against the taxable income of their CCOs</w:t>
      </w:r>
      <w:r w:rsidR="00685087" w:rsidRPr="008D5F88">
        <w:rPr>
          <w:lang w:val="en-NZ"/>
        </w:rPr>
        <w:t>.</w:t>
      </w:r>
      <w:r w:rsidR="002B767D" w:rsidRPr="008D5F88">
        <w:rPr>
          <w:lang w:val="en-NZ"/>
        </w:rPr>
        <w:t xml:space="preserve"> </w:t>
      </w:r>
      <w:r w:rsidR="00F250A1" w:rsidRPr="008D5F88">
        <w:rPr>
          <w:lang w:val="en-NZ"/>
        </w:rPr>
        <w:t>T</w:t>
      </w:r>
      <w:r w:rsidR="0070334B" w:rsidRPr="008D5F88">
        <w:rPr>
          <w:lang w:val="en-NZ"/>
        </w:rPr>
        <w:t xml:space="preserve">he </w:t>
      </w:r>
      <w:r w:rsidR="004A2CAB" w:rsidRPr="008D5F88">
        <w:rPr>
          <w:lang w:val="en-NZ"/>
        </w:rPr>
        <w:t xml:space="preserve">ability </w:t>
      </w:r>
      <w:r w:rsidR="00C3290F" w:rsidRPr="008D5F88">
        <w:rPr>
          <w:lang w:val="en-NZ"/>
        </w:rPr>
        <w:t xml:space="preserve">for local authorities </w:t>
      </w:r>
      <w:r w:rsidR="004A2CAB" w:rsidRPr="008D5F88">
        <w:rPr>
          <w:lang w:val="en-NZ"/>
        </w:rPr>
        <w:t>to claim</w:t>
      </w:r>
      <w:r w:rsidR="00F5502D" w:rsidRPr="008D5F88">
        <w:rPr>
          <w:lang w:val="en-NZ"/>
        </w:rPr>
        <w:t xml:space="preserve"> these</w:t>
      </w:r>
      <w:r w:rsidR="004A2CAB" w:rsidRPr="008D5F88">
        <w:rPr>
          <w:lang w:val="en-NZ"/>
        </w:rPr>
        <w:t xml:space="preserve"> interest deductions </w:t>
      </w:r>
      <w:r w:rsidR="00F250A1" w:rsidRPr="008D5F88">
        <w:rPr>
          <w:lang w:val="en-NZ"/>
        </w:rPr>
        <w:t xml:space="preserve">results in reduced </w:t>
      </w:r>
      <w:r w:rsidR="00C3290F" w:rsidRPr="008D5F88">
        <w:rPr>
          <w:lang w:val="en-NZ"/>
        </w:rPr>
        <w:t xml:space="preserve">tax revenues </w:t>
      </w:r>
      <w:r w:rsidR="00F250A1" w:rsidRPr="008D5F88">
        <w:rPr>
          <w:lang w:val="en-NZ"/>
        </w:rPr>
        <w:t>from</w:t>
      </w:r>
      <w:r w:rsidR="0070334B" w:rsidRPr="008D5F88">
        <w:rPr>
          <w:lang w:val="en-NZ"/>
        </w:rPr>
        <w:t xml:space="preserve"> CCOs.</w:t>
      </w:r>
    </w:p>
    <w:p w14:paraId="7ABC70C2" w14:textId="59FF402E" w:rsidR="00FB2EC5" w:rsidRPr="00C00FF4" w:rsidRDefault="00FB2EC5" w:rsidP="000970C8">
      <w:pPr>
        <w:rPr>
          <w:b/>
          <w:bCs/>
          <w:lang w:val="en-NZ"/>
        </w:rPr>
      </w:pPr>
      <w:r w:rsidRPr="00C00FF4">
        <w:rPr>
          <w:b/>
          <w:bCs/>
          <w:lang w:val="en-NZ"/>
        </w:rPr>
        <w:t>Imputation</w:t>
      </w:r>
    </w:p>
    <w:p w14:paraId="20429987" w14:textId="7456DE64" w:rsidR="00087A5D" w:rsidRPr="00590052" w:rsidRDefault="00FB2EC5" w:rsidP="00590052">
      <w:pPr>
        <w:rPr>
          <w:lang w:val="en-NZ"/>
        </w:rPr>
      </w:pPr>
      <w:r w:rsidRPr="00590052">
        <w:rPr>
          <w:lang w:val="en-NZ"/>
        </w:rPr>
        <w:t>Current tax rules allow some local authorities to satisfy their income tax liabilities on dividends without using the full amount of imputation credits attached to those dividends (e.g. by using corporate gift deductions).</w:t>
      </w:r>
      <w:r w:rsidR="00C23EA0" w:rsidRPr="00590052">
        <w:rPr>
          <w:lang w:val="en-NZ"/>
        </w:rPr>
        <w:t xml:space="preserve"> This results in the local authority</w:t>
      </w:r>
      <w:r w:rsidR="009F77CF" w:rsidRPr="00590052">
        <w:rPr>
          <w:lang w:val="en-NZ"/>
        </w:rPr>
        <w:t xml:space="preserve"> having excess imputation credits</w:t>
      </w:r>
      <w:r w:rsidR="00AB1877" w:rsidRPr="00590052">
        <w:rPr>
          <w:lang w:val="en-NZ"/>
        </w:rPr>
        <w:t>. The local authority can then convert the excess imputation credits to a tax loss and offset the tax loss against the net income of its CCO group. This allows the local authority to shelter its CCOs from tax</w:t>
      </w:r>
      <w:r w:rsidR="00F250A1">
        <w:rPr>
          <w:lang w:val="en-NZ"/>
        </w:rPr>
        <w:t xml:space="preserve"> and reduces the government’s tax revenues</w:t>
      </w:r>
      <w:r w:rsidR="00AB1877" w:rsidRPr="00590052">
        <w:rPr>
          <w:lang w:val="en-NZ"/>
        </w:rPr>
        <w:t>.</w:t>
      </w:r>
    </w:p>
    <w:p w14:paraId="0950BA71" w14:textId="77777777" w:rsidR="00087A5D" w:rsidRPr="00590052" w:rsidRDefault="002F4074" w:rsidP="00590052">
      <w:pPr>
        <w:rPr>
          <w:lang w:val="en-NZ"/>
        </w:rPr>
      </w:pPr>
      <w:r w:rsidRPr="00590052">
        <w:rPr>
          <w:lang w:val="en-NZ"/>
        </w:rPr>
        <w:t>The purpose of converting imputation credits to a tax loss was part of the original design of the imputation system, as unused imputation credits are not refundable to the shareholder. The policy intent was to provide a mechanism for taxpayers in tax loss to carry forward the benefit of unused imputation credits to satisfy future income tax liabilities.</w:t>
      </w:r>
      <w:r w:rsidR="00815D1E" w:rsidRPr="00590052">
        <w:rPr>
          <w:lang w:val="en-NZ"/>
        </w:rPr>
        <w:t xml:space="preserve"> It was never intended that an exempt shareholder would be able to convert unused imputation credits to a tax loss.</w:t>
      </w:r>
    </w:p>
    <w:p w14:paraId="5941DEC6" w14:textId="67497D17" w:rsidR="00B43A06" w:rsidRPr="00590052" w:rsidRDefault="00B43A06" w:rsidP="00590052">
      <w:pPr>
        <w:rPr>
          <w:lang w:val="en-NZ"/>
        </w:rPr>
      </w:pPr>
      <w:r w:rsidRPr="00590052">
        <w:rPr>
          <w:lang w:val="en-NZ"/>
        </w:rPr>
        <w:t>Similar to a final natural person shareholder, local authorities cannot operate an imputation credit account (ICA). However, through the consolidated group rules,</w:t>
      </w:r>
      <w:r w:rsidR="00101990" w:rsidRPr="00590052">
        <w:rPr>
          <w:lang w:val="en-NZ"/>
        </w:rPr>
        <w:t xml:space="preserve"> local authorities in consolidated groups can access the group’s ICA. Consequently, the local authority can credit to the group’s ICA imputation credits</w:t>
      </w:r>
      <w:r w:rsidR="00D31A03" w:rsidRPr="00590052">
        <w:rPr>
          <w:lang w:val="en-NZ"/>
        </w:rPr>
        <w:t xml:space="preserve"> attached to dividends it derives from a CCO. These credits are then available for reuse by CCOs within the group. This is not an intended policy outcome.</w:t>
      </w:r>
    </w:p>
    <w:p w14:paraId="59BB5BCF" w14:textId="0AE33289" w:rsidR="007037C4" w:rsidRPr="00847E6E" w:rsidRDefault="007037C4" w:rsidP="00847E6E">
      <w:pPr>
        <w:pStyle w:val="Heading3"/>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5"/>
    <w:bookmarkEnd w:id="6"/>
    <w:bookmarkEnd w:id="7"/>
    <w:bookmarkEnd w:id="8"/>
    <w:bookmarkEnd w:id="9"/>
    <w:p w14:paraId="78B4D776" w14:textId="3DB10BC8" w:rsidR="00AD7863" w:rsidRDefault="00E13984" w:rsidP="00F542C9">
      <w:pPr>
        <w:rPr>
          <w:rFonts w:cs="Arial"/>
          <w:lang w:val="en-NZ"/>
        </w:rPr>
      </w:pPr>
      <w:r w:rsidRPr="00C06516">
        <w:rPr>
          <w:rFonts w:cs="Arial"/>
          <w:lang w:val="en-NZ"/>
        </w:rPr>
        <w:t xml:space="preserve">The objective sought </w:t>
      </w:r>
      <w:r w:rsidR="00F9061E" w:rsidRPr="00C06516">
        <w:rPr>
          <w:rFonts w:cs="Arial"/>
          <w:lang w:val="en-NZ"/>
        </w:rPr>
        <w:t>in r</w:t>
      </w:r>
      <w:r w:rsidR="00F9061E" w:rsidRPr="00317AE3">
        <w:rPr>
          <w:rFonts w:cs="Arial"/>
          <w:lang w:val="en-NZ"/>
        </w:rPr>
        <w:t>elation to the policy problem</w:t>
      </w:r>
      <w:r w:rsidR="00D56FB3">
        <w:rPr>
          <w:rFonts w:cs="Arial"/>
          <w:lang w:val="en-NZ"/>
        </w:rPr>
        <w:t>s</w:t>
      </w:r>
      <w:r w:rsidR="00F9061E" w:rsidRPr="00C06516">
        <w:rPr>
          <w:rFonts w:cs="Arial"/>
          <w:lang w:val="en-NZ"/>
        </w:rPr>
        <w:t xml:space="preserve"> </w:t>
      </w:r>
      <w:r w:rsidR="00C3228E">
        <w:rPr>
          <w:rFonts w:cs="Arial"/>
          <w:lang w:val="en-NZ"/>
        </w:rPr>
        <w:t>is</w:t>
      </w:r>
      <w:r w:rsidR="00C3228E" w:rsidRPr="00C06516">
        <w:rPr>
          <w:rFonts w:cs="Arial"/>
          <w:lang w:val="en-NZ"/>
        </w:rPr>
        <w:t xml:space="preserve"> </w:t>
      </w:r>
      <w:r w:rsidR="00F9061E" w:rsidRPr="00C06516">
        <w:rPr>
          <w:rFonts w:cs="Arial"/>
          <w:lang w:val="en-NZ"/>
        </w:rPr>
        <w:t xml:space="preserve">to </w:t>
      </w:r>
      <w:r w:rsidR="001929F1">
        <w:rPr>
          <w:rFonts w:cs="Arial"/>
          <w:lang w:val="en-NZ"/>
        </w:rPr>
        <w:t xml:space="preserve">ensure that the tax rules do not provide opportunities </w:t>
      </w:r>
      <w:r w:rsidR="0087699B">
        <w:rPr>
          <w:rFonts w:cs="Arial"/>
          <w:lang w:val="en-NZ"/>
        </w:rPr>
        <w:t>for local authorit</w:t>
      </w:r>
      <w:r w:rsidR="00AD7863">
        <w:rPr>
          <w:rFonts w:cs="Arial"/>
          <w:lang w:val="en-NZ"/>
        </w:rPr>
        <w:t>ie</w:t>
      </w:r>
      <w:r w:rsidR="0087699B">
        <w:rPr>
          <w:rFonts w:cs="Arial"/>
          <w:lang w:val="en-NZ"/>
        </w:rPr>
        <w:t xml:space="preserve">s to reduce the incidence of tax paid by CCOs, contrary to the policy intent. </w:t>
      </w:r>
      <w:r w:rsidR="005D63D3">
        <w:rPr>
          <w:rFonts w:cs="Arial"/>
          <w:lang w:val="en-NZ"/>
        </w:rPr>
        <w:t>The policy intent is that CCOs, like State enterprises, are taxed.</w:t>
      </w:r>
    </w:p>
    <w:p w14:paraId="60C6CF32" w14:textId="29B748E6" w:rsidR="008321F8" w:rsidRPr="0022201B" w:rsidRDefault="00874FFD" w:rsidP="00DB765C">
      <w:pPr>
        <w:rPr>
          <w:lang w:val="en-NZ"/>
        </w:rPr>
      </w:pPr>
      <w:r>
        <w:rPr>
          <w:rFonts w:cs="Arial"/>
          <w:lang w:val="en-NZ"/>
        </w:rPr>
        <w:t xml:space="preserve">Achieving </w:t>
      </w:r>
      <w:r w:rsidR="009A38E3">
        <w:rPr>
          <w:rFonts w:cs="Arial"/>
          <w:lang w:val="en-NZ"/>
        </w:rPr>
        <w:t xml:space="preserve">this objective will ensure that the tax rules </w:t>
      </w:r>
      <w:r w:rsidR="00B852F3">
        <w:rPr>
          <w:rFonts w:cs="Arial"/>
          <w:lang w:val="en-NZ"/>
        </w:rPr>
        <w:t>do not provide opportun</w:t>
      </w:r>
      <w:r w:rsidR="00AE41A6">
        <w:rPr>
          <w:rFonts w:cs="Arial"/>
          <w:lang w:val="en-NZ"/>
        </w:rPr>
        <w:t xml:space="preserve">ities to reduce </w:t>
      </w:r>
      <w:r w:rsidR="001929F1">
        <w:rPr>
          <w:rFonts w:cs="Arial"/>
          <w:lang w:val="en-NZ"/>
        </w:rPr>
        <w:t>the government’s tax revenues and to ensure that CCOs pay their fair share of tax.</w:t>
      </w:r>
      <w:r w:rsidR="00DF3F54" w:rsidRPr="00C06516" w:rsidDel="00DF3F54">
        <w:rPr>
          <w:rFonts w:cs="Arial"/>
          <w:lang w:val="en-NZ"/>
        </w:rPr>
        <w:t xml:space="preserve"> </w:t>
      </w:r>
      <w:r w:rsidR="008321F8" w:rsidRPr="0022201B">
        <w:rPr>
          <w:lang w:val="en-NZ"/>
        </w:rPr>
        <w:br w:type="page"/>
      </w:r>
    </w:p>
    <w:p w14:paraId="2B635B3D" w14:textId="7A24A31D" w:rsidR="008321F8" w:rsidRDefault="00F402DF" w:rsidP="00CD4B62">
      <w:pPr>
        <w:pStyle w:val="Heading2"/>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34836E89" w:rsidR="008321F8" w:rsidRPr="00A864A5" w:rsidRDefault="008321F8" w:rsidP="008321F8">
      <w:pPr>
        <w:pStyle w:val="Heading3"/>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6F2D13FF" w14:textId="350726DE" w:rsidR="00C07FA5" w:rsidRPr="004D650B" w:rsidRDefault="00287DC5" w:rsidP="004D650B">
      <w:pPr>
        <w:rPr>
          <w:lang w:val="en-NZ"/>
        </w:rPr>
      </w:pPr>
      <w:r w:rsidRPr="004D650B">
        <w:rPr>
          <w:lang w:val="en-NZ"/>
        </w:rPr>
        <w:t xml:space="preserve">The following criteria </w:t>
      </w:r>
      <w:r w:rsidR="00ED7709" w:rsidRPr="004D650B">
        <w:rPr>
          <w:lang w:val="en-NZ"/>
        </w:rPr>
        <w:t>were used to assess the options considered:</w:t>
      </w:r>
    </w:p>
    <w:p w14:paraId="52C5577B" w14:textId="09479F25" w:rsidR="00F36918" w:rsidRDefault="00F82ABE" w:rsidP="004A15AA">
      <w:pPr>
        <w:pStyle w:val="ListParagraph"/>
        <w:numPr>
          <w:ilvl w:val="1"/>
          <w:numId w:val="37"/>
        </w:numPr>
        <w:ind w:left="709" w:hanging="425"/>
        <w:contextualSpacing w:val="0"/>
        <w:rPr>
          <w:lang w:val="en-NZ"/>
        </w:rPr>
      </w:pPr>
      <w:r w:rsidRPr="7CDCE639">
        <w:rPr>
          <w:u w:val="single"/>
          <w:lang w:val="en-NZ"/>
        </w:rPr>
        <w:t>I</w:t>
      </w:r>
      <w:r w:rsidR="002836C6">
        <w:rPr>
          <w:u w:val="single"/>
          <w:lang w:val="en-NZ"/>
        </w:rPr>
        <w:t>ntegrity</w:t>
      </w:r>
      <w:r w:rsidR="00B23670">
        <w:rPr>
          <w:u w:val="single"/>
          <w:lang w:val="en-NZ"/>
        </w:rPr>
        <w:t xml:space="preserve"> o</w:t>
      </w:r>
      <w:r w:rsidR="002836C6">
        <w:rPr>
          <w:u w:val="single"/>
          <w:lang w:val="en-NZ"/>
        </w:rPr>
        <w:t>f</w:t>
      </w:r>
      <w:r w:rsidR="00B23670">
        <w:rPr>
          <w:u w:val="single"/>
          <w:lang w:val="en-NZ"/>
        </w:rPr>
        <w:t xml:space="preserve"> the tax system</w:t>
      </w:r>
      <w:r w:rsidR="00F36918" w:rsidRPr="7CDCE639">
        <w:rPr>
          <w:lang w:val="en-NZ"/>
        </w:rPr>
        <w:t xml:space="preserve">: </w:t>
      </w:r>
      <w:r w:rsidR="002836C6">
        <w:rPr>
          <w:lang w:val="en-NZ"/>
        </w:rPr>
        <w:t>The primary function of the tax system is to provide revenue to fund government spending priorities.</w:t>
      </w:r>
      <w:r w:rsidR="004F5A1D">
        <w:rPr>
          <w:lang w:val="en-NZ"/>
        </w:rPr>
        <w:t xml:space="preserve"> </w:t>
      </w:r>
    </w:p>
    <w:p w14:paraId="3E2713E8" w14:textId="2C09E4A7" w:rsidR="004D4E92" w:rsidRPr="00AE41A6" w:rsidRDefault="004D4E92" w:rsidP="004A15AA">
      <w:pPr>
        <w:pStyle w:val="ListParagraph"/>
        <w:numPr>
          <w:ilvl w:val="1"/>
          <w:numId w:val="37"/>
        </w:numPr>
        <w:ind w:left="709" w:hanging="425"/>
        <w:contextualSpacing w:val="0"/>
        <w:rPr>
          <w:lang w:val="en-NZ"/>
        </w:rPr>
      </w:pPr>
      <w:r w:rsidRPr="00AE41A6">
        <w:rPr>
          <w:u w:val="single"/>
          <w:lang w:val="en-NZ"/>
        </w:rPr>
        <w:t xml:space="preserve">Fairness and </w:t>
      </w:r>
      <w:r w:rsidR="00232688" w:rsidRPr="00AE41A6">
        <w:rPr>
          <w:u w:val="single"/>
          <w:lang w:val="en-NZ"/>
        </w:rPr>
        <w:t>equity</w:t>
      </w:r>
      <w:r>
        <w:rPr>
          <w:lang w:val="en-NZ"/>
        </w:rPr>
        <w:t xml:space="preserve">: </w:t>
      </w:r>
      <w:r w:rsidR="00232688">
        <w:rPr>
          <w:lang w:val="en-NZ"/>
        </w:rPr>
        <w:t>Taxpayers in similar situations carrying out similar transactions should be subject to similar tax treatment</w:t>
      </w:r>
      <w:r w:rsidR="00617E29">
        <w:rPr>
          <w:lang w:val="en-NZ"/>
        </w:rPr>
        <w:t>. Like-transactions should have similar or equivalent tax outcomes.</w:t>
      </w:r>
    </w:p>
    <w:p w14:paraId="6A45DD4F" w14:textId="73FC9E78" w:rsidR="00F82ABE" w:rsidRDefault="00F46631" w:rsidP="004A15AA">
      <w:pPr>
        <w:pStyle w:val="ListParagraph"/>
        <w:numPr>
          <w:ilvl w:val="1"/>
          <w:numId w:val="37"/>
        </w:numPr>
        <w:ind w:left="709" w:hanging="425"/>
        <w:contextualSpacing w:val="0"/>
        <w:rPr>
          <w:lang w:val="en-NZ"/>
        </w:rPr>
      </w:pPr>
      <w:r>
        <w:rPr>
          <w:u w:val="single"/>
          <w:lang w:val="en-NZ"/>
        </w:rPr>
        <w:t>I</w:t>
      </w:r>
      <w:r w:rsidR="00B63E64">
        <w:rPr>
          <w:u w:val="single"/>
          <w:lang w:val="en-NZ"/>
        </w:rPr>
        <w:t>mpact on local government</w:t>
      </w:r>
      <w:r w:rsidR="00D03986">
        <w:rPr>
          <w:u w:val="single"/>
          <w:lang w:val="en-NZ"/>
        </w:rPr>
        <w:t xml:space="preserve"> sector</w:t>
      </w:r>
      <w:r w:rsidR="00F82ABE">
        <w:rPr>
          <w:lang w:val="en-NZ"/>
        </w:rPr>
        <w:t xml:space="preserve">: </w:t>
      </w:r>
      <w:r w:rsidR="00B63E64">
        <w:rPr>
          <w:lang w:val="en-NZ"/>
        </w:rPr>
        <w:t xml:space="preserve">How </w:t>
      </w:r>
      <w:r w:rsidR="002C5300">
        <w:rPr>
          <w:lang w:val="en-NZ"/>
        </w:rPr>
        <w:t>does the option affect local government’s ability to deliver activities within its statutory purpose?</w:t>
      </w:r>
      <w:r w:rsidR="000B5005">
        <w:rPr>
          <w:lang w:val="en-NZ"/>
        </w:rPr>
        <w:t xml:space="preserve"> How does the option affect local government funding?</w:t>
      </w:r>
    </w:p>
    <w:p w14:paraId="7BCF8DEA" w14:textId="756628EF" w:rsidR="00701B1A" w:rsidRDefault="00057B9A" w:rsidP="004A15AA">
      <w:pPr>
        <w:pStyle w:val="ListParagraph"/>
        <w:numPr>
          <w:ilvl w:val="1"/>
          <w:numId w:val="37"/>
        </w:numPr>
        <w:ind w:left="709" w:hanging="425"/>
        <w:contextualSpacing w:val="0"/>
        <w:rPr>
          <w:lang w:val="en-NZ"/>
        </w:rPr>
      </w:pPr>
      <w:r w:rsidRPr="7CDCE639">
        <w:rPr>
          <w:u w:val="single"/>
          <w:lang w:val="en-NZ"/>
        </w:rPr>
        <w:t xml:space="preserve">Fiscal </w:t>
      </w:r>
      <w:r w:rsidR="00E90F7C" w:rsidRPr="7CDCE639">
        <w:rPr>
          <w:u w:val="single"/>
          <w:lang w:val="en-NZ"/>
        </w:rPr>
        <w:t>impact</w:t>
      </w:r>
      <w:r w:rsidR="008E653A" w:rsidRPr="7CDCE639">
        <w:rPr>
          <w:lang w:val="en-NZ"/>
        </w:rPr>
        <w:t>:</w:t>
      </w:r>
      <w:r w:rsidR="00797985" w:rsidRPr="7CDCE639">
        <w:rPr>
          <w:lang w:val="en-NZ"/>
        </w:rPr>
        <w:t xml:space="preserve"> </w:t>
      </w:r>
      <w:r w:rsidR="001625E5" w:rsidRPr="7CDCE639">
        <w:rPr>
          <w:lang w:val="en-NZ"/>
        </w:rPr>
        <w:t>T</w:t>
      </w:r>
      <w:r w:rsidR="00CE7C62" w:rsidRPr="7CDCE639">
        <w:rPr>
          <w:lang w:val="en-NZ"/>
        </w:rPr>
        <w:t>ax reforms need to be affordable given fiscal constraints.</w:t>
      </w:r>
    </w:p>
    <w:p w14:paraId="046C3ACA" w14:textId="717D5E93" w:rsidR="00311949" w:rsidRDefault="00311949" w:rsidP="004A15AA">
      <w:pPr>
        <w:pStyle w:val="ListParagraph"/>
        <w:numPr>
          <w:ilvl w:val="1"/>
          <w:numId w:val="37"/>
        </w:numPr>
        <w:ind w:left="709" w:hanging="425"/>
        <w:contextualSpacing w:val="0"/>
        <w:rPr>
          <w:lang w:val="en-NZ"/>
        </w:rPr>
      </w:pPr>
      <w:r w:rsidRPr="5BE31704">
        <w:rPr>
          <w:u w:val="single"/>
          <w:lang w:val="en-NZ"/>
        </w:rPr>
        <w:t>Stakeholder support</w:t>
      </w:r>
      <w:r w:rsidRPr="5BE31704">
        <w:rPr>
          <w:lang w:val="en-NZ"/>
        </w:rPr>
        <w:t xml:space="preserve">: </w:t>
      </w:r>
      <w:r w:rsidR="001625E5" w:rsidRPr="5BE31704">
        <w:rPr>
          <w:lang w:val="en-NZ"/>
        </w:rPr>
        <w:t>Is the option supported by the local government sector?</w:t>
      </w:r>
    </w:p>
    <w:p w14:paraId="15DB2862" w14:textId="5D80B235" w:rsidR="00604FF6" w:rsidRPr="00E448FC" w:rsidRDefault="00CE7C62" w:rsidP="00E448FC">
      <w:pPr>
        <w:rPr>
          <w:lang w:val="en-NZ"/>
        </w:rPr>
      </w:pPr>
      <w:r>
        <w:rPr>
          <w:lang w:val="en-NZ"/>
        </w:rPr>
        <w:t>Compliance and administration cost</w:t>
      </w:r>
      <w:r w:rsidR="00604FF6" w:rsidRPr="00E448FC">
        <w:rPr>
          <w:lang w:val="en-NZ"/>
        </w:rPr>
        <w:t xml:space="preserve"> implications have not been considered because there is little difference between the options in terms of impact.</w:t>
      </w:r>
    </w:p>
    <w:p w14:paraId="3252D892" w14:textId="6EAB8221" w:rsidR="00E52B84" w:rsidRPr="00CD4B62" w:rsidRDefault="007D78A1" w:rsidP="00CD4B62">
      <w:pPr>
        <w:pStyle w:val="Heading3"/>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5EFFD640" w14:textId="105AF250" w:rsidR="00441D02" w:rsidRPr="00E448FC" w:rsidRDefault="00796386" w:rsidP="00EA2C89">
      <w:pPr>
        <w:rPr>
          <w:lang w:val="en-NZ"/>
        </w:rPr>
      </w:pPr>
      <w:r>
        <w:rPr>
          <w:lang w:val="en-NZ"/>
        </w:rPr>
        <w:t xml:space="preserve">The scope of this project is focused on the </w:t>
      </w:r>
      <w:r w:rsidR="0054095A">
        <w:rPr>
          <w:lang w:val="en-NZ"/>
        </w:rPr>
        <w:t>immediate</w:t>
      </w:r>
      <w:r>
        <w:rPr>
          <w:lang w:val="en-NZ"/>
        </w:rPr>
        <w:t xml:space="preserve"> integrity risks to local government taxation.</w:t>
      </w:r>
      <w:r w:rsidR="009F6DAE">
        <w:rPr>
          <w:lang w:val="en-NZ"/>
        </w:rPr>
        <w:t xml:space="preserve"> Options relating to broad sweeping changes to local government taxation are beyond the scope of this project</w:t>
      </w:r>
      <w:r w:rsidR="00EA2C89">
        <w:rPr>
          <w:lang w:val="en-NZ"/>
        </w:rPr>
        <w:t>.</w:t>
      </w:r>
    </w:p>
    <w:p w14:paraId="319FFB06" w14:textId="05D787F5" w:rsidR="00414B62" w:rsidRDefault="00373851" w:rsidP="00037F29">
      <w:pPr>
        <w:pStyle w:val="Heading3"/>
        <w:rPr>
          <w:lang w:val="en-NZ"/>
        </w:rPr>
      </w:pPr>
      <w:r>
        <w:rPr>
          <w:lang w:val="en-NZ"/>
        </w:rPr>
        <w:t xml:space="preserve">What options </w:t>
      </w:r>
      <w:r w:rsidR="003A6757">
        <w:rPr>
          <w:lang w:val="en-NZ"/>
        </w:rPr>
        <w:t xml:space="preserve">are </w:t>
      </w:r>
      <w:r w:rsidR="007336C9">
        <w:rPr>
          <w:lang w:val="en-NZ"/>
        </w:rPr>
        <w:t>being considered</w:t>
      </w:r>
      <w:r>
        <w:rPr>
          <w:lang w:val="en-NZ"/>
        </w:rPr>
        <w:t>?</w:t>
      </w:r>
    </w:p>
    <w:p w14:paraId="5C944264" w14:textId="3C44998F" w:rsidR="00414B62" w:rsidRPr="00AB28A2" w:rsidRDefault="00322A73" w:rsidP="00254132">
      <w:pPr>
        <w:rPr>
          <w:lang w:val="en-NZ"/>
        </w:rPr>
      </w:pPr>
      <w:r w:rsidRPr="00AB28A2">
        <w:rPr>
          <w:lang w:val="en-NZ"/>
        </w:rPr>
        <w:t>To analyse the available options, t</w:t>
      </w:r>
      <w:r w:rsidR="001040E4" w:rsidRPr="00AB28A2">
        <w:rPr>
          <w:lang w:val="en-NZ"/>
        </w:rPr>
        <w:t>he problem was broken down into three sub-problems</w:t>
      </w:r>
      <w:r w:rsidRPr="00AB28A2">
        <w:rPr>
          <w:lang w:val="en-NZ"/>
        </w:rPr>
        <w:t>: dividends, deductions, and imputation.</w:t>
      </w:r>
      <w:r w:rsidR="00990EA1" w:rsidRPr="00AB28A2">
        <w:rPr>
          <w:lang w:val="en-NZ"/>
        </w:rPr>
        <w:t xml:space="preserve"> </w:t>
      </w:r>
    </w:p>
    <w:p w14:paraId="338DDE6B" w14:textId="1CD3D0D9" w:rsidR="00315A06" w:rsidRPr="00A64053" w:rsidRDefault="00B37B9D" w:rsidP="00A64053">
      <w:pPr>
        <w:rPr>
          <w:b/>
          <w:bCs/>
          <w:lang w:val="en-NZ"/>
        </w:rPr>
      </w:pPr>
      <w:r w:rsidRPr="00A64053">
        <w:rPr>
          <w:b/>
          <w:bCs/>
          <w:lang w:val="en-NZ"/>
        </w:rPr>
        <w:t>Dividends</w:t>
      </w:r>
    </w:p>
    <w:p w14:paraId="00861FFE" w14:textId="064E5820" w:rsidR="00294646" w:rsidRPr="00A864A5" w:rsidRDefault="007D78A1" w:rsidP="00EE03E6">
      <w:pPr>
        <w:pStyle w:val="Heading4"/>
        <w:rPr>
          <w:lang w:val="en-NZ"/>
        </w:rPr>
      </w:pPr>
      <w:r w:rsidRPr="00A864A5">
        <w:rPr>
          <w:lang w:val="en-NZ"/>
        </w:rPr>
        <w:t>Option One</w:t>
      </w:r>
      <w:r w:rsidR="00EC5DA5">
        <w:rPr>
          <w:lang w:val="en-NZ"/>
        </w:rPr>
        <w:t xml:space="preserve">: </w:t>
      </w:r>
      <w:r w:rsidR="00570E3F" w:rsidRPr="00F45B9E">
        <w:rPr>
          <w:lang w:val="en-NZ"/>
        </w:rPr>
        <w:t>Status Quo</w:t>
      </w:r>
      <w:r w:rsidR="00EC5DA5">
        <w:rPr>
          <w:lang w:val="en-NZ"/>
        </w:rPr>
        <w:t xml:space="preserve"> </w:t>
      </w:r>
    </w:p>
    <w:p w14:paraId="21410B1B" w14:textId="142091CC" w:rsidR="00EC5DA5" w:rsidRDefault="00EC5DA5" w:rsidP="00E448FC">
      <w:pPr>
        <w:rPr>
          <w:lang w:val="en-NZ"/>
        </w:rPr>
      </w:pPr>
      <w:r>
        <w:rPr>
          <w:lang w:val="en-NZ"/>
        </w:rPr>
        <w:t xml:space="preserve">Under this option, dividends </w:t>
      </w:r>
      <w:r w:rsidR="00C60A94">
        <w:rPr>
          <w:lang w:val="en-NZ"/>
        </w:rPr>
        <w:t>derived by local authorities from CCOs would continue to be taxed.</w:t>
      </w:r>
    </w:p>
    <w:p w14:paraId="6245B10E" w14:textId="343DECF3" w:rsidR="000447A9" w:rsidRDefault="00254132" w:rsidP="000447A9">
      <w:pPr>
        <w:rPr>
          <w:lang w:val="en-NZ"/>
        </w:rPr>
      </w:pPr>
      <w:r w:rsidRPr="00254132">
        <w:rPr>
          <w:u w:val="single"/>
          <w:lang w:val="en-NZ"/>
        </w:rPr>
        <w:t>Integrity</w:t>
      </w:r>
      <w:r w:rsidR="00C06516">
        <w:rPr>
          <w:u w:val="single"/>
          <w:lang w:val="en-NZ"/>
        </w:rPr>
        <w:t xml:space="preserve"> of</w:t>
      </w:r>
      <w:r w:rsidR="00BC4314">
        <w:rPr>
          <w:u w:val="single"/>
          <w:lang w:val="en-NZ"/>
        </w:rPr>
        <w:t xml:space="preserve"> the tax system</w:t>
      </w:r>
      <w:r>
        <w:rPr>
          <w:lang w:val="en-NZ"/>
        </w:rPr>
        <w:t xml:space="preserve">: </w:t>
      </w:r>
      <w:r w:rsidR="00DD5BC3">
        <w:rPr>
          <w:lang w:val="en-NZ"/>
        </w:rPr>
        <w:t>T</w:t>
      </w:r>
      <w:r>
        <w:rPr>
          <w:lang w:val="en-NZ"/>
        </w:rPr>
        <w:t>he status quo for dividends poses no integrity risks to local government taxation.</w:t>
      </w:r>
      <w:r w:rsidR="000447A9">
        <w:rPr>
          <w:lang w:val="en-NZ"/>
        </w:rPr>
        <w:t xml:space="preserve"> </w:t>
      </w:r>
    </w:p>
    <w:p w14:paraId="39B9A45E" w14:textId="6905B3BD" w:rsidR="002769C3" w:rsidRDefault="002769C3" w:rsidP="002769C3">
      <w:pPr>
        <w:rPr>
          <w:lang w:val="en-NZ"/>
        </w:rPr>
      </w:pPr>
      <w:r w:rsidRPr="00E92B0A">
        <w:rPr>
          <w:u w:val="single"/>
          <w:lang w:val="en-NZ"/>
        </w:rPr>
        <w:t>Fairness and equity</w:t>
      </w:r>
      <w:r w:rsidRPr="003B7709">
        <w:rPr>
          <w:lang w:val="en-NZ"/>
        </w:rPr>
        <w:t xml:space="preserve">: </w:t>
      </w:r>
      <w:r>
        <w:rPr>
          <w:lang w:val="en-NZ"/>
        </w:rPr>
        <w:t xml:space="preserve">Taxing dividends derived by local authorities from CCOs is inconsistent with similar entities, such as the Crown and State enterprises, charities, and </w:t>
      </w:r>
      <w:proofErr w:type="gramStart"/>
      <w:r>
        <w:rPr>
          <w:lang w:val="en-NZ"/>
        </w:rPr>
        <w:t>wholly-owned</w:t>
      </w:r>
      <w:proofErr w:type="gramEnd"/>
      <w:r>
        <w:rPr>
          <w:lang w:val="en-NZ"/>
        </w:rPr>
        <w:t xml:space="preserve"> companies.</w:t>
      </w:r>
    </w:p>
    <w:p w14:paraId="0BF8B5CF" w14:textId="746B4FF9" w:rsidR="003B7709" w:rsidRDefault="00665635">
      <w:pPr>
        <w:rPr>
          <w:lang w:val="en-NZ"/>
        </w:rPr>
      </w:pPr>
      <w:r>
        <w:rPr>
          <w:lang w:val="en-NZ"/>
        </w:rPr>
        <w:t>D</w:t>
      </w:r>
      <w:r w:rsidRPr="00683C2C">
        <w:rPr>
          <w:lang w:val="en-NZ"/>
        </w:rPr>
        <w:t>ividends paid between New Zealand resident companies are exempt where there is 100% common ownership</w:t>
      </w:r>
      <w:r>
        <w:rPr>
          <w:lang w:val="en-NZ"/>
        </w:rPr>
        <w:t>,</w:t>
      </w:r>
      <w:r w:rsidR="003B7709">
        <w:rPr>
          <w:lang w:val="en-NZ"/>
        </w:rPr>
        <w:t xml:space="preserve"> but local authorities are excluded from this exemption. This </w:t>
      </w:r>
      <w:r w:rsidR="0010229D">
        <w:rPr>
          <w:lang w:val="en-NZ"/>
        </w:rPr>
        <w:t xml:space="preserve">exclusion </w:t>
      </w:r>
      <w:r w:rsidR="003B7709">
        <w:rPr>
          <w:lang w:val="en-NZ"/>
        </w:rPr>
        <w:t>is a legislative overreach. The current setting does not support or harm the original policy intent of preventing profit shifting but weakens the coherence of the tax system by treating similar types of entities differently.</w:t>
      </w:r>
    </w:p>
    <w:p w14:paraId="079509A6" w14:textId="198D8AA0" w:rsidR="0010229D" w:rsidRDefault="001A6F99" w:rsidP="003B7709">
      <w:pPr>
        <w:rPr>
          <w:rFonts w:cs="Arial"/>
          <w:szCs w:val="22"/>
          <w:lang w:val="en-NZ"/>
        </w:rPr>
      </w:pPr>
      <w:r w:rsidRPr="0004577B">
        <w:rPr>
          <w:u w:val="single"/>
          <w:lang w:val="en-NZ"/>
        </w:rPr>
        <w:t>I</w:t>
      </w:r>
      <w:r w:rsidR="00BC4314" w:rsidRPr="0004577B">
        <w:rPr>
          <w:u w:val="single"/>
          <w:lang w:val="en-NZ"/>
        </w:rPr>
        <w:t>mpact on local government</w:t>
      </w:r>
      <w:r w:rsidR="00D03986">
        <w:rPr>
          <w:u w:val="single"/>
          <w:lang w:val="en-NZ"/>
        </w:rPr>
        <w:t xml:space="preserve"> sector</w:t>
      </w:r>
      <w:r w:rsidR="00BC4314" w:rsidRPr="0004577B">
        <w:rPr>
          <w:u w:val="single"/>
          <w:lang w:val="en-NZ"/>
        </w:rPr>
        <w:t>:</w:t>
      </w:r>
      <w:r w:rsidR="00BC4314" w:rsidRPr="00863165">
        <w:rPr>
          <w:lang w:val="en-NZ"/>
        </w:rPr>
        <w:t xml:space="preserve"> </w:t>
      </w:r>
      <w:r w:rsidR="0010229D" w:rsidRPr="0004577B">
        <w:rPr>
          <w:rFonts w:cs="Arial"/>
          <w:szCs w:val="22"/>
          <w:lang w:val="en-NZ"/>
        </w:rPr>
        <w:t>Taxing</w:t>
      </w:r>
      <w:r w:rsidR="0010229D">
        <w:rPr>
          <w:rFonts w:cs="Arial"/>
          <w:szCs w:val="22"/>
          <w:lang w:val="en-NZ"/>
        </w:rPr>
        <w:t xml:space="preserve"> these dividends is an impediment to the movement of capital within a local authority’s group to where it can most efficiently be used.</w:t>
      </w:r>
    </w:p>
    <w:p w14:paraId="28D11FC6" w14:textId="12DBD1B1" w:rsidR="0010229D" w:rsidRPr="00863165" w:rsidRDefault="0004577B" w:rsidP="003B7709">
      <w:pPr>
        <w:rPr>
          <w:highlight w:val="yellow"/>
          <w:lang w:val="en-NZ"/>
        </w:rPr>
      </w:pPr>
      <w:r>
        <w:rPr>
          <w:rFonts w:cs="Arial"/>
          <w:szCs w:val="22"/>
          <w:lang w:val="en-NZ"/>
        </w:rPr>
        <w:t>Taxing dividends does not pose a funding cost for local government</w:t>
      </w:r>
      <w:r w:rsidR="002D61C1">
        <w:rPr>
          <w:rFonts w:cs="Arial"/>
          <w:szCs w:val="22"/>
          <w:lang w:val="en-NZ"/>
        </w:rPr>
        <w:t>.</w:t>
      </w:r>
      <w:r w:rsidR="002D61C1" w:rsidRPr="002D61C1">
        <w:rPr>
          <w:lang w:val="en-NZ"/>
        </w:rPr>
        <w:t xml:space="preserve"> </w:t>
      </w:r>
      <w:r w:rsidR="002D61C1">
        <w:rPr>
          <w:lang w:val="en-NZ"/>
        </w:rPr>
        <w:t>Inland Revenue data shows that dividends derived by local authorities from CCOs in the 2019-20 income year were fully imputed</w:t>
      </w:r>
      <w:r w:rsidR="002D61C1" w:rsidRPr="7CDCE639">
        <w:rPr>
          <w:lang w:val="en-NZ"/>
        </w:rPr>
        <w:t xml:space="preserve"> (the dividends have enough imputation credits attached to fully satisfy any tax liability).</w:t>
      </w:r>
    </w:p>
    <w:p w14:paraId="6C835C05" w14:textId="5D31BFB0" w:rsidR="003B7709" w:rsidRDefault="003B7709" w:rsidP="00F80218">
      <w:pPr>
        <w:rPr>
          <w:lang w:val="en-NZ"/>
        </w:rPr>
      </w:pPr>
      <w:r w:rsidRPr="58CF6E77">
        <w:rPr>
          <w:u w:val="single"/>
          <w:lang w:val="en-NZ"/>
        </w:rPr>
        <w:t xml:space="preserve">Fiscal </w:t>
      </w:r>
      <w:r w:rsidR="00C76B03" w:rsidRPr="58CF6E77">
        <w:rPr>
          <w:u w:val="single"/>
          <w:lang w:val="en-NZ"/>
        </w:rPr>
        <w:t>impact</w:t>
      </w:r>
      <w:r w:rsidRPr="58CF6E77">
        <w:rPr>
          <w:lang w:val="en-NZ"/>
        </w:rPr>
        <w:t xml:space="preserve">: </w:t>
      </w:r>
      <w:r w:rsidR="00E84EB2" w:rsidRPr="58CF6E77">
        <w:rPr>
          <w:lang w:val="en-NZ"/>
        </w:rPr>
        <w:t>N</w:t>
      </w:r>
      <w:r w:rsidR="00CA6D2A" w:rsidRPr="58CF6E77">
        <w:rPr>
          <w:lang w:val="en-NZ"/>
        </w:rPr>
        <w:t>one</w:t>
      </w:r>
      <w:r w:rsidRPr="58CF6E77">
        <w:rPr>
          <w:lang w:val="en-NZ"/>
        </w:rPr>
        <w:t>.</w:t>
      </w:r>
      <w:r w:rsidR="002D61C1" w:rsidRPr="58CF6E77">
        <w:rPr>
          <w:lang w:val="en-NZ"/>
        </w:rPr>
        <w:t xml:space="preserve"> As noted above, dividends derived by local authorities are generally fully imputed.</w:t>
      </w:r>
      <w:r w:rsidRPr="58CF6E77">
        <w:rPr>
          <w:lang w:val="en-NZ"/>
        </w:rPr>
        <w:t xml:space="preserve"> </w:t>
      </w:r>
      <w:r w:rsidR="009635C1" w:rsidRPr="58CF6E77">
        <w:rPr>
          <w:lang w:val="en-NZ"/>
        </w:rPr>
        <w:t>Therefore, taxing or</w:t>
      </w:r>
      <w:r w:rsidR="00F91052" w:rsidRPr="58CF6E77">
        <w:rPr>
          <w:lang w:val="en-NZ"/>
        </w:rPr>
        <w:t xml:space="preserve"> exempting dividends will have no fiscal impact.</w:t>
      </w:r>
    </w:p>
    <w:p w14:paraId="172A7D11" w14:textId="2D5815D7" w:rsidR="001625E5" w:rsidRDefault="001625E5" w:rsidP="00F80218">
      <w:pPr>
        <w:rPr>
          <w:lang w:val="en-NZ"/>
        </w:rPr>
      </w:pPr>
      <w:r w:rsidRPr="001625E5">
        <w:rPr>
          <w:u w:val="single"/>
          <w:lang w:val="en-NZ"/>
        </w:rPr>
        <w:t>Stakeholder support</w:t>
      </w:r>
      <w:r>
        <w:rPr>
          <w:lang w:val="en-NZ"/>
        </w:rPr>
        <w:t xml:space="preserve">: </w:t>
      </w:r>
      <w:r w:rsidR="00A94166">
        <w:rPr>
          <w:lang w:val="en-NZ"/>
        </w:rPr>
        <w:t xml:space="preserve">The local government sector has expressed </w:t>
      </w:r>
      <w:r w:rsidR="00317AE3">
        <w:rPr>
          <w:lang w:val="en-NZ"/>
        </w:rPr>
        <w:t>limited</w:t>
      </w:r>
      <w:r w:rsidR="008452AE">
        <w:rPr>
          <w:lang w:val="en-NZ"/>
        </w:rPr>
        <w:t xml:space="preserve"> support for maintaining the status quo in regard to dividends.</w:t>
      </w:r>
    </w:p>
    <w:p w14:paraId="0F6FCE9D" w14:textId="3A904765" w:rsidR="00570E3F" w:rsidRPr="00A864A5" w:rsidRDefault="00570E3F" w:rsidP="00570E3F">
      <w:pPr>
        <w:pStyle w:val="Heading4"/>
        <w:rPr>
          <w:lang w:val="en-NZ"/>
        </w:rPr>
      </w:pPr>
      <w:r w:rsidRPr="00A864A5">
        <w:rPr>
          <w:lang w:val="en-NZ"/>
        </w:rPr>
        <w:t xml:space="preserve">Option Two – </w:t>
      </w:r>
      <w:r w:rsidR="00541A44" w:rsidRPr="00F45B9E">
        <w:rPr>
          <w:lang w:val="en-NZ"/>
        </w:rPr>
        <w:t>Exempting dividends</w:t>
      </w:r>
      <w:r w:rsidR="000C1588">
        <w:rPr>
          <w:lang w:val="en-NZ"/>
        </w:rPr>
        <w:t xml:space="preserve"> derived by local authorities from wholly-owned CCOs</w:t>
      </w:r>
    </w:p>
    <w:p w14:paraId="7F5D7533" w14:textId="274AA59C" w:rsidR="00251294" w:rsidRPr="00863165" w:rsidRDefault="00251294" w:rsidP="00E448FC">
      <w:pPr>
        <w:rPr>
          <w:highlight w:val="yellow"/>
          <w:lang w:val="en-NZ"/>
        </w:rPr>
      </w:pPr>
      <w:r w:rsidRPr="00E448FC">
        <w:rPr>
          <w:lang w:val="en-NZ"/>
        </w:rPr>
        <w:t>This option would exempt</w:t>
      </w:r>
      <w:r w:rsidR="000D3104" w:rsidRPr="00E448FC">
        <w:rPr>
          <w:lang w:val="en-NZ"/>
        </w:rPr>
        <w:t xml:space="preserve"> dividends derived </w:t>
      </w:r>
      <w:r w:rsidR="00CA6D2A">
        <w:rPr>
          <w:lang w:val="en-NZ"/>
        </w:rPr>
        <w:t xml:space="preserve">by local authorities </w:t>
      </w:r>
      <w:r w:rsidR="000D3104" w:rsidRPr="00E448FC">
        <w:rPr>
          <w:lang w:val="en-NZ"/>
        </w:rPr>
        <w:t xml:space="preserve">from </w:t>
      </w:r>
      <w:proofErr w:type="gramStart"/>
      <w:r w:rsidR="000D3104" w:rsidRPr="00E448FC">
        <w:rPr>
          <w:lang w:val="en-NZ"/>
        </w:rPr>
        <w:t>wholly-owned</w:t>
      </w:r>
      <w:proofErr w:type="gramEnd"/>
      <w:r w:rsidR="000D3104" w:rsidRPr="00E448FC">
        <w:rPr>
          <w:lang w:val="en-NZ"/>
        </w:rPr>
        <w:t xml:space="preserve"> CCOs</w:t>
      </w:r>
      <w:r w:rsidR="00CA6D2A">
        <w:rPr>
          <w:lang w:val="en-NZ"/>
        </w:rPr>
        <w:t xml:space="preserve">, similar to </w:t>
      </w:r>
      <w:r w:rsidR="001A5DDD">
        <w:rPr>
          <w:lang w:val="en-NZ"/>
        </w:rPr>
        <w:t>wholly-owned groups of companies</w:t>
      </w:r>
      <w:r w:rsidR="000D3104" w:rsidRPr="00E448FC">
        <w:rPr>
          <w:lang w:val="en-NZ"/>
        </w:rPr>
        <w:t xml:space="preserve">. </w:t>
      </w:r>
    </w:p>
    <w:p w14:paraId="159FD46D" w14:textId="7EE35D0B" w:rsidR="00AE2AE7" w:rsidRDefault="00AE2AE7" w:rsidP="00AE2AE7">
      <w:pPr>
        <w:rPr>
          <w:lang w:val="en-NZ"/>
        </w:rPr>
      </w:pPr>
      <w:r w:rsidRPr="00254132">
        <w:rPr>
          <w:u w:val="single"/>
          <w:lang w:val="en-NZ"/>
        </w:rPr>
        <w:t>Integrity</w:t>
      </w:r>
      <w:r w:rsidR="00317AE3">
        <w:rPr>
          <w:u w:val="single"/>
          <w:lang w:val="en-NZ"/>
        </w:rPr>
        <w:t xml:space="preserve"> of</w:t>
      </w:r>
      <w:r w:rsidR="00C41564">
        <w:rPr>
          <w:u w:val="single"/>
          <w:lang w:val="en-NZ"/>
        </w:rPr>
        <w:t xml:space="preserve"> the tax system</w:t>
      </w:r>
      <w:r>
        <w:rPr>
          <w:lang w:val="en-NZ"/>
        </w:rPr>
        <w:t xml:space="preserve">: </w:t>
      </w:r>
      <w:r w:rsidR="00317AE3">
        <w:rPr>
          <w:lang w:val="en-NZ"/>
        </w:rPr>
        <w:t xml:space="preserve">Both options for dividends </w:t>
      </w:r>
      <w:r w:rsidR="006204B5">
        <w:rPr>
          <w:lang w:val="en-NZ"/>
        </w:rPr>
        <w:t xml:space="preserve">would </w:t>
      </w:r>
      <w:r w:rsidR="00317AE3">
        <w:rPr>
          <w:lang w:val="en-NZ"/>
        </w:rPr>
        <w:t xml:space="preserve">have the same neutral impact on the integrity of local government taxation. </w:t>
      </w:r>
      <w:r w:rsidR="00D0743D">
        <w:rPr>
          <w:lang w:val="en-NZ"/>
        </w:rPr>
        <w:t xml:space="preserve"> </w:t>
      </w:r>
    </w:p>
    <w:p w14:paraId="6D4EDCE7" w14:textId="5910F48A" w:rsidR="00AE2AE7" w:rsidRDefault="00AE2AE7" w:rsidP="00AE2AE7">
      <w:pPr>
        <w:rPr>
          <w:lang w:val="en-NZ"/>
        </w:rPr>
      </w:pPr>
      <w:r w:rsidRPr="00E92B0A">
        <w:rPr>
          <w:u w:val="single"/>
          <w:lang w:val="en-NZ"/>
        </w:rPr>
        <w:t>Fairness and equity</w:t>
      </w:r>
      <w:r w:rsidRPr="003B7709">
        <w:rPr>
          <w:lang w:val="en-NZ"/>
        </w:rPr>
        <w:t xml:space="preserve">: </w:t>
      </w:r>
      <w:r w:rsidR="00AA5C72">
        <w:rPr>
          <w:lang w:val="en-NZ"/>
        </w:rPr>
        <w:t xml:space="preserve">This option would improve the fairness and equity of the </w:t>
      </w:r>
      <w:r w:rsidR="00A473E2">
        <w:rPr>
          <w:lang w:val="en-NZ"/>
        </w:rPr>
        <w:t xml:space="preserve">local government </w:t>
      </w:r>
      <w:r w:rsidR="00AA5C72">
        <w:rPr>
          <w:lang w:val="en-NZ"/>
        </w:rPr>
        <w:t>tax settings. Local authorities</w:t>
      </w:r>
      <w:r w:rsidR="00AB28A2">
        <w:rPr>
          <w:lang w:val="en-NZ"/>
        </w:rPr>
        <w:t xml:space="preserve"> and CCOs</w:t>
      </w:r>
      <w:r w:rsidR="00AA5C72">
        <w:rPr>
          <w:lang w:val="en-NZ"/>
        </w:rPr>
        <w:t xml:space="preserve"> will be </w:t>
      </w:r>
      <w:r w:rsidR="00AB28A2">
        <w:rPr>
          <w:lang w:val="en-NZ"/>
        </w:rPr>
        <w:t xml:space="preserve">treated similarly to </w:t>
      </w:r>
      <w:proofErr w:type="gramStart"/>
      <w:r w:rsidR="00AB28A2">
        <w:rPr>
          <w:lang w:val="en-NZ"/>
        </w:rPr>
        <w:t>wholly-owned</w:t>
      </w:r>
      <w:proofErr w:type="gramEnd"/>
      <w:r w:rsidR="00AB28A2">
        <w:rPr>
          <w:lang w:val="en-NZ"/>
        </w:rPr>
        <w:t xml:space="preserve"> companies with regard to dividends.</w:t>
      </w:r>
      <w:r w:rsidR="001A6F99" w:rsidRPr="001A6F99">
        <w:rPr>
          <w:lang w:val="en-NZ"/>
        </w:rPr>
        <w:t xml:space="preserve"> </w:t>
      </w:r>
      <w:r w:rsidR="001A6F99">
        <w:rPr>
          <w:lang w:val="en-NZ"/>
        </w:rPr>
        <w:t xml:space="preserve">This would </w:t>
      </w:r>
      <w:r w:rsidR="00045552">
        <w:rPr>
          <w:lang w:val="en-NZ"/>
        </w:rPr>
        <w:t xml:space="preserve">also </w:t>
      </w:r>
      <w:r w:rsidR="001A6F99">
        <w:rPr>
          <w:lang w:val="en-NZ"/>
        </w:rPr>
        <w:t>improve the coherence of local government taxation by removing an unnecessary complication</w:t>
      </w:r>
      <w:r w:rsidR="00A473E2">
        <w:rPr>
          <w:lang w:val="en-NZ"/>
        </w:rPr>
        <w:t xml:space="preserve"> in the tax rules</w:t>
      </w:r>
      <w:r w:rsidR="001A6F99">
        <w:rPr>
          <w:lang w:val="en-NZ"/>
        </w:rPr>
        <w:t>.</w:t>
      </w:r>
    </w:p>
    <w:p w14:paraId="4AA64221" w14:textId="0C02E517" w:rsidR="003E69A4" w:rsidRDefault="001A6F99" w:rsidP="00AE2AE7">
      <w:pPr>
        <w:rPr>
          <w:lang w:val="en-NZ"/>
        </w:rPr>
      </w:pPr>
      <w:r w:rsidRPr="00422018">
        <w:rPr>
          <w:u w:val="single"/>
          <w:lang w:val="en-NZ"/>
        </w:rPr>
        <w:t>Impact on local government</w:t>
      </w:r>
      <w:r w:rsidR="00D03986">
        <w:rPr>
          <w:u w:val="single"/>
          <w:lang w:val="en-NZ"/>
        </w:rPr>
        <w:t xml:space="preserve"> sector</w:t>
      </w:r>
      <w:r w:rsidRPr="58CF6E77">
        <w:rPr>
          <w:lang w:val="en-NZ"/>
        </w:rPr>
        <w:t xml:space="preserve">: Exempting dividends would allow the free movement of </w:t>
      </w:r>
      <w:r w:rsidR="005628F2" w:rsidRPr="58CF6E77">
        <w:rPr>
          <w:lang w:val="en-NZ"/>
        </w:rPr>
        <w:t xml:space="preserve">surpluses from </w:t>
      </w:r>
      <w:r w:rsidR="00F20849" w:rsidRPr="58CF6E77">
        <w:rPr>
          <w:lang w:val="en-NZ"/>
        </w:rPr>
        <w:t>a CCO to its local authority</w:t>
      </w:r>
      <w:r w:rsidR="00A66FC7" w:rsidRPr="58CF6E77">
        <w:rPr>
          <w:lang w:val="en-NZ"/>
        </w:rPr>
        <w:t xml:space="preserve">. </w:t>
      </w:r>
      <w:r w:rsidR="009E0926" w:rsidRPr="58CF6E77">
        <w:rPr>
          <w:lang w:val="en-NZ"/>
        </w:rPr>
        <w:t>This wi</w:t>
      </w:r>
      <w:r w:rsidR="0010299A" w:rsidRPr="58CF6E77">
        <w:rPr>
          <w:lang w:val="en-NZ"/>
        </w:rPr>
        <w:t xml:space="preserve">ll allow councils </w:t>
      </w:r>
      <w:r w:rsidR="00C41F07" w:rsidRPr="58CF6E77">
        <w:rPr>
          <w:lang w:val="en-NZ"/>
        </w:rPr>
        <w:t>to help their communities and deliver their services more efficiently</w:t>
      </w:r>
      <w:r w:rsidR="0010299A" w:rsidRPr="58CF6E77">
        <w:rPr>
          <w:lang w:val="en-NZ"/>
        </w:rPr>
        <w:t>.</w:t>
      </w:r>
      <w:r w:rsidR="00157296" w:rsidRPr="58CF6E77">
        <w:rPr>
          <w:lang w:val="en-NZ"/>
        </w:rPr>
        <w:t xml:space="preserve"> </w:t>
      </w:r>
      <w:r w:rsidR="0010299A" w:rsidRPr="58CF6E77">
        <w:rPr>
          <w:lang w:val="en-NZ"/>
        </w:rPr>
        <w:t>This option would</w:t>
      </w:r>
      <w:r w:rsidR="000151AF" w:rsidRPr="58CF6E77">
        <w:rPr>
          <w:lang w:val="en-NZ"/>
        </w:rPr>
        <w:t xml:space="preserve"> </w:t>
      </w:r>
      <w:r w:rsidR="00157296" w:rsidRPr="58CF6E77">
        <w:rPr>
          <w:lang w:val="en-NZ"/>
        </w:rPr>
        <w:t xml:space="preserve">also </w:t>
      </w:r>
      <w:r w:rsidR="000151AF" w:rsidRPr="58CF6E77">
        <w:rPr>
          <w:lang w:val="en-NZ"/>
        </w:rPr>
        <w:t>ensure that tax is no longer an impediment to possible group restructuring.</w:t>
      </w:r>
    </w:p>
    <w:p w14:paraId="057D851B" w14:textId="73757ABC" w:rsidR="00AE2AE7" w:rsidRDefault="00AE2AE7" w:rsidP="00AE2AE7">
      <w:pPr>
        <w:rPr>
          <w:lang w:val="en-NZ"/>
        </w:rPr>
      </w:pPr>
      <w:r w:rsidRPr="003B7709">
        <w:rPr>
          <w:u w:val="single"/>
          <w:lang w:val="en-NZ"/>
        </w:rPr>
        <w:t xml:space="preserve">Fiscal </w:t>
      </w:r>
      <w:r w:rsidR="00C76B03">
        <w:rPr>
          <w:u w:val="single"/>
          <w:lang w:val="en-NZ"/>
        </w:rPr>
        <w:t>impact</w:t>
      </w:r>
      <w:r>
        <w:rPr>
          <w:lang w:val="en-NZ"/>
        </w:rPr>
        <w:t xml:space="preserve">: </w:t>
      </w:r>
      <w:r w:rsidR="00E84EB2">
        <w:rPr>
          <w:lang w:val="en-NZ"/>
        </w:rPr>
        <w:t>N</w:t>
      </w:r>
      <w:r w:rsidR="00EB6984">
        <w:rPr>
          <w:lang w:val="en-NZ"/>
        </w:rPr>
        <w:t>one</w:t>
      </w:r>
      <w:r w:rsidR="00E84EB2">
        <w:rPr>
          <w:lang w:val="en-NZ"/>
        </w:rPr>
        <w:t>. Officials expect dividends derived by local authorities</w:t>
      </w:r>
      <w:r w:rsidR="00AA5C72">
        <w:rPr>
          <w:lang w:val="en-NZ"/>
        </w:rPr>
        <w:t xml:space="preserve"> from CCOs</w:t>
      </w:r>
      <w:r w:rsidR="00E84EB2">
        <w:rPr>
          <w:lang w:val="en-NZ"/>
        </w:rPr>
        <w:t xml:space="preserve"> to be fully imputed</w:t>
      </w:r>
      <w:r w:rsidR="00EB6984">
        <w:rPr>
          <w:lang w:val="en-NZ"/>
        </w:rPr>
        <w:t xml:space="preserve"> (the dividends have enough imputation credits attached to fully satisfy any tax liability)</w:t>
      </w:r>
      <w:r w:rsidR="00E84EB2">
        <w:rPr>
          <w:lang w:val="en-NZ"/>
        </w:rPr>
        <w:t>. Taxing or exempting dividends will have no fiscal impact.</w:t>
      </w:r>
    </w:p>
    <w:p w14:paraId="17474865" w14:textId="3B5A5C99" w:rsidR="001625E5" w:rsidRDefault="001625E5" w:rsidP="00AE2AE7">
      <w:pPr>
        <w:rPr>
          <w:lang w:val="en-NZ"/>
        </w:rPr>
      </w:pPr>
      <w:r w:rsidRPr="001625E5">
        <w:rPr>
          <w:u w:val="single"/>
          <w:lang w:val="en-NZ"/>
        </w:rPr>
        <w:t>Stakeholder support</w:t>
      </w:r>
      <w:r>
        <w:rPr>
          <w:lang w:val="en-NZ"/>
        </w:rPr>
        <w:t>: Officials undertook targeted consultation with the local government sector in early 2021, and the proposal to exempt dividends was broadly supported.</w:t>
      </w:r>
    </w:p>
    <w:p w14:paraId="676FB475" w14:textId="602A084C" w:rsidR="00F45B9E" w:rsidRPr="00A64053" w:rsidRDefault="00F45B9E" w:rsidP="00F45B9E">
      <w:pPr>
        <w:rPr>
          <w:b/>
          <w:bCs/>
          <w:lang w:val="en-NZ"/>
        </w:rPr>
      </w:pPr>
      <w:r w:rsidRPr="00A64053">
        <w:rPr>
          <w:b/>
          <w:bCs/>
          <w:lang w:val="en-NZ"/>
        </w:rPr>
        <w:t>D</w:t>
      </w:r>
      <w:r w:rsidR="00E80EB3">
        <w:rPr>
          <w:b/>
          <w:bCs/>
          <w:lang w:val="en-NZ"/>
        </w:rPr>
        <w:t>eductions</w:t>
      </w:r>
    </w:p>
    <w:p w14:paraId="05C7B8BF" w14:textId="770CB34C" w:rsidR="00F45B9E" w:rsidRPr="00A864A5" w:rsidRDefault="00F45B9E" w:rsidP="00F45B9E">
      <w:pPr>
        <w:pStyle w:val="Heading4"/>
        <w:rPr>
          <w:lang w:val="en-NZ"/>
        </w:rPr>
      </w:pPr>
      <w:r w:rsidRPr="00A864A5">
        <w:rPr>
          <w:lang w:val="en-NZ"/>
        </w:rPr>
        <w:t xml:space="preserve">Option </w:t>
      </w:r>
      <w:r w:rsidR="000C1588">
        <w:rPr>
          <w:lang w:val="en-NZ"/>
        </w:rPr>
        <w:t>One</w:t>
      </w:r>
      <w:r w:rsidRPr="00A864A5">
        <w:rPr>
          <w:lang w:val="en-NZ"/>
        </w:rPr>
        <w:t xml:space="preserve"> – </w:t>
      </w:r>
      <w:r>
        <w:rPr>
          <w:lang w:val="en-NZ"/>
        </w:rPr>
        <w:t>Status Quo</w:t>
      </w:r>
    </w:p>
    <w:p w14:paraId="71F6253B" w14:textId="4B92C8A8" w:rsidR="00B2281D" w:rsidRDefault="00D5531F" w:rsidP="00B2281D">
      <w:pPr>
        <w:rPr>
          <w:lang w:val="en-NZ"/>
        </w:rPr>
      </w:pPr>
      <w:r>
        <w:rPr>
          <w:lang w:val="en-NZ"/>
        </w:rPr>
        <w:t>Under this option, l</w:t>
      </w:r>
      <w:r w:rsidR="00DD401D">
        <w:rPr>
          <w:lang w:val="en-NZ"/>
        </w:rPr>
        <w:t xml:space="preserve">ocal authorities </w:t>
      </w:r>
      <w:r>
        <w:rPr>
          <w:lang w:val="en-NZ"/>
        </w:rPr>
        <w:t xml:space="preserve">would continue to be </w:t>
      </w:r>
      <w:r w:rsidR="00DD401D">
        <w:rPr>
          <w:lang w:val="en-NZ"/>
        </w:rPr>
        <w:t xml:space="preserve">allowed </w:t>
      </w:r>
      <w:r w:rsidR="000C472B">
        <w:rPr>
          <w:lang w:val="en-NZ"/>
        </w:rPr>
        <w:t xml:space="preserve">certain </w:t>
      </w:r>
      <w:r w:rsidR="00DD401D">
        <w:rPr>
          <w:lang w:val="en-NZ"/>
        </w:rPr>
        <w:t xml:space="preserve">deductions for expenditure not </w:t>
      </w:r>
      <w:r w:rsidR="000C472B">
        <w:rPr>
          <w:lang w:val="en-NZ"/>
        </w:rPr>
        <w:t>incurred in deriving assessable income, such as corporate gift</w:t>
      </w:r>
      <w:r w:rsidR="00CC3927">
        <w:rPr>
          <w:lang w:val="en-NZ"/>
        </w:rPr>
        <w:t>s</w:t>
      </w:r>
      <w:r w:rsidR="000C472B">
        <w:rPr>
          <w:lang w:val="en-NZ"/>
        </w:rPr>
        <w:t xml:space="preserve"> and interest</w:t>
      </w:r>
      <w:r w:rsidR="00CC3927">
        <w:rPr>
          <w:lang w:val="en-NZ"/>
        </w:rPr>
        <w:t xml:space="preserve"> expenses</w:t>
      </w:r>
      <w:r w:rsidR="000C472B">
        <w:rPr>
          <w:lang w:val="en-NZ"/>
        </w:rPr>
        <w:t xml:space="preserve">. Local authorities </w:t>
      </w:r>
      <w:r w:rsidR="003C21DA">
        <w:rPr>
          <w:lang w:val="en-NZ"/>
        </w:rPr>
        <w:t>would continue to be</w:t>
      </w:r>
      <w:r w:rsidR="000C472B">
        <w:rPr>
          <w:lang w:val="en-NZ"/>
        </w:rPr>
        <w:t xml:space="preserve"> able to offset </w:t>
      </w:r>
      <w:r w:rsidR="00873366">
        <w:rPr>
          <w:lang w:val="en-NZ"/>
        </w:rPr>
        <w:t>their tax losses against the taxable income of their CCOs.</w:t>
      </w:r>
    </w:p>
    <w:p w14:paraId="604C1076" w14:textId="0A0D7F94" w:rsidR="00981888" w:rsidRDefault="00311949" w:rsidP="00311949">
      <w:pPr>
        <w:rPr>
          <w:lang w:val="en-NZ"/>
        </w:rPr>
      </w:pPr>
      <w:r w:rsidRPr="00254132">
        <w:rPr>
          <w:u w:val="single"/>
          <w:lang w:val="en-NZ"/>
        </w:rPr>
        <w:t>Integrity</w:t>
      </w:r>
      <w:r w:rsidR="00C41F07">
        <w:rPr>
          <w:u w:val="single"/>
          <w:lang w:val="en-NZ"/>
        </w:rPr>
        <w:t xml:space="preserve"> of</w:t>
      </w:r>
      <w:r w:rsidR="00C41564">
        <w:rPr>
          <w:u w:val="single"/>
          <w:lang w:val="en-NZ"/>
        </w:rPr>
        <w:t xml:space="preserve"> the tax system</w:t>
      </w:r>
      <w:r>
        <w:rPr>
          <w:lang w:val="en-NZ"/>
        </w:rPr>
        <w:t xml:space="preserve">: </w:t>
      </w:r>
      <w:r w:rsidR="006549C0">
        <w:rPr>
          <w:lang w:val="en-NZ"/>
        </w:rPr>
        <w:t>The status quo poses significant integrity risks for local government taxation.</w:t>
      </w:r>
      <w:r w:rsidR="00AE3560">
        <w:rPr>
          <w:lang w:val="en-NZ"/>
        </w:rPr>
        <w:t xml:space="preserve"> Allowing local authorities to claim these deductions</w:t>
      </w:r>
      <w:r w:rsidR="00EB1BAA">
        <w:rPr>
          <w:lang w:val="en-NZ"/>
        </w:rPr>
        <w:t xml:space="preserve"> provides opportunities for local authorities to transfer the benefit of their tax</w:t>
      </w:r>
      <w:r w:rsidR="000F01D3">
        <w:rPr>
          <w:lang w:val="en-NZ"/>
        </w:rPr>
        <w:t>-</w:t>
      </w:r>
      <w:r w:rsidR="00EB1BAA">
        <w:rPr>
          <w:lang w:val="en-NZ"/>
        </w:rPr>
        <w:t>exempt status to their CCOs</w:t>
      </w:r>
      <w:r w:rsidR="000F01D3">
        <w:rPr>
          <w:lang w:val="en-NZ"/>
        </w:rPr>
        <w:t>.</w:t>
      </w:r>
      <w:r w:rsidR="00976224" w:rsidRPr="00976224">
        <w:rPr>
          <w:lang w:val="en-NZ"/>
        </w:rPr>
        <w:t xml:space="preserve"> </w:t>
      </w:r>
      <w:r w:rsidR="00976224">
        <w:rPr>
          <w:lang w:val="en-NZ"/>
        </w:rPr>
        <w:t>This results in reduced government tax revenues and allows CCOs to not pay their fair share of tax.</w:t>
      </w:r>
    </w:p>
    <w:p w14:paraId="48B1BB89" w14:textId="7C699CE9" w:rsidR="00DE4EC6" w:rsidRDefault="00311949" w:rsidP="00F25A1A">
      <w:pPr>
        <w:rPr>
          <w:lang w:val="en-NZ"/>
        </w:rPr>
      </w:pPr>
      <w:r w:rsidRPr="00422018">
        <w:rPr>
          <w:u w:val="single"/>
          <w:lang w:val="en-NZ"/>
        </w:rPr>
        <w:t>Fairness and equity</w:t>
      </w:r>
      <w:r w:rsidRPr="00422018">
        <w:rPr>
          <w:lang w:val="en-NZ"/>
        </w:rPr>
        <w:t>:</w:t>
      </w:r>
      <w:r w:rsidRPr="003B7709">
        <w:rPr>
          <w:lang w:val="en-NZ"/>
        </w:rPr>
        <w:t xml:space="preserve"> </w:t>
      </w:r>
      <w:r w:rsidR="00DE4EC6">
        <w:rPr>
          <w:lang w:val="en-NZ"/>
        </w:rPr>
        <w:t xml:space="preserve">All local authorities are subject to the same tax rules. </w:t>
      </w:r>
      <w:r w:rsidR="00953E03">
        <w:rPr>
          <w:lang w:val="en-NZ"/>
        </w:rPr>
        <w:t>However, t</w:t>
      </w:r>
      <w:r w:rsidR="00D5061D">
        <w:rPr>
          <w:lang w:val="en-NZ"/>
        </w:rPr>
        <w:t>he current integrity risks are being taken advantage of to varying degrees across the sector</w:t>
      </w:r>
      <w:r w:rsidR="00DE4EC6">
        <w:rPr>
          <w:lang w:val="en-NZ"/>
        </w:rPr>
        <w:t>. Over the 2016 to 2020 income years, 26 different councils (out of a total of 78 local authorities) claimed corporate gift deductions.</w:t>
      </w:r>
      <w:r w:rsidR="00FE51F4">
        <w:rPr>
          <w:lang w:val="en-NZ"/>
        </w:rPr>
        <w:t xml:space="preserve"> Three councils accounted for 80% of the total corporate gift deductions claimed by local authorities. This represents 30% of all corporate gift deductions claimed by companies.</w:t>
      </w:r>
    </w:p>
    <w:p w14:paraId="7A6B6F1B" w14:textId="10A88C96" w:rsidR="00C32967" w:rsidRDefault="00E96967" w:rsidP="00E96967">
      <w:pPr>
        <w:rPr>
          <w:lang w:val="en-NZ"/>
        </w:rPr>
      </w:pPr>
      <w:r>
        <w:rPr>
          <w:lang w:val="en-NZ"/>
        </w:rPr>
        <w:t xml:space="preserve">The corporate gift deduction represents a cost to all taxpayers but is currently only being used by some local authorities. </w:t>
      </w:r>
    </w:p>
    <w:p w14:paraId="28ED2057" w14:textId="68471607" w:rsidR="00E96967" w:rsidRDefault="00C32967" w:rsidP="00E96967">
      <w:pPr>
        <w:rPr>
          <w:lang w:val="en-NZ"/>
        </w:rPr>
      </w:pPr>
      <w:r>
        <w:rPr>
          <w:lang w:val="en-NZ"/>
        </w:rPr>
        <w:t>These deductions allow local authorities to reduce the incidence of tax paid by CCOs, which is unfair.</w:t>
      </w:r>
    </w:p>
    <w:p w14:paraId="53A9EB22" w14:textId="48C68B71" w:rsidR="00B16A47" w:rsidRPr="00FF73AD" w:rsidRDefault="00B16A47" w:rsidP="00B16A47">
      <w:pPr>
        <w:rPr>
          <w:lang w:val="en-NZ"/>
        </w:rPr>
      </w:pPr>
      <w:r w:rsidRPr="00422018">
        <w:rPr>
          <w:u w:val="single"/>
          <w:lang w:val="en-NZ"/>
        </w:rPr>
        <w:t>Impact on local government</w:t>
      </w:r>
      <w:r w:rsidR="00D03986">
        <w:rPr>
          <w:u w:val="single"/>
          <w:lang w:val="en-NZ"/>
        </w:rPr>
        <w:t xml:space="preserve"> sector</w:t>
      </w:r>
      <w:r w:rsidRPr="00FF73AD">
        <w:rPr>
          <w:lang w:val="en-NZ"/>
        </w:rPr>
        <w:t xml:space="preserve">: The current tax rules are providing unintentional tax subsidies to local government. </w:t>
      </w:r>
    </w:p>
    <w:p w14:paraId="197CCA43" w14:textId="070B0A43" w:rsidR="00960257" w:rsidRDefault="00FE51F4" w:rsidP="00960257">
      <w:pPr>
        <w:rPr>
          <w:lang w:val="en-NZ"/>
        </w:rPr>
      </w:pPr>
      <w:r>
        <w:rPr>
          <w:lang w:val="en-NZ"/>
        </w:rPr>
        <w:t xml:space="preserve">As noted above, the current integrity risks are being taken advantage of to varying degrees across the sector. </w:t>
      </w:r>
      <w:r w:rsidR="00960257">
        <w:rPr>
          <w:lang w:val="en-NZ"/>
        </w:rPr>
        <w:t xml:space="preserve">Due to limited data on which interest deductions are being claimed by local authorities, officials are unable to determine the </w:t>
      </w:r>
      <w:r w:rsidR="004B26F6">
        <w:rPr>
          <w:lang w:val="en-NZ"/>
        </w:rPr>
        <w:t xml:space="preserve">exact </w:t>
      </w:r>
      <w:r w:rsidR="00960257">
        <w:rPr>
          <w:lang w:val="en-NZ"/>
        </w:rPr>
        <w:t>overall impact of the current tax rules across the local government sector.</w:t>
      </w:r>
    </w:p>
    <w:p w14:paraId="0DF822DF" w14:textId="11A0B92F" w:rsidR="002C05B9" w:rsidRDefault="001F5635" w:rsidP="002C05B9">
      <w:pPr>
        <w:rPr>
          <w:lang w:val="en-NZ"/>
        </w:rPr>
      </w:pPr>
      <w:r>
        <w:rPr>
          <w:lang w:val="en-NZ"/>
        </w:rPr>
        <w:t xml:space="preserve">The availability of these deductions allows local authorities to shelter their CCOs from tax. Since CCOs would have less tax to pay, this means they are able to pay larger dividends to their local authorities. That is, the current rules </w:t>
      </w:r>
      <w:r w:rsidR="001234C7">
        <w:rPr>
          <w:lang w:val="en-NZ"/>
        </w:rPr>
        <w:t xml:space="preserve">increase local government funding by </w:t>
      </w:r>
      <w:r w:rsidR="0081665C">
        <w:rPr>
          <w:lang w:val="en-NZ"/>
        </w:rPr>
        <w:t>facilitating larger dividends to be paid from CCOs to local authorities.</w:t>
      </w:r>
    </w:p>
    <w:p w14:paraId="6B91CEA6" w14:textId="43766C79" w:rsidR="00311949" w:rsidRDefault="00311949" w:rsidP="00311949">
      <w:pPr>
        <w:rPr>
          <w:lang w:val="en-NZ"/>
        </w:rPr>
      </w:pPr>
      <w:r w:rsidRPr="5BE31704">
        <w:rPr>
          <w:u w:val="single"/>
          <w:lang w:val="en-NZ"/>
        </w:rPr>
        <w:t xml:space="preserve">Fiscal </w:t>
      </w:r>
      <w:r w:rsidR="00C76B03">
        <w:rPr>
          <w:u w:val="single"/>
          <w:lang w:val="en-NZ"/>
        </w:rPr>
        <w:t>impact</w:t>
      </w:r>
      <w:r w:rsidRPr="5BE31704">
        <w:rPr>
          <w:lang w:val="en-NZ"/>
        </w:rPr>
        <w:t xml:space="preserve">: </w:t>
      </w:r>
      <w:r w:rsidR="000F786A" w:rsidRPr="5BE31704">
        <w:rPr>
          <w:lang w:val="en-NZ"/>
        </w:rPr>
        <w:t xml:space="preserve">Allowing local authorities to continue to claim the corporate gift deduction </w:t>
      </w:r>
      <w:r w:rsidR="00DE3258" w:rsidRPr="5BE31704">
        <w:rPr>
          <w:lang w:val="en-NZ"/>
        </w:rPr>
        <w:t>has a fi</w:t>
      </w:r>
      <w:r w:rsidR="003C3A49" w:rsidRPr="5BE31704">
        <w:rPr>
          <w:lang w:val="en-NZ"/>
        </w:rPr>
        <w:t xml:space="preserve">scal impact. The yearly average tax impact of </w:t>
      </w:r>
      <w:r w:rsidR="001C77C7" w:rsidRPr="5BE31704">
        <w:rPr>
          <w:lang w:val="en-NZ"/>
        </w:rPr>
        <w:t>charitable donations by local authorities over the 2016-17 to 2019-20 income years is $13.2m. This represents l</w:t>
      </w:r>
      <w:r w:rsidR="00AF0A5B" w:rsidRPr="5BE31704">
        <w:rPr>
          <w:lang w:val="en-NZ"/>
        </w:rPr>
        <w:t xml:space="preserve">ost tax revenue for central government and </w:t>
      </w:r>
      <w:r w:rsidR="006F27C1">
        <w:rPr>
          <w:lang w:val="en-NZ"/>
        </w:rPr>
        <w:t xml:space="preserve">an </w:t>
      </w:r>
      <w:r w:rsidR="00AF0A5B" w:rsidRPr="5BE31704">
        <w:rPr>
          <w:lang w:val="en-NZ"/>
        </w:rPr>
        <w:t>increase</w:t>
      </w:r>
      <w:r w:rsidR="006F27C1">
        <w:rPr>
          <w:lang w:val="en-NZ"/>
        </w:rPr>
        <w:t xml:space="preserve"> to</w:t>
      </w:r>
      <w:r w:rsidR="00AF0A5B" w:rsidRPr="5BE31704">
        <w:rPr>
          <w:lang w:val="en-NZ"/>
        </w:rPr>
        <w:t xml:space="preserve"> local government funding.</w:t>
      </w:r>
    </w:p>
    <w:p w14:paraId="20CCEAF9" w14:textId="312C2E6E" w:rsidR="001625E5" w:rsidRDefault="001625E5" w:rsidP="00311949">
      <w:pPr>
        <w:rPr>
          <w:lang w:val="en-NZ"/>
        </w:rPr>
      </w:pPr>
      <w:r w:rsidRPr="001625E5">
        <w:rPr>
          <w:u w:val="single"/>
          <w:lang w:val="en-NZ"/>
        </w:rPr>
        <w:t>Stakeholder support</w:t>
      </w:r>
      <w:r>
        <w:rPr>
          <w:lang w:val="en-NZ"/>
        </w:rPr>
        <w:t>:</w:t>
      </w:r>
      <w:r w:rsidR="00D16393">
        <w:rPr>
          <w:lang w:val="en-NZ"/>
        </w:rPr>
        <w:t xml:space="preserve"> </w:t>
      </w:r>
      <w:r w:rsidR="00F35B85">
        <w:rPr>
          <w:lang w:val="en-NZ"/>
        </w:rPr>
        <w:t xml:space="preserve">The local government sector strongly supported maintaining the status quo over denying loss grouping. Option </w:t>
      </w:r>
      <w:r w:rsidR="00325685">
        <w:rPr>
          <w:lang w:val="en-NZ"/>
        </w:rPr>
        <w:t>Three</w:t>
      </w:r>
      <w:r w:rsidR="00F35B85">
        <w:rPr>
          <w:lang w:val="en-NZ"/>
        </w:rPr>
        <w:t xml:space="preserve">, denying certain deductions, </w:t>
      </w:r>
      <w:r w:rsidR="006D00C8">
        <w:rPr>
          <w:lang w:val="en-NZ"/>
        </w:rPr>
        <w:t xml:space="preserve">was developed by officials based on feedback from submitters on </w:t>
      </w:r>
      <w:r w:rsidR="00325685">
        <w:rPr>
          <w:lang w:val="en-NZ"/>
        </w:rPr>
        <w:t>O</w:t>
      </w:r>
      <w:r w:rsidR="006D00C8">
        <w:rPr>
          <w:lang w:val="en-NZ"/>
        </w:rPr>
        <w:t xml:space="preserve">ption </w:t>
      </w:r>
      <w:r w:rsidR="00325685">
        <w:rPr>
          <w:lang w:val="en-NZ"/>
        </w:rPr>
        <w:t>T</w:t>
      </w:r>
      <w:r w:rsidR="006D00C8">
        <w:rPr>
          <w:lang w:val="en-NZ"/>
        </w:rPr>
        <w:t xml:space="preserve">wo and </w:t>
      </w:r>
      <w:r w:rsidR="00F35B85">
        <w:rPr>
          <w:lang w:val="en-NZ"/>
        </w:rPr>
        <w:t xml:space="preserve">has not been tested with stakeholders. </w:t>
      </w:r>
    </w:p>
    <w:p w14:paraId="3E4D7F98" w14:textId="7AC8AB4B" w:rsidR="00F45B9E" w:rsidRPr="00A864A5" w:rsidRDefault="00F45B9E" w:rsidP="00F45B9E">
      <w:pPr>
        <w:pStyle w:val="Heading4"/>
        <w:rPr>
          <w:lang w:val="en-NZ"/>
        </w:rPr>
      </w:pPr>
      <w:r w:rsidRPr="00A864A5">
        <w:rPr>
          <w:lang w:val="en-NZ"/>
        </w:rPr>
        <w:t xml:space="preserve">Option </w:t>
      </w:r>
      <w:r w:rsidR="000C1588">
        <w:rPr>
          <w:lang w:val="en-NZ"/>
        </w:rPr>
        <w:t>Two</w:t>
      </w:r>
      <w:r w:rsidRPr="00A864A5">
        <w:rPr>
          <w:lang w:val="en-NZ"/>
        </w:rPr>
        <w:t xml:space="preserve"> – </w:t>
      </w:r>
      <w:r>
        <w:rPr>
          <w:lang w:val="en-NZ"/>
        </w:rPr>
        <w:t>Loss grouping</w:t>
      </w:r>
    </w:p>
    <w:p w14:paraId="5251C966" w14:textId="15F47710" w:rsidR="00873366" w:rsidRPr="00873366" w:rsidRDefault="00873366" w:rsidP="00E448FC">
      <w:pPr>
        <w:rPr>
          <w:lang w:val="en-NZ"/>
        </w:rPr>
      </w:pPr>
      <w:r>
        <w:rPr>
          <w:lang w:val="en-NZ"/>
        </w:rPr>
        <w:t>This option would prevent local authorities from grouping their tax losses against the taxable income of their CCOs.</w:t>
      </w:r>
    </w:p>
    <w:p w14:paraId="17765323" w14:textId="3C6C5B76" w:rsidR="00F60A53" w:rsidRPr="006A020F" w:rsidRDefault="00311949" w:rsidP="00311949">
      <w:pPr>
        <w:rPr>
          <w:lang w:val="en-NZ"/>
        </w:rPr>
      </w:pPr>
      <w:r w:rsidRPr="006A020F">
        <w:rPr>
          <w:u w:val="single"/>
          <w:lang w:val="en-NZ"/>
        </w:rPr>
        <w:t>Integrity</w:t>
      </w:r>
      <w:r w:rsidR="005F11FE" w:rsidRPr="006A020F">
        <w:rPr>
          <w:u w:val="single"/>
          <w:lang w:val="en-NZ"/>
        </w:rPr>
        <w:t xml:space="preserve"> of the tax system</w:t>
      </w:r>
      <w:r w:rsidRPr="006A020F">
        <w:rPr>
          <w:lang w:val="en-NZ"/>
        </w:rPr>
        <w:t xml:space="preserve">: </w:t>
      </w:r>
      <w:r w:rsidR="005B34D2" w:rsidRPr="006A020F">
        <w:rPr>
          <w:lang w:val="en-NZ"/>
        </w:rPr>
        <w:t xml:space="preserve">Preventing loss grouping between a local authority and its CCOs </w:t>
      </w:r>
      <w:r w:rsidR="000F27BE" w:rsidRPr="006A020F">
        <w:rPr>
          <w:lang w:val="en-NZ"/>
        </w:rPr>
        <w:t>would mean</w:t>
      </w:r>
      <w:r w:rsidR="005B34D2" w:rsidRPr="006A020F">
        <w:rPr>
          <w:lang w:val="en-NZ"/>
        </w:rPr>
        <w:t xml:space="preserve"> that a local authority </w:t>
      </w:r>
      <w:r w:rsidR="000F27BE" w:rsidRPr="006A020F">
        <w:rPr>
          <w:lang w:val="en-NZ"/>
        </w:rPr>
        <w:t xml:space="preserve">could not </w:t>
      </w:r>
      <w:r w:rsidR="00336961" w:rsidRPr="006A020F">
        <w:rPr>
          <w:lang w:val="en-NZ"/>
        </w:rPr>
        <w:t>use tax losses arising from deductions or excess imputation credits</w:t>
      </w:r>
      <w:r w:rsidR="000F27BE" w:rsidRPr="006A020F">
        <w:rPr>
          <w:lang w:val="en-NZ"/>
        </w:rPr>
        <w:t xml:space="preserve"> to shelter its CCOs from tax. This would </w:t>
      </w:r>
      <w:r w:rsidR="00F60A53" w:rsidRPr="006A020F">
        <w:rPr>
          <w:lang w:val="en-NZ"/>
        </w:rPr>
        <w:t>prevent the current integrity risks from eroding government tax revenues.</w:t>
      </w:r>
    </w:p>
    <w:p w14:paraId="3BBA5E6F" w14:textId="35BACB3B" w:rsidR="005F11FE" w:rsidRPr="006A020F" w:rsidRDefault="00311949" w:rsidP="00311949">
      <w:pPr>
        <w:rPr>
          <w:lang w:val="en-NZ"/>
        </w:rPr>
      </w:pPr>
      <w:r w:rsidRPr="006A020F">
        <w:rPr>
          <w:u w:val="single"/>
          <w:lang w:val="en-NZ"/>
        </w:rPr>
        <w:t>Fairness and equity</w:t>
      </w:r>
      <w:r w:rsidRPr="006A020F">
        <w:rPr>
          <w:lang w:val="en-NZ"/>
        </w:rPr>
        <w:t>:</w:t>
      </w:r>
      <w:r w:rsidR="005F0956" w:rsidRPr="006A020F">
        <w:rPr>
          <w:lang w:val="en-NZ"/>
        </w:rPr>
        <w:t xml:space="preserve"> </w:t>
      </w:r>
      <w:r w:rsidR="009634EC" w:rsidRPr="006A020F">
        <w:rPr>
          <w:lang w:val="en-NZ"/>
        </w:rPr>
        <w:t>Although local authorities are generally exempt, they do not sit fully outside the tax base.</w:t>
      </w:r>
      <w:r w:rsidR="00775624" w:rsidRPr="006A020F">
        <w:rPr>
          <w:lang w:val="en-NZ"/>
        </w:rPr>
        <w:t xml:space="preserve"> A local authority should be entitled to offset any losses arising from deductions for expenditure </w:t>
      </w:r>
      <w:r w:rsidR="00EE0067" w:rsidRPr="006A020F">
        <w:rPr>
          <w:lang w:val="en-NZ"/>
        </w:rPr>
        <w:t>incurred in deriving assessable income</w:t>
      </w:r>
      <w:r w:rsidR="00AA3D26" w:rsidRPr="006A020F">
        <w:rPr>
          <w:lang w:val="en-NZ"/>
        </w:rPr>
        <w:t xml:space="preserve"> against </w:t>
      </w:r>
      <w:r w:rsidR="00291FA6" w:rsidRPr="006A020F">
        <w:rPr>
          <w:lang w:val="en-NZ"/>
        </w:rPr>
        <w:t>its CCOs</w:t>
      </w:r>
      <w:r w:rsidR="00EE0067" w:rsidRPr="006A020F">
        <w:rPr>
          <w:lang w:val="en-NZ"/>
        </w:rPr>
        <w:t>.</w:t>
      </w:r>
    </w:p>
    <w:p w14:paraId="5A136BDA" w14:textId="0C38A241" w:rsidR="00291FA6" w:rsidRPr="006A020F" w:rsidRDefault="00957393" w:rsidP="00311949">
      <w:pPr>
        <w:rPr>
          <w:lang w:val="en-NZ"/>
        </w:rPr>
      </w:pPr>
      <w:r w:rsidRPr="006A020F">
        <w:rPr>
          <w:lang w:val="en-NZ"/>
        </w:rPr>
        <w:t>D</w:t>
      </w:r>
      <w:r w:rsidR="00291FA6" w:rsidRPr="006A020F">
        <w:rPr>
          <w:lang w:val="en-NZ"/>
        </w:rPr>
        <w:t xml:space="preserve">enying loss grouping would </w:t>
      </w:r>
      <w:r w:rsidR="006849E6" w:rsidRPr="006A020F">
        <w:rPr>
          <w:lang w:val="en-NZ"/>
        </w:rPr>
        <w:t>be an overreach and</w:t>
      </w:r>
      <w:r w:rsidRPr="006A020F">
        <w:rPr>
          <w:lang w:val="en-NZ"/>
        </w:rPr>
        <w:t xml:space="preserve"> would</w:t>
      </w:r>
      <w:r w:rsidR="006849E6" w:rsidRPr="006A020F">
        <w:rPr>
          <w:lang w:val="en-NZ"/>
        </w:rPr>
        <w:t xml:space="preserve"> treat local authorities more harshly than other </w:t>
      </w:r>
      <w:r w:rsidRPr="006A020F">
        <w:rPr>
          <w:lang w:val="en-NZ"/>
        </w:rPr>
        <w:t>companies.</w:t>
      </w:r>
    </w:p>
    <w:p w14:paraId="75204E9B" w14:textId="433FD8A0" w:rsidR="00D078FA" w:rsidRPr="006A020F" w:rsidRDefault="005F11FE" w:rsidP="00311949">
      <w:pPr>
        <w:rPr>
          <w:lang w:val="en-NZ"/>
        </w:rPr>
      </w:pPr>
      <w:r w:rsidRPr="27FA92CD">
        <w:rPr>
          <w:u w:val="single"/>
          <w:lang w:val="en-NZ"/>
        </w:rPr>
        <w:t>Impact on local government</w:t>
      </w:r>
      <w:r w:rsidR="0B61EB13" w:rsidRPr="27FA92CD">
        <w:rPr>
          <w:u w:val="single"/>
          <w:lang w:val="en-NZ"/>
        </w:rPr>
        <w:t xml:space="preserve"> sector</w:t>
      </w:r>
      <w:r w:rsidRPr="27FA92CD">
        <w:rPr>
          <w:lang w:val="en-NZ"/>
        </w:rPr>
        <w:t>:</w:t>
      </w:r>
      <w:r w:rsidR="00311949" w:rsidRPr="27FA92CD">
        <w:rPr>
          <w:lang w:val="en-NZ"/>
        </w:rPr>
        <w:t xml:space="preserve"> </w:t>
      </w:r>
      <w:r w:rsidR="003A3719" w:rsidRPr="27FA92CD">
        <w:rPr>
          <w:lang w:val="en-NZ"/>
        </w:rPr>
        <w:t xml:space="preserve">Preventing loss grouping between a local authority and its CCOs would mean that a local authority could not offset </w:t>
      </w:r>
      <w:r w:rsidR="003A3719" w:rsidRPr="27FA92CD">
        <w:rPr>
          <w:i/>
          <w:iCs/>
          <w:lang w:val="en-NZ"/>
        </w:rPr>
        <w:t>any</w:t>
      </w:r>
      <w:r w:rsidR="003A3719" w:rsidRPr="27FA92CD">
        <w:rPr>
          <w:lang w:val="en-NZ"/>
        </w:rPr>
        <w:t xml:space="preserve"> tax losses against its CCOs</w:t>
      </w:r>
      <w:r w:rsidR="76D3C514" w:rsidRPr="27FA92CD">
        <w:rPr>
          <w:lang w:val="en-NZ"/>
        </w:rPr>
        <w:t>’ income</w:t>
      </w:r>
      <w:r w:rsidR="003A3719" w:rsidRPr="27FA92CD">
        <w:rPr>
          <w:lang w:val="en-NZ"/>
        </w:rPr>
        <w:t>.</w:t>
      </w:r>
      <w:r w:rsidR="00C2251E" w:rsidRPr="27FA92CD">
        <w:rPr>
          <w:lang w:val="en-NZ"/>
        </w:rPr>
        <w:t xml:space="preserve"> </w:t>
      </w:r>
      <w:r w:rsidR="00481979" w:rsidRPr="006A020F">
        <w:rPr>
          <w:lang w:val="en-NZ"/>
        </w:rPr>
        <w:t>This option would lead to inefficiencies in local government, as it</w:t>
      </w:r>
      <w:r w:rsidR="00234F5E" w:rsidRPr="006A020F">
        <w:rPr>
          <w:lang w:val="en-NZ"/>
        </w:rPr>
        <w:t xml:space="preserve"> would disincentivise councils from providing administrative support and other functions to their CCOs, as they would be unable to offset </w:t>
      </w:r>
      <w:r w:rsidR="00711F07" w:rsidRPr="006A020F">
        <w:rPr>
          <w:lang w:val="en-NZ"/>
        </w:rPr>
        <w:t>any losses arising from the underlying expenditure.</w:t>
      </w:r>
      <w:r w:rsidR="00D078FA" w:rsidRPr="006A020F">
        <w:rPr>
          <w:lang w:val="en-NZ"/>
        </w:rPr>
        <w:t xml:space="preserve"> Any losses arising from this expenditure would be stranded in local authorities.</w:t>
      </w:r>
    </w:p>
    <w:p w14:paraId="4DEB42DF" w14:textId="3F1DB0E8" w:rsidR="00491A84" w:rsidRPr="006A020F" w:rsidRDefault="00491A84" w:rsidP="004E22AF">
      <w:pPr>
        <w:rPr>
          <w:lang w:val="en-NZ"/>
        </w:rPr>
      </w:pPr>
      <w:r w:rsidRPr="006A020F">
        <w:rPr>
          <w:lang w:val="en-NZ"/>
        </w:rPr>
        <w:t xml:space="preserve">This option would </w:t>
      </w:r>
      <w:r w:rsidR="00233575" w:rsidRPr="006A020F">
        <w:rPr>
          <w:lang w:val="en-NZ"/>
        </w:rPr>
        <w:t>negatively</w:t>
      </w:r>
      <w:r w:rsidRPr="006A020F">
        <w:rPr>
          <w:lang w:val="en-NZ"/>
        </w:rPr>
        <w:t xml:space="preserve"> impact local government funding</w:t>
      </w:r>
      <w:r w:rsidR="008C3B52" w:rsidRPr="006A020F">
        <w:rPr>
          <w:lang w:val="en-NZ"/>
        </w:rPr>
        <w:t xml:space="preserve"> </w:t>
      </w:r>
      <w:r w:rsidR="00233575" w:rsidRPr="006A020F">
        <w:rPr>
          <w:lang w:val="en-NZ"/>
        </w:rPr>
        <w:t>by leading to CCOs paying smaller dividends to their local authorities. This is because denying loss grouping will mean that CCOs will have higher tax liabilities</w:t>
      </w:r>
      <w:r w:rsidR="004E22AF" w:rsidRPr="006A020F">
        <w:rPr>
          <w:lang w:val="en-NZ"/>
        </w:rPr>
        <w:t xml:space="preserve"> since local authorities will not be able to offset any of their losses against the taxable income of their CCOs.</w:t>
      </w:r>
      <w:r w:rsidR="008C3B52" w:rsidRPr="006A020F">
        <w:rPr>
          <w:lang w:val="en-NZ"/>
        </w:rPr>
        <w:t xml:space="preserve"> </w:t>
      </w:r>
    </w:p>
    <w:p w14:paraId="2385FF4B" w14:textId="5E7DC6FE" w:rsidR="00311949" w:rsidRDefault="00311949" w:rsidP="00311949">
      <w:pPr>
        <w:rPr>
          <w:lang w:val="en-NZ"/>
        </w:rPr>
      </w:pPr>
      <w:r w:rsidRPr="006A020F">
        <w:rPr>
          <w:u w:val="single"/>
          <w:lang w:val="en-NZ"/>
        </w:rPr>
        <w:t xml:space="preserve">Fiscal </w:t>
      </w:r>
      <w:r w:rsidR="00C76B03" w:rsidRPr="006A020F">
        <w:rPr>
          <w:u w:val="single"/>
          <w:lang w:val="en-NZ"/>
        </w:rPr>
        <w:t>impact</w:t>
      </w:r>
      <w:r w:rsidRPr="006A020F">
        <w:rPr>
          <w:lang w:val="en-NZ"/>
        </w:rPr>
        <w:t>:</w:t>
      </w:r>
      <w:r w:rsidR="006B0C3D" w:rsidRPr="00FA70F9">
        <w:rPr>
          <w:lang w:val="en-NZ"/>
        </w:rPr>
        <w:t xml:space="preserve"> </w:t>
      </w:r>
      <w:r w:rsidR="00035550" w:rsidRPr="00FA70F9">
        <w:rPr>
          <w:lang w:val="en-NZ"/>
        </w:rPr>
        <w:t xml:space="preserve">It is expected that the fiscal impact of the loss grouping proposal would generate more </w:t>
      </w:r>
      <w:r w:rsidR="00325685">
        <w:rPr>
          <w:lang w:val="en-NZ"/>
        </w:rPr>
        <w:t xml:space="preserve">tax </w:t>
      </w:r>
      <w:r w:rsidR="00035550" w:rsidRPr="00FA70F9">
        <w:rPr>
          <w:lang w:val="en-NZ"/>
        </w:rPr>
        <w:t xml:space="preserve">revenue than Option Three. </w:t>
      </w:r>
      <w:r w:rsidR="008708E3" w:rsidRPr="00FA70F9">
        <w:rPr>
          <w:lang w:val="en-NZ"/>
        </w:rPr>
        <w:t xml:space="preserve">This is because </w:t>
      </w:r>
      <w:r w:rsidR="00957393" w:rsidRPr="00FA70F9">
        <w:rPr>
          <w:lang w:val="en-NZ"/>
        </w:rPr>
        <w:t>it would prevent</w:t>
      </w:r>
      <w:r w:rsidR="00D51D14" w:rsidRPr="00FA70F9">
        <w:rPr>
          <w:lang w:val="en-NZ"/>
        </w:rPr>
        <w:t xml:space="preserve"> local authorities from grouping any losses with its CCOs, as opposed to just focusing on certain deductions as in Option Three. The exact fiscal impact </w:t>
      </w:r>
      <w:r w:rsidR="00663C24" w:rsidRPr="00FA70F9">
        <w:rPr>
          <w:lang w:val="en-NZ"/>
        </w:rPr>
        <w:t xml:space="preserve">of Option Two </w:t>
      </w:r>
      <w:r w:rsidR="00D51D14" w:rsidRPr="00FA70F9">
        <w:rPr>
          <w:lang w:val="en-NZ"/>
        </w:rPr>
        <w:t>was not quantified</w:t>
      </w:r>
      <w:r w:rsidR="00FA70F9" w:rsidRPr="00FA70F9">
        <w:rPr>
          <w:lang w:val="en-NZ"/>
        </w:rPr>
        <w:t>.</w:t>
      </w:r>
    </w:p>
    <w:p w14:paraId="00A7D722" w14:textId="76FB822D" w:rsidR="001625E5" w:rsidRDefault="001625E5" w:rsidP="00311949">
      <w:pPr>
        <w:rPr>
          <w:lang w:val="en-NZ"/>
        </w:rPr>
      </w:pPr>
      <w:r w:rsidRPr="001625E5">
        <w:rPr>
          <w:u w:val="single"/>
          <w:lang w:val="en-NZ"/>
        </w:rPr>
        <w:t>Stakeholder support</w:t>
      </w:r>
      <w:r>
        <w:rPr>
          <w:lang w:val="en-NZ"/>
        </w:rPr>
        <w:t>:</w:t>
      </w:r>
      <w:r w:rsidR="00CF0C22">
        <w:rPr>
          <w:lang w:val="en-NZ"/>
        </w:rPr>
        <w:t xml:space="preserve"> </w:t>
      </w:r>
      <w:r w:rsidR="009942C5">
        <w:rPr>
          <w:lang w:val="en-NZ"/>
        </w:rPr>
        <w:t>In early 2021 t</w:t>
      </w:r>
      <w:r w:rsidR="00CF0C22">
        <w:rPr>
          <w:lang w:val="en-NZ"/>
        </w:rPr>
        <w:t xml:space="preserve">he local government sector provided strong feedback against </w:t>
      </w:r>
      <w:r w:rsidR="009942C5">
        <w:rPr>
          <w:lang w:val="en-NZ"/>
        </w:rPr>
        <w:t>the proposal to deny loss grouping between local authorities and CCOs. The sector argued that local authorities can incur genuinely deductible expenditure and should be entitled to offset these deductions against taxable income in its CCO group.</w:t>
      </w:r>
    </w:p>
    <w:p w14:paraId="4F1C4299" w14:textId="34BB5590" w:rsidR="00F45B9E" w:rsidRPr="00A864A5" w:rsidRDefault="00F45B9E" w:rsidP="00F45B9E">
      <w:pPr>
        <w:pStyle w:val="Heading4"/>
        <w:rPr>
          <w:lang w:val="en-NZ"/>
        </w:rPr>
      </w:pPr>
      <w:r w:rsidRPr="00A864A5">
        <w:rPr>
          <w:lang w:val="en-NZ"/>
        </w:rPr>
        <w:t xml:space="preserve">Option </w:t>
      </w:r>
      <w:r w:rsidR="000C1588">
        <w:rPr>
          <w:lang w:val="en-NZ"/>
        </w:rPr>
        <w:t>Three</w:t>
      </w:r>
      <w:r w:rsidRPr="00A864A5">
        <w:rPr>
          <w:lang w:val="en-NZ"/>
        </w:rPr>
        <w:t xml:space="preserve"> – </w:t>
      </w:r>
      <w:r>
        <w:rPr>
          <w:lang w:val="en-NZ"/>
        </w:rPr>
        <w:t>Denying deductions</w:t>
      </w:r>
      <w:r w:rsidR="007F7729">
        <w:rPr>
          <w:lang w:val="en-NZ"/>
        </w:rPr>
        <w:t xml:space="preserve"> (corporate gift deduction and certain interest deductions)</w:t>
      </w:r>
    </w:p>
    <w:p w14:paraId="311BD547" w14:textId="63F2437B" w:rsidR="006A56C0" w:rsidRPr="006A56C0" w:rsidRDefault="006A56C0" w:rsidP="00E448FC">
      <w:pPr>
        <w:rPr>
          <w:lang w:val="en-NZ"/>
        </w:rPr>
      </w:pPr>
      <w:r w:rsidRPr="27FA92CD">
        <w:rPr>
          <w:lang w:val="en-NZ"/>
        </w:rPr>
        <w:t xml:space="preserve">This option would prevent local authorities from </w:t>
      </w:r>
      <w:r w:rsidR="002C1543" w:rsidRPr="27FA92CD">
        <w:rPr>
          <w:lang w:val="en-NZ"/>
        </w:rPr>
        <w:t>claiming deductions for charitable donations to donee organisations</w:t>
      </w:r>
      <w:r w:rsidR="006E27D4" w:rsidRPr="27FA92CD">
        <w:rPr>
          <w:lang w:val="en-NZ"/>
        </w:rPr>
        <w:t xml:space="preserve"> and would limit access to interest deductions </w:t>
      </w:r>
      <w:r w:rsidR="00E11F90" w:rsidRPr="27FA92CD">
        <w:rPr>
          <w:lang w:val="en-NZ"/>
        </w:rPr>
        <w:t>to expenditure incurred in deriving assessable income.</w:t>
      </w:r>
      <w:r w:rsidR="009A7815" w:rsidRPr="27FA92CD">
        <w:rPr>
          <w:lang w:val="en-NZ"/>
        </w:rPr>
        <w:t xml:space="preserve"> This option was developed by officials </w:t>
      </w:r>
      <w:r w:rsidR="7FCF966D" w:rsidRPr="27FA92CD">
        <w:rPr>
          <w:lang w:val="en-NZ"/>
        </w:rPr>
        <w:t>following</w:t>
      </w:r>
      <w:r w:rsidR="009A7815" w:rsidRPr="27FA92CD">
        <w:rPr>
          <w:lang w:val="en-NZ"/>
        </w:rPr>
        <w:t xml:space="preserve"> feedback by the local government sector on Option Two above.</w:t>
      </w:r>
    </w:p>
    <w:p w14:paraId="79DCF60D" w14:textId="6013AD02" w:rsidR="0032161B" w:rsidRPr="006A020F" w:rsidRDefault="00311949" w:rsidP="00311949">
      <w:pPr>
        <w:rPr>
          <w:lang w:val="en-NZ"/>
        </w:rPr>
      </w:pPr>
      <w:r w:rsidRPr="27FA92CD">
        <w:rPr>
          <w:u w:val="single"/>
          <w:lang w:val="en-NZ"/>
        </w:rPr>
        <w:t>Integrity</w:t>
      </w:r>
      <w:r w:rsidR="00C76B03" w:rsidRPr="27FA92CD">
        <w:rPr>
          <w:u w:val="single"/>
          <w:lang w:val="en-NZ"/>
        </w:rPr>
        <w:t xml:space="preserve"> of the tax system</w:t>
      </w:r>
      <w:r w:rsidRPr="27FA92CD">
        <w:rPr>
          <w:lang w:val="en-NZ"/>
        </w:rPr>
        <w:t xml:space="preserve">: </w:t>
      </w:r>
      <w:r w:rsidR="0032161B" w:rsidRPr="27FA92CD">
        <w:rPr>
          <w:lang w:val="en-NZ"/>
        </w:rPr>
        <w:t xml:space="preserve">This option would result in local authorities not being able to claim deductions for </w:t>
      </w:r>
      <w:r w:rsidR="0011159C" w:rsidRPr="27FA92CD">
        <w:rPr>
          <w:lang w:val="en-NZ"/>
        </w:rPr>
        <w:t xml:space="preserve">expenditure incurred in funding </w:t>
      </w:r>
      <w:r w:rsidR="00612550" w:rsidRPr="27FA92CD">
        <w:rPr>
          <w:lang w:val="en-NZ"/>
        </w:rPr>
        <w:t xml:space="preserve">CCOs that </w:t>
      </w:r>
      <w:r w:rsidR="4E3FBB5B" w:rsidRPr="27FA92CD">
        <w:rPr>
          <w:lang w:val="en-NZ"/>
        </w:rPr>
        <w:t xml:space="preserve">do not have a profit-making purpose. </w:t>
      </w:r>
    </w:p>
    <w:p w14:paraId="2446F75E" w14:textId="77777777" w:rsidR="003547AB" w:rsidRPr="00DB765C" w:rsidRDefault="003547AB" w:rsidP="003547AB">
      <w:pPr>
        <w:rPr>
          <w:lang w:val="en-NZ"/>
        </w:rPr>
      </w:pPr>
      <w:r w:rsidRPr="00DB765C">
        <w:rPr>
          <w:lang w:val="en-NZ"/>
        </w:rPr>
        <w:t>This option would limit the ability of local authorities to shelter their CCOs from tax. This will ensure that CCOs pay their fair share of tax and will help maintain the government’s tax revenues.</w:t>
      </w:r>
    </w:p>
    <w:p w14:paraId="54A6807F" w14:textId="332DB7BE" w:rsidR="003547AB" w:rsidRDefault="00311949" w:rsidP="00802CE3">
      <w:pPr>
        <w:rPr>
          <w:lang w:val="en-NZ"/>
        </w:rPr>
      </w:pPr>
      <w:r w:rsidRPr="00DB765C">
        <w:rPr>
          <w:u w:val="single"/>
          <w:lang w:val="en-NZ"/>
        </w:rPr>
        <w:t>Fairness and equity</w:t>
      </w:r>
      <w:r w:rsidRPr="00DB765C">
        <w:rPr>
          <w:lang w:val="en-NZ"/>
        </w:rPr>
        <w:t xml:space="preserve">: </w:t>
      </w:r>
      <w:r w:rsidR="00802CE3" w:rsidRPr="00DB765C">
        <w:rPr>
          <w:lang w:val="en-NZ"/>
        </w:rPr>
        <w:t>Over the 2016 to 2020 income years, 26 different councils (out of a total of 78 local authorities) claimed corporate gift deductions. Three councils accounted for 80% of the total corporate gift deductions claimed by local authorities. This represents 30% of all corporate gift deductions claimed by companies.</w:t>
      </w:r>
      <w:r w:rsidR="00707C34" w:rsidRPr="00DB765C">
        <w:rPr>
          <w:lang w:val="en-NZ"/>
        </w:rPr>
        <w:t xml:space="preserve"> The corporate gift deduction is an indirect cost to all taxpayers but is being claimed by </w:t>
      </w:r>
      <w:r w:rsidR="00422018" w:rsidRPr="00DB765C">
        <w:rPr>
          <w:lang w:val="en-NZ"/>
        </w:rPr>
        <w:t>a minority of</w:t>
      </w:r>
      <w:r w:rsidR="00707C34" w:rsidRPr="00DB765C">
        <w:rPr>
          <w:lang w:val="en-NZ"/>
        </w:rPr>
        <w:t xml:space="preserve"> councils.</w:t>
      </w:r>
    </w:p>
    <w:p w14:paraId="5CB5F13E" w14:textId="6262C376" w:rsidR="00AA13E0" w:rsidRDefault="00A427F2" w:rsidP="00802CE3">
      <w:pPr>
        <w:rPr>
          <w:lang w:val="en-NZ"/>
        </w:rPr>
      </w:pPr>
      <w:r w:rsidRPr="27FA92CD">
        <w:rPr>
          <w:lang w:val="en-NZ"/>
        </w:rPr>
        <w:t xml:space="preserve">Access to these deductions allow local authorities to reduce the incidence of tax paid by CCOs. This option would </w:t>
      </w:r>
      <w:r w:rsidR="00F12624" w:rsidRPr="27FA92CD">
        <w:rPr>
          <w:lang w:val="en-NZ"/>
        </w:rPr>
        <w:t>improve the fairness of the tax settings for taxpayers by reducing the ability to shelter CCOs from tax.</w:t>
      </w:r>
    </w:p>
    <w:p w14:paraId="57090DD8" w14:textId="0C9AFCE2" w:rsidR="009406F1" w:rsidRDefault="00C76B03" w:rsidP="00311949">
      <w:pPr>
        <w:rPr>
          <w:lang w:val="en-NZ"/>
        </w:rPr>
      </w:pPr>
      <w:r w:rsidRPr="009F1170">
        <w:rPr>
          <w:u w:val="single"/>
          <w:lang w:val="en-NZ"/>
        </w:rPr>
        <w:t>Impact on local government</w:t>
      </w:r>
      <w:r>
        <w:rPr>
          <w:lang w:val="en-NZ"/>
        </w:rPr>
        <w:t>:</w:t>
      </w:r>
      <w:r w:rsidR="00C2251E">
        <w:rPr>
          <w:lang w:val="en-NZ"/>
        </w:rPr>
        <w:t xml:space="preserve"> </w:t>
      </w:r>
      <w:r w:rsidR="001F44F7">
        <w:rPr>
          <w:lang w:val="en-NZ"/>
        </w:rPr>
        <w:t>The impact of this option will be uneven on the local government sector</w:t>
      </w:r>
      <w:r w:rsidR="001A5CC3">
        <w:rPr>
          <w:lang w:val="en-NZ"/>
        </w:rPr>
        <w:t xml:space="preserve"> since</w:t>
      </w:r>
      <w:r w:rsidR="001F44F7">
        <w:rPr>
          <w:lang w:val="en-NZ"/>
        </w:rPr>
        <w:t xml:space="preserve"> the</w:t>
      </w:r>
      <w:r w:rsidR="001A5CC3">
        <w:rPr>
          <w:lang w:val="en-NZ"/>
        </w:rPr>
        <w:t>se deductions</w:t>
      </w:r>
      <w:r w:rsidR="006975CB">
        <w:rPr>
          <w:lang w:val="en-NZ"/>
        </w:rPr>
        <w:t xml:space="preserve"> are being </w:t>
      </w:r>
      <w:r w:rsidR="008706C8">
        <w:rPr>
          <w:lang w:val="en-NZ"/>
        </w:rPr>
        <w:t>claimed</w:t>
      </w:r>
      <w:r w:rsidR="006975CB">
        <w:rPr>
          <w:lang w:val="en-NZ"/>
        </w:rPr>
        <w:t xml:space="preserve"> to varying degrees</w:t>
      </w:r>
      <w:r w:rsidR="001F44F7">
        <w:rPr>
          <w:lang w:val="en-NZ"/>
        </w:rPr>
        <w:t xml:space="preserve"> across the sector.</w:t>
      </w:r>
    </w:p>
    <w:p w14:paraId="16607CFE" w14:textId="77777777" w:rsidR="006F7AFF" w:rsidRDefault="001A5CC3" w:rsidP="00311949">
      <w:pPr>
        <w:rPr>
          <w:lang w:val="en-NZ"/>
        </w:rPr>
      </w:pPr>
      <w:r>
        <w:rPr>
          <w:lang w:val="en-NZ"/>
        </w:rPr>
        <w:t>As noted above, o</w:t>
      </w:r>
      <w:r w:rsidR="009406F1">
        <w:rPr>
          <w:lang w:val="en-NZ"/>
        </w:rPr>
        <w:t xml:space="preserve">ver the 2016 to 2020 income years, only 26 councils claimed the corporate gift deduction. </w:t>
      </w:r>
      <w:r w:rsidR="00CF21B7">
        <w:rPr>
          <w:lang w:val="en-NZ"/>
        </w:rPr>
        <w:t xml:space="preserve">This provision is </w:t>
      </w:r>
      <w:r w:rsidR="000669DF">
        <w:rPr>
          <w:lang w:val="en-NZ"/>
        </w:rPr>
        <w:t>benefiting the funding flows of a minority of councils despite their largely tax</w:t>
      </w:r>
      <w:r w:rsidR="00D22340">
        <w:rPr>
          <w:lang w:val="en-NZ"/>
        </w:rPr>
        <w:t>-</w:t>
      </w:r>
      <w:r w:rsidR="000669DF">
        <w:rPr>
          <w:lang w:val="en-NZ"/>
        </w:rPr>
        <w:t>exempt status.</w:t>
      </w:r>
      <w:r w:rsidR="00F35F44">
        <w:rPr>
          <w:lang w:val="en-NZ"/>
        </w:rPr>
        <w:t xml:space="preserve"> </w:t>
      </w:r>
      <w:r w:rsidR="009406F1">
        <w:rPr>
          <w:lang w:val="en-NZ"/>
        </w:rPr>
        <w:t xml:space="preserve">Most councils would not be affected by preventing local authorities from claiming this deduction. </w:t>
      </w:r>
    </w:p>
    <w:p w14:paraId="3173D23E" w14:textId="013DCFC0" w:rsidR="009406F1" w:rsidRDefault="004F0876" w:rsidP="00311949">
      <w:pPr>
        <w:rPr>
          <w:lang w:val="en-NZ"/>
        </w:rPr>
      </w:pPr>
      <w:r>
        <w:rPr>
          <w:lang w:val="en-NZ"/>
        </w:rPr>
        <w:t xml:space="preserve">This option will result </w:t>
      </w:r>
      <w:r w:rsidR="000C601C">
        <w:rPr>
          <w:lang w:val="en-NZ"/>
        </w:rPr>
        <w:t>i</w:t>
      </w:r>
      <w:r>
        <w:rPr>
          <w:lang w:val="en-NZ"/>
        </w:rPr>
        <w:t xml:space="preserve">n increased costs for </w:t>
      </w:r>
      <w:r w:rsidR="006C5685">
        <w:rPr>
          <w:lang w:val="en-NZ"/>
        </w:rPr>
        <w:t>councils to the extent that they are receiving a benefit from these deductions.</w:t>
      </w:r>
      <w:r w:rsidR="009E105B">
        <w:rPr>
          <w:lang w:val="en-NZ"/>
        </w:rPr>
        <w:t xml:space="preserve"> </w:t>
      </w:r>
      <w:r w:rsidR="006F7AFF">
        <w:rPr>
          <w:lang w:val="en-NZ"/>
        </w:rPr>
        <w:t xml:space="preserve">Due to limited data on interest deductions, officials are unable to estimate the exact impact of this option on local government. </w:t>
      </w:r>
      <w:r w:rsidR="009406F1">
        <w:rPr>
          <w:lang w:val="en-NZ"/>
        </w:rPr>
        <w:t>Reducing the ability of</w:t>
      </w:r>
      <w:r w:rsidR="009E105B">
        <w:rPr>
          <w:lang w:val="en-NZ"/>
        </w:rPr>
        <w:t xml:space="preserve"> these</w:t>
      </w:r>
      <w:r w:rsidR="009406F1">
        <w:rPr>
          <w:lang w:val="en-NZ"/>
        </w:rPr>
        <w:t xml:space="preserve"> local authorities to shelter their CCOs from tax will result in lower dividends being paid by CCOs to their local authorities. This is because the</w:t>
      </w:r>
      <w:r w:rsidR="009E105B">
        <w:rPr>
          <w:lang w:val="en-NZ"/>
        </w:rPr>
        <w:t>se</w:t>
      </w:r>
      <w:r w:rsidR="009406F1">
        <w:rPr>
          <w:lang w:val="en-NZ"/>
        </w:rPr>
        <w:t xml:space="preserve"> CCOs will have greater tax liabilities.</w:t>
      </w:r>
    </w:p>
    <w:p w14:paraId="3B57A149" w14:textId="052A59F3" w:rsidR="008C54FC" w:rsidRDefault="008C54FC" w:rsidP="00311949">
      <w:pPr>
        <w:rPr>
          <w:lang w:val="en-NZ"/>
        </w:rPr>
      </w:pPr>
      <w:r>
        <w:rPr>
          <w:rFonts w:cs="Arial"/>
          <w:szCs w:val="22"/>
          <w:lang w:val="en-NZ"/>
        </w:rPr>
        <w:t xml:space="preserve">The </w:t>
      </w:r>
      <w:r w:rsidR="00A67867">
        <w:rPr>
          <w:rFonts w:cs="Arial"/>
          <w:szCs w:val="22"/>
          <w:lang w:val="en-NZ"/>
        </w:rPr>
        <w:t>cost</w:t>
      </w:r>
      <w:r>
        <w:rPr>
          <w:rFonts w:cs="Arial"/>
          <w:szCs w:val="22"/>
          <w:lang w:val="en-NZ"/>
        </w:rPr>
        <w:t xml:space="preserve"> </w:t>
      </w:r>
      <w:r w:rsidR="00A67867">
        <w:rPr>
          <w:rFonts w:cs="Arial"/>
          <w:szCs w:val="22"/>
          <w:lang w:val="en-NZ"/>
        </w:rPr>
        <w:t xml:space="preserve">to local government </w:t>
      </w:r>
      <w:r>
        <w:rPr>
          <w:rFonts w:cs="Arial"/>
          <w:szCs w:val="22"/>
          <w:lang w:val="en-NZ"/>
        </w:rPr>
        <w:t xml:space="preserve">of </w:t>
      </w:r>
      <w:r w:rsidR="001D093F">
        <w:rPr>
          <w:rFonts w:cs="Arial"/>
          <w:szCs w:val="22"/>
          <w:lang w:val="en-NZ"/>
        </w:rPr>
        <w:t xml:space="preserve">denying access to the corporate gift deduction is expected to be </w:t>
      </w:r>
      <w:r>
        <w:rPr>
          <w:rFonts w:cs="Arial"/>
          <w:szCs w:val="22"/>
          <w:lang w:val="en-NZ"/>
        </w:rPr>
        <w:t xml:space="preserve">$23.8m per year. For context, the surplus for all council groups in the 2020 financial year was $2,322m. Since </w:t>
      </w:r>
      <w:r w:rsidR="001D093F">
        <w:rPr>
          <w:rFonts w:cs="Arial"/>
          <w:szCs w:val="22"/>
          <w:lang w:val="en-NZ"/>
        </w:rPr>
        <w:t>the impact of this proposal is</w:t>
      </w:r>
      <w:r>
        <w:rPr>
          <w:rFonts w:cs="Arial"/>
          <w:szCs w:val="22"/>
          <w:lang w:val="en-NZ"/>
        </w:rPr>
        <w:t xml:space="preserve"> relatively small, the flow-on economic impacts are expected to be relatively small.</w:t>
      </w:r>
    </w:p>
    <w:p w14:paraId="130CC1A2" w14:textId="58E48A0D" w:rsidR="00E92370" w:rsidRDefault="00311949" w:rsidP="00311949">
      <w:pPr>
        <w:rPr>
          <w:lang w:val="en-NZ"/>
        </w:rPr>
      </w:pPr>
      <w:r w:rsidRPr="003B7709">
        <w:rPr>
          <w:u w:val="single"/>
          <w:lang w:val="en-NZ"/>
        </w:rPr>
        <w:t xml:space="preserve">Fiscal </w:t>
      </w:r>
      <w:r w:rsidR="00C76B03">
        <w:rPr>
          <w:u w:val="single"/>
          <w:lang w:val="en-NZ"/>
        </w:rPr>
        <w:t>impact</w:t>
      </w:r>
      <w:r>
        <w:rPr>
          <w:lang w:val="en-NZ"/>
        </w:rPr>
        <w:t xml:space="preserve">: </w:t>
      </w:r>
      <w:r w:rsidR="00C40F57">
        <w:rPr>
          <w:lang w:val="en-NZ"/>
        </w:rPr>
        <w:t xml:space="preserve">The fiscal impact of preventing local authorities from accessing the corporate gift deduction is expected to raise </w:t>
      </w:r>
      <w:r w:rsidR="00FB1653">
        <w:rPr>
          <w:lang w:val="en-NZ"/>
        </w:rPr>
        <w:t xml:space="preserve">approximately </w:t>
      </w:r>
      <w:r w:rsidR="00C40F57">
        <w:rPr>
          <w:lang w:val="en-NZ"/>
        </w:rPr>
        <w:t>$</w:t>
      </w:r>
      <w:r w:rsidR="00FB1653">
        <w:rPr>
          <w:lang w:val="en-NZ"/>
        </w:rPr>
        <w:t>13.2 million</w:t>
      </w:r>
      <w:r w:rsidR="0072537D">
        <w:rPr>
          <w:lang w:val="en-NZ"/>
        </w:rPr>
        <w:t xml:space="preserve"> per year. </w:t>
      </w:r>
      <w:r w:rsidR="00E92370">
        <w:rPr>
          <w:lang w:val="en-NZ"/>
        </w:rPr>
        <w:t xml:space="preserve">Inland Revenue has limited data on the breakdown of which specific interest deductions are being claimed by local authorities and is unable to quantify the full </w:t>
      </w:r>
      <w:r w:rsidR="009406F1">
        <w:rPr>
          <w:lang w:val="en-NZ"/>
        </w:rPr>
        <w:t xml:space="preserve">fiscal </w:t>
      </w:r>
      <w:r w:rsidR="00E92370">
        <w:rPr>
          <w:lang w:val="en-NZ"/>
        </w:rPr>
        <w:t>impact of the interest deduction proposal</w:t>
      </w:r>
      <w:r w:rsidR="00904595">
        <w:rPr>
          <w:lang w:val="en-NZ"/>
        </w:rPr>
        <w:t>s.</w:t>
      </w:r>
    </w:p>
    <w:p w14:paraId="0F5F8590" w14:textId="4B329073" w:rsidR="00312281" w:rsidRDefault="001625E5" w:rsidP="00311949">
      <w:pPr>
        <w:rPr>
          <w:lang w:val="en-NZ"/>
        </w:rPr>
      </w:pPr>
      <w:r w:rsidRPr="7CDCE639">
        <w:rPr>
          <w:u w:val="single"/>
          <w:lang w:val="en-NZ"/>
        </w:rPr>
        <w:t>Stakeholder support</w:t>
      </w:r>
      <w:r w:rsidRPr="7CDCE639">
        <w:rPr>
          <w:lang w:val="en-NZ"/>
        </w:rPr>
        <w:t>:</w:t>
      </w:r>
      <w:r w:rsidR="00B61A77" w:rsidRPr="7CDCE639">
        <w:rPr>
          <w:lang w:val="en-NZ"/>
        </w:rPr>
        <w:t xml:space="preserve"> </w:t>
      </w:r>
      <w:r w:rsidR="00A36EAA" w:rsidRPr="7CDCE639">
        <w:rPr>
          <w:lang w:val="en-NZ"/>
        </w:rPr>
        <w:t>In consultation on the loss grouping proposal, some submitters suggested focusing on the specific deductions</w:t>
      </w:r>
      <w:r w:rsidR="00544237">
        <w:rPr>
          <w:lang w:val="en-NZ"/>
        </w:rPr>
        <w:t xml:space="preserve"> that are considered inappropriate,</w:t>
      </w:r>
      <w:r w:rsidR="00A36EAA" w:rsidRPr="7CDCE639">
        <w:rPr>
          <w:lang w:val="en-NZ"/>
        </w:rPr>
        <w:t xml:space="preserve"> rather than denying loss grouping outright.</w:t>
      </w:r>
      <w:r w:rsidR="00A33D75">
        <w:rPr>
          <w:lang w:val="en-NZ"/>
        </w:rPr>
        <w:t xml:space="preserve"> Submitters argued that denying loss grouping would be an overreach, as local authorities can incur genuinely deductible expenditure.</w:t>
      </w:r>
    </w:p>
    <w:p w14:paraId="6385F395" w14:textId="53B95B21" w:rsidR="001625E5" w:rsidRDefault="00A33D75" w:rsidP="00311949">
      <w:pPr>
        <w:rPr>
          <w:lang w:val="en-NZ"/>
        </w:rPr>
      </w:pPr>
      <w:r w:rsidRPr="27FA92CD">
        <w:rPr>
          <w:lang w:val="en-NZ"/>
        </w:rPr>
        <w:t>Officials accepted these arguments from the sector and developed the narrower proposal to limit certain deductions.</w:t>
      </w:r>
      <w:r w:rsidR="00544237" w:rsidRPr="27FA92CD">
        <w:rPr>
          <w:lang w:val="en-NZ"/>
        </w:rPr>
        <w:t xml:space="preserve"> </w:t>
      </w:r>
      <w:r w:rsidR="00312281" w:rsidRPr="27FA92CD">
        <w:rPr>
          <w:lang w:val="en-NZ"/>
        </w:rPr>
        <w:t xml:space="preserve">Officials expect that the </w:t>
      </w:r>
      <w:r w:rsidR="00707C34" w:rsidRPr="27FA92CD">
        <w:rPr>
          <w:lang w:val="en-NZ"/>
        </w:rPr>
        <w:t xml:space="preserve">local government </w:t>
      </w:r>
      <w:r w:rsidR="00312281" w:rsidRPr="27FA92CD">
        <w:rPr>
          <w:lang w:val="en-NZ"/>
        </w:rPr>
        <w:t xml:space="preserve">sector will not support this </w:t>
      </w:r>
      <w:r w:rsidR="00191630" w:rsidRPr="27FA92CD">
        <w:rPr>
          <w:lang w:val="en-NZ"/>
        </w:rPr>
        <w:t>proposal but</w:t>
      </w:r>
      <w:r w:rsidR="00312281" w:rsidRPr="27FA92CD">
        <w:rPr>
          <w:lang w:val="en-NZ"/>
        </w:rPr>
        <w:t xml:space="preserve"> will </w:t>
      </w:r>
      <w:r w:rsidR="0019577D" w:rsidRPr="27FA92CD">
        <w:rPr>
          <w:lang w:val="en-NZ"/>
        </w:rPr>
        <w:t>prefer it to the</w:t>
      </w:r>
      <w:r w:rsidR="00312281" w:rsidRPr="27FA92CD">
        <w:rPr>
          <w:lang w:val="en-NZ"/>
        </w:rPr>
        <w:t xml:space="preserve"> loss grouping proposal.</w:t>
      </w:r>
    </w:p>
    <w:p w14:paraId="4B829A5D" w14:textId="07CDD3A4" w:rsidR="00007B8F" w:rsidRDefault="004E79DA" w:rsidP="00311949">
      <w:pPr>
        <w:rPr>
          <w:lang w:val="en-NZ"/>
        </w:rPr>
      </w:pPr>
      <w:r w:rsidRPr="00DB765C">
        <w:rPr>
          <w:lang w:val="en-NZ"/>
        </w:rPr>
        <w:t>Officials</w:t>
      </w:r>
      <w:r w:rsidR="004D0BA6" w:rsidRPr="00DB765C">
        <w:rPr>
          <w:lang w:val="en-NZ"/>
        </w:rPr>
        <w:t xml:space="preserve"> expect th</w:t>
      </w:r>
      <w:r w:rsidRPr="00DB765C">
        <w:rPr>
          <w:lang w:val="en-NZ"/>
        </w:rPr>
        <w:t>at donee organisations</w:t>
      </w:r>
      <w:r w:rsidR="004D0BA6" w:rsidRPr="00DB765C">
        <w:rPr>
          <w:lang w:val="en-NZ"/>
        </w:rPr>
        <w:t xml:space="preserve"> would oppose this propos</w:t>
      </w:r>
      <w:r w:rsidR="00FC5B37">
        <w:rPr>
          <w:lang w:val="en-NZ"/>
        </w:rPr>
        <w:t>al</w:t>
      </w:r>
      <w:r w:rsidR="004D0BA6" w:rsidRPr="00DB765C">
        <w:rPr>
          <w:lang w:val="en-NZ"/>
        </w:rPr>
        <w:t xml:space="preserve">, as it reduces the incentives for councils to make donations. </w:t>
      </w:r>
      <w:r w:rsidRPr="00DB765C">
        <w:rPr>
          <w:lang w:val="en-NZ"/>
        </w:rPr>
        <w:t xml:space="preserve">Donee organisations were not consulted on this proposal, as </w:t>
      </w:r>
      <w:r w:rsidR="00C7752A" w:rsidRPr="00DB765C">
        <w:rPr>
          <w:lang w:val="en-NZ"/>
        </w:rPr>
        <w:t xml:space="preserve">this proposal was developed </w:t>
      </w:r>
      <w:r w:rsidR="00867780" w:rsidRPr="00DB765C">
        <w:rPr>
          <w:lang w:val="en-NZ"/>
        </w:rPr>
        <w:t xml:space="preserve">after consultation was undertaken with the local government sector. </w:t>
      </w:r>
      <w:r w:rsidR="00007B8F" w:rsidRPr="00DB765C">
        <w:rPr>
          <w:lang w:val="en-NZ"/>
        </w:rPr>
        <w:t xml:space="preserve">During consultation on Option Two, officials received feedback from the sector that although preventing access to the corporate gift deduction would increase the cost of these donations, it was unlikely to </w:t>
      </w:r>
      <w:r w:rsidR="008F202C" w:rsidRPr="00DB765C">
        <w:rPr>
          <w:lang w:val="en-NZ"/>
        </w:rPr>
        <w:t xml:space="preserve">lead to councils not making them. This is because </w:t>
      </w:r>
      <w:r w:rsidR="00B53AB2" w:rsidRPr="00DB765C">
        <w:rPr>
          <w:lang w:val="en-NZ"/>
        </w:rPr>
        <w:t xml:space="preserve">councils have a </w:t>
      </w:r>
      <w:r w:rsidR="0065242A" w:rsidRPr="00DB765C">
        <w:rPr>
          <w:lang w:val="en-NZ"/>
        </w:rPr>
        <w:t>commitment</w:t>
      </w:r>
      <w:r w:rsidR="00B53AB2" w:rsidRPr="00DB765C">
        <w:rPr>
          <w:lang w:val="en-NZ"/>
        </w:rPr>
        <w:t xml:space="preserve"> to improve the social, economic, environmental, and cultural well-being of their communities, and </w:t>
      </w:r>
      <w:r w:rsidR="00D67419" w:rsidRPr="00DB765C">
        <w:rPr>
          <w:lang w:val="en-NZ"/>
        </w:rPr>
        <w:t xml:space="preserve">donee organisations often </w:t>
      </w:r>
      <w:r w:rsidR="00B53AB2" w:rsidRPr="00DB765C">
        <w:rPr>
          <w:lang w:val="en-NZ"/>
        </w:rPr>
        <w:t>play a key role in fulfilling these objectives.</w:t>
      </w:r>
      <w:r w:rsidR="00D67419" w:rsidRPr="00422018">
        <w:rPr>
          <w:lang w:val="en-NZ"/>
        </w:rPr>
        <w:t xml:space="preserve"> </w:t>
      </w:r>
    </w:p>
    <w:p w14:paraId="16C4C097" w14:textId="77777777" w:rsidR="00F8104B" w:rsidRDefault="00F8104B">
      <w:pPr>
        <w:spacing w:after="0" w:line="240" w:lineRule="auto"/>
        <w:rPr>
          <w:b/>
          <w:bCs/>
          <w:lang w:val="en-NZ"/>
        </w:rPr>
      </w:pPr>
      <w:r>
        <w:rPr>
          <w:b/>
          <w:bCs/>
          <w:lang w:val="en-NZ"/>
        </w:rPr>
        <w:br w:type="page"/>
      </w:r>
    </w:p>
    <w:p w14:paraId="1AB72A5D" w14:textId="30FDE19B" w:rsidR="00F45B9E" w:rsidRPr="00A64053" w:rsidRDefault="00F45B9E" w:rsidP="00F45B9E">
      <w:pPr>
        <w:rPr>
          <w:b/>
          <w:bCs/>
          <w:lang w:val="en-NZ"/>
        </w:rPr>
      </w:pPr>
      <w:r>
        <w:rPr>
          <w:b/>
          <w:bCs/>
          <w:lang w:val="en-NZ"/>
        </w:rPr>
        <w:t>Imputation</w:t>
      </w:r>
    </w:p>
    <w:p w14:paraId="7FE0FC7C" w14:textId="6DF2C143" w:rsidR="00F45B9E" w:rsidRPr="00A864A5" w:rsidRDefault="00F45B9E" w:rsidP="00F45B9E">
      <w:pPr>
        <w:pStyle w:val="Heading4"/>
        <w:rPr>
          <w:lang w:val="en-NZ"/>
        </w:rPr>
      </w:pPr>
      <w:r w:rsidRPr="00A864A5">
        <w:rPr>
          <w:lang w:val="en-NZ"/>
        </w:rPr>
        <w:t xml:space="preserve">Option </w:t>
      </w:r>
      <w:r w:rsidR="000C1588">
        <w:rPr>
          <w:lang w:val="en-NZ"/>
        </w:rPr>
        <w:t>One</w:t>
      </w:r>
      <w:r w:rsidRPr="00A864A5">
        <w:rPr>
          <w:lang w:val="en-NZ"/>
        </w:rPr>
        <w:t xml:space="preserve"> – </w:t>
      </w:r>
      <w:r>
        <w:rPr>
          <w:lang w:val="en-NZ"/>
        </w:rPr>
        <w:t>Status Quo</w:t>
      </w:r>
    </w:p>
    <w:p w14:paraId="1F3721BE" w14:textId="7E3CE535" w:rsidR="00E11F90" w:rsidRPr="00E11F90" w:rsidRDefault="001C4845" w:rsidP="00E448FC">
      <w:pPr>
        <w:rPr>
          <w:lang w:val="en-NZ"/>
        </w:rPr>
      </w:pPr>
      <w:r>
        <w:rPr>
          <w:lang w:val="en-NZ"/>
        </w:rPr>
        <w:t>Under current settings, l</w:t>
      </w:r>
      <w:r w:rsidR="00E11F90">
        <w:rPr>
          <w:lang w:val="en-NZ"/>
        </w:rPr>
        <w:t xml:space="preserve">ocal authorities </w:t>
      </w:r>
      <w:r w:rsidR="00625BDD">
        <w:rPr>
          <w:lang w:val="en-NZ"/>
        </w:rPr>
        <w:t>can</w:t>
      </w:r>
      <w:r w:rsidR="00E11F90">
        <w:rPr>
          <w:lang w:val="en-NZ"/>
        </w:rPr>
        <w:t xml:space="preserve"> convert excess imputation credits to a tax loss. </w:t>
      </w:r>
      <w:r w:rsidR="006724E4">
        <w:rPr>
          <w:lang w:val="en-NZ"/>
        </w:rPr>
        <w:t>Local authorities in consolidated groups can access the group’s imputation credit account (ICA) and the local authority can credit to the group’s ICA all imputation credits attached to dividends</w:t>
      </w:r>
      <w:r w:rsidR="00965EDA">
        <w:rPr>
          <w:lang w:val="en-NZ"/>
        </w:rPr>
        <w:t xml:space="preserve"> it derives from a CCO.</w:t>
      </w:r>
    </w:p>
    <w:p w14:paraId="765D93BC" w14:textId="01323006" w:rsidR="00A911ED" w:rsidRDefault="2AEA4ACE" w:rsidP="00311949">
      <w:pPr>
        <w:rPr>
          <w:lang w:val="en-NZ"/>
        </w:rPr>
      </w:pPr>
      <w:r w:rsidRPr="4F287DCD">
        <w:rPr>
          <w:u w:val="single"/>
          <w:lang w:val="en-NZ"/>
        </w:rPr>
        <w:t>Integrity</w:t>
      </w:r>
      <w:r w:rsidR="076D7AC1" w:rsidRPr="4F287DCD">
        <w:rPr>
          <w:u w:val="single"/>
          <w:lang w:val="en-NZ"/>
        </w:rPr>
        <w:t xml:space="preserve"> of</w:t>
      </w:r>
      <w:r w:rsidR="55A7C0DC" w:rsidRPr="4F287DCD">
        <w:rPr>
          <w:u w:val="single"/>
          <w:lang w:val="en-NZ"/>
        </w:rPr>
        <w:t xml:space="preserve"> the tax system</w:t>
      </w:r>
      <w:r w:rsidRPr="4F287DCD">
        <w:rPr>
          <w:lang w:val="en-NZ"/>
        </w:rPr>
        <w:t xml:space="preserve">: </w:t>
      </w:r>
      <w:r w:rsidR="47CAB7D6" w:rsidRPr="4F287DCD">
        <w:rPr>
          <w:lang w:val="en-NZ"/>
        </w:rPr>
        <w:t xml:space="preserve">The current imputation settings pose significant integrity risks to </w:t>
      </w:r>
      <w:r w:rsidR="59F0E0ED" w:rsidRPr="4F287DCD">
        <w:rPr>
          <w:lang w:val="en-NZ"/>
        </w:rPr>
        <w:t>the tax system.</w:t>
      </w:r>
      <w:r w:rsidR="6232766B" w:rsidRPr="4F287DCD">
        <w:rPr>
          <w:lang w:val="en-NZ"/>
        </w:rPr>
        <w:t xml:space="preserve"> By </w:t>
      </w:r>
      <w:r w:rsidR="3A0EB198" w:rsidRPr="4F287DCD">
        <w:rPr>
          <w:lang w:val="en-NZ"/>
        </w:rPr>
        <w:t>maintaining current settings</w:t>
      </w:r>
      <w:r w:rsidR="59F0E0ED" w:rsidRPr="4F287DCD">
        <w:rPr>
          <w:lang w:val="en-NZ"/>
        </w:rPr>
        <w:t>, local authorities will be incentivised to sat</w:t>
      </w:r>
      <w:r w:rsidR="35409828" w:rsidRPr="4F287DCD">
        <w:rPr>
          <w:lang w:val="en-NZ"/>
        </w:rPr>
        <w:t xml:space="preserve">isfy the tax liability on dividends </w:t>
      </w:r>
      <w:r w:rsidR="1CD82DA8" w:rsidRPr="4F287DCD">
        <w:rPr>
          <w:lang w:val="en-NZ"/>
        </w:rPr>
        <w:t xml:space="preserve">with </w:t>
      </w:r>
      <w:r w:rsidR="35409828" w:rsidRPr="4F287DCD">
        <w:rPr>
          <w:lang w:val="en-NZ"/>
        </w:rPr>
        <w:t>available deductions</w:t>
      </w:r>
      <w:r w:rsidR="3217DADE" w:rsidRPr="4F287DCD">
        <w:rPr>
          <w:lang w:val="en-NZ"/>
        </w:rPr>
        <w:t xml:space="preserve"> and convert the excess imputation credits to tax losses.</w:t>
      </w:r>
      <w:r w:rsidR="59EE81F6" w:rsidRPr="4F287DCD">
        <w:rPr>
          <w:lang w:val="en-NZ"/>
        </w:rPr>
        <w:t xml:space="preserve"> This will allow local authorities </w:t>
      </w:r>
      <w:r w:rsidR="6812ED20" w:rsidRPr="4F287DCD">
        <w:rPr>
          <w:lang w:val="en-NZ"/>
        </w:rPr>
        <w:t xml:space="preserve">to </w:t>
      </w:r>
      <w:r w:rsidR="59EE81F6" w:rsidRPr="4F287DCD">
        <w:rPr>
          <w:lang w:val="en-NZ"/>
        </w:rPr>
        <w:t>transfer the benefit of their tax-exempt status by sheltering their CCOs from tax</w:t>
      </w:r>
      <w:r w:rsidR="2FD056BD" w:rsidRPr="4F287DCD">
        <w:rPr>
          <w:lang w:val="en-NZ"/>
        </w:rPr>
        <w:t>, resulting in lower tax revenues.</w:t>
      </w:r>
    </w:p>
    <w:p w14:paraId="7BB6AA39" w14:textId="3F9E7173" w:rsidR="00311949" w:rsidRDefault="00311949" w:rsidP="00311949">
      <w:pPr>
        <w:rPr>
          <w:lang w:val="en-NZ"/>
        </w:rPr>
      </w:pPr>
      <w:r w:rsidRPr="00422018">
        <w:rPr>
          <w:u w:val="single"/>
          <w:lang w:val="en-NZ"/>
        </w:rPr>
        <w:t>Fairness and equity</w:t>
      </w:r>
      <w:r w:rsidRPr="00422018">
        <w:rPr>
          <w:lang w:val="en-NZ"/>
        </w:rPr>
        <w:t>:</w:t>
      </w:r>
      <w:r w:rsidRPr="00CF2E19">
        <w:rPr>
          <w:lang w:val="en-NZ"/>
        </w:rPr>
        <w:t xml:space="preserve"> </w:t>
      </w:r>
      <w:r w:rsidR="00956D7C" w:rsidRPr="009A0FFC">
        <w:rPr>
          <w:lang w:val="en-NZ"/>
        </w:rPr>
        <w:t>T</w:t>
      </w:r>
      <w:r w:rsidR="00956D7C">
        <w:rPr>
          <w:lang w:val="en-NZ"/>
        </w:rPr>
        <w:t xml:space="preserve">he ability to convert excess </w:t>
      </w:r>
      <w:r w:rsidR="008E0392">
        <w:rPr>
          <w:lang w:val="en-NZ"/>
        </w:rPr>
        <w:t xml:space="preserve">imputation credits to a loss </w:t>
      </w:r>
      <w:r w:rsidR="003D25E4">
        <w:rPr>
          <w:lang w:val="en-NZ"/>
        </w:rPr>
        <w:t xml:space="preserve">is inconsistent with other </w:t>
      </w:r>
      <w:r w:rsidR="00FC4C92">
        <w:rPr>
          <w:lang w:val="en-NZ"/>
        </w:rPr>
        <w:t>generally exempt entities (such as charities).</w:t>
      </w:r>
    </w:p>
    <w:p w14:paraId="0DABBFDB" w14:textId="7344DF62" w:rsidR="00E76C34" w:rsidRDefault="00E76C34" w:rsidP="00311949">
      <w:pPr>
        <w:rPr>
          <w:lang w:val="en-NZ"/>
        </w:rPr>
      </w:pPr>
      <w:r>
        <w:rPr>
          <w:lang w:val="en-NZ"/>
        </w:rPr>
        <w:t xml:space="preserve">Local authorities cannot maintain their own </w:t>
      </w:r>
      <w:r w:rsidR="00625BDD">
        <w:rPr>
          <w:lang w:val="en-NZ"/>
        </w:rPr>
        <w:t>ICA</w:t>
      </w:r>
      <w:r>
        <w:rPr>
          <w:lang w:val="en-NZ"/>
        </w:rPr>
        <w:t>. However, a council’s consolidated group can benefit via the group’s consolidated group account. Th</w:t>
      </w:r>
      <w:r w:rsidR="00622649">
        <w:rPr>
          <w:lang w:val="en-NZ"/>
        </w:rPr>
        <w:t>e status quo is unfair for</w:t>
      </w:r>
      <w:r>
        <w:rPr>
          <w:lang w:val="en-NZ"/>
        </w:rPr>
        <w:t xml:space="preserve"> councils that are not part of a consolidated group</w:t>
      </w:r>
      <w:r w:rsidR="00622649">
        <w:rPr>
          <w:lang w:val="en-NZ"/>
        </w:rPr>
        <w:t>, as they are not able to take advantage of the same benefits</w:t>
      </w:r>
      <w:r>
        <w:rPr>
          <w:lang w:val="en-NZ"/>
        </w:rPr>
        <w:t>.</w:t>
      </w:r>
    </w:p>
    <w:p w14:paraId="568C6565" w14:textId="73653D41" w:rsidR="00D52CBB" w:rsidRPr="00422018" w:rsidRDefault="00625BDD" w:rsidP="00C76B03">
      <w:pPr>
        <w:rPr>
          <w:lang w:val="en-NZ"/>
        </w:rPr>
      </w:pPr>
      <w:r>
        <w:rPr>
          <w:u w:val="single"/>
          <w:lang w:val="en-NZ"/>
        </w:rPr>
        <w:t>I</w:t>
      </w:r>
      <w:r w:rsidR="00C76B03" w:rsidRPr="00422018">
        <w:rPr>
          <w:u w:val="single"/>
          <w:lang w:val="en-NZ"/>
        </w:rPr>
        <w:t>mpact on local government</w:t>
      </w:r>
      <w:r w:rsidR="00C76B03" w:rsidRPr="00422018">
        <w:rPr>
          <w:lang w:val="en-NZ"/>
        </w:rPr>
        <w:t>:</w:t>
      </w:r>
      <w:r w:rsidR="001C44A1" w:rsidRPr="00422018">
        <w:rPr>
          <w:lang w:val="en-NZ"/>
        </w:rPr>
        <w:t xml:space="preserve"> The </w:t>
      </w:r>
      <w:r w:rsidR="0040305A" w:rsidRPr="00422018">
        <w:rPr>
          <w:lang w:val="en-NZ"/>
        </w:rPr>
        <w:t xml:space="preserve">current settings allow a local authority to convert excess imputation credits to a loss and use this loss to </w:t>
      </w:r>
      <w:r w:rsidR="00B415F3" w:rsidRPr="00422018">
        <w:rPr>
          <w:lang w:val="en-NZ"/>
        </w:rPr>
        <w:t xml:space="preserve">satisfy a future tax liability of the local authority, or to </w:t>
      </w:r>
      <w:r w:rsidR="00BC6B43" w:rsidRPr="00422018">
        <w:rPr>
          <w:lang w:val="en-NZ"/>
        </w:rPr>
        <w:t xml:space="preserve">offset against the income </w:t>
      </w:r>
      <w:r w:rsidR="00707ABF" w:rsidRPr="00422018">
        <w:rPr>
          <w:lang w:val="en-NZ"/>
        </w:rPr>
        <w:t>of the CCO group</w:t>
      </w:r>
      <w:r w:rsidR="0040305A" w:rsidRPr="00422018">
        <w:rPr>
          <w:lang w:val="en-NZ"/>
        </w:rPr>
        <w:t>.</w:t>
      </w:r>
      <w:r w:rsidR="00AE4B68" w:rsidRPr="00422018">
        <w:rPr>
          <w:lang w:val="en-NZ"/>
        </w:rPr>
        <w:t xml:space="preserve"> </w:t>
      </w:r>
    </w:p>
    <w:p w14:paraId="0E7FE23B" w14:textId="720997AA" w:rsidR="00B51CE4" w:rsidRDefault="03AAE382" w:rsidP="00C76B03">
      <w:pPr>
        <w:rPr>
          <w:lang w:val="en-NZ"/>
        </w:rPr>
      </w:pPr>
      <w:r w:rsidRPr="4F287DCD">
        <w:rPr>
          <w:lang w:val="en-NZ"/>
        </w:rPr>
        <w:t xml:space="preserve">Local authorities are </w:t>
      </w:r>
      <w:r w:rsidR="74A8B690" w:rsidRPr="4F287DCD">
        <w:rPr>
          <w:lang w:val="en-NZ"/>
        </w:rPr>
        <w:t>prohibited from</w:t>
      </w:r>
      <w:r w:rsidRPr="4F287DCD">
        <w:rPr>
          <w:lang w:val="en-NZ"/>
        </w:rPr>
        <w:t xml:space="preserve"> maintain</w:t>
      </w:r>
      <w:r w:rsidR="416C3B8D" w:rsidRPr="4F287DCD">
        <w:rPr>
          <w:lang w:val="en-NZ"/>
        </w:rPr>
        <w:t>ing</w:t>
      </w:r>
      <w:r w:rsidRPr="4F287DCD">
        <w:rPr>
          <w:lang w:val="en-NZ"/>
        </w:rPr>
        <w:t xml:space="preserve"> an imputation credit account in their own </w:t>
      </w:r>
      <w:r w:rsidR="2C1C5AC7" w:rsidRPr="4F287DCD">
        <w:rPr>
          <w:lang w:val="en-NZ"/>
        </w:rPr>
        <w:t>right</w:t>
      </w:r>
      <w:r w:rsidRPr="4F287DCD">
        <w:rPr>
          <w:lang w:val="en-NZ"/>
        </w:rPr>
        <w:t xml:space="preserve">. </w:t>
      </w:r>
      <w:r w:rsidR="6D5B30C3" w:rsidRPr="4F287DCD">
        <w:rPr>
          <w:lang w:val="en-NZ"/>
        </w:rPr>
        <w:t xml:space="preserve">The current imputation rules provide </w:t>
      </w:r>
      <w:r w:rsidR="3BDBC0DF" w:rsidRPr="4F287DCD">
        <w:rPr>
          <w:lang w:val="en-NZ"/>
        </w:rPr>
        <w:t>an economic benefit to councils i</w:t>
      </w:r>
      <w:r w:rsidR="64EFF009" w:rsidRPr="4F287DCD">
        <w:rPr>
          <w:lang w:val="en-NZ"/>
        </w:rPr>
        <w:t>n consolidated groups</w:t>
      </w:r>
      <w:r w:rsidR="24919A58" w:rsidRPr="4F287DCD">
        <w:rPr>
          <w:lang w:val="en-NZ"/>
        </w:rPr>
        <w:t>.</w:t>
      </w:r>
      <w:r w:rsidR="35672BA4" w:rsidRPr="4F287DCD">
        <w:rPr>
          <w:lang w:val="en-NZ"/>
        </w:rPr>
        <w:t xml:space="preserve"> </w:t>
      </w:r>
      <w:r w:rsidR="4F007888" w:rsidRPr="4F287DCD">
        <w:rPr>
          <w:lang w:val="en-NZ"/>
        </w:rPr>
        <w:t xml:space="preserve">CCOs in a consolidated group can use imputation credits that have been received by a local authority </w:t>
      </w:r>
      <w:r w:rsidR="67712667" w:rsidRPr="4F287DCD">
        <w:rPr>
          <w:lang w:val="en-NZ"/>
        </w:rPr>
        <w:t>and credit to the group’s imputation credit account.</w:t>
      </w:r>
      <w:r w:rsidR="2D1BD274" w:rsidRPr="4F287DCD">
        <w:rPr>
          <w:lang w:val="en-NZ"/>
        </w:rPr>
        <w:t xml:space="preserve"> This can result in recycling of imputation credits.</w:t>
      </w:r>
    </w:p>
    <w:p w14:paraId="7B1EB0C8" w14:textId="39E21D1E" w:rsidR="00C76B03" w:rsidRPr="00422018" w:rsidRDefault="00B51CE4" w:rsidP="00C76B03">
      <w:pPr>
        <w:rPr>
          <w:lang w:val="en-NZ"/>
        </w:rPr>
      </w:pPr>
      <w:r w:rsidRPr="00553829">
        <w:rPr>
          <w:lang w:val="en-NZ"/>
        </w:rPr>
        <w:t>The flow-on effect</w:t>
      </w:r>
      <w:r>
        <w:rPr>
          <w:lang w:val="en-NZ"/>
        </w:rPr>
        <w:t xml:space="preserve"> of the current imputation rules</w:t>
      </w:r>
      <w:r w:rsidRPr="00553829">
        <w:rPr>
          <w:lang w:val="en-NZ"/>
        </w:rPr>
        <w:t xml:space="preserve"> is that CCOs can pay larger dividends to councils</w:t>
      </w:r>
      <w:r>
        <w:rPr>
          <w:lang w:val="en-NZ"/>
        </w:rPr>
        <w:t xml:space="preserve"> because they have less tax to pay</w:t>
      </w:r>
      <w:r w:rsidRPr="00553829">
        <w:rPr>
          <w:lang w:val="en-NZ"/>
        </w:rPr>
        <w:t>.</w:t>
      </w:r>
    </w:p>
    <w:p w14:paraId="6390F0E0" w14:textId="750C42D3" w:rsidR="008A57F4" w:rsidRDefault="00311949" w:rsidP="00311949">
      <w:pPr>
        <w:rPr>
          <w:lang w:val="en-NZ"/>
        </w:rPr>
      </w:pPr>
      <w:r w:rsidRPr="003B7709">
        <w:rPr>
          <w:u w:val="single"/>
          <w:lang w:val="en-NZ"/>
        </w:rPr>
        <w:t xml:space="preserve">Fiscal </w:t>
      </w:r>
      <w:r w:rsidR="00C76B03">
        <w:rPr>
          <w:u w:val="single"/>
          <w:lang w:val="en-NZ"/>
        </w:rPr>
        <w:t>impact</w:t>
      </w:r>
      <w:r>
        <w:rPr>
          <w:lang w:val="en-NZ"/>
        </w:rPr>
        <w:t xml:space="preserve">: </w:t>
      </w:r>
      <w:r w:rsidR="00C215DE">
        <w:rPr>
          <w:lang w:val="en-NZ"/>
        </w:rPr>
        <w:t xml:space="preserve">In the 2020 income year, </w:t>
      </w:r>
      <w:r w:rsidR="00CD036B">
        <w:rPr>
          <w:lang w:val="en-NZ"/>
        </w:rPr>
        <w:t>the conversion of excess imputation credits by local authorities to tax losses had a tax effect of approximately $10.6m.</w:t>
      </w:r>
    </w:p>
    <w:p w14:paraId="20683545" w14:textId="382D68F4" w:rsidR="008A57F4" w:rsidRDefault="12AD066F" w:rsidP="00311949">
      <w:pPr>
        <w:rPr>
          <w:lang w:val="en-NZ"/>
        </w:rPr>
      </w:pPr>
      <w:r w:rsidRPr="4F287DCD">
        <w:rPr>
          <w:lang w:val="en-NZ"/>
        </w:rPr>
        <w:t xml:space="preserve">Although maintaining </w:t>
      </w:r>
      <w:r w:rsidR="15176645" w:rsidRPr="4F287DCD">
        <w:rPr>
          <w:lang w:val="en-NZ"/>
        </w:rPr>
        <w:t xml:space="preserve">the status quo will have no direct fiscal impact, imputation credit conversion </w:t>
      </w:r>
      <w:r w:rsidR="702D0099" w:rsidRPr="4F287DCD">
        <w:rPr>
          <w:lang w:val="en-NZ"/>
        </w:rPr>
        <w:t xml:space="preserve">in this context </w:t>
      </w:r>
      <w:r w:rsidR="15176645" w:rsidRPr="4F287DCD">
        <w:rPr>
          <w:lang w:val="en-NZ"/>
        </w:rPr>
        <w:t xml:space="preserve">can be considered </w:t>
      </w:r>
      <w:r w:rsidR="1F79CC17" w:rsidRPr="4F287DCD">
        <w:rPr>
          <w:lang w:val="en-NZ"/>
        </w:rPr>
        <w:t>as lost revenue for the government</w:t>
      </w:r>
      <w:r w:rsidR="516B70BB" w:rsidRPr="4F287DCD">
        <w:rPr>
          <w:lang w:val="en-NZ"/>
        </w:rPr>
        <w:t xml:space="preserve"> and gained funding for local government</w:t>
      </w:r>
      <w:r w:rsidR="1F79CC17" w:rsidRPr="4F287DCD">
        <w:rPr>
          <w:lang w:val="en-NZ"/>
        </w:rPr>
        <w:t>.</w:t>
      </w:r>
    </w:p>
    <w:p w14:paraId="6090B23D" w14:textId="27A64630" w:rsidR="001625E5" w:rsidRDefault="001625E5" w:rsidP="00311949">
      <w:pPr>
        <w:rPr>
          <w:lang w:val="en-NZ"/>
        </w:rPr>
      </w:pPr>
      <w:r w:rsidRPr="001625E5">
        <w:rPr>
          <w:u w:val="single"/>
          <w:lang w:val="en-NZ"/>
        </w:rPr>
        <w:t>Stakeholder support</w:t>
      </w:r>
      <w:r>
        <w:rPr>
          <w:lang w:val="en-NZ"/>
        </w:rPr>
        <w:t>:</w:t>
      </w:r>
      <w:r w:rsidR="007C25F6">
        <w:rPr>
          <w:lang w:val="en-NZ"/>
        </w:rPr>
        <w:t xml:space="preserve"> Officials undertook targeted consultation with the local government sector in early 2021.</w:t>
      </w:r>
      <w:r w:rsidR="00045292">
        <w:rPr>
          <w:lang w:val="en-NZ"/>
        </w:rPr>
        <w:t xml:space="preserve"> The sector did not argue to retain the status quo in regard to imputation. The proposals outlined in Option Two received support.</w:t>
      </w:r>
    </w:p>
    <w:p w14:paraId="172C2C77" w14:textId="726C9268" w:rsidR="00F45B9E" w:rsidRPr="00A864A5" w:rsidRDefault="43042F42" w:rsidP="00F45B9E">
      <w:pPr>
        <w:pStyle w:val="Heading4"/>
        <w:rPr>
          <w:lang w:val="en-NZ"/>
        </w:rPr>
      </w:pPr>
      <w:r w:rsidRPr="4F287DCD">
        <w:rPr>
          <w:lang w:val="en-NZ"/>
        </w:rPr>
        <w:t xml:space="preserve">Option </w:t>
      </w:r>
      <w:r w:rsidR="164D9BD6" w:rsidRPr="4F287DCD">
        <w:rPr>
          <w:lang w:val="en-NZ"/>
        </w:rPr>
        <w:t>Two</w:t>
      </w:r>
      <w:r w:rsidRPr="4F287DCD">
        <w:rPr>
          <w:lang w:val="en-NZ"/>
        </w:rPr>
        <w:t xml:space="preserve"> – </w:t>
      </w:r>
      <w:r w:rsidR="153CE572" w:rsidRPr="4F287DCD">
        <w:rPr>
          <w:lang w:val="en-NZ"/>
        </w:rPr>
        <w:t xml:space="preserve">Preventing </w:t>
      </w:r>
      <w:r w:rsidR="47EE11FA" w:rsidRPr="4F287DCD">
        <w:rPr>
          <w:lang w:val="en-NZ"/>
        </w:rPr>
        <w:t>excess imputation credit conversion to tax losses</w:t>
      </w:r>
    </w:p>
    <w:p w14:paraId="3710A351" w14:textId="4A39A66D" w:rsidR="00AA752C" w:rsidRPr="00AA752C" w:rsidRDefault="00AA752C" w:rsidP="00E448FC">
      <w:pPr>
        <w:rPr>
          <w:lang w:val="en-NZ"/>
        </w:rPr>
      </w:pPr>
      <w:r>
        <w:rPr>
          <w:lang w:val="en-NZ"/>
        </w:rPr>
        <w:t xml:space="preserve">This option would prevent local authorities from converting excess imputation credits </w:t>
      </w:r>
      <w:r w:rsidR="002E7CD2">
        <w:rPr>
          <w:lang w:val="en-NZ"/>
        </w:rPr>
        <w:t>to tax losses and would ensure that a credit does not arise to a consolidated group’s imputation credit account for imputation credits attached to dividends derived by a local authority.</w:t>
      </w:r>
    </w:p>
    <w:p w14:paraId="17FCD420" w14:textId="78A9D934" w:rsidR="00311949" w:rsidRDefault="00311949" w:rsidP="00311949">
      <w:pPr>
        <w:rPr>
          <w:lang w:val="en-NZ"/>
        </w:rPr>
      </w:pPr>
      <w:r w:rsidRPr="00254132">
        <w:rPr>
          <w:u w:val="single"/>
          <w:lang w:val="en-NZ"/>
        </w:rPr>
        <w:t>Integrity</w:t>
      </w:r>
      <w:r w:rsidR="00C76B03">
        <w:rPr>
          <w:u w:val="single"/>
          <w:lang w:val="en-NZ"/>
        </w:rPr>
        <w:t xml:space="preserve"> of</w:t>
      </w:r>
      <w:r w:rsidR="00A33D75">
        <w:rPr>
          <w:u w:val="single"/>
          <w:lang w:val="en-NZ"/>
        </w:rPr>
        <w:t xml:space="preserve"> the tax system</w:t>
      </w:r>
      <w:r>
        <w:rPr>
          <w:lang w:val="en-NZ"/>
        </w:rPr>
        <w:t xml:space="preserve">: </w:t>
      </w:r>
      <w:r w:rsidR="00BD4355">
        <w:rPr>
          <w:lang w:val="en-NZ"/>
        </w:rPr>
        <w:t xml:space="preserve">This option reduces significant integrity risks in local government tax settings. It </w:t>
      </w:r>
      <w:r w:rsidR="005B3F03">
        <w:rPr>
          <w:lang w:val="en-NZ"/>
        </w:rPr>
        <w:t>largely reduces the ability of local authorities to transfer the benefit of their tax-exempt status to their CCOs</w:t>
      </w:r>
      <w:r w:rsidR="008F52F4">
        <w:rPr>
          <w:lang w:val="en-NZ"/>
        </w:rPr>
        <w:t>. This option would help maintain the government’s tax revenues.</w:t>
      </w:r>
    </w:p>
    <w:p w14:paraId="36BEC66A" w14:textId="0B5C31C7" w:rsidR="00311949" w:rsidRDefault="00311949" w:rsidP="00311949">
      <w:pPr>
        <w:rPr>
          <w:lang w:val="en-NZ"/>
        </w:rPr>
      </w:pPr>
      <w:r w:rsidRPr="00422018">
        <w:rPr>
          <w:u w:val="single"/>
          <w:lang w:val="en-NZ"/>
        </w:rPr>
        <w:t>Fairness and equity</w:t>
      </w:r>
      <w:r w:rsidRPr="00422018">
        <w:rPr>
          <w:lang w:val="en-NZ"/>
        </w:rPr>
        <w:t>:</w:t>
      </w:r>
      <w:r w:rsidRPr="003B7709">
        <w:rPr>
          <w:lang w:val="en-NZ"/>
        </w:rPr>
        <w:t xml:space="preserve"> </w:t>
      </w:r>
      <w:r w:rsidR="002B45B0">
        <w:rPr>
          <w:lang w:val="en-NZ"/>
        </w:rPr>
        <w:t>Preventing local authorities from converting excess imputation credits</w:t>
      </w:r>
      <w:r w:rsidR="00FC4C92">
        <w:rPr>
          <w:lang w:val="en-NZ"/>
        </w:rPr>
        <w:t xml:space="preserve"> to a loss ensures that local authorities</w:t>
      </w:r>
      <w:r w:rsidR="00E32D97">
        <w:rPr>
          <w:lang w:val="en-NZ"/>
        </w:rPr>
        <w:t xml:space="preserve"> are treated similarly to other generally exempt entities (such as charities).</w:t>
      </w:r>
    </w:p>
    <w:p w14:paraId="71254880" w14:textId="330B381A" w:rsidR="00522408" w:rsidRPr="00422018" w:rsidRDefault="00522408" w:rsidP="00311949">
      <w:pPr>
        <w:rPr>
          <w:lang w:val="en-NZ"/>
        </w:rPr>
      </w:pPr>
      <w:r>
        <w:rPr>
          <w:lang w:val="en-NZ"/>
        </w:rPr>
        <w:t xml:space="preserve">Ensuring that a credit does not arise to a consolidated group’s imputation credit account for imputation credits attached to dividends derived by a local authority would improve the fairness of the tax rules by ensuring that local authorities </w:t>
      </w:r>
      <w:r w:rsidR="00180C7E">
        <w:rPr>
          <w:lang w:val="en-NZ"/>
        </w:rPr>
        <w:t>have the same imputation treatment regardless of whether they are in a consolidated group or not.</w:t>
      </w:r>
    </w:p>
    <w:p w14:paraId="691EEBB6" w14:textId="3EE996D8" w:rsidR="00F944D8" w:rsidRPr="00422018" w:rsidRDefault="00C76B03" w:rsidP="00311949">
      <w:pPr>
        <w:rPr>
          <w:lang w:val="en-NZ"/>
        </w:rPr>
      </w:pPr>
      <w:r w:rsidRPr="00422018">
        <w:rPr>
          <w:u w:val="single"/>
          <w:lang w:val="en-NZ"/>
        </w:rPr>
        <w:t>Impact on local government</w:t>
      </w:r>
      <w:r w:rsidRPr="00873FA2">
        <w:rPr>
          <w:lang w:val="en-NZ"/>
        </w:rPr>
        <w:t xml:space="preserve">: </w:t>
      </w:r>
      <w:r w:rsidR="003D7CCB" w:rsidRPr="00422018">
        <w:rPr>
          <w:lang w:val="en-NZ"/>
        </w:rPr>
        <w:t>This option would have an uneven funding impact on councils. Inland Revenue data shows that 4</w:t>
      </w:r>
      <w:r w:rsidR="00066612" w:rsidRPr="00422018">
        <w:rPr>
          <w:lang w:val="en-NZ"/>
        </w:rPr>
        <w:t>4</w:t>
      </w:r>
      <w:r w:rsidR="003D7CCB" w:rsidRPr="00422018">
        <w:rPr>
          <w:lang w:val="en-NZ"/>
        </w:rPr>
        <w:t xml:space="preserve"> councils converted excess imputation credits to losses in the 2020 income year.</w:t>
      </w:r>
      <w:r w:rsidR="00066612" w:rsidRPr="00422018">
        <w:rPr>
          <w:lang w:val="en-NZ"/>
        </w:rPr>
        <w:t xml:space="preserve"> 10 councils accounted for 91% of the total amount converted. This option will be a funding impact for councils to the extent that they were taking advantage of these rules.</w:t>
      </w:r>
    </w:p>
    <w:p w14:paraId="759784A3" w14:textId="08A486B8" w:rsidR="00396921" w:rsidRDefault="00F944D8" w:rsidP="00311949">
      <w:pPr>
        <w:rPr>
          <w:lang w:val="en-NZ"/>
        </w:rPr>
      </w:pPr>
      <w:r w:rsidRPr="00422018">
        <w:rPr>
          <w:lang w:val="en-NZ"/>
        </w:rPr>
        <w:t xml:space="preserve">Preventing local authorities from converting excess imputation credits to losses would </w:t>
      </w:r>
      <w:r w:rsidR="00873FA2" w:rsidRPr="00422018">
        <w:rPr>
          <w:lang w:val="en-NZ"/>
        </w:rPr>
        <w:t>reduce the ability for councils to reduce the taxable income of their CCOs. This will likely lead to smaller dividends from CCOs to local authorities.</w:t>
      </w:r>
    </w:p>
    <w:p w14:paraId="2AD0EABB" w14:textId="122D8656" w:rsidR="001D093F" w:rsidRPr="00873FA2" w:rsidRDefault="001D093F" w:rsidP="00311949">
      <w:pPr>
        <w:rPr>
          <w:lang w:val="en-NZ"/>
        </w:rPr>
      </w:pPr>
      <w:r>
        <w:rPr>
          <w:rFonts w:cs="Arial"/>
          <w:szCs w:val="22"/>
          <w:lang w:val="en-NZ"/>
        </w:rPr>
        <w:t xml:space="preserve">The </w:t>
      </w:r>
      <w:r w:rsidR="00A67867">
        <w:rPr>
          <w:rFonts w:cs="Arial"/>
          <w:szCs w:val="22"/>
          <w:lang w:val="en-NZ"/>
        </w:rPr>
        <w:t xml:space="preserve">cost of </w:t>
      </w:r>
      <w:r w:rsidR="00681804">
        <w:rPr>
          <w:rFonts w:cs="Arial"/>
          <w:szCs w:val="22"/>
          <w:lang w:val="en-NZ"/>
        </w:rPr>
        <w:t>this proposal</w:t>
      </w:r>
      <w:r w:rsidR="00A67867">
        <w:rPr>
          <w:rFonts w:cs="Arial"/>
          <w:szCs w:val="22"/>
          <w:lang w:val="en-NZ"/>
        </w:rPr>
        <w:t xml:space="preserve"> to local government</w:t>
      </w:r>
      <w:r>
        <w:rPr>
          <w:rFonts w:cs="Arial"/>
          <w:szCs w:val="22"/>
          <w:lang w:val="en-NZ"/>
        </w:rPr>
        <w:t xml:space="preserve"> is expected to be $</w:t>
      </w:r>
      <w:r w:rsidR="00681804">
        <w:rPr>
          <w:rFonts w:cs="Arial"/>
          <w:szCs w:val="22"/>
          <w:lang w:val="en-NZ"/>
        </w:rPr>
        <w:t>10.6</w:t>
      </w:r>
      <w:r>
        <w:rPr>
          <w:rFonts w:cs="Arial"/>
          <w:szCs w:val="22"/>
          <w:lang w:val="en-NZ"/>
        </w:rPr>
        <w:t>m per year. For context, the surplus for all council groups in the 2020 financial year was $2,322m. Since the impact of this proposal is relatively small, the flow-on economic impacts are expected to be relatively small.</w:t>
      </w:r>
    </w:p>
    <w:p w14:paraId="2EF94F51" w14:textId="37399582" w:rsidR="00B9044D" w:rsidRDefault="00311949" w:rsidP="00B9044D">
      <w:pPr>
        <w:rPr>
          <w:lang w:val="en-NZ"/>
        </w:rPr>
      </w:pPr>
      <w:r w:rsidRPr="5BE31704">
        <w:rPr>
          <w:u w:val="single"/>
          <w:lang w:val="en-NZ"/>
        </w:rPr>
        <w:t xml:space="preserve">Fiscal </w:t>
      </w:r>
      <w:r w:rsidR="00C76B03">
        <w:rPr>
          <w:u w:val="single"/>
          <w:lang w:val="en-NZ"/>
        </w:rPr>
        <w:t>impact</w:t>
      </w:r>
      <w:r w:rsidRPr="5BE31704">
        <w:rPr>
          <w:lang w:val="en-NZ"/>
        </w:rPr>
        <w:t xml:space="preserve">: </w:t>
      </w:r>
      <w:r w:rsidR="00B9044D" w:rsidRPr="5BE31704">
        <w:rPr>
          <w:lang w:val="en-NZ"/>
        </w:rPr>
        <w:t xml:space="preserve">In the 2020 income year, the conversion of excess imputation credits by local authorities to tax losses had a tax effect of approximately $10.6m. </w:t>
      </w:r>
      <w:r w:rsidR="00BF5C82" w:rsidRPr="5BE31704">
        <w:rPr>
          <w:lang w:val="en-NZ"/>
        </w:rPr>
        <w:t xml:space="preserve">This option </w:t>
      </w:r>
      <w:r w:rsidR="00A33D75">
        <w:rPr>
          <w:lang w:val="en-NZ"/>
        </w:rPr>
        <w:t>would</w:t>
      </w:r>
      <w:r w:rsidR="00BF5C82" w:rsidRPr="5BE31704">
        <w:rPr>
          <w:lang w:val="en-NZ"/>
        </w:rPr>
        <w:t xml:space="preserve"> be a revenue gain for the government and </w:t>
      </w:r>
      <w:r w:rsidR="00A33D75">
        <w:rPr>
          <w:lang w:val="en-NZ"/>
        </w:rPr>
        <w:t>would reduce</w:t>
      </w:r>
      <w:r w:rsidR="00F83CC3">
        <w:rPr>
          <w:lang w:val="en-NZ"/>
        </w:rPr>
        <w:t xml:space="preserve"> the amount of income of</w:t>
      </w:r>
      <w:r w:rsidR="00BF5C82" w:rsidRPr="5BE31704">
        <w:rPr>
          <w:lang w:val="en-NZ"/>
        </w:rPr>
        <w:t xml:space="preserve"> local government.</w:t>
      </w:r>
    </w:p>
    <w:p w14:paraId="2C7A7625" w14:textId="65CC90B3" w:rsidR="000B0D4D" w:rsidRPr="00E448FC" w:rsidRDefault="001625E5" w:rsidP="00E448FC">
      <w:pPr>
        <w:rPr>
          <w:lang w:val="en-NZ"/>
        </w:rPr>
      </w:pPr>
      <w:r w:rsidRPr="5BE31704">
        <w:rPr>
          <w:u w:val="single"/>
          <w:lang w:val="en-NZ"/>
        </w:rPr>
        <w:t>Stakeholder support</w:t>
      </w:r>
      <w:r w:rsidRPr="5BE31704">
        <w:rPr>
          <w:lang w:val="en-NZ"/>
        </w:rPr>
        <w:t>: Officials undertook targeted consultation with the local government sector in early 2021</w:t>
      </w:r>
      <w:r w:rsidR="00045292" w:rsidRPr="5BE31704">
        <w:rPr>
          <w:lang w:val="en-NZ"/>
        </w:rPr>
        <w:t>. The sector did not have strong views on the imputation problem, but</w:t>
      </w:r>
      <w:r w:rsidRPr="5BE31704">
        <w:rPr>
          <w:lang w:val="en-NZ"/>
        </w:rPr>
        <w:t xml:space="preserve"> </w:t>
      </w:r>
      <w:r w:rsidR="00045292" w:rsidRPr="5BE31704">
        <w:rPr>
          <w:lang w:val="en-NZ"/>
        </w:rPr>
        <w:t>these</w:t>
      </w:r>
      <w:r w:rsidR="00164CB9" w:rsidRPr="5BE31704">
        <w:rPr>
          <w:lang w:val="en-NZ"/>
        </w:rPr>
        <w:t xml:space="preserve"> </w:t>
      </w:r>
      <w:r w:rsidR="007C25F6" w:rsidRPr="5BE31704">
        <w:rPr>
          <w:lang w:val="en-NZ"/>
        </w:rPr>
        <w:t>proposals received support</w:t>
      </w:r>
      <w:r w:rsidRPr="5BE31704">
        <w:rPr>
          <w:lang w:val="en-NZ"/>
        </w:rPr>
        <w:t>.</w:t>
      </w:r>
    </w:p>
    <w:p w14:paraId="5B5885BE" w14:textId="77777777" w:rsidR="00D71CE0" w:rsidRPr="00A864A5" w:rsidRDefault="00D71CE0" w:rsidP="00D71CE0">
      <w:pPr>
        <w:pStyle w:val="Heading3"/>
        <w:rPr>
          <w:lang w:val="en-NZ"/>
        </w:rPr>
        <w:sectPr w:rsidR="00D71CE0" w:rsidRPr="00A864A5" w:rsidSect="00D71CE0">
          <w:headerReference w:type="even" r:id="rId7"/>
          <w:headerReference w:type="default" r:id="rId8"/>
          <w:footerReference w:type="even" r:id="rId9"/>
          <w:footerReference w:type="default" r:id="rId10"/>
          <w:pgSz w:w="11906" w:h="16838" w:code="9"/>
          <w:pgMar w:top="1134" w:right="1418" w:bottom="992" w:left="1418" w:header="709" w:footer="709" w:gutter="0"/>
          <w:cols w:space="708"/>
          <w:docGrid w:linePitch="360"/>
        </w:sectPr>
      </w:pPr>
    </w:p>
    <w:p w14:paraId="4EC02C43" w14:textId="74049F4A" w:rsidR="00D71CE0" w:rsidRDefault="00E835B9" w:rsidP="001E7D01">
      <w:pPr>
        <w:pStyle w:val="Heading3"/>
        <w:rPr>
          <w:lang w:val="en-NZ"/>
        </w:rPr>
      </w:pPr>
      <w:r>
        <w:rPr>
          <w:lang w:val="en-NZ"/>
        </w:rPr>
        <w:t xml:space="preserve">Dividends: </w:t>
      </w:r>
      <w:r w:rsidR="00DB51CD">
        <w:rPr>
          <w:lang w:val="en-NZ"/>
        </w:rPr>
        <w:t>How do the options compare to the status quo?</w:t>
      </w:r>
    </w:p>
    <w:tbl>
      <w:tblPr>
        <w:tblW w:w="9356" w:type="dxa"/>
        <w:tblInd w:w="-1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2849"/>
        <w:gridCol w:w="4678"/>
      </w:tblGrid>
      <w:tr w:rsidR="0087699B" w:rsidRPr="00A864A5" w14:paraId="64606FB2" w14:textId="77777777" w:rsidTr="008B461F">
        <w:trPr>
          <w:trHeight w:val="395"/>
        </w:trPr>
        <w:tc>
          <w:tcPr>
            <w:tcW w:w="1829" w:type="dxa"/>
            <w:shd w:val="clear" w:color="auto" w:fill="99CDDD"/>
            <w:vAlign w:val="center"/>
          </w:tcPr>
          <w:p w14:paraId="3D6EF1B6" w14:textId="15F16375" w:rsidR="00CF50D1" w:rsidRPr="002B2006" w:rsidRDefault="00CF50D1" w:rsidP="004C056B">
            <w:pPr>
              <w:spacing w:before="60" w:after="60" w:line="276" w:lineRule="auto"/>
              <w:jc w:val="center"/>
              <w:rPr>
                <w:rFonts w:cs="Arial"/>
                <w:bCs/>
                <w:color w:val="FFFFFF"/>
                <w:sz w:val="20"/>
                <w:szCs w:val="24"/>
                <w:lang w:val="en-NZ"/>
              </w:rPr>
            </w:pPr>
          </w:p>
        </w:tc>
        <w:tc>
          <w:tcPr>
            <w:tcW w:w="2849" w:type="dxa"/>
            <w:shd w:val="clear" w:color="auto" w:fill="99CDDD"/>
            <w:vAlign w:val="center"/>
          </w:tcPr>
          <w:p w14:paraId="643BB81E" w14:textId="0F1022FE" w:rsidR="00CF50D1" w:rsidRPr="00A864A5" w:rsidRDefault="00CF50D1" w:rsidP="004C056B">
            <w:pPr>
              <w:spacing w:before="60" w:after="60" w:line="240" w:lineRule="auto"/>
              <w:jc w:val="center"/>
              <w:rPr>
                <w:rFonts w:cs="Arial"/>
                <w:b/>
                <w:color w:val="000000"/>
                <w:szCs w:val="22"/>
                <w:lang w:val="en-NZ"/>
              </w:rPr>
            </w:pPr>
            <w:r w:rsidRPr="00A864A5">
              <w:rPr>
                <w:rFonts w:cs="Arial"/>
                <w:b/>
                <w:color w:val="000000"/>
                <w:szCs w:val="22"/>
                <w:lang w:val="en-NZ"/>
              </w:rPr>
              <w:t>Option One</w:t>
            </w:r>
            <w:r>
              <w:rPr>
                <w:rFonts w:cs="Arial"/>
                <w:b/>
                <w:color w:val="000000"/>
                <w:szCs w:val="22"/>
                <w:lang w:val="en-NZ"/>
              </w:rPr>
              <w:t>: Status Quo</w:t>
            </w:r>
          </w:p>
        </w:tc>
        <w:tc>
          <w:tcPr>
            <w:tcW w:w="4678" w:type="dxa"/>
            <w:shd w:val="clear" w:color="auto" w:fill="99CDDD"/>
            <w:vAlign w:val="center"/>
          </w:tcPr>
          <w:p w14:paraId="62135168" w14:textId="7B262307" w:rsidR="00CF50D1" w:rsidRPr="00A864A5" w:rsidRDefault="00CF50D1" w:rsidP="004C056B">
            <w:pPr>
              <w:spacing w:before="60" w:after="60" w:line="276" w:lineRule="auto"/>
              <w:jc w:val="center"/>
              <w:rPr>
                <w:rFonts w:cs="Arial"/>
                <w:b/>
                <w:color w:val="000000"/>
                <w:szCs w:val="22"/>
                <w:lang w:val="en-NZ"/>
              </w:rPr>
            </w:pPr>
            <w:r w:rsidRPr="00A864A5">
              <w:rPr>
                <w:rFonts w:cs="Arial"/>
                <w:b/>
                <w:color w:val="000000"/>
                <w:szCs w:val="22"/>
                <w:lang w:val="en-NZ"/>
              </w:rPr>
              <w:t>Option Two</w:t>
            </w:r>
            <w:r>
              <w:rPr>
                <w:rFonts w:cs="Arial"/>
                <w:b/>
                <w:color w:val="000000"/>
                <w:szCs w:val="22"/>
                <w:lang w:val="en-NZ"/>
              </w:rPr>
              <w:t>:</w:t>
            </w:r>
            <w:r w:rsidRPr="00A864A5">
              <w:rPr>
                <w:rFonts w:cs="Arial"/>
                <w:b/>
                <w:color w:val="000000"/>
                <w:szCs w:val="22"/>
                <w:lang w:val="en-NZ"/>
              </w:rPr>
              <w:t xml:space="preserve"> </w:t>
            </w:r>
            <w:r>
              <w:rPr>
                <w:rFonts w:cs="Arial"/>
                <w:b/>
                <w:color w:val="000000"/>
                <w:szCs w:val="22"/>
                <w:lang w:val="en-NZ"/>
              </w:rPr>
              <w:t xml:space="preserve">Exempting dividends derived from </w:t>
            </w:r>
            <w:proofErr w:type="gramStart"/>
            <w:r>
              <w:rPr>
                <w:rFonts w:cs="Arial"/>
                <w:b/>
                <w:color w:val="000000"/>
                <w:szCs w:val="22"/>
                <w:lang w:val="en-NZ"/>
              </w:rPr>
              <w:t>wholly-owned</w:t>
            </w:r>
            <w:proofErr w:type="gramEnd"/>
            <w:r>
              <w:rPr>
                <w:rFonts w:cs="Arial"/>
                <w:b/>
                <w:color w:val="000000"/>
                <w:szCs w:val="22"/>
                <w:lang w:val="en-NZ"/>
              </w:rPr>
              <w:t xml:space="preserve"> CCOs</w:t>
            </w:r>
          </w:p>
        </w:tc>
      </w:tr>
      <w:tr w:rsidR="006B2C09" w:rsidRPr="00A864A5" w14:paraId="43A4983D" w14:textId="77777777" w:rsidTr="008B461F">
        <w:trPr>
          <w:trHeight w:val="615"/>
        </w:trPr>
        <w:tc>
          <w:tcPr>
            <w:tcW w:w="1829" w:type="dxa"/>
            <w:shd w:val="clear" w:color="auto" w:fill="99CDDD"/>
            <w:vAlign w:val="center"/>
          </w:tcPr>
          <w:p w14:paraId="62A9F0E1" w14:textId="77B7FBD3" w:rsidR="00CF50D1" w:rsidRPr="00A864A5" w:rsidRDefault="00CF50D1" w:rsidP="004C056B">
            <w:pPr>
              <w:spacing w:before="60" w:after="60" w:line="240" w:lineRule="auto"/>
              <w:jc w:val="center"/>
              <w:rPr>
                <w:rFonts w:cs="Arial"/>
                <w:b/>
                <w:color w:val="000000"/>
                <w:szCs w:val="22"/>
                <w:lang w:val="en-NZ"/>
              </w:rPr>
            </w:pPr>
            <w:r>
              <w:rPr>
                <w:rFonts w:cs="Arial"/>
                <w:b/>
                <w:color w:val="000000"/>
                <w:szCs w:val="22"/>
                <w:lang w:val="en-NZ"/>
              </w:rPr>
              <w:t>Integrity</w:t>
            </w:r>
            <w:r w:rsidR="005276CA">
              <w:rPr>
                <w:rFonts w:cs="Arial"/>
                <w:b/>
                <w:color w:val="000000"/>
                <w:szCs w:val="22"/>
                <w:lang w:val="en-NZ"/>
              </w:rPr>
              <w:t xml:space="preserve"> of the tax system</w:t>
            </w:r>
          </w:p>
        </w:tc>
        <w:tc>
          <w:tcPr>
            <w:tcW w:w="2849" w:type="dxa"/>
            <w:shd w:val="clear" w:color="auto" w:fill="auto"/>
            <w:vAlign w:val="center"/>
          </w:tcPr>
          <w:p w14:paraId="2C8AD330" w14:textId="7A5F69DE" w:rsidR="00BF5C82" w:rsidRPr="00A864A5" w:rsidRDefault="00CF50D1" w:rsidP="00196170">
            <w:pPr>
              <w:pStyle w:val="TableText"/>
              <w:spacing w:line="276" w:lineRule="auto"/>
              <w:jc w:val="center"/>
              <w:rPr>
                <w:bCs/>
                <w:lang w:val="en-NZ"/>
              </w:rPr>
            </w:pPr>
            <w:r w:rsidRPr="00A864A5">
              <w:rPr>
                <w:bCs/>
                <w:lang w:val="en-NZ"/>
              </w:rPr>
              <w:t>0</w:t>
            </w:r>
          </w:p>
        </w:tc>
        <w:tc>
          <w:tcPr>
            <w:tcW w:w="4678" w:type="dxa"/>
            <w:shd w:val="clear" w:color="auto" w:fill="auto"/>
            <w:vAlign w:val="center"/>
          </w:tcPr>
          <w:p w14:paraId="167C44C9" w14:textId="77777777" w:rsidR="00CF50D1" w:rsidRDefault="00CF50D1" w:rsidP="00CF5CA2">
            <w:pPr>
              <w:pStyle w:val="TableText"/>
              <w:spacing w:line="276" w:lineRule="auto"/>
              <w:jc w:val="center"/>
              <w:rPr>
                <w:lang w:val="en-NZ"/>
              </w:rPr>
            </w:pPr>
            <w:r>
              <w:rPr>
                <w:lang w:val="en-NZ"/>
              </w:rPr>
              <w:t>0</w:t>
            </w:r>
          </w:p>
          <w:p w14:paraId="64D49E0B" w14:textId="789CE512" w:rsidR="00CF50D1" w:rsidRPr="00CF5CA2" w:rsidRDefault="001339A2" w:rsidP="004C056B">
            <w:pPr>
              <w:pStyle w:val="TableText"/>
              <w:spacing w:line="276" w:lineRule="auto"/>
              <w:jc w:val="center"/>
              <w:rPr>
                <w:lang w:val="en-NZ"/>
              </w:rPr>
            </w:pPr>
            <w:r>
              <w:rPr>
                <w:bCs/>
                <w:lang w:val="en-NZ"/>
              </w:rPr>
              <w:t xml:space="preserve">No </w:t>
            </w:r>
            <w:r w:rsidR="002C489F">
              <w:rPr>
                <w:bCs/>
                <w:lang w:val="en-NZ"/>
              </w:rPr>
              <w:t>impact</w:t>
            </w:r>
            <w:r>
              <w:rPr>
                <w:bCs/>
                <w:lang w:val="en-NZ"/>
              </w:rPr>
              <w:t xml:space="preserve"> on </w:t>
            </w:r>
            <w:r w:rsidR="002C489F">
              <w:rPr>
                <w:bCs/>
                <w:lang w:val="en-NZ"/>
              </w:rPr>
              <w:t xml:space="preserve">the </w:t>
            </w:r>
            <w:r>
              <w:rPr>
                <w:bCs/>
                <w:lang w:val="en-NZ"/>
              </w:rPr>
              <w:t>integrity of the tax system.</w:t>
            </w:r>
          </w:p>
        </w:tc>
      </w:tr>
      <w:tr w:rsidR="006B2C09" w:rsidRPr="00A864A5" w14:paraId="0F4EE0FC" w14:textId="77777777" w:rsidTr="008B461F">
        <w:trPr>
          <w:trHeight w:val="378"/>
        </w:trPr>
        <w:tc>
          <w:tcPr>
            <w:tcW w:w="1829" w:type="dxa"/>
            <w:shd w:val="clear" w:color="auto" w:fill="99CDDD"/>
            <w:vAlign w:val="center"/>
          </w:tcPr>
          <w:p w14:paraId="1C714609" w14:textId="49955F06" w:rsidR="00CF50D1" w:rsidRPr="00A864A5" w:rsidRDefault="005276CA" w:rsidP="004C056B">
            <w:pPr>
              <w:spacing w:before="60" w:after="60" w:line="240" w:lineRule="auto"/>
              <w:jc w:val="center"/>
              <w:rPr>
                <w:rFonts w:cs="Arial"/>
                <w:b/>
                <w:color w:val="000000"/>
                <w:szCs w:val="22"/>
                <w:lang w:val="en-NZ"/>
              </w:rPr>
            </w:pPr>
            <w:r>
              <w:rPr>
                <w:rFonts w:cs="Arial"/>
                <w:b/>
                <w:color w:val="000000"/>
                <w:szCs w:val="22"/>
                <w:lang w:val="en-NZ"/>
              </w:rPr>
              <w:t>Fairness and equity</w:t>
            </w:r>
          </w:p>
        </w:tc>
        <w:tc>
          <w:tcPr>
            <w:tcW w:w="2849" w:type="dxa"/>
            <w:shd w:val="clear" w:color="auto" w:fill="auto"/>
            <w:vAlign w:val="center"/>
          </w:tcPr>
          <w:p w14:paraId="0FF81564" w14:textId="77777777" w:rsidR="00CF50D1" w:rsidRDefault="00CF50D1" w:rsidP="004C056B">
            <w:pPr>
              <w:pStyle w:val="TableText"/>
              <w:spacing w:line="276" w:lineRule="auto"/>
              <w:jc w:val="center"/>
              <w:rPr>
                <w:bCs/>
                <w:lang w:val="en-NZ"/>
              </w:rPr>
            </w:pPr>
            <w:r w:rsidRPr="00A864A5">
              <w:rPr>
                <w:bCs/>
                <w:lang w:val="en-NZ"/>
              </w:rPr>
              <w:t>0</w:t>
            </w:r>
          </w:p>
          <w:p w14:paraId="409893FF" w14:textId="211280F2" w:rsidR="0047306F" w:rsidRPr="00A864A5" w:rsidRDefault="0047306F" w:rsidP="004C056B">
            <w:pPr>
              <w:pStyle w:val="TableText"/>
              <w:spacing w:line="276" w:lineRule="auto"/>
              <w:jc w:val="center"/>
              <w:rPr>
                <w:bCs/>
                <w:lang w:val="en-NZ"/>
              </w:rPr>
            </w:pPr>
            <w:r>
              <w:rPr>
                <w:bCs/>
                <w:lang w:val="en-NZ"/>
              </w:rPr>
              <w:t xml:space="preserve">The status quo </w:t>
            </w:r>
            <w:r w:rsidR="008B461F">
              <w:rPr>
                <w:bCs/>
                <w:lang w:val="en-NZ"/>
              </w:rPr>
              <w:t>reduces the coherence of the tax system</w:t>
            </w:r>
          </w:p>
        </w:tc>
        <w:tc>
          <w:tcPr>
            <w:tcW w:w="4678" w:type="dxa"/>
            <w:shd w:val="clear" w:color="auto" w:fill="auto"/>
            <w:vAlign w:val="center"/>
          </w:tcPr>
          <w:p w14:paraId="5C68BEBA" w14:textId="77777777" w:rsidR="00CF50D1" w:rsidRDefault="00CF50D1" w:rsidP="00CF5CA2">
            <w:pPr>
              <w:pStyle w:val="TableText"/>
              <w:spacing w:line="276" w:lineRule="auto"/>
              <w:jc w:val="center"/>
              <w:rPr>
                <w:rFonts w:cs="Arial"/>
                <w:b/>
                <w:color w:val="00B050"/>
              </w:rPr>
            </w:pPr>
            <w:r w:rsidRPr="00A864A5">
              <w:rPr>
                <w:rFonts w:cs="Arial"/>
                <w:b/>
                <w:color w:val="00B050"/>
              </w:rPr>
              <w:t>+</w:t>
            </w:r>
          </w:p>
          <w:p w14:paraId="3872777A" w14:textId="5F08AE30" w:rsidR="00CF50D1" w:rsidRPr="00A864A5" w:rsidRDefault="00D15400" w:rsidP="004C056B">
            <w:pPr>
              <w:pStyle w:val="TableText"/>
              <w:spacing w:line="276" w:lineRule="auto"/>
              <w:jc w:val="center"/>
              <w:rPr>
                <w:lang w:val="en-NZ"/>
              </w:rPr>
            </w:pPr>
            <w:r>
              <w:rPr>
                <w:lang w:val="en-NZ"/>
              </w:rPr>
              <w:t>This option would i</w:t>
            </w:r>
            <w:r w:rsidR="00970288">
              <w:rPr>
                <w:lang w:val="en-NZ"/>
              </w:rPr>
              <w:t xml:space="preserve">mprove </w:t>
            </w:r>
            <w:r w:rsidR="00B26AC7">
              <w:rPr>
                <w:lang w:val="en-NZ"/>
              </w:rPr>
              <w:t>fairness and equity</w:t>
            </w:r>
            <w:r w:rsidR="00970288">
              <w:rPr>
                <w:lang w:val="en-NZ"/>
              </w:rPr>
              <w:t xml:space="preserve"> by </w:t>
            </w:r>
            <w:r w:rsidR="00B26AC7">
              <w:rPr>
                <w:lang w:val="en-NZ"/>
              </w:rPr>
              <w:t xml:space="preserve">allowing local authorities to access the inter-corporate dividend exclusion, similar to </w:t>
            </w:r>
            <w:proofErr w:type="gramStart"/>
            <w:r w:rsidR="00B26AC7">
              <w:rPr>
                <w:lang w:val="en-NZ"/>
              </w:rPr>
              <w:t>wholly-owned</w:t>
            </w:r>
            <w:proofErr w:type="gramEnd"/>
            <w:r w:rsidR="00B26AC7">
              <w:rPr>
                <w:lang w:val="en-NZ"/>
              </w:rPr>
              <w:t xml:space="preserve"> companies.</w:t>
            </w:r>
          </w:p>
        </w:tc>
      </w:tr>
      <w:tr w:rsidR="006B2C09" w:rsidRPr="00A864A5" w14:paraId="1CB11B40" w14:textId="77777777" w:rsidTr="008B461F">
        <w:trPr>
          <w:trHeight w:val="395"/>
        </w:trPr>
        <w:tc>
          <w:tcPr>
            <w:tcW w:w="1829" w:type="dxa"/>
            <w:shd w:val="clear" w:color="auto" w:fill="99CDDD"/>
            <w:vAlign w:val="center"/>
          </w:tcPr>
          <w:p w14:paraId="6019EF4C" w14:textId="6B0F5D26" w:rsidR="00CF50D1" w:rsidRPr="00A864A5" w:rsidRDefault="005276CA" w:rsidP="004C056B">
            <w:pPr>
              <w:spacing w:before="60" w:after="60" w:line="240" w:lineRule="auto"/>
              <w:jc w:val="center"/>
              <w:rPr>
                <w:rFonts w:cs="Arial"/>
                <w:b/>
                <w:color w:val="000000"/>
                <w:szCs w:val="22"/>
                <w:lang w:val="en-NZ"/>
              </w:rPr>
            </w:pPr>
            <w:r>
              <w:rPr>
                <w:rFonts w:cs="Arial"/>
                <w:b/>
                <w:color w:val="000000"/>
                <w:szCs w:val="22"/>
                <w:lang w:val="en-NZ"/>
              </w:rPr>
              <w:t>Impact on local government</w:t>
            </w:r>
          </w:p>
        </w:tc>
        <w:tc>
          <w:tcPr>
            <w:tcW w:w="2849" w:type="dxa"/>
            <w:shd w:val="clear" w:color="auto" w:fill="auto"/>
            <w:vAlign w:val="center"/>
          </w:tcPr>
          <w:p w14:paraId="05CEC8A8" w14:textId="77777777" w:rsidR="00CF50D1" w:rsidRDefault="00CF50D1" w:rsidP="004C056B">
            <w:pPr>
              <w:pStyle w:val="TableText"/>
              <w:spacing w:line="276" w:lineRule="auto"/>
              <w:jc w:val="center"/>
              <w:rPr>
                <w:bCs/>
                <w:lang w:val="en-NZ"/>
              </w:rPr>
            </w:pPr>
            <w:r w:rsidRPr="00A864A5">
              <w:rPr>
                <w:bCs/>
                <w:lang w:val="en-NZ"/>
              </w:rPr>
              <w:t>0</w:t>
            </w:r>
          </w:p>
          <w:p w14:paraId="5DFE28F3" w14:textId="14DA8D76" w:rsidR="008B461F" w:rsidRPr="00A864A5" w:rsidRDefault="008B461F" w:rsidP="004C056B">
            <w:pPr>
              <w:pStyle w:val="TableText"/>
              <w:spacing w:line="276" w:lineRule="auto"/>
              <w:jc w:val="center"/>
              <w:rPr>
                <w:bCs/>
                <w:lang w:val="en-NZ"/>
              </w:rPr>
            </w:pPr>
            <w:r>
              <w:rPr>
                <w:bCs/>
                <w:lang w:val="en-NZ"/>
              </w:rPr>
              <w:t>The status quo is unfair as it treats similar entities differently.</w:t>
            </w:r>
          </w:p>
        </w:tc>
        <w:tc>
          <w:tcPr>
            <w:tcW w:w="4678" w:type="dxa"/>
            <w:shd w:val="clear" w:color="auto" w:fill="auto"/>
            <w:vAlign w:val="center"/>
          </w:tcPr>
          <w:p w14:paraId="7FA0F1CA" w14:textId="77777777" w:rsidR="00CF50D1" w:rsidRDefault="00CF50D1" w:rsidP="00CF5CA2">
            <w:pPr>
              <w:pStyle w:val="TableText"/>
              <w:spacing w:line="276" w:lineRule="auto"/>
              <w:jc w:val="center"/>
              <w:rPr>
                <w:rFonts w:cs="Arial"/>
                <w:b/>
                <w:color w:val="00B050"/>
              </w:rPr>
            </w:pPr>
            <w:r w:rsidRPr="00A864A5">
              <w:rPr>
                <w:rFonts w:cs="Arial"/>
                <w:b/>
                <w:color w:val="00B050"/>
              </w:rPr>
              <w:t>+</w:t>
            </w:r>
          </w:p>
          <w:p w14:paraId="7A75D328" w14:textId="1DB1F3DD" w:rsidR="00CF50D1" w:rsidRPr="00A864A5" w:rsidRDefault="00B26AC7" w:rsidP="004C056B">
            <w:pPr>
              <w:pStyle w:val="TableText"/>
              <w:spacing w:line="276" w:lineRule="auto"/>
              <w:jc w:val="center"/>
              <w:rPr>
                <w:lang w:val="en-NZ"/>
              </w:rPr>
            </w:pPr>
            <w:r>
              <w:rPr>
                <w:lang w:val="en-NZ"/>
              </w:rPr>
              <w:t xml:space="preserve"> </w:t>
            </w:r>
            <w:r w:rsidR="00D61135">
              <w:rPr>
                <w:lang w:val="en-NZ"/>
              </w:rPr>
              <w:t>This would e</w:t>
            </w:r>
            <w:r>
              <w:rPr>
                <w:lang w:val="en-NZ"/>
              </w:rPr>
              <w:t>nsure that tax is no longer an impediment</w:t>
            </w:r>
            <w:r w:rsidR="00332065">
              <w:rPr>
                <w:lang w:val="en-NZ"/>
              </w:rPr>
              <w:t xml:space="preserve"> for </w:t>
            </w:r>
            <w:r>
              <w:rPr>
                <w:lang w:val="en-NZ"/>
              </w:rPr>
              <w:t xml:space="preserve">the </w:t>
            </w:r>
            <w:r w:rsidR="00CC52A2">
              <w:rPr>
                <w:lang w:val="en-NZ"/>
              </w:rPr>
              <w:t>movement of surpluses</w:t>
            </w:r>
            <w:r>
              <w:rPr>
                <w:lang w:val="en-NZ"/>
              </w:rPr>
              <w:t xml:space="preserve"> </w:t>
            </w:r>
            <w:r w:rsidR="00CC52A2">
              <w:rPr>
                <w:lang w:val="en-NZ"/>
              </w:rPr>
              <w:t xml:space="preserve">from a </w:t>
            </w:r>
            <w:proofErr w:type="gramStart"/>
            <w:r w:rsidR="00CC52A2">
              <w:rPr>
                <w:lang w:val="en-NZ"/>
              </w:rPr>
              <w:t>wholly-owned</w:t>
            </w:r>
            <w:proofErr w:type="gramEnd"/>
            <w:r w:rsidR="00CC52A2">
              <w:rPr>
                <w:lang w:val="en-NZ"/>
              </w:rPr>
              <w:t xml:space="preserve"> CCO to its local authority</w:t>
            </w:r>
            <w:r w:rsidR="00332065">
              <w:rPr>
                <w:lang w:val="en-NZ"/>
              </w:rPr>
              <w:t>.</w:t>
            </w:r>
          </w:p>
        </w:tc>
      </w:tr>
      <w:tr w:rsidR="006B2C09" w:rsidRPr="00A864A5" w14:paraId="1F59A3C2" w14:textId="77777777" w:rsidTr="008B461F">
        <w:trPr>
          <w:trHeight w:val="378"/>
        </w:trPr>
        <w:tc>
          <w:tcPr>
            <w:tcW w:w="1829" w:type="dxa"/>
            <w:shd w:val="clear" w:color="auto" w:fill="99CDDD"/>
            <w:vAlign w:val="center"/>
          </w:tcPr>
          <w:p w14:paraId="516F19E0" w14:textId="6A09E449" w:rsidR="00CF50D1" w:rsidRPr="00A864A5" w:rsidRDefault="00CF50D1" w:rsidP="004C056B">
            <w:pPr>
              <w:spacing w:before="60" w:after="60" w:line="240" w:lineRule="auto"/>
              <w:jc w:val="center"/>
              <w:rPr>
                <w:rFonts w:cs="Arial"/>
                <w:b/>
                <w:color w:val="000000"/>
                <w:szCs w:val="22"/>
                <w:lang w:val="en-NZ"/>
              </w:rPr>
            </w:pPr>
            <w:r>
              <w:rPr>
                <w:rFonts w:cs="Arial"/>
                <w:b/>
                <w:color w:val="000000"/>
                <w:szCs w:val="22"/>
                <w:lang w:val="en-NZ"/>
              </w:rPr>
              <w:t>Fiscal cost</w:t>
            </w:r>
          </w:p>
        </w:tc>
        <w:tc>
          <w:tcPr>
            <w:tcW w:w="2849" w:type="dxa"/>
            <w:shd w:val="clear" w:color="auto" w:fill="auto"/>
            <w:vAlign w:val="center"/>
          </w:tcPr>
          <w:p w14:paraId="2E4085FC" w14:textId="3999976A" w:rsidR="001339A2" w:rsidRPr="00A864A5" w:rsidRDefault="00CF50D1" w:rsidP="00196170">
            <w:pPr>
              <w:pStyle w:val="TableText"/>
              <w:spacing w:line="276" w:lineRule="auto"/>
              <w:jc w:val="center"/>
              <w:rPr>
                <w:bCs/>
                <w:lang w:val="en-NZ"/>
              </w:rPr>
            </w:pPr>
            <w:r w:rsidRPr="00A864A5">
              <w:rPr>
                <w:bCs/>
                <w:lang w:val="en-NZ"/>
              </w:rPr>
              <w:t>0</w:t>
            </w:r>
          </w:p>
        </w:tc>
        <w:tc>
          <w:tcPr>
            <w:tcW w:w="4678" w:type="dxa"/>
            <w:shd w:val="clear" w:color="auto" w:fill="auto"/>
            <w:vAlign w:val="center"/>
          </w:tcPr>
          <w:p w14:paraId="6EC53D84" w14:textId="77777777" w:rsidR="00CF50D1" w:rsidRDefault="00CF50D1" w:rsidP="004C056B">
            <w:pPr>
              <w:pStyle w:val="TableText"/>
              <w:spacing w:line="276" w:lineRule="auto"/>
              <w:jc w:val="center"/>
              <w:rPr>
                <w:lang w:val="en-NZ"/>
              </w:rPr>
            </w:pPr>
            <w:r>
              <w:rPr>
                <w:lang w:val="en-NZ"/>
              </w:rPr>
              <w:t>0</w:t>
            </w:r>
          </w:p>
          <w:p w14:paraId="7C60E5B1" w14:textId="06367144" w:rsidR="00CF50D1" w:rsidRPr="00A864A5" w:rsidRDefault="00CF50D1" w:rsidP="004C056B">
            <w:pPr>
              <w:pStyle w:val="TableText"/>
              <w:spacing w:line="276" w:lineRule="auto"/>
              <w:jc w:val="center"/>
              <w:rPr>
                <w:lang w:val="en-NZ"/>
              </w:rPr>
            </w:pPr>
            <w:r>
              <w:rPr>
                <w:lang w:val="en-NZ"/>
              </w:rPr>
              <w:t>No fiscal impact.</w:t>
            </w:r>
          </w:p>
        </w:tc>
      </w:tr>
      <w:tr w:rsidR="006B2C09" w:rsidRPr="00A864A5" w14:paraId="01F0DC8A" w14:textId="77777777" w:rsidTr="008B461F">
        <w:trPr>
          <w:trHeight w:val="378"/>
        </w:trPr>
        <w:tc>
          <w:tcPr>
            <w:tcW w:w="1829" w:type="dxa"/>
            <w:shd w:val="clear" w:color="auto" w:fill="99CDDD"/>
            <w:vAlign w:val="center"/>
          </w:tcPr>
          <w:p w14:paraId="392394A3" w14:textId="3AA9F8E9" w:rsidR="00EA692E" w:rsidRDefault="00EA692E" w:rsidP="004C056B">
            <w:pPr>
              <w:spacing w:before="60" w:after="60" w:line="240" w:lineRule="auto"/>
              <w:jc w:val="center"/>
              <w:rPr>
                <w:rFonts w:cs="Arial"/>
                <w:b/>
                <w:color w:val="000000"/>
                <w:szCs w:val="22"/>
                <w:lang w:val="en-NZ"/>
              </w:rPr>
            </w:pPr>
            <w:r>
              <w:rPr>
                <w:rFonts w:cs="Arial"/>
                <w:b/>
                <w:color w:val="000000"/>
                <w:szCs w:val="22"/>
                <w:lang w:val="en-NZ"/>
              </w:rPr>
              <w:t>Stakeholder support</w:t>
            </w:r>
          </w:p>
        </w:tc>
        <w:tc>
          <w:tcPr>
            <w:tcW w:w="2849" w:type="dxa"/>
            <w:shd w:val="clear" w:color="auto" w:fill="auto"/>
            <w:vAlign w:val="center"/>
          </w:tcPr>
          <w:p w14:paraId="250A01B1" w14:textId="3C7B0A6B" w:rsidR="00970288" w:rsidRPr="00A864A5" w:rsidRDefault="00EA692E" w:rsidP="00196170">
            <w:pPr>
              <w:pStyle w:val="TableText"/>
              <w:spacing w:line="276" w:lineRule="auto"/>
              <w:jc w:val="center"/>
              <w:rPr>
                <w:bCs/>
                <w:lang w:val="en-NZ"/>
              </w:rPr>
            </w:pPr>
            <w:r>
              <w:rPr>
                <w:bCs/>
                <w:lang w:val="en-NZ"/>
              </w:rPr>
              <w:t>0</w:t>
            </w:r>
          </w:p>
        </w:tc>
        <w:tc>
          <w:tcPr>
            <w:tcW w:w="4678" w:type="dxa"/>
            <w:shd w:val="clear" w:color="auto" w:fill="auto"/>
            <w:vAlign w:val="center"/>
          </w:tcPr>
          <w:p w14:paraId="10133888" w14:textId="77777777" w:rsidR="00EA692E" w:rsidRDefault="00EA692E" w:rsidP="00EA692E">
            <w:pPr>
              <w:pStyle w:val="TableText"/>
              <w:spacing w:line="276" w:lineRule="auto"/>
              <w:jc w:val="center"/>
              <w:rPr>
                <w:rFonts w:cs="Arial"/>
                <w:b/>
                <w:color w:val="00B050"/>
              </w:rPr>
            </w:pPr>
            <w:r w:rsidRPr="00A864A5">
              <w:rPr>
                <w:rFonts w:cs="Arial"/>
                <w:b/>
                <w:color w:val="00B050"/>
              </w:rPr>
              <w:t>+</w:t>
            </w:r>
          </w:p>
          <w:p w14:paraId="0BEF99ED" w14:textId="3E7C2FAE" w:rsidR="00EA692E" w:rsidRDefault="00EA692E" w:rsidP="004C056B">
            <w:pPr>
              <w:pStyle w:val="TableText"/>
              <w:spacing w:line="276" w:lineRule="auto"/>
              <w:jc w:val="center"/>
              <w:rPr>
                <w:lang w:val="en-NZ"/>
              </w:rPr>
            </w:pPr>
            <w:r>
              <w:rPr>
                <w:lang w:val="en-NZ"/>
              </w:rPr>
              <w:t>The local government sector supports exempting dividends.</w:t>
            </w:r>
          </w:p>
        </w:tc>
      </w:tr>
      <w:tr w:rsidR="006B2C09" w:rsidRPr="00A864A5" w14:paraId="610535B6" w14:textId="77777777" w:rsidTr="008B461F">
        <w:trPr>
          <w:trHeight w:val="584"/>
        </w:trPr>
        <w:tc>
          <w:tcPr>
            <w:tcW w:w="1829" w:type="dxa"/>
            <w:shd w:val="clear" w:color="auto" w:fill="99CDDD"/>
            <w:vAlign w:val="center"/>
          </w:tcPr>
          <w:p w14:paraId="4CEBFF80" w14:textId="77777777" w:rsidR="00CF50D1" w:rsidRPr="00A864A5" w:rsidRDefault="00CF50D1" w:rsidP="004C056B">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2849" w:type="dxa"/>
            <w:shd w:val="clear" w:color="auto" w:fill="auto"/>
            <w:vAlign w:val="center"/>
          </w:tcPr>
          <w:p w14:paraId="14B5A9EB" w14:textId="6B4DDA97" w:rsidR="00CF50D1" w:rsidRPr="00A864A5" w:rsidRDefault="00CF50D1" w:rsidP="004C056B">
            <w:pPr>
              <w:pStyle w:val="TableText"/>
              <w:spacing w:line="276" w:lineRule="auto"/>
              <w:jc w:val="center"/>
              <w:rPr>
                <w:lang w:val="en-NZ"/>
              </w:rPr>
            </w:pPr>
            <w:r w:rsidRPr="00A864A5">
              <w:rPr>
                <w:lang w:val="en-NZ"/>
              </w:rPr>
              <w:t>0</w:t>
            </w:r>
          </w:p>
        </w:tc>
        <w:tc>
          <w:tcPr>
            <w:tcW w:w="4678" w:type="dxa"/>
            <w:shd w:val="clear" w:color="auto" w:fill="auto"/>
            <w:vAlign w:val="center"/>
          </w:tcPr>
          <w:p w14:paraId="01A1D927" w14:textId="77777777" w:rsidR="00CF50D1" w:rsidRDefault="00F955AF" w:rsidP="00F955AF">
            <w:pPr>
              <w:pStyle w:val="TableText"/>
              <w:spacing w:line="276" w:lineRule="auto"/>
              <w:jc w:val="center"/>
              <w:rPr>
                <w:rFonts w:cs="Arial"/>
                <w:b/>
                <w:color w:val="00B050"/>
              </w:rPr>
            </w:pPr>
            <w:r w:rsidRPr="00A864A5">
              <w:rPr>
                <w:rFonts w:cs="Arial"/>
                <w:b/>
                <w:color w:val="00B050"/>
              </w:rPr>
              <w:t>+</w:t>
            </w:r>
          </w:p>
          <w:p w14:paraId="18445CBD" w14:textId="6E4D8260" w:rsidR="00F563E6" w:rsidRPr="00422018" w:rsidRDefault="008138FB" w:rsidP="00F955AF">
            <w:pPr>
              <w:pStyle w:val="TableText"/>
              <w:spacing w:line="276" w:lineRule="auto"/>
              <w:jc w:val="center"/>
              <w:rPr>
                <w:rFonts w:cs="Arial"/>
                <w:bCs/>
                <w:color w:val="00B050"/>
              </w:rPr>
            </w:pPr>
            <w:r>
              <w:rPr>
                <w:lang w:val="en-NZ"/>
              </w:rPr>
              <w:t>Officials prefer this option to the status quo as it improves the fairness, equity, and coherence of the tax rules</w:t>
            </w:r>
            <w:r w:rsidR="00DD7C89">
              <w:rPr>
                <w:lang w:val="en-NZ"/>
              </w:rPr>
              <w:t xml:space="preserve"> and it is supported by the local government sector.</w:t>
            </w:r>
          </w:p>
        </w:tc>
      </w:tr>
    </w:tbl>
    <w:p w14:paraId="1FEA8154" w14:textId="6F36D2BE" w:rsidR="00D71CE0" w:rsidRDefault="00D71CE0" w:rsidP="00D71CE0">
      <w:pPr>
        <w:pStyle w:val="spacer"/>
        <w:rPr>
          <w:sz w:val="8"/>
          <w:szCs w:val="14"/>
          <w:lang w:val="en-NZ"/>
        </w:rPr>
      </w:pPr>
    </w:p>
    <w:p w14:paraId="253FB178" w14:textId="77777777" w:rsidR="00BF5C82" w:rsidRDefault="00BF5C82" w:rsidP="00D71CE0">
      <w:pPr>
        <w:pStyle w:val="spacer"/>
        <w:rPr>
          <w:sz w:val="8"/>
          <w:szCs w:val="14"/>
          <w:lang w:val="en-NZ"/>
        </w:rPr>
      </w:pPr>
    </w:p>
    <w:p w14:paraId="71EA164E" w14:textId="77777777" w:rsidR="00D06047" w:rsidRDefault="00D06047" w:rsidP="00D06047">
      <w:pPr>
        <w:spacing w:after="120" w:line="276" w:lineRule="auto"/>
        <w:rPr>
          <w:rFonts w:cs="Arial"/>
          <w:b/>
          <w:sz w:val="20"/>
        </w:rPr>
      </w:pPr>
    </w:p>
    <w:p w14:paraId="48211AA5" w14:textId="3D9400A9" w:rsidR="00D06047" w:rsidRPr="00A864A5" w:rsidRDefault="00D06047" w:rsidP="00D06047">
      <w:pPr>
        <w:spacing w:after="120" w:line="276" w:lineRule="auto"/>
        <w:rPr>
          <w:rFonts w:cs="Arial"/>
          <w:b/>
          <w:sz w:val="20"/>
        </w:rPr>
      </w:pPr>
      <w:r>
        <w:rPr>
          <w:rFonts w:cs="Arial"/>
          <w:b/>
          <w:sz w:val="20"/>
        </w:rPr>
        <w:t>K</w:t>
      </w:r>
      <w:r w:rsidRPr="00A864A5">
        <w:rPr>
          <w:rFonts w:cs="Arial"/>
          <w:b/>
          <w:sz w:val="20"/>
        </w:rPr>
        <w:t>ey for qualitative judgements:</w:t>
      </w:r>
    </w:p>
    <w:p w14:paraId="39080495" w14:textId="77777777" w:rsidR="00D06047" w:rsidRPr="00A864A5" w:rsidRDefault="00D06047" w:rsidP="00D06047">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p>
    <w:p w14:paraId="03A49D67" w14:textId="77777777" w:rsidR="00D06047" w:rsidRPr="00A864A5" w:rsidRDefault="00D06047" w:rsidP="00D06047">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p>
    <w:p w14:paraId="5D3720A7" w14:textId="77777777" w:rsidR="00D06047" w:rsidRPr="00A864A5" w:rsidRDefault="00D06047" w:rsidP="00D06047">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p>
    <w:p w14:paraId="26EC9544" w14:textId="77777777" w:rsidR="00D06047" w:rsidRPr="00A864A5" w:rsidRDefault="00D06047" w:rsidP="00D06047">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p>
    <w:p w14:paraId="5D270913" w14:textId="77777777" w:rsidR="00D06047" w:rsidRPr="0049467D" w:rsidRDefault="00D06047" w:rsidP="00D06047">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p>
    <w:p w14:paraId="4242C5FE" w14:textId="508873EC" w:rsidR="002814FC" w:rsidRDefault="002814FC" w:rsidP="00D71CE0">
      <w:pPr>
        <w:pStyle w:val="spacer"/>
        <w:rPr>
          <w:sz w:val="22"/>
          <w:szCs w:val="32"/>
          <w:lang w:val="en-NZ"/>
        </w:rPr>
      </w:pPr>
    </w:p>
    <w:p w14:paraId="58A293C6" w14:textId="700BFF0C" w:rsidR="002814FC" w:rsidRDefault="002814FC" w:rsidP="00D71CE0">
      <w:pPr>
        <w:pStyle w:val="spacer"/>
        <w:rPr>
          <w:sz w:val="22"/>
          <w:szCs w:val="32"/>
          <w:lang w:val="en-NZ"/>
        </w:rPr>
      </w:pPr>
    </w:p>
    <w:p w14:paraId="04662265" w14:textId="77777777" w:rsidR="00EF20F9" w:rsidRDefault="00EF20F9">
      <w:pPr>
        <w:spacing w:after="0" w:line="240" w:lineRule="auto"/>
        <w:rPr>
          <w:szCs w:val="32"/>
          <w:lang w:val="en-NZ"/>
        </w:rPr>
        <w:sectPr w:rsidR="00EF20F9" w:rsidSect="00EF20F9">
          <w:pgSz w:w="11906" w:h="16838" w:code="9"/>
          <w:pgMar w:top="1134" w:right="1418" w:bottom="992" w:left="1418" w:header="709" w:footer="709" w:gutter="0"/>
          <w:cols w:space="708"/>
          <w:docGrid w:linePitch="360"/>
        </w:sectPr>
      </w:pPr>
    </w:p>
    <w:p w14:paraId="68B4C0C1" w14:textId="362DFE02" w:rsidR="00E835B9" w:rsidRDefault="00E835B9" w:rsidP="00E835B9">
      <w:pPr>
        <w:pStyle w:val="Heading3"/>
        <w:rPr>
          <w:lang w:val="en-NZ"/>
        </w:rPr>
      </w:pPr>
      <w:r>
        <w:rPr>
          <w:lang w:val="en-NZ"/>
        </w:rPr>
        <w:t>Deductions: How do the options compare to the status quo?</w:t>
      </w:r>
    </w:p>
    <w:p w14:paraId="30BB44DD" w14:textId="77777777" w:rsidR="002814FC" w:rsidRPr="00DB765C" w:rsidRDefault="002814FC" w:rsidP="00D71CE0">
      <w:pPr>
        <w:pStyle w:val="spacer"/>
        <w:rPr>
          <w:sz w:val="2"/>
          <w:szCs w:val="4"/>
          <w:lang w:val="en-NZ"/>
        </w:rPr>
      </w:pPr>
    </w:p>
    <w:tbl>
      <w:tblPr>
        <w:tblW w:w="14447"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58"/>
        <w:gridCol w:w="1531"/>
        <w:gridCol w:w="5896"/>
        <w:gridCol w:w="4762"/>
      </w:tblGrid>
      <w:tr w:rsidR="00F13A00" w:rsidRPr="00A864A5" w14:paraId="1F8BDB1E" w14:textId="77777777" w:rsidTr="00DB765C">
        <w:trPr>
          <w:trHeight w:val="395"/>
        </w:trPr>
        <w:tc>
          <w:tcPr>
            <w:tcW w:w="2258" w:type="dxa"/>
            <w:shd w:val="clear" w:color="auto" w:fill="99CDDD"/>
            <w:vAlign w:val="center"/>
          </w:tcPr>
          <w:p w14:paraId="061F67E1" w14:textId="77777777" w:rsidR="005A1103" w:rsidRPr="00DB51CD" w:rsidRDefault="005A1103" w:rsidP="00F12624">
            <w:pPr>
              <w:spacing w:before="60" w:after="60" w:line="276" w:lineRule="auto"/>
              <w:jc w:val="center"/>
              <w:rPr>
                <w:rFonts w:cs="Arial"/>
                <w:bCs/>
                <w:i/>
                <w:iCs/>
                <w:color w:val="FFFFFF"/>
                <w:sz w:val="20"/>
                <w:szCs w:val="24"/>
                <w:lang w:val="en-NZ"/>
              </w:rPr>
            </w:pPr>
          </w:p>
        </w:tc>
        <w:tc>
          <w:tcPr>
            <w:tcW w:w="1531" w:type="dxa"/>
            <w:shd w:val="clear" w:color="auto" w:fill="99CDDD"/>
            <w:vAlign w:val="center"/>
          </w:tcPr>
          <w:p w14:paraId="7DE0D383" w14:textId="4FFAF95A" w:rsidR="005A1103" w:rsidRPr="00A864A5" w:rsidRDefault="005A1103" w:rsidP="00F12624">
            <w:pPr>
              <w:spacing w:before="60" w:after="60" w:line="240" w:lineRule="auto"/>
              <w:jc w:val="center"/>
              <w:rPr>
                <w:rFonts w:cs="Arial"/>
                <w:b/>
                <w:color w:val="000000"/>
                <w:szCs w:val="22"/>
                <w:lang w:val="en-NZ"/>
              </w:rPr>
            </w:pPr>
            <w:r w:rsidRPr="00A864A5">
              <w:rPr>
                <w:rFonts w:cs="Arial"/>
                <w:b/>
                <w:color w:val="000000"/>
                <w:szCs w:val="22"/>
                <w:lang w:val="en-NZ"/>
              </w:rPr>
              <w:t>Option One</w:t>
            </w:r>
            <w:r w:rsidR="00CF0C21">
              <w:rPr>
                <w:rFonts w:cs="Arial"/>
                <w:b/>
                <w:color w:val="000000"/>
                <w:szCs w:val="22"/>
                <w:lang w:val="en-NZ"/>
              </w:rPr>
              <w:t>: Status Quo</w:t>
            </w:r>
          </w:p>
        </w:tc>
        <w:tc>
          <w:tcPr>
            <w:tcW w:w="5896" w:type="dxa"/>
            <w:shd w:val="clear" w:color="auto" w:fill="99CDDD"/>
            <w:vAlign w:val="center"/>
          </w:tcPr>
          <w:p w14:paraId="351F524F" w14:textId="2028E23C" w:rsidR="005A1103" w:rsidRPr="00A864A5" w:rsidRDefault="005A1103" w:rsidP="00F12624">
            <w:pPr>
              <w:spacing w:before="60" w:after="60" w:line="276" w:lineRule="auto"/>
              <w:jc w:val="center"/>
              <w:rPr>
                <w:rFonts w:cs="Arial"/>
                <w:b/>
                <w:color w:val="000000"/>
                <w:szCs w:val="22"/>
                <w:lang w:val="en-NZ"/>
              </w:rPr>
            </w:pPr>
            <w:r w:rsidRPr="00A864A5">
              <w:rPr>
                <w:rFonts w:cs="Arial"/>
                <w:b/>
                <w:color w:val="000000"/>
                <w:szCs w:val="22"/>
                <w:lang w:val="en-NZ"/>
              </w:rPr>
              <w:t>Option Two</w:t>
            </w:r>
            <w:r w:rsidR="00CF0C21">
              <w:rPr>
                <w:rFonts w:cs="Arial"/>
                <w:b/>
                <w:color w:val="000000"/>
                <w:szCs w:val="22"/>
                <w:lang w:val="en-NZ"/>
              </w:rPr>
              <w:t>:</w:t>
            </w:r>
            <w:r w:rsidRPr="00A864A5">
              <w:rPr>
                <w:rFonts w:cs="Arial"/>
                <w:b/>
                <w:color w:val="000000"/>
                <w:szCs w:val="22"/>
                <w:lang w:val="en-NZ"/>
              </w:rPr>
              <w:t xml:space="preserve"> </w:t>
            </w:r>
            <w:r w:rsidR="00CC37EA">
              <w:rPr>
                <w:rFonts w:cs="Arial"/>
                <w:b/>
                <w:color w:val="000000"/>
                <w:szCs w:val="22"/>
                <w:lang w:val="en-NZ"/>
              </w:rPr>
              <w:t>Denying loss grouping</w:t>
            </w:r>
          </w:p>
        </w:tc>
        <w:tc>
          <w:tcPr>
            <w:tcW w:w="4762" w:type="dxa"/>
            <w:shd w:val="clear" w:color="auto" w:fill="99CDDD"/>
            <w:vAlign w:val="center"/>
          </w:tcPr>
          <w:p w14:paraId="0DA57526" w14:textId="1F9926CD" w:rsidR="005A1103" w:rsidRPr="00A864A5" w:rsidRDefault="005A1103" w:rsidP="00F12624">
            <w:pPr>
              <w:spacing w:before="60" w:after="60" w:line="276" w:lineRule="auto"/>
              <w:jc w:val="center"/>
              <w:rPr>
                <w:rFonts w:cs="Arial"/>
                <w:b/>
                <w:color w:val="000000"/>
                <w:szCs w:val="22"/>
                <w:lang w:val="en-NZ"/>
              </w:rPr>
            </w:pPr>
            <w:r w:rsidRPr="00A864A5">
              <w:rPr>
                <w:rFonts w:cs="Arial"/>
                <w:b/>
                <w:color w:val="000000"/>
                <w:szCs w:val="22"/>
                <w:lang w:val="en-NZ"/>
              </w:rPr>
              <w:t xml:space="preserve">Option </w:t>
            </w:r>
            <w:r w:rsidR="00CC37EA">
              <w:rPr>
                <w:rFonts w:cs="Arial"/>
                <w:b/>
                <w:color w:val="000000"/>
                <w:szCs w:val="22"/>
                <w:lang w:val="en-NZ"/>
              </w:rPr>
              <w:t>Three: Denying certain deductions</w:t>
            </w:r>
          </w:p>
        </w:tc>
      </w:tr>
      <w:tr w:rsidR="00F13A00" w:rsidRPr="00A864A5" w14:paraId="786AF479" w14:textId="77777777" w:rsidTr="00DB765C">
        <w:trPr>
          <w:trHeight w:val="615"/>
        </w:trPr>
        <w:tc>
          <w:tcPr>
            <w:tcW w:w="2258" w:type="dxa"/>
            <w:shd w:val="clear" w:color="auto" w:fill="99CDDD"/>
            <w:vAlign w:val="center"/>
          </w:tcPr>
          <w:p w14:paraId="5361DD19" w14:textId="020480AD" w:rsidR="00833003" w:rsidRPr="00A864A5" w:rsidRDefault="00833003" w:rsidP="00833003">
            <w:pPr>
              <w:spacing w:before="60" w:after="60" w:line="240" w:lineRule="auto"/>
              <w:jc w:val="center"/>
              <w:rPr>
                <w:rFonts w:cs="Arial"/>
                <w:b/>
                <w:color w:val="000000"/>
                <w:szCs w:val="22"/>
                <w:lang w:val="en-NZ"/>
              </w:rPr>
            </w:pPr>
            <w:r>
              <w:rPr>
                <w:rFonts w:cs="Arial"/>
                <w:b/>
                <w:color w:val="000000"/>
                <w:szCs w:val="22"/>
                <w:lang w:val="en-NZ"/>
              </w:rPr>
              <w:t>Integrity</w:t>
            </w:r>
            <w:r w:rsidR="005276CA">
              <w:rPr>
                <w:rFonts w:cs="Arial"/>
                <w:b/>
                <w:color w:val="000000"/>
                <w:szCs w:val="22"/>
                <w:lang w:val="en-NZ"/>
              </w:rPr>
              <w:t xml:space="preserve"> of the tax system</w:t>
            </w:r>
          </w:p>
        </w:tc>
        <w:tc>
          <w:tcPr>
            <w:tcW w:w="1531" w:type="dxa"/>
            <w:shd w:val="clear" w:color="auto" w:fill="auto"/>
            <w:vAlign w:val="center"/>
          </w:tcPr>
          <w:p w14:paraId="6C6BE1B2"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5896" w:type="dxa"/>
            <w:shd w:val="clear" w:color="auto" w:fill="auto"/>
            <w:vAlign w:val="center"/>
          </w:tcPr>
          <w:p w14:paraId="763E15FF" w14:textId="77777777" w:rsidR="00833003" w:rsidRDefault="00A94166" w:rsidP="00833003">
            <w:pPr>
              <w:pStyle w:val="TableText"/>
              <w:spacing w:line="276" w:lineRule="auto"/>
              <w:jc w:val="center"/>
              <w:rPr>
                <w:rFonts w:cs="Arial"/>
                <w:b/>
                <w:color w:val="00B050"/>
              </w:rPr>
            </w:pPr>
            <w:r w:rsidRPr="00A864A5">
              <w:rPr>
                <w:rFonts w:cs="Arial"/>
                <w:b/>
                <w:color w:val="00B050"/>
              </w:rPr>
              <w:t>++</w:t>
            </w:r>
          </w:p>
          <w:p w14:paraId="01BE4CCC" w14:textId="526CA49F" w:rsidR="00386F87" w:rsidRPr="00A864A5" w:rsidRDefault="00386F87" w:rsidP="00833003">
            <w:pPr>
              <w:pStyle w:val="TableText"/>
              <w:spacing w:line="276" w:lineRule="auto"/>
              <w:jc w:val="center"/>
              <w:rPr>
                <w:i/>
                <w:iCs/>
                <w:lang w:val="en-NZ"/>
              </w:rPr>
            </w:pPr>
            <w:r>
              <w:rPr>
                <w:lang w:val="en-NZ"/>
              </w:rPr>
              <w:t>This option</w:t>
            </w:r>
            <w:r w:rsidR="00714D19">
              <w:rPr>
                <w:lang w:val="en-NZ"/>
              </w:rPr>
              <w:t xml:space="preserve"> </w:t>
            </w:r>
            <w:r w:rsidR="00CC1CC5">
              <w:rPr>
                <w:lang w:val="en-NZ"/>
              </w:rPr>
              <w:t>would prevent the current integrity risks from eroding tax revenues.</w:t>
            </w:r>
          </w:p>
        </w:tc>
        <w:tc>
          <w:tcPr>
            <w:tcW w:w="4762" w:type="dxa"/>
            <w:shd w:val="clear" w:color="auto" w:fill="auto"/>
            <w:vAlign w:val="center"/>
          </w:tcPr>
          <w:p w14:paraId="7BF625E3" w14:textId="77777777" w:rsidR="00833003" w:rsidRDefault="00C95F8F" w:rsidP="00833003">
            <w:pPr>
              <w:pStyle w:val="TableText"/>
              <w:spacing w:line="276" w:lineRule="auto"/>
              <w:jc w:val="center"/>
              <w:rPr>
                <w:rFonts w:cs="Arial"/>
                <w:b/>
                <w:color w:val="00B050"/>
              </w:rPr>
            </w:pPr>
            <w:r w:rsidRPr="00A864A5">
              <w:rPr>
                <w:rFonts w:cs="Arial"/>
                <w:b/>
                <w:color w:val="00B050"/>
              </w:rPr>
              <w:t>++</w:t>
            </w:r>
          </w:p>
          <w:p w14:paraId="7C94ED92" w14:textId="5DFA7225" w:rsidR="00714D19" w:rsidRPr="00A864A5" w:rsidRDefault="00CC1CC5" w:rsidP="00833003">
            <w:pPr>
              <w:pStyle w:val="TableText"/>
              <w:spacing w:line="276" w:lineRule="auto"/>
              <w:jc w:val="center"/>
              <w:rPr>
                <w:lang w:val="en-NZ"/>
              </w:rPr>
            </w:pPr>
            <w:r>
              <w:rPr>
                <w:lang w:val="en-NZ"/>
              </w:rPr>
              <w:t xml:space="preserve">This option would prevent the current integrity risks from </w:t>
            </w:r>
            <w:r w:rsidR="00DE2AD3">
              <w:rPr>
                <w:lang w:val="en-NZ"/>
              </w:rPr>
              <w:t>reducing</w:t>
            </w:r>
            <w:r>
              <w:rPr>
                <w:lang w:val="en-NZ"/>
              </w:rPr>
              <w:t xml:space="preserve"> tax revenues.</w:t>
            </w:r>
          </w:p>
        </w:tc>
      </w:tr>
      <w:tr w:rsidR="00F13A00" w:rsidRPr="00A864A5" w14:paraId="725C7675" w14:textId="77777777" w:rsidTr="00DB765C">
        <w:trPr>
          <w:trHeight w:val="378"/>
        </w:trPr>
        <w:tc>
          <w:tcPr>
            <w:tcW w:w="2258" w:type="dxa"/>
            <w:shd w:val="clear" w:color="auto" w:fill="99CDDD"/>
            <w:vAlign w:val="center"/>
          </w:tcPr>
          <w:p w14:paraId="3A31AF3B" w14:textId="4EE52114" w:rsidR="00833003" w:rsidRPr="00A864A5" w:rsidRDefault="005276CA" w:rsidP="00833003">
            <w:pPr>
              <w:spacing w:before="60" w:after="60" w:line="240" w:lineRule="auto"/>
              <w:jc w:val="center"/>
              <w:rPr>
                <w:rFonts w:cs="Arial"/>
                <w:b/>
                <w:color w:val="000000"/>
                <w:szCs w:val="22"/>
                <w:lang w:val="en-NZ"/>
              </w:rPr>
            </w:pPr>
            <w:r>
              <w:rPr>
                <w:rFonts w:cs="Arial"/>
                <w:b/>
                <w:color w:val="000000"/>
                <w:szCs w:val="22"/>
                <w:lang w:val="en-NZ"/>
              </w:rPr>
              <w:t>Fairness and equity</w:t>
            </w:r>
          </w:p>
        </w:tc>
        <w:tc>
          <w:tcPr>
            <w:tcW w:w="1531" w:type="dxa"/>
            <w:shd w:val="clear" w:color="auto" w:fill="auto"/>
            <w:vAlign w:val="center"/>
          </w:tcPr>
          <w:p w14:paraId="1F1C4C38"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5896" w:type="dxa"/>
            <w:shd w:val="clear" w:color="auto" w:fill="auto"/>
            <w:vAlign w:val="center"/>
          </w:tcPr>
          <w:p w14:paraId="18488C9F" w14:textId="6F8ACDFF" w:rsidR="002A04BA" w:rsidRDefault="002A04BA" w:rsidP="002A04BA">
            <w:pPr>
              <w:pStyle w:val="TableText"/>
              <w:spacing w:line="276" w:lineRule="auto"/>
              <w:jc w:val="center"/>
              <w:rPr>
                <w:rFonts w:cs="Arial"/>
                <w:b/>
                <w:color w:val="FF0000"/>
              </w:rPr>
            </w:pPr>
            <w:r w:rsidRPr="00A864A5">
              <w:rPr>
                <w:rFonts w:cs="Arial"/>
                <w:b/>
                <w:color w:val="FF0000"/>
              </w:rPr>
              <w:t xml:space="preserve">- </w:t>
            </w:r>
          </w:p>
          <w:p w14:paraId="1BA4B565" w14:textId="4F07934E" w:rsidR="00833003" w:rsidRPr="001024F6" w:rsidRDefault="001024F6" w:rsidP="00833003">
            <w:pPr>
              <w:pStyle w:val="TableText"/>
              <w:spacing w:line="276" w:lineRule="auto"/>
              <w:jc w:val="center"/>
              <w:rPr>
                <w:lang w:val="en-NZ"/>
              </w:rPr>
            </w:pPr>
            <w:r>
              <w:rPr>
                <w:lang w:val="en-NZ"/>
              </w:rPr>
              <w:t xml:space="preserve">Denying loss grouping would prevent local authorities from grouping </w:t>
            </w:r>
            <w:r>
              <w:rPr>
                <w:i/>
                <w:iCs/>
                <w:lang w:val="en-NZ"/>
              </w:rPr>
              <w:t>any</w:t>
            </w:r>
            <w:r>
              <w:rPr>
                <w:lang w:val="en-NZ"/>
              </w:rPr>
              <w:t xml:space="preserve"> losses. </w:t>
            </w:r>
            <w:r w:rsidR="00916196">
              <w:rPr>
                <w:lang w:val="en-NZ"/>
              </w:rPr>
              <w:t>This would be unfair considering they can incur deductible expenditure in deriving assessable income in their CCOs</w:t>
            </w:r>
          </w:p>
        </w:tc>
        <w:tc>
          <w:tcPr>
            <w:tcW w:w="4762" w:type="dxa"/>
            <w:shd w:val="clear" w:color="auto" w:fill="auto"/>
            <w:vAlign w:val="center"/>
          </w:tcPr>
          <w:p w14:paraId="1318D35D" w14:textId="77777777" w:rsidR="00833003" w:rsidRDefault="0096194E" w:rsidP="00833003">
            <w:pPr>
              <w:pStyle w:val="TableText"/>
              <w:spacing w:line="276" w:lineRule="auto"/>
              <w:jc w:val="center"/>
              <w:rPr>
                <w:rFonts w:cs="Arial"/>
                <w:b/>
                <w:color w:val="00B050"/>
              </w:rPr>
            </w:pPr>
            <w:r w:rsidRPr="00A864A5">
              <w:rPr>
                <w:rFonts w:cs="Arial"/>
                <w:b/>
                <w:color w:val="00B050"/>
              </w:rPr>
              <w:t>+</w:t>
            </w:r>
          </w:p>
          <w:p w14:paraId="18CFAE3F" w14:textId="759245B8" w:rsidR="0096194E" w:rsidRPr="00A864A5" w:rsidRDefault="0096194E" w:rsidP="00833003">
            <w:pPr>
              <w:pStyle w:val="TableText"/>
              <w:spacing w:line="276" w:lineRule="auto"/>
              <w:jc w:val="center"/>
              <w:rPr>
                <w:lang w:val="en-NZ"/>
              </w:rPr>
            </w:pPr>
            <w:r>
              <w:rPr>
                <w:lang w:val="en-NZ"/>
              </w:rPr>
              <w:t xml:space="preserve"> </w:t>
            </w:r>
            <w:r w:rsidR="00916196" w:rsidRPr="00F12624">
              <w:rPr>
                <w:lang w:val="en-NZ"/>
              </w:rPr>
              <w:t xml:space="preserve">This option would </w:t>
            </w:r>
            <w:r w:rsidR="00F12624" w:rsidRPr="00F12624">
              <w:rPr>
                <w:lang w:val="en-NZ"/>
              </w:rPr>
              <w:t>i</w:t>
            </w:r>
            <w:r w:rsidR="00F12624">
              <w:rPr>
                <w:lang w:val="en-NZ"/>
              </w:rPr>
              <w:t>mprove the fairness of the tax settings for taxpayers by reducing the ability for local authorities to shelter CCOs from tax.</w:t>
            </w:r>
          </w:p>
        </w:tc>
      </w:tr>
      <w:tr w:rsidR="00F13A00" w:rsidRPr="00A864A5" w14:paraId="28863B39" w14:textId="77777777" w:rsidTr="00DB765C">
        <w:trPr>
          <w:trHeight w:val="395"/>
        </w:trPr>
        <w:tc>
          <w:tcPr>
            <w:tcW w:w="2258" w:type="dxa"/>
            <w:shd w:val="clear" w:color="auto" w:fill="99CDDD"/>
            <w:vAlign w:val="center"/>
          </w:tcPr>
          <w:p w14:paraId="603962F5" w14:textId="4732D428" w:rsidR="00833003" w:rsidRPr="00A864A5" w:rsidRDefault="008817D1" w:rsidP="00833003">
            <w:pPr>
              <w:spacing w:before="60" w:after="60" w:line="240" w:lineRule="auto"/>
              <w:jc w:val="center"/>
              <w:rPr>
                <w:rFonts w:cs="Arial"/>
                <w:b/>
                <w:color w:val="000000"/>
                <w:szCs w:val="22"/>
                <w:lang w:val="en-NZ"/>
              </w:rPr>
            </w:pPr>
            <w:r>
              <w:rPr>
                <w:rFonts w:cs="Arial"/>
                <w:b/>
                <w:color w:val="000000"/>
                <w:szCs w:val="22"/>
                <w:lang w:val="en-NZ"/>
              </w:rPr>
              <w:t>Impact on local government</w:t>
            </w:r>
          </w:p>
        </w:tc>
        <w:tc>
          <w:tcPr>
            <w:tcW w:w="1531" w:type="dxa"/>
            <w:shd w:val="clear" w:color="auto" w:fill="auto"/>
            <w:vAlign w:val="center"/>
          </w:tcPr>
          <w:p w14:paraId="149645F8"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5896" w:type="dxa"/>
            <w:shd w:val="clear" w:color="auto" w:fill="auto"/>
            <w:vAlign w:val="center"/>
          </w:tcPr>
          <w:p w14:paraId="39BB4FB6" w14:textId="77777777" w:rsidR="008817D1" w:rsidRDefault="008817D1" w:rsidP="008817D1">
            <w:pPr>
              <w:pStyle w:val="TableText"/>
              <w:spacing w:line="276" w:lineRule="auto"/>
              <w:jc w:val="center"/>
              <w:rPr>
                <w:rFonts w:cs="Arial"/>
                <w:b/>
                <w:color w:val="FF0000"/>
              </w:rPr>
            </w:pPr>
            <w:r w:rsidRPr="00A864A5">
              <w:rPr>
                <w:rFonts w:cs="Arial"/>
                <w:b/>
                <w:color w:val="FF0000"/>
              </w:rPr>
              <w:t>- -</w:t>
            </w:r>
          </w:p>
          <w:p w14:paraId="64070353" w14:textId="33706AF7" w:rsidR="008817D1" w:rsidRPr="00A864A5" w:rsidRDefault="00D1658A" w:rsidP="00833003">
            <w:pPr>
              <w:pStyle w:val="TableText"/>
              <w:spacing w:line="276" w:lineRule="auto"/>
              <w:jc w:val="center"/>
              <w:rPr>
                <w:lang w:val="en-NZ"/>
              </w:rPr>
            </w:pPr>
            <w:r>
              <w:rPr>
                <w:lang w:val="en-NZ"/>
              </w:rPr>
              <w:t xml:space="preserve">Preventing local authorities from grouping any losses would </w:t>
            </w:r>
            <w:r w:rsidR="00D326C2">
              <w:rPr>
                <w:lang w:val="en-NZ"/>
              </w:rPr>
              <w:t>increase the costs of most councils carrying on their functions and services.</w:t>
            </w:r>
          </w:p>
        </w:tc>
        <w:tc>
          <w:tcPr>
            <w:tcW w:w="4762" w:type="dxa"/>
            <w:shd w:val="clear" w:color="auto" w:fill="auto"/>
            <w:vAlign w:val="center"/>
          </w:tcPr>
          <w:p w14:paraId="5A4F6B82" w14:textId="77777777" w:rsidR="00833003" w:rsidRDefault="008817D1" w:rsidP="00833003">
            <w:pPr>
              <w:pStyle w:val="TableText"/>
              <w:spacing w:line="276" w:lineRule="auto"/>
              <w:jc w:val="center"/>
              <w:rPr>
                <w:rFonts w:cs="Arial"/>
                <w:b/>
                <w:color w:val="FF0000"/>
              </w:rPr>
            </w:pPr>
            <w:r w:rsidRPr="00A864A5">
              <w:rPr>
                <w:rFonts w:cs="Arial"/>
                <w:b/>
                <w:color w:val="FF0000"/>
              </w:rPr>
              <w:t>-</w:t>
            </w:r>
          </w:p>
          <w:p w14:paraId="7C1764E2" w14:textId="05E7F566" w:rsidR="00D1658A" w:rsidRPr="00A864A5" w:rsidRDefault="00D1658A" w:rsidP="00833003">
            <w:pPr>
              <w:pStyle w:val="TableText"/>
              <w:spacing w:line="276" w:lineRule="auto"/>
              <w:jc w:val="center"/>
              <w:rPr>
                <w:lang w:val="en-NZ"/>
              </w:rPr>
            </w:pPr>
            <w:r>
              <w:rPr>
                <w:lang w:val="en-NZ"/>
              </w:rPr>
              <w:t>Preventing local authorities from accessing the corporate gift deduction and limiting certain interest deductions w</w:t>
            </w:r>
            <w:r w:rsidR="00EF70EA">
              <w:rPr>
                <w:lang w:val="en-NZ"/>
              </w:rPr>
              <w:t>ould</w:t>
            </w:r>
            <w:r>
              <w:rPr>
                <w:lang w:val="en-NZ"/>
              </w:rPr>
              <w:t xml:space="preserve"> </w:t>
            </w:r>
            <w:r w:rsidR="006E73CD">
              <w:rPr>
                <w:lang w:val="en-NZ"/>
              </w:rPr>
              <w:t>increase the costs of</w:t>
            </w:r>
            <w:r>
              <w:rPr>
                <w:lang w:val="en-NZ"/>
              </w:rPr>
              <w:t xml:space="preserve"> </w:t>
            </w:r>
            <w:r w:rsidR="00D326C2">
              <w:rPr>
                <w:lang w:val="en-NZ"/>
              </w:rPr>
              <w:t xml:space="preserve">some </w:t>
            </w:r>
            <w:r>
              <w:rPr>
                <w:lang w:val="en-NZ"/>
              </w:rPr>
              <w:t>counci</w:t>
            </w:r>
            <w:r w:rsidR="00EF70EA">
              <w:rPr>
                <w:lang w:val="en-NZ"/>
              </w:rPr>
              <w:t>ls</w:t>
            </w:r>
            <w:r w:rsidR="006E73CD">
              <w:rPr>
                <w:lang w:val="en-NZ"/>
              </w:rPr>
              <w:t xml:space="preserve"> carrying on their functions</w:t>
            </w:r>
            <w:r w:rsidR="00D326C2">
              <w:rPr>
                <w:lang w:val="en-NZ"/>
              </w:rPr>
              <w:t xml:space="preserve"> and services</w:t>
            </w:r>
            <w:r w:rsidR="00EF70EA">
              <w:rPr>
                <w:lang w:val="en-NZ"/>
              </w:rPr>
              <w:t>.</w:t>
            </w:r>
          </w:p>
        </w:tc>
      </w:tr>
      <w:tr w:rsidR="00F13A00" w:rsidRPr="00A864A5" w14:paraId="225897D2" w14:textId="77777777" w:rsidTr="00DB765C">
        <w:trPr>
          <w:trHeight w:val="378"/>
        </w:trPr>
        <w:tc>
          <w:tcPr>
            <w:tcW w:w="2258" w:type="dxa"/>
            <w:shd w:val="clear" w:color="auto" w:fill="99CDDD"/>
            <w:vAlign w:val="center"/>
          </w:tcPr>
          <w:p w14:paraId="409ABCC5" w14:textId="0401DED9" w:rsidR="00833003" w:rsidRPr="00A864A5" w:rsidRDefault="00833003" w:rsidP="00833003">
            <w:pPr>
              <w:spacing w:before="60" w:after="60" w:line="240" w:lineRule="auto"/>
              <w:jc w:val="center"/>
              <w:rPr>
                <w:rFonts w:cs="Arial"/>
                <w:b/>
                <w:color w:val="000000"/>
                <w:szCs w:val="22"/>
                <w:lang w:val="en-NZ"/>
              </w:rPr>
            </w:pPr>
            <w:r>
              <w:rPr>
                <w:rFonts w:cs="Arial"/>
                <w:b/>
                <w:color w:val="000000"/>
                <w:szCs w:val="22"/>
                <w:lang w:val="en-NZ"/>
              </w:rPr>
              <w:t xml:space="preserve">Fiscal </w:t>
            </w:r>
            <w:r w:rsidR="005276CA">
              <w:rPr>
                <w:rFonts w:cs="Arial"/>
                <w:b/>
                <w:color w:val="000000"/>
                <w:szCs w:val="22"/>
                <w:lang w:val="en-NZ"/>
              </w:rPr>
              <w:t>impact</w:t>
            </w:r>
          </w:p>
        </w:tc>
        <w:tc>
          <w:tcPr>
            <w:tcW w:w="1531" w:type="dxa"/>
            <w:shd w:val="clear" w:color="auto" w:fill="auto"/>
            <w:vAlign w:val="center"/>
          </w:tcPr>
          <w:p w14:paraId="0B489ADA"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5896" w:type="dxa"/>
            <w:shd w:val="clear" w:color="auto" w:fill="auto"/>
            <w:vAlign w:val="center"/>
          </w:tcPr>
          <w:p w14:paraId="17A7D325" w14:textId="2DAB5CDE" w:rsidR="00332065" w:rsidRDefault="00332065" w:rsidP="00833003">
            <w:pPr>
              <w:pStyle w:val="TableText"/>
              <w:spacing w:line="276" w:lineRule="auto"/>
              <w:jc w:val="center"/>
              <w:rPr>
                <w:lang w:val="en-NZ"/>
              </w:rPr>
            </w:pPr>
            <w:r w:rsidRPr="00A864A5">
              <w:rPr>
                <w:rFonts w:cs="Arial"/>
                <w:b/>
                <w:color w:val="00B050"/>
              </w:rPr>
              <w:t>+</w:t>
            </w:r>
          </w:p>
          <w:p w14:paraId="7B694308" w14:textId="4389B2C0" w:rsidR="009F6F17" w:rsidRPr="00A864A5" w:rsidRDefault="009F6F17" w:rsidP="00833003">
            <w:pPr>
              <w:pStyle w:val="TableText"/>
              <w:spacing w:line="276" w:lineRule="auto"/>
              <w:jc w:val="center"/>
              <w:rPr>
                <w:lang w:val="en-NZ"/>
              </w:rPr>
            </w:pPr>
            <w:r>
              <w:rPr>
                <w:lang w:val="en-NZ"/>
              </w:rPr>
              <w:t>Th</w:t>
            </w:r>
            <w:r w:rsidR="00386F87">
              <w:rPr>
                <w:lang w:val="en-NZ"/>
              </w:rPr>
              <w:t xml:space="preserve">is option would </w:t>
            </w:r>
            <w:r>
              <w:rPr>
                <w:lang w:val="en-NZ"/>
              </w:rPr>
              <w:t xml:space="preserve">raise </w:t>
            </w:r>
            <w:r w:rsidR="00332065">
              <w:rPr>
                <w:lang w:val="en-NZ"/>
              </w:rPr>
              <w:t xml:space="preserve">tax </w:t>
            </w:r>
            <w:r>
              <w:rPr>
                <w:lang w:val="en-NZ"/>
              </w:rPr>
              <w:t>revenue</w:t>
            </w:r>
            <w:r w:rsidR="00332065">
              <w:rPr>
                <w:lang w:val="en-NZ"/>
              </w:rPr>
              <w:t>s</w:t>
            </w:r>
            <w:r>
              <w:rPr>
                <w:lang w:val="en-NZ"/>
              </w:rPr>
              <w:t xml:space="preserve"> for </w:t>
            </w:r>
            <w:r w:rsidR="00332065">
              <w:rPr>
                <w:lang w:val="en-NZ"/>
              </w:rPr>
              <w:t xml:space="preserve">central </w:t>
            </w:r>
            <w:r>
              <w:rPr>
                <w:lang w:val="en-NZ"/>
              </w:rPr>
              <w:t>government.</w:t>
            </w:r>
          </w:p>
        </w:tc>
        <w:tc>
          <w:tcPr>
            <w:tcW w:w="4762" w:type="dxa"/>
            <w:shd w:val="clear" w:color="auto" w:fill="auto"/>
            <w:vAlign w:val="center"/>
          </w:tcPr>
          <w:p w14:paraId="339C37ED" w14:textId="2D6C1444" w:rsidR="009F6F17" w:rsidRDefault="00332065" w:rsidP="00332065">
            <w:pPr>
              <w:pStyle w:val="TableText"/>
              <w:spacing w:line="276" w:lineRule="auto"/>
              <w:jc w:val="center"/>
              <w:rPr>
                <w:lang w:val="en-NZ"/>
              </w:rPr>
            </w:pPr>
            <w:r w:rsidRPr="00A864A5">
              <w:rPr>
                <w:rFonts w:cs="Arial"/>
                <w:b/>
                <w:color w:val="00B050"/>
              </w:rPr>
              <w:t>+</w:t>
            </w:r>
          </w:p>
          <w:p w14:paraId="103D7FB2" w14:textId="2A0A4202" w:rsidR="00332065" w:rsidRPr="00A864A5" w:rsidRDefault="00332065" w:rsidP="00FF73AD">
            <w:pPr>
              <w:pStyle w:val="TableText"/>
              <w:spacing w:line="276" w:lineRule="auto"/>
              <w:jc w:val="center"/>
              <w:rPr>
                <w:lang w:val="en-NZ"/>
              </w:rPr>
            </w:pPr>
            <w:r>
              <w:rPr>
                <w:lang w:val="en-NZ"/>
              </w:rPr>
              <w:t xml:space="preserve">The </w:t>
            </w:r>
            <w:r w:rsidR="00386F87">
              <w:rPr>
                <w:lang w:val="en-NZ"/>
              </w:rPr>
              <w:t xml:space="preserve">option would </w:t>
            </w:r>
            <w:r>
              <w:rPr>
                <w:lang w:val="en-NZ"/>
              </w:rPr>
              <w:t>raise tax revenues for central government.</w:t>
            </w:r>
          </w:p>
        </w:tc>
      </w:tr>
      <w:tr w:rsidR="00F13A00" w:rsidRPr="00A864A5" w14:paraId="3A7F0B51" w14:textId="77777777" w:rsidTr="00DB765C">
        <w:trPr>
          <w:trHeight w:val="378"/>
        </w:trPr>
        <w:tc>
          <w:tcPr>
            <w:tcW w:w="2258" w:type="dxa"/>
            <w:shd w:val="clear" w:color="auto" w:fill="99CDDD"/>
            <w:vAlign w:val="center"/>
          </w:tcPr>
          <w:p w14:paraId="793406B6" w14:textId="14B783FA" w:rsidR="00C95F8F" w:rsidRDefault="00C95F8F" w:rsidP="00833003">
            <w:pPr>
              <w:spacing w:before="60" w:after="60" w:line="240" w:lineRule="auto"/>
              <w:jc w:val="center"/>
              <w:rPr>
                <w:rFonts w:cs="Arial"/>
                <w:b/>
                <w:color w:val="000000"/>
                <w:szCs w:val="22"/>
                <w:lang w:val="en-NZ"/>
              </w:rPr>
            </w:pPr>
            <w:r>
              <w:rPr>
                <w:rFonts w:cs="Arial"/>
                <w:b/>
                <w:color w:val="000000"/>
                <w:szCs w:val="22"/>
                <w:lang w:val="en-NZ"/>
              </w:rPr>
              <w:t>Stakeholder support</w:t>
            </w:r>
          </w:p>
        </w:tc>
        <w:tc>
          <w:tcPr>
            <w:tcW w:w="1531" w:type="dxa"/>
            <w:shd w:val="clear" w:color="auto" w:fill="auto"/>
            <w:vAlign w:val="center"/>
          </w:tcPr>
          <w:p w14:paraId="5BF27A50" w14:textId="2A0DE2F4" w:rsidR="00C95F8F" w:rsidRPr="00A864A5" w:rsidRDefault="00C95F8F" w:rsidP="00833003">
            <w:pPr>
              <w:pStyle w:val="TableText"/>
              <w:spacing w:line="276" w:lineRule="auto"/>
              <w:jc w:val="center"/>
              <w:rPr>
                <w:bCs/>
                <w:lang w:val="en-NZ"/>
              </w:rPr>
            </w:pPr>
            <w:r w:rsidRPr="00A864A5">
              <w:rPr>
                <w:bCs/>
                <w:lang w:val="en-NZ"/>
              </w:rPr>
              <w:t>0</w:t>
            </w:r>
          </w:p>
        </w:tc>
        <w:tc>
          <w:tcPr>
            <w:tcW w:w="5896" w:type="dxa"/>
            <w:shd w:val="clear" w:color="auto" w:fill="auto"/>
            <w:vAlign w:val="center"/>
          </w:tcPr>
          <w:p w14:paraId="3CC4B092" w14:textId="77777777" w:rsidR="00C95F8F" w:rsidRDefault="00C95F8F" w:rsidP="00833003">
            <w:pPr>
              <w:pStyle w:val="TableText"/>
              <w:spacing w:line="276" w:lineRule="auto"/>
              <w:jc w:val="center"/>
              <w:rPr>
                <w:rFonts w:cs="Arial"/>
                <w:b/>
                <w:color w:val="FF0000"/>
              </w:rPr>
            </w:pPr>
            <w:r w:rsidRPr="00A864A5">
              <w:rPr>
                <w:rFonts w:cs="Arial"/>
                <w:b/>
                <w:color w:val="FF0000"/>
              </w:rPr>
              <w:t>- -</w:t>
            </w:r>
          </w:p>
          <w:p w14:paraId="004B3532" w14:textId="1020CA7B" w:rsidR="00F4442C" w:rsidRPr="00A864A5" w:rsidRDefault="00F4442C" w:rsidP="00833003">
            <w:pPr>
              <w:pStyle w:val="TableText"/>
              <w:spacing w:line="276" w:lineRule="auto"/>
              <w:jc w:val="center"/>
              <w:rPr>
                <w:lang w:val="en-NZ"/>
              </w:rPr>
            </w:pPr>
            <w:r>
              <w:rPr>
                <w:lang w:val="en-NZ"/>
              </w:rPr>
              <w:t>The local government sector strongly opposed denying loss grouping.</w:t>
            </w:r>
          </w:p>
        </w:tc>
        <w:tc>
          <w:tcPr>
            <w:tcW w:w="4762" w:type="dxa"/>
            <w:shd w:val="clear" w:color="auto" w:fill="auto"/>
            <w:vAlign w:val="center"/>
          </w:tcPr>
          <w:p w14:paraId="2CC442BC" w14:textId="77777777" w:rsidR="00C95F8F" w:rsidRDefault="00A94166" w:rsidP="00833003">
            <w:pPr>
              <w:pStyle w:val="TableText"/>
              <w:spacing w:line="276" w:lineRule="auto"/>
              <w:jc w:val="center"/>
              <w:rPr>
                <w:rFonts w:cs="Arial"/>
                <w:b/>
                <w:color w:val="FF0000"/>
              </w:rPr>
            </w:pPr>
            <w:r w:rsidRPr="00A864A5">
              <w:rPr>
                <w:rFonts w:cs="Arial"/>
                <w:b/>
                <w:color w:val="FF0000"/>
              </w:rPr>
              <w:t>-</w:t>
            </w:r>
          </w:p>
          <w:p w14:paraId="60446261" w14:textId="4A8AE6AD" w:rsidR="00F4442C" w:rsidRPr="00A864A5" w:rsidRDefault="002A04BA" w:rsidP="00833003">
            <w:pPr>
              <w:pStyle w:val="TableText"/>
              <w:spacing w:line="276" w:lineRule="auto"/>
              <w:jc w:val="center"/>
              <w:rPr>
                <w:lang w:val="en-NZ"/>
              </w:rPr>
            </w:pPr>
            <w:r>
              <w:rPr>
                <w:lang w:val="en-NZ"/>
              </w:rPr>
              <w:t>Officials expect</w:t>
            </w:r>
            <w:r w:rsidR="00FA70F9">
              <w:rPr>
                <w:lang w:val="en-NZ"/>
              </w:rPr>
              <w:t xml:space="preserve"> that this option </w:t>
            </w:r>
            <w:r w:rsidR="00386F87">
              <w:rPr>
                <w:lang w:val="en-NZ"/>
              </w:rPr>
              <w:t>would</w:t>
            </w:r>
            <w:r w:rsidR="00FA70F9">
              <w:rPr>
                <w:lang w:val="en-NZ"/>
              </w:rPr>
              <w:t xml:space="preserve"> not be supported by the sector but w</w:t>
            </w:r>
            <w:r w:rsidR="00386F87">
              <w:rPr>
                <w:lang w:val="en-NZ"/>
              </w:rPr>
              <w:t>ould</w:t>
            </w:r>
            <w:r w:rsidR="00FA70F9">
              <w:rPr>
                <w:lang w:val="en-NZ"/>
              </w:rPr>
              <w:t xml:space="preserve"> be preferred to </w:t>
            </w:r>
            <w:r>
              <w:rPr>
                <w:lang w:val="en-NZ"/>
              </w:rPr>
              <w:t>Option Two.</w:t>
            </w:r>
          </w:p>
        </w:tc>
      </w:tr>
      <w:tr w:rsidR="00F13A00" w:rsidRPr="00A864A5" w14:paraId="7E53EF95" w14:textId="77777777" w:rsidTr="00DB765C">
        <w:trPr>
          <w:trHeight w:val="584"/>
        </w:trPr>
        <w:tc>
          <w:tcPr>
            <w:tcW w:w="2258" w:type="dxa"/>
            <w:shd w:val="clear" w:color="auto" w:fill="99CDDD"/>
            <w:vAlign w:val="center"/>
          </w:tcPr>
          <w:p w14:paraId="3BC52A0E" w14:textId="5FB66E45" w:rsidR="00833003" w:rsidRPr="00A864A5" w:rsidRDefault="00833003" w:rsidP="00833003">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1531" w:type="dxa"/>
            <w:shd w:val="clear" w:color="auto" w:fill="auto"/>
            <w:vAlign w:val="center"/>
          </w:tcPr>
          <w:p w14:paraId="15EB41F7" w14:textId="77777777" w:rsidR="00833003" w:rsidRPr="00A864A5" w:rsidRDefault="00833003" w:rsidP="00833003">
            <w:pPr>
              <w:pStyle w:val="TableText"/>
              <w:spacing w:line="276" w:lineRule="auto"/>
              <w:jc w:val="center"/>
              <w:rPr>
                <w:lang w:val="en-NZ"/>
              </w:rPr>
            </w:pPr>
            <w:r w:rsidRPr="00A864A5">
              <w:rPr>
                <w:lang w:val="en-NZ"/>
              </w:rPr>
              <w:t>0</w:t>
            </w:r>
          </w:p>
        </w:tc>
        <w:tc>
          <w:tcPr>
            <w:tcW w:w="5896" w:type="dxa"/>
            <w:shd w:val="clear" w:color="auto" w:fill="auto"/>
            <w:vAlign w:val="center"/>
          </w:tcPr>
          <w:p w14:paraId="23D0E4CF" w14:textId="40CC6B11" w:rsidR="00833003" w:rsidRDefault="002A04BA" w:rsidP="00833003">
            <w:pPr>
              <w:pStyle w:val="TableText"/>
              <w:spacing w:line="276" w:lineRule="auto"/>
              <w:jc w:val="center"/>
              <w:rPr>
                <w:lang w:val="en-NZ"/>
              </w:rPr>
            </w:pPr>
            <w:r>
              <w:rPr>
                <w:lang w:val="en-NZ"/>
              </w:rPr>
              <w:t>0</w:t>
            </w:r>
          </w:p>
          <w:p w14:paraId="7D4E6343" w14:textId="26524DCB" w:rsidR="002A04BA" w:rsidRPr="00A864A5" w:rsidRDefault="002A04BA" w:rsidP="00833003">
            <w:pPr>
              <w:pStyle w:val="TableText"/>
              <w:spacing w:line="276" w:lineRule="auto"/>
              <w:jc w:val="center"/>
              <w:rPr>
                <w:lang w:val="en-NZ"/>
              </w:rPr>
            </w:pPr>
            <w:r>
              <w:rPr>
                <w:lang w:val="en-NZ"/>
              </w:rPr>
              <w:t xml:space="preserve">This option achieves the primary objectives of limiting </w:t>
            </w:r>
            <w:r w:rsidR="00866298">
              <w:rPr>
                <w:lang w:val="en-NZ"/>
              </w:rPr>
              <w:t xml:space="preserve">erosion of tax revenues but comes with significant adverse impacts </w:t>
            </w:r>
            <w:r w:rsidR="00386F87">
              <w:rPr>
                <w:lang w:val="en-NZ"/>
              </w:rPr>
              <w:t>to fairness, equity, and local government.</w:t>
            </w:r>
          </w:p>
        </w:tc>
        <w:tc>
          <w:tcPr>
            <w:tcW w:w="4762" w:type="dxa"/>
            <w:shd w:val="clear" w:color="auto" w:fill="auto"/>
            <w:vAlign w:val="center"/>
          </w:tcPr>
          <w:p w14:paraId="1895F19A" w14:textId="77777777" w:rsidR="00D326C2" w:rsidRDefault="00D326C2" w:rsidP="00D326C2">
            <w:pPr>
              <w:pStyle w:val="TableText"/>
              <w:spacing w:line="276" w:lineRule="auto"/>
              <w:jc w:val="center"/>
              <w:rPr>
                <w:lang w:val="en-NZ"/>
              </w:rPr>
            </w:pPr>
            <w:r w:rsidRPr="00A864A5">
              <w:rPr>
                <w:rFonts w:cs="Arial"/>
                <w:b/>
                <w:color w:val="00B050"/>
              </w:rPr>
              <w:t>+</w:t>
            </w:r>
          </w:p>
          <w:p w14:paraId="43430CEE" w14:textId="255C6B10" w:rsidR="00833003" w:rsidRPr="00A864A5" w:rsidRDefault="00D326C2" w:rsidP="00D326C2">
            <w:pPr>
              <w:pStyle w:val="TableText"/>
              <w:spacing w:line="276" w:lineRule="auto"/>
              <w:jc w:val="center"/>
              <w:rPr>
                <w:lang w:val="en-NZ"/>
              </w:rPr>
            </w:pPr>
            <w:r>
              <w:rPr>
                <w:lang w:val="en-NZ"/>
              </w:rPr>
              <w:t xml:space="preserve">This option resolves the integrity risks to </w:t>
            </w:r>
            <w:r w:rsidR="004C494A">
              <w:rPr>
                <w:lang w:val="en-NZ"/>
              </w:rPr>
              <w:t xml:space="preserve">tax revenues </w:t>
            </w:r>
            <w:r w:rsidR="00C276C0">
              <w:rPr>
                <w:lang w:val="en-NZ"/>
              </w:rPr>
              <w:t xml:space="preserve">by focusing on the inappropriate deductions. </w:t>
            </w:r>
          </w:p>
        </w:tc>
      </w:tr>
    </w:tbl>
    <w:p w14:paraId="7EEA85E4" w14:textId="0204C04D" w:rsidR="007E5878" w:rsidRDefault="007E5878" w:rsidP="00D71CE0">
      <w:pPr>
        <w:pStyle w:val="spacer"/>
        <w:rPr>
          <w:sz w:val="8"/>
          <w:szCs w:val="14"/>
          <w:lang w:val="en-NZ"/>
        </w:rPr>
      </w:pPr>
    </w:p>
    <w:p w14:paraId="11A32601" w14:textId="77777777" w:rsidR="00EF20F9" w:rsidRDefault="00EF20F9">
      <w:pPr>
        <w:spacing w:after="0" w:line="240" w:lineRule="auto"/>
        <w:rPr>
          <w:sz w:val="8"/>
          <w:szCs w:val="14"/>
          <w:lang w:val="en-NZ"/>
        </w:rPr>
        <w:sectPr w:rsidR="00EF20F9" w:rsidSect="00DB765C">
          <w:pgSz w:w="16838" w:h="11906" w:orient="landscape" w:code="9"/>
          <w:pgMar w:top="1418" w:right="1134" w:bottom="1276" w:left="992" w:header="709" w:footer="709" w:gutter="0"/>
          <w:cols w:space="708"/>
          <w:docGrid w:linePitch="360"/>
        </w:sectPr>
      </w:pPr>
    </w:p>
    <w:p w14:paraId="1C253D64" w14:textId="473D0503" w:rsidR="00BE3FFD" w:rsidRDefault="00BE3FFD" w:rsidP="00BE3FFD">
      <w:pPr>
        <w:pStyle w:val="Heading3"/>
        <w:rPr>
          <w:lang w:val="en-NZ"/>
        </w:rPr>
      </w:pPr>
      <w:r>
        <w:rPr>
          <w:lang w:val="en-NZ"/>
        </w:rPr>
        <w:t>Imputation: How do the options compare to the status quo?</w:t>
      </w:r>
    </w:p>
    <w:p w14:paraId="0FFD431F" w14:textId="77777777" w:rsidR="005A1103" w:rsidRDefault="005A1103" w:rsidP="00D71CE0">
      <w:pPr>
        <w:pStyle w:val="spacer"/>
        <w:rPr>
          <w:sz w:val="8"/>
          <w:szCs w:val="14"/>
          <w:lang w:val="en-NZ"/>
        </w:rPr>
      </w:pP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656"/>
        <w:gridCol w:w="2513"/>
        <w:gridCol w:w="4783"/>
      </w:tblGrid>
      <w:tr w:rsidR="005469F6" w:rsidRPr="00A864A5" w14:paraId="3792F143" w14:textId="77777777" w:rsidTr="005469F6">
        <w:trPr>
          <w:trHeight w:val="395"/>
        </w:trPr>
        <w:tc>
          <w:tcPr>
            <w:tcW w:w="1829" w:type="dxa"/>
            <w:shd w:val="clear" w:color="auto" w:fill="99CDDD"/>
            <w:vAlign w:val="center"/>
          </w:tcPr>
          <w:p w14:paraId="590153FF" w14:textId="77777777" w:rsidR="005469F6" w:rsidRPr="00DB51CD" w:rsidRDefault="005469F6" w:rsidP="00F12624">
            <w:pPr>
              <w:spacing w:before="60" w:after="60" w:line="276" w:lineRule="auto"/>
              <w:jc w:val="center"/>
              <w:rPr>
                <w:rFonts w:cs="Arial"/>
                <w:bCs/>
                <w:i/>
                <w:iCs/>
                <w:color w:val="FFFFFF"/>
                <w:sz w:val="20"/>
                <w:szCs w:val="24"/>
                <w:lang w:val="en-NZ"/>
              </w:rPr>
            </w:pPr>
          </w:p>
        </w:tc>
        <w:tc>
          <w:tcPr>
            <w:tcW w:w="4025" w:type="dxa"/>
            <w:shd w:val="clear" w:color="auto" w:fill="99CDDD"/>
            <w:vAlign w:val="center"/>
          </w:tcPr>
          <w:p w14:paraId="23004F3B" w14:textId="0067AF55" w:rsidR="005469F6" w:rsidRPr="00A864A5" w:rsidRDefault="005469F6" w:rsidP="00F12624">
            <w:pPr>
              <w:spacing w:before="60" w:after="60" w:line="240" w:lineRule="auto"/>
              <w:jc w:val="center"/>
              <w:rPr>
                <w:rFonts w:cs="Arial"/>
                <w:b/>
                <w:color w:val="000000"/>
                <w:szCs w:val="22"/>
                <w:lang w:val="en-NZ"/>
              </w:rPr>
            </w:pPr>
            <w:r w:rsidRPr="00A864A5">
              <w:rPr>
                <w:rFonts w:cs="Arial"/>
                <w:b/>
                <w:color w:val="000000"/>
                <w:szCs w:val="22"/>
                <w:lang w:val="en-NZ"/>
              </w:rPr>
              <w:t>Option One</w:t>
            </w:r>
            <w:r>
              <w:rPr>
                <w:rFonts w:cs="Arial"/>
                <w:b/>
                <w:color w:val="000000"/>
                <w:szCs w:val="22"/>
                <w:lang w:val="en-NZ"/>
              </w:rPr>
              <w:t>: Status Quo</w:t>
            </w:r>
          </w:p>
        </w:tc>
        <w:tc>
          <w:tcPr>
            <w:tcW w:w="8050" w:type="dxa"/>
            <w:shd w:val="clear" w:color="auto" w:fill="99CDDD"/>
            <w:vAlign w:val="center"/>
          </w:tcPr>
          <w:p w14:paraId="5DEC4BFF" w14:textId="50CA0059" w:rsidR="005469F6" w:rsidRPr="00A864A5" w:rsidRDefault="005469F6" w:rsidP="00F12624">
            <w:pPr>
              <w:spacing w:before="60" w:after="60" w:line="276" w:lineRule="auto"/>
              <w:jc w:val="center"/>
              <w:rPr>
                <w:rFonts w:cs="Arial"/>
                <w:b/>
                <w:color w:val="000000"/>
                <w:szCs w:val="22"/>
                <w:lang w:val="en-NZ"/>
              </w:rPr>
            </w:pPr>
            <w:r w:rsidRPr="00A864A5">
              <w:rPr>
                <w:rFonts w:cs="Arial"/>
                <w:b/>
                <w:color w:val="000000"/>
                <w:szCs w:val="22"/>
                <w:lang w:val="en-NZ"/>
              </w:rPr>
              <w:t>Option Two</w:t>
            </w:r>
            <w:r>
              <w:rPr>
                <w:rFonts w:cs="Arial"/>
                <w:b/>
                <w:color w:val="000000"/>
                <w:szCs w:val="22"/>
                <w:lang w:val="en-NZ"/>
              </w:rPr>
              <w:t>: Preventing local authorities from converting excess imputation credits to losses</w:t>
            </w:r>
          </w:p>
        </w:tc>
      </w:tr>
      <w:tr w:rsidR="00833003" w:rsidRPr="00A864A5" w14:paraId="5A6F2610" w14:textId="77777777" w:rsidTr="005469F6">
        <w:trPr>
          <w:trHeight w:val="615"/>
        </w:trPr>
        <w:tc>
          <w:tcPr>
            <w:tcW w:w="1829" w:type="dxa"/>
            <w:shd w:val="clear" w:color="auto" w:fill="99CDDD"/>
            <w:vAlign w:val="center"/>
          </w:tcPr>
          <w:p w14:paraId="1B3E5F46" w14:textId="07920C4B" w:rsidR="00833003" w:rsidRPr="00A864A5" w:rsidRDefault="00833003" w:rsidP="00833003">
            <w:pPr>
              <w:spacing w:before="60" w:after="60" w:line="240" w:lineRule="auto"/>
              <w:jc w:val="center"/>
              <w:rPr>
                <w:rFonts w:cs="Arial"/>
                <w:b/>
                <w:color w:val="000000"/>
                <w:szCs w:val="22"/>
                <w:lang w:val="en-NZ"/>
              </w:rPr>
            </w:pPr>
            <w:r>
              <w:rPr>
                <w:rFonts w:cs="Arial"/>
                <w:b/>
                <w:color w:val="000000"/>
                <w:szCs w:val="22"/>
                <w:lang w:val="en-NZ"/>
              </w:rPr>
              <w:t>Integrity</w:t>
            </w:r>
            <w:r w:rsidR="008817D1">
              <w:rPr>
                <w:rFonts w:cs="Arial"/>
                <w:b/>
                <w:color w:val="000000"/>
                <w:szCs w:val="22"/>
                <w:lang w:val="en-NZ"/>
              </w:rPr>
              <w:t xml:space="preserve"> of the tax system</w:t>
            </w:r>
          </w:p>
        </w:tc>
        <w:tc>
          <w:tcPr>
            <w:tcW w:w="4025" w:type="dxa"/>
            <w:shd w:val="clear" w:color="auto" w:fill="auto"/>
            <w:vAlign w:val="center"/>
          </w:tcPr>
          <w:p w14:paraId="42D9C24B"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8050" w:type="dxa"/>
            <w:shd w:val="clear" w:color="auto" w:fill="auto"/>
            <w:vAlign w:val="center"/>
          </w:tcPr>
          <w:p w14:paraId="4C0616E9" w14:textId="0E278B3E" w:rsidR="00833003" w:rsidRDefault="004C3B59" w:rsidP="00833003">
            <w:pPr>
              <w:pStyle w:val="TableText"/>
              <w:spacing w:line="276" w:lineRule="auto"/>
              <w:jc w:val="center"/>
              <w:rPr>
                <w:rFonts w:cs="Arial"/>
                <w:b/>
                <w:color w:val="00B050"/>
              </w:rPr>
            </w:pPr>
            <w:r w:rsidRPr="00A864A5">
              <w:rPr>
                <w:rFonts w:cs="Arial"/>
                <w:b/>
                <w:color w:val="00B050"/>
              </w:rPr>
              <w:t>+</w:t>
            </w:r>
            <w:r w:rsidR="007F1939" w:rsidRPr="00A864A5">
              <w:rPr>
                <w:rFonts w:cs="Arial"/>
                <w:b/>
                <w:color w:val="00B050"/>
              </w:rPr>
              <w:t>+</w:t>
            </w:r>
          </w:p>
          <w:p w14:paraId="36FF8420" w14:textId="4C38F26B" w:rsidR="00F65369" w:rsidRPr="00A864A5" w:rsidRDefault="00F65369" w:rsidP="00833003">
            <w:pPr>
              <w:pStyle w:val="TableText"/>
              <w:spacing w:line="276" w:lineRule="auto"/>
              <w:jc w:val="center"/>
              <w:rPr>
                <w:i/>
                <w:iCs/>
                <w:lang w:val="en-NZ"/>
              </w:rPr>
            </w:pPr>
            <w:r>
              <w:rPr>
                <w:lang w:val="en-NZ"/>
              </w:rPr>
              <w:t xml:space="preserve">This option </w:t>
            </w:r>
            <w:r w:rsidR="00686F24">
              <w:rPr>
                <w:lang w:val="en-NZ"/>
              </w:rPr>
              <w:t>reduces significant integrity risks for local government taxation.</w:t>
            </w:r>
          </w:p>
        </w:tc>
      </w:tr>
      <w:tr w:rsidR="00833003" w:rsidRPr="00A864A5" w14:paraId="6EA1D64B" w14:textId="77777777" w:rsidTr="005469F6">
        <w:trPr>
          <w:trHeight w:val="378"/>
        </w:trPr>
        <w:tc>
          <w:tcPr>
            <w:tcW w:w="1829" w:type="dxa"/>
            <w:shd w:val="clear" w:color="auto" w:fill="99CDDD"/>
            <w:vAlign w:val="center"/>
          </w:tcPr>
          <w:p w14:paraId="75140DF3" w14:textId="1E158FF5" w:rsidR="00833003" w:rsidRPr="00A864A5" w:rsidRDefault="008817D1" w:rsidP="00833003">
            <w:pPr>
              <w:spacing w:before="60" w:after="60" w:line="240" w:lineRule="auto"/>
              <w:jc w:val="center"/>
              <w:rPr>
                <w:rFonts w:cs="Arial"/>
                <w:b/>
                <w:color w:val="000000"/>
                <w:szCs w:val="22"/>
                <w:lang w:val="en-NZ"/>
              </w:rPr>
            </w:pPr>
            <w:r>
              <w:rPr>
                <w:rFonts w:cs="Arial"/>
                <w:b/>
                <w:color w:val="000000"/>
                <w:szCs w:val="22"/>
                <w:lang w:val="en-NZ"/>
              </w:rPr>
              <w:t>Fairness and equity</w:t>
            </w:r>
          </w:p>
        </w:tc>
        <w:tc>
          <w:tcPr>
            <w:tcW w:w="4025" w:type="dxa"/>
            <w:shd w:val="clear" w:color="auto" w:fill="auto"/>
            <w:vAlign w:val="center"/>
          </w:tcPr>
          <w:p w14:paraId="1D6810D3"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8050" w:type="dxa"/>
            <w:shd w:val="clear" w:color="auto" w:fill="auto"/>
            <w:vAlign w:val="center"/>
          </w:tcPr>
          <w:p w14:paraId="2A1075F1" w14:textId="77777777" w:rsidR="00833003" w:rsidRDefault="007F1939" w:rsidP="00833003">
            <w:pPr>
              <w:pStyle w:val="TableText"/>
              <w:spacing w:line="276" w:lineRule="auto"/>
              <w:jc w:val="center"/>
              <w:rPr>
                <w:rFonts w:cs="Arial"/>
                <w:b/>
                <w:color w:val="00B050"/>
              </w:rPr>
            </w:pPr>
            <w:r w:rsidRPr="00A864A5">
              <w:rPr>
                <w:rFonts w:cs="Arial"/>
                <w:b/>
                <w:color w:val="00B050"/>
              </w:rPr>
              <w:t>+</w:t>
            </w:r>
          </w:p>
          <w:p w14:paraId="3C5A37B5" w14:textId="05823726" w:rsidR="007F1939" w:rsidRPr="00A864A5" w:rsidRDefault="00190825" w:rsidP="00833003">
            <w:pPr>
              <w:pStyle w:val="TableText"/>
              <w:spacing w:line="276" w:lineRule="auto"/>
              <w:jc w:val="center"/>
              <w:rPr>
                <w:lang w:val="en-NZ"/>
              </w:rPr>
            </w:pPr>
            <w:r>
              <w:rPr>
                <w:lang w:val="en-NZ"/>
              </w:rPr>
              <w:t xml:space="preserve">This option would </w:t>
            </w:r>
            <w:r w:rsidR="0019229E">
              <w:rPr>
                <w:lang w:val="en-NZ"/>
              </w:rPr>
              <w:t xml:space="preserve">treat councils similarly to other exempt entities and would </w:t>
            </w:r>
            <w:r>
              <w:rPr>
                <w:lang w:val="en-NZ"/>
              </w:rPr>
              <w:t xml:space="preserve">ensure </w:t>
            </w:r>
            <w:r w:rsidR="009C04AC">
              <w:rPr>
                <w:lang w:val="en-NZ"/>
              </w:rPr>
              <w:t xml:space="preserve">local authorities receive the same tax treatment </w:t>
            </w:r>
            <w:r w:rsidR="00C83B3C">
              <w:rPr>
                <w:lang w:val="en-NZ"/>
              </w:rPr>
              <w:t>for</w:t>
            </w:r>
            <w:r w:rsidR="009C04AC">
              <w:rPr>
                <w:lang w:val="en-NZ"/>
              </w:rPr>
              <w:t xml:space="preserve"> imputation</w:t>
            </w:r>
            <w:r w:rsidR="009F4CDF">
              <w:rPr>
                <w:lang w:val="en-NZ"/>
              </w:rPr>
              <w:t xml:space="preserve"> regardless of whether they are in a consolidated group</w:t>
            </w:r>
            <w:r w:rsidR="00C83B3C">
              <w:rPr>
                <w:lang w:val="en-NZ"/>
              </w:rPr>
              <w:t xml:space="preserve"> or not.</w:t>
            </w:r>
          </w:p>
        </w:tc>
      </w:tr>
      <w:tr w:rsidR="00833003" w:rsidRPr="00A864A5" w14:paraId="79BDB871" w14:textId="77777777" w:rsidTr="005469F6">
        <w:trPr>
          <w:trHeight w:val="395"/>
        </w:trPr>
        <w:tc>
          <w:tcPr>
            <w:tcW w:w="1829" w:type="dxa"/>
            <w:shd w:val="clear" w:color="auto" w:fill="99CDDD"/>
            <w:vAlign w:val="center"/>
          </w:tcPr>
          <w:p w14:paraId="50CF37B0" w14:textId="3C4079F4" w:rsidR="00833003" w:rsidRPr="00A864A5" w:rsidRDefault="008817D1" w:rsidP="00833003">
            <w:pPr>
              <w:spacing w:before="60" w:after="60" w:line="240" w:lineRule="auto"/>
              <w:jc w:val="center"/>
              <w:rPr>
                <w:rFonts w:cs="Arial"/>
                <w:b/>
                <w:color w:val="000000"/>
                <w:szCs w:val="22"/>
                <w:lang w:val="en-NZ"/>
              </w:rPr>
            </w:pPr>
            <w:r>
              <w:rPr>
                <w:rFonts w:cs="Arial"/>
                <w:b/>
                <w:color w:val="000000"/>
                <w:szCs w:val="22"/>
                <w:lang w:val="en-NZ"/>
              </w:rPr>
              <w:t>Impact on local government</w:t>
            </w:r>
          </w:p>
        </w:tc>
        <w:tc>
          <w:tcPr>
            <w:tcW w:w="4025" w:type="dxa"/>
            <w:shd w:val="clear" w:color="auto" w:fill="auto"/>
            <w:vAlign w:val="center"/>
          </w:tcPr>
          <w:p w14:paraId="38982AF6" w14:textId="1EE61024" w:rsidR="00833003" w:rsidRPr="00A864A5" w:rsidRDefault="00833003" w:rsidP="00833003">
            <w:pPr>
              <w:pStyle w:val="TableText"/>
              <w:spacing w:line="276" w:lineRule="auto"/>
              <w:jc w:val="center"/>
              <w:rPr>
                <w:bCs/>
                <w:lang w:val="en-NZ"/>
              </w:rPr>
            </w:pPr>
            <w:r>
              <w:rPr>
                <w:bCs/>
                <w:lang w:val="en-NZ"/>
              </w:rPr>
              <w:t>0</w:t>
            </w:r>
          </w:p>
        </w:tc>
        <w:tc>
          <w:tcPr>
            <w:tcW w:w="8050" w:type="dxa"/>
            <w:shd w:val="clear" w:color="auto" w:fill="auto"/>
            <w:vAlign w:val="center"/>
          </w:tcPr>
          <w:p w14:paraId="361AC1F3" w14:textId="77777777" w:rsidR="00686F24" w:rsidRDefault="00686F24" w:rsidP="00686F24">
            <w:pPr>
              <w:pStyle w:val="TableText"/>
              <w:spacing w:line="276" w:lineRule="auto"/>
              <w:jc w:val="center"/>
              <w:rPr>
                <w:rFonts w:cs="Arial"/>
                <w:b/>
                <w:color w:val="FF0000"/>
              </w:rPr>
            </w:pPr>
            <w:r w:rsidRPr="00A864A5">
              <w:rPr>
                <w:rFonts w:cs="Arial"/>
                <w:b/>
                <w:color w:val="FF0000"/>
              </w:rPr>
              <w:t>-</w:t>
            </w:r>
          </w:p>
          <w:p w14:paraId="40B4F8E8" w14:textId="1656A26B" w:rsidR="00833003" w:rsidRPr="00A864A5" w:rsidRDefault="00686F24" w:rsidP="00686F24">
            <w:pPr>
              <w:pStyle w:val="TableText"/>
              <w:spacing w:line="276" w:lineRule="auto"/>
              <w:jc w:val="center"/>
              <w:rPr>
                <w:lang w:val="en-NZ"/>
              </w:rPr>
            </w:pPr>
            <w:r>
              <w:rPr>
                <w:lang w:val="en-NZ"/>
              </w:rPr>
              <w:t>This option would have a funding impact on local government by likely resulting in smaller dividends from CCOs to councils.</w:t>
            </w:r>
          </w:p>
        </w:tc>
      </w:tr>
      <w:tr w:rsidR="00833003" w:rsidRPr="00A864A5" w14:paraId="72ECDA89" w14:textId="77777777" w:rsidTr="005469F6">
        <w:trPr>
          <w:trHeight w:val="395"/>
        </w:trPr>
        <w:tc>
          <w:tcPr>
            <w:tcW w:w="1829" w:type="dxa"/>
            <w:shd w:val="clear" w:color="auto" w:fill="99CDDD"/>
            <w:vAlign w:val="center"/>
          </w:tcPr>
          <w:p w14:paraId="51A6E8B7" w14:textId="10935837" w:rsidR="00833003" w:rsidRPr="00A864A5" w:rsidRDefault="004C3B59" w:rsidP="00833003">
            <w:pPr>
              <w:spacing w:before="60" w:after="60" w:line="240" w:lineRule="auto"/>
              <w:jc w:val="center"/>
              <w:rPr>
                <w:rFonts w:cs="Arial"/>
                <w:b/>
                <w:color w:val="000000"/>
                <w:szCs w:val="22"/>
                <w:lang w:val="en-NZ"/>
              </w:rPr>
            </w:pPr>
            <w:r>
              <w:rPr>
                <w:rFonts w:cs="Arial"/>
                <w:b/>
                <w:color w:val="000000"/>
                <w:szCs w:val="22"/>
                <w:lang w:val="en-NZ"/>
              </w:rPr>
              <w:t xml:space="preserve">Fiscal </w:t>
            </w:r>
            <w:r w:rsidR="007F1939">
              <w:rPr>
                <w:rFonts w:cs="Arial"/>
                <w:b/>
                <w:color w:val="000000"/>
                <w:szCs w:val="22"/>
                <w:lang w:val="en-NZ"/>
              </w:rPr>
              <w:t>impact</w:t>
            </w:r>
          </w:p>
        </w:tc>
        <w:tc>
          <w:tcPr>
            <w:tcW w:w="4025" w:type="dxa"/>
            <w:shd w:val="clear" w:color="auto" w:fill="auto"/>
            <w:vAlign w:val="center"/>
          </w:tcPr>
          <w:p w14:paraId="0B3A9CDC"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8050" w:type="dxa"/>
            <w:shd w:val="clear" w:color="auto" w:fill="auto"/>
            <w:vAlign w:val="center"/>
          </w:tcPr>
          <w:p w14:paraId="25EF2AD5" w14:textId="77777777" w:rsidR="00F65369" w:rsidRDefault="00F65369" w:rsidP="00F65369">
            <w:pPr>
              <w:pStyle w:val="TableText"/>
              <w:spacing w:line="276" w:lineRule="auto"/>
              <w:jc w:val="center"/>
              <w:rPr>
                <w:rFonts w:cs="Arial"/>
                <w:b/>
                <w:color w:val="00B050"/>
              </w:rPr>
            </w:pPr>
            <w:r w:rsidRPr="00A864A5">
              <w:rPr>
                <w:rFonts w:cs="Arial"/>
                <w:b/>
                <w:color w:val="00B050"/>
              </w:rPr>
              <w:t>+</w:t>
            </w:r>
          </w:p>
          <w:p w14:paraId="62A0585F" w14:textId="067BBBC7" w:rsidR="009F6F17" w:rsidRPr="00A864A5" w:rsidRDefault="009F6F17" w:rsidP="00833003">
            <w:pPr>
              <w:pStyle w:val="TableText"/>
              <w:spacing w:line="276" w:lineRule="auto"/>
              <w:jc w:val="center"/>
              <w:rPr>
                <w:lang w:val="en-NZ"/>
              </w:rPr>
            </w:pPr>
            <w:r>
              <w:rPr>
                <w:lang w:val="en-NZ"/>
              </w:rPr>
              <w:t>Th</w:t>
            </w:r>
            <w:r w:rsidR="007F1939">
              <w:rPr>
                <w:lang w:val="en-NZ"/>
              </w:rPr>
              <w:t>is option</w:t>
            </w:r>
            <w:r>
              <w:rPr>
                <w:lang w:val="en-NZ"/>
              </w:rPr>
              <w:t xml:space="preserve"> w</w:t>
            </w:r>
            <w:r w:rsidR="007F1939">
              <w:rPr>
                <w:lang w:val="en-NZ"/>
              </w:rPr>
              <w:t>ould</w:t>
            </w:r>
            <w:r>
              <w:rPr>
                <w:lang w:val="en-NZ"/>
              </w:rPr>
              <w:t xml:space="preserve"> raise </w:t>
            </w:r>
            <w:r w:rsidR="008817D1">
              <w:rPr>
                <w:lang w:val="en-NZ"/>
              </w:rPr>
              <w:t xml:space="preserve">tax </w:t>
            </w:r>
            <w:r>
              <w:rPr>
                <w:lang w:val="en-NZ"/>
              </w:rPr>
              <w:t>revenue</w:t>
            </w:r>
            <w:r w:rsidR="008817D1">
              <w:rPr>
                <w:lang w:val="en-NZ"/>
              </w:rPr>
              <w:t>s</w:t>
            </w:r>
            <w:r>
              <w:rPr>
                <w:lang w:val="en-NZ"/>
              </w:rPr>
              <w:t xml:space="preserve"> for </w:t>
            </w:r>
            <w:r w:rsidR="008817D1">
              <w:rPr>
                <w:lang w:val="en-NZ"/>
              </w:rPr>
              <w:t xml:space="preserve">central </w:t>
            </w:r>
            <w:r>
              <w:rPr>
                <w:lang w:val="en-NZ"/>
              </w:rPr>
              <w:t>government.</w:t>
            </w:r>
          </w:p>
        </w:tc>
      </w:tr>
      <w:tr w:rsidR="00833003" w:rsidRPr="00A864A5" w14:paraId="4827EAFA" w14:textId="77777777" w:rsidTr="005469F6">
        <w:trPr>
          <w:trHeight w:val="378"/>
        </w:trPr>
        <w:tc>
          <w:tcPr>
            <w:tcW w:w="1829" w:type="dxa"/>
            <w:shd w:val="clear" w:color="auto" w:fill="99CDDD"/>
            <w:vAlign w:val="center"/>
          </w:tcPr>
          <w:p w14:paraId="0388B33B" w14:textId="088E3C95" w:rsidR="00833003" w:rsidRPr="00A864A5" w:rsidRDefault="004C3B59" w:rsidP="00833003">
            <w:pPr>
              <w:spacing w:before="60" w:after="60" w:line="240" w:lineRule="auto"/>
              <w:jc w:val="center"/>
              <w:rPr>
                <w:rFonts w:cs="Arial"/>
                <w:b/>
                <w:color w:val="000000"/>
                <w:szCs w:val="22"/>
                <w:lang w:val="en-NZ"/>
              </w:rPr>
            </w:pPr>
            <w:r>
              <w:rPr>
                <w:rFonts w:cs="Arial"/>
                <w:b/>
                <w:color w:val="000000"/>
                <w:szCs w:val="22"/>
                <w:lang w:val="en-NZ"/>
              </w:rPr>
              <w:t>Stakeholder support</w:t>
            </w:r>
          </w:p>
        </w:tc>
        <w:tc>
          <w:tcPr>
            <w:tcW w:w="4025" w:type="dxa"/>
            <w:shd w:val="clear" w:color="auto" w:fill="auto"/>
            <w:vAlign w:val="center"/>
          </w:tcPr>
          <w:p w14:paraId="2E50A2D8" w14:textId="77777777" w:rsidR="00833003" w:rsidRPr="00A864A5" w:rsidRDefault="00833003" w:rsidP="00833003">
            <w:pPr>
              <w:pStyle w:val="TableText"/>
              <w:spacing w:line="276" w:lineRule="auto"/>
              <w:jc w:val="center"/>
              <w:rPr>
                <w:bCs/>
                <w:lang w:val="en-NZ"/>
              </w:rPr>
            </w:pPr>
            <w:r w:rsidRPr="00A864A5">
              <w:rPr>
                <w:bCs/>
                <w:lang w:val="en-NZ"/>
              </w:rPr>
              <w:t>0</w:t>
            </w:r>
          </w:p>
        </w:tc>
        <w:tc>
          <w:tcPr>
            <w:tcW w:w="8050" w:type="dxa"/>
            <w:shd w:val="clear" w:color="auto" w:fill="auto"/>
            <w:vAlign w:val="center"/>
          </w:tcPr>
          <w:p w14:paraId="19C41524" w14:textId="77777777" w:rsidR="00833003" w:rsidRDefault="004C3B59" w:rsidP="00833003">
            <w:pPr>
              <w:pStyle w:val="TableText"/>
              <w:spacing w:line="276" w:lineRule="auto"/>
              <w:jc w:val="center"/>
              <w:rPr>
                <w:rFonts w:cs="Arial"/>
                <w:b/>
                <w:color w:val="00B050"/>
              </w:rPr>
            </w:pPr>
            <w:r w:rsidRPr="00A864A5">
              <w:rPr>
                <w:rFonts w:cs="Arial"/>
                <w:b/>
                <w:color w:val="00B050"/>
              </w:rPr>
              <w:t>+</w:t>
            </w:r>
          </w:p>
          <w:p w14:paraId="66840C16" w14:textId="06D51020" w:rsidR="00343495" w:rsidRPr="004A15AA" w:rsidRDefault="00343495" w:rsidP="00833003">
            <w:pPr>
              <w:pStyle w:val="TableText"/>
              <w:spacing w:line="276" w:lineRule="auto"/>
              <w:jc w:val="center"/>
              <w:rPr>
                <w:rFonts w:cs="Arial"/>
                <w:b/>
                <w:color w:val="00B050"/>
              </w:rPr>
            </w:pPr>
            <w:r>
              <w:rPr>
                <w:lang w:val="en-NZ"/>
              </w:rPr>
              <w:t>The sector supported the proposed changes to imputation during consultation in early 2021.</w:t>
            </w:r>
          </w:p>
        </w:tc>
      </w:tr>
      <w:tr w:rsidR="00833003" w:rsidRPr="00A864A5" w14:paraId="0A18AD03" w14:textId="77777777" w:rsidTr="005469F6">
        <w:trPr>
          <w:trHeight w:val="584"/>
        </w:trPr>
        <w:tc>
          <w:tcPr>
            <w:tcW w:w="1829" w:type="dxa"/>
            <w:shd w:val="clear" w:color="auto" w:fill="99CDDD"/>
            <w:vAlign w:val="center"/>
          </w:tcPr>
          <w:p w14:paraId="3E6E4E77" w14:textId="4AC996DA" w:rsidR="00833003" w:rsidRPr="00A864A5" w:rsidRDefault="00833003" w:rsidP="00833003">
            <w:pPr>
              <w:spacing w:before="60" w:after="60" w:line="240" w:lineRule="auto"/>
              <w:jc w:val="center"/>
              <w:rPr>
                <w:rFonts w:cs="Arial"/>
                <w:b/>
                <w:color w:val="000000"/>
                <w:szCs w:val="22"/>
                <w:lang w:val="en-NZ"/>
              </w:rPr>
            </w:pPr>
            <w:r w:rsidRPr="00A864A5">
              <w:rPr>
                <w:rFonts w:cs="Arial"/>
                <w:b/>
                <w:color w:val="000000"/>
                <w:szCs w:val="22"/>
                <w:lang w:val="en-NZ"/>
              </w:rPr>
              <w:t>Overall assessment</w:t>
            </w:r>
          </w:p>
        </w:tc>
        <w:tc>
          <w:tcPr>
            <w:tcW w:w="4025" w:type="dxa"/>
            <w:shd w:val="clear" w:color="auto" w:fill="auto"/>
            <w:vAlign w:val="center"/>
          </w:tcPr>
          <w:p w14:paraId="28C4F64F" w14:textId="77777777" w:rsidR="00833003" w:rsidRPr="00A864A5" w:rsidRDefault="00833003" w:rsidP="00833003">
            <w:pPr>
              <w:pStyle w:val="TableText"/>
              <w:spacing w:line="276" w:lineRule="auto"/>
              <w:jc w:val="center"/>
              <w:rPr>
                <w:lang w:val="en-NZ"/>
              </w:rPr>
            </w:pPr>
            <w:r w:rsidRPr="00A864A5">
              <w:rPr>
                <w:lang w:val="en-NZ"/>
              </w:rPr>
              <w:t>0</w:t>
            </w:r>
          </w:p>
        </w:tc>
        <w:tc>
          <w:tcPr>
            <w:tcW w:w="8050" w:type="dxa"/>
            <w:shd w:val="clear" w:color="auto" w:fill="auto"/>
            <w:vAlign w:val="center"/>
          </w:tcPr>
          <w:p w14:paraId="299B53A7" w14:textId="77777777" w:rsidR="00686F24" w:rsidRDefault="00686F24" w:rsidP="00686F24">
            <w:pPr>
              <w:pStyle w:val="TableText"/>
              <w:spacing w:line="276" w:lineRule="auto"/>
              <w:jc w:val="center"/>
              <w:rPr>
                <w:rFonts w:cs="Arial"/>
                <w:b/>
                <w:color w:val="00B050"/>
              </w:rPr>
            </w:pPr>
            <w:r w:rsidRPr="00A864A5">
              <w:rPr>
                <w:rFonts w:cs="Arial"/>
                <w:b/>
                <w:color w:val="00B050"/>
              </w:rPr>
              <w:t>+</w:t>
            </w:r>
          </w:p>
          <w:p w14:paraId="272A0EB1" w14:textId="475940AF" w:rsidR="00833003" w:rsidRPr="00A864A5" w:rsidRDefault="00686F24" w:rsidP="00833003">
            <w:pPr>
              <w:pStyle w:val="TableText"/>
              <w:spacing w:line="276" w:lineRule="auto"/>
              <w:jc w:val="center"/>
              <w:rPr>
                <w:lang w:val="en-NZ"/>
              </w:rPr>
            </w:pPr>
            <w:r w:rsidRPr="00577294">
              <w:rPr>
                <w:lang w:val="en-NZ"/>
              </w:rPr>
              <w:t xml:space="preserve">This option </w:t>
            </w:r>
            <w:r w:rsidR="00DF7FDF">
              <w:rPr>
                <w:lang w:val="en-NZ"/>
              </w:rPr>
              <w:t xml:space="preserve">achieves the primary objective of </w:t>
            </w:r>
            <w:r w:rsidR="00577294">
              <w:rPr>
                <w:lang w:val="en-NZ"/>
              </w:rPr>
              <w:t>resolving integrity risks with local government taxation and maintaining tax revenues.</w:t>
            </w:r>
          </w:p>
        </w:tc>
      </w:tr>
    </w:tbl>
    <w:p w14:paraId="0EE8BB7E" w14:textId="77777777" w:rsidR="005A1103" w:rsidRPr="00A864A5" w:rsidRDefault="005A1103" w:rsidP="00D71CE0">
      <w:pPr>
        <w:pStyle w:val="spacer"/>
        <w:rPr>
          <w:sz w:val="8"/>
          <w:szCs w:val="14"/>
          <w:lang w:val="en-NZ"/>
        </w:rPr>
      </w:pPr>
    </w:p>
    <w:p w14:paraId="365A00DF" w14:textId="77777777" w:rsidR="00F13A00" w:rsidRPr="00DB765C" w:rsidRDefault="00F13A00" w:rsidP="00DB765C"/>
    <w:p w14:paraId="18B3C2BF" w14:textId="1961AA46" w:rsidR="00E835B9" w:rsidRPr="00A864A5" w:rsidRDefault="00D06047" w:rsidP="00E835B9">
      <w:pPr>
        <w:pStyle w:val="Heading3"/>
        <w:rPr>
          <w:noProof/>
          <w:lang w:val="en-NZ" w:eastAsia="en-NZ"/>
        </w:rPr>
      </w:pPr>
      <w:r>
        <w:rPr>
          <w:noProof/>
          <w:lang w:val="en-NZ" w:eastAsia="en-NZ"/>
        </w:rPr>
        <w:t>Conclusion</w:t>
      </w:r>
      <w:r w:rsidR="00E835B9">
        <w:rPr>
          <w:noProof/>
          <w:lang w:val="en-NZ" w:eastAsia="en-NZ"/>
        </w:rPr>
        <w:t>: What option</w:t>
      </w:r>
      <w:r>
        <w:rPr>
          <w:noProof/>
          <w:lang w:val="en-NZ" w:eastAsia="en-NZ"/>
        </w:rPr>
        <w:t>s</w:t>
      </w:r>
      <w:r w:rsidR="00E835B9">
        <w:rPr>
          <w:noProof/>
          <w:lang w:val="en-NZ" w:eastAsia="en-NZ"/>
        </w:rPr>
        <w:t xml:space="preserve"> </w:t>
      </w:r>
      <w:r>
        <w:rPr>
          <w:noProof/>
          <w:lang w:val="en-NZ" w:eastAsia="en-NZ"/>
        </w:rPr>
        <w:t>are</w:t>
      </w:r>
      <w:r w:rsidR="00E835B9">
        <w:rPr>
          <w:noProof/>
          <w:lang w:val="en-NZ" w:eastAsia="en-NZ"/>
        </w:rPr>
        <w:t xml:space="preserve"> likely to best address the problem, meet the policy objectives, and deliver the highest net benefits?</w:t>
      </w:r>
    </w:p>
    <w:p w14:paraId="41FF1DBB" w14:textId="3275B284" w:rsidR="00F47574" w:rsidRDefault="00F47574" w:rsidP="00CA75A6">
      <w:pPr>
        <w:spacing w:after="120" w:line="276" w:lineRule="auto"/>
        <w:rPr>
          <w:lang w:val="en-NZ"/>
        </w:rPr>
      </w:pPr>
      <w:r>
        <w:rPr>
          <w:lang w:val="en-NZ"/>
        </w:rPr>
        <w:t>Officials consider that the following options will best address the problem:</w:t>
      </w:r>
    </w:p>
    <w:p w14:paraId="684E4785" w14:textId="583ADC91" w:rsidR="00F47574" w:rsidRDefault="00F47574" w:rsidP="00B14158">
      <w:pPr>
        <w:pStyle w:val="ListParagraph"/>
        <w:numPr>
          <w:ilvl w:val="0"/>
          <w:numId w:val="44"/>
        </w:numPr>
        <w:spacing w:after="120" w:line="276" w:lineRule="auto"/>
        <w:ind w:left="714" w:hanging="357"/>
        <w:contextualSpacing w:val="0"/>
        <w:rPr>
          <w:lang w:val="en-NZ"/>
        </w:rPr>
      </w:pPr>
      <w:r w:rsidRPr="00B14158">
        <w:rPr>
          <w:b/>
          <w:bCs/>
          <w:lang w:val="en-NZ"/>
        </w:rPr>
        <w:t>D</w:t>
      </w:r>
      <w:r w:rsidR="006554CD" w:rsidRPr="00B14158">
        <w:rPr>
          <w:b/>
          <w:bCs/>
          <w:lang w:val="en-NZ"/>
        </w:rPr>
        <w:t>ividends</w:t>
      </w:r>
      <w:r w:rsidR="006554CD">
        <w:rPr>
          <w:lang w:val="en-NZ"/>
        </w:rPr>
        <w:t>: Option Two – Exempting dividends derived by local authorities from wholly-owned CCOs</w:t>
      </w:r>
    </w:p>
    <w:p w14:paraId="652C89BB" w14:textId="6133655F" w:rsidR="006554CD" w:rsidRDefault="006554CD" w:rsidP="00B14158">
      <w:pPr>
        <w:pStyle w:val="ListParagraph"/>
        <w:numPr>
          <w:ilvl w:val="0"/>
          <w:numId w:val="44"/>
        </w:numPr>
        <w:spacing w:after="120" w:line="276" w:lineRule="auto"/>
        <w:ind w:left="714" w:hanging="357"/>
        <w:contextualSpacing w:val="0"/>
        <w:rPr>
          <w:lang w:val="en-NZ"/>
        </w:rPr>
      </w:pPr>
      <w:r w:rsidRPr="00B14158">
        <w:rPr>
          <w:b/>
          <w:bCs/>
          <w:lang w:val="en-NZ"/>
        </w:rPr>
        <w:t>Deductions</w:t>
      </w:r>
      <w:r>
        <w:rPr>
          <w:lang w:val="en-NZ"/>
        </w:rPr>
        <w:t xml:space="preserve">: Option Three </w:t>
      </w:r>
      <w:r w:rsidR="00B14158">
        <w:rPr>
          <w:lang w:val="en-NZ"/>
        </w:rPr>
        <w:t>– Denying certain deductions</w:t>
      </w:r>
    </w:p>
    <w:p w14:paraId="1156B3C8" w14:textId="163832D5" w:rsidR="006554CD" w:rsidRPr="00F47574" w:rsidRDefault="006554CD" w:rsidP="00B14158">
      <w:pPr>
        <w:pStyle w:val="ListParagraph"/>
        <w:numPr>
          <w:ilvl w:val="0"/>
          <w:numId w:val="44"/>
        </w:numPr>
        <w:spacing w:after="120" w:line="276" w:lineRule="auto"/>
        <w:ind w:left="714" w:hanging="357"/>
        <w:contextualSpacing w:val="0"/>
        <w:rPr>
          <w:lang w:val="en-NZ"/>
        </w:rPr>
      </w:pPr>
      <w:r w:rsidRPr="00B14158">
        <w:rPr>
          <w:b/>
          <w:bCs/>
          <w:lang w:val="en-NZ"/>
        </w:rPr>
        <w:t>Imputation</w:t>
      </w:r>
      <w:r>
        <w:rPr>
          <w:lang w:val="en-NZ"/>
        </w:rPr>
        <w:t xml:space="preserve">: Option Two </w:t>
      </w:r>
      <w:r w:rsidR="00B14158">
        <w:rPr>
          <w:lang w:val="en-NZ"/>
        </w:rPr>
        <w:t>–</w:t>
      </w:r>
      <w:r>
        <w:rPr>
          <w:lang w:val="en-NZ"/>
        </w:rPr>
        <w:t xml:space="preserve"> </w:t>
      </w:r>
      <w:r w:rsidR="00B14158">
        <w:rPr>
          <w:lang w:val="en-NZ"/>
        </w:rPr>
        <w:t>Preventing local authorities from converting excess imputation credits to a tax loss.</w:t>
      </w:r>
    </w:p>
    <w:p w14:paraId="6BFCCA75" w14:textId="77777777" w:rsidR="00D06047" w:rsidRDefault="00D06047" w:rsidP="00CA75A6">
      <w:pPr>
        <w:spacing w:after="120" w:line="276" w:lineRule="auto"/>
        <w:rPr>
          <w:rFonts w:cs="Arial"/>
          <w:b/>
          <w:sz w:val="20"/>
        </w:rPr>
      </w:pPr>
    </w:p>
    <w:p w14:paraId="151933DB" w14:textId="77777777" w:rsidR="00386F87" w:rsidRDefault="00386F87">
      <w:pPr>
        <w:spacing w:after="0" w:line="240" w:lineRule="auto"/>
        <w:rPr>
          <w:rFonts w:ascii="Arial Bold" w:hAnsi="Arial Bold"/>
          <w:b/>
          <w:noProof/>
          <w:color w:val="0082AB"/>
          <w:spacing w:val="20"/>
          <w:w w:val="90"/>
          <w:sz w:val="24"/>
          <w:szCs w:val="22"/>
          <w:lang w:val="en-NZ" w:eastAsia="en-NZ"/>
        </w:rPr>
      </w:pPr>
      <w:bookmarkStart w:id="10" w:name="_Hlk53565460"/>
      <w:r>
        <w:rPr>
          <w:noProof/>
          <w:lang w:val="en-NZ" w:eastAsia="en-NZ"/>
        </w:rPr>
        <w:br w:type="page"/>
      </w:r>
    </w:p>
    <w:p w14:paraId="58ACFE9B" w14:textId="202CE126" w:rsidR="00097119" w:rsidRDefault="00DB51CD" w:rsidP="00570E3F">
      <w:pPr>
        <w:pStyle w:val="Heading3"/>
        <w:rPr>
          <w:lang w:val="en-NZ"/>
        </w:rPr>
      </w:pPr>
      <w:r>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5F41A2">
        <w:rPr>
          <w:lang w:val="en-NZ"/>
        </w:rPr>
        <w:t>the</w:t>
      </w:r>
      <w:r w:rsidR="004625C9" w:rsidRPr="00A864A5">
        <w:rPr>
          <w:lang w:val="en-NZ"/>
        </w:rPr>
        <w:t xml:space="preserve"> option</w:t>
      </w:r>
      <w:r w:rsidR="00EF053A">
        <w:rPr>
          <w:lang w:val="en-NZ"/>
        </w:rPr>
        <w:t>s</w:t>
      </w:r>
      <w:r>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3119"/>
        <w:gridCol w:w="1843"/>
        <w:gridCol w:w="1701"/>
      </w:tblGrid>
      <w:tr w:rsidR="00136700" w:rsidRPr="00A864A5" w14:paraId="5EA92CE7" w14:textId="77777777" w:rsidTr="00DB765C">
        <w:trPr>
          <w:trHeight w:val="762"/>
        </w:trPr>
        <w:tc>
          <w:tcPr>
            <w:tcW w:w="2830" w:type="dxa"/>
            <w:shd w:val="clear" w:color="auto" w:fill="99CDDD"/>
          </w:tcPr>
          <w:p w14:paraId="74B32D65" w14:textId="3F7E4CFD" w:rsidR="009D0B82" w:rsidRPr="00DB765C" w:rsidRDefault="009D0B82" w:rsidP="009D0B82">
            <w:pPr>
              <w:pStyle w:val="TableText"/>
              <w:keepNext/>
              <w:rPr>
                <w:rFonts w:eastAsia="Calibri"/>
                <w:color w:val="000000"/>
                <w:szCs w:val="20"/>
                <w:lang w:val="en-NZ"/>
              </w:rPr>
            </w:pPr>
            <w:r w:rsidRPr="00DB765C">
              <w:rPr>
                <w:rFonts w:eastAsia="Calibri"/>
                <w:b/>
                <w:color w:val="000000"/>
                <w:szCs w:val="20"/>
                <w:lang w:val="en-NZ"/>
              </w:rPr>
              <w:t>Affected groups</w:t>
            </w:r>
            <w:r w:rsidR="00136700" w:rsidRPr="00DB765C">
              <w:rPr>
                <w:rFonts w:eastAsia="Calibri"/>
                <w:color w:val="000000"/>
                <w:szCs w:val="20"/>
                <w:lang w:val="en-NZ"/>
              </w:rPr>
              <w:br/>
            </w:r>
            <w:r w:rsidRPr="00BF3A3A">
              <w:rPr>
                <w:rFonts w:eastAsia="Calibri"/>
                <w:i/>
                <w:color w:val="000000"/>
                <w:szCs w:val="20"/>
                <w:lang w:val="en-NZ"/>
              </w:rPr>
              <w:t>(identify)</w:t>
            </w:r>
          </w:p>
        </w:tc>
        <w:tc>
          <w:tcPr>
            <w:tcW w:w="3119" w:type="dxa"/>
            <w:shd w:val="clear" w:color="auto" w:fill="99CDDD"/>
          </w:tcPr>
          <w:p w14:paraId="18E17B4C" w14:textId="3F6E2D55" w:rsidR="009D0B82" w:rsidRPr="00DB765C" w:rsidRDefault="009D0B82" w:rsidP="009D0B82">
            <w:pPr>
              <w:pStyle w:val="TableText"/>
              <w:keepNext/>
              <w:rPr>
                <w:rFonts w:eastAsia="Calibri"/>
                <w:color w:val="000000"/>
                <w:szCs w:val="20"/>
                <w:lang w:val="en-NZ"/>
              </w:rPr>
            </w:pPr>
            <w:r w:rsidRPr="00DB765C">
              <w:rPr>
                <w:rFonts w:eastAsia="Calibri"/>
                <w:b/>
                <w:color w:val="000000"/>
                <w:szCs w:val="20"/>
                <w:lang w:val="en-NZ"/>
              </w:rPr>
              <w:t>Comment</w:t>
            </w:r>
            <w:r w:rsidR="00136700" w:rsidRPr="00DB765C">
              <w:rPr>
                <w:rFonts w:eastAsia="Calibri"/>
                <w:color w:val="000000"/>
                <w:szCs w:val="20"/>
                <w:lang w:val="en-NZ"/>
              </w:rPr>
              <w:br/>
            </w:r>
            <w:r w:rsidRPr="00BF3A3A">
              <w:rPr>
                <w:rFonts w:eastAsia="Calibri"/>
                <w:i/>
                <w:iCs/>
                <w:color w:val="000000"/>
                <w:szCs w:val="20"/>
                <w:lang w:val="en-NZ"/>
              </w:rPr>
              <w:t>nature of cost or benefit (e.g. ongoing, one-off), evidence and assumption (e.g. compliance rates), risks</w:t>
            </w:r>
            <w:r w:rsidR="00136700" w:rsidRPr="00BF3A3A">
              <w:rPr>
                <w:rFonts w:eastAsia="Calibri"/>
                <w:i/>
                <w:iCs/>
                <w:color w:val="000000"/>
                <w:szCs w:val="20"/>
                <w:lang w:val="en-NZ"/>
              </w:rPr>
              <w:t>.</w:t>
            </w:r>
          </w:p>
        </w:tc>
        <w:tc>
          <w:tcPr>
            <w:tcW w:w="1843" w:type="dxa"/>
            <w:shd w:val="clear" w:color="auto" w:fill="99CDDD"/>
          </w:tcPr>
          <w:p w14:paraId="4E01756B" w14:textId="485A22AF" w:rsidR="009D0B82" w:rsidRPr="00DB765C" w:rsidRDefault="009D0B82" w:rsidP="009D0B82">
            <w:pPr>
              <w:pStyle w:val="TableText"/>
              <w:keepNext/>
              <w:rPr>
                <w:rFonts w:eastAsia="Calibri"/>
                <w:b/>
                <w:color w:val="000000"/>
                <w:szCs w:val="20"/>
                <w:lang w:val="en-NZ"/>
              </w:rPr>
            </w:pPr>
            <w:r w:rsidRPr="00DB765C">
              <w:rPr>
                <w:rFonts w:eastAsia="Calibri"/>
                <w:b/>
                <w:color w:val="000000"/>
                <w:szCs w:val="20"/>
                <w:lang w:val="en-NZ"/>
              </w:rPr>
              <w:t>Impact</w:t>
            </w:r>
            <w:r w:rsidR="00136700" w:rsidRPr="00DB765C">
              <w:rPr>
                <w:rFonts w:eastAsia="Calibri"/>
                <w:b/>
                <w:color w:val="000000"/>
                <w:szCs w:val="20"/>
                <w:lang w:val="en-NZ"/>
              </w:rPr>
              <w:br/>
            </w:r>
            <w:r w:rsidRPr="00BF3A3A">
              <w:rPr>
                <w:rFonts w:eastAsia="Calibri"/>
                <w:i/>
                <w:color w:val="000000"/>
                <w:szCs w:val="20"/>
                <w:lang w:val="en-NZ"/>
              </w:rPr>
              <w:t xml:space="preserve">$m present value where appropriate, for monetised impacts; high, </w:t>
            </w:r>
            <w:proofErr w:type="gramStart"/>
            <w:r w:rsidRPr="00BF3A3A">
              <w:rPr>
                <w:rFonts w:eastAsia="Calibri"/>
                <w:i/>
                <w:color w:val="000000"/>
                <w:szCs w:val="20"/>
                <w:lang w:val="en-NZ"/>
              </w:rPr>
              <w:t>medium</w:t>
            </w:r>
            <w:proofErr w:type="gramEnd"/>
            <w:r w:rsidRPr="00BF3A3A">
              <w:rPr>
                <w:rFonts w:eastAsia="Calibri"/>
                <w:i/>
                <w:color w:val="000000"/>
                <w:szCs w:val="20"/>
                <w:lang w:val="en-NZ"/>
              </w:rPr>
              <w:t xml:space="preserve"> or low for non-monetised impacts</w:t>
            </w:r>
            <w:r w:rsidR="00136700" w:rsidRPr="00BF3A3A">
              <w:rPr>
                <w:rFonts w:eastAsia="Calibri"/>
                <w:i/>
                <w:color w:val="000000"/>
                <w:szCs w:val="20"/>
                <w:lang w:val="en-NZ"/>
              </w:rPr>
              <w:t>.</w:t>
            </w:r>
          </w:p>
        </w:tc>
        <w:tc>
          <w:tcPr>
            <w:tcW w:w="1701" w:type="dxa"/>
            <w:shd w:val="clear" w:color="auto" w:fill="99CDDD"/>
          </w:tcPr>
          <w:p w14:paraId="29027758" w14:textId="640FB76E" w:rsidR="009D0B82" w:rsidRPr="00BF3A3A" w:rsidRDefault="009D0B82" w:rsidP="009D0B82">
            <w:pPr>
              <w:pStyle w:val="TableText"/>
              <w:keepNext/>
              <w:rPr>
                <w:rFonts w:eastAsia="Calibri"/>
                <w:bCs/>
                <w:i/>
                <w:iCs/>
                <w:color w:val="000000"/>
                <w:szCs w:val="20"/>
                <w:lang w:val="en-NZ"/>
              </w:rPr>
            </w:pPr>
            <w:r w:rsidRPr="00DB765C">
              <w:rPr>
                <w:rFonts w:eastAsia="Calibri"/>
                <w:b/>
                <w:color w:val="000000"/>
                <w:szCs w:val="20"/>
                <w:lang w:val="en-NZ"/>
              </w:rPr>
              <w:t>Evidence Certainty</w:t>
            </w:r>
            <w:r w:rsidR="00136700" w:rsidRPr="00DB765C">
              <w:rPr>
                <w:rFonts w:eastAsia="Calibri"/>
                <w:b/>
                <w:color w:val="000000"/>
                <w:szCs w:val="20"/>
                <w:lang w:val="en-NZ"/>
              </w:rPr>
              <w:br/>
            </w:r>
            <w:r w:rsidR="00136700" w:rsidRPr="00BF3A3A">
              <w:rPr>
                <w:rFonts w:eastAsia="Calibri"/>
                <w:bCs/>
                <w:i/>
                <w:iCs/>
                <w:color w:val="000000"/>
                <w:szCs w:val="20"/>
                <w:lang w:val="en-NZ"/>
              </w:rPr>
              <w:t>High, medium, or low, and explain reasoning in comment column.</w:t>
            </w:r>
          </w:p>
        </w:tc>
      </w:tr>
      <w:tr w:rsidR="00136700" w:rsidRPr="00A864A5" w14:paraId="3BC25AF6" w14:textId="77777777" w:rsidTr="7CDCE639">
        <w:trPr>
          <w:trHeight w:val="391"/>
        </w:trPr>
        <w:tc>
          <w:tcPr>
            <w:tcW w:w="9493" w:type="dxa"/>
            <w:gridSpan w:val="4"/>
            <w:shd w:val="clear" w:color="auto" w:fill="99CDDD"/>
            <w:vAlign w:val="center"/>
          </w:tcPr>
          <w:p w14:paraId="183B7348" w14:textId="202343A1" w:rsidR="00136700" w:rsidRPr="00DB765C" w:rsidRDefault="00136700" w:rsidP="00792525">
            <w:pPr>
              <w:keepNext/>
              <w:spacing w:before="40" w:after="20" w:line="240" w:lineRule="auto"/>
              <w:jc w:val="center"/>
              <w:rPr>
                <w:rFonts w:eastAsia="Calibri"/>
                <w:b/>
                <w:bCs/>
                <w:color w:val="000000"/>
                <w:sz w:val="20"/>
                <w:lang w:val="en-NZ"/>
              </w:rPr>
            </w:pPr>
            <w:r w:rsidRPr="00DB765C">
              <w:rPr>
                <w:rFonts w:eastAsia="Calibri"/>
                <w:b/>
                <w:bCs/>
                <w:color w:val="000000"/>
                <w:sz w:val="20"/>
                <w:lang w:val="en-NZ"/>
              </w:rPr>
              <w:t>Additional costs of the preferred option</w:t>
            </w:r>
            <w:r w:rsidR="00EF053A" w:rsidRPr="00DB765C">
              <w:rPr>
                <w:rFonts w:eastAsia="Calibri"/>
                <w:b/>
                <w:bCs/>
                <w:color w:val="000000"/>
                <w:sz w:val="20"/>
                <w:lang w:val="en-NZ"/>
              </w:rPr>
              <w:t>s</w:t>
            </w:r>
            <w:r w:rsidRPr="00DB765C">
              <w:rPr>
                <w:rFonts w:eastAsia="Calibri"/>
                <w:b/>
                <w:bCs/>
                <w:color w:val="000000"/>
                <w:sz w:val="20"/>
                <w:lang w:val="en-NZ"/>
              </w:rPr>
              <w:t xml:space="preserve"> compared to taking no action</w:t>
            </w:r>
          </w:p>
        </w:tc>
      </w:tr>
      <w:tr w:rsidR="00136700" w:rsidRPr="00A864A5" w14:paraId="69C818D7" w14:textId="77777777" w:rsidTr="00DB765C">
        <w:trPr>
          <w:trHeight w:val="380"/>
        </w:trPr>
        <w:tc>
          <w:tcPr>
            <w:tcW w:w="2830" w:type="dxa"/>
            <w:shd w:val="clear" w:color="auto" w:fill="auto"/>
          </w:tcPr>
          <w:p w14:paraId="2A2865FC" w14:textId="4794E818" w:rsidR="009D0B82" w:rsidRPr="00DB765C" w:rsidRDefault="009D0B82" w:rsidP="00C159C1">
            <w:pPr>
              <w:pStyle w:val="TableText"/>
              <w:keepNext/>
              <w:rPr>
                <w:rFonts w:eastAsia="Calibri"/>
                <w:szCs w:val="20"/>
                <w:lang w:val="en-NZ"/>
              </w:rPr>
            </w:pPr>
            <w:r w:rsidRPr="00CF200B">
              <w:rPr>
                <w:rFonts w:eastAsia="Calibri"/>
                <w:szCs w:val="20"/>
                <w:lang w:val="en-NZ"/>
              </w:rPr>
              <w:t>Regulated groups</w:t>
            </w:r>
            <w:r w:rsidR="00977674" w:rsidRPr="005C0B1B">
              <w:rPr>
                <w:rFonts w:eastAsia="Calibri"/>
                <w:szCs w:val="20"/>
                <w:lang w:val="en-NZ"/>
              </w:rPr>
              <w:t>:</w:t>
            </w:r>
            <w:r w:rsidR="00C159C1">
              <w:rPr>
                <w:rFonts w:eastAsia="Calibri"/>
                <w:szCs w:val="20"/>
                <w:lang w:val="en-NZ"/>
              </w:rPr>
              <w:t xml:space="preserve"> </w:t>
            </w:r>
            <w:r w:rsidR="00977674" w:rsidRPr="00DB765C">
              <w:rPr>
                <w:rFonts w:eastAsia="Calibri"/>
                <w:szCs w:val="20"/>
                <w:lang w:val="en-NZ"/>
              </w:rPr>
              <w:t>local authorities, CCOs</w:t>
            </w:r>
          </w:p>
        </w:tc>
        <w:tc>
          <w:tcPr>
            <w:tcW w:w="3119" w:type="dxa"/>
            <w:shd w:val="clear" w:color="auto" w:fill="auto"/>
          </w:tcPr>
          <w:p w14:paraId="6ADD4D7C" w14:textId="48F9800C" w:rsidR="009D0B82" w:rsidRPr="00DB765C" w:rsidRDefault="00235654" w:rsidP="009D0B82">
            <w:pPr>
              <w:pStyle w:val="TableText"/>
              <w:keepNext/>
              <w:rPr>
                <w:rFonts w:eastAsia="Calibri"/>
                <w:szCs w:val="20"/>
                <w:lang w:val="en-NZ"/>
              </w:rPr>
            </w:pPr>
            <w:r w:rsidRPr="00DB765C">
              <w:rPr>
                <w:rFonts w:eastAsia="Calibri"/>
                <w:szCs w:val="20"/>
                <w:lang w:val="en-NZ"/>
              </w:rPr>
              <w:t>The proposed changes will result in a funding impact for local authorities</w:t>
            </w:r>
            <w:r w:rsidR="001F3C42" w:rsidRPr="00DB765C">
              <w:rPr>
                <w:rFonts w:eastAsia="Calibri"/>
                <w:szCs w:val="20"/>
                <w:lang w:val="en-NZ"/>
              </w:rPr>
              <w:t>.</w:t>
            </w:r>
          </w:p>
        </w:tc>
        <w:tc>
          <w:tcPr>
            <w:tcW w:w="1843" w:type="dxa"/>
            <w:shd w:val="clear" w:color="auto" w:fill="auto"/>
          </w:tcPr>
          <w:p w14:paraId="46F27F30" w14:textId="1034C414" w:rsidR="009D0B82" w:rsidRPr="00DB765C" w:rsidRDefault="00762F60" w:rsidP="009D0B82">
            <w:pPr>
              <w:pStyle w:val="TableText"/>
              <w:keepNext/>
              <w:rPr>
                <w:rFonts w:eastAsia="Calibri"/>
                <w:szCs w:val="20"/>
                <w:lang w:val="en-NZ"/>
              </w:rPr>
            </w:pPr>
            <w:r w:rsidRPr="00DB765C">
              <w:rPr>
                <w:rFonts w:eastAsia="Calibri"/>
                <w:szCs w:val="20"/>
                <w:lang w:val="en-NZ"/>
              </w:rPr>
              <w:t>Approx.</w:t>
            </w:r>
            <w:r w:rsidR="00235654" w:rsidRPr="00DB765C">
              <w:rPr>
                <w:rFonts w:eastAsia="Calibri"/>
                <w:szCs w:val="20"/>
                <w:lang w:val="en-NZ"/>
              </w:rPr>
              <w:t xml:space="preserve"> $23.8m per year</w:t>
            </w:r>
          </w:p>
        </w:tc>
        <w:tc>
          <w:tcPr>
            <w:tcW w:w="1701" w:type="dxa"/>
          </w:tcPr>
          <w:p w14:paraId="60063911" w14:textId="4746A8D2" w:rsidR="009D0B82" w:rsidRPr="00DB765C" w:rsidRDefault="001F3C42" w:rsidP="009D0B82">
            <w:pPr>
              <w:pStyle w:val="TableText"/>
              <w:keepNext/>
              <w:rPr>
                <w:rFonts w:eastAsia="Calibri"/>
                <w:szCs w:val="20"/>
                <w:lang w:val="en-NZ"/>
              </w:rPr>
            </w:pPr>
            <w:r w:rsidRPr="00DB765C">
              <w:rPr>
                <w:rFonts w:eastAsia="Calibri"/>
                <w:szCs w:val="20"/>
                <w:lang w:val="en-NZ"/>
              </w:rPr>
              <w:t>Medium</w:t>
            </w:r>
          </w:p>
        </w:tc>
      </w:tr>
      <w:tr w:rsidR="00136700" w:rsidRPr="00A864A5" w14:paraId="6C96536B" w14:textId="77777777" w:rsidTr="00DB765C">
        <w:trPr>
          <w:trHeight w:val="380"/>
        </w:trPr>
        <w:tc>
          <w:tcPr>
            <w:tcW w:w="2830" w:type="dxa"/>
            <w:shd w:val="clear" w:color="auto" w:fill="auto"/>
          </w:tcPr>
          <w:p w14:paraId="3C6DDDE0" w14:textId="2FF9EDE8" w:rsidR="009D0B82" w:rsidRPr="00DB765C" w:rsidRDefault="009D0B82" w:rsidP="00C159C1">
            <w:pPr>
              <w:pStyle w:val="TableText"/>
              <w:keepNext/>
              <w:rPr>
                <w:rFonts w:eastAsia="Calibri"/>
                <w:szCs w:val="20"/>
                <w:lang w:val="en-NZ"/>
              </w:rPr>
            </w:pPr>
            <w:r w:rsidRPr="00CF200B">
              <w:rPr>
                <w:rFonts w:eastAsia="Calibri"/>
                <w:szCs w:val="20"/>
                <w:lang w:val="en-NZ"/>
              </w:rPr>
              <w:t>Regulator</w:t>
            </w:r>
            <w:r w:rsidR="00977674" w:rsidRPr="005C0B1B">
              <w:rPr>
                <w:rFonts w:eastAsia="Calibri"/>
                <w:szCs w:val="20"/>
                <w:lang w:val="en-NZ"/>
              </w:rPr>
              <w:t>:</w:t>
            </w:r>
            <w:r w:rsidR="00C159C1">
              <w:rPr>
                <w:rFonts w:eastAsia="Calibri"/>
                <w:szCs w:val="20"/>
                <w:lang w:val="en-NZ"/>
              </w:rPr>
              <w:t xml:space="preserve"> </w:t>
            </w:r>
            <w:r w:rsidR="00977674" w:rsidRPr="00DB765C">
              <w:rPr>
                <w:rFonts w:eastAsia="Calibri"/>
                <w:szCs w:val="20"/>
                <w:lang w:val="en-NZ"/>
              </w:rPr>
              <w:t>Inland Revenue</w:t>
            </w:r>
          </w:p>
        </w:tc>
        <w:tc>
          <w:tcPr>
            <w:tcW w:w="3119" w:type="dxa"/>
            <w:shd w:val="clear" w:color="auto" w:fill="auto"/>
          </w:tcPr>
          <w:p w14:paraId="5DE5B82F" w14:textId="02118303" w:rsidR="009D0B82" w:rsidRPr="00DB765C" w:rsidRDefault="00F22E80" w:rsidP="009D0B82">
            <w:pPr>
              <w:pStyle w:val="TableText"/>
              <w:keepNext/>
              <w:rPr>
                <w:rFonts w:eastAsia="Calibri"/>
                <w:szCs w:val="20"/>
                <w:lang w:val="en-NZ"/>
              </w:rPr>
            </w:pPr>
            <w:r w:rsidRPr="00DB765C">
              <w:rPr>
                <w:rFonts w:eastAsia="Calibri"/>
                <w:szCs w:val="20"/>
                <w:lang w:val="en-NZ"/>
              </w:rPr>
              <w:t>The administration costs for Inland Revenue are expected to be negligible.</w:t>
            </w:r>
          </w:p>
        </w:tc>
        <w:tc>
          <w:tcPr>
            <w:tcW w:w="1843" w:type="dxa"/>
            <w:shd w:val="clear" w:color="auto" w:fill="auto"/>
          </w:tcPr>
          <w:p w14:paraId="50D7CCCC" w14:textId="47AA7A99" w:rsidR="009D0B82" w:rsidRPr="00DB765C" w:rsidRDefault="004D65B9" w:rsidP="009D0B82">
            <w:pPr>
              <w:pStyle w:val="TableText"/>
              <w:keepNext/>
              <w:rPr>
                <w:rFonts w:eastAsia="Calibri"/>
                <w:szCs w:val="20"/>
                <w:lang w:val="en-NZ"/>
              </w:rPr>
            </w:pPr>
            <w:r w:rsidRPr="00DB765C">
              <w:rPr>
                <w:rFonts w:eastAsia="Calibri"/>
                <w:szCs w:val="20"/>
                <w:lang w:val="en-NZ"/>
              </w:rPr>
              <w:t>Very low</w:t>
            </w:r>
          </w:p>
        </w:tc>
        <w:tc>
          <w:tcPr>
            <w:tcW w:w="1701" w:type="dxa"/>
          </w:tcPr>
          <w:p w14:paraId="01D89344" w14:textId="41CF4583" w:rsidR="009D0B82" w:rsidRPr="00DB765C" w:rsidRDefault="004D65B9" w:rsidP="009D0B82">
            <w:pPr>
              <w:pStyle w:val="TableText"/>
              <w:keepNext/>
              <w:rPr>
                <w:rFonts w:eastAsia="Calibri"/>
                <w:szCs w:val="20"/>
                <w:lang w:val="en-NZ"/>
              </w:rPr>
            </w:pPr>
            <w:r w:rsidRPr="00DB765C">
              <w:rPr>
                <w:rFonts w:eastAsia="Calibri"/>
                <w:szCs w:val="20"/>
                <w:lang w:val="en-NZ"/>
              </w:rPr>
              <w:t>High</w:t>
            </w:r>
          </w:p>
        </w:tc>
      </w:tr>
      <w:tr w:rsidR="00136700" w:rsidRPr="00A864A5" w14:paraId="1EC05492" w14:textId="77777777" w:rsidTr="00DB765C">
        <w:trPr>
          <w:trHeight w:val="2040"/>
        </w:trPr>
        <w:tc>
          <w:tcPr>
            <w:tcW w:w="2830" w:type="dxa"/>
            <w:shd w:val="clear" w:color="auto" w:fill="auto"/>
          </w:tcPr>
          <w:p w14:paraId="5E0B2728" w14:textId="2228AF1B" w:rsidR="009D0B82" w:rsidRPr="00DB765C" w:rsidRDefault="00E87B67" w:rsidP="009D0B82">
            <w:pPr>
              <w:pStyle w:val="TableText"/>
              <w:keepNext/>
              <w:rPr>
                <w:rFonts w:eastAsia="Calibri" w:cs="Arial"/>
                <w:color w:val="000000"/>
                <w:szCs w:val="20"/>
                <w:lang w:val="en-NZ"/>
              </w:rPr>
            </w:pPr>
            <w:r w:rsidRPr="00DB765C">
              <w:rPr>
                <w:rFonts w:eastAsia="Calibri"/>
                <w:color w:val="000000"/>
                <w:szCs w:val="20"/>
                <w:lang w:val="en-NZ"/>
              </w:rPr>
              <w:t>Other groups</w:t>
            </w:r>
            <w:r w:rsidR="00955F10" w:rsidRPr="00DB765C">
              <w:rPr>
                <w:rFonts w:eastAsia="Calibri"/>
                <w:color w:val="000000"/>
                <w:szCs w:val="20"/>
                <w:lang w:val="en-NZ"/>
              </w:rPr>
              <w:t>: donee organisations</w:t>
            </w:r>
          </w:p>
        </w:tc>
        <w:tc>
          <w:tcPr>
            <w:tcW w:w="3119" w:type="dxa"/>
            <w:shd w:val="clear" w:color="auto" w:fill="auto"/>
          </w:tcPr>
          <w:p w14:paraId="2A0518B8" w14:textId="5AB0F4E9" w:rsidR="00DB6DCF" w:rsidRPr="00DB765C" w:rsidRDefault="000319F4" w:rsidP="7CDCE639">
            <w:pPr>
              <w:pStyle w:val="TableText"/>
              <w:keepNext/>
              <w:rPr>
                <w:rFonts w:eastAsia="Calibri"/>
                <w:szCs w:val="20"/>
                <w:lang w:val="en-NZ"/>
              </w:rPr>
            </w:pPr>
            <w:r w:rsidRPr="00DB765C">
              <w:rPr>
                <w:rFonts w:eastAsia="Calibri"/>
                <w:szCs w:val="20"/>
                <w:lang w:val="en-NZ"/>
              </w:rPr>
              <w:t xml:space="preserve">The proposed changes </w:t>
            </w:r>
            <w:r w:rsidR="002B48BB" w:rsidRPr="00DB765C">
              <w:rPr>
                <w:rFonts w:eastAsia="Calibri"/>
                <w:szCs w:val="20"/>
                <w:lang w:val="en-NZ"/>
              </w:rPr>
              <w:t xml:space="preserve">may result in fewer </w:t>
            </w:r>
            <w:r w:rsidR="00DB6DCF" w:rsidRPr="00DB765C">
              <w:rPr>
                <w:rFonts w:eastAsia="Calibri"/>
                <w:szCs w:val="20"/>
                <w:lang w:val="en-NZ"/>
              </w:rPr>
              <w:t>or smaller donations from local authorities to donee organisations.</w:t>
            </w:r>
          </w:p>
          <w:p w14:paraId="6CEA210A" w14:textId="7C04C9D1" w:rsidR="009D0B82" w:rsidRPr="00DB765C" w:rsidRDefault="00A25162" w:rsidP="7CDCE639">
            <w:pPr>
              <w:pStyle w:val="TableText"/>
              <w:keepNext/>
              <w:rPr>
                <w:rFonts w:eastAsia="Calibri"/>
                <w:szCs w:val="20"/>
                <w:highlight w:val="yellow"/>
                <w:lang w:val="en-NZ"/>
              </w:rPr>
            </w:pPr>
            <w:r w:rsidRPr="00DB765C">
              <w:rPr>
                <w:rFonts w:eastAsia="Calibri"/>
                <w:szCs w:val="20"/>
                <w:lang w:val="en-NZ"/>
              </w:rPr>
              <w:t xml:space="preserve">Although the changes will </w:t>
            </w:r>
            <w:r w:rsidR="00156EE9" w:rsidRPr="00DB765C">
              <w:rPr>
                <w:rFonts w:eastAsia="Calibri"/>
                <w:szCs w:val="20"/>
                <w:lang w:val="en-NZ"/>
              </w:rPr>
              <w:t xml:space="preserve">remove a tax concession for making these donations, officials </w:t>
            </w:r>
            <w:r w:rsidR="00955F10" w:rsidRPr="00DB765C">
              <w:rPr>
                <w:rFonts w:eastAsia="Calibri"/>
                <w:szCs w:val="20"/>
                <w:lang w:val="en-NZ"/>
              </w:rPr>
              <w:t xml:space="preserve">consider </w:t>
            </w:r>
            <w:r w:rsidR="00156EE9" w:rsidRPr="00DB765C">
              <w:rPr>
                <w:rFonts w:eastAsia="Calibri"/>
                <w:szCs w:val="20"/>
                <w:lang w:val="en-NZ"/>
              </w:rPr>
              <w:t xml:space="preserve">that </w:t>
            </w:r>
            <w:r w:rsidR="00EE08D3" w:rsidRPr="00DB765C">
              <w:rPr>
                <w:rFonts w:eastAsia="Calibri"/>
                <w:szCs w:val="20"/>
                <w:lang w:val="en-NZ"/>
              </w:rPr>
              <w:t>councils will likely continue to donate because</w:t>
            </w:r>
            <w:r w:rsidR="00EE08D3" w:rsidRPr="00EE08D3">
              <w:rPr>
                <w:rFonts w:eastAsia="Calibri"/>
                <w:szCs w:val="20"/>
                <w:lang w:val="en-NZ"/>
              </w:rPr>
              <w:t xml:space="preserve"> they</w:t>
            </w:r>
            <w:r w:rsidR="00BF3A3A" w:rsidRPr="00EE08D3">
              <w:rPr>
                <w:szCs w:val="20"/>
                <w:lang w:val="en-NZ"/>
              </w:rPr>
              <w:t xml:space="preserve"> have a commitment to improve the social, economic, environmental, and cultural well-being of their communities, and donee organisations often play a key role in fulfilling these objectives.</w:t>
            </w:r>
            <w:r w:rsidR="00EE08D3" w:rsidRPr="00DB765C" w:rsidDel="00EE08D3">
              <w:rPr>
                <w:rFonts w:eastAsia="Calibri"/>
                <w:szCs w:val="20"/>
                <w:lang w:val="en-NZ"/>
              </w:rPr>
              <w:t xml:space="preserve"> </w:t>
            </w:r>
          </w:p>
        </w:tc>
        <w:tc>
          <w:tcPr>
            <w:tcW w:w="1843" w:type="dxa"/>
            <w:shd w:val="clear" w:color="auto" w:fill="auto"/>
          </w:tcPr>
          <w:p w14:paraId="6D0271F8" w14:textId="6788E7D4" w:rsidR="009D0B82" w:rsidRPr="00DB765C" w:rsidRDefault="007502DC" w:rsidP="009D0B82">
            <w:pPr>
              <w:pStyle w:val="TableText"/>
              <w:keepNext/>
              <w:rPr>
                <w:rFonts w:eastAsia="Calibri"/>
                <w:szCs w:val="20"/>
                <w:lang w:val="en-NZ"/>
              </w:rPr>
            </w:pPr>
            <w:r w:rsidRPr="00DB765C">
              <w:rPr>
                <w:rFonts w:eastAsia="Calibri"/>
                <w:szCs w:val="20"/>
                <w:lang w:val="en-NZ"/>
              </w:rPr>
              <w:t>Low</w:t>
            </w:r>
          </w:p>
        </w:tc>
        <w:tc>
          <w:tcPr>
            <w:tcW w:w="1701" w:type="dxa"/>
          </w:tcPr>
          <w:p w14:paraId="11DB2252" w14:textId="1F7F50CD" w:rsidR="009D0B82" w:rsidRPr="00DB765C" w:rsidRDefault="007502DC" w:rsidP="009D0B82">
            <w:pPr>
              <w:pStyle w:val="TableText"/>
              <w:keepNext/>
              <w:rPr>
                <w:rFonts w:eastAsia="Calibri"/>
                <w:szCs w:val="20"/>
                <w:lang w:val="en-NZ"/>
              </w:rPr>
            </w:pPr>
            <w:r w:rsidRPr="00DB765C">
              <w:rPr>
                <w:rFonts w:eastAsia="Calibri"/>
                <w:szCs w:val="20"/>
                <w:lang w:val="en-NZ"/>
              </w:rPr>
              <w:t>Medium</w:t>
            </w:r>
          </w:p>
        </w:tc>
      </w:tr>
      <w:tr w:rsidR="00136700" w:rsidRPr="00A864A5" w14:paraId="7B594653" w14:textId="77777777" w:rsidTr="00DB765C">
        <w:trPr>
          <w:trHeight w:val="263"/>
        </w:trPr>
        <w:tc>
          <w:tcPr>
            <w:tcW w:w="2830" w:type="dxa"/>
            <w:shd w:val="clear" w:color="auto" w:fill="auto"/>
          </w:tcPr>
          <w:p w14:paraId="53792208" w14:textId="77777777" w:rsidR="009D0B82" w:rsidRPr="00DB765C" w:rsidRDefault="009D0B82" w:rsidP="009D0B82">
            <w:pPr>
              <w:pStyle w:val="TableText"/>
              <w:keepNext/>
              <w:rPr>
                <w:rFonts w:eastAsia="Calibri"/>
                <w:b/>
                <w:szCs w:val="20"/>
                <w:lang w:val="en-NZ"/>
              </w:rPr>
            </w:pPr>
            <w:r w:rsidRPr="00DB765C">
              <w:rPr>
                <w:rFonts w:eastAsia="Calibri"/>
                <w:b/>
                <w:szCs w:val="20"/>
                <w:lang w:val="en-NZ"/>
              </w:rPr>
              <w:t>Total monetised costs</w:t>
            </w:r>
          </w:p>
        </w:tc>
        <w:tc>
          <w:tcPr>
            <w:tcW w:w="3119" w:type="dxa"/>
            <w:shd w:val="clear" w:color="auto" w:fill="auto"/>
          </w:tcPr>
          <w:p w14:paraId="691B6133" w14:textId="31DDB8E9" w:rsidR="009D0B82" w:rsidRPr="00DB765C" w:rsidRDefault="002B159A" w:rsidP="009D0B82">
            <w:pPr>
              <w:pStyle w:val="TableText"/>
              <w:keepNext/>
              <w:rPr>
                <w:rFonts w:eastAsia="Calibri"/>
                <w:iCs/>
                <w:szCs w:val="20"/>
                <w:lang w:val="en-NZ"/>
              </w:rPr>
            </w:pPr>
            <w:r>
              <w:rPr>
                <w:rFonts w:eastAsia="Calibri"/>
                <w:iCs/>
                <w:szCs w:val="20"/>
                <w:lang w:val="en-NZ"/>
              </w:rPr>
              <w:t>Funding impact for local government</w:t>
            </w:r>
          </w:p>
        </w:tc>
        <w:tc>
          <w:tcPr>
            <w:tcW w:w="1843" w:type="dxa"/>
            <w:shd w:val="clear" w:color="auto" w:fill="auto"/>
          </w:tcPr>
          <w:p w14:paraId="5A6CC8A1" w14:textId="34175E9F" w:rsidR="009D0B82" w:rsidRPr="00DB765C" w:rsidRDefault="001F3C42" w:rsidP="009D0B82">
            <w:pPr>
              <w:pStyle w:val="TableText"/>
              <w:keepNext/>
              <w:rPr>
                <w:rFonts w:eastAsia="Calibri"/>
                <w:szCs w:val="20"/>
                <w:lang w:val="en-NZ"/>
              </w:rPr>
            </w:pPr>
            <w:r w:rsidRPr="00DB765C">
              <w:rPr>
                <w:rFonts w:eastAsia="Calibri"/>
                <w:szCs w:val="20"/>
                <w:lang w:val="en-NZ"/>
              </w:rPr>
              <w:t>Approx. $23.8m per year</w:t>
            </w:r>
          </w:p>
        </w:tc>
        <w:tc>
          <w:tcPr>
            <w:tcW w:w="1701" w:type="dxa"/>
          </w:tcPr>
          <w:p w14:paraId="1A599FEF" w14:textId="0534EE28" w:rsidR="009D0B82" w:rsidRPr="00DB765C" w:rsidRDefault="001F3C42" w:rsidP="009D0B82">
            <w:pPr>
              <w:pStyle w:val="TableText"/>
              <w:keepNext/>
              <w:rPr>
                <w:rFonts w:eastAsia="Calibri"/>
                <w:szCs w:val="20"/>
                <w:lang w:val="en-NZ"/>
              </w:rPr>
            </w:pPr>
            <w:r w:rsidRPr="00DB765C">
              <w:rPr>
                <w:rFonts w:eastAsia="Calibri"/>
                <w:szCs w:val="20"/>
                <w:lang w:val="en-NZ"/>
              </w:rPr>
              <w:t>Medium</w:t>
            </w:r>
          </w:p>
        </w:tc>
      </w:tr>
      <w:tr w:rsidR="00136700" w:rsidRPr="00A864A5" w14:paraId="78D06DB5" w14:textId="77777777" w:rsidTr="00DB765C">
        <w:trPr>
          <w:trHeight w:val="263"/>
        </w:trPr>
        <w:tc>
          <w:tcPr>
            <w:tcW w:w="2830" w:type="dxa"/>
            <w:shd w:val="clear" w:color="auto" w:fill="auto"/>
          </w:tcPr>
          <w:p w14:paraId="2AEBC854" w14:textId="77777777" w:rsidR="009D0B82" w:rsidRPr="00DB765C" w:rsidRDefault="009D0B82" w:rsidP="009D0B82">
            <w:pPr>
              <w:pStyle w:val="TableText"/>
              <w:keepNext/>
              <w:rPr>
                <w:rFonts w:eastAsia="Calibri"/>
                <w:b/>
                <w:szCs w:val="20"/>
                <w:lang w:val="en-NZ"/>
              </w:rPr>
            </w:pPr>
            <w:r w:rsidRPr="00DB765C">
              <w:rPr>
                <w:rFonts w:eastAsia="Calibri"/>
                <w:b/>
                <w:szCs w:val="20"/>
                <w:lang w:val="en-NZ"/>
              </w:rPr>
              <w:t xml:space="preserve">Non-monetised costs </w:t>
            </w:r>
          </w:p>
        </w:tc>
        <w:tc>
          <w:tcPr>
            <w:tcW w:w="3119" w:type="dxa"/>
            <w:shd w:val="clear" w:color="auto" w:fill="auto"/>
          </w:tcPr>
          <w:p w14:paraId="327100D4" w14:textId="097FA99C" w:rsidR="009D0B82" w:rsidRPr="00043A68" w:rsidRDefault="00734532" w:rsidP="009D0B82">
            <w:pPr>
              <w:pStyle w:val="TableText"/>
              <w:keepNext/>
              <w:rPr>
                <w:rFonts w:eastAsia="Calibri"/>
                <w:iCs/>
                <w:szCs w:val="20"/>
                <w:lang w:val="en-NZ"/>
              </w:rPr>
            </w:pPr>
            <w:r>
              <w:rPr>
                <w:rFonts w:eastAsia="Calibri"/>
                <w:iCs/>
                <w:szCs w:val="20"/>
                <w:lang w:val="en-NZ"/>
              </w:rPr>
              <w:t>n/a</w:t>
            </w:r>
          </w:p>
        </w:tc>
        <w:tc>
          <w:tcPr>
            <w:tcW w:w="1843" w:type="dxa"/>
            <w:shd w:val="clear" w:color="auto" w:fill="auto"/>
          </w:tcPr>
          <w:p w14:paraId="34399557" w14:textId="08E9EC97" w:rsidR="009D0B82" w:rsidRPr="00DB765C" w:rsidRDefault="00734532" w:rsidP="009D0B82">
            <w:pPr>
              <w:pStyle w:val="TableText"/>
              <w:keepNext/>
              <w:rPr>
                <w:rFonts w:eastAsia="Calibri"/>
                <w:iCs/>
                <w:szCs w:val="20"/>
                <w:lang w:val="en-NZ"/>
              </w:rPr>
            </w:pPr>
            <w:r>
              <w:rPr>
                <w:rFonts w:eastAsia="Calibri"/>
                <w:iCs/>
                <w:szCs w:val="20"/>
                <w:lang w:val="en-NZ"/>
              </w:rPr>
              <w:t>n/a</w:t>
            </w:r>
          </w:p>
        </w:tc>
        <w:tc>
          <w:tcPr>
            <w:tcW w:w="1701" w:type="dxa"/>
          </w:tcPr>
          <w:p w14:paraId="2022F9A8" w14:textId="11260A0A" w:rsidR="009D0B82" w:rsidRPr="00DB765C" w:rsidRDefault="00734532" w:rsidP="009D0B82">
            <w:pPr>
              <w:pStyle w:val="TableText"/>
              <w:keepNext/>
              <w:rPr>
                <w:rFonts w:eastAsia="Calibri"/>
                <w:iCs/>
                <w:szCs w:val="20"/>
                <w:lang w:val="en-NZ"/>
              </w:rPr>
            </w:pPr>
            <w:r>
              <w:rPr>
                <w:rFonts w:eastAsia="Calibri"/>
                <w:iCs/>
                <w:szCs w:val="20"/>
                <w:lang w:val="en-NZ"/>
              </w:rPr>
              <w:t>n/a</w:t>
            </w:r>
          </w:p>
        </w:tc>
      </w:tr>
      <w:tr w:rsidR="00136700" w:rsidRPr="00A864A5" w14:paraId="307E8894" w14:textId="77777777" w:rsidTr="7CDCE639">
        <w:trPr>
          <w:trHeight w:val="426"/>
        </w:trPr>
        <w:tc>
          <w:tcPr>
            <w:tcW w:w="9493" w:type="dxa"/>
            <w:gridSpan w:val="4"/>
            <w:shd w:val="clear" w:color="auto" w:fill="99CDDD"/>
            <w:vAlign w:val="center"/>
          </w:tcPr>
          <w:p w14:paraId="795E44B3" w14:textId="08127CE3" w:rsidR="00136700" w:rsidRPr="00DB765C" w:rsidRDefault="00136700" w:rsidP="00792525">
            <w:pPr>
              <w:spacing w:before="40" w:after="20" w:line="240" w:lineRule="auto"/>
              <w:jc w:val="center"/>
              <w:rPr>
                <w:rFonts w:eastAsia="Calibri"/>
                <w:b/>
                <w:bCs/>
                <w:color w:val="000000"/>
                <w:sz w:val="20"/>
                <w:lang w:val="en-NZ"/>
              </w:rPr>
            </w:pPr>
            <w:r w:rsidRPr="00DB765C">
              <w:rPr>
                <w:rFonts w:eastAsia="Calibri"/>
                <w:b/>
                <w:bCs/>
                <w:color w:val="000000"/>
                <w:sz w:val="20"/>
                <w:lang w:val="en-NZ"/>
              </w:rPr>
              <w:t>Additional benefits of the preferred option</w:t>
            </w:r>
            <w:r w:rsidR="00EF053A" w:rsidRPr="00DB765C">
              <w:rPr>
                <w:rFonts w:eastAsia="Calibri"/>
                <w:b/>
                <w:bCs/>
                <w:color w:val="000000"/>
                <w:sz w:val="20"/>
                <w:lang w:val="en-NZ"/>
              </w:rPr>
              <w:t>s</w:t>
            </w:r>
            <w:r w:rsidRPr="00DB765C">
              <w:rPr>
                <w:rFonts w:eastAsia="Calibri"/>
                <w:b/>
                <w:bCs/>
                <w:color w:val="000000"/>
                <w:sz w:val="20"/>
                <w:lang w:val="en-NZ"/>
              </w:rPr>
              <w:t xml:space="preserve"> compared to taking no action</w:t>
            </w:r>
          </w:p>
        </w:tc>
      </w:tr>
      <w:tr w:rsidR="00136700" w:rsidRPr="00A864A5" w14:paraId="32734276" w14:textId="77777777" w:rsidTr="00DB765C">
        <w:trPr>
          <w:trHeight w:val="381"/>
        </w:trPr>
        <w:tc>
          <w:tcPr>
            <w:tcW w:w="2830" w:type="dxa"/>
            <w:shd w:val="clear" w:color="auto" w:fill="auto"/>
          </w:tcPr>
          <w:p w14:paraId="012C12E9" w14:textId="77777777" w:rsidR="00977674" w:rsidRPr="00DB765C" w:rsidRDefault="00977674" w:rsidP="00977674">
            <w:pPr>
              <w:pStyle w:val="TableText"/>
              <w:keepNext/>
              <w:rPr>
                <w:rFonts w:eastAsia="Calibri"/>
                <w:szCs w:val="20"/>
                <w:lang w:val="en-NZ"/>
              </w:rPr>
            </w:pPr>
            <w:r w:rsidRPr="00DB765C">
              <w:rPr>
                <w:rFonts w:eastAsia="Calibri"/>
                <w:szCs w:val="20"/>
                <w:lang w:val="en-NZ"/>
              </w:rPr>
              <w:t>Regulated groups:</w:t>
            </w:r>
          </w:p>
          <w:p w14:paraId="014A71DB" w14:textId="12DE2FEA" w:rsidR="009D0B82" w:rsidRPr="00DB765C" w:rsidRDefault="00977674" w:rsidP="00977674">
            <w:pPr>
              <w:pStyle w:val="TableText"/>
              <w:rPr>
                <w:rFonts w:eastAsia="Calibri"/>
                <w:szCs w:val="20"/>
                <w:lang w:val="en-NZ"/>
              </w:rPr>
            </w:pPr>
            <w:r w:rsidRPr="00DB765C">
              <w:rPr>
                <w:rFonts w:eastAsia="Calibri"/>
                <w:szCs w:val="20"/>
                <w:lang w:val="en-NZ"/>
              </w:rPr>
              <w:t>local authorities, CCOs</w:t>
            </w:r>
          </w:p>
        </w:tc>
        <w:tc>
          <w:tcPr>
            <w:tcW w:w="3119" w:type="dxa"/>
            <w:shd w:val="clear" w:color="auto" w:fill="auto"/>
          </w:tcPr>
          <w:p w14:paraId="1FFE9B1A" w14:textId="1D6BCC1C" w:rsidR="009D0B82" w:rsidRPr="00DB765C" w:rsidRDefault="00EA05D5" w:rsidP="009D0B82">
            <w:pPr>
              <w:pStyle w:val="TableText"/>
              <w:rPr>
                <w:rFonts w:eastAsia="Calibri"/>
                <w:szCs w:val="20"/>
                <w:lang w:val="en-NZ"/>
              </w:rPr>
            </w:pPr>
            <w:r>
              <w:rPr>
                <w:rFonts w:eastAsia="Calibri"/>
                <w:szCs w:val="20"/>
                <w:lang w:val="en-NZ"/>
              </w:rPr>
              <w:t>n/a</w:t>
            </w:r>
          </w:p>
        </w:tc>
        <w:tc>
          <w:tcPr>
            <w:tcW w:w="1843" w:type="dxa"/>
            <w:shd w:val="clear" w:color="auto" w:fill="auto"/>
          </w:tcPr>
          <w:p w14:paraId="0591054C" w14:textId="755A0349" w:rsidR="009D0B82" w:rsidRPr="00DB765C" w:rsidRDefault="00EA05D5" w:rsidP="009D0B82">
            <w:pPr>
              <w:pStyle w:val="TableText"/>
              <w:rPr>
                <w:rFonts w:eastAsia="Calibri"/>
                <w:szCs w:val="20"/>
                <w:lang w:val="en-NZ"/>
              </w:rPr>
            </w:pPr>
            <w:r>
              <w:rPr>
                <w:rFonts w:eastAsia="Calibri"/>
                <w:szCs w:val="20"/>
                <w:lang w:val="en-NZ"/>
              </w:rPr>
              <w:t>n/a</w:t>
            </w:r>
          </w:p>
        </w:tc>
        <w:tc>
          <w:tcPr>
            <w:tcW w:w="1701" w:type="dxa"/>
          </w:tcPr>
          <w:p w14:paraId="2784F337" w14:textId="482A3FC4" w:rsidR="009D0B82" w:rsidRPr="00DB765C" w:rsidRDefault="00EA05D5" w:rsidP="009D0B82">
            <w:pPr>
              <w:pStyle w:val="TableText"/>
              <w:rPr>
                <w:rFonts w:eastAsia="Calibri"/>
                <w:szCs w:val="20"/>
                <w:lang w:val="en-NZ"/>
              </w:rPr>
            </w:pPr>
            <w:r>
              <w:rPr>
                <w:rFonts w:eastAsia="Calibri"/>
                <w:szCs w:val="20"/>
                <w:lang w:val="en-NZ"/>
              </w:rPr>
              <w:t>n/a</w:t>
            </w:r>
          </w:p>
        </w:tc>
      </w:tr>
      <w:tr w:rsidR="00136700" w:rsidRPr="00A864A5" w14:paraId="05587945" w14:textId="77777777" w:rsidTr="00DB765C">
        <w:trPr>
          <w:trHeight w:val="381"/>
        </w:trPr>
        <w:tc>
          <w:tcPr>
            <w:tcW w:w="2830" w:type="dxa"/>
            <w:shd w:val="clear" w:color="auto" w:fill="auto"/>
          </w:tcPr>
          <w:p w14:paraId="0AC970EA" w14:textId="1A0649E9" w:rsidR="009D0B82" w:rsidRPr="00DB765C" w:rsidRDefault="00977674" w:rsidP="00DB765C">
            <w:pPr>
              <w:pStyle w:val="TableText"/>
              <w:keepNext/>
              <w:rPr>
                <w:rFonts w:eastAsia="Calibri"/>
                <w:szCs w:val="20"/>
                <w:lang w:val="en-NZ"/>
              </w:rPr>
            </w:pPr>
            <w:r w:rsidRPr="00CF200B">
              <w:rPr>
                <w:rFonts w:eastAsia="Calibri"/>
                <w:szCs w:val="20"/>
                <w:lang w:val="en-NZ"/>
              </w:rPr>
              <w:t>Regulator:</w:t>
            </w:r>
            <w:r w:rsidR="00C159C1">
              <w:rPr>
                <w:rFonts w:eastAsia="Calibri"/>
                <w:szCs w:val="20"/>
                <w:lang w:val="en-NZ"/>
              </w:rPr>
              <w:t xml:space="preserve"> </w:t>
            </w:r>
            <w:r w:rsidRPr="00DB765C">
              <w:rPr>
                <w:rFonts w:eastAsia="Calibri"/>
                <w:szCs w:val="20"/>
                <w:lang w:val="en-NZ"/>
              </w:rPr>
              <w:t>Inland Revenue</w:t>
            </w:r>
          </w:p>
        </w:tc>
        <w:tc>
          <w:tcPr>
            <w:tcW w:w="3119" w:type="dxa"/>
            <w:shd w:val="clear" w:color="auto" w:fill="auto"/>
          </w:tcPr>
          <w:p w14:paraId="6CFD7A23" w14:textId="549F5F3D" w:rsidR="009D0B82" w:rsidRPr="00DB765C" w:rsidRDefault="00977674" w:rsidP="009D0B82">
            <w:pPr>
              <w:pStyle w:val="TableText"/>
              <w:rPr>
                <w:rFonts w:eastAsia="Calibri"/>
                <w:szCs w:val="20"/>
                <w:lang w:val="en-NZ"/>
              </w:rPr>
            </w:pPr>
            <w:r w:rsidRPr="00DB765C">
              <w:rPr>
                <w:rFonts w:eastAsia="Calibri"/>
                <w:szCs w:val="20"/>
                <w:lang w:val="en-NZ"/>
              </w:rPr>
              <w:t>n/a</w:t>
            </w:r>
          </w:p>
        </w:tc>
        <w:tc>
          <w:tcPr>
            <w:tcW w:w="1843" w:type="dxa"/>
            <w:shd w:val="clear" w:color="auto" w:fill="auto"/>
          </w:tcPr>
          <w:p w14:paraId="534390F4" w14:textId="1D75BE92" w:rsidR="009D0B82" w:rsidRPr="00DB765C" w:rsidRDefault="00977674" w:rsidP="009D0B82">
            <w:pPr>
              <w:pStyle w:val="TableText"/>
              <w:rPr>
                <w:rFonts w:eastAsia="Calibri"/>
                <w:szCs w:val="20"/>
                <w:lang w:val="en-NZ"/>
              </w:rPr>
            </w:pPr>
            <w:r w:rsidRPr="00DB765C">
              <w:rPr>
                <w:rFonts w:eastAsia="Calibri"/>
                <w:szCs w:val="20"/>
                <w:lang w:val="en-NZ"/>
              </w:rPr>
              <w:t>n/a</w:t>
            </w:r>
          </w:p>
        </w:tc>
        <w:tc>
          <w:tcPr>
            <w:tcW w:w="1701" w:type="dxa"/>
          </w:tcPr>
          <w:p w14:paraId="621CC904" w14:textId="0E25772A" w:rsidR="009D0B82" w:rsidRPr="00DB765C" w:rsidRDefault="00977674" w:rsidP="009D0B82">
            <w:pPr>
              <w:pStyle w:val="TableText"/>
              <w:rPr>
                <w:rFonts w:eastAsia="Calibri"/>
                <w:szCs w:val="20"/>
                <w:lang w:val="en-NZ"/>
              </w:rPr>
            </w:pPr>
            <w:r w:rsidRPr="00DB765C">
              <w:rPr>
                <w:rFonts w:eastAsia="Calibri"/>
                <w:szCs w:val="20"/>
                <w:lang w:val="en-NZ"/>
              </w:rPr>
              <w:t>n/a</w:t>
            </w:r>
          </w:p>
        </w:tc>
      </w:tr>
      <w:tr w:rsidR="00136700" w:rsidRPr="00A864A5" w14:paraId="43C5CC39" w14:textId="77777777" w:rsidTr="00DB765C">
        <w:trPr>
          <w:trHeight w:val="263"/>
        </w:trPr>
        <w:tc>
          <w:tcPr>
            <w:tcW w:w="2830" w:type="dxa"/>
            <w:shd w:val="clear" w:color="auto" w:fill="auto"/>
          </w:tcPr>
          <w:p w14:paraId="2E31053D" w14:textId="7E4E3181" w:rsidR="009D0B82" w:rsidRPr="00DB765C" w:rsidRDefault="00E87B67" w:rsidP="009D0B82">
            <w:pPr>
              <w:pStyle w:val="TableText"/>
              <w:rPr>
                <w:rFonts w:eastAsia="Calibri"/>
                <w:szCs w:val="20"/>
                <w:lang w:val="en-NZ"/>
              </w:rPr>
            </w:pPr>
            <w:r w:rsidRPr="00DB765C">
              <w:rPr>
                <w:rFonts w:eastAsia="Calibri"/>
                <w:color w:val="000000"/>
                <w:szCs w:val="20"/>
                <w:lang w:val="en-NZ"/>
              </w:rPr>
              <w:t>Other groups</w:t>
            </w:r>
            <w:r w:rsidR="00024623">
              <w:rPr>
                <w:rFonts w:eastAsia="Calibri"/>
                <w:color w:val="000000"/>
                <w:szCs w:val="20"/>
                <w:lang w:val="en-NZ"/>
              </w:rPr>
              <w:t>: central Government</w:t>
            </w:r>
          </w:p>
        </w:tc>
        <w:tc>
          <w:tcPr>
            <w:tcW w:w="3119" w:type="dxa"/>
            <w:shd w:val="clear" w:color="auto" w:fill="auto"/>
          </w:tcPr>
          <w:p w14:paraId="29A2BF57" w14:textId="3D5A2F52" w:rsidR="009D0B82" w:rsidRPr="00DB765C" w:rsidRDefault="00762F60" w:rsidP="009D0B82">
            <w:pPr>
              <w:pStyle w:val="TableText"/>
              <w:rPr>
                <w:rFonts w:eastAsia="Calibri"/>
                <w:szCs w:val="20"/>
                <w:lang w:val="en-NZ"/>
              </w:rPr>
            </w:pPr>
            <w:r w:rsidRPr="00DB765C">
              <w:rPr>
                <w:rFonts w:eastAsia="Calibri"/>
                <w:szCs w:val="20"/>
                <w:lang w:val="en-NZ"/>
              </w:rPr>
              <w:t>Increased tax revenue</w:t>
            </w:r>
            <w:r w:rsidR="00D7083B" w:rsidRPr="00DB765C">
              <w:rPr>
                <w:rFonts w:eastAsia="Calibri"/>
                <w:szCs w:val="20"/>
                <w:lang w:val="en-NZ"/>
              </w:rPr>
              <w:t xml:space="preserve"> for the Government</w:t>
            </w:r>
          </w:p>
        </w:tc>
        <w:tc>
          <w:tcPr>
            <w:tcW w:w="1843" w:type="dxa"/>
            <w:shd w:val="clear" w:color="auto" w:fill="auto"/>
          </w:tcPr>
          <w:p w14:paraId="63933FB3" w14:textId="3C652C85" w:rsidR="009D0B82" w:rsidRPr="00DB765C" w:rsidRDefault="00197D5C" w:rsidP="009D0B82">
            <w:pPr>
              <w:pStyle w:val="TableText"/>
              <w:rPr>
                <w:rFonts w:eastAsia="Calibri"/>
                <w:szCs w:val="20"/>
                <w:lang w:val="en-NZ"/>
              </w:rPr>
            </w:pPr>
            <w:r w:rsidRPr="00DB765C">
              <w:rPr>
                <w:rFonts w:eastAsia="Calibri"/>
                <w:szCs w:val="20"/>
                <w:lang w:val="en-NZ"/>
              </w:rPr>
              <w:t>Revenue gain of approx. $23.8 per year</w:t>
            </w:r>
          </w:p>
        </w:tc>
        <w:tc>
          <w:tcPr>
            <w:tcW w:w="1701" w:type="dxa"/>
          </w:tcPr>
          <w:p w14:paraId="22FFA0BA" w14:textId="7625FCBD" w:rsidR="009D0B82" w:rsidRPr="00DB765C" w:rsidRDefault="00197D5C" w:rsidP="009D0B82">
            <w:pPr>
              <w:pStyle w:val="TableText"/>
              <w:rPr>
                <w:rFonts w:eastAsia="Calibri"/>
                <w:szCs w:val="20"/>
                <w:lang w:val="en-NZ"/>
              </w:rPr>
            </w:pPr>
            <w:r w:rsidRPr="00DB765C">
              <w:rPr>
                <w:rFonts w:eastAsia="Calibri"/>
                <w:szCs w:val="20"/>
                <w:lang w:val="en-NZ"/>
              </w:rPr>
              <w:t>Medium</w:t>
            </w:r>
          </w:p>
        </w:tc>
      </w:tr>
      <w:tr w:rsidR="00EB30ED" w:rsidRPr="00A864A5" w14:paraId="0F3F57AE" w14:textId="77777777" w:rsidTr="00DB765C">
        <w:trPr>
          <w:trHeight w:val="263"/>
        </w:trPr>
        <w:tc>
          <w:tcPr>
            <w:tcW w:w="2830" w:type="dxa"/>
            <w:shd w:val="clear" w:color="auto" w:fill="auto"/>
          </w:tcPr>
          <w:p w14:paraId="16387995" w14:textId="77777777" w:rsidR="00EB30ED" w:rsidRPr="00DB765C" w:rsidRDefault="00EB30ED" w:rsidP="00EB30ED">
            <w:pPr>
              <w:pStyle w:val="TableText"/>
              <w:rPr>
                <w:rFonts w:eastAsia="Calibri"/>
                <w:b/>
                <w:szCs w:val="20"/>
                <w:lang w:val="en-NZ"/>
              </w:rPr>
            </w:pPr>
            <w:r w:rsidRPr="00DB765C">
              <w:rPr>
                <w:rFonts w:eastAsia="Calibri"/>
                <w:b/>
                <w:szCs w:val="20"/>
                <w:lang w:val="en-NZ"/>
              </w:rPr>
              <w:t>Total monetised benefits</w:t>
            </w:r>
          </w:p>
        </w:tc>
        <w:tc>
          <w:tcPr>
            <w:tcW w:w="3119" w:type="dxa"/>
            <w:shd w:val="clear" w:color="auto" w:fill="auto"/>
          </w:tcPr>
          <w:p w14:paraId="0F9CF890" w14:textId="399EA83F" w:rsidR="00EB30ED" w:rsidRPr="00DB765C" w:rsidRDefault="00024623" w:rsidP="00EB30ED">
            <w:pPr>
              <w:pStyle w:val="TableText"/>
              <w:rPr>
                <w:rFonts w:eastAsia="Calibri"/>
                <w:szCs w:val="20"/>
                <w:lang w:val="en-NZ"/>
              </w:rPr>
            </w:pPr>
            <w:r>
              <w:rPr>
                <w:rFonts w:eastAsia="Calibri"/>
                <w:szCs w:val="20"/>
                <w:lang w:val="en-NZ"/>
              </w:rPr>
              <w:t>Increased tax revenue</w:t>
            </w:r>
          </w:p>
        </w:tc>
        <w:tc>
          <w:tcPr>
            <w:tcW w:w="1843" w:type="dxa"/>
            <w:shd w:val="clear" w:color="auto" w:fill="auto"/>
          </w:tcPr>
          <w:p w14:paraId="13F85EF8" w14:textId="2542A211" w:rsidR="00EB30ED" w:rsidRPr="00DB765C" w:rsidRDefault="00EB30ED" w:rsidP="00EB30ED">
            <w:pPr>
              <w:pStyle w:val="TableText"/>
              <w:rPr>
                <w:rFonts w:eastAsia="Calibri"/>
                <w:szCs w:val="20"/>
                <w:lang w:val="en-NZ"/>
              </w:rPr>
            </w:pPr>
            <w:r w:rsidRPr="00DB765C">
              <w:rPr>
                <w:rFonts w:eastAsia="Calibri"/>
                <w:szCs w:val="20"/>
                <w:lang w:val="en-NZ"/>
              </w:rPr>
              <w:t>Approx. $23.8m per year</w:t>
            </w:r>
          </w:p>
        </w:tc>
        <w:tc>
          <w:tcPr>
            <w:tcW w:w="1701" w:type="dxa"/>
          </w:tcPr>
          <w:p w14:paraId="3A5FFB7A" w14:textId="0850238C" w:rsidR="00EB30ED" w:rsidRPr="00DB765C" w:rsidRDefault="00EB30ED" w:rsidP="00EB30ED">
            <w:pPr>
              <w:pStyle w:val="TableText"/>
              <w:rPr>
                <w:rFonts w:eastAsia="Calibri"/>
                <w:szCs w:val="20"/>
                <w:lang w:val="en-NZ"/>
              </w:rPr>
            </w:pPr>
            <w:r w:rsidRPr="00DB765C">
              <w:rPr>
                <w:rFonts w:eastAsia="Calibri"/>
                <w:szCs w:val="20"/>
                <w:lang w:val="en-NZ"/>
              </w:rPr>
              <w:t>Medium</w:t>
            </w:r>
          </w:p>
        </w:tc>
      </w:tr>
      <w:tr w:rsidR="00EB30ED" w:rsidRPr="00A864A5" w14:paraId="2832F0D3" w14:textId="77777777" w:rsidTr="00DB765C">
        <w:trPr>
          <w:trHeight w:val="187"/>
        </w:trPr>
        <w:tc>
          <w:tcPr>
            <w:tcW w:w="2830" w:type="dxa"/>
            <w:shd w:val="clear" w:color="auto" w:fill="auto"/>
          </w:tcPr>
          <w:p w14:paraId="0C137852" w14:textId="77777777" w:rsidR="00EB30ED" w:rsidRPr="00DB765C" w:rsidRDefault="00EB30ED" w:rsidP="00EB30ED">
            <w:pPr>
              <w:pStyle w:val="TableText"/>
              <w:rPr>
                <w:rFonts w:eastAsia="Calibri"/>
                <w:b/>
                <w:szCs w:val="20"/>
                <w:lang w:val="en-NZ"/>
              </w:rPr>
            </w:pPr>
            <w:r w:rsidRPr="00DB765C">
              <w:rPr>
                <w:rFonts w:eastAsia="Calibri"/>
                <w:b/>
                <w:szCs w:val="20"/>
                <w:lang w:val="en-NZ"/>
              </w:rPr>
              <w:t>Non-monetised benefits</w:t>
            </w:r>
          </w:p>
        </w:tc>
        <w:tc>
          <w:tcPr>
            <w:tcW w:w="3119" w:type="dxa"/>
            <w:shd w:val="clear" w:color="auto" w:fill="auto"/>
          </w:tcPr>
          <w:p w14:paraId="61FB878D" w14:textId="4031EF5B" w:rsidR="00EB30ED" w:rsidRPr="00DB765C" w:rsidRDefault="00EA05D5" w:rsidP="00EB30ED">
            <w:pPr>
              <w:pStyle w:val="TableText"/>
              <w:rPr>
                <w:rFonts w:eastAsia="Calibri"/>
                <w:szCs w:val="20"/>
                <w:lang w:val="en-NZ"/>
              </w:rPr>
            </w:pPr>
            <w:r>
              <w:rPr>
                <w:rFonts w:eastAsia="Calibri"/>
                <w:szCs w:val="20"/>
                <w:lang w:val="en-NZ"/>
              </w:rPr>
              <w:t>n/a</w:t>
            </w:r>
          </w:p>
        </w:tc>
        <w:tc>
          <w:tcPr>
            <w:tcW w:w="1843" w:type="dxa"/>
            <w:shd w:val="clear" w:color="auto" w:fill="auto"/>
          </w:tcPr>
          <w:p w14:paraId="098C1B0C" w14:textId="66F79EDE" w:rsidR="00EB30ED" w:rsidRPr="00043A68" w:rsidRDefault="00EA05D5" w:rsidP="00EB30ED">
            <w:pPr>
              <w:pStyle w:val="TableText"/>
              <w:rPr>
                <w:rFonts w:eastAsia="Calibri"/>
                <w:iCs/>
                <w:szCs w:val="20"/>
                <w:lang w:val="en-NZ"/>
              </w:rPr>
            </w:pPr>
            <w:r w:rsidRPr="00043A68">
              <w:rPr>
                <w:rFonts w:eastAsia="Calibri"/>
                <w:iCs/>
                <w:szCs w:val="20"/>
                <w:lang w:val="en-NZ"/>
              </w:rPr>
              <w:t>n/a</w:t>
            </w:r>
          </w:p>
        </w:tc>
        <w:tc>
          <w:tcPr>
            <w:tcW w:w="1701" w:type="dxa"/>
          </w:tcPr>
          <w:p w14:paraId="5EF64146" w14:textId="55BE339F" w:rsidR="00EB30ED" w:rsidRPr="00043A68" w:rsidRDefault="00EA05D5" w:rsidP="00EB30ED">
            <w:pPr>
              <w:pStyle w:val="TableText"/>
              <w:rPr>
                <w:rFonts w:eastAsia="Calibri"/>
                <w:iCs/>
                <w:szCs w:val="20"/>
                <w:lang w:val="en-NZ"/>
              </w:rPr>
            </w:pPr>
            <w:r w:rsidRPr="00043A68">
              <w:rPr>
                <w:rFonts w:eastAsia="Calibri"/>
                <w:iCs/>
                <w:szCs w:val="20"/>
                <w:lang w:val="en-NZ"/>
              </w:rPr>
              <w:t>n/a</w:t>
            </w:r>
          </w:p>
        </w:tc>
      </w:tr>
      <w:bookmarkEnd w:id="10"/>
    </w:tbl>
    <w:p w14:paraId="3AC83121" w14:textId="77777777" w:rsidR="001F11BE" w:rsidRDefault="001F11BE">
      <w:pPr>
        <w:spacing w:after="0" w:line="240" w:lineRule="auto"/>
        <w:rPr>
          <w:rFonts w:ascii="Arial Bold" w:hAnsi="Arial Bold"/>
          <w:b/>
          <w:color w:val="0082AB"/>
          <w:spacing w:val="20"/>
          <w:w w:val="90"/>
          <w:sz w:val="32"/>
          <w:szCs w:val="24"/>
          <w:lang w:val="en-NZ"/>
        </w:rPr>
      </w:pPr>
      <w:r>
        <w:rPr>
          <w:lang w:val="en-NZ"/>
        </w:rPr>
        <w:br w:type="page"/>
      </w:r>
    </w:p>
    <w:p w14:paraId="75F637CC" w14:textId="06BA7932" w:rsidR="00A0728D" w:rsidRPr="00A864A5" w:rsidRDefault="00417B4A" w:rsidP="00556893">
      <w:pPr>
        <w:pStyle w:val="Heading2"/>
        <w:rPr>
          <w:lang w:val="en-NZ"/>
        </w:rPr>
      </w:pPr>
      <w:r w:rsidRPr="7CDCE639">
        <w:rPr>
          <w:lang w:val="en-NZ"/>
        </w:rPr>
        <w:t xml:space="preserve">Section </w:t>
      </w:r>
      <w:r w:rsidR="00D62B30" w:rsidRPr="7CDCE639">
        <w:rPr>
          <w:lang w:val="en-NZ"/>
        </w:rPr>
        <w:t>3</w:t>
      </w:r>
      <w:r w:rsidRPr="7CDCE639">
        <w:rPr>
          <w:lang w:val="en-NZ"/>
        </w:rPr>
        <w:t xml:space="preserve">: </w:t>
      </w:r>
      <w:r w:rsidR="0022201B" w:rsidRPr="7CDCE639">
        <w:rPr>
          <w:lang w:val="en-NZ"/>
        </w:rPr>
        <w:t xml:space="preserve">Delivering </w:t>
      </w:r>
      <w:r w:rsidR="005F41A2" w:rsidRPr="7CDCE639">
        <w:rPr>
          <w:lang w:val="en-NZ"/>
        </w:rPr>
        <w:t>an option</w:t>
      </w:r>
    </w:p>
    <w:p w14:paraId="77D8CE5A" w14:textId="6E0870A6" w:rsidR="006B5794" w:rsidRPr="00A864A5" w:rsidRDefault="00A16B89" w:rsidP="006B5794">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2854683E" w14:textId="2AF40817" w:rsidR="004A1CD1" w:rsidRDefault="003D4926" w:rsidP="00DF37DC">
      <w:pPr>
        <w:rPr>
          <w:lang w:val="en-NZ"/>
        </w:rPr>
      </w:pPr>
      <w:r>
        <w:rPr>
          <w:lang w:val="en-NZ"/>
        </w:rPr>
        <w:t xml:space="preserve">If approved by Cabinet, </w:t>
      </w:r>
      <w:r w:rsidR="0021316E">
        <w:rPr>
          <w:lang w:val="en-NZ"/>
        </w:rPr>
        <w:t>amendments to the Income Tax Act 2007 will be included in the next omnibus tax bill, scheduled for introduction in August 2021.</w:t>
      </w:r>
      <w:r w:rsidR="00F805FC">
        <w:rPr>
          <w:lang w:val="en-NZ"/>
        </w:rPr>
        <w:t xml:space="preserve"> T</w:t>
      </w:r>
      <w:r w:rsidR="004A1CD1">
        <w:rPr>
          <w:lang w:val="en-NZ"/>
        </w:rPr>
        <w:t xml:space="preserve">he changes will </w:t>
      </w:r>
      <w:r w:rsidR="008219A5">
        <w:rPr>
          <w:lang w:val="en-NZ"/>
        </w:rPr>
        <w:t xml:space="preserve">apply from </w:t>
      </w:r>
      <w:r w:rsidR="00F805FC">
        <w:rPr>
          <w:lang w:val="en-NZ"/>
        </w:rPr>
        <w:t>the start of the 2022-23 income year.</w:t>
      </w:r>
    </w:p>
    <w:p w14:paraId="39240E18" w14:textId="13F2B024" w:rsidR="009A58C5" w:rsidRDefault="55F34EE7" w:rsidP="00DF37DC">
      <w:pPr>
        <w:rPr>
          <w:lang w:val="en-NZ"/>
        </w:rPr>
      </w:pPr>
      <w:r w:rsidRPr="4F287DCD">
        <w:rPr>
          <w:lang w:val="en-NZ"/>
        </w:rPr>
        <w:t>Inland Revenue will be responsible for administering the changes.</w:t>
      </w:r>
      <w:r w:rsidR="0A5C785C" w:rsidRPr="4F287DCD">
        <w:rPr>
          <w:lang w:val="en-NZ"/>
        </w:rPr>
        <w:t xml:space="preserve"> </w:t>
      </w:r>
      <w:r w:rsidR="540C8A34" w:rsidRPr="4F287DCD">
        <w:rPr>
          <w:lang w:val="en-NZ"/>
        </w:rPr>
        <w:t>This will have no impact on Inland Revenue’s systems and will largely involve</w:t>
      </w:r>
      <w:r w:rsidR="486DAFAA" w:rsidRPr="4F287DCD">
        <w:rPr>
          <w:lang w:val="en-NZ"/>
        </w:rPr>
        <w:t xml:space="preserve"> </w:t>
      </w:r>
      <w:r w:rsidR="734D4F16" w:rsidRPr="4F287DCD">
        <w:rPr>
          <w:lang w:val="en-NZ"/>
        </w:rPr>
        <w:t>communicating the changes with the local government sector and rewording some guides and forms.</w:t>
      </w:r>
      <w:r w:rsidR="540C8A34" w:rsidRPr="4F287DCD">
        <w:rPr>
          <w:lang w:val="en-NZ"/>
        </w:rPr>
        <w:t xml:space="preserve"> </w:t>
      </w:r>
      <w:r w:rsidR="0A5C785C" w:rsidRPr="4F287DCD">
        <w:rPr>
          <w:lang w:val="en-NZ"/>
        </w:rPr>
        <w:t>This</w:t>
      </w:r>
      <w:r w:rsidR="23ED8BB2" w:rsidRPr="4F287DCD">
        <w:rPr>
          <w:lang w:val="en-NZ"/>
        </w:rPr>
        <w:t xml:space="preserve"> will have negligible ongoing administration costs.</w:t>
      </w:r>
    </w:p>
    <w:p w14:paraId="6A728090" w14:textId="751E33EF" w:rsidR="00792525" w:rsidRPr="00DF37DC" w:rsidRDefault="009A58C5" w:rsidP="00DF37DC">
      <w:pPr>
        <w:rPr>
          <w:lang w:val="en-NZ"/>
        </w:rPr>
      </w:pPr>
      <w:r>
        <w:rPr>
          <w:lang w:val="en-NZ"/>
        </w:rPr>
        <w:t xml:space="preserve">Officials will provide guidance </w:t>
      </w:r>
      <w:r w:rsidR="00C14E33">
        <w:rPr>
          <w:lang w:val="en-NZ"/>
        </w:rPr>
        <w:t xml:space="preserve">on the </w:t>
      </w:r>
      <w:r w:rsidR="008470C2">
        <w:rPr>
          <w:lang w:val="en-NZ"/>
        </w:rPr>
        <w:t xml:space="preserve">changes to local government taxation </w:t>
      </w:r>
      <w:r w:rsidR="00C14E33">
        <w:rPr>
          <w:lang w:val="en-NZ"/>
        </w:rPr>
        <w:t xml:space="preserve">in a </w:t>
      </w:r>
      <w:r w:rsidR="00C14E33">
        <w:rPr>
          <w:i/>
          <w:iCs/>
          <w:lang w:val="en-NZ"/>
        </w:rPr>
        <w:t>Tax Information Bulletin</w:t>
      </w:r>
      <w:r w:rsidR="00C14E33">
        <w:rPr>
          <w:lang w:val="en-NZ"/>
        </w:rPr>
        <w:t xml:space="preserve"> item</w:t>
      </w:r>
      <w:r w:rsidR="008470C2">
        <w:rPr>
          <w:lang w:val="en-NZ"/>
        </w:rPr>
        <w:t>.</w:t>
      </w:r>
    </w:p>
    <w:p w14:paraId="5AA39C72" w14:textId="0401654F" w:rsidR="006B5794" w:rsidRPr="00A864A5" w:rsidRDefault="0099086E" w:rsidP="006B5794">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33A35101" w14:textId="259E681A" w:rsidR="00575ED6" w:rsidRDefault="00204DE8" w:rsidP="00DF37DC">
      <w:pPr>
        <w:rPr>
          <w:lang w:val="en-NZ"/>
        </w:rPr>
      </w:pPr>
      <w:r>
        <w:rPr>
          <w:lang w:val="en-NZ"/>
        </w:rPr>
        <w:t>Inland Revenue policy officials will work with operational Inland Revenue officials to monitor the implementation and any ongoing impacts to confirm that they match the policy objectives</w:t>
      </w:r>
      <w:r w:rsidR="00C06948">
        <w:rPr>
          <w:lang w:val="en-NZ"/>
        </w:rPr>
        <w:t>.</w:t>
      </w:r>
    </w:p>
    <w:p w14:paraId="76D6DB1B" w14:textId="6D743BE8" w:rsidR="00AD3E78" w:rsidRDefault="00AD3E78" w:rsidP="00DF37DC">
      <w:pPr>
        <w:rPr>
          <w:lang w:val="en-NZ"/>
        </w:rPr>
      </w:pPr>
      <w:r>
        <w:rPr>
          <w:lang w:val="en-NZ"/>
        </w:rPr>
        <w:t>Policy officials will also analyse Inland Revenue data from the 2022-23 income year to mon</w:t>
      </w:r>
      <w:r w:rsidR="00991B3C">
        <w:rPr>
          <w:lang w:val="en-NZ"/>
        </w:rPr>
        <w:t xml:space="preserve">itor whether </w:t>
      </w:r>
      <w:r w:rsidR="00575ED6">
        <w:rPr>
          <w:lang w:val="en-NZ"/>
        </w:rPr>
        <w:t>the measures have met the policy objectives</w:t>
      </w:r>
      <w:r w:rsidR="00C06948">
        <w:rPr>
          <w:lang w:val="en-NZ"/>
        </w:rPr>
        <w:t xml:space="preserve"> of improving the integrity of local government taxation.</w:t>
      </w:r>
    </w:p>
    <w:p w14:paraId="3B2E64D3" w14:textId="07E30400" w:rsidR="00E903F8" w:rsidRDefault="00E903F8" w:rsidP="00DF37DC">
      <w:pPr>
        <w:rPr>
          <w:lang w:val="en-NZ"/>
        </w:rPr>
      </w:pPr>
      <w:r>
        <w:rPr>
          <w:lang w:val="en-NZ"/>
        </w:rPr>
        <w:t xml:space="preserve">Inland Revenue will </w:t>
      </w:r>
      <w:r w:rsidR="002A100F">
        <w:rPr>
          <w:lang w:val="en-NZ"/>
        </w:rPr>
        <w:t xml:space="preserve">undertake post-implementation consultation </w:t>
      </w:r>
      <w:r>
        <w:rPr>
          <w:lang w:val="en-NZ"/>
        </w:rPr>
        <w:t>engage</w:t>
      </w:r>
      <w:r w:rsidR="00BB3273">
        <w:rPr>
          <w:lang w:val="en-NZ"/>
        </w:rPr>
        <w:t>ment</w:t>
      </w:r>
      <w:r>
        <w:rPr>
          <w:lang w:val="en-NZ"/>
        </w:rPr>
        <w:t xml:space="preserve"> with the local government sector</w:t>
      </w:r>
      <w:r w:rsidR="006D7EA0">
        <w:rPr>
          <w:lang w:val="en-NZ"/>
        </w:rPr>
        <w:t xml:space="preserve"> and its tax advisors, pursuant to the Generic Tax Policy Process (GTPP) and the Tax Policy Work Programme, to </w:t>
      </w:r>
      <w:r w:rsidR="002A100F">
        <w:rPr>
          <w:lang w:val="en-NZ"/>
        </w:rPr>
        <w:t>ensure the rules are working as intended</w:t>
      </w:r>
      <w:r w:rsidR="006D7EA0">
        <w:rPr>
          <w:lang w:val="en-NZ"/>
        </w:rPr>
        <w:t xml:space="preserve">. </w:t>
      </w:r>
    </w:p>
    <w:p w14:paraId="59C38634" w14:textId="13B4060A" w:rsidR="008321F8" w:rsidRPr="00DF37DC" w:rsidRDefault="00E903F8" w:rsidP="005276CA">
      <w:pPr>
        <w:rPr>
          <w:lang w:val="en-NZ"/>
        </w:rPr>
      </w:pPr>
      <w:r w:rsidRPr="5708860E">
        <w:rPr>
          <w:lang w:val="en-NZ"/>
        </w:rPr>
        <w:t>Inland Revenue has strong networks in the tax community (including tax advisors to the local government sector) that will provide opportunities for stakeholders to raise any concerns as they arise.</w:t>
      </w:r>
      <w:r w:rsidR="005276CA" w:rsidRPr="5708860E">
        <w:rPr>
          <w:lang w:val="en-NZ"/>
        </w:rPr>
        <w:t xml:space="preserve"> </w:t>
      </w:r>
    </w:p>
    <w:sectPr w:rsidR="008321F8" w:rsidRPr="00DF37DC" w:rsidSect="0005691A">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3C78" w14:textId="77777777" w:rsidR="00AD4AAE" w:rsidRDefault="00AD4AAE">
      <w:pPr>
        <w:spacing w:after="0" w:line="240" w:lineRule="auto"/>
      </w:pPr>
      <w:r>
        <w:separator/>
      </w:r>
    </w:p>
    <w:p w14:paraId="132C8257" w14:textId="77777777" w:rsidR="00AD4AAE" w:rsidRDefault="00AD4AAE"/>
  </w:endnote>
  <w:endnote w:type="continuationSeparator" w:id="0">
    <w:p w14:paraId="2FB99767" w14:textId="77777777" w:rsidR="00AD4AAE" w:rsidRDefault="00AD4AAE">
      <w:pPr>
        <w:spacing w:after="0" w:line="240" w:lineRule="auto"/>
      </w:pPr>
      <w:r>
        <w:continuationSeparator/>
      </w:r>
    </w:p>
    <w:p w14:paraId="7DF2169E" w14:textId="77777777" w:rsidR="00AD4AAE" w:rsidRDefault="00AD4AAE"/>
  </w:endnote>
  <w:endnote w:type="continuationNotice" w:id="1">
    <w:p w14:paraId="6EE67697" w14:textId="77777777" w:rsidR="00AD4AAE" w:rsidRDefault="00AD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6068AB" w:rsidRDefault="006068AB" w:rsidP="00743278">
    <w:pPr>
      <w:pStyle w:val="Footer"/>
    </w:pPr>
  </w:p>
  <w:p w14:paraId="6E40FA9B" w14:textId="77777777" w:rsidR="006068AB" w:rsidRDefault="006068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386A" w14:textId="255318C8" w:rsidR="006068AB" w:rsidRDefault="006068AB" w:rsidP="00743278">
    <w:pPr>
      <w:pStyle w:val="Footer"/>
      <w:rPr>
        <w:sz w:val="14"/>
      </w:rPr>
    </w:pPr>
  </w:p>
  <w:p w14:paraId="3F4886C0" w14:textId="45CB59B0" w:rsidR="006068AB" w:rsidRPr="00743278" w:rsidRDefault="006068AB" w:rsidP="00743278">
    <w:pPr>
      <w:pStyle w:val="Footer"/>
    </w:pPr>
    <w:r>
      <w:rPr>
        <w:sz w:val="14"/>
      </w:rPr>
      <w:tab/>
    </w:r>
    <w:r>
      <w:t xml:space="preserve">Regulatory Impact Statement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p w14:paraId="25B99CB4" w14:textId="77777777" w:rsidR="006068AB" w:rsidRDefault="00606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D7D2" w14:textId="77777777" w:rsidR="00AD4AAE" w:rsidRDefault="00AD4AAE">
      <w:pPr>
        <w:spacing w:after="0" w:line="240" w:lineRule="auto"/>
      </w:pPr>
      <w:r>
        <w:separator/>
      </w:r>
    </w:p>
    <w:p w14:paraId="4D826EA0" w14:textId="77777777" w:rsidR="00AD4AAE" w:rsidRDefault="00AD4AAE"/>
  </w:footnote>
  <w:footnote w:type="continuationSeparator" w:id="0">
    <w:p w14:paraId="29ECDE99" w14:textId="77777777" w:rsidR="00AD4AAE" w:rsidRDefault="00AD4AAE">
      <w:pPr>
        <w:spacing w:after="0" w:line="240" w:lineRule="auto"/>
      </w:pPr>
      <w:r>
        <w:continuationSeparator/>
      </w:r>
    </w:p>
    <w:p w14:paraId="7F24694C" w14:textId="77777777" w:rsidR="00AD4AAE" w:rsidRDefault="00AD4AAE"/>
  </w:footnote>
  <w:footnote w:type="continuationNotice" w:id="1">
    <w:p w14:paraId="1CAA72C3" w14:textId="77777777" w:rsidR="00AD4AAE" w:rsidRDefault="00AD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6068AB" w:rsidRDefault="006068AB">
    <w:pPr>
      <w:pStyle w:val="Header"/>
    </w:pPr>
  </w:p>
  <w:p w14:paraId="5B68D6FF" w14:textId="77777777" w:rsidR="006068AB" w:rsidRDefault="006068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F3F" w14:textId="676CF0B3" w:rsidR="006068AB" w:rsidRDefault="006068AB" w:rsidP="007C33FC">
    <w:pPr>
      <w:tabs>
        <w:tab w:val="center" w:pos="4253"/>
      </w:tabs>
      <w:spacing w:after="0"/>
    </w:pPr>
    <w:r>
      <w:tab/>
    </w:r>
    <w:r w:rsidR="007C33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92AF1"/>
    <w:multiLevelType w:val="hybridMultilevel"/>
    <w:tmpl w:val="1580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3443B5"/>
    <w:multiLevelType w:val="hybridMultilevel"/>
    <w:tmpl w:val="87368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A82164"/>
    <w:multiLevelType w:val="hybridMultilevel"/>
    <w:tmpl w:val="495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8C214B"/>
    <w:multiLevelType w:val="hybridMultilevel"/>
    <w:tmpl w:val="DEEEF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E1A7F09"/>
    <w:multiLevelType w:val="hybridMultilevel"/>
    <w:tmpl w:val="967A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B8763B"/>
    <w:multiLevelType w:val="hybridMultilevel"/>
    <w:tmpl w:val="FD16E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DF19B5"/>
    <w:multiLevelType w:val="hybridMultilevel"/>
    <w:tmpl w:val="B8AC30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FA20F1"/>
    <w:multiLevelType w:val="hybridMultilevel"/>
    <w:tmpl w:val="E77044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E62F65"/>
    <w:multiLevelType w:val="hybridMultilevel"/>
    <w:tmpl w:val="AD1486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EDB4208"/>
    <w:multiLevelType w:val="hybridMultilevel"/>
    <w:tmpl w:val="BE0A32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F47DC0"/>
    <w:multiLevelType w:val="hybridMultilevel"/>
    <w:tmpl w:val="17207E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570B9D"/>
    <w:multiLevelType w:val="hybridMultilevel"/>
    <w:tmpl w:val="55B0C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3D116C"/>
    <w:multiLevelType w:val="hybridMultilevel"/>
    <w:tmpl w:val="2252FE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9A1ADE"/>
    <w:multiLevelType w:val="hybridMultilevel"/>
    <w:tmpl w:val="F342E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9D190F"/>
    <w:multiLevelType w:val="hybridMultilevel"/>
    <w:tmpl w:val="FDA2E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B973755"/>
    <w:multiLevelType w:val="hybridMultilevel"/>
    <w:tmpl w:val="CFBAC5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3E12988"/>
    <w:multiLevelType w:val="hybridMultilevel"/>
    <w:tmpl w:val="E0C0E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8410C0"/>
    <w:multiLevelType w:val="hybridMultilevel"/>
    <w:tmpl w:val="80D62336"/>
    <w:lvl w:ilvl="0" w:tplc="BA6C5352">
      <w:start w:val="1"/>
      <w:numFmt w:val="decimal"/>
      <w:pStyle w:val="BodyText-Numbered"/>
      <w:lvlText w:val="%1."/>
      <w:lvlJc w:val="left"/>
      <w:pPr>
        <w:ind w:left="567" w:hanging="567"/>
      </w:pPr>
      <w:rPr>
        <w:rFonts w:hint="default"/>
      </w:rPr>
    </w:lvl>
    <w:lvl w:ilvl="1" w:tplc="D69C953C">
      <w:start w:val="1"/>
      <w:numFmt w:val="bullet"/>
      <w:lvlText w:val=""/>
      <w:lvlJc w:val="left"/>
      <w:pPr>
        <w:ind w:left="1134" w:hanging="567"/>
      </w:pPr>
      <w:rPr>
        <w:rFonts w:ascii="Symbol" w:hAnsi="Symbol" w:hint="default"/>
      </w:rPr>
    </w:lvl>
    <w:lvl w:ilvl="2" w:tplc="9A94AAE2">
      <w:start w:val="1"/>
      <w:numFmt w:val="lowerRoman"/>
      <w:lvlText w:val="%3."/>
      <w:lvlJc w:val="left"/>
      <w:pPr>
        <w:ind w:left="1701" w:hanging="567"/>
      </w:pPr>
      <w:rPr>
        <w:rFonts w:hint="default"/>
      </w:rPr>
    </w:lvl>
    <w:lvl w:ilvl="3" w:tplc="39CA5446">
      <w:start w:val="1"/>
      <w:numFmt w:val="decimal"/>
      <w:lvlText w:val="(%4)"/>
      <w:lvlJc w:val="left"/>
      <w:pPr>
        <w:ind w:left="2268" w:hanging="567"/>
      </w:pPr>
      <w:rPr>
        <w:rFonts w:hint="default"/>
      </w:rPr>
    </w:lvl>
    <w:lvl w:ilvl="4" w:tplc="87BA78D6">
      <w:start w:val="1"/>
      <w:numFmt w:val="lowerLetter"/>
      <w:lvlText w:val="(%5)"/>
      <w:lvlJc w:val="left"/>
      <w:pPr>
        <w:ind w:left="2835" w:hanging="567"/>
      </w:pPr>
      <w:rPr>
        <w:rFonts w:hint="default"/>
      </w:rPr>
    </w:lvl>
    <w:lvl w:ilvl="5" w:tplc="0916FD02">
      <w:start w:val="1"/>
      <w:numFmt w:val="lowerRoman"/>
      <w:lvlText w:val="(%6)"/>
      <w:lvlJc w:val="left"/>
      <w:pPr>
        <w:ind w:left="3402" w:hanging="567"/>
      </w:pPr>
      <w:rPr>
        <w:rFonts w:hint="default"/>
      </w:rPr>
    </w:lvl>
    <w:lvl w:ilvl="6" w:tplc="FB548E9A">
      <w:start w:val="1"/>
      <w:numFmt w:val="decimal"/>
      <w:lvlText w:val="%7."/>
      <w:lvlJc w:val="left"/>
      <w:pPr>
        <w:ind w:left="3969" w:hanging="567"/>
      </w:pPr>
      <w:rPr>
        <w:rFonts w:hint="default"/>
      </w:rPr>
    </w:lvl>
    <w:lvl w:ilvl="7" w:tplc="2AD207CE">
      <w:start w:val="1"/>
      <w:numFmt w:val="lowerLetter"/>
      <w:lvlText w:val="%8."/>
      <w:lvlJc w:val="left"/>
      <w:pPr>
        <w:ind w:left="4536" w:hanging="567"/>
      </w:pPr>
      <w:rPr>
        <w:rFonts w:hint="default"/>
      </w:rPr>
    </w:lvl>
    <w:lvl w:ilvl="8" w:tplc="B9A0E01E">
      <w:start w:val="1"/>
      <w:numFmt w:val="lowerRoman"/>
      <w:lvlText w:val="%9."/>
      <w:lvlJc w:val="left"/>
      <w:pPr>
        <w:ind w:left="5103" w:hanging="567"/>
      </w:pPr>
      <w:rPr>
        <w:rFonts w:hint="default"/>
      </w:rPr>
    </w:lvl>
  </w:abstractNum>
  <w:abstractNum w:abstractNumId="22"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B1C34"/>
    <w:multiLevelType w:val="hybridMultilevel"/>
    <w:tmpl w:val="35F0B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FDD7E64"/>
    <w:multiLevelType w:val="hybridMultilevel"/>
    <w:tmpl w:val="7F22D250"/>
    <w:lvl w:ilvl="0" w:tplc="FC2A6B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85490A"/>
    <w:multiLevelType w:val="hybridMultilevel"/>
    <w:tmpl w:val="6FAA3E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993153"/>
    <w:multiLevelType w:val="multilevel"/>
    <w:tmpl w:val="DE3EAFC2"/>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8" w15:restartNumberingAfterBreak="0">
    <w:nsid w:val="68E67E35"/>
    <w:multiLevelType w:val="hybridMultilevel"/>
    <w:tmpl w:val="FAAE7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6753EB4"/>
    <w:multiLevelType w:val="hybridMultilevel"/>
    <w:tmpl w:val="33360198"/>
    <w:lvl w:ilvl="0" w:tplc="F356CA2A">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B250EB8"/>
    <w:multiLevelType w:val="hybridMultilevel"/>
    <w:tmpl w:val="C5364A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F4C665F"/>
    <w:multiLevelType w:val="hybridMultilevel"/>
    <w:tmpl w:val="AB92864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11"/>
  </w:num>
  <w:num w:numId="5">
    <w:abstractNumId w:val="0"/>
  </w:num>
  <w:num w:numId="6">
    <w:abstractNumId w:val="6"/>
  </w:num>
  <w:num w:numId="7">
    <w:abstractNumId w:val="7"/>
  </w:num>
  <w:num w:numId="8">
    <w:abstractNumId w:val="29"/>
  </w:num>
  <w:num w:numId="9">
    <w:abstractNumId w:val="19"/>
  </w:num>
  <w:num w:numId="10">
    <w:abstractNumId w:val="28"/>
  </w:num>
  <w:num w:numId="11">
    <w:abstractNumId w:val="3"/>
  </w:num>
  <w:num w:numId="12">
    <w:abstractNumId w:val="18"/>
  </w:num>
  <w:num w:numId="13">
    <w:abstractNumId w:val="13"/>
  </w:num>
  <w:num w:numId="14">
    <w:abstractNumId w:val="24"/>
  </w:num>
  <w:num w:numId="15">
    <w:abstractNumId w:val="13"/>
  </w:num>
  <w:num w:numId="16">
    <w:abstractNumId w:val="3"/>
  </w:num>
  <w:num w:numId="17">
    <w:abstractNumId w:val="4"/>
  </w:num>
  <w:num w:numId="18">
    <w:abstractNumId w:val="20"/>
  </w:num>
  <w:num w:numId="19">
    <w:abstractNumId w:val="13"/>
  </w:num>
  <w:num w:numId="20">
    <w:abstractNumId w:val="13"/>
  </w:num>
  <w:num w:numId="21">
    <w:abstractNumId w:val="13"/>
  </w:num>
  <w:num w:numId="22">
    <w:abstractNumId w:val="13"/>
  </w:num>
  <w:num w:numId="23">
    <w:abstractNumId w:val="1"/>
  </w:num>
  <w:num w:numId="24">
    <w:abstractNumId w:val="9"/>
  </w:num>
  <w:num w:numId="25">
    <w:abstractNumId w:val="8"/>
  </w:num>
  <w:num w:numId="26">
    <w:abstractNumId w:val="26"/>
  </w:num>
  <w:num w:numId="27">
    <w:abstractNumId w:val="30"/>
  </w:num>
  <w:num w:numId="28">
    <w:abstractNumId w:val="25"/>
  </w:num>
  <w:num w:numId="29">
    <w:abstractNumId w:val="17"/>
  </w:num>
  <w:num w:numId="30">
    <w:abstractNumId w:val="13"/>
  </w:num>
  <w:num w:numId="31">
    <w:abstractNumId w:val="13"/>
  </w:num>
  <w:num w:numId="32">
    <w:abstractNumId w:val="13"/>
  </w:num>
  <w:num w:numId="33">
    <w:abstractNumId w:val="13"/>
  </w:num>
  <w:num w:numId="34">
    <w:abstractNumId w:val="13"/>
  </w:num>
  <w:num w:numId="35">
    <w:abstractNumId w:val="14"/>
  </w:num>
  <w:num w:numId="36">
    <w:abstractNumId w:val="27"/>
  </w:num>
  <w:num w:numId="37">
    <w:abstractNumId w:val="32"/>
  </w:num>
  <w:num w:numId="38">
    <w:abstractNumId w:val="2"/>
  </w:num>
  <w:num w:numId="39">
    <w:abstractNumId w:val="31"/>
  </w:num>
  <w:num w:numId="40">
    <w:abstractNumId w:val="10"/>
  </w:num>
  <w:num w:numId="41">
    <w:abstractNumId w:val="12"/>
  </w:num>
  <w:num w:numId="42">
    <w:abstractNumId w:val="15"/>
  </w:num>
  <w:num w:numId="43">
    <w:abstractNumId w:val="16"/>
  </w:num>
  <w:num w:numId="44">
    <w:abstractNumId w:val="5"/>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15FE"/>
    <w:rsid w:val="00001BDC"/>
    <w:rsid w:val="0000201A"/>
    <w:rsid w:val="0000328A"/>
    <w:rsid w:val="00003ADD"/>
    <w:rsid w:val="0000724E"/>
    <w:rsid w:val="000077CB"/>
    <w:rsid w:val="00007B8F"/>
    <w:rsid w:val="00007FD3"/>
    <w:rsid w:val="000127C5"/>
    <w:rsid w:val="00012998"/>
    <w:rsid w:val="000132F6"/>
    <w:rsid w:val="00014198"/>
    <w:rsid w:val="00014FB7"/>
    <w:rsid w:val="000151AF"/>
    <w:rsid w:val="00015839"/>
    <w:rsid w:val="00017C8B"/>
    <w:rsid w:val="00020596"/>
    <w:rsid w:val="00020F75"/>
    <w:rsid w:val="000210ED"/>
    <w:rsid w:val="000221FD"/>
    <w:rsid w:val="00022812"/>
    <w:rsid w:val="00023586"/>
    <w:rsid w:val="00023882"/>
    <w:rsid w:val="00024303"/>
    <w:rsid w:val="00024623"/>
    <w:rsid w:val="00024979"/>
    <w:rsid w:val="00024D4B"/>
    <w:rsid w:val="00025A78"/>
    <w:rsid w:val="0002799C"/>
    <w:rsid w:val="00030190"/>
    <w:rsid w:val="000319F4"/>
    <w:rsid w:val="00031DC5"/>
    <w:rsid w:val="00033B77"/>
    <w:rsid w:val="00033CAF"/>
    <w:rsid w:val="00034454"/>
    <w:rsid w:val="00034615"/>
    <w:rsid w:val="00035019"/>
    <w:rsid w:val="0003536D"/>
    <w:rsid w:val="00035550"/>
    <w:rsid w:val="0003707A"/>
    <w:rsid w:val="0003788E"/>
    <w:rsid w:val="00037F29"/>
    <w:rsid w:val="00041410"/>
    <w:rsid w:val="00041FC0"/>
    <w:rsid w:val="000424B7"/>
    <w:rsid w:val="00043A68"/>
    <w:rsid w:val="000444AD"/>
    <w:rsid w:val="000447A9"/>
    <w:rsid w:val="00044D09"/>
    <w:rsid w:val="00045292"/>
    <w:rsid w:val="00045552"/>
    <w:rsid w:val="000456B3"/>
    <w:rsid w:val="0004577B"/>
    <w:rsid w:val="00046A04"/>
    <w:rsid w:val="00046B1A"/>
    <w:rsid w:val="0004746D"/>
    <w:rsid w:val="000510F3"/>
    <w:rsid w:val="00051193"/>
    <w:rsid w:val="000516CB"/>
    <w:rsid w:val="000524A6"/>
    <w:rsid w:val="00053B3D"/>
    <w:rsid w:val="00054081"/>
    <w:rsid w:val="000548CE"/>
    <w:rsid w:val="00054979"/>
    <w:rsid w:val="00056266"/>
    <w:rsid w:val="0005691A"/>
    <w:rsid w:val="00057B9A"/>
    <w:rsid w:val="000608B0"/>
    <w:rsid w:val="00060EE1"/>
    <w:rsid w:val="00061FEB"/>
    <w:rsid w:val="000626D7"/>
    <w:rsid w:val="000626DB"/>
    <w:rsid w:val="00063943"/>
    <w:rsid w:val="00064320"/>
    <w:rsid w:val="00064427"/>
    <w:rsid w:val="00066612"/>
    <w:rsid w:val="000669DF"/>
    <w:rsid w:val="000671F3"/>
    <w:rsid w:val="00067F6C"/>
    <w:rsid w:val="00070085"/>
    <w:rsid w:val="00070D8C"/>
    <w:rsid w:val="0007168A"/>
    <w:rsid w:val="0007199E"/>
    <w:rsid w:val="00072077"/>
    <w:rsid w:val="00072C3E"/>
    <w:rsid w:val="00073CF7"/>
    <w:rsid w:val="00074328"/>
    <w:rsid w:val="0007474B"/>
    <w:rsid w:val="00074E41"/>
    <w:rsid w:val="00076368"/>
    <w:rsid w:val="000779A8"/>
    <w:rsid w:val="00080A97"/>
    <w:rsid w:val="00080FED"/>
    <w:rsid w:val="0008397A"/>
    <w:rsid w:val="00087A5D"/>
    <w:rsid w:val="00090639"/>
    <w:rsid w:val="00092945"/>
    <w:rsid w:val="00092BE9"/>
    <w:rsid w:val="00093887"/>
    <w:rsid w:val="00093E9C"/>
    <w:rsid w:val="00094006"/>
    <w:rsid w:val="000940D1"/>
    <w:rsid w:val="00095469"/>
    <w:rsid w:val="000960AA"/>
    <w:rsid w:val="00096F59"/>
    <w:rsid w:val="000970C8"/>
    <w:rsid w:val="00097119"/>
    <w:rsid w:val="000A0FEF"/>
    <w:rsid w:val="000A2B04"/>
    <w:rsid w:val="000A4A70"/>
    <w:rsid w:val="000A4CB7"/>
    <w:rsid w:val="000A5861"/>
    <w:rsid w:val="000A6DBD"/>
    <w:rsid w:val="000A722C"/>
    <w:rsid w:val="000A7633"/>
    <w:rsid w:val="000B0D4D"/>
    <w:rsid w:val="000B1282"/>
    <w:rsid w:val="000B145C"/>
    <w:rsid w:val="000B2320"/>
    <w:rsid w:val="000B32B6"/>
    <w:rsid w:val="000B5005"/>
    <w:rsid w:val="000B5AB4"/>
    <w:rsid w:val="000B7AB6"/>
    <w:rsid w:val="000C1588"/>
    <w:rsid w:val="000C268D"/>
    <w:rsid w:val="000C299F"/>
    <w:rsid w:val="000C29FA"/>
    <w:rsid w:val="000C2A32"/>
    <w:rsid w:val="000C3100"/>
    <w:rsid w:val="000C356C"/>
    <w:rsid w:val="000C4659"/>
    <w:rsid w:val="000C472B"/>
    <w:rsid w:val="000C4AA7"/>
    <w:rsid w:val="000C4EF3"/>
    <w:rsid w:val="000C5539"/>
    <w:rsid w:val="000C601C"/>
    <w:rsid w:val="000C7053"/>
    <w:rsid w:val="000C7AD3"/>
    <w:rsid w:val="000D0A49"/>
    <w:rsid w:val="000D2756"/>
    <w:rsid w:val="000D3104"/>
    <w:rsid w:val="000D34D3"/>
    <w:rsid w:val="000D5889"/>
    <w:rsid w:val="000D5C4D"/>
    <w:rsid w:val="000D62AE"/>
    <w:rsid w:val="000E00AF"/>
    <w:rsid w:val="000E1623"/>
    <w:rsid w:val="000E265C"/>
    <w:rsid w:val="000E27A4"/>
    <w:rsid w:val="000E35FF"/>
    <w:rsid w:val="000E501A"/>
    <w:rsid w:val="000E65AC"/>
    <w:rsid w:val="000E78D3"/>
    <w:rsid w:val="000F01D3"/>
    <w:rsid w:val="000F0805"/>
    <w:rsid w:val="000F1503"/>
    <w:rsid w:val="000F1AD4"/>
    <w:rsid w:val="000F27BE"/>
    <w:rsid w:val="000F36C5"/>
    <w:rsid w:val="000F375D"/>
    <w:rsid w:val="000F4323"/>
    <w:rsid w:val="000F462A"/>
    <w:rsid w:val="000F490A"/>
    <w:rsid w:val="000F4BAE"/>
    <w:rsid w:val="000F5D1D"/>
    <w:rsid w:val="000F62E0"/>
    <w:rsid w:val="000F6B2E"/>
    <w:rsid w:val="000F720E"/>
    <w:rsid w:val="000F740F"/>
    <w:rsid w:val="000F75F8"/>
    <w:rsid w:val="000F786A"/>
    <w:rsid w:val="00101990"/>
    <w:rsid w:val="00101FE6"/>
    <w:rsid w:val="0010229D"/>
    <w:rsid w:val="001024F6"/>
    <w:rsid w:val="0010299A"/>
    <w:rsid w:val="00102BE2"/>
    <w:rsid w:val="00103742"/>
    <w:rsid w:val="00103C0A"/>
    <w:rsid w:val="00103F24"/>
    <w:rsid w:val="001040E4"/>
    <w:rsid w:val="001045D1"/>
    <w:rsid w:val="0010467F"/>
    <w:rsid w:val="00104697"/>
    <w:rsid w:val="001049D4"/>
    <w:rsid w:val="00105155"/>
    <w:rsid w:val="0010562A"/>
    <w:rsid w:val="00105D66"/>
    <w:rsid w:val="00107365"/>
    <w:rsid w:val="00111065"/>
    <w:rsid w:val="0011159C"/>
    <w:rsid w:val="001127DB"/>
    <w:rsid w:val="00112941"/>
    <w:rsid w:val="00113D3B"/>
    <w:rsid w:val="001163EB"/>
    <w:rsid w:val="001166EC"/>
    <w:rsid w:val="0012029A"/>
    <w:rsid w:val="001220BD"/>
    <w:rsid w:val="001224B6"/>
    <w:rsid w:val="0012260E"/>
    <w:rsid w:val="001234C7"/>
    <w:rsid w:val="0012374A"/>
    <w:rsid w:val="00124B01"/>
    <w:rsid w:val="00124B66"/>
    <w:rsid w:val="00124FA4"/>
    <w:rsid w:val="001267D7"/>
    <w:rsid w:val="00127165"/>
    <w:rsid w:val="001275F8"/>
    <w:rsid w:val="00130C61"/>
    <w:rsid w:val="00132393"/>
    <w:rsid w:val="0013264B"/>
    <w:rsid w:val="001339A2"/>
    <w:rsid w:val="00134C10"/>
    <w:rsid w:val="00135B24"/>
    <w:rsid w:val="00136004"/>
    <w:rsid w:val="00136700"/>
    <w:rsid w:val="00136946"/>
    <w:rsid w:val="00137414"/>
    <w:rsid w:val="001401BA"/>
    <w:rsid w:val="001402E8"/>
    <w:rsid w:val="00140EC3"/>
    <w:rsid w:val="00140F8B"/>
    <w:rsid w:val="00143F2D"/>
    <w:rsid w:val="00145134"/>
    <w:rsid w:val="00145851"/>
    <w:rsid w:val="00146962"/>
    <w:rsid w:val="00150424"/>
    <w:rsid w:val="00151B37"/>
    <w:rsid w:val="00153FEB"/>
    <w:rsid w:val="001562C7"/>
    <w:rsid w:val="001568CA"/>
    <w:rsid w:val="00156EE9"/>
    <w:rsid w:val="00157296"/>
    <w:rsid w:val="00160238"/>
    <w:rsid w:val="001625E5"/>
    <w:rsid w:val="00164445"/>
    <w:rsid w:val="001649EE"/>
    <w:rsid w:val="00164CB9"/>
    <w:rsid w:val="00164D97"/>
    <w:rsid w:val="00166166"/>
    <w:rsid w:val="001664A2"/>
    <w:rsid w:val="00166F4A"/>
    <w:rsid w:val="00167308"/>
    <w:rsid w:val="001674F0"/>
    <w:rsid w:val="00167871"/>
    <w:rsid w:val="00167AA3"/>
    <w:rsid w:val="0017116F"/>
    <w:rsid w:val="00171A56"/>
    <w:rsid w:val="00173304"/>
    <w:rsid w:val="00174473"/>
    <w:rsid w:val="0017567C"/>
    <w:rsid w:val="00175707"/>
    <w:rsid w:val="00175B52"/>
    <w:rsid w:val="00175F23"/>
    <w:rsid w:val="00176309"/>
    <w:rsid w:val="00176D13"/>
    <w:rsid w:val="001777CE"/>
    <w:rsid w:val="0017793D"/>
    <w:rsid w:val="001802E8"/>
    <w:rsid w:val="00180C7E"/>
    <w:rsid w:val="001817F4"/>
    <w:rsid w:val="00182DC5"/>
    <w:rsid w:val="00182FAD"/>
    <w:rsid w:val="001837C1"/>
    <w:rsid w:val="00184FA4"/>
    <w:rsid w:val="00184FC8"/>
    <w:rsid w:val="00185A12"/>
    <w:rsid w:val="00185D8A"/>
    <w:rsid w:val="00186592"/>
    <w:rsid w:val="00187C9D"/>
    <w:rsid w:val="00190150"/>
    <w:rsid w:val="001905B1"/>
    <w:rsid w:val="00190825"/>
    <w:rsid w:val="00190843"/>
    <w:rsid w:val="00190F33"/>
    <w:rsid w:val="00191630"/>
    <w:rsid w:val="0019229E"/>
    <w:rsid w:val="00192948"/>
    <w:rsid w:val="001929F1"/>
    <w:rsid w:val="00193917"/>
    <w:rsid w:val="00193A15"/>
    <w:rsid w:val="001940CC"/>
    <w:rsid w:val="001948ED"/>
    <w:rsid w:val="0019577D"/>
    <w:rsid w:val="00196170"/>
    <w:rsid w:val="001967D5"/>
    <w:rsid w:val="00196CB7"/>
    <w:rsid w:val="00197D5C"/>
    <w:rsid w:val="001A0213"/>
    <w:rsid w:val="001A07B8"/>
    <w:rsid w:val="001A201D"/>
    <w:rsid w:val="001A2468"/>
    <w:rsid w:val="001A3011"/>
    <w:rsid w:val="001A4B31"/>
    <w:rsid w:val="001A4C5F"/>
    <w:rsid w:val="001A5CC3"/>
    <w:rsid w:val="001A5DDD"/>
    <w:rsid w:val="001A6552"/>
    <w:rsid w:val="001A66DE"/>
    <w:rsid w:val="001A6F99"/>
    <w:rsid w:val="001B189F"/>
    <w:rsid w:val="001B20A2"/>
    <w:rsid w:val="001B252B"/>
    <w:rsid w:val="001B2852"/>
    <w:rsid w:val="001B2946"/>
    <w:rsid w:val="001B3FAA"/>
    <w:rsid w:val="001B6A34"/>
    <w:rsid w:val="001B6B97"/>
    <w:rsid w:val="001B6EAD"/>
    <w:rsid w:val="001C0BCC"/>
    <w:rsid w:val="001C44A1"/>
    <w:rsid w:val="001C4845"/>
    <w:rsid w:val="001C4A82"/>
    <w:rsid w:val="001C6453"/>
    <w:rsid w:val="001C66CD"/>
    <w:rsid w:val="001C77C7"/>
    <w:rsid w:val="001C793E"/>
    <w:rsid w:val="001D093F"/>
    <w:rsid w:val="001D09FA"/>
    <w:rsid w:val="001D0AA6"/>
    <w:rsid w:val="001D1874"/>
    <w:rsid w:val="001D1A4F"/>
    <w:rsid w:val="001D4DEC"/>
    <w:rsid w:val="001D599D"/>
    <w:rsid w:val="001D6DD2"/>
    <w:rsid w:val="001D7199"/>
    <w:rsid w:val="001D7377"/>
    <w:rsid w:val="001D7B9B"/>
    <w:rsid w:val="001E0159"/>
    <w:rsid w:val="001E166B"/>
    <w:rsid w:val="001E250D"/>
    <w:rsid w:val="001E2695"/>
    <w:rsid w:val="001E2DBA"/>
    <w:rsid w:val="001E30E7"/>
    <w:rsid w:val="001E34C4"/>
    <w:rsid w:val="001E3EB1"/>
    <w:rsid w:val="001E4E77"/>
    <w:rsid w:val="001E6C1F"/>
    <w:rsid w:val="001E7D01"/>
    <w:rsid w:val="001F0A14"/>
    <w:rsid w:val="001F11BE"/>
    <w:rsid w:val="001F29E6"/>
    <w:rsid w:val="001F3C42"/>
    <w:rsid w:val="001F44F7"/>
    <w:rsid w:val="001F5635"/>
    <w:rsid w:val="001F5B63"/>
    <w:rsid w:val="001F5EF4"/>
    <w:rsid w:val="001F6A91"/>
    <w:rsid w:val="001F6C36"/>
    <w:rsid w:val="001F6FBD"/>
    <w:rsid w:val="00200DA1"/>
    <w:rsid w:val="002019D4"/>
    <w:rsid w:val="00201D67"/>
    <w:rsid w:val="002034BC"/>
    <w:rsid w:val="00203EAE"/>
    <w:rsid w:val="00204DE8"/>
    <w:rsid w:val="0020576A"/>
    <w:rsid w:val="00205A62"/>
    <w:rsid w:val="002060EC"/>
    <w:rsid w:val="0020624D"/>
    <w:rsid w:val="00206AB0"/>
    <w:rsid w:val="00210C3D"/>
    <w:rsid w:val="002112EA"/>
    <w:rsid w:val="0021134F"/>
    <w:rsid w:val="00212395"/>
    <w:rsid w:val="00212A84"/>
    <w:rsid w:val="0021316E"/>
    <w:rsid w:val="00213804"/>
    <w:rsid w:val="00215A21"/>
    <w:rsid w:val="00215B9D"/>
    <w:rsid w:val="002167FC"/>
    <w:rsid w:val="00216981"/>
    <w:rsid w:val="00221C0F"/>
    <w:rsid w:val="0022201B"/>
    <w:rsid w:val="0022207B"/>
    <w:rsid w:val="00222441"/>
    <w:rsid w:val="002224E4"/>
    <w:rsid w:val="00223C96"/>
    <w:rsid w:val="002254E4"/>
    <w:rsid w:val="0022557C"/>
    <w:rsid w:val="00226C38"/>
    <w:rsid w:val="00230EB3"/>
    <w:rsid w:val="00231673"/>
    <w:rsid w:val="002316E5"/>
    <w:rsid w:val="00231BE2"/>
    <w:rsid w:val="0023241A"/>
    <w:rsid w:val="00232688"/>
    <w:rsid w:val="002329C7"/>
    <w:rsid w:val="00233575"/>
    <w:rsid w:val="00234F5E"/>
    <w:rsid w:val="002352C4"/>
    <w:rsid w:val="00235654"/>
    <w:rsid w:val="00235C37"/>
    <w:rsid w:val="0023621C"/>
    <w:rsid w:val="0023711F"/>
    <w:rsid w:val="002378A7"/>
    <w:rsid w:val="002416CF"/>
    <w:rsid w:val="00242211"/>
    <w:rsid w:val="002428A4"/>
    <w:rsid w:val="00244BD1"/>
    <w:rsid w:val="0024658A"/>
    <w:rsid w:val="00246C74"/>
    <w:rsid w:val="00246D07"/>
    <w:rsid w:val="0024751E"/>
    <w:rsid w:val="00250076"/>
    <w:rsid w:val="002500F9"/>
    <w:rsid w:val="002509F5"/>
    <w:rsid w:val="00250F16"/>
    <w:rsid w:val="00251294"/>
    <w:rsid w:val="00253BF9"/>
    <w:rsid w:val="00254132"/>
    <w:rsid w:val="002546A9"/>
    <w:rsid w:val="002561EA"/>
    <w:rsid w:val="00260984"/>
    <w:rsid w:val="0026139D"/>
    <w:rsid w:val="00261F1E"/>
    <w:rsid w:val="00262492"/>
    <w:rsid w:val="0026379C"/>
    <w:rsid w:val="0026379E"/>
    <w:rsid w:val="00263D08"/>
    <w:rsid w:val="002646FB"/>
    <w:rsid w:val="00264B99"/>
    <w:rsid w:val="00266361"/>
    <w:rsid w:val="002663F5"/>
    <w:rsid w:val="00267DF7"/>
    <w:rsid w:val="00270281"/>
    <w:rsid w:val="002702C7"/>
    <w:rsid w:val="002728C7"/>
    <w:rsid w:val="00273014"/>
    <w:rsid w:val="00273042"/>
    <w:rsid w:val="00275103"/>
    <w:rsid w:val="0027622D"/>
    <w:rsid w:val="002764F9"/>
    <w:rsid w:val="002769C3"/>
    <w:rsid w:val="0028140B"/>
    <w:rsid w:val="002814FC"/>
    <w:rsid w:val="00281606"/>
    <w:rsid w:val="00282154"/>
    <w:rsid w:val="0028228F"/>
    <w:rsid w:val="00282DEA"/>
    <w:rsid w:val="002836C6"/>
    <w:rsid w:val="002842A8"/>
    <w:rsid w:val="0028538B"/>
    <w:rsid w:val="00287861"/>
    <w:rsid w:val="00287DC5"/>
    <w:rsid w:val="00290881"/>
    <w:rsid w:val="00290A36"/>
    <w:rsid w:val="00290AE6"/>
    <w:rsid w:val="00291243"/>
    <w:rsid w:val="00291CC7"/>
    <w:rsid w:val="00291FA6"/>
    <w:rsid w:val="002933FE"/>
    <w:rsid w:val="00293D8D"/>
    <w:rsid w:val="0029421E"/>
    <w:rsid w:val="00294646"/>
    <w:rsid w:val="00295393"/>
    <w:rsid w:val="002958E5"/>
    <w:rsid w:val="00295B74"/>
    <w:rsid w:val="0029653F"/>
    <w:rsid w:val="00296F91"/>
    <w:rsid w:val="002A04BA"/>
    <w:rsid w:val="002A100F"/>
    <w:rsid w:val="002A1620"/>
    <w:rsid w:val="002A210F"/>
    <w:rsid w:val="002A23CE"/>
    <w:rsid w:val="002A2C43"/>
    <w:rsid w:val="002A4464"/>
    <w:rsid w:val="002A45B5"/>
    <w:rsid w:val="002A46AC"/>
    <w:rsid w:val="002A5BAE"/>
    <w:rsid w:val="002A6334"/>
    <w:rsid w:val="002A64CA"/>
    <w:rsid w:val="002A6655"/>
    <w:rsid w:val="002A712C"/>
    <w:rsid w:val="002A7820"/>
    <w:rsid w:val="002A7ADC"/>
    <w:rsid w:val="002A7EA5"/>
    <w:rsid w:val="002B01D8"/>
    <w:rsid w:val="002B089A"/>
    <w:rsid w:val="002B1116"/>
    <w:rsid w:val="002B159A"/>
    <w:rsid w:val="002B1665"/>
    <w:rsid w:val="002B166A"/>
    <w:rsid w:val="002B2006"/>
    <w:rsid w:val="002B27D8"/>
    <w:rsid w:val="002B2F54"/>
    <w:rsid w:val="002B426E"/>
    <w:rsid w:val="002B45B0"/>
    <w:rsid w:val="002B48BB"/>
    <w:rsid w:val="002B5EA4"/>
    <w:rsid w:val="002B68E3"/>
    <w:rsid w:val="002B7349"/>
    <w:rsid w:val="002B767D"/>
    <w:rsid w:val="002B7D7E"/>
    <w:rsid w:val="002B7DCA"/>
    <w:rsid w:val="002C0050"/>
    <w:rsid w:val="002C02E2"/>
    <w:rsid w:val="002C05B9"/>
    <w:rsid w:val="002C0E77"/>
    <w:rsid w:val="002C1543"/>
    <w:rsid w:val="002C2785"/>
    <w:rsid w:val="002C2DAE"/>
    <w:rsid w:val="002C2FF2"/>
    <w:rsid w:val="002C3466"/>
    <w:rsid w:val="002C346F"/>
    <w:rsid w:val="002C3926"/>
    <w:rsid w:val="002C4549"/>
    <w:rsid w:val="002C489F"/>
    <w:rsid w:val="002C5300"/>
    <w:rsid w:val="002C720B"/>
    <w:rsid w:val="002C732A"/>
    <w:rsid w:val="002C7A9F"/>
    <w:rsid w:val="002C7C74"/>
    <w:rsid w:val="002D2932"/>
    <w:rsid w:val="002D333E"/>
    <w:rsid w:val="002D409E"/>
    <w:rsid w:val="002D43E9"/>
    <w:rsid w:val="002D5018"/>
    <w:rsid w:val="002D52C3"/>
    <w:rsid w:val="002D61C1"/>
    <w:rsid w:val="002E06CC"/>
    <w:rsid w:val="002E1002"/>
    <w:rsid w:val="002E140F"/>
    <w:rsid w:val="002E1635"/>
    <w:rsid w:val="002E3773"/>
    <w:rsid w:val="002E3E8C"/>
    <w:rsid w:val="002E487F"/>
    <w:rsid w:val="002E52A7"/>
    <w:rsid w:val="002E584D"/>
    <w:rsid w:val="002E68C5"/>
    <w:rsid w:val="002E73F0"/>
    <w:rsid w:val="002E7CD2"/>
    <w:rsid w:val="002F076E"/>
    <w:rsid w:val="002F0A3F"/>
    <w:rsid w:val="002F33EE"/>
    <w:rsid w:val="002F4074"/>
    <w:rsid w:val="002F456E"/>
    <w:rsid w:val="002F50B4"/>
    <w:rsid w:val="002F5366"/>
    <w:rsid w:val="002F59DB"/>
    <w:rsid w:val="002F7B32"/>
    <w:rsid w:val="00302D21"/>
    <w:rsid w:val="003036D0"/>
    <w:rsid w:val="003043C7"/>
    <w:rsid w:val="0030464E"/>
    <w:rsid w:val="00306209"/>
    <w:rsid w:val="00307959"/>
    <w:rsid w:val="00310035"/>
    <w:rsid w:val="003104A4"/>
    <w:rsid w:val="003105BC"/>
    <w:rsid w:val="00310839"/>
    <w:rsid w:val="00310AE3"/>
    <w:rsid w:val="00311394"/>
    <w:rsid w:val="00311949"/>
    <w:rsid w:val="00312281"/>
    <w:rsid w:val="003133F2"/>
    <w:rsid w:val="00314476"/>
    <w:rsid w:val="00315A06"/>
    <w:rsid w:val="00316150"/>
    <w:rsid w:val="00316C3D"/>
    <w:rsid w:val="0031763F"/>
    <w:rsid w:val="00317AE3"/>
    <w:rsid w:val="00317F29"/>
    <w:rsid w:val="00321381"/>
    <w:rsid w:val="003213F8"/>
    <w:rsid w:val="0032161B"/>
    <w:rsid w:val="003221AC"/>
    <w:rsid w:val="0032264E"/>
    <w:rsid w:val="00322A73"/>
    <w:rsid w:val="00323ACE"/>
    <w:rsid w:val="00323D4D"/>
    <w:rsid w:val="00324316"/>
    <w:rsid w:val="0032495B"/>
    <w:rsid w:val="00324E1E"/>
    <w:rsid w:val="00325685"/>
    <w:rsid w:val="003260E2"/>
    <w:rsid w:val="00332065"/>
    <w:rsid w:val="0033231A"/>
    <w:rsid w:val="0033332F"/>
    <w:rsid w:val="003335DC"/>
    <w:rsid w:val="0033488F"/>
    <w:rsid w:val="00334D5C"/>
    <w:rsid w:val="00336411"/>
    <w:rsid w:val="00336961"/>
    <w:rsid w:val="00337DBC"/>
    <w:rsid w:val="0034003B"/>
    <w:rsid w:val="00341268"/>
    <w:rsid w:val="00341836"/>
    <w:rsid w:val="00343495"/>
    <w:rsid w:val="0034369D"/>
    <w:rsid w:val="003439A9"/>
    <w:rsid w:val="00346116"/>
    <w:rsid w:val="00346229"/>
    <w:rsid w:val="00346796"/>
    <w:rsid w:val="00346B30"/>
    <w:rsid w:val="003473A0"/>
    <w:rsid w:val="00347BA1"/>
    <w:rsid w:val="00351F00"/>
    <w:rsid w:val="00352A27"/>
    <w:rsid w:val="00352C9C"/>
    <w:rsid w:val="00354486"/>
    <w:rsid w:val="003547AB"/>
    <w:rsid w:val="00354A83"/>
    <w:rsid w:val="00354C14"/>
    <w:rsid w:val="00354C20"/>
    <w:rsid w:val="00354F55"/>
    <w:rsid w:val="00356920"/>
    <w:rsid w:val="00361F5F"/>
    <w:rsid w:val="003623A2"/>
    <w:rsid w:val="00363B61"/>
    <w:rsid w:val="0036434D"/>
    <w:rsid w:val="00364C4C"/>
    <w:rsid w:val="0036646F"/>
    <w:rsid w:val="00367CF2"/>
    <w:rsid w:val="003716F6"/>
    <w:rsid w:val="00371FAA"/>
    <w:rsid w:val="00372861"/>
    <w:rsid w:val="00373851"/>
    <w:rsid w:val="00373A34"/>
    <w:rsid w:val="00373CD5"/>
    <w:rsid w:val="00374E19"/>
    <w:rsid w:val="0037683A"/>
    <w:rsid w:val="00377621"/>
    <w:rsid w:val="0038052F"/>
    <w:rsid w:val="0038318D"/>
    <w:rsid w:val="00384E9B"/>
    <w:rsid w:val="00386840"/>
    <w:rsid w:val="003869E6"/>
    <w:rsid w:val="00386F87"/>
    <w:rsid w:val="00390DC2"/>
    <w:rsid w:val="0039577B"/>
    <w:rsid w:val="003957ED"/>
    <w:rsid w:val="00395C06"/>
    <w:rsid w:val="00396921"/>
    <w:rsid w:val="003975EB"/>
    <w:rsid w:val="00397C8D"/>
    <w:rsid w:val="003A2BB1"/>
    <w:rsid w:val="003A3719"/>
    <w:rsid w:val="003A425E"/>
    <w:rsid w:val="003A426B"/>
    <w:rsid w:val="003A42AE"/>
    <w:rsid w:val="003A4838"/>
    <w:rsid w:val="003A5827"/>
    <w:rsid w:val="003A61D4"/>
    <w:rsid w:val="003A6757"/>
    <w:rsid w:val="003A7255"/>
    <w:rsid w:val="003A78EE"/>
    <w:rsid w:val="003B0B8F"/>
    <w:rsid w:val="003B2786"/>
    <w:rsid w:val="003B2AD4"/>
    <w:rsid w:val="003B2B00"/>
    <w:rsid w:val="003B32A1"/>
    <w:rsid w:val="003B3A33"/>
    <w:rsid w:val="003B413B"/>
    <w:rsid w:val="003B6E68"/>
    <w:rsid w:val="003B7709"/>
    <w:rsid w:val="003B77EA"/>
    <w:rsid w:val="003B7835"/>
    <w:rsid w:val="003C0738"/>
    <w:rsid w:val="003C0A90"/>
    <w:rsid w:val="003C21DA"/>
    <w:rsid w:val="003C3183"/>
    <w:rsid w:val="003C3A49"/>
    <w:rsid w:val="003C48E9"/>
    <w:rsid w:val="003C5267"/>
    <w:rsid w:val="003C5F8F"/>
    <w:rsid w:val="003C61B5"/>
    <w:rsid w:val="003C635B"/>
    <w:rsid w:val="003C6A19"/>
    <w:rsid w:val="003C784D"/>
    <w:rsid w:val="003D1A96"/>
    <w:rsid w:val="003D2366"/>
    <w:rsid w:val="003D25E4"/>
    <w:rsid w:val="003D44BA"/>
    <w:rsid w:val="003D4926"/>
    <w:rsid w:val="003D4DA7"/>
    <w:rsid w:val="003D500E"/>
    <w:rsid w:val="003D5C2D"/>
    <w:rsid w:val="003D6D1C"/>
    <w:rsid w:val="003D74EB"/>
    <w:rsid w:val="003D7CCB"/>
    <w:rsid w:val="003E20E0"/>
    <w:rsid w:val="003E2A83"/>
    <w:rsid w:val="003E506F"/>
    <w:rsid w:val="003E69A4"/>
    <w:rsid w:val="003E72FA"/>
    <w:rsid w:val="003E7B38"/>
    <w:rsid w:val="003F0B8D"/>
    <w:rsid w:val="003F1786"/>
    <w:rsid w:val="003F1C16"/>
    <w:rsid w:val="003F2438"/>
    <w:rsid w:val="003F2D3B"/>
    <w:rsid w:val="003F2F6F"/>
    <w:rsid w:val="003F3813"/>
    <w:rsid w:val="003F3D1B"/>
    <w:rsid w:val="003F4108"/>
    <w:rsid w:val="003F4D0F"/>
    <w:rsid w:val="003F4EE0"/>
    <w:rsid w:val="003F5C41"/>
    <w:rsid w:val="003F6261"/>
    <w:rsid w:val="003F7297"/>
    <w:rsid w:val="003F775E"/>
    <w:rsid w:val="003F7F54"/>
    <w:rsid w:val="00400E95"/>
    <w:rsid w:val="00401E3C"/>
    <w:rsid w:val="0040297B"/>
    <w:rsid w:val="0040305A"/>
    <w:rsid w:val="0040449E"/>
    <w:rsid w:val="0040497A"/>
    <w:rsid w:val="00404FAB"/>
    <w:rsid w:val="00405E5B"/>
    <w:rsid w:val="00406EC7"/>
    <w:rsid w:val="0041056D"/>
    <w:rsid w:val="004109C2"/>
    <w:rsid w:val="00411126"/>
    <w:rsid w:val="004111B8"/>
    <w:rsid w:val="0041278D"/>
    <w:rsid w:val="00413A8B"/>
    <w:rsid w:val="00413FD8"/>
    <w:rsid w:val="00414919"/>
    <w:rsid w:val="00414B62"/>
    <w:rsid w:val="0041687E"/>
    <w:rsid w:val="0041785C"/>
    <w:rsid w:val="00417889"/>
    <w:rsid w:val="004179F5"/>
    <w:rsid w:val="00417B4A"/>
    <w:rsid w:val="00422018"/>
    <w:rsid w:val="00422358"/>
    <w:rsid w:val="00422C20"/>
    <w:rsid w:val="0042412F"/>
    <w:rsid w:val="0042454E"/>
    <w:rsid w:val="00424858"/>
    <w:rsid w:val="00425BA9"/>
    <w:rsid w:val="00425E08"/>
    <w:rsid w:val="004262F9"/>
    <w:rsid w:val="0042746B"/>
    <w:rsid w:val="00430745"/>
    <w:rsid w:val="00430835"/>
    <w:rsid w:val="00430DDB"/>
    <w:rsid w:val="004311D5"/>
    <w:rsid w:val="00431CA7"/>
    <w:rsid w:val="00432028"/>
    <w:rsid w:val="00433183"/>
    <w:rsid w:val="0043361C"/>
    <w:rsid w:val="00433D1A"/>
    <w:rsid w:val="00434211"/>
    <w:rsid w:val="0043480F"/>
    <w:rsid w:val="004402CE"/>
    <w:rsid w:val="004405A6"/>
    <w:rsid w:val="00441D02"/>
    <w:rsid w:val="00442959"/>
    <w:rsid w:val="00443FD2"/>
    <w:rsid w:val="004446D2"/>
    <w:rsid w:val="00447453"/>
    <w:rsid w:val="00450BDB"/>
    <w:rsid w:val="0045375B"/>
    <w:rsid w:val="00453BE1"/>
    <w:rsid w:val="00454E95"/>
    <w:rsid w:val="00457F3D"/>
    <w:rsid w:val="004605F9"/>
    <w:rsid w:val="00460CD2"/>
    <w:rsid w:val="00462446"/>
    <w:rsid w:val="004625C9"/>
    <w:rsid w:val="004628FF"/>
    <w:rsid w:val="004629E8"/>
    <w:rsid w:val="00464CC8"/>
    <w:rsid w:val="00467789"/>
    <w:rsid w:val="00467AB7"/>
    <w:rsid w:val="00467C9D"/>
    <w:rsid w:val="00470340"/>
    <w:rsid w:val="004718D9"/>
    <w:rsid w:val="00471A0D"/>
    <w:rsid w:val="00473033"/>
    <w:rsid w:val="0047306F"/>
    <w:rsid w:val="00473F78"/>
    <w:rsid w:val="00474101"/>
    <w:rsid w:val="00474272"/>
    <w:rsid w:val="0047510E"/>
    <w:rsid w:val="00475B8C"/>
    <w:rsid w:val="00475E27"/>
    <w:rsid w:val="004775E6"/>
    <w:rsid w:val="00477885"/>
    <w:rsid w:val="00477E82"/>
    <w:rsid w:val="00481979"/>
    <w:rsid w:val="004841AF"/>
    <w:rsid w:val="00484A6C"/>
    <w:rsid w:val="00484BBC"/>
    <w:rsid w:val="004851B1"/>
    <w:rsid w:val="00486711"/>
    <w:rsid w:val="00486AB7"/>
    <w:rsid w:val="00486E82"/>
    <w:rsid w:val="00487FAD"/>
    <w:rsid w:val="00491A84"/>
    <w:rsid w:val="00491FAD"/>
    <w:rsid w:val="0049234F"/>
    <w:rsid w:val="004925F9"/>
    <w:rsid w:val="00493DFB"/>
    <w:rsid w:val="00494274"/>
    <w:rsid w:val="0049467D"/>
    <w:rsid w:val="00495E14"/>
    <w:rsid w:val="00496011"/>
    <w:rsid w:val="00496B0A"/>
    <w:rsid w:val="00496FFF"/>
    <w:rsid w:val="00497810"/>
    <w:rsid w:val="004A1000"/>
    <w:rsid w:val="004A11FC"/>
    <w:rsid w:val="004A15AA"/>
    <w:rsid w:val="004A1AE1"/>
    <w:rsid w:val="004A1AE3"/>
    <w:rsid w:val="004A1CD1"/>
    <w:rsid w:val="004A255C"/>
    <w:rsid w:val="004A2714"/>
    <w:rsid w:val="004A2807"/>
    <w:rsid w:val="004A2CAB"/>
    <w:rsid w:val="004A4084"/>
    <w:rsid w:val="004A6E33"/>
    <w:rsid w:val="004B0926"/>
    <w:rsid w:val="004B0A19"/>
    <w:rsid w:val="004B2074"/>
    <w:rsid w:val="004B26F6"/>
    <w:rsid w:val="004B2E9A"/>
    <w:rsid w:val="004B4C9E"/>
    <w:rsid w:val="004B6F4E"/>
    <w:rsid w:val="004B6F7D"/>
    <w:rsid w:val="004B7BD3"/>
    <w:rsid w:val="004C056B"/>
    <w:rsid w:val="004C12D0"/>
    <w:rsid w:val="004C1842"/>
    <w:rsid w:val="004C262A"/>
    <w:rsid w:val="004C321A"/>
    <w:rsid w:val="004C3B59"/>
    <w:rsid w:val="004C4603"/>
    <w:rsid w:val="004C494A"/>
    <w:rsid w:val="004C6060"/>
    <w:rsid w:val="004C647A"/>
    <w:rsid w:val="004C6D0A"/>
    <w:rsid w:val="004C72CC"/>
    <w:rsid w:val="004D000C"/>
    <w:rsid w:val="004D0B44"/>
    <w:rsid w:val="004D0BA6"/>
    <w:rsid w:val="004D1471"/>
    <w:rsid w:val="004D1722"/>
    <w:rsid w:val="004D4079"/>
    <w:rsid w:val="004D4758"/>
    <w:rsid w:val="004D4A4A"/>
    <w:rsid w:val="004D4E92"/>
    <w:rsid w:val="004D58AF"/>
    <w:rsid w:val="004D5AF6"/>
    <w:rsid w:val="004D650B"/>
    <w:rsid w:val="004D65B9"/>
    <w:rsid w:val="004D6899"/>
    <w:rsid w:val="004E07C9"/>
    <w:rsid w:val="004E1A06"/>
    <w:rsid w:val="004E22AF"/>
    <w:rsid w:val="004E29AF"/>
    <w:rsid w:val="004E4DA3"/>
    <w:rsid w:val="004E615C"/>
    <w:rsid w:val="004E69DB"/>
    <w:rsid w:val="004E79DA"/>
    <w:rsid w:val="004E7BC6"/>
    <w:rsid w:val="004F02E2"/>
    <w:rsid w:val="004F0876"/>
    <w:rsid w:val="004F27F6"/>
    <w:rsid w:val="004F3DA8"/>
    <w:rsid w:val="004F41C2"/>
    <w:rsid w:val="004F42C2"/>
    <w:rsid w:val="004F4492"/>
    <w:rsid w:val="004F5311"/>
    <w:rsid w:val="004F5A1D"/>
    <w:rsid w:val="004F5B65"/>
    <w:rsid w:val="004F6F0B"/>
    <w:rsid w:val="004F715B"/>
    <w:rsid w:val="004F7524"/>
    <w:rsid w:val="004F79E9"/>
    <w:rsid w:val="004F7D27"/>
    <w:rsid w:val="00500FAB"/>
    <w:rsid w:val="00501053"/>
    <w:rsid w:val="00501CD5"/>
    <w:rsid w:val="00501CFB"/>
    <w:rsid w:val="0050418B"/>
    <w:rsid w:val="005044FB"/>
    <w:rsid w:val="0050450F"/>
    <w:rsid w:val="00505B2B"/>
    <w:rsid w:val="00506223"/>
    <w:rsid w:val="00514770"/>
    <w:rsid w:val="00514AA8"/>
    <w:rsid w:val="005167FA"/>
    <w:rsid w:val="00517984"/>
    <w:rsid w:val="00517BA2"/>
    <w:rsid w:val="00521403"/>
    <w:rsid w:val="00521932"/>
    <w:rsid w:val="00521E1B"/>
    <w:rsid w:val="00522408"/>
    <w:rsid w:val="0052333C"/>
    <w:rsid w:val="005239C7"/>
    <w:rsid w:val="00523B74"/>
    <w:rsid w:val="00523D6A"/>
    <w:rsid w:val="005258E4"/>
    <w:rsid w:val="0052670F"/>
    <w:rsid w:val="0052678C"/>
    <w:rsid w:val="00526AC9"/>
    <w:rsid w:val="005275ED"/>
    <w:rsid w:val="005276CA"/>
    <w:rsid w:val="00527C27"/>
    <w:rsid w:val="00530722"/>
    <w:rsid w:val="00530AD2"/>
    <w:rsid w:val="005317D4"/>
    <w:rsid w:val="0053194E"/>
    <w:rsid w:val="00531C20"/>
    <w:rsid w:val="00534BD8"/>
    <w:rsid w:val="00536902"/>
    <w:rsid w:val="00537769"/>
    <w:rsid w:val="00537B28"/>
    <w:rsid w:val="00537EFE"/>
    <w:rsid w:val="0054095A"/>
    <w:rsid w:val="00541194"/>
    <w:rsid w:val="00541A44"/>
    <w:rsid w:val="00541B53"/>
    <w:rsid w:val="00541C3D"/>
    <w:rsid w:val="00542589"/>
    <w:rsid w:val="00543012"/>
    <w:rsid w:val="00543026"/>
    <w:rsid w:val="00543648"/>
    <w:rsid w:val="00544237"/>
    <w:rsid w:val="00546076"/>
    <w:rsid w:val="00546491"/>
    <w:rsid w:val="005469F6"/>
    <w:rsid w:val="00546AE5"/>
    <w:rsid w:val="00550CEB"/>
    <w:rsid w:val="005511C5"/>
    <w:rsid w:val="00551C53"/>
    <w:rsid w:val="00552A48"/>
    <w:rsid w:val="00553C18"/>
    <w:rsid w:val="00554046"/>
    <w:rsid w:val="005556B5"/>
    <w:rsid w:val="00556893"/>
    <w:rsid w:val="00556AC0"/>
    <w:rsid w:val="00560480"/>
    <w:rsid w:val="00560921"/>
    <w:rsid w:val="00560B8C"/>
    <w:rsid w:val="00560FED"/>
    <w:rsid w:val="005628F2"/>
    <w:rsid w:val="0056317B"/>
    <w:rsid w:val="00563338"/>
    <w:rsid w:val="00564321"/>
    <w:rsid w:val="00564F16"/>
    <w:rsid w:val="0056545E"/>
    <w:rsid w:val="00565FA5"/>
    <w:rsid w:val="0056650F"/>
    <w:rsid w:val="005665CB"/>
    <w:rsid w:val="00567740"/>
    <w:rsid w:val="00570089"/>
    <w:rsid w:val="00570587"/>
    <w:rsid w:val="00570E3F"/>
    <w:rsid w:val="0057159E"/>
    <w:rsid w:val="00571923"/>
    <w:rsid w:val="00572D7E"/>
    <w:rsid w:val="0057312C"/>
    <w:rsid w:val="00573758"/>
    <w:rsid w:val="005737CD"/>
    <w:rsid w:val="00575ED6"/>
    <w:rsid w:val="00575FF9"/>
    <w:rsid w:val="005760C9"/>
    <w:rsid w:val="00577294"/>
    <w:rsid w:val="00577BC4"/>
    <w:rsid w:val="0058282B"/>
    <w:rsid w:val="005843AC"/>
    <w:rsid w:val="005847DB"/>
    <w:rsid w:val="00585478"/>
    <w:rsid w:val="005855FE"/>
    <w:rsid w:val="00586B68"/>
    <w:rsid w:val="00590052"/>
    <w:rsid w:val="005905C5"/>
    <w:rsid w:val="0059091F"/>
    <w:rsid w:val="005919BA"/>
    <w:rsid w:val="0059381B"/>
    <w:rsid w:val="00593B97"/>
    <w:rsid w:val="005A0B65"/>
    <w:rsid w:val="005A1103"/>
    <w:rsid w:val="005A1C99"/>
    <w:rsid w:val="005A2E71"/>
    <w:rsid w:val="005A5398"/>
    <w:rsid w:val="005A5C34"/>
    <w:rsid w:val="005A6434"/>
    <w:rsid w:val="005A690E"/>
    <w:rsid w:val="005A7388"/>
    <w:rsid w:val="005B0AB2"/>
    <w:rsid w:val="005B2124"/>
    <w:rsid w:val="005B27FB"/>
    <w:rsid w:val="005B34B2"/>
    <w:rsid w:val="005B34D2"/>
    <w:rsid w:val="005B3F03"/>
    <w:rsid w:val="005B5FC4"/>
    <w:rsid w:val="005B706A"/>
    <w:rsid w:val="005B7138"/>
    <w:rsid w:val="005C028F"/>
    <w:rsid w:val="005C0B1B"/>
    <w:rsid w:val="005C1D93"/>
    <w:rsid w:val="005C38A2"/>
    <w:rsid w:val="005C457A"/>
    <w:rsid w:val="005C4C1C"/>
    <w:rsid w:val="005C76D8"/>
    <w:rsid w:val="005D00C1"/>
    <w:rsid w:val="005D14FF"/>
    <w:rsid w:val="005D23EA"/>
    <w:rsid w:val="005D3B1D"/>
    <w:rsid w:val="005D43D4"/>
    <w:rsid w:val="005D63D3"/>
    <w:rsid w:val="005E24C2"/>
    <w:rsid w:val="005E2947"/>
    <w:rsid w:val="005E3EB4"/>
    <w:rsid w:val="005E4C06"/>
    <w:rsid w:val="005E6C61"/>
    <w:rsid w:val="005F0228"/>
    <w:rsid w:val="005F0956"/>
    <w:rsid w:val="005F11FE"/>
    <w:rsid w:val="005F3A23"/>
    <w:rsid w:val="005F418F"/>
    <w:rsid w:val="005F41A2"/>
    <w:rsid w:val="005F4E4B"/>
    <w:rsid w:val="005F51DE"/>
    <w:rsid w:val="005F680E"/>
    <w:rsid w:val="005F72A7"/>
    <w:rsid w:val="005F72E5"/>
    <w:rsid w:val="0060071B"/>
    <w:rsid w:val="00600B7F"/>
    <w:rsid w:val="006038F1"/>
    <w:rsid w:val="00604FF6"/>
    <w:rsid w:val="00605092"/>
    <w:rsid w:val="00605407"/>
    <w:rsid w:val="006062C3"/>
    <w:rsid w:val="006062F1"/>
    <w:rsid w:val="006068AB"/>
    <w:rsid w:val="006079E0"/>
    <w:rsid w:val="0061055E"/>
    <w:rsid w:val="00610F70"/>
    <w:rsid w:val="00611EE0"/>
    <w:rsid w:val="00612550"/>
    <w:rsid w:val="006155CF"/>
    <w:rsid w:val="006172F1"/>
    <w:rsid w:val="00617E29"/>
    <w:rsid w:val="006204B5"/>
    <w:rsid w:val="00622649"/>
    <w:rsid w:val="006237BA"/>
    <w:rsid w:val="006248BE"/>
    <w:rsid w:val="00624CAF"/>
    <w:rsid w:val="00624EB5"/>
    <w:rsid w:val="00625837"/>
    <w:rsid w:val="00625BDD"/>
    <w:rsid w:val="0062657E"/>
    <w:rsid w:val="006278DF"/>
    <w:rsid w:val="00631064"/>
    <w:rsid w:val="00631E2C"/>
    <w:rsid w:val="00632700"/>
    <w:rsid w:val="00633228"/>
    <w:rsid w:val="006354BA"/>
    <w:rsid w:val="006354F8"/>
    <w:rsid w:val="006356D0"/>
    <w:rsid w:val="006359D4"/>
    <w:rsid w:val="00635C93"/>
    <w:rsid w:val="00636019"/>
    <w:rsid w:val="0063607A"/>
    <w:rsid w:val="00636415"/>
    <w:rsid w:val="00637874"/>
    <w:rsid w:val="00637B82"/>
    <w:rsid w:val="00637F66"/>
    <w:rsid w:val="00641350"/>
    <w:rsid w:val="00642209"/>
    <w:rsid w:val="00643B53"/>
    <w:rsid w:val="0064405E"/>
    <w:rsid w:val="00644184"/>
    <w:rsid w:val="00644FA4"/>
    <w:rsid w:val="00647987"/>
    <w:rsid w:val="00650B50"/>
    <w:rsid w:val="00651483"/>
    <w:rsid w:val="00651FFC"/>
    <w:rsid w:val="0065242A"/>
    <w:rsid w:val="00652901"/>
    <w:rsid w:val="006535CC"/>
    <w:rsid w:val="006549C0"/>
    <w:rsid w:val="00654CEA"/>
    <w:rsid w:val="006554CD"/>
    <w:rsid w:val="00655F40"/>
    <w:rsid w:val="00656925"/>
    <w:rsid w:val="00660418"/>
    <w:rsid w:val="00660EF2"/>
    <w:rsid w:val="00661524"/>
    <w:rsid w:val="00663BAA"/>
    <w:rsid w:val="00663C24"/>
    <w:rsid w:val="00664F50"/>
    <w:rsid w:val="0066534D"/>
    <w:rsid w:val="00665635"/>
    <w:rsid w:val="00667EFF"/>
    <w:rsid w:val="00671451"/>
    <w:rsid w:val="00671877"/>
    <w:rsid w:val="006724E4"/>
    <w:rsid w:val="00672A26"/>
    <w:rsid w:val="00672FCC"/>
    <w:rsid w:val="00675711"/>
    <w:rsid w:val="006757E2"/>
    <w:rsid w:val="00676458"/>
    <w:rsid w:val="006765C5"/>
    <w:rsid w:val="00676730"/>
    <w:rsid w:val="006767B7"/>
    <w:rsid w:val="00676C41"/>
    <w:rsid w:val="00676D70"/>
    <w:rsid w:val="0067705A"/>
    <w:rsid w:val="006777C4"/>
    <w:rsid w:val="00680F88"/>
    <w:rsid w:val="006811C9"/>
    <w:rsid w:val="006815BE"/>
    <w:rsid w:val="00681804"/>
    <w:rsid w:val="00682634"/>
    <w:rsid w:val="00682C09"/>
    <w:rsid w:val="00683A0B"/>
    <w:rsid w:val="00683C2C"/>
    <w:rsid w:val="00683F42"/>
    <w:rsid w:val="006849E6"/>
    <w:rsid w:val="00684B16"/>
    <w:rsid w:val="0068506F"/>
    <w:rsid w:val="00685087"/>
    <w:rsid w:val="00685779"/>
    <w:rsid w:val="00686045"/>
    <w:rsid w:val="00686F24"/>
    <w:rsid w:val="00687118"/>
    <w:rsid w:val="00692154"/>
    <w:rsid w:val="00692FF3"/>
    <w:rsid w:val="00693232"/>
    <w:rsid w:val="0069331D"/>
    <w:rsid w:val="006975CB"/>
    <w:rsid w:val="006A020F"/>
    <w:rsid w:val="006A1C07"/>
    <w:rsid w:val="006A38DA"/>
    <w:rsid w:val="006A55EB"/>
    <w:rsid w:val="006A56C0"/>
    <w:rsid w:val="006A5A9D"/>
    <w:rsid w:val="006A5B30"/>
    <w:rsid w:val="006A5C05"/>
    <w:rsid w:val="006A5CC7"/>
    <w:rsid w:val="006A6B3A"/>
    <w:rsid w:val="006B0C3D"/>
    <w:rsid w:val="006B17ED"/>
    <w:rsid w:val="006B2C09"/>
    <w:rsid w:val="006B3265"/>
    <w:rsid w:val="006B4678"/>
    <w:rsid w:val="006B5738"/>
    <w:rsid w:val="006B5794"/>
    <w:rsid w:val="006B5C6A"/>
    <w:rsid w:val="006B615A"/>
    <w:rsid w:val="006B67CE"/>
    <w:rsid w:val="006B7478"/>
    <w:rsid w:val="006B7644"/>
    <w:rsid w:val="006C0B54"/>
    <w:rsid w:val="006C1313"/>
    <w:rsid w:val="006C17C9"/>
    <w:rsid w:val="006C3BAD"/>
    <w:rsid w:val="006C3FD4"/>
    <w:rsid w:val="006C5685"/>
    <w:rsid w:val="006C684F"/>
    <w:rsid w:val="006D00C8"/>
    <w:rsid w:val="006D05B2"/>
    <w:rsid w:val="006D0A1B"/>
    <w:rsid w:val="006D0A47"/>
    <w:rsid w:val="006D12A5"/>
    <w:rsid w:val="006D1361"/>
    <w:rsid w:val="006D17FA"/>
    <w:rsid w:val="006D28C3"/>
    <w:rsid w:val="006D325C"/>
    <w:rsid w:val="006D4A66"/>
    <w:rsid w:val="006D6498"/>
    <w:rsid w:val="006D654A"/>
    <w:rsid w:val="006D6630"/>
    <w:rsid w:val="006D7EA0"/>
    <w:rsid w:val="006E1F3D"/>
    <w:rsid w:val="006E27D4"/>
    <w:rsid w:val="006E3160"/>
    <w:rsid w:val="006E325B"/>
    <w:rsid w:val="006E396B"/>
    <w:rsid w:val="006E43FD"/>
    <w:rsid w:val="006E5668"/>
    <w:rsid w:val="006E5E1B"/>
    <w:rsid w:val="006E6969"/>
    <w:rsid w:val="006E6BC1"/>
    <w:rsid w:val="006E71CB"/>
    <w:rsid w:val="006E73CD"/>
    <w:rsid w:val="006E7CE6"/>
    <w:rsid w:val="006F1A67"/>
    <w:rsid w:val="006F2555"/>
    <w:rsid w:val="006F27C1"/>
    <w:rsid w:val="006F3E62"/>
    <w:rsid w:val="006F4B88"/>
    <w:rsid w:val="006F6FAF"/>
    <w:rsid w:val="006F7822"/>
    <w:rsid w:val="006F7AFF"/>
    <w:rsid w:val="00700E6C"/>
    <w:rsid w:val="00701B1A"/>
    <w:rsid w:val="0070334B"/>
    <w:rsid w:val="007037C4"/>
    <w:rsid w:val="00703E23"/>
    <w:rsid w:val="00704D4F"/>
    <w:rsid w:val="00707ABF"/>
    <w:rsid w:val="00707C34"/>
    <w:rsid w:val="00711F07"/>
    <w:rsid w:val="0071202C"/>
    <w:rsid w:val="00714D19"/>
    <w:rsid w:val="00720601"/>
    <w:rsid w:val="00720A69"/>
    <w:rsid w:val="00721CE1"/>
    <w:rsid w:val="00722C35"/>
    <w:rsid w:val="00723C46"/>
    <w:rsid w:val="00723DF3"/>
    <w:rsid w:val="007245C5"/>
    <w:rsid w:val="0072537D"/>
    <w:rsid w:val="00725E7D"/>
    <w:rsid w:val="00726B4B"/>
    <w:rsid w:val="00726F21"/>
    <w:rsid w:val="007271C9"/>
    <w:rsid w:val="007271F7"/>
    <w:rsid w:val="0072799F"/>
    <w:rsid w:val="00730034"/>
    <w:rsid w:val="00730501"/>
    <w:rsid w:val="00731FAE"/>
    <w:rsid w:val="007325A8"/>
    <w:rsid w:val="00732E36"/>
    <w:rsid w:val="007336C9"/>
    <w:rsid w:val="00733F63"/>
    <w:rsid w:val="00734532"/>
    <w:rsid w:val="007354B3"/>
    <w:rsid w:val="00735BB0"/>
    <w:rsid w:val="00735D62"/>
    <w:rsid w:val="0073765C"/>
    <w:rsid w:val="00737788"/>
    <w:rsid w:val="0074237C"/>
    <w:rsid w:val="00743019"/>
    <w:rsid w:val="00743278"/>
    <w:rsid w:val="007441E0"/>
    <w:rsid w:val="0074526C"/>
    <w:rsid w:val="0074697F"/>
    <w:rsid w:val="00746CAE"/>
    <w:rsid w:val="007502DC"/>
    <w:rsid w:val="0075052E"/>
    <w:rsid w:val="00751344"/>
    <w:rsid w:val="00753382"/>
    <w:rsid w:val="00755099"/>
    <w:rsid w:val="00757487"/>
    <w:rsid w:val="007578F9"/>
    <w:rsid w:val="0076041C"/>
    <w:rsid w:val="00760A40"/>
    <w:rsid w:val="00761786"/>
    <w:rsid w:val="0076232B"/>
    <w:rsid w:val="00762F60"/>
    <w:rsid w:val="007638B5"/>
    <w:rsid w:val="007654BC"/>
    <w:rsid w:val="0076615E"/>
    <w:rsid w:val="007728E6"/>
    <w:rsid w:val="007732FB"/>
    <w:rsid w:val="007733A2"/>
    <w:rsid w:val="00773638"/>
    <w:rsid w:val="00773A84"/>
    <w:rsid w:val="00774335"/>
    <w:rsid w:val="007754CD"/>
    <w:rsid w:val="00775624"/>
    <w:rsid w:val="00776E61"/>
    <w:rsid w:val="00777ECC"/>
    <w:rsid w:val="0078143F"/>
    <w:rsid w:val="00781E82"/>
    <w:rsid w:val="007823F5"/>
    <w:rsid w:val="00782B12"/>
    <w:rsid w:val="007835FA"/>
    <w:rsid w:val="007843A6"/>
    <w:rsid w:val="00785BE7"/>
    <w:rsid w:val="00787071"/>
    <w:rsid w:val="00787834"/>
    <w:rsid w:val="007902D7"/>
    <w:rsid w:val="007910E8"/>
    <w:rsid w:val="007914B1"/>
    <w:rsid w:val="007914C4"/>
    <w:rsid w:val="007916A6"/>
    <w:rsid w:val="00791AAB"/>
    <w:rsid w:val="00792525"/>
    <w:rsid w:val="007927BF"/>
    <w:rsid w:val="00792E8C"/>
    <w:rsid w:val="00793B4E"/>
    <w:rsid w:val="0079435C"/>
    <w:rsid w:val="0079563C"/>
    <w:rsid w:val="00796386"/>
    <w:rsid w:val="007963FA"/>
    <w:rsid w:val="00797985"/>
    <w:rsid w:val="007A01AD"/>
    <w:rsid w:val="007A0337"/>
    <w:rsid w:val="007A20DD"/>
    <w:rsid w:val="007A2192"/>
    <w:rsid w:val="007A2DDC"/>
    <w:rsid w:val="007A390D"/>
    <w:rsid w:val="007A3BF5"/>
    <w:rsid w:val="007A4FC6"/>
    <w:rsid w:val="007A7736"/>
    <w:rsid w:val="007B024A"/>
    <w:rsid w:val="007B0612"/>
    <w:rsid w:val="007B090A"/>
    <w:rsid w:val="007B1245"/>
    <w:rsid w:val="007B1584"/>
    <w:rsid w:val="007B1E67"/>
    <w:rsid w:val="007B2EBD"/>
    <w:rsid w:val="007B3028"/>
    <w:rsid w:val="007B4CEA"/>
    <w:rsid w:val="007B4FE7"/>
    <w:rsid w:val="007B61B4"/>
    <w:rsid w:val="007B6A5E"/>
    <w:rsid w:val="007C1B05"/>
    <w:rsid w:val="007C25F6"/>
    <w:rsid w:val="007C315F"/>
    <w:rsid w:val="007C33FC"/>
    <w:rsid w:val="007C356B"/>
    <w:rsid w:val="007C4867"/>
    <w:rsid w:val="007C6348"/>
    <w:rsid w:val="007D0703"/>
    <w:rsid w:val="007D19AC"/>
    <w:rsid w:val="007D2B34"/>
    <w:rsid w:val="007D2FB4"/>
    <w:rsid w:val="007D6E61"/>
    <w:rsid w:val="007D7597"/>
    <w:rsid w:val="007D78A1"/>
    <w:rsid w:val="007D7A4A"/>
    <w:rsid w:val="007D7A5C"/>
    <w:rsid w:val="007D7EDC"/>
    <w:rsid w:val="007E24CA"/>
    <w:rsid w:val="007E4F5A"/>
    <w:rsid w:val="007E5878"/>
    <w:rsid w:val="007E75CF"/>
    <w:rsid w:val="007E773D"/>
    <w:rsid w:val="007F0653"/>
    <w:rsid w:val="007F10FE"/>
    <w:rsid w:val="007F1939"/>
    <w:rsid w:val="007F2441"/>
    <w:rsid w:val="007F3B1C"/>
    <w:rsid w:val="007F3CD9"/>
    <w:rsid w:val="007F4171"/>
    <w:rsid w:val="007F42A4"/>
    <w:rsid w:val="007F6004"/>
    <w:rsid w:val="007F638B"/>
    <w:rsid w:val="007F63A6"/>
    <w:rsid w:val="007F6633"/>
    <w:rsid w:val="007F6C8F"/>
    <w:rsid w:val="007F7729"/>
    <w:rsid w:val="00800893"/>
    <w:rsid w:val="0080097F"/>
    <w:rsid w:val="00800FB2"/>
    <w:rsid w:val="00801650"/>
    <w:rsid w:val="00802CE3"/>
    <w:rsid w:val="00804E26"/>
    <w:rsid w:val="00805DB4"/>
    <w:rsid w:val="00805F98"/>
    <w:rsid w:val="008063B2"/>
    <w:rsid w:val="008064C0"/>
    <w:rsid w:val="00807163"/>
    <w:rsid w:val="008119A9"/>
    <w:rsid w:val="00812CAB"/>
    <w:rsid w:val="008138FB"/>
    <w:rsid w:val="00813D4E"/>
    <w:rsid w:val="008155BF"/>
    <w:rsid w:val="00815D1E"/>
    <w:rsid w:val="00816332"/>
    <w:rsid w:val="0081665C"/>
    <w:rsid w:val="00816A7D"/>
    <w:rsid w:val="00816E8A"/>
    <w:rsid w:val="008172A7"/>
    <w:rsid w:val="00817D48"/>
    <w:rsid w:val="00817EF6"/>
    <w:rsid w:val="00820851"/>
    <w:rsid w:val="00820A88"/>
    <w:rsid w:val="00820D73"/>
    <w:rsid w:val="00821749"/>
    <w:rsid w:val="008219A5"/>
    <w:rsid w:val="00822950"/>
    <w:rsid w:val="00823645"/>
    <w:rsid w:val="0082413D"/>
    <w:rsid w:val="0082424E"/>
    <w:rsid w:val="008246BA"/>
    <w:rsid w:val="00825F63"/>
    <w:rsid w:val="00826954"/>
    <w:rsid w:val="008270D9"/>
    <w:rsid w:val="008301F3"/>
    <w:rsid w:val="008304E3"/>
    <w:rsid w:val="0083060A"/>
    <w:rsid w:val="0083061F"/>
    <w:rsid w:val="00830815"/>
    <w:rsid w:val="008321F8"/>
    <w:rsid w:val="00832721"/>
    <w:rsid w:val="00832767"/>
    <w:rsid w:val="00832A10"/>
    <w:rsid w:val="00833003"/>
    <w:rsid w:val="00833A8B"/>
    <w:rsid w:val="008340E4"/>
    <w:rsid w:val="0083414B"/>
    <w:rsid w:val="00834582"/>
    <w:rsid w:val="00834FA3"/>
    <w:rsid w:val="0083562E"/>
    <w:rsid w:val="00836306"/>
    <w:rsid w:val="008363A5"/>
    <w:rsid w:val="00840ECA"/>
    <w:rsid w:val="00840EEE"/>
    <w:rsid w:val="00841972"/>
    <w:rsid w:val="00841F6E"/>
    <w:rsid w:val="008452AE"/>
    <w:rsid w:val="0084530C"/>
    <w:rsid w:val="00846C56"/>
    <w:rsid w:val="008470C2"/>
    <w:rsid w:val="00847AD9"/>
    <w:rsid w:val="00847E6E"/>
    <w:rsid w:val="00850EFB"/>
    <w:rsid w:val="00851650"/>
    <w:rsid w:val="00851D27"/>
    <w:rsid w:val="0085212E"/>
    <w:rsid w:val="00853169"/>
    <w:rsid w:val="00853E6C"/>
    <w:rsid w:val="008543A9"/>
    <w:rsid w:val="0085441F"/>
    <w:rsid w:val="00855BBA"/>
    <w:rsid w:val="00855ECB"/>
    <w:rsid w:val="008603C7"/>
    <w:rsid w:val="00860829"/>
    <w:rsid w:val="00860A2C"/>
    <w:rsid w:val="00860E1B"/>
    <w:rsid w:val="008612C0"/>
    <w:rsid w:val="0086254E"/>
    <w:rsid w:val="00863165"/>
    <w:rsid w:val="008639DE"/>
    <w:rsid w:val="00863BA6"/>
    <w:rsid w:val="00864403"/>
    <w:rsid w:val="00864D58"/>
    <w:rsid w:val="00865A36"/>
    <w:rsid w:val="00866298"/>
    <w:rsid w:val="00866A62"/>
    <w:rsid w:val="00866B2B"/>
    <w:rsid w:val="0086771B"/>
    <w:rsid w:val="00867780"/>
    <w:rsid w:val="008704DC"/>
    <w:rsid w:val="008706C8"/>
    <w:rsid w:val="00870799"/>
    <w:rsid w:val="008708E3"/>
    <w:rsid w:val="00870AB1"/>
    <w:rsid w:val="00870C8B"/>
    <w:rsid w:val="00871F3A"/>
    <w:rsid w:val="00873366"/>
    <w:rsid w:val="00873C90"/>
    <w:rsid w:val="00873FA2"/>
    <w:rsid w:val="0087468B"/>
    <w:rsid w:val="00874FFD"/>
    <w:rsid w:val="0087699B"/>
    <w:rsid w:val="0087764D"/>
    <w:rsid w:val="00877BA5"/>
    <w:rsid w:val="00877BC0"/>
    <w:rsid w:val="008805CC"/>
    <w:rsid w:val="00880730"/>
    <w:rsid w:val="008810C1"/>
    <w:rsid w:val="008810DD"/>
    <w:rsid w:val="008817D1"/>
    <w:rsid w:val="00881A01"/>
    <w:rsid w:val="00881CA9"/>
    <w:rsid w:val="00881DF1"/>
    <w:rsid w:val="00882696"/>
    <w:rsid w:val="00882849"/>
    <w:rsid w:val="00882A34"/>
    <w:rsid w:val="00883439"/>
    <w:rsid w:val="00883A80"/>
    <w:rsid w:val="008857FC"/>
    <w:rsid w:val="008864ED"/>
    <w:rsid w:val="00887AF8"/>
    <w:rsid w:val="00887D2C"/>
    <w:rsid w:val="00890144"/>
    <w:rsid w:val="00890436"/>
    <w:rsid w:val="00890D68"/>
    <w:rsid w:val="0089146B"/>
    <w:rsid w:val="00892AC6"/>
    <w:rsid w:val="00892C08"/>
    <w:rsid w:val="0089313D"/>
    <w:rsid w:val="00894A11"/>
    <w:rsid w:val="0089735D"/>
    <w:rsid w:val="008A00F1"/>
    <w:rsid w:val="008A0470"/>
    <w:rsid w:val="008A0743"/>
    <w:rsid w:val="008A0BBA"/>
    <w:rsid w:val="008A0FE8"/>
    <w:rsid w:val="008A1FFA"/>
    <w:rsid w:val="008A504D"/>
    <w:rsid w:val="008A57F4"/>
    <w:rsid w:val="008A59FB"/>
    <w:rsid w:val="008A65A9"/>
    <w:rsid w:val="008B0756"/>
    <w:rsid w:val="008B1AE2"/>
    <w:rsid w:val="008B260F"/>
    <w:rsid w:val="008B461F"/>
    <w:rsid w:val="008B6AAC"/>
    <w:rsid w:val="008B6C66"/>
    <w:rsid w:val="008B7000"/>
    <w:rsid w:val="008B7F0C"/>
    <w:rsid w:val="008C1879"/>
    <w:rsid w:val="008C2163"/>
    <w:rsid w:val="008C3B52"/>
    <w:rsid w:val="008C4248"/>
    <w:rsid w:val="008C53FE"/>
    <w:rsid w:val="008C54FC"/>
    <w:rsid w:val="008C5564"/>
    <w:rsid w:val="008C575F"/>
    <w:rsid w:val="008C61A3"/>
    <w:rsid w:val="008C6596"/>
    <w:rsid w:val="008C69EC"/>
    <w:rsid w:val="008C7A30"/>
    <w:rsid w:val="008C7CF0"/>
    <w:rsid w:val="008D051A"/>
    <w:rsid w:val="008D0746"/>
    <w:rsid w:val="008D1BAE"/>
    <w:rsid w:val="008D22EF"/>
    <w:rsid w:val="008D265C"/>
    <w:rsid w:val="008D410D"/>
    <w:rsid w:val="008D41F2"/>
    <w:rsid w:val="008D42BA"/>
    <w:rsid w:val="008D4417"/>
    <w:rsid w:val="008D4BEA"/>
    <w:rsid w:val="008D4FFA"/>
    <w:rsid w:val="008D55DF"/>
    <w:rsid w:val="008D5F88"/>
    <w:rsid w:val="008D6F28"/>
    <w:rsid w:val="008D785B"/>
    <w:rsid w:val="008D7DDF"/>
    <w:rsid w:val="008E0392"/>
    <w:rsid w:val="008E1547"/>
    <w:rsid w:val="008E3770"/>
    <w:rsid w:val="008E4014"/>
    <w:rsid w:val="008E53FD"/>
    <w:rsid w:val="008E60BE"/>
    <w:rsid w:val="008E653A"/>
    <w:rsid w:val="008E659B"/>
    <w:rsid w:val="008E7613"/>
    <w:rsid w:val="008F02B0"/>
    <w:rsid w:val="008F170C"/>
    <w:rsid w:val="008F202C"/>
    <w:rsid w:val="008F314A"/>
    <w:rsid w:val="008F3D7F"/>
    <w:rsid w:val="008F3EA3"/>
    <w:rsid w:val="008F474E"/>
    <w:rsid w:val="008F4EAE"/>
    <w:rsid w:val="008F52F4"/>
    <w:rsid w:val="008F6E88"/>
    <w:rsid w:val="009008B5"/>
    <w:rsid w:val="009012CC"/>
    <w:rsid w:val="00902B6A"/>
    <w:rsid w:val="009037EA"/>
    <w:rsid w:val="009039CA"/>
    <w:rsid w:val="00903E1E"/>
    <w:rsid w:val="00903F00"/>
    <w:rsid w:val="00904595"/>
    <w:rsid w:val="0090696D"/>
    <w:rsid w:val="00907E5A"/>
    <w:rsid w:val="00911ED9"/>
    <w:rsid w:val="009125FB"/>
    <w:rsid w:val="00913334"/>
    <w:rsid w:val="0091375B"/>
    <w:rsid w:val="009140EC"/>
    <w:rsid w:val="00914E7A"/>
    <w:rsid w:val="009150BB"/>
    <w:rsid w:val="00916196"/>
    <w:rsid w:val="00920842"/>
    <w:rsid w:val="009215BF"/>
    <w:rsid w:val="0092176D"/>
    <w:rsid w:val="00922175"/>
    <w:rsid w:val="00924C16"/>
    <w:rsid w:val="00925815"/>
    <w:rsid w:val="00930FE0"/>
    <w:rsid w:val="00932544"/>
    <w:rsid w:val="00934B38"/>
    <w:rsid w:val="00934F38"/>
    <w:rsid w:val="00937170"/>
    <w:rsid w:val="00937564"/>
    <w:rsid w:val="009406F1"/>
    <w:rsid w:val="00940E16"/>
    <w:rsid w:val="009410E3"/>
    <w:rsid w:val="00942CA3"/>
    <w:rsid w:val="00943046"/>
    <w:rsid w:val="0094314D"/>
    <w:rsid w:val="009435C4"/>
    <w:rsid w:val="009438E4"/>
    <w:rsid w:val="0094584C"/>
    <w:rsid w:val="00946884"/>
    <w:rsid w:val="00946B5C"/>
    <w:rsid w:val="00946F21"/>
    <w:rsid w:val="009476AF"/>
    <w:rsid w:val="00952724"/>
    <w:rsid w:val="00953E03"/>
    <w:rsid w:val="00953EA3"/>
    <w:rsid w:val="00954259"/>
    <w:rsid w:val="00954A55"/>
    <w:rsid w:val="00955F10"/>
    <w:rsid w:val="00955F9C"/>
    <w:rsid w:val="00956684"/>
    <w:rsid w:val="00956D7C"/>
    <w:rsid w:val="00957393"/>
    <w:rsid w:val="00957A1D"/>
    <w:rsid w:val="00960257"/>
    <w:rsid w:val="009609C7"/>
    <w:rsid w:val="00961561"/>
    <w:rsid w:val="0096194E"/>
    <w:rsid w:val="00962946"/>
    <w:rsid w:val="009634EC"/>
    <w:rsid w:val="009635C1"/>
    <w:rsid w:val="00963A03"/>
    <w:rsid w:val="00964046"/>
    <w:rsid w:val="009647C2"/>
    <w:rsid w:val="00964DD1"/>
    <w:rsid w:val="00964E59"/>
    <w:rsid w:val="00965EDA"/>
    <w:rsid w:val="00970288"/>
    <w:rsid w:val="00970321"/>
    <w:rsid w:val="00970B59"/>
    <w:rsid w:val="00971284"/>
    <w:rsid w:val="00971A61"/>
    <w:rsid w:val="0097236D"/>
    <w:rsid w:val="00973179"/>
    <w:rsid w:val="00973690"/>
    <w:rsid w:val="00974345"/>
    <w:rsid w:val="00974823"/>
    <w:rsid w:val="00975D61"/>
    <w:rsid w:val="00976224"/>
    <w:rsid w:val="00976CFF"/>
    <w:rsid w:val="00977674"/>
    <w:rsid w:val="0098099A"/>
    <w:rsid w:val="00980E37"/>
    <w:rsid w:val="00981888"/>
    <w:rsid w:val="0098254D"/>
    <w:rsid w:val="0098465D"/>
    <w:rsid w:val="00984692"/>
    <w:rsid w:val="00984A4A"/>
    <w:rsid w:val="0099086E"/>
    <w:rsid w:val="00990EA1"/>
    <w:rsid w:val="00991B3C"/>
    <w:rsid w:val="00991E5D"/>
    <w:rsid w:val="009927C0"/>
    <w:rsid w:val="0099393D"/>
    <w:rsid w:val="00993DD9"/>
    <w:rsid w:val="009942C5"/>
    <w:rsid w:val="00996453"/>
    <w:rsid w:val="00997542"/>
    <w:rsid w:val="00997690"/>
    <w:rsid w:val="009A04FF"/>
    <w:rsid w:val="009A07D9"/>
    <w:rsid w:val="009A0D39"/>
    <w:rsid w:val="009A0FFC"/>
    <w:rsid w:val="009A1323"/>
    <w:rsid w:val="009A2849"/>
    <w:rsid w:val="009A331F"/>
    <w:rsid w:val="009A3510"/>
    <w:rsid w:val="009A38E3"/>
    <w:rsid w:val="009A3F2D"/>
    <w:rsid w:val="009A3FF3"/>
    <w:rsid w:val="009A4E28"/>
    <w:rsid w:val="009A58C5"/>
    <w:rsid w:val="009A7815"/>
    <w:rsid w:val="009A7AB4"/>
    <w:rsid w:val="009B0796"/>
    <w:rsid w:val="009B1948"/>
    <w:rsid w:val="009B29ED"/>
    <w:rsid w:val="009B35BC"/>
    <w:rsid w:val="009B3ECF"/>
    <w:rsid w:val="009B4A8C"/>
    <w:rsid w:val="009B4B14"/>
    <w:rsid w:val="009B55E4"/>
    <w:rsid w:val="009B5D9D"/>
    <w:rsid w:val="009B766B"/>
    <w:rsid w:val="009B7E52"/>
    <w:rsid w:val="009C0392"/>
    <w:rsid w:val="009C04AC"/>
    <w:rsid w:val="009C0E57"/>
    <w:rsid w:val="009C188D"/>
    <w:rsid w:val="009C1DED"/>
    <w:rsid w:val="009C2397"/>
    <w:rsid w:val="009C4129"/>
    <w:rsid w:val="009C570C"/>
    <w:rsid w:val="009C5F85"/>
    <w:rsid w:val="009C6559"/>
    <w:rsid w:val="009D0B82"/>
    <w:rsid w:val="009D1C90"/>
    <w:rsid w:val="009D2669"/>
    <w:rsid w:val="009D3440"/>
    <w:rsid w:val="009D57C5"/>
    <w:rsid w:val="009D5C7F"/>
    <w:rsid w:val="009D73A7"/>
    <w:rsid w:val="009E0634"/>
    <w:rsid w:val="009E0926"/>
    <w:rsid w:val="009E105B"/>
    <w:rsid w:val="009E26AD"/>
    <w:rsid w:val="009E41CF"/>
    <w:rsid w:val="009E4876"/>
    <w:rsid w:val="009E49E5"/>
    <w:rsid w:val="009E5954"/>
    <w:rsid w:val="009E6303"/>
    <w:rsid w:val="009E705A"/>
    <w:rsid w:val="009E7347"/>
    <w:rsid w:val="009E740E"/>
    <w:rsid w:val="009F080F"/>
    <w:rsid w:val="009F0B86"/>
    <w:rsid w:val="009F1170"/>
    <w:rsid w:val="009F193B"/>
    <w:rsid w:val="009F24A1"/>
    <w:rsid w:val="009F35E7"/>
    <w:rsid w:val="009F36BA"/>
    <w:rsid w:val="009F395C"/>
    <w:rsid w:val="009F3D02"/>
    <w:rsid w:val="009F3DFA"/>
    <w:rsid w:val="009F40FE"/>
    <w:rsid w:val="009F4CDF"/>
    <w:rsid w:val="009F56E7"/>
    <w:rsid w:val="009F6501"/>
    <w:rsid w:val="009F6DAE"/>
    <w:rsid w:val="009F6F17"/>
    <w:rsid w:val="009F77CF"/>
    <w:rsid w:val="00A01D69"/>
    <w:rsid w:val="00A02270"/>
    <w:rsid w:val="00A03CE3"/>
    <w:rsid w:val="00A03E72"/>
    <w:rsid w:val="00A055E1"/>
    <w:rsid w:val="00A05C6B"/>
    <w:rsid w:val="00A06B57"/>
    <w:rsid w:val="00A0728D"/>
    <w:rsid w:val="00A122E8"/>
    <w:rsid w:val="00A137FB"/>
    <w:rsid w:val="00A14A52"/>
    <w:rsid w:val="00A14A80"/>
    <w:rsid w:val="00A164CA"/>
    <w:rsid w:val="00A16654"/>
    <w:rsid w:val="00A16A3D"/>
    <w:rsid w:val="00A16B89"/>
    <w:rsid w:val="00A20BA4"/>
    <w:rsid w:val="00A211D4"/>
    <w:rsid w:val="00A21330"/>
    <w:rsid w:val="00A2161A"/>
    <w:rsid w:val="00A219A1"/>
    <w:rsid w:val="00A21C66"/>
    <w:rsid w:val="00A2448C"/>
    <w:rsid w:val="00A2465F"/>
    <w:rsid w:val="00A25162"/>
    <w:rsid w:val="00A2700C"/>
    <w:rsid w:val="00A27611"/>
    <w:rsid w:val="00A30AC1"/>
    <w:rsid w:val="00A33D75"/>
    <w:rsid w:val="00A355C6"/>
    <w:rsid w:val="00A35F27"/>
    <w:rsid w:val="00A36232"/>
    <w:rsid w:val="00A36767"/>
    <w:rsid w:val="00A36EAA"/>
    <w:rsid w:val="00A37525"/>
    <w:rsid w:val="00A4083D"/>
    <w:rsid w:val="00A4161F"/>
    <w:rsid w:val="00A41B25"/>
    <w:rsid w:val="00A427F2"/>
    <w:rsid w:val="00A428E6"/>
    <w:rsid w:val="00A43A44"/>
    <w:rsid w:val="00A44B01"/>
    <w:rsid w:val="00A4645A"/>
    <w:rsid w:val="00A46903"/>
    <w:rsid w:val="00A473E2"/>
    <w:rsid w:val="00A479CB"/>
    <w:rsid w:val="00A50922"/>
    <w:rsid w:val="00A50D05"/>
    <w:rsid w:val="00A51290"/>
    <w:rsid w:val="00A52081"/>
    <w:rsid w:val="00A53393"/>
    <w:rsid w:val="00A5396F"/>
    <w:rsid w:val="00A53C81"/>
    <w:rsid w:val="00A53E1A"/>
    <w:rsid w:val="00A5485C"/>
    <w:rsid w:val="00A55CC1"/>
    <w:rsid w:val="00A56065"/>
    <w:rsid w:val="00A56C46"/>
    <w:rsid w:val="00A57343"/>
    <w:rsid w:val="00A601BC"/>
    <w:rsid w:val="00A60FE7"/>
    <w:rsid w:val="00A61552"/>
    <w:rsid w:val="00A61FE1"/>
    <w:rsid w:val="00A62394"/>
    <w:rsid w:val="00A62AE6"/>
    <w:rsid w:val="00A63790"/>
    <w:rsid w:val="00A639AB"/>
    <w:rsid w:val="00A64053"/>
    <w:rsid w:val="00A66CE3"/>
    <w:rsid w:val="00A66FC7"/>
    <w:rsid w:val="00A67867"/>
    <w:rsid w:val="00A7050B"/>
    <w:rsid w:val="00A73828"/>
    <w:rsid w:val="00A747F4"/>
    <w:rsid w:val="00A7523C"/>
    <w:rsid w:val="00A759A5"/>
    <w:rsid w:val="00A77077"/>
    <w:rsid w:val="00A7743E"/>
    <w:rsid w:val="00A77923"/>
    <w:rsid w:val="00A77B0A"/>
    <w:rsid w:val="00A82C0C"/>
    <w:rsid w:val="00A83219"/>
    <w:rsid w:val="00A8334C"/>
    <w:rsid w:val="00A83401"/>
    <w:rsid w:val="00A83D1B"/>
    <w:rsid w:val="00A83F5C"/>
    <w:rsid w:val="00A8495A"/>
    <w:rsid w:val="00A85694"/>
    <w:rsid w:val="00A859C4"/>
    <w:rsid w:val="00A864A5"/>
    <w:rsid w:val="00A86611"/>
    <w:rsid w:val="00A91104"/>
    <w:rsid w:val="00A911ED"/>
    <w:rsid w:val="00A916C6"/>
    <w:rsid w:val="00A9187F"/>
    <w:rsid w:val="00A91A1E"/>
    <w:rsid w:val="00A922D4"/>
    <w:rsid w:val="00A92E9B"/>
    <w:rsid w:val="00A931AA"/>
    <w:rsid w:val="00A94166"/>
    <w:rsid w:val="00A941C0"/>
    <w:rsid w:val="00A95800"/>
    <w:rsid w:val="00A958D9"/>
    <w:rsid w:val="00A96448"/>
    <w:rsid w:val="00A96A94"/>
    <w:rsid w:val="00A97EB0"/>
    <w:rsid w:val="00AA0A53"/>
    <w:rsid w:val="00AA0C0F"/>
    <w:rsid w:val="00AA0F7D"/>
    <w:rsid w:val="00AA13E0"/>
    <w:rsid w:val="00AA1DFC"/>
    <w:rsid w:val="00AA384C"/>
    <w:rsid w:val="00AA3D26"/>
    <w:rsid w:val="00AA4CB4"/>
    <w:rsid w:val="00AA5A3C"/>
    <w:rsid w:val="00AA5C72"/>
    <w:rsid w:val="00AA6A54"/>
    <w:rsid w:val="00AA7134"/>
    <w:rsid w:val="00AA752C"/>
    <w:rsid w:val="00AB108D"/>
    <w:rsid w:val="00AB143E"/>
    <w:rsid w:val="00AB1877"/>
    <w:rsid w:val="00AB28A2"/>
    <w:rsid w:val="00AB5963"/>
    <w:rsid w:val="00AB5C8C"/>
    <w:rsid w:val="00AB5FF7"/>
    <w:rsid w:val="00AB680D"/>
    <w:rsid w:val="00AC0BE2"/>
    <w:rsid w:val="00AC2223"/>
    <w:rsid w:val="00AC3704"/>
    <w:rsid w:val="00AC4DED"/>
    <w:rsid w:val="00AC59C4"/>
    <w:rsid w:val="00AC6286"/>
    <w:rsid w:val="00AC645F"/>
    <w:rsid w:val="00AC6D05"/>
    <w:rsid w:val="00AC6E2D"/>
    <w:rsid w:val="00AC7543"/>
    <w:rsid w:val="00AC7E42"/>
    <w:rsid w:val="00AD05FD"/>
    <w:rsid w:val="00AD098A"/>
    <w:rsid w:val="00AD17EE"/>
    <w:rsid w:val="00AD38D9"/>
    <w:rsid w:val="00AD3E78"/>
    <w:rsid w:val="00AD4078"/>
    <w:rsid w:val="00AD4328"/>
    <w:rsid w:val="00AD4AAE"/>
    <w:rsid w:val="00AD4BB4"/>
    <w:rsid w:val="00AD6FF1"/>
    <w:rsid w:val="00AD7242"/>
    <w:rsid w:val="00AD7755"/>
    <w:rsid w:val="00AD7863"/>
    <w:rsid w:val="00AE2AE7"/>
    <w:rsid w:val="00AE3013"/>
    <w:rsid w:val="00AE3560"/>
    <w:rsid w:val="00AE3B07"/>
    <w:rsid w:val="00AE41A6"/>
    <w:rsid w:val="00AE4329"/>
    <w:rsid w:val="00AE4AE0"/>
    <w:rsid w:val="00AE4B68"/>
    <w:rsid w:val="00AE5D20"/>
    <w:rsid w:val="00AE607B"/>
    <w:rsid w:val="00AE66D0"/>
    <w:rsid w:val="00AE6881"/>
    <w:rsid w:val="00AF0A5B"/>
    <w:rsid w:val="00AF2098"/>
    <w:rsid w:val="00AF2B17"/>
    <w:rsid w:val="00AF314A"/>
    <w:rsid w:val="00AF3403"/>
    <w:rsid w:val="00AF5BE6"/>
    <w:rsid w:val="00AF5C2A"/>
    <w:rsid w:val="00AF6319"/>
    <w:rsid w:val="00AF6E79"/>
    <w:rsid w:val="00AF79BD"/>
    <w:rsid w:val="00AF79E9"/>
    <w:rsid w:val="00B01C63"/>
    <w:rsid w:val="00B02EFE"/>
    <w:rsid w:val="00B0548A"/>
    <w:rsid w:val="00B05FDA"/>
    <w:rsid w:val="00B060C1"/>
    <w:rsid w:val="00B061CF"/>
    <w:rsid w:val="00B07061"/>
    <w:rsid w:val="00B07CAF"/>
    <w:rsid w:val="00B11A24"/>
    <w:rsid w:val="00B11B4F"/>
    <w:rsid w:val="00B11BAC"/>
    <w:rsid w:val="00B121E3"/>
    <w:rsid w:val="00B126E0"/>
    <w:rsid w:val="00B12BC3"/>
    <w:rsid w:val="00B1304E"/>
    <w:rsid w:val="00B14158"/>
    <w:rsid w:val="00B14254"/>
    <w:rsid w:val="00B14BC0"/>
    <w:rsid w:val="00B152AE"/>
    <w:rsid w:val="00B158E7"/>
    <w:rsid w:val="00B167A7"/>
    <w:rsid w:val="00B16A47"/>
    <w:rsid w:val="00B177C9"/>
    <w:rsid w:val="00B17F1E"/>
    <w:rsid w:val="00B201DC"/>
    <w:rsid w:val="00B2124E"/>
    <w:rsid w:val="00B21ACF"/>
    <w:rsid w:val="00B21FD3"/>
    <w:rsid w:val="00B2239E"/>
    <w:rsid w:val="00B2281D"/>
    <w:rsid w:val="00B23597"/>
    <w:rsid w:val="00B23670"/>
    <w:rsid w:val="00B24EFD"/>
    <w:rsid w:val="00B24F2C"/>
    <w:rsid w:val="00B25CA4"/>
    <w:rsid w:val="00B26978"/>
    <w:rsid w:val="00B26AC7"/>
    <w:rsid w:val="00B27096"/>
    <w:rsid w:val="00B3077E"/>
    <w:rsid w:val="00B30A80"/>
    <w:rsid w:val="00B3142A"/>
    <w:rsid w:val="00B3274E"/>
    <w:rsid w:val="00B36010"/>
    <w:rsid w:val="00B36406"/>
    <w:rsid w:val="00B37B9D"/>
    <w:rsid w:val="00B4047F"/>
    <w:rsid w:val="00B4052B"/>
    <w:rsid w:val="00B40618"/>
    <w:rsid w:val="00B415F3"/>
    <w:rsid w:val="00B42B4D"/>
    <w:rsid w:val="00B42D24"/>
    <w:rsid w:val="00B43A06"/>
    <w:rsid w:val="00B505F1"/>
    <w:rsid w:val="00B51988"/>
    <w:rsid w:val="00B51CE4"/>
    <w:rsid w:val="00B53653"/>
    <w:rsid w:val="00B53AB2"/>
    <w:rsid w:val="00B53D0C"/>
    <w:rsid w:val="00B56273"/>
    <w:rsid w:val="00B566F4"/>
    <w:rsid w:val="00B56C16"/>
    <w:rsid w:val="00B56E0C"/>
    <w:rsid w:val="00B570DB"/>
    <w:rsid w:val="00B57C68"/>
    <w:rsid w:val="00B60502"/>
    <w:rsid w:val="00B60A4B"/>
    <w:rsid w:val="00B60F72"/>
    <w:rsid w:val="00B61419"/>
    <w:rsid w:val="00B61A77"/>
    <w:rsid w:val="00B61C1B"/>
    <w:rsid w:val="00B63DE7"/>
    <w:rsid w:val="00B63E64"/>
    <w:rsid w:val="00B640D3"/>
    <w:rsid w:val="00B64126"/>
    <w:rsid w:val="00B64324"/>
    <w:rsid w:val="00B6554F"/>
    <w:rsid w:val="00B6680A"/>
    <w:rsid w:val="00B6693F"/>
    <w:rsid w:val="00B669C8"/>
    <w:rsid w:val="00B67296"/>
    <w:rsid w:val="00B6752E"/>
    <w:rsid w:val="00B70C7B"/>
    <w:rsid w:val="00B71795"/>
    <w:rsid w:val="00B72858"/>
    <w:rsid w:val="00B73053"/>
    <w:rsid w:val="00B748BF"/>
    <w:rsid w:val="00B74BD4"/>
    <w:rsid w:val="00B753A8"/>
    <w:rsid w:val="00B753F9"/>
    <w:rsid w:val="00B756E5"/>
    <w:rsid w:val="00B80582"/>
    <w:rsid w:val="00B80F83"/>
    <w:rsid w:val="00B81C76"/>
    <w:rsid w:val="00B82732"/>
    <w:rsid w:val="00B8326B"/>
    <w:rsid w:val="00B83FF1"/>
    <w:rsid w:val="00B8492F"/>
    <w:rsid w:val="00B84E15"/>
    <w:rsid w:val="00B852C6"/>
    <w:rsid w:val="00B852F3"/>
    <w:rsid w:val="00B853A7"/>
    <w:rsid w:val="00B856E8"/>
    <w:rsid w:val="00B85F98"/>
    <w:rsid w:val="00B868B0"/>
    <w:rsid w:val="00B87AED"/>
    <w:rsid w:val="00B90118"/>
    <w:rsid w:val="00B9044D"/>
    <w:rsid w:val="00B92D3C"/>
    <w:rsid w:val="00B96523"/>
    <w:rsid w:val="00BA0402"/>
    <w:rsid w:val="00BA0CC5"/>
    <w:rsid w:val="00BA2072"/>
    <w:rsid w:val="00BA20C2"/>
    <w:rsid w:val="00BA2A40"/>
    <w:rsid w:val="00BA43F6"/>
    <w:rsid w:val="00BA7788"/>
    <w:rsid w:val="00BA7837"/>
    <w:rsid w:val="00BB04B4"/>
    <w:rsid w:val="00BB0836"/>
    <w:rsid w:val="00BB0D65"/>
    <w:rsid w:val="00BB3273"/>
    <w:rsid w:val="00BB41AB"/>
    <w:rsid w:val="00BB57F0"/>
    <w:rsid w:val="00BB5B5F"/>
    <w:rsid w:val="00BB6214"/>
    <w:rsid w:val="00BB6635"/>
    <w:rsid w:val="00BB7566"/>
    <w:rsid w:val="00BC1A2B"/>
    <w:rsid w:val="00BC2FF6"/>
    <w:rsid w:val="00BC338D"/>
    <w:rsid w:val="00BC3EA0"/>
    <w:rsid w:val="00BC4314"/>
    <w:rsid w:val="00BC59E1"/>
    <w:rsid w:val="00BC6B43"/>
    <w:rsid w:val="00BC7662"/>
    <w:rsid w:val="00BC782A"/>
    <w:rsid w:val="00BD244C"/>
    <w:rsid w:val="00BD2470"/>
    <w:rsid w:val="00BD276F"/>
    <w:rsid w:val="00BD4355"/>
    <w:rsid w:val="00BD5AD4"/>
    <w:rsid w:val="00BD6171"/>
    <w:rsid w:val="00BD7499"/>
    <w:rsid w:val="00BE0BA2"/>
    <w:rsid w:val="00BE1C12"/>
    <w:rsid w:val="00BE3133"/>
    <w:rsid w:val="00BE36E3"/>
    <w:rsid w:val="00BE3FFD"/>
    <w:rsid w:val="00BE46EF"/>
    <w:rsid w:val="00BE6070"/>
    <w:rsid w:val="00BE6709"/>
    <w:rsid w:val="00BE7194"/>
    <w:rsid w:val="00BE7716"/>
    <w:rsid w:val="00BE7767"/>
    <w:rsid w:val="00BF0CE8"/>
    <w:rsid w:val="00BF1286"/>
    <w:rsid w:val="00BF1A80"/>
    <w:rsid w:val="00BF2D44"/>
    <w:rsid w:val="00BF300A"/>
    <w:rsid w:val="00BF3A3A"/>
    <w:rsid w:val="00BF4DAE"/>
    <w:rsid w:val="00BF5C82"/>
    <w:rsid w:val="00BF5F05"/>
    <w:rsid w:val="00BF64EB"/>
    <w:rsid w:val="00BF75DE"/>
    <w:rsid w:val="00BF7672"/>
    <w:rsid w:val="00BF7B41"/>
    <w:rsid w:val="00BF7D41"/>
    <w:rsid w:val="00C00FF4"/>
    <w:rsid w:val="00C019C2"/>
    <w:rsid w:val="00C01B44"/>
    <w:rsid w:val="00C04788"/>
    <w:rsid w:val="00C04A9A"/>
    <w:rsid w:val="00C04DE8"/>
    <w:rsid w:val="00C0523C"/>
    <w:rsid w:val="00C06516"/>
    <w:rsid w:val="00C06948"/>
    <w:rsid w:val="00C078CC"/>
    <w:rsid w:val="00C07C5D"/>
    <w:rsid w:val="00C07FA5"/>
    <w:rsid w:val="00C11B3B"/>
    <w:rsid w:val="00C122EB"/>
    <w:rsid w:val="00C12C09"/>
    <w:rsid w:val="00C13723"/>
    <w:rsid w:val="00C14C7A"/>
    <w:rsid w:val="00C14E33"/>
    <w:rsid w:val="00C14F4E"/>
    <w:rsid w:val="00C15837"/>
    <w:rsid w:val="00C159C1"/>
    <w:rsid w:val="00C16E7C"/>
    <w:rsid w:val="00C17661"/>
    <w:rsid w:val="00C20441"/>
    <w:rsid w:val="00C206C8"/>
    <w:rsid w:val="00C215DE"/>
    <w:rsid w:val="00C220A5"/>
    <w:rsid w:val="00C2251E"/>
    <w:rsid w:val="00C227A9"/>
    <w:rsid w:val="00C23EA0"/>
    <w:rsid w:val="00C2490B"/>
    <w:rsid w:val="00C24B11"/>
    <w:rsid w:val="00C26229"/>
    <w:rsid w:val="00C267C2"/>
    <w:rsid w:val="00C27170"/>
    <w:rsid w:val="00C276C0"/>
    <w:rsid w:val="00C278E5"/>
    <w:rsid w:val="00C279F5"/>
    <w:rsid w:val="00C31924"/>
    <w:rsid w:val="00C31E97"/>
    <w:rsid w:val="00C3228E"/>
    <w:rsid w:val="00C3263C"/>
    <w:rsid w:val="00C327F2"/>
    <w:rsid w:val="00C3290F"/>
    <w:rsid w:val="00C32967"/>
    <w:rsid w:val="00C34095"/>
    <w:rsid w:val="00C341DB"/>
    <w:rsid w:val="00C35F2D"/>
    <w:rsid w:val="00C36731"/>
    <w:rsid w:val="00C36B2A"/>
    <w:rsid w:val="00C37527"/>
    <w:rsid w:val="00C40407"/>
    <w:rsid w:val="00C40704"/>
    <w:rsid w:val="00C40F57"/>
    <w:rsid w:val="00C41244"/>
    <w:rsid w:val="00C41564"/>
    <w:rsid w:val="00C419A2"/>
    <w:rsid w:val="00C41F07"/>
    <w:rsid w:val="00C42CAD"/>
    <w:rsid w:val="00C441A5"/>
    <w:rsid w:val="00C44BB8"/>
    <w:rsid w:val="00C459D3"/>
    <w:rsid w:val="00C45EDF"/>
    <w:rsid w:val="00C47E61"/>
    <w:rsid w:val="00C50C48"/>
    <w:rsid w:val="00C514EC"/>
    <w:rsid w:val="00C52225"/>
    <w:rsid w:val="00C529F1"/>
    <w:rsid w:val="00C52D29"/>
    <w:rsid w:val="00C537D8"/>
    <w:rsid w:val="00C53DAC"/>
    <w:rsid w:val="00C5476A"/>
    <w:rsid w:val="00C55792"/>
    <w:rsid w:val="00C567C5"/>
    <w:rsid w:val="00C60A94"/>
    <w:rsid w:val="00C614D0"/>
    <w:rsid w:val="00C62569"/>
    <w:rsid w:val="00C63290"/>
    <w:rsid w:val="00C64A8D"/>
    <w:rsid w:val="00C65149"/>
    <w:rsid w:val="00C65EEC"/>
    <w:rsid w:val="00C66C9F"/>
    <w:rsid w:val="00C67E16"/>
    <w:rsid w:val="00C70A4B"/>
    <w:rsid w:val="00C71268"/>
    <w:rsid w:val="00C71770"/>
    <w:rsid w:val="00C71C8A"/>
    <w:rsid w:val="00C72EE3"/>
    <w:rsid w:val="00C7338E"/>
    <w:rsid w:val="00C74254"/>
    <w:rsid w:val="00C763BC"/>
    <w:rsid w:val="00C76B03"/>
    <w:rsid w:val="00C7752A"/>
    <w:rsid w:val="00C81209"/>
    <w:rsid w:val="00C82854"/>
    <w:rsid w:val="00C82943"/>
    <w:rsid w:val="00C82FA9"/>
    <w:rsid w:val="00C834F7"/>
    <w:rsid w:val="00C83B3C"/>
    <w:rsid w:val="00C83F12"/>
    <w:rsid w:val="00C862AA"/>
    <w:rsid w:val="00C86D2B"/>
    <w:rsid w:val="00C920D9"/>
    <w:rsid w:val="00C931B2"/>
    <w:rsid w:val="00C93549"/>
    <w:rsid w:val="00C93912"/>
    <w:rsid w:val="00C95F8F"/>
    <w:rsid w:val="00C96B06"/>
    <w:rsid w:val="00CA07D2"/>
    <w:rsid w:val="00CA1078"/>
    <w:rsid w:val="00CA360F"/>
    <w:rsid w:val="00CA408B"/>
    <w:rsid w:val="00CA4E01"/>
    <w:rsid w:val="00CA4E90"/>
    <w:rsid w:val="00CA6723"/>
    <w:rsid w:val="00CA6D2A"/>
    <w:rsid w:val="00CA71E6"/>
    <w:rsid w:val="00CA7323"/>
    <w:rsid w:val="00CA75A6"/>
    <w:rsid w:val="00CB0358"/>
    <w:rsid w:val="00CB08AA"/>
    <w:rsid w:val="00CB2E04"/>
    <w:rsid w:val="00CB3AC3"/>
    <w:rsid w:val="00CB4DBE"/>
    <w:rsid w:val="00CB73AD"/>
    <w:rsid w:val="00CC0D28"/>
    <w:rsid w:val="00CC1AF0"/>
    <w:rsid w:val="00CC1CC5"/>
    <w:rsid w:val="00CC1D88"/>
    <w:rsid w:val="00CC2F41"/>
    <w:rsid w:val="00CC37EA"/>
    <w:rsid w:val="00CC3927"/>
    <w:rsid w:val="00CC52A2"/>
    <w:rsid w:val="00CC610F"/>
    <w:rsid w:val="00CC6BDC"/>
    <w:rsid w:val="00CC6E10"/>
    <w:rsid w:val="00CC755A"/>
    <w:rsid w:val="00CD036B"/>
    <w:rsid w:val="00CD0DEB"/>
    <w:rsid w:val="00CD3472"/>
    <w:rsid w:val="00CD3537"/>
    <w:rsid w:val="00CD3984"/>
    <w:rsid w:val="00CD4B62"/>
    <w:rsid w:val="00CD4F00"/>
    <w:rsid w:val="00CD5424"/>
    <w:rsid w:val="00CD5CF9"/>
    <w:rsid w:val="00CD702C"/>
    <w:rsid w:val="00CD7477"/>
    <w:rsid w:val="00CE16E5"/>
    <w:rsid w:val="00CE26AD"/>
    <w:rsid w:val="00CE34F1"/>
    <w:rsid w:val="00CE3900"/>
    <w:rsid w:val="00CE53AE"/>
    <w:rsid w:val="00CE5474"/>
    <w:rsid w:val="00CE69AB"/>
    <w:rsid w:val="00CE7042"/>
    <w:rsid w:val="00CE7C62"/>
    <w:rsid w:val="00CE7D3A"/>
    <w:rsid w:val="00CF04F5"/>
    <w:rsid w:val="00CF0C21"/>
    <w:rsid w:val="00CF0C22"/>
    <w:rsid w:val="00CF1A56"/>
    <w:rsid w:val="00CF1CF4"/>
    <w:rsid w:val="00CF200B"/>
    <w:rsid w:val="00CF21B7"/>
    <w:rsid w:val="00CF22E7"/>
    <w:rsid w:val="00CF2E19"/>
    <w:rsid w:val="00CF445F"/>
    <w:rsid w:val="00CF50D1"/>
    <w:rsid w:val="00CF5CA2"/>
    <w:rsid w:val="00CF6646"/>
    <w:rsid w:val="00CF6EA8"/>
    <w:rsid w:val="00CF72B2"/>
    <w:rsid w:val="00D01A62"/>
    <w:rsid w:val="00D02877"/>
    <w:rsid w:val="00D02C3D"/>
    <w:rsid w:val="00D03986"/>
    <w:rsid w:val="00D04BCE"/>
    <w:rsid w:val="00D050FF"/>
    <w:rsid w:val="00D052EF"/>
    <w:rsid w:val="00D05D9A"/>
    <w:rsid w:val="00D05DED"/>
    <w:rsid w:val="00D06047"/>
    <w:rsid w:val="00D0606F"/>
    <w:rsid w:val="00D0627F"/>
    <w:rsid w:val="00D06AB4"/>
    <w:rsid w:val="00D0743D"/>
    <w:rsid w:val="00D0750C"/>
    <w:rsid w:val="00D078FA"/>
    <w:rsid w:val="00D10157"/>
    <w:rsid w:val="00D1121D"/>
    <w:rsid w:val="00D15400"/>
    <w:rsid w:val="00D15416"/>
    <w:rsid w:val="00D15C0C"/>
    <w:rsid w:val="00D16393"/>
    <w:rsid w:val="00D1658A"/>
    <w:rsid w:val="00D217BB"/>
    <w:rsid w:val="00D219D9"/>
    <w:rsid w:val="00D22340"/>
    <w:rsid w:val="00D243F9"/>
    <w:rsid w:val="00D2528F"/>
    <w:rsid w:val="00D26349"/>
    <w:rsid w:val="00D275BB"/>
    <w:rsid w:val="00D278AA"/>
    <w:rsid w:val="00D27B36"/>
    <w:rsid w:val="00D302B5"/>
    <w:rsid w:val="00D31A03"/>
    <w:rsid w:val="00D32240"/>
    <w:rsid w:val="00D326C2"/>
    <w:rsid w:val="00D33407"/>
    <w:rsid w:val="00D33EC0"/>
    <w:rsid w:val="00D34E1E"/>
    <w:rsid w:val="00D41D67"/>
    <w:rsid w:val="00D426DE"/>
    <w:rsid w:val="00D43897"/>
    <w:rsid w:val="00D43AC1"/>
    <w:rsid w:val="00D44D9F"/>
    <w:rsid w:val="00D44F34"/>
    <w:rsid w:val="00D479EF"/>
    <w:rsid w:val="00D47CF9"/>
    <w:rsid w:val="00D47E19"/>
    <w:rsid w:val="00D5061D"/>
    <w:rsid w:val="00D5115A"/>
    <w:rsid w:val="00D51D14"/>
    <w:rsid w:val="00D51F88"/>
    <w:rsid w:val="00D52CBB"/>
    <w:rsid w:val="00D535B6"/>
    <w:rsid w:val="00D54574"/>
    <w:rsid w:val="00D5531F"/>
    <w:rsid w:val="00D55369"/>
    <w:rsid w:val="00D5555C"/>
    <w:rsid w:val="00D56FB3"/>
    <w:rsid w:val="00D57040"/>
    <w:rsid w:val="00D572F3"/>
    <w:rsid w:val="00D61135"/>
    <w:rsid w:val="00D619CC"/>
    <w:rsid w:val="00D61B32"/>
    <w:rsid w:val="00D61C83"/>
    <w:rsid w:val="00D62B30"/>
    <w:rsid w:val="00D64C85"/>
    <w:rsid w:val="00D6670E"/>
    <w:rsid w:val="00D6677A"/>
    <w:rsid w:val="00D67419"/>
    <w:rsid w:val="00D7083B"/>
    <w:rsid w:val="00D71993"/>
    <w:rsid w:val="00D71CE0"/>
    <w:rsid w:val="00D720D3"/>
    <w:rsid w:val="00D72A78"/>
    <w:rsid w:val="00D734B2"/>
    <w:rsid w:val="00D73866"/>
    <w:rsid w:val="00D73A5C"/>
    <w:rsid w:val="00D73A73"/>
    <w:rsid w:val="00D76D2A"/>
    <w:rsid w:val="00D76F87"/>
    <w:rsid w:val="00D7748E"/>
    <w:rsid w:val="00D774E4"/>
    <w:rsid w:val="00D81CD8"/>
    <w:rsid w:val="00D821E3"/>
    <w:rsid w:val="00D82A6C"/>
    <w:rsid w:val="00D82E48"/>
    <w:rsid w:val="00D83345"/>
    <w:rsid w:val="00D83963"/>
    <w:rsid w:val="00D90ACE"/>
    <w:rsid w:val="00D90DE0"/>
    <w:rsid w:val="00D91EB7"/>
    <w:rsid w:val="00D92028"/>
    <w:rsid w:val="00D923B2"/>
    <w:rsid w:val="00D92745"/>
    <w:rsid w:val="00D93177"/>
    <w:rsid w:val="00D95641"/>
    <w:rsid w:val="00D95F83"/>
    <w:rsid w:val="00D9660A"/>
    <w:rsid w:val="00D96EB2"/>
    <w:rsid w:val="00D97A29"/>
    <w:rsid w:val="00DA0137"/>
    <w:rsid w:val="00DA2762"/>
    <w:rsid w:val="00DA3F57"/>
    <w:rsid w:val="00DA45D4"/>
    <w:rsid w:val="00DA55B7"/>
    <w:rsid w:val="00DA66F8"/>
    <w:rsid w:val="00DB0E9D"/>
    <w:rsid w:val="00DB268B"/>
    <w:rsid w:val="00DB3634"/>
    <w:rsid w:val="00DB4C86"/>
    <w:rsid w:val="00DB4E06"/>
    <w:rsid w:val="00DB51CD"/>
    <w:rsid w:val="00DB590D"/>
    <w:rsid w:val="00DB6DCF"/>
    <w:rsid w:val="00DB765C"/>
    <w:rsid w:val="00DC018D"/>
    <w:rsid w:val="00DC341E"/>
    <w:rsid w:val="00DC40C5"/>
    <w:rsid w:val="00DC422E"/>
    <w:rsid w:val="00DD1C7C"/>
    <w:rsid w:val="00DD2266"/>
    <w:rsid w:val="00DD2C30"/>
    <w:rsid w:val="00DD3946"/>
    <w:rsid w:val="00DD401D"/>
    <w:rsid w:val="00DD4BBD"/>
    <w:rsid w:val="00DD4E98"/>
    <w:rsid w:val="00DD5BC3"/>
    <w:rsid w:val="00DD7964"/>
    <w:rsid w:val="00DD7C89"/>
    <w:rsid w:val="00DD7F7B"/>
    <w:rsid w:val="00DE01FF"/>
    <w:rsid w:val="00DE0866"/>
    <w:rsid w:val="00DE0913"/>
    <w:rsid w:val="00DE0A47"/>
    <w:rsid w:val="00DE0BDC"/>
    <w:rsid w:val="00DE2AD3"/>
    <w:rsid w:val="00DE3258"/>
    <w:rsid w:val="00DE376F"/>
    <w:rsid w:val="00DE43EF"/>
    <w:rsid w:val="00DE4EC6"/>
    <w:rsid w:val="00DE59D9"/>
    <w:rsid w:val="00DE6155"/>
    <w:rsid w:val="00DE63FC"/>
    <w:rsid w:val="00DE7B89"/>
    <w:rsid w:val="00DE7BB6"/>
    <w:rsid w:val="00DF043E"/>
    <w:rsid w:val="00DF0840"/>
    <w:rsid w:val="00DF0B56"/>
    <w:rsid w:val="00DF205C"/>
    <w:rsid w:val="00DF216D"/>
    <w:rsid w:val="00DF2831"/>
    <w:rsid w:val="00DF2E7B"/>
    <w:rsid w:val="00DF37DC"/>
    <w:rsid w:val="00DF3F54"/>
    <w:rsid w:val="00DF4312"/>
    <w:rsid w:val="00DF537C"/>
    <w:rsid w:val="00DF6950"/>
    <w:rsid w:val="00DF6A6C"/>
    <w:rsid w:val="00DF7FDF"/>
    <w:rsid w:val="00E008C4"/>
    <w:rsid w:val="00E0257A"/>
    <w:rsid w:val="00E029CB"/>
    <w:rsid w:val="00E072B1"/>
    <w:rsid w:val="00E0764E"/>
    <w:rsid w:val="00E10CB9"/>
    <w:rsid w:val="00E11821"/>
    <w:rsid w:val="00E11CD5"/>
    <w:rsid w:val="00E11F90"/>
    <w:rsid w:val="00E13984"/>
    <w:rsid w:val="00E14AEA"/>
    <w:rsid w:val="00E14D52"/>
    <w:rsid w:val="00E15B9D"/>
    <w:rsid w:val="00E16BDB"/>
    <w:rsid w:val="00E17042"/>
    <w:rsid w:val="00E20510"/>
    <w:rsid w:val="00E2201F"/>
    <w:rsid w:val="00E22464"/>
    <w:rsid w:val="00E23D42"/>
    <w:rsid w:val="00E25546"/>
    <w:rsid w:val="00E26370"/>
    <w:rsid w:val="00E32D97"/>
    <w:rsid w:val="00E33E87"/>
    <w:rsid w:val="00E3438E"/>
    <w:rsid w:val="00E3448C"/>
    <w:rsid w:val="00E344E3"/>
    <w:rsid w:val="00E34501"/>
    <w:rsid w:val="00E3522B"/>
    <w:rsid w:val="00E35314"/>
    <w:rsid w:val="00E365BB"/>
    <w:rsid w:val="00E36AF2"/>
    <w:rsid w:val="00E37004"/>
    <w:rsid w:val="00E37325"/>
    <w:rsid w:val="00E374E0"/>
    <w:rsid w:val="00E37580"/>
    <w:rsid w:val="00E41B38"/>
    <w:rsid w:val="00E427A8"/>
    <w:rsid w:val="00E429B7"/>
    <w:rsid w:val="00E439D8"/>
    <w:rsid w:val="00E43D3D"/>
    <w:rsid w:val="00E448FC"/>
    <w:rsid w:val="00E44ECE"/>
    <w:rsid w:val="00E456F8"/>
    <w:rsid w:val="00E45B4B"/>
    <w:rsid w:val="00E4638D"/>
    <w:rsid w:val="00E5079C"/>
    <w:rsid w:val="00E50DD0"/>
    <w:rsid w:val="00E50EB8"/>
    <w:rsid w:val="00E52804"/>
    <w:rsid w:val="00E52B84"/>
    <w:rsid w:val="00E5441F"/>
    <w:rsid w:val="00E5612A"/>
    <w:rsid w:val="00E6038C"/>
    <w:rsid w:val="00E606E1"/>
    <w:rsid w:val="00E61EC1"/>
    <w:rsid w:val="00E6281C"/>
    <w:rsid w:val="00E62C2D"/>
    <w:rsid w:val="00E64B69"/>
    <w:rsid w:val="00E652BF"/>
    <w:rsid w:val="00E652C7"/>
    <w:rsid w:val="00E655B8"/>
    <w:rsid w:val="00E658E9"/>
    <w:rsid w:val="00E65D11"/>
    <w:rsid w:val="00E660A6"/>
    <w:rsid w:val="00E6617F"/>
    <w:rsid w:val="00E67D12"/>
    <w:rsid w:val="00E70BC9"/>
    <w:rsid w:val="00E71205"/>
    <w:rsid w:val="00E71B32"/>
    <w:rsid w:val="00E73BBE"/>
    <w:rsid w:val="00E742C3"/>
    <w:rsid w:val="00E74E97"/>
    <w:rsid w:val="00E762D0"/>
    <w:rsid w:val="00E76C34"/>
    <w:rsid w:val="00E76E63"/>
    <w:rsid w:val="00E77379"/>
    <w:rsid w:val="00E80EB3"/>
    <w:rsid w:val="00E8143E"/>
    <w:rsid w:val="00E81474"/>
    <w:rsid w:val="00E82526"/>
    <w:rsid w:val="00E833B5"/>
    <w:rsid w:val="00E835B9"/>
    <w:rsid w:val="00E83E1A"/>
    <w:rsid w:val="00E841AD"/>
    <w:rsid w:val="00E84A14"/>
    <w:rsid w:val="00E84E17"/>
    <w:rsid w:val="00E84EB2"/>
    <w:rsid w:val="00E87B67"/>
    <w:rsid w:val="00E901E5"/>
    <w:rsid w:val="00E903F8"/>
    <w:rsid w:val="00E90642"/>
    <w:rsid w:val="00E90F7C"/>
    <w:rsid w:val="00E91308"/>
    <w:rsid w:val="00E92370"/>
    <w:rsid w:val="00E92B0A"/>
    <w:rsid w:val="00E937D3"/>
    <w:rsid w:val="00E95ED2"/>
    <w:rsid w:val="00E9634C"/>
    <w:rsid w:val="00E963B8"/>
    <w:rsid w:val="00E96967"/>
    <w:rsid w:val="00E9780D"/>
    <w:rsid w:val="00EA05D5"/>
    <w:rsid w:val="00EA0631"/>
    <w:rsid w:val="00EA25FD"/>
    <w:rsid w:val="00EA2B08"/>
    <w:rsid w:val="00EA2C89"/>
    <w:rsid w:val="00EA2E0C"/>
    <w:rsid w:val="00EA48E3"/>
    <w:rsid w:val="00EA50B9"/>
    <w:rsid w:val="00EA692E"/>
    <w:rsid w:val="00EA7192"/>
    <w:rsid w:val="00EA7ED8"/>
    <w:rsid w:val="00EB0907"/>
    <w:rsid w:val="00EB1BAA"/>
    <w:rsid w:val="00EB2157"/>
    <w:rsid w:val="00EB2434"/>
    <w:rsid w:val="00EB30ED"/>
    <w:rsid w:val="00EB3953"/>
    <w:rsid w:val="00EB4189"/>
    <w:rsid w:val="00EB43C0"/>
    <w:rsid w:val="00EB4EEE"/>
    <w:rsid w:val="00EB6984"/>
    <w:rsid w:val="00EB7E86"/>
    <w:rsid w:val="00EC076D"/>
    <w:rsid w:val="00EC1D19"/>
    <w:rsid w:val="00EC214F"/>
    <w:rsid w:val="00EC335E"/>
    <w:rsid w:val="00EC4743"/>
    <w:rsid w:val="00EC5988"/>
    <w:rsid w:val="00EC5D03"/>
    <w:rsid w:val="00EC5DA5"/>
    <w:rsid w:val="00ED086B"/>
    <w:rsid w:val="00ED0B56"/>
    <w:rsid w:val="00ED1213"/>
    <w:rsid w:val="00ED14CF"/>
    <w:rsid w:val="00ED18C4"/>
    <w:rsid w:val="00ED20B2"/>
    <w:rsid w:val="00ED26D6"/>
    <w:rsid w:val="00ED2E63"/>
    <w:rsid w:val="00ED3C5B"/>
    <w:rsid w:val="00ED69FB"/>
    <w:rsid w:val="00ED760E"/>
    <w:rsid w:val="00ED7709"/>
    <w:rsid w:val="00EE0067"/>
    <w:rsid w:val="00EE03E6"/>
    <w:rsid w:val="00EE056B"/>
    <w:rsid w:val="00EE057F"/>
    <w:rsid w:val="00EE08D3"/>
    <w:rsid w:val="00EE26D5"/>
    <w:rsid w:val="00EE3214"/>
    <w:rsid w:val="00EE469C"/>
    <w:rsid w:val="00EE567E"/>
    <w:rsid w:val="00EE5E7A"/>
    <w:rsid w:val="00EE6CF9"/>
    <w:rsid w:val="00EE6E37"/>
    <w:rsid w:val="00EF04BD"/>
    <w:rsid w:val="00EF053A"/>
    <w:rsid w:val="00EF0C5F"/>
    <w:rsid w:val="00EF1A94"/>
    <w:rsid w:val="00EF20F9"/>
    <w:rsid w:val="00EF295B"/>
    <w:rsid w:val="00EF34F9"/>
    <w:rsid w:val="00EF5061"/>
    <w:rsid w:val="00EF50FD"/>
    <w:rsid w:val="00EF5526"/>
    <w:rsid w:val="00EF70EA"/>
    <w:rsid w:val="00EF7222"/>
    <w:rsid w:val="00EF7F34"/>
    <w:rsid w:val="00F00A9D"/>
    <w:rsid w:val="00F00D2B"/>
    <w:rsid w:val="00F01810"/>
    <w:rsid w:val="00F018B2"/>
    <w:rsid w:val="00F01ED1"/>
    <w:rsid w:val="00F02179"/>
    <w:rsid w:val="00F0246A"/>
    <w:rsid w:val="00F02567"/>
    <w:rsid w:val="00F03358"/>
    <w:rsid w:val="00F034D0"/>
    <w:rsid w:val="00F0426A"/>
    <w:rsid w:val="00F054AD"/>
    <w:rsid w:val="00F058B8"/>
    <w:rsid w:val="00F05A65"/>
    <w:rsid w:val="00F05AD9"/>
    <w:rsid w:val="00F07F77"/>
    <w:rsid w:val="00F12624"/>
    <w:rsid w:val="00F13A00"/>
    <w:rsid w:val="00F15365"/>
    <w:rsid w:val="00F16C50"/>
    <w:rsid w:val="00F17704"/>
    <w:rsid w:val="00F17801"/>
    <w:rsid w:val="00F20849"/>
    <w:rsid w:val="00F2296D"/>
    <w:rsid w:val="00F22E80"/>
    <w:rsid w:val="00F233FD"/>
    <w:rsid w:val="00F23703"/>
    <w:rsid w:val="00F24CC7"/>
    <w:rsid w:val="00F24DBB"/>
    <w:rsid w:val="00F250A1"/>
    <w:rsid w:val="00F25A1A"/>
    <w:rsid w:val="00F27F26"/>
    <w:rsid w:val="00F300DA"/>
    <w:rsid w:val="00F31430"/>
    <w:rsid w:val="00F315FD"/>
    <w:rsid w:val="00F31A28"/>
    <w:rsid w:val="00F321A6"/>
    <w:rsid w:val="00F33018"/>
    <w:rsid w:val="00F33536"/>
    <w:rsid w:val="00F35B85"/>
    <w:rsid w:val="00F35F44"/>
    <w:rsid w:val="00F36918"/>
    <w:rsid w:val="00F37083"/>
    <w:rsid w:val="00F402DF"/>
    <w:rsid w:val="00F40E6D"/>
    <w:rsid w:val="00F41C96"/>
    <w:rsid w:val="00F42CFF"/>
    <w:rsid w:val="00F42D05"/>
    <w:rsid w:val="00F42D87"/>
    <w:rsid w:val="00F43BD7"/>
    <w:rsid w:val="00F4442C"/>
    <w:rsid w:val="00F44771"/>
    <w:rsid w:val="00F44BE1"/>
    <w:rsid w:val="00F45B9E"/>
    <w:rsid w:val="00F4656E"/>
    <w:rsid w:val="00F46631"/>
    <w:rsid w:val="00F47574"/>
    <w:rsid w:val="00F47B05"/>
    <w:rsid w:val="00F505DC"/>
    <w:rsid w:val="00F5213E"/>
    <w:rsid w:val="00F542C9"/>
    <w:rsid w:val="00F543C1"/>
    <w:rsid w:val="00F5502D"/>
    <w:rsid w:val="00F563E6"/>
    <w:rsid w:val="00F56672"/>
    <w:rsid w:val="00F5746E"/>
    <w:rsid w:val="00F57F6F"/>
    <w:rsid w:val="00F6053C"/>
    <w:rsid w:val="00F60A53"/>
    <w:rsid w:val="00F6185A"/>
    <w:rsid w:val="00F629DB"/>
    <w:rsid w:val="00F637B2"/>
    <w:rsid w:val="00F64DC6"/>
    <w:rsid w:val="00F65369"/>
    <w:rsid w:val="00F706D2"/>
    <w:rsid w:val="00F70F22"/>
    <w:rsid w:val="00F72D50"/>
    <w:rsid w:val="00F72E1C"/>
    <w:rsid w:val="00F72F12"/>
    <w:rsid w:val="00F73A12"/>
    <w:rsid w:val="00F75E55"/>
    <w:rsid w:val="00F778FC"/>
    <w:rsid w:val="00F80218"/>
    <w:rsid w:val="00F805FC"/>
    <w:rsid w:val="00F80B25"/>
    <w:rsid w:val="00F8104B"/>
    <w:rsid w:val="00F811EF"/>
    <w:rsid w:val="00F81F4E"/>
    <w:rsid w:val="00F82ABE"/>
    <w:rsid w:val="00F83C17"/>
    <w:rsid w:val="00F83CC3"/>
    <w:rsid w:val="00F83D63"/>
    <w:rsid w:val="00F84928"/>
    <w:rsid w:val="00F8530C"/>
    <w:rsid w:val="00F8734C"/>
    <w:rsid w:val="00F87A18"/>
    <w:rsid w:val="00F87AEB"/>
    <w:rsid w:val="00F9061E"/>
    <w:rsid w:val="00F91052"/>
    <w:rsid w:val="00F91715"/>
    <w:rsid w:val="00F91B9E"/>
    <w:rsid w:val="00F923FA"/>
    <w:rsid w:val="00F944D8"/>
    <w:rsid w:val="00F945D8"/>
    <w:rsid w:val="00F955AF"/>
    <w:rsid w:val="00F95E76"/>
    <w:rsid w:val="00F96893"/>
    <w:rsid w:val="00F96BE9"/>
    <w:rsid w:val="00F96CBD"/>
    <w:rsid w:val="00F96D2B"/>
    <w:rsid w:val="00F971E3"/>
    <w:rsid w:val="00F9739B"/>
    <w:rsid w:val="00F97C08"/>
    <w:rsid w:val="00FA1A5E"/>
    <w:rsid w:val="00FA2433"/>
    <w:rsid w:val="00FA598B"/>
    <w:rsid w:val="00FA60B6"/>
    <w:rsid w:val="00FA6B9C"/>
    <w:rsid w:val="00FA70F9"/>
    <w:rsid w:val="00FA78AA"/>
    <w:rsid w:val="00FA7EFC"/>
    <w:rsid w:val="00FB1653"/>
    <w:rsid w:val="00FB1871"/>
    <w:rsid w:val="00FB21EF"/>
    <w:rsid w:val="00FB2EC5"/>
    <w:rsid w:val="00FB367A"/>
    <w:rsid w:val="00FB415C"/>
    <w:rsid w:val="00FB610B"/>
    <w:rsid w:val="00FB6F9A"/>
    <w:rsid w:val="00FC160F"/>
    <w:rsid w:val="00FC27A3"/>
    <w:rsid w:val="00FC4C92"/>
    <w:rsid w:val="00FC5B37"/>
    <w:rsid w:val="00FC62A4"/>
    <w:rsid w:val="00FC67CD"/>
    <w:rsid w:val="00FC6998"/>
    <w:rsid w:val="00FC6D1C"/>
    <w:rsid w:val="00FC6F07"/>
    <w:rsid w:val="00FD020E"/>
    <w:rsid w:val="00FD1402"/>
    <w:rsid w:val="00FD27ED"/>
    <w:rsid w:val="00FD4092"/>
    <w:rsid w:val="00FD45EF"/>
    <w:rsid w:val="00FD5497"/>
    <w:rsid w:val="00FD61D5"/>
    <w:rsid w:val="00FE0C82"/>
    <w:rsid w:val="00FE1068"/>
    <w:rsid w:val="00FE1832"/>
    <w:rsid w:val="00FE292F"/>
    <w:rsid w:val="00FE2E2B"/>
    <w:rsid w:val="00FE3199"/>
    <w:rsid w:val="00FE4630"/>
    <w:rsid w:val="00FE49F1"/>
    <w:rsid w:val="00FE4CB5"/>
    <w:rsid w:val="00FE51F4"/>
    <w:rsid w:val="00FE6AE9"/>
    <w:rsid w:val="00FE6ED6"/>
    <w:rsid w:val="00FE7CEA"/>
    <w:rsid w:val="00FF1C4D"/>
    <w:rsid w:val="00FF2787"/>
    <w:rsid w:val="00FF2F70"/>
    <w:rsid w:val="00FF3A4E"/>
    <w:rsid w:val="00FF3C1F"/>
    <w:rsid w:val="00FF481F"/>
    <w:rsid w:val="00FF5D11"/>
    <w:rsid w:val="00FF6755"/>
    <w:rsid w:val="00FF6D24"/>
    <w:rsid w:val="00FF6F74"/>
    <w:rsid w:val="00FF73AD"/>
    <w:rsid w:val="00FF745F"/>
    <w:rsid w:val="0148FFF0"/>
    <w:rsid w:val="03AAE382"/>
    <w:rsid w:val="060B5872"/>
    <w:rsid w:val="061BF9A0"/>
    <w:rsid w:val="06A72C96"/>
    <w:rsid w:val="076D7AC1"/>
    <w:rsid w:val="08641489"/>
    <w:rsid w:val="08E7EECC"/>
    <w:rsid w:val="09011820"/>
    <w:rsid w:val="0A05DAD4"/>
    <w:rsid w:val="0A2A19DF"/>
    <w:rsid w:val="0A5C785C"/>
    <w:rsid w:val="0B229FAF"/>
    <w:rsid w:val="0B61EB13"/>
    <w:rsid w:val="0BF6F700"/>
    <w:rsid w:val="0C8D89E2"/>
    <w:rsid w:val="0D290ABF"/>
    <w:rsid w:val="0EDA2A18"/>
    <w:rsid w:val="10AE13DD"/>
    <w:rsid w:val="11328C94"/>
    <w:rsid w:val="12058C91"/>
    <w:rsid w:val="12AD066F"/>
    <w:rsid w:val="13F317C4"/>
    <w:rsid w:val="15176645"/>
    <w:rsid w:val="153CE572"/>
    <w:rsid w:val="15C16AB5"/>
    <w:rsid w:val="164D9BD6"/>
    <w:rsid w:val="16796EDA"/>
    <w:rsid w:val="169D1A76"/>
    <w:rsid w:val="16AF7CAD"/>
    <w:rsid w:val="17595A82"/>
    <w:rsid w:val="17D13D63"/>
    <w:rsid w:val="18FAC3FA"/>
    <w:rsid w:val="19D83502"/>
    <w:rsid w:val="1A6F8E49"/>
    <w:rsid w:val="1B950CE2"/>
    <w:rsid w:val="1CBB35F9"/>
    <w:rsid w:val="1CD82DA8"/>
    <w:rsid w:val="1DF86ED0"/>
    <w:rsid w:val="1E5C0B01"/>
    <w:rsid w:val="1F203774"/>
    <w:rsid w:val="1F79CC17"/>
    <w:rsid w:val="201D259B"/>
    <w:rsid w:val="2029EBC7"/>
    <w:rsid w:val="20D03354"/>
    <w:rsid w:val="218D2A96"/>
    <w:rsid w:val="228E1A5F"/>
    <w:rsid w:val="22F506BE"/>
    <w:rsid w:val="22FFDD0E"/>
    <w:rsid w:val="23ED8BB2"/>
    <w:rsid w:val="24919A58"/>
    <w:rsid w:val="2492AB00"/>
    <w:rsid w:val="25A68A47"/>
    <w:rsid w:val="2664F905"/>
    <w:rsid w:val="27FA92CD"/>
    <w:rsid w:val="29B79EB3"/>
    <w:rsid w:val="2A4A3BF0"/>
    <w:rsid w:val="2AEA4ACE"/>
    <w:rsid w:val="2B0D2103"/>
    <w:rsid w:val="2C1C5AC7"/>
    <w:rsid w:val="2C78764A"/>
    <w:rsid w:val="2CAAAD67"/>
    <w:rsid w:val="2CF4FB8F"/>
    <w:rsid w:val="2D1BD274"/>
    <w:rsid w:val="2FD056BD"/>
    <w:rsid w:val="30ED4E3C"/>
    <w:rsid w:val="3217DADE"/>
    <w:rsid w:val="3305333E"/>
    <w:rsid w:val="33F55D34"/>
    <w:rsid w:val="347CB9C9"/>
    <w:rsid w:val="34A81826"/>
    <w:rsid w:val="35409828"/>
    <w:rsid w:val="35630618"/>
    <w:rsid w:val="35672BA4"/>
    <w:rsid w:val="35F83A1D"/>
    <w:rsid w:val="36887CC1"/>
    <w:rsid w:val="3796BB74"/>
    <w:rsid w:val="38ED3105"/>
    <w:rsid w:val="39214B39"/>
    <w:rsid w:val="3979FBD2"/>
    <w:rsid w:val="39D30B9A"/>
    <w:rsid w:val="3A0EB198"/>
    <w:rsid w:val="3A4C5D47"/>
    <w:rsid w:val="3A585E4C"/>
    <w:rsid w:val="3A6A0AB7"/>
    <w:rsid w:val="3AB7EF25"/>
    <w:rsid w:val="3B009745"/>
    <w:rsid w:val="3B5B1340"/>
    <w:rsid w:val="3BDBC0DF"/>
    <w:rsid w:val="3E1EC9E1"/>
    <w:rsid w:val="3E360FDE"/>
    <w:rsid w:val="3E364869"/>
    <w:rsid w:val="3E37CDD1"/>
    <w:rsid w:val="3E472C12"/>
    <w:rsid w:val="3E74762A"/>
    <w:rsid w:val="3E8AECE3"/>
    <w:rsid w:val="3EAECEB1"/>
    <w:rsid w:val="3F1F6E08"/>
    <w:rsid w:val="4028EE4A"/>
    <w:rsid w:val="407047BA"/>
    <w:rsid w:val="415BEEE1"/>
    <w:rsid w:val="416C3B8D"/>
    <w:rsid w:val="42A6E357"/>
    <w:rsid w:val="42EB6529"/>
    <w:rsid w:val="42F3CDFD"/>
    <w:rsid w:val="43042F42"/>
    <w:rsid w:val="4320369E"/>
    <w:rsid w:val="447C9BA9"/>
    <w:rsid w:val="44B9C1FF"/>
    <w:rsid w:val="453CABFB"/>
    <w:rsid w:val="454009BE"/>
    <w:rsid w:val="45787370"/>
    <w:rsid w:val="45790ACE"/>
    <w:rsid w:val="45C3F854"/>
    <w:rsid w:val="45E2A813"/>
    <w:rsid w:val="46A20F9B"/>
    <w:rsid w:val="47CAB7D6"/>
    <w:rsid w:val="47EE11FA"/>
    <w:rsid w:val="484FCCD4"/>
    <w:rsid w:val="486DAFAA"/>
    <w:rsid w:val="48EEA689"/>
    <w:rsid w:val="48F0074F"/>
    <w:rsid w:val="493EF09C"/>
    <w:rsid w:val="499A9CD8"/>
    <w:rsid w:val="4B4CC0C5"/>
    <w:rsid w:val="4C86F22F"/>
    <w:rsid w:val="4CD01B21"/>
    <w:rsid w:val="4D5C2A49"/>
    <w:rsid w:val="4E3FBB5B"/>
    <w:rsid w:val="4E90D1F5"/>
    <w:rsid w:val="4E94AF44"/>
    <w:rsid w:val="4EF3E245"/>
    <w:rsid w:val="4F007888"/>
    <w:rsid w:val="4F287DCD"/>
    <w:rsid w:val="516B70BB"/>
    <w:rsid w:val="51A765F8"/>
    <w:rsid w:val="540C8A34"/>
    <w:rsid w:val="554724A1"/>
    <w:rsid w:val="55A7C0DC"/>
    <w:rsid w:val="55CAD8D3"/>
    <w:rsid w:val="55E27F1F"/>
    <w:rsid w:val="55F34EE7"/>
    <w:rsid w:val="56213AA7"/>
    <w:rsid w:val="5708860E"/>
    <w:rsid w:val="57952D2B"/>
    <w:rsid w:val="57AC4336"/>
    <w:rsid w:val="57E5F820"/>
    <w:rsid w:val="58962650"/>
    <w:rsid w:val="58CF6E77"/>
    <w:rsid w:val="59545163"/>
    <w:rsid w:val="59EE81F6"/>
    <w:rsid w:val="59F0E0ED"/>
    <w:rsid w:val="5A27479F"/>
    <w:rsid w:val="5A8BE676"/>
    <w:rsid w:val="5B6C4B2B"/>
    <w:rsid w:val="5B734AC1"/>
    <w:rsid w:val="5BCBFC98"/>
    <w:rsid w:val="5BE31704"/>
    <w:rsid w:val="5C0CF522"/>
    <w:rsid w:val="5CA86C23"/>
    <w:rsid w:val="5CB8F6D5"/>
    <w:rsid w:val="5EAB6936"/>
    <w:rsid w:val="5F88A593"/>
    <w:rsid w:val="5FEF56E1"/>
    <w:rsid w:val="6232766B"/>
    <w:rsid w:val="62455F04"/>
    <w:rsid w:val="627F80B2"/>
    <w:rsid w:val="628E5657"/>
    <w:rsid w:val="6342EC24"/>
    <w:rsid w:val="64CC9BEA"/>
    <w:rsid w:val="64EFF009"/>
    <w:rsid w:val="654FF44D"/>
    <w:rsid w:val="668911C2"/>
    <w:rsid w:val="66EDF8F0"/>
    <w:rsid w:val="6713F75C"/>
    <w:rsid w:val="67712667"/>
    <w:rsid w:val="6812ED20"/>
    <w:rsid w:val="68F6F341"/>
    <w:rsid w:val="69659DF2"/>
    <w:rsid w:val="698BDE32"/>
    <w:rsid w:val="6A2914F7"/>
    <w:rsid w:val="6A67E7AC"/>
    <w:rsid w:val="6A98AE69"/>
    <w:rsid w:val="6C03D14E"/>
    <w:rsid w:val="6CDFF2C7"/>
    <w:rsid w:val="6CEB302B"/>
    <w:rsid w:val="6D5B30C3"/>
    <w:rsid w:val="6DBF79A7"/>
    <w:rsid w:val="702D0099"/>
    <w:rsid w:val="70AD0ACA"/>
    <w:rsid w:val="7195BA15"/>
    <w:rsid w:val="7237E9FA"/>
    <w:rsid w:val="7337DCAF"/>
    <w:rsid w:val="734D4F16"/>
    <w:rsid w:val="74A8B690"/>
    <w:rsid w:val="76108158"/>
    <w:rsid w:val="76D3C514"/>
    <w:rsid w:val="778017C7"/>
    <w:rsid w:val="77BFA325"/>
    <w:rsid w:val="7845CD59"/>
    <w:rsid w:val="7AD7AFBC"/>
    <w:rsid w:val="7BB50E53"/>
    <w:rsid w:val="7BDEEE0F"/>
    <w:rsid w:val="7CDCE639"/>
    <w:rsid w:val="7D2A27DF"/>
    <w:rsid w:val="7E0C7F3E"/>
    <w:rsid w:val="7FCF966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E221"/>
  <w15:chartTrackingRefBased/>
  <w15:docId w15:val="{1839950D-0F54-423C-8835-036A397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C"/>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paragraph" w:customStyle="1" w:styleId="NumberedParagraph">
    <w:name w:val="Numbered Paragraph"/>
    <w:basedOn w:val="Normal"/>
    <w:qFormat/>
    <w:rsid w:val="00F95E76"/>
    <w:pPr>
      <w:numPr>
        <w:numId w:val="36"/>
      </w:numPr>
      <w:spacing w:after="200" w:line="240" w:lineRule="auto"/>
      <w:jc w:val="both"/>
    </w:pPr>
    <w:rPr>
      <w:rFonts w:ascii="Verdana" w:eastAsiaTheme="minorHAnsi" w:hAnsi="Verdana" w:cstheme="minorBidi"/>
      <w:sz w:val="20"/>
      <w:szCs w:val="23"/>
      <w:lang w:val="en-NZ" w:eastAsia="en-NZ"/>
    </w:rPr>
  </w:style>
  <w:style w:type="character" w:styleId="Mention">
    <w:name w:val="Mention"/>
    <w:basedOn w:val="DefaultParagraphFont"/>
    <w:uiPriority w:val="99"/>
    <w:unhideWhenUsed/>
    <w:rsid w:val="008D4F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600455066">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0E32799E-4D04-48C2-B650-A7C01BA8FEC9}"/>
</file>

<file path=customXml/itemProps2.xml><?xml version="1.0" encoding="utf-8"?>
<ds:datastoreItem xmlns:ds="http://schemas.openxmlformats.org/officeDocument/2006/customXml" ds:itemID="{9586050E-A120-4A01-998E-FBA2A9D469A3}"/>
</file>

<file path=customXml/itemProps3.xml><?xml version="1.0" encoding="utf-8"?>
<ds:datastoreItem xmlns:ds="http://schemas.openxmlformats.org/officeDocument/2006/customXml" ds:itemID="{2B23F385-FF6F-4705-B601-0FA7C6DE02F9}"/>
</file>

<file path=docProps/app.xml><?xml version="1.0" encoding="utf-8"?>
<Properties xmlns="http://schemas.openxmlformats.org/officeDocument/2006/extended-properties" xmlns:vt="http://schemas.openxmlformats.org/officeDocument/2006/docPropsVTypes">
  <Template>Normal.dotm</Template>
  <TotalTime>1</TotalTime>
  <Pages>18</Pages>
  <Words>6419</Words>
  <Characters>36592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Regulatory impact assessment/statement: Local authority taxation – dividends and deductions (17 June 2021)</vt:lpstr>
    </vt:vector>
  </TitlesOfParts>
  <Company>Inland Revenue</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Local authority taxation – dividends and deductions (17 June 2021)</dc:title>
  <dc:subject/>
  <dc:creator>Policy and Regulatory Stewardship</dc:creator>
  <cp:keywords/>
  <dc:description/>
  <dcterms:created xsi:type="dcterms:W3CDTF">2021-08-20T02:26:00Z</dcterms:created>
  <dcterms:modified xsi:type="dcterms:W3CDTF">2021-08-20T02:27:00Z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