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15F4C05F" w:rsidR="00EF50FD" w:rsidRPr="00A864A5" w:rsidRDefault="00EF50FD" w:rsidP="00AE0D61">
      <w:pPr>
        <w:pStyle w:val="Heading1"/>
        <w:spacing w:before="0" w:after="120" w:line="276" w:lineRule="auto"/>
        <w:rPr>
          <w:color w:val="0082AB"/>
          <w:lang w:val="en-NZ"/>
        </w:rPr>
      </w:pPr>
      <w:bookmarkStart w:id="0" w:name="_Hlk78821694"/>
      <w:r w:rsidRPr="00A864A5">
        <w:rPr>
          <w:color w:val="0082AB"/>
          <w:lang w:val="en-NZ"/>
        </w:rPr>
        <w:t xml:space="preserve">Regulatory Impact Statement: </w:t>
      </w:r>
      <w:r w:rsidR="00CD53B4" w:rsidRPr="00CD53B4">
        <w:rPr>
          <w:color w:val="0082AB"/>
          <w:lang w:val="en-NZ"/>
        </w:rPr>
        <w:t>Limiting interest deductibility on residential investment propert</w:t>
      </w:r>
      <w:r w:rsidR="00CD53B4">
        <w:rPr>
          <w:color w:val="0082AB"/>
          <w:lang w:val="en-NZ"/>
        </w:rPr>
        <w:t>y</w:t>
      </w:r>
    </w:p>
    <w:p w14:paraId="3BD94C32" w14:textId="2F835BE6" w:rsidR="0062657E" w:rsidRPr="00A864A5" w:rsidRDefault="0017116F" w:rsidP="00273FD3">
      <w:pPr>
        <w:pStyle w:val="Heading2"/>
        <w:jc w:val="both"/>
        <w:rPr>
          <w:lang w:val="en-NZ"/>
        </w:rPr>
      </w:pPr>
      <w:r w:rsidRPr="00A864A5">
        <w:rPr>
          <w:lang w:val="en-NZ"/>
        </w:rPr>
        <w:t>Covershee</w:t>
      </w:r>
      <w:r w:rsidR="00EF50FD" w:rsidRPr="00A864A5">
        <w:rPr>
          <w:lang w:val="en-NZ"/>
        </w:rPr>
        <w:t>t</w:t>
      </w:r>
    </w:p>
    <w:p w14:paraId="6DD276F7" w14:textId="7DC5C400" w:rsidR="0062657E" w:rsidRPr="00A864A5" w:rsidRDefault="0062657E" w:rsidP="00273FD3">
      <w:pPr>
        <w:pStyle w:val="spacer"/>
        <w:jc w:val="both"/>
        <w:rPr>
          <w:lang w:val="en-NZ"/>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296"/>
        <w:gridCol w:w="6556"/>
      </w:tblGrid>
      <w:tr w:rsidR="001F29E6" w:rsidRPr="00A864A5" w14:paraId="24CAC5A8" w14:textId="77777777" w:rsidTr="00045034">
        <w:tc>
          <w:tcPr>
            <w:tcW w:w="5000" w:type="pct"/>
            <w:gridSpan w:val="2"/>
            <w:tcBorders>
              <w:bottom w:val="single" w:sz="4" w:space="0" w:color="DDDDDD"/>
            </w:tcBorders>
            <w:shd w:val="clear" w:color="auto" w:fill="99CDDD"/>
            <w:hideMark/>
          </w:tcPr>
          <w:p w14:paraId="3273EFFF" w14:textId="48C848C9" w:rsidR="001F29E6" w:rsidRPr="00A864A5" w:rsidRDefault="001F29E6" w:rsidP="00273FD3">
            <w:pPr>
              <w:pStyle w:val="TableHeadings"/>
              <w:jc w:val="both"/>
              <w:rPr>
                <w:color w:val="002060"/>
                <w:szCs w:val="22"/>
                <w:lang w:val="en-NZ"/>
              </w:rPr>
            </w:pPr>
            <w:bookmarkStart w:id="1" w:name="_Hlk47357107"/>
            <w:r w:rsidRPr="00A864A5">
              <w:rPr>
                <w:szCs w:val="22"/>
                <w:lang w:val="en-NZ"/>
              </w:rPr>
              <w:t>Purpose</w:t>
            </w:r>
            <w:r w:rsidR="002C0E77">
              <w:rPr>
                <w:szCs w:val="22"/>
                <w:lang w:val="en-NZ"/>
              </w:rPr>
              <w:t xml:space="preserve"> of Document</w:t>
            </w:r>
          </w:p>
        </w:tc>
      </w:tr>
      <w:tr w:rsidR="001F29E6" w:rsidRPr="00A864A5" w14:paraId="24C44C49" w14:textId="77777777" w:rsidTr="000C29FA">
        <w:trPr>
          <w:trHeight w:val="414"/>
        </w:trPr>
        <w:tc>
          <w:tcPr>
            <w:tcW w:w="1297" w:type="pct"/>
            <w:tcBorders>
              <w:top w:val="nil"/>
            </w:tcBorders>
            <w:shd w:val="clear" w:color="auto" w:fill="EBF5F8"/>
          </w:tcPr>
          <w:p w14:paraId="120D8478" w14:textId="731F9FCE" w:rsidR="001F29E6" w:rsidRPr="00A864A5" w:rsidRDefault="001F29E6" w:rsidP="00273FD3">
            <w:pPr>
              <w:spacing w:after="180"/>
              <w:jc w:val="both"/>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703" w:type="pct"/>
            <w:tcBorders>
              <w:top w:val="nil"/>
            </w:tcBorders>
            <w:shd w:val="clear" w:color="auto" w:fill="auto"/>
          </w:tcPr>
          <w:p w14:paraId="2B9F992E" w14:textId="61291CCD" w:rsidR="001F29E6" w:rsidRPr="00000A05" w:rsidRDefault="006C4ED7" w:rsidP="00273FD3">
            <w:pPr>
              <w:spacing w:after="180"/>
              <w:jc w:val="both"/>
              <w:rPr>
                <w:rFonts w:cs="Arial"/>
                <w:i/>
                <w:color w:val="000000"/>
                <w:szCs w:val="22"/>
                <w:lang w:val="en-NZ"/>
              </w:rPr>
            </w:pPr>
            <w:r w:rsidRPr="00000A05">
              <w:rPr>
                <w:rFonts w:cs="Arial"/>
                <w:i/>
                <w:color w:val="000000"/>
                <w:szCs w:val="22"/>
                <w:lang w:val="en-NZ"/>
              </w:rPr>
              <w:t xml:space="preserve">Agree to </w:t>
            </w:r>
            <w:r w:rsidR="00DC0884" w:rsidRPr="00000A05">
              <w:rPr>
                <w:rFonts w:cs="Arial"/>
                <w:i/>
                <w:color w:val="000000"/>
                <w:szCs w:val="22"/>
                <w:lang w:val="en-NZ"/>
              </w:rPr>
              <w:t>limit interest deductions for resident investment property</w:t>
            </w:r>
          </w:p>
        </w:tc>
      </w:tr>
      <w:tr w:rsidR="001F29E6" w:rsidRPr="00A864A5" w14:paraId="2895A1B0" w14:textId="77777777" w:rsidTr="000C29FA">
        <w:trPr>
          <w:trHeight w:val="506"/>
        </w:trPr>
        <w:tc>
          <w:tcPr>
            <w:tcW w:w="1297" w:type="pct"/>
            <w:tcBorders>
              <w:top w:val="nil"/>
            </w:tcBorders>
            <w:shd w:val="clear" w:color="auto" w:fill="EBF5F8"/>
          </w:tcPr>
          <w:p w14:paraId="19AF4671" w14:textId="697D59E7" w:rsidR="001F29E6" w:rsidRPr="00A864A5" w:rsidRDefault="002C0E77" w:rsidP="00273FD3">
            <w:pPr>
              <w:spacing w:after="180"/>
              <w:jc w:val="both"/>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703" w:type="pct"/>
            <w:tcBorders>
              <w:top w:val="nil"/>
            </w:tcBorders>
            <w:shd w:val="clear" w:color="auto" w:fill="auto"/>
          </w:tcPr>
          <w:p w14:paraId="742E202F" w14:textId="0D74317A" w:rsidR="00DC0884" w:rsidRPr="00000A05" w:rsidRDefault="00DC0884" w:rsidP="00273FD3">
            <w:pPr>
              <w:spacing w:after="180" w:line="240" w:lineRule="auto"/>
              <w:jc w:val="both"/>
              <w:rPr>
                <w:rFonts w:cs="Arial"/>
                <w:i/>
                <w:color w:val="000000"/>
                <w:szCs w:val="22"/>
                <w:lang w:val="en-NZ"/>
              </w:rPr>
            </w:pPr>
            <w:r w:rsidRPr="00000A05">
              <w:rPr>
                <w:rFonts w:cs="Arial"/>
                <w:i/>
                <w:color w:val="000000"/>
                <w:szCs w:val="22"/>
                <w:lang w:val="en-NZ"/>
              </w:rPr>
              <w:t>Inland Revenue</w:t>
            </w:r>
            <w:r w:rsidR="00C05560" w:rsidRPr="00000A05">
              <w:rPr>
                <w:rFonts w:cs="Arial"/>
                <w:i/>
                <w:color w:val="000000"/>
                <w:szCs w:val="22"/>
                <w:lang w:val="en-NZ"/>
              </w:rPr>
              <w:t xml:space="preserve"> </w:t>
            </w:r>
          </w:p>
        </w:tc>
      </w:tr>
      <w:tr w:rsidR="001F29E6" w:rsidRPr="00A864A5" w14:paraId="568C5BEC" w14:textId="77777777" w:rsidTr="000C29FA">
        <w:trPr>
          <w:trHeight w:val="317"/>
        </w:trPr>
        <w:tc>
          <w:tcPr>
            <w:tcW w:w="1297" w:type="pct"/>
            <w:tcBorders>
              <w:top w:val="nil"/>
            </w:tcBorders>
            <w:shd w:val="clear" w:color="auto" w:fill="EBF5F8"/>
          </w:tcPr>
          <w:p w14:paraId="0F68A519" w14:textId="4F678206" w:rsidR="001F29E6" w:rsidRPr="00A864A5" w:rsidRDefault="001F29E6" w:rsidP="00273FD3">
            <w:pPr>
              <w:spacing w:after="180"/>
              <w:jc w:val="both"/>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703" w:type="pct"/>
            <w:tcBorders>
              <w:top w:val="nil"/>
            </w:tcBorders>
            <w:shd w:val="clear" w:color="auto" w:fill="auto"/>
          </w:tcPr>
          <w:p w14:paraId="01EEE4E3" w14:textId="77777777" w:rsidR="00F7561A" w:rsidRPr="00000A05" w:rsidRDefault="00F7561A" w:rsidP="00273FD3">
            <w:pPr>
              <w:spacing w:after="180" w:line="240" w:lineRule="auto"/>
              <w:jc w:val="both"/>
              <w:rPr>
                <w:i/>
              </w:rPr>
            </w:pPr>
            <w:r w:rsidRPr="00000A05">
              <w:rPr>
                <w:i/>
              </w:rPr>
              <w:t xml:space="preserve">Minister of Finance </w:t>
            </w:r>
          </w:p>
          <w:p w14:paraId="6B045988" w14:textId="77777777" w:rsidR="00F7561A" w:rsidRPr="00000A05" w:rsidRDefault="00F7561A" w:rsidP="00273FD3">
            <w:pPr>
              <w:spacing w:after="180" w:line="240" w:lineRule="auto"/>
              <w:jc w:val="both"/>
              <w:rPr>
                <w:i/>
              </w:rPr>
            </w:pPr>
            <w:r w:rsidRPr="00000A05">
              <w:rPr>
                <w:i/>
              </w:rPr>
              <w:t xml:space="preserve">Minister of Revenue </w:t>
            </w:r>
          </w:p>
          <w:p w14:paraId="3C92607C" w14:textId="44CF97EE" w:rsidR="001F29E6" w:rsidRPr="00000A05" w:rsidRDefault="00F7561A" w:rsidP="00273FD3">
            <w:pPr>
              <w:spacing w:after="180" w:line="240" w:lineRule="auto"/>
              <w:jc w:val="both"/>
              <w:rPr>
                <w:rFonts w:cs="Arial"/>
                <w:i/>
                <w:color w:val="000000"/>
                <w:szCs w:val="22"/>
                <w:lang w:val="en-NZ"/>
              </w:rPr>
            </w:pPr>
            <w:r w:rsidRPr="00000A05">
              <w:rPr>
                <w:i/>
              </w:rPr>
              <w:t>Minister of Housing</w:t>
            </w:r>
          </w:p>
        </w:tc>
      </w:tr>
      <w:tr w:rsidR="00C11B3B" w:rsidRPr="00A864A5" w14:paraId="73C7C7FD" w14:textId="77777777" w:rsidTr="000C29FA">
        <w:trPr>
          <w:trHeight w:val="202"/>
        </w:trPr>
        <w:tc>
          <w:tcPr>
            <w:tcW w:w="1297" w:type="pct"/>
            <w:tcBorders>
              <w:top w:val="nil"/>
            </w:tcBorders>
            <w:shd w:val="clear" w:color="auto" w:fill="EBF5F8"/>
          </w:tcPr>
          <w:p w14:paraId="5B57759D" w14:textId="6F936C83" w:rsidR="00C11B3B" w:rsidRPr="00A864A5" w:rsidRDefault="00C11B3B" w:rsidP="00273FD3">
            <w:pPr>
              <w:spacing w:after="180"/>
              <w:jc w:val="both"/>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703" w:type="pct"/>
            <w:tcBorders>
              <w:top w:val="nil"/>
            </w:tcBorders>
            <w:shd w:val="clear" w:color="auto" w:fill="auto"/>
          </w:tcPr>
          <w:p w14:paraId="4547EFD0" w14:textId="0D431F4F" w:rsidR="00C11B3B" w:rsidRPr="00000A05" w:rsidRDefault="006D6A71" w:rsidP="00273FD3">
            <w:pPr>
              <w:spacing w:after="180"/>
              <w:jc w:val="both"/>
              <w:rPr>
                <w:rFonts w:cs="Arial"/>
                <w:i/>
                <w:color w:val="000000"/>
                <w:szCs w:val="22"/>
                <w:lang w:val="en-NZ"/>
              </w:rPr>
            </w:pPr>
            <w:r w:rsidRPr="00000A05">
              <w:rPr>
                <w:rFonts w:cs="Arial"/>
                <w:i/>
                <w:color w:val="000000"/>
                <w:szCs w:val="22"/>
                <w:lang w:val="en-NZ"/>
              </w:rPr>
              <w:t>8 September 2021</w:t>
            </w:r>
          </w:p>
        </w:tc>
      </w:tr>
      <w:tr w:rsidR="0079435C" w:rsidRPr="00A864A5" w14:paraId="7F643A0E" w14:textId="77777777" w:rsidTr="00045034">
        <w:tc>
          <w:tcPr>
            <w:tcW w:w="5000" w:type="pct"/>
            <w:gridSpan w:val="2"/>
            <w:tcBorders>
              <w:bottom w:val="single" w:sz="4" w:space="0" w:color="DDDDDD"/>
            </w:tcBorders>
            <w:shd w:val="clear" w:color="auto" w:fill="99CDDD"/>
            <w:hideMark/>
          </w:tcPr>
          <w:p w14:paraId="7F446F06" w14:textId="570ED786" w:rsidR="0079435C" w:rsidRPr="00A864A5" w:rsidRDefault="0079435C" w:rsidP="00273FD3">
            <w:pPr>
              <w:pStyle w:val="TableHeadings"/>
              <w:jc w:val="both"/>
              <w:rPr>
                <w:color w:val="002060"/>
                <w:szCs w:val="22"/>
                <w:lang w:val="en-NZ"/>
              </w:rPr>
            </w:pPr>
            <w:r w:rsidRPr="00A864A5">
              <w:rPr>
                <w:szCs w:val="22"/>
                <w:lang w:val="en-NZ"/>
              </w:rPr>
              <w:t>Problem Definition</w:t>
            </w:r>
          </w:p>
        </w:tc>
      </w:tr>
      <w:tr w:rsidR="0079435C" w:rsidRPr="00A864A5" w14:paraId="058C86B2" w14:textId="77777777" w:rsidTr="00773A84">
        <w:trPr>
          <w:trHeight w:val="824"/>
        </w:trPr>
        <w:tc>
          <w:tcPr>
            <w:tcW w:w="5000" w:type="pct"/>
            <w:gridSpan w:val="2"/>
            <w:tcBorders>
              <w:top w:val="nil"/>
            </w:tcBorders>
            <w:shd w:val="clear" w:color="auto" w:fill="auto"/>
          </w:tcPr>
          <w:p w14:paraId="4EBB6131" w14:textId="5841230C" w:rsidR="0079435C" w:rsidRPr="00A864A5" w:rsidRDefault="0037062A" w:rsidP="00000A05">
            <w:pPr>
              <w:tabs>
                <w:tab w:val="left" w:pos="7424"/>
                <w:tab w:val="right" w:pos="8636"/>
              </w:tabs>
              <w:jc w:val="both"/>
              <w:rPr>
                <w:rFonts w:cs="Arial"/>
                <w:szCs w:val="22"/>
                <w:lang w:val="en-NZ"/>
              </w:rPr>
            </w:pPr>
            <w:r>
              <w:t>The key policy problem is housing affordability. The cost of buying a house is placing significant financial stress on households</w:t>
            </w:r>
            <w:r w:rsidR="00014296">
              <w:t>. H</w:t>
            </w:r>
            <w:r>
              <w:t>ouse prices are high by international standards and rates of home</w:t>
            </w:r>
            <w:r w:rsidR="004070DC">
              <w:t xml:space="preserve"> </w:t>
            </w:r>
            <w:r>
              <w:t>ownership have been declining.</w:t>
            </w:r>
            <w:r w:rsidR="00A612D6">
              <w:t xml:space="preserve"> </w:t>
            </w:r>
            <w:r w:rsidR="00671AE4">
              <w:t>There are also concerns about</w:t>
            </w:r>
            <w:r w:rsidR="00EB018B">
              <w:t xml:space="preserve"> the </w:t>
            </w:r>
            <w:r w:rsidR="003D632E">
              <w:t>affordability of</w:t>
            </w:r>
            <w:r w:rsidR="00335FD2">
              <w:t xml:space="preserve"> </w:t>
            </w:r>
            <w:r w:rsidR="003D632E">
              <w:t xml:space="preserve">rents </w:t>
            </w:r>
            <w:r w:rsidR="00836E58">
              <w:t>and maintaining</w:t>
            </w:r>
            <w:r w:rsidR="002F059E">
              <w:t xml:space="preserve"> </w:t>
            </w:r>
            <w:r w:rsidR="00605A30">
              <w:t xml:space="preserve">an adequate </w:t>
            </w:r>
            <w:r w:rsidR="002F059E">
              <w:t xml:space="preserve">supply of new </w:t>
            </w:r>
            <w:r w:rsidR="00D975D4">
              <w:t>housing stock</w:t>
            </w:r>
            <w:r w:rsidR="003D632E">
              <w:t xml:space="preserve">. </w:t>
            </w:r>
          </w:p>
        </w:tc>
      </w:tr>
      <w:tr w:rsidR="00C93549" w:rsidRPr="00A864A5" w14:paraId="7CED8916" w14:textId="77777777" w:rsidTr="00FE3199">
        <w:tc>
          <w:tcPr>
            <w:tcW w:w="5000" w:type="pct"/>
            <w:gridSpan w:val="2"/>
            <w:tcBorders>
              <w:bottom w:val="single" w:sz="4" w:space="0" w:color="DDDDDD"/>
            </w:tcBorders>
            <w:shd w:val="clear" w:color="auto" w:fill="99CDDD"/>
            <w:hideMark/>
          </w:tcPr>
          <w:p w14:paraId="163B530B" w14:textId="0ACEE607" w:rsidR="00C93549" w:rsidRPr="00A864A5" w:rsidRDefault="00063943" w:rsidP="00273FD3">
            <w:pPr>
              <w:pStyle w:val="TableHeadings"/>
              <w:jc w:val="both"/>
              <w:rPr>
                <w:color w:val="002060"/>
                <w:szCs w:val="22"/>
                <w:lang w:val="en-NZ"/>
              </w:rPr>
            </w:pPr>
            <w:bookmarkStart w:id="2" w:name="_Hlk57202117"/>
            <w:r w:rsidRPr="00A864A5">
              <w:rPr>
                <w:szCs w:val="22"/>
                <w:lang w:val="en-NZ"/>
              </w:rPr>
              <w:t>Exe</w:t>
            </w:r>
            <w:r w:rsidR="0079435C" w:rsidRPr="00A864A5">
              <w:rPr>
                <w:szCs w:val="22"/>
                <w:lang w:val="en-NZ"/>
              </w:rPr>
              <w:t>cutive Summary</w:t>
            </w:r>
          </w:p>
        </w:tc>
      </w:tr>
      <w:tr w:rsidR="00FE3199" w:rsidRPr="00A864A5" w14:paraId="6B25993E" w14:textId="77777777" w:rsidTr="00DE63FC">
        <w:trPr>
          <w:trHeight w:val="944"/>
        </w:trPr>
        <w:tc>
          <w:tcPr>
            <w:tcW w:w="5000" w:type="pct"/>
            <w:gridSpan w:val="2"/>
            <w:tcBorders>
              <w:top w:val="nil"/>
            </w:tcBorders>
            <w:shd w:val="clear" w:color="auto" w:fill="auto"/>
          </w:tcPr>
          <w:p w14:paraId="191A57CB" w14:textId="7CDE6D80" w:rsidR="00AD4B7D" w:rsidRPr="003E175D" w:rsidRDefault="00E83A91" w:rsidP="003E175D">
            <w:pPr>
              <w:tabs>
                <w:tab w:val="left" w:pos="7424"/>
                <w:tab w:val="right" w:pos="8636"/>
              </w:tabs>
              <w:spacing w:before="120"/>
              <w:jc w:val="both"/>
              <w:rPr>
                <w:rFonts w:cs="Arial"/>
                <w:szCs w:val="22"/>
                <w:lang w:val="en-NZ"/>
              </w:rPr>
            </w:pPr>
            <w:r>
              <w:rPr>
                <w:b/>
                <w:bCs/>
              </w:rPr>
              <w:t>Problem definition</w:t>
            </w:r>
          </w:p>
          <w:p w14:paraId="517B4361" w14:textId="7240C189" w:rsidR="004F3DCD" w:rsidRDefault="006D251D" w:rsidP="00273FD3">
            <w:pPr>
              <w:tabs>
                <w:tab w:val="left" w:pos="7424"/>
                <w:tab w:val="right" w:pos="8636"/>
              </w:tabs>
              <w:jc w:val="both"/>
              <w:rPr>
                <w:rFonts w:cs="Arial"/>
                <w:szCs w:val="22"/>
                <w:lang w:val="en-NZ"/>
              </w:rPr>
            </w:pPr>
            <w:r>
              <w:t>One of t</w:t>
            </w:r>
            <w:r w:rsidR="00BE1EF4">
              <w:t xml:space="preserve">he Government’s objectives for housing </w:t>
            </w:r>
            <w:r>
              <w:t xml:space="preserve">is to </w:t>
            </w:r>
            <w:r w:rsidR="00BE1EF4">
              <w:t>support more sustainable house prices, including by dampening investor demand for existing housing stock.</w:t>
            </w:r>
            <w:r w:rsidR="00CA578F">
              <w:rPr>
                <w:rFonts w:cs="Arial"/>
                <w:szCs w:val="22"/>
                <w:lang w:val="en-NZ"/>
              </w:rPr>
              <w:t xml:space="preserve"> </w:t>
            </w:r>
            <w:r w:rsidR="001B78B3">
              <w:rPr>
                <w:rFonts w:cs="Arial"/>
                <w:szCs w:val="22"/>
                <w:lang w:val="en-NZ"/>
              </w:rPr>
              <w:t xml:space="preserve">This is in response to the decline of housing affordability for </w:t>
            </w:r>
            <w:r w:rsidR="002C2AE0">
              <w:rPr>
                <w:rFonts w:cs="Arial"/>
                <w:szCs w:val="22"/>
                <w:lang w:val="en-NZ"/>
              </w:rPr>
              <w:t xml:space="preserve">first-home buyers. </w:t>
            </w:r>
            <w:r w:rsidR="004F3DCD" w:rsidRPr="004F3DCD">
              <w:rPr>
                <w:rFonts w:cs="Arial"/>
                <w:szCs w:val="22"/>
                <w:lang w:val="en-NZ"/>
              </w:rPr>
              <w:t xml:space="preserve">To the extent that housing affordability concerns are due to excess demand and some of this demand is from investors, then reducing demand from investors may result in less upward pressure on house prices. </w:t>
            </w:r>
          </w:p>
          <w:p w14:paraId="7262CC4E" w14:textId="09ACBFAA" w:rsidR="00F27A6A" w:rsidRPr="003E175D" w:rsidRDefault="00F27A6A" w:rsidP="00273FD3">
            <w:pPr>
              <w:tabs>
                <w:tab w:val="left" w:pos="7424"/>
                <w:tab w:val="right" w:pos="8636"/>
              </w:tabs>
              <w:jc w:val="both"/>
              <w:rPr>
                <w:rFonts w:cs="Arial"/>
                <w:b/>
                <w:bCs/>
                <w:szCs w:val="22"/>
                <w:lang w:val="en-NZ"/>
              </w:rPr>
            </w:pPr>
            <w:r>
              <w:rPr>
                <w:rFonts w:cs="Arial"/>
                <w:b/>
                <w:bCs/>
                <w:szCs w:val="22"/>
                <w:lang w:val="en-NZ"/>
              </w:rPr>
              <w:t>Possible options</w:t>
            </w:r>
          </w:p>
          <w:p w14:paraId="28BEC1F6" w14:textId="4E5BBCC6" w:rsidR="004F3DCD" w:rsidRDefault="004F3DCD" w:rsidP="00273FD3">
            <w:pPr>
              <w:tabs>
                <w:tab w:val="left" w:pos="7424"/>
                <w:tab w:val="right" w:pos="8636"/>
              </w:tabs>
              <w:jc w:val="both"/>
              <w:rPr>
                <w:rFonts w:cs="Arial"/>
                <w:szCs w:val="22"/>
                <w:lang w:val="en-NZ"/>
              </w:rPr>
            </w:pPr>
            <w:r w:rsidRPr="004F3DCD">
              <w:rPr>
                <w:rFonts w:cs="Arial"/>
                <w:szCs w:val="22"/>
                <w:lang w:val="en-NZ"/>
              </w:rPr>
              <w:t>While the tax system is not the primary driver of housing affordability, features of the tax system exacerbate the issue. In particular, investment in housing is tax-preferred as compared to investments that do not earn large gains.</w:t>
            </w:r>
            <w:r w:rsidR="00800E2B">
              <w:rPr>
                <w:rFonts w:cs="Arial"/>
                <w:szCs w:val="22"/>
                <w:lang w:val="en-NZ"/>
              </w:rPr>
              <w:t xml:space="preserve"> </w:t>
            </w:r>
            <w:r w:rsidRPr="004F3DCD">
              <w:rPr>
                <w:rFonts w:cs="Arial"/>
                <w:szCs w:val="22"/>
                <w:lang w:val="en-NZ"/>
              </w:rPr>
              <w:t xml:space="preserve">The policy question is </w:t>
            </w:r>
            <w:r>
              <w:rPr>
                <w:rFonts w:cs="Arial"/>
                <w:szCs w:val="22"/>
                <w:lang w:val="en-NZ"/>
              </w:rPr>
              <w:t xml:space="preserve">therefore </w:t>
            </w:r>
            <w:r w:rsidRPr="004F3DCD">
              <w:rPr>
                <w:rFonts w:cs="Arial"/>
                <w:szCs w:val="22"/>
                <w:lang w:val="en-NZ"/>
              </w:rPr>
              <w:t>whether limiting interest deductions are an efficient and effective way of addressing these concerns and, if so, how interest limitation rules should best be designed.</w:t>
            </w:r>
          </w:p>
          <w:p w14:paraId="30F1CCEB" w14:textId="060FE73C" w:rsidR="004F3DCD" w:rsidRDefault="00780D96" w:rsidP="007E279C">
            <w:pPr>
              <w:keepNext/>
              <w:tabs>
                <w:tab w:val="left" w:pos="7424"/>
                <w:tab w:val="right" w:pos="8636"/>
              </w:tabs>
              <w:jc w:val="both"/>
              <w:rPr>
                <w:rFonts w:cs="Arial"/>
                <w:szCs w:val="22"/>
                <w:lang w:val="en-NZ"/>
              </w:rPr>
            </w:pPr>
            <w:r>
              <w:rPr>
                <w:rFonts w:cs="Arial"/>
                <w:szCs w:val="22"/>
                <w:lang w:val="en-NZ"/>
              </w:rPr>
              <w:lastRenderedPageBreak/>
              <w:t>Four</w:t>
            </w:r>
            <w:r w:rsidR="00420D29">
              <w:rPr>
                <w:rFonts w:cs="Arial"/>
                <w:szCs w:val="22"/>
                <w:lang w:val="en-NZ"/>
              </w:rPr>
              <w:t xml:space="preserve"> options have been identified in addition to the status quo</w:t>
            </w:r>
            <w:r w:rsidR="009B6CB2">
              <w:rPr>
                <w:rFonts w:cs="Arial"/>
                <w:szCs w:val="22"/>
                <w:lang w:val="en-NZ"/>
              </w:rPr>
              <w:t>:</w:t>
            </w:r>
          </w:p>
          <w:p w14:paraId="65A58965" w14:textId="77777777" w:rsidR="009B6CB2" w:rsidRDefault="009B6CB2" w:rsidP="007E279C">
            <w:pPr>
              <w:pStyle w:val="ListParagraph"/>
              <w:numPr>
                <w:ilvl w:val="0"/>
                <w:numId w:val="24"/>
              </w:numPr>
              <w:jc w:val="both"/>
              <w:rPr>
                <w:lang w:val="en-NZ"/>
              </w:rPr>
            </w:pPr>
            <w:r>
              <w:rPr>
                <w:lang w:val="en-NZ"/>
              </w:rPr>
              <w:t>Option 1: Deny interest deductions for residential investment property.</w:t>
            </w:r>
          </w:p>
          <w:p w14:paraId="1A94DCCF" w14:textId="77777777" w:rsidR="009B6CB2" w:rsidRDefault="009B6CB2" w:rsidP="007E279C">
            <w:pPr>
              <w:pStyle w:val="ListParagraph"/>
              <w:numPr>
                <w:ilvl w:val="0"/>
                <w:numId w:val="24"/>
              </w:numPr>
              <w:jc w:val="both"/>
              <w:rPr>
                <w:lang w:val="en-NZ"/>
              </w:rPr>
            </w:pPr>
            <w:r>
              <w:rPr>
                <w:lang w:val="en-NZ"/>
              </w:rPr>
              <w:t>Option 2: Deny interest deductions for residential investment property, but with an exemption for new builds.</w:t>
            </w:r>
          </w:p>
          <w:p w14:paraId="5BE7B801" w14:textId="04E195E9" w:rsidR="009B6CB2" w:rsidRDefault="009B6CB2" w:rsidP="007E279C">
            <w:pPr>
              <w:pStyle w:val="ListParagraph"/>
              <w:numPr>
                <w:ilvl w:val="0"/>
                <w:numId w:val="24"/>
              </w:numPr>
              <w:jc w:val="both"/>
              <w:rPr>
                <w:lang w:val="en-NZ"/>
              </w:rPr>
            </w:pPr>
            <w:r>
              <w:rPr>
                <w:lang w:val="en-NZ"/>
              </w:rPr>
              <w:t>Option 3: Deny interest deductions for residential investment property, but with an exemption for new builds and allow interest deductions where the property is taxable on sale (at the time of sale).</w:t>
            </w:r>
          </w:p>
          <w:p w14:paraId="58AEACCF" w14:textId="6106FA18" w:rsidR="00F30CCC" w:rsidRPr="003A755B" w:rsidRDefault="003A755B" w:rsidP="007E279C">
            <w:pPr>
              <w:pStyle w:val="ListParagraph"/>
              <w:numPr>
                <w:ilvl w:val="0"/>
                <w:numId w:val="24"/>
              </w:numPr>
              <w:jc w:val="both"/>
              <w:rPr>
                <w:lang w:val="en-NZ"/>
              </w:rPr>
            </w:pPr>
            <w:r w:rsidRPr="003A755B">
              <w:rPr>
                <w:lang w:val="en-NZ"/>
              </w:rPr>
              <w:t>Option 4</w:t>
            </w:r>
            <w:r>
              <w:rPr>
                <w:lang w:val="en-NZ"/>
              </w:rPr>
              <w:t>:</w:t>
            </w:r>
            <w:r w:rsidR="00D41FC3" w:rsidRPr="003A755B">
              <w:rPr>
                <w:lang w:val="en-NZ"/>
              </w:rPr>
              <w:t xml:space="preserve"> </w:t>
            </w:r>
            <w:r>
              <w:rPr>
                <w:lang w:val="en-NZ"/>
              </w:rPr>
              <w:t>D</w:t>
            </w:r>
            <w:r w:rsidR="00D41FC3" w:rsidRPr="003A755B">
              <w:rPr>
                <w:lang w:val="en-NZ"/>
              </w:rPr>
              <w:t>eny</w:t>
            </w:r>
            <w:r w:rsidR="00F162EE" w:rsidRPr="003A755B">
              <w:rPr>
                <w:lang w:val="en-NZ"/>
              </w:rPr>
              <w:t xml:space="preserve"> </w:t>
            </w:r>
            <w:r w:rsidR="00D41FC3" w:rsidRPr="003A755B">
              <w:rPr>
                <w:lang w:val="en-NZ"/>
              </w:rPr>
              <w:t>interest deductions for residential investment property, but allow interest deductions where the property is taxable on sale (at the time of sale).</w:t>
            </w:r>
            <w:r w:rsidR="00F162EE" w:rsidRPr="003A755B">
              <w:rPr>
                <w:lang w:val="en-NZ"/>
              </w:rPr>
              <w:t xml:space="preserve"> </w:t>
            </w:r>
          </w:p>
          <w:p w14:paraId="5FBF9271" w14:textId="6DA11BA6" w:rsidR="00CD6F6F" w:rsidRPr="00471F6A" w:rsidRDefault="00732B4E" w:rsidP="007E279C">
            <w:pPr>
              <w:jc w:val="both"/>
              <w:rPr>
                <w:lang w:val="en-NZ"/>
              </w:rPr>
            </w:pPr>
            <w:r>
              <w:rPr>
                <w:lang w:val="en-NZ"/>
              </w:rPr>
              <w:t>This assessment focuses on possible changes to the tax system to</w:t>
            </w:r>
            <w:r w:rsidR="00B7553B">
              <w:rPr>
                <w:lang w:val="en-NZ"/>
              </w:rPr>
              <w:t xml:space="preserve"> address housing affordability. We acknowledge that non-tax measures </w:t>
            </w:r>
            <w:r w:rsidR="00A62FDC">
              <w:rPr>
                <w:lang w:val="en-NZ"/>
              </w:rPr>
              <w:t xml:space="preserve">have been recently implemented or </w:t>
            </w:r>
            <w:r w:rsidR="00B7553B">
              <w:rPr>
                <w:lang w:val="en-NZ"/>
              </w:rPr>
              <w:t xml:space="preserve">are being </w:t>
            </w:r>
            <w:r w:rsidR="00E008C4">
              <w:rPr>
                <w:lang w:val="en-NZ"/>
              </w:rPr>
              <w:t xml:space="preserve">considered but analysis </w:t>
            </w:r>
            <w:r w:rsidR="00E067CA">
              <w:rPr>
                <w:lang w:val="en-NZ"/>
              </w:rPr>
              <w:t xml:space="preserve">of such options </w:t>
            </w:r>
            <w:r w:rsidR="00E008C4">
              <w:rPr>
                <w:lang w:val="en-NZ"/>
              </w:rPr>
              <w:t>will not form part of this assessment.</w:t>
            </w:r>
            <w:r>
              <w:rPr>
                <w:lang w:val="en-NZ"/>
              </w:rPr>
              <w:t xml:space="preserve"> </w:t>
            </w:r>
          </w:p>
          <w:p w14:paraId="79713B0B" w14:textId="45F8A55A" w:rsidR="00E83A91" w:rsidRPr="003E175D" w:rsidRDefault="00E83A91" w:rsidP="00785BBD">
            <w:pPr>
              <w:tabs>
                <w:tab w:val="left" w:pos="7424"/>
                <w:tab w:val="right" w:pos="8636"/>
              </w:tabs>
              <w:jc w:val="both"/>
              <w:rPr>
                <w:b/>
                <w:bCs/>
                <w:lang w:val="en-NZ"/>
              </w:rPr>
            </w:pPr>
            <w:r>
              <w:rPr>
                <w:b/>
                <w:bCs/>
                <w:lang w:val="en-NZ"/>
              </w:rPr>
              <w:t>Inland Revenue’s preferred option</w:t>
            </w:r>
          </w:p>
          <w:p w14:paraId="0C962F2C" w14:textId="62AAD665" w:rsidR="008A0D1E" w:rsidRDefault="009B6CB2" w:rsidP="00785BBD">
            <w:pPr>
              <w:tabs>
                <w:tab w:val="left" w:pos="7424"/>
                <w:tab w:val="right" w:pos="8636"/>
              </w:tabs>
              <w:jc w:val="both"/>
              <w:rPr>
                <w:lang w:val="en-NZ"/>
              </w:rPr>
            </w:pPr>
            <w:r>
              <w:rPr>
                <w:lang w:val="en-NZ"/>
              </w:rPr>
              <w:t xml:space="preserve">Inland Revenue has advised against any of these options </w:t>
            </w:r>
            <w:r w:rsidR="00BB11A4">
              <w:rPr>
                <w:lang w:val="en-NZ"/>
              </w:rPr>
              <w:t xml:space="preserve">to </w:t>
            </w:r>
            <w:r>
              <w:rPr>
                <w:lang w:val="en-NZ"/>
              </w:rPr>
              <w:t>deny or limit interest deductions</w:t>
            </w:r>
            <w:r w:rsidR="00785BBD">
              <w:rPr>
                <w:lang w:val="en-NZ"/>
              </w:rPr>
              <w:t xml:space="preserve"> and prefers the status quo to all options</w:t>
            </w:r>
            <w:r>
              <w:rPr>
                <w:lang w:val="en-NZ"/>
              </w:rPr>
              <w:t xml:space="preserve">. It considers that additional taxes on rental housing are </w:t>
            </w:r>
            <w:r w:rsidR="0004465F">
              <w:rPr>
                <w:lang w:val="en-NZ"/>
              </w:rPr>
              <w:t>un</w:t>
            </w:r>
            <w:r>
              <w:rPr>
                <w:lang w:val="en-NZ"/>
              </w:rPr>
              <w:t>likely to be an effective way of boosting overall housing affordability</w:t>
            </w:r>
            <w:r w:rsidR="00AD5B37">
              <w:rPr>
                <w:lang w:val="en-NZ"/>
              </w:rPr>
              <w:t xml:space="preserve">. </w:t>
            </w:r>
            <w:r>
              <w:rPr>
                <w:lang w:val="en-NZ"/>
              </w:rPr>
              <w:t xml:space="preserve">While they will put downward pressure on house prices, they will put upward pressure on rents and </w:t>
            </w:r>
            <w:r w:rsidR="00075D5A">
              <w:rPr>
                <w:lang w:val="en-NZ"/>
              </w:rPr>
              <w:t>may</w:t>
            </w:r>
            <w:r>
              <w:rPr>
                <w:lang w:val="en-NZ"/>
              </w:rPr>
              <w:t xml:space="preserve"> reduc</w:t>
            </w:r>
            <w:r w:rsidR="00075D5A">
              <w:rPr>
                <w:lang w:val="en-NZ"/>
              </w:rPr>
              <w:t>e</w:t>
            </w:r>
            <w:r>
              <w:rPr>
                <w:lang w:val="en-NZ"/>
              </w:rPr>
              <w:t xml:space="preserve"> </w:t>
            </w:r>
            <w:r w:rsidR="001A6E97">
              <w:rPr>
                <w:lang w:val="en-NZ"/>
              </w:rPr>
              <w:t xml:space="preserve">the supply of new </w:t>
            </w:r>
            <w:r>
              <w:rPr>
                <w:lang w:val="en-NZ"/>
              </w:rPr>
              <w:t>housing</w:t>
            </w:r>
            <w:r w:rsidR="001A6E97">
              <w:rPr>
                <w:lang w:val="en-NZ"/>
              </w:rPr>
              <w:t xml:space="preserve"> developments</w:t>
            </w:r>
            <w:r w:rsidR="00075D5A">
              <w:rPr>
                <w:lang w:val="en-NZ"/>
              </w:rPr>
              <w:t xml:space="preserve"> in the longer-term</w:t>
            </w:r>
            <w:r>
              <w:rPr>
                <w:lang w:val="en-NZ"/>
              </w:rPr>
              <w:t>.</w:t>
            </w:r>
            <w:r w:rsidR="00DE2611">
              <w:rPr>
                <w:lang w:val="en-NZ"/>
              </w:rPr>
              <w:t xml:space="preserve"> </w:t>
            </w:r>
            <w:r w:rsidR="00982CB6">
              <w:rPr>
                <w:lang w:val="en-NZ"/>
              </w:rPr>
              <w:t>T</w:t>
            </w:r>
            <w:r w:rsidR="002A797F">
              <w:rPr>
                <w:lang w:val="en-NZ" w:eastAsia="en-NZ"/>
              </w:rPr>
              <w:t>he benefit of increase</w:t>
            </w:r>
            <w:r w:rsidR="003F3AA3">
              <w:rPr>
                <w:lang w:val="en-NZ" w:eastAsia="en-NZ"/>
              </w:rPr>
              <w:t>d</w:t>
            </w:r>
            <w:r w:rsidR="002A797F">
              <w:rPr>
                <w:lang w:val="en-NZ" w:eastAsia="en-NZ"/>
              </w:rPr>
              <w:t xml:space="preserve"> housing affordability for first</w:t>
            </w:r>
            <w:r w:rsidR="00D61224">
              <w:rPr>
                <w:lang w:val="en-NZ" w:eastAsia="en-NZ"/>
              </w:rPr>
              <w:t>-</w:t>
            </w:r>
            <w:r w:rsidR="002A797F">
              <w:rPr>
                <w:lang w:val="en-NZ" w:eastAsia="en-NZ"/>
              </w:rPr>
              <w:t>home buyers</w:t>
            </w:r>
            <w:r w:rsidR="002A797F">
              <w:rPr>
                <w:lang w:val="en-NZ"/>
              </w:rPr>
              <w:t xml:space="preserve"> </w:t>
            </w:r>
            <w:r w:rsidR="003F3AA3">
              <w:rPr>
                <w:lang w:val="en-NZ"/>
              </w:rPr>
              <w:t xml:space="preserve">is outweighed </w:t>
            </w:r>
            <w:r w:rsidR="00AF38F4">
              <w:rPr>
                <w:lang w:val="en-NZ"/>
              </w:rPr>
              <w:t>by negative</w:t>
            </w:r>
            <w:r w:rsidR="00BB7FB5">
              <w:rPr>
                <w:lang w:val="en-NZ"/>
              </w:rPr>
              <w:t xml:space="preserve"> impact</w:t>
            </w:r>
            <w:r w:rsidR="00AF38F4">
              <w:rPr>
                <w:lang w:val="en-NZ"/>
              </w:rPr>
              <w:t>s</w:t>
            </w:r>
            <w:r w:rsidR="00BB7FB5">
              <w:rPr>
                <w:lang w:val="en-NZ"/>
              </w:rPr>
              <w:t xml:space="preserve"> on rents</w:t>
            </w:r>
            <w:r w:rsidR="009A01CB">
              <w:rPr>
                <w:lang w:val="en-NZ"/>
              </w:rPr>
              <w:t xml:space="preserve"> and housing supply</w:t>
            </w:r>
            <w:r w:rsidR="00BB7FB5">
              <w:rPr>
                <w:lang w:val="en-NZ"/>
              </w:rPr>
              <w:t xml:space="preserve">, </w:t>
            </w:r>
            <w:r w:rsidR="00AF38F4">
              <w:rPr>
                <w:lang w:val="en-NZ" w:eastAsia="en-NZ"/>
              </w:rPr>
              <w:t>high</w:t>
            </w:r>
            <w:r w:rsidR="00D11D3B">
              <w:rPr>
                <w:lang w:val="en-NZ" w:eastAsia="en-NZ"/>
              </w:rPr>
              <w:t xml:space="preserve"> compliance and administration costs for an </w:t>
            </w:r>
            <w:r w:rsidR="003C0B74">
              <w:rPr>
                <w:lang w:val="en-NZ" w:eastAsia="en-NZ"/>
              </w:rPr>
              <w:t xml:space="preserve">estimated </w:t>
            </w:r>
            <w:r w:rsidR="00D11D3B">
              <w:rPr>
                <w:lang w:val="en-NZ" w:eastAsia="en-NZ"/>
              </w:rPr>
              <w:t>2</w:t>
            </w:r>
            <w:r w:rsidR="00A57ADD">
              <w:rPr>
                <w:lang w:val="en-NZ" w:eastAsia="en-NZ"/>
              </w:rPr>
              <w:t>5</w:t>
            </w:r>
            <w:r w:rsidR="00D11D3B">
              <w:rPr>
                <w:lang w:val="en-NZ" w:eastAsia="en-NZ"/>
              </w:rPr>
              <w:t>0,000 taxpayers, and the erosion of the coherence of the tax system.</w:t>
            </w:r>
          </w:p>
          <w:p w14:paraId="673EAB3D" w14:textId="0E13A9D9" w:rsidR="009B6CB2" w:rsidRDefault="00181D7E" w:rsidP="003E175D">
            <w:pPr>
              <w:tabs>
                <w:tab w:val="left" w:pos="7424"/>
                <w:tab w:val="right" w:pos="8636"/>
              </w:tabs>
              <w:jc w:val="both"/>
              <w:rPr>
                <w:lang w:val="en-NZ"/>
              </w:rPr>
            </w:pPr>
            <w:r>
              <w:rPr>
                <w:lang w:val="en-NZ" w:eastAsia="en-NZ"/>
              </w:rPr>
              <w:t xml:space="preserve">However, </w:t>
            </w:r>
            <w:r w:rsidR="001762A6">
              <w:rPr>
                <w:lang w:val="en-NZ" w:eastAsia="en-NZ"/>
              </w:rPr>
              <w:t xml:space="preserve">Cabinet has effectively decided not </w:t>
            </w:r>
            <w:r>
              <w:rPr>
                <w:lang w:val="en-NZ" w:eastAsia="en-NZ"/>
              </w:rPr>
              <w:t xml:space="preserve">to </w:t>
            </w:r>
            <w:r w:rsidR="001762A6">
              <w:rPr>
                <w:lang w:val="en-NZ" w:eastAsia="en-NZ"/>
              </w:rPr>
              <w:t xml:space="preserve">proceed with the status quo, Option 1, or Option 4. Cabinet has agreed in-principle to proceed with the interest limitation policy with an exemption </w:t>
            </w:r>
            <w:r w:rsidR="00F00209">
              <w:rPr>
                <w:lang w:val="en-NZ" w:eastAsia="en-NZ"/>
              </w:rPr>
              <w:t xml:space="preserve">for </w:t>
            </w:r>
            <w:r w:rsidR="001762A6">
              <w:rPr>
                <w:lang w:val="en-NZ" w:eastAsia="en-NZ"/>
              </w:rPr>
              <w:t>new builds and has communicated th</w:t>
            </w:r>
            <w:r w:rsidR="006F0495">
              <w:rPr>
                <w:lang w:val="en-NZ" w:eastAsia="en-NZ"/>
              </w:rPr>
              <w:t>is</w:t>
            </w:r>
            <w:r w:rsidR="001762A6">
              <w:rPr>
                <w:lang w:val="en-NZ" w:eastAsia="en-NZ"/>
              </w:rPr>
              <w:t xml:space="preserve"> decision to the public. </w:t>
            </w:r>
            <w:r w:rsidR="00E57EC1">
              <w:rPr>
                <w:lang w:val="en-NZ"/>
              </w:rPr>
              <w:t>O</w:t>
            </w:r>
            <w:r w:rsidR="001525EC">
              <w:rPr>
                <w:lang w:val="en-NZ"/>
              </w:rPr>
              <w:t>f the remaining options, Inland Revenue recommend</w:t>
            </w:r>
            <w:r w:rsidR="00883C58">
              <w:rPr>
                <w:lang w:val="en-NZ"/>
              </w:rPr>
              <w:t>s</w:t>
            </w:r>
            <w:r w:rsidR="001525EC">
              <w:rPr>
                <w:lang w:val="en-NZ"/>
              </w:rPr>
              <w:t xml:space="preserve"> Option 3</w:t>
            </w:r>
            <w:r w:rsidR="00246673">
              <w:rPr>
                <w:lang w:val="en-NZ"/>
              </w:rPr>
              <w:t xml:space="preserve"> </w:t>
            </w:r>
            <w:r w:rsidR="00BD20C6">
              <w:rPr>
                <w:lang w:val="en-NZ"/>
              </w:rPr>
              <w:t>over Option 2</w:t>
            </w:r>
            <w:r w:rsidR="00E57EC1">
              <w:rPr>
                <w:lang w:val="en-NZ"/>
              </w:rPr>
              <w:t xml:space="preserve">, </w:t>
            </w:r>
            <w:r w:rsidR="00012157">
              <w:rPr>
                <w:lang w:val="en-NZ"/>
              </w:rPr>
              <w:t>which aligns with the preferred option</w:t>
            </w:r>
            <w:r w:rsidR="00C40723">
              <w:rPr>
                <w:lang w:val="en-NZ"/>
              </w:rPr>
              <w:t xml:space="preserve"> </w:t>
            </w:r>
            <w:r w:rsidR="00246673">
              <w:rPr>
                <w:lang w:val="en-NZ"/>
              </w:rPr>
              <w:t>in the Cabinet paper.</w:t>
            </w:r>
          </w:p>
          <w:p w14:paraId="6F04D3E0" w14:textId="2367AA7F" w:rsidR="009B6CB2" w:rsidRPr="003E175D" w:rsidRDefault="00E57EC1" w:rsidP="00273FD3">
            <w:pPr>
              <w:tabs>
                <w:tab w:val="left" w:pos="7424"/>
                <w:tab w:val="right" w:pos="8636"/>
              </w:tabs>
              <w:jc w:val="both"/>
              <w:rPr>
                <w:rFonts w:cs="Arial"/>
                <w:b/>
                <w:bCs/>
                <w:szCs w:val="22"/>
                <w:lang w:val="en-NZ"/>
              </w:rPr>
            </w:pPr>
            <w:r>
              <w:rPr>
                <w:rFonts w:cs="Arial"/>
                <w:b/>
                <w:bCs/>
                <w:szCs w:val="22"/>
                <w:lang w:val="en-NZ"/>
              </w:rPr>
              <w:t>The p</w:t>
            </w:r>
            <w:r w:rsidR="00F27A6A">
              <w:rPr>
                <w:rFonts w:cs="Arial"/>
                <w:b/>
                <w:bCs/>
                <w:szCs w:val="22"/>
                <w:lang w:val="en-NZ"/>
              </w:rPr>
              <w:t>otential impact of Option 3</w:t>
            </w:r>
            <w:r w:rsidR="00062267">
              <w:rPr>
                <w:rFonts w:cs="Arial"/>
                <w:b/>
                <w:bCs/>
                <w:szCs w:val="22"/>
                <w:lang w:val="en-NZ"/>
              </w:rPr>
              <w:t xml:space="preserve"> </w:t>
            </w:r>
          </w:p>
          <w:p w14:paraId="571078EB" w14:textId="5E244175" w:rsidR="0080209F" w:rsidRDefault="0080209F" w:rsidP="007E279C">
            <w:pPr>
              <w:jc w:val="both"/>
              <w:rPr>
                <w:lang w:val="en-NZ" w:eastAsia="en-NZ"/>
              </w:rPr>
            </w:pPr>
            <w:r>
              <w:rPr>
                <w:lang w:val="en-NZ" w:eastAsia="en-NZ"/>
              </w:rPr>
              <w:t>Option 3 is likely to produce the least impact on increasing the affordability of housing for first</w:t>
            </w:r>
            <w:r w:rsidR="00D61224">
              <w:rPr>
                <w:lang w:val="en-NZ" w:eastAsia="en-NZ"/>
              </w:rPr>
              <w:t>-</w:t>
            </w:r>
            <w:r>
              <w:rPr>
                <w:lang w:val="en-NZ" w:eastAsia="en-NZ"/>
              </w:rPr>
              <w:t xml:space="preserve">home buyers, but it will also have the lowest impact on decreasing the affordability for renters. </w:t>
            </w:r>
            <w:r w:rsidR="00EF6422">
              <w:rPr>
                <w:lang w:val="en-NZ" w:eastAsia="en-NZ"/>
              </w:rPr>
              <w:t>As</w:t>
            </w:r>
            <w:r w:rsidR="00D71AE4">
              <w:rPr>
                <w:lang w:val="en-NZ" w:eastAsia="en-NZ"/>
              </w:rPr>
              <w:t xml:space="preserve"> Option 3 has the </w:t>
            </w:r>
            <w:r w:rsidR="00EF6422">
              <w:rPr>
                <w:lang w:val="en-NZ" w:eastAsia="en-NZ"/>
              </w:rPr>
              <w:t>smallest</w:t>
            </w:r>
            <w:r w:rsidR="00D71AE4">
              <w:rPr>
                <w:lang w:val="en-NZ" w:eastAsia="en-NZ"/>
              </w:rPr>
              <w:t xml:space="preserve"> impact on rents, </w:t>
            </w:r>
            <w:r w:rsidR="00EF6422">
              <w:rPr>
                <w:lang w:val="en-NZ" w:eastAsia="en-NZ"/>
              </w:rPr>
              <w:t>it</w:t>
            </w:r>
            <w:r w:rsidR="0087319C">
              <w:rPr>
                <w:lang w:val="en-NZ" w:eastAsia="en-NZ"/>
              </w:rPr>
              <w:t xml:space="preserve"> will minimise the </w:t>
            </w:r>
            <w:r w:rsidR="00C8502B">
              <w:rPr>
                <w:lang w:val="en-NZ" w:eastAsia="en-NZ"/>
              </w:rPr>
              <w:t xml:space="preserve">negative </w:t>
            </w:r>
            <w:r w:rsidR="0087319C">
              <w:rPr>
                <w:lang w:val="en-NZ" w:eastAsia="en-NZ"/>
              </w:rPr>
              <w:t xml:space="preserve">impact of the proposal on those </w:t>
            </w:r>
            <w:r w:rsidR="0087319C" w:rsidRPr="00FD782F">
              <w:rPr>
                <w:lang w:val="en-NZ" w:eastAsia="en-NZ"/>
              </w:rPr>
              <w:t>less likely to own their home relative to the general population</w:t>
            </w:r>
            <w:r w:rsidR="00955D1D">
              <w:rPr>
                <w:lang w:val="en-NZ" w:eastAsia="en-NZ"/>
              </w:rPr>
              <w:t>,</w:t>
            </w:r>
            <w:r w:rsidR="0087319C">
              <w:rPr>
                <w:lang w:val="en-NZ" w:eastAsia="en-NZ"/>
              </w:rPr>
              <w:t xml:space="preserve"> </w:t>
            </w:r>
            <w:r w:rsidR="00EE0BE1">
              <w:rPr>
                <w:lang w:val="en-NZ" w:eastAsia="en-NZ"/>
              </w:rPr>
              <w:t xml:space="preserve">such as </w:t>
            </w:r>
            <w:r w:rsidR="00FD782F" w:rsidRPr="00FD782F">
              <w:rPr>
                <w:lang w:val="en-NZ" w:eastAsia="en-NZ"/>
              </w:rPr>
              <w:t>low-income households, young people, Māori, and Pacific peoples.</w:t>
            </w:r>
          </w:p>
          <w:p w14:paraId="2DFBA251" w14:textId="3F773EEC" w:rsidR="0080209F" w:rsidRDefault="0080209F" w:rsidP="007E279C">
            <w:pPr>
              <w:jc w:val="both"/>
              <w:rPr>
                <w:lang w:val="en-NZ" w:eastAsia="en-NZ"/>
              </w:rPr>
            </w:pPr>
            <w:r>
              <w:rPr>
                <w:lang w:val="en-NZ" w:eastAsia="en-NZ"/>
              </w:rPr>
              <w:t xml:space="preserve">Out of the </w:t>
            </w:r>
            <w:r w:rsidR="00AE77AF">
              <w:rPr>
                <w:lang w:val="en-NZ" w:eastAsia="en-NZ"/>
              </w:rPr>
              <w:t xml:space="preserve">four </w:t>
            </w:r>
            <w:r>
              <w:rPr>
                <w:lang w:val="en-NZ" w:eastAsia="en-NZ"/>
              </w:rPr>
              <w:t xml:space="preserve">options, Option 3 will also have the smallest effect on the supply of new housing in New Zealand. While Options 2 and 3 may increase the price of housing to the detriment of owner-occupiers relative to </w:t>
            </w:r>
            <w:r w:rsidR="00BD20C6">
              <w:rPr>
                <w:lang w:val="en-NZ" w:eastAsia="en-NZ"/>
              </w:rPr>
              <w:t>O</w:t>
            </w:r>
            <w:r>
              <w:rPr>
                <w:lang w:val="en-NZ" w:eastAsia="en-NZ"/>
              </w:rPr>
              <w:t>ption</w:t>
            </w:r>
            <w:r w:rsidR="00147252">
              <w:rPr>
                <w:lang w:val="en-NZ" w:eastAsia="en-NZ"/>
              </w:rPr>
              <w:t>s</w:t>
            </w:r>
            <w:r>
              <w:rPr>
                <w:lang w:val="en-NZ" w:eastAsia="en-NZ"/>
              </w:rPr>
              <w:t xml:space="preserve"> 1</w:t>
            </w:r>
            <w:r w:rsidR="00147252">
              <w:rPr>
                <w:lang w:val="en-NZ" w:eastAsia="en-NZ"/>
              </w:rPr>
              <w:t xml:space="preserve"> and 4</w:t>
            </w:r>
            <w:r>
              <w:rPr>
                <w:lang w:val="en-NZ" w:eastAsia="en-NZ"/>
              </w:rPr>
              <w:t xml:space="preserve">, those building properties will be further incentivised to build </w:t>
            </w:r>
            <w:r w:rsidR="00362864">
              <w:rPr>
                <w:lang w:val="en-NZ" w:eastAsia="en-NZ"/>
              </w:rPr>
              <w:t>new</w:t>
            </w:r>
            <w:r>
              <w:rPr>
                <w:lang w:val="en-NZ" w:eastAsia="en-NZ"/>
              </w:rPr>
              <w:t xml:space="preserve"> housing stock. </w:t>
            </w:r>
          </w:p>
          <w:p w14:paraId="02150EDC" w14:textId="30AA05BD" w:rsidR="00AD4B7D" w:rsidRDefault="0080209F" w:rsidP="0080209F">
            <w:pPr>
              <w:tabs>
                <w:tab w:val="left" w:pos="7424"/>
                <w:tab w:val="right" w:pos="8636"/>
              </w:tabs>
              <w:jc w:val="both"/>
              <w:rPr>
                <w:rFonts w:cs="Arial"/>
                <w:szCs w:val="22"/>
                <w:lang w:val="en-NZ"/>
              </w:rPr>
            </w:pPr>
            <w:r w:rsidRPr="002A1E94">
              <w:rPr>
                <w:lang w:val="en-NZ" w:eastAsia="en-NZ"/>
              </w:rPr>
              <w:t xml:space="preserve">Option 3 is preferable to </w:t>
            </w:r>
            <w:r>
              <w:rPr>
                <w:lang w:val="en-NZ" w:eastAsia="en-NZ"/>
              </w:rPr>
              <w:t>Option 2</w:t>
            </w:r>
            <w:r w:rsidRPr="002A1E94">
              <w:rPr>
                <w:lang w:val="en-NZ" w:eastAsia="en-NZ"/>
              </w:rPr>
              <w:t xml:space="preserve"> given it would not tax investors beyond their economic income </w:t>
            </w:r>
            <w:r>
              <w:rPr>
                <w:lang w:val="en-NZ" w:eastAsia="en-NZ"/>
              </w:rPr>
              <w:t xml:space="preserve">where the </w:t>
            </w:r>
            <w:r w:rsidR="002426DB">
              <w:rPr>
                <w:lang w:val="en-NZ" w:eastAsia="en-NZ"/>
              </w:rPr>
              <w:t xml:space="preserve">property </w:t>
            </w:r>
            <w:r>
              <w:rPr>
                <w:lang w:val="en-NZ" w:eastAsia="en-NZ"/>
              </w:rPr>
              <w:t>is taxable on sale</w:t>
            </w:r>
            <w:r w:rsidR="00DE0707">
              <w:rPr>
                <w:lang w:val="en-NZ" w:eastAsia="en-NZ"/>
              </w:rPr>
              <w:t xml:space="preserve">, </w:t>
            </w:r>
            <w:r w:rsidRPr="002A1E94">
              <w:rPr>
                <w:lang w:val="en-NZ" w:eastAsia="en-NZ"/>
              </w:rPr>
              <w:t>there</w:t>
            </w:r>
            <w:r w:rsidR="00E704B5">
              <w:rPr>
                <w:lang w:val="en-NZ" w:eastAsia="en-NZ"/>
              </w:rPr>
              <w:t>by</w:t>
            </w:r>
            <w:r>
              <w:rPr>
                <w:lang w:val="en-NZ" w:eastAsia="en-NZ"/>
              </w:rPr>
              <w:t xml:space="preserve"> reduc</w:t>
            </w:r>
            <w:r w:rsidR="00E704B5">
              <w:rPr>
                <w:lang w:val="en-NZ" w:eastAsia="en-NZ"/>
              </w:rPr>
              <w:t>ing</w:t>
            </w:r>
            <w:r>
              <w:rPr>
                <w:lang w:val="en-NZ" w:eastAsia="en-NZ"/>
              </w:rPr>
              <w:t xml:space="preserve"> over-taxation</w:t>
            </w:r>
            <w:r w:rsidRPr="002A1E94">
              <w:rPr>
                <w:lang w:val="en-NZ" w:eastAsia="en-NZ"/>
              </w:rPr>
              <w:t>. This is a strong fairness argument and</w:t>
            </w:r>
            <w:r w:rsidR="00E42E5E">
              <w:rPr>
                <w:lang w:val="en-NZ" w:eastAsia="en-NZ"/>
              </w:rPr>
              <w:t>,</w:t>
            </w:r>
            <w:r w:rsidRPr="002A1E94">
              <w:rPr>
                <w:lang w:val="en-NZ" w:eastAsia="en-NZ"/>
              </w:rPr>
              <w:t xml:space="preserve"> on balance</w:t>
            </w:r>
            <w:r w:rsidR="00E42E5E">
              <w:rPr>
                <w:lang w:val="en-NZ" w:eastAsia="en-NZ"/>
              </w:rPr>
              <w:t>,</w:t>
            </w:r>
            <w:r w:rsidRPr="002A1E94">
              <w:rPr>
                <w:lang w:val="en-NZ" w:eastAsia="en-NZ"/>
              </w:rPr>
              <w:t xml:space="preserve"> outweighs the slightly reduced impact on housing affordability compared to </w:t>
            </w:r>
            <w:r>
              <w:rPr>
                <w:lang w:val="en-NZ" w:eastAsia="en-NZ"/>
              </w:rPr>
              <w:t>Option 2</w:t>
            </w:r>
            <w:r w:rsidRPr="002A1E94">
              <w:rPr>
                <w:lang w:val="en-NZ" w:eastAsia="en-NZ"/>
              </w:rPr>
              <w:t xml:space="preserve">. </w:t>
            </w:r>
          </w:p>
          <w:p w14:paraId="5B199BCC" w14:textId="562F7905" w:rsidR="00F27A6A" w:rsidRPr="003E175D" w:rsidRDefault="00F27A6A" w:rsidP="00273FD3">
            <w:pPr>
              <w:tabs>
                <w:tab w:val="left" w:pos="7424"/>
                <w:tab w:val="right" w:pos="8636"/>
              </w:tabs>
              <w:jc w:val="both"/>
              <w:rPr>
                <w:rFonts w:cs="Arial"/>
                <w:b/>
                <w:bCs/>
                <w:szCs w:val="22"/>
                <w:lang w:val="en-NZ"/>
              </w:rPr>
            </w:pPr>
            <w:r>
              <w:rPr>
                <w:rFonts w:cs="Arial"/>
                <w:b/>
                <w:bCs/>
                <w:szCs w:val="22"/>
                <w:lang w:val="en-NZ"/>
              </w:rPr>
              <w:t>Views from consultation with stake</w:t>
            </w:r>
            <w:r w:rsidR="00A01A4E">
              <w:rPr>
                <w:rFonts w:cs="Arial"/>
                <w:b/>
                <w:bCs/>
                <w:szCs w:val="22"/>
                <w:lang w:val="en-NZ"/>
              </w:rPr>
              <w:t>holders and general public</w:t>
            </w:r>
          </w:p>
          <w:p w14:paraId="57064181" w14:textId="73DA356E" w:rsidR="00647C3E" w:rsidRPr="003E175D" w:rsidRDefault="00647C3E" w:rsidP="003B2D5C">
            <w:pPr>
              <w:rPr>
                <w:i/>
                <w:iCs/>
              </w:rPr>
            </w:pPr>
            <w:r>
              <w:rPr>
                <w:i/>
                <w:iCs/>
              </w:rPr>
              <w:t>Treasury</w:t>
            </w:r>
            <w:r w:rsidR="004069CF">
              <w:rPr>
                <w:i/>
                <w:iCs/>
              </w:rPr>
              <w:t xml:space="preserve"> </w:t>
            </w:r>
          </w:p>
          <w:p w14:paraId="10E88FC8" w14:textId="15C31BB1" w:rsidR="006E4607" w:rsidRDefault="006E4607" w:rsidP="007E279C">
            <w:pPr>
              <w:jc w:val="both"/>
            </w:pPr>
            <w:r w:rsidRPr="006E4607">
              <w:t>In general, the Treasury supports limiting interest deductions for residential property primarily because it addresses the Government’s demand-side housing objective of moderating prices. In addition, in the absence of a comprehensive capital gains tax, the Treasury also supports it as a means of taxing more economic income from residential property investment. The Treasury is of the view that there should be no new build exemption, and that if there is one it should be as short as possible. While the Treasury does not support a new build exemption, it supports allowing interest deductions to offset any tax paid by investors on the sale of their properties.</w:t>
            </w:r>
            <w:r w:rsidR="0074132F">
              <w:t xml:space="preserve"> </w:t>
            </w:r>
            <w:r w:rsidR="0074132F" w:rsidRPr="0074132F">
              <w:t xml:space="preserve">In summary, the Treasury prefers </w:t>
            </w:r>
            <w:r w:rsidR="0074132F">
              <w:t>O</w:t>
            </w:r>
            <w:r w:rsidR="0074132F" w:rsidRPr="0074132F">
              <w:t>ption 4.</w:t>
            </w:r>
          </w:p>
          <w:p w14:paraId="5263AA63" w14:textId="607202F6" w:rsidR="00A01A4E" w:rsidRPr="00CC529D" w:rsidRDefault="00CC529D" w:rsidP="003B2D5C">
            <w:pPr>
              <w:rPr>
                <w:rFonts w:cs="Arial"/>
                <w:i/>
                <w:iCs/>
                <w:szCs w:val="22"/>
                <w:lang w:val="en-NZ"/>
              </w:rPr>
            </w:pPr>
            <w:r w:rsidRPr="00CC529D">
              <w:rPr>
                <w:rFonts w:cs="Arial"/>
                <w:i/>
                <w:iCs/>
                <w:szCs w:val="22"/>
                <w:lang w:val="en-NZ"/>
              </w:rPr>
              <w:t>Te Tūāpapa Kura Kāinga – Ministry of Housing and Urban Development</w:t>
            </w:r>
          </w:p>
          <w:p w14:paraId="4B158827" w14:textId="462A02EE" w:rsidR="0041767C" w:rsidRPr="0041767C" w:rsidRDefault="0041767C" w:rsidP="007E279C">
            <w:pPr>
              <w:jc w:val="both"/>
              <w:rPr>
                <w:rFonts w:cs="Arial"/>
                <w:szCs w:val="22"/>
                <w:lang w:val="en-NZ"/>
              </w:rPr>
            </w:pPr>
            <w:r w:rsidRPr="0041767C">
              <w:rPr>
                <w:rFonts w:cs="Arial"/>
                <w:szCs w:val="22"/>
                <w:lang w:val="en-NZ"/>
              </w:rPr>
              <w:t xml:space="preserve">In general, </w:t>
            </w:r>
            <w:r w:rsidR="009B3390" w:rsidRPr="00D137AB">
              <w:rPr>
                <w:lang w:val="en-NZ"/>
              </w:rPr>
              <w:t xml:space="preserve">Te Tūāpapa Kura Kāinga – Ministry of Housing and Urban Development </w:t>
            </w:r>
            <w:r w:rsidR="009B3390">
              <w:rPr>
                <w:rFonts w:cs="Arial"/>
                <w:szCs w:val="22"/>
                <w:lang w:val="en-NZ"/>
              </w:rPr>
              <w:t>(HUD)</w:t>
            </w:r>
            <w:r w:rsidRPr="0041767C">
              <w:rPr>
                <w:rFonts w:cs="Arial"/>
                <w:szCs w:val="22"/>
                <w:lang w:val="en-NZ"/>
              </w:rPr>
              <w:t xml:space="preserve"> opposes limiting interest deductions for residential property, because of the negative impacts this could have on new housing supply if a new build exemption is not long enough, and because of the negative impacts it is likely to have on rents, rental churn, the provision of emergency, transitional and public housing, and the feasibility of purpose</w:t>
            </w:r>
            <w:r w:rsidR="00DE0707">
              <w:rPr>
                <w:rFonts w:cs="Arial"/>
                <w:szCs w:val="22"/>
                <w:lang w:val="en-NZ"/>
              </w:rPr>
              <w:t>-</w:t>
            </w:r>
            <w:r w:rsidRPr="0041767C">
              <w:rPr>
                <w:rFonts w:cs="Arial"/>
                <w:szCs w:val="22"/>
                <w:lang w:val="en-NZ"/>
              </w:rPr>
              <w:t>built rental</w:t>
            </w:r>
            <w:r w:rsidR="00DE0707">
              <w:rPr>
                <w:rFonts w:cs="Arial"/>
                <w:szCs w:val="22"/>
                <w:lang w:val="en-NZ"/>
              </w:rPr>
              <w:t>s</w:t>
            </w:r>
            <w:r w:rsidRPr="0041767C">
              <w:rPr>
                <w:rFonts w:cs="Arial"/>
                <w:szCs w:val="22"/>
                <w:lang w:val="en-NZ"/>
              </w:rPr>
              <w:t>.</w:t>
            </w:r>
          </w:p>
          <w:p w14:paraId="4FB84B10" w14:textId="13320A27" w:rsidR="0041767C" w:rsidRDefault="0041767C" w:rsidP="007E279C">
            <w:pPr>
              <w:jc w:val="both"/>
              <w:rPr>
                <w:rFonts w:cs="Arial"/>
                <w:szCs w:val="22"/>
                <w:lang w:val="en-NZ"/>
              </w:rPr>
            </w:pPr>
            <w:r w:rsidRPr="0041767C">
              <w:rPr>
                <w:rFonts w:cs="Arial"/>
                <w:szCs w:val="22"/>
                <w:lang w:val="en-NZ"/>
              </w:rPr>
              <w:t>A long new build exemption (i.e. at least 20 years) is crucial to ensure that the new supply of houses is not reduced. HUD fundamentally disagrees with the Treasury’s assumption that the length of the exemption would only impact the price of residential property, and that it would not have any material impact on supply.</w:t>
            </w:r>
            <w:r w:rsidR="009725DA">
              <w:rPr>
                <w:rFonts w:cs="Arial"/>
                <w:szCs w:val="22"/>
                <w:lang w:val="en-NZ"/>
              </w:rPr>
              <w:t xml:space="preserve"> </w:t>
            </w:r>
            <w:r w:rsidR="009725DA" w:rsidRPr="5BCE5E87">
              <w:rPr>
                <w:rFonts w:cs="Arial"/>
                <w:lang w:val="en-NZ"/>
              </w:rPr>
              <w:t>Housing supply is already somewhat responsive to changes in demand, particularly in certain urban areas (i.e. Auckland). Regulatory changes, such as the National Policy Statement on Urban Development (NPS-UD)</w:t>
            </w:r>
            <w:r w:rsidR="00CF1529">
              <w:rPr>
                <w:rFonts w:cs="Arial"/>
                <w:lang w:val="en-NZ"/>
              </w:rPr>
              <w:t>,</w:t>
            </w:r>
            <w:r w:rsidR="009725DA" w:rsidRPr="5BCE5E87">
              <w:rPr>
                <w:rFonts w:cs="Arial"/>
                <w:lang w:val="en-NZ"/>
              </w:rPr>
              <w:t xml:space="preserve"> will also increase the responsiveness of supply to demand. In the absence of a new build exemption, or </w:t>
            </w:r>
            <w:r w:rsidR="009725DA" w:rsidRPr="505FDD4E">
              <w:rPr>
                <w:rFonts w:cs="Arial"/>
                <w:lang w:val="en-NZ"/>
              </w:rPr>
              <w:t>one which is too short,</w:t>
            </w:r>
            <w:r w:rsidR="009725DA" w:rsidRPr="5BCE5E87">
              <w:rPr>
                <w:rFonts w:cs="Arial"/>
                <w:lang w:val="en-NZ"/>
              </w:rPr>
              <w:t xml:space="preserve"> there is a significant risk that current rates of supply will drop and the extra supply being enabled by these regulatory changes will not be delivered.</w:t>
            </w:r>
          </w:p>
          <w:p w14:paraId="7944DFD4" w14:textId="3B712117" w:rsidR="00123228" w:rsidRPr="003E175D" w:rsidRDefault="00123228" w:rsidP="003E175D">
            <w:pPr>
              <w:rPr>
                <w:rFonts w:cs="Arial"/>
                <w:i/>
                <w:iCs/>
                <w:szCs w:val="22"/>
                <w:lang w:val="en-NZ"/>
              </w:rPr>
            </w:pPr>
            <w:r>
              <w:rPr>
                <w:rFonts w:cs="Arial"/>
                <w:i/>
                <w:iCs/>
                <w:szCs w:val="22"/>
                <w:lang w:val="en-NZ"/>
              </w:rPr>
              <w:t>Views of the general public</w:t>
            </w:r>
          </w:p>
          <w:p w14:paraId="51B9DE0B" w14:textId="79888C8D" w:rsidR="005E11EC" w:rsidRDefault="00A01A4E" w:rsidP="00273FD3">
            <w:pPr>
              <w:tabs>
                <w:tab w:val="left" w:pos="7424"/>
                <w:tab w:val="right" w:pos="8636"/>
              </w:tabs>
              <w:jc w:val="both"/>
              <w:rPr>
                <w:lang w:val="en-NZ"/>
              </w:rPr>
            </w:pPr>
            <w:r>
              <w:rPr>
                <w:lang w:val="en-NZ"/>
              </w:rPr>
              <w:t xml:space="preserve">While there were a broad range of submissions </w:t>
            </w:r>
            <w:r w:rsidR="003330C0">
              <w:rPr>
                <w:lang w:val="en-NZ"/>
              </w:rPr>
              <w:t>to the Government’s discussion document</w:t>
            </w:r>
            <w:r w:rsidR="009016A2">
              <w:rPr>
                <w:lang w:val="en-NZ"/>
              </w:rPr>
              <w:t>,</w:t>
            </w:r>
            <w:r w:rsidR="003330C0">
              <w:rPr>
                <w:lang w:val="en-NZ"/>
              </w:rPr>
              <w:t xml:space="preserve"> </w:t>
            </w:r>
            <w:r>
              <w:rPr>
                <w:lang w:val="en-NZ"/>
              </w:rPr>
              <w:t xml:space="preserve">both for and against </w:t>
            </w:r>
            <w:r w:rsidR="003330C0">
              <w:rPr>
                <w:lang w:val="en-NZ"/>
              </w:rPr>
              <w:t>the proposal to limit interest deductions and its various design elements, m</w:t>
            </w:r>
            <w:r w:rsidR="00AD4B7D">
              <w:rPr>
                <w:lang w:val="en-NZ"/>
              </w:rPr>
              <w:t>ost submitters opposed the general proposal.</w:t>
            </w:r>
            <w:r w:rsidR="00D10B72">
              <w:rPr>
                <w:rStyle w:val="FootnoteReference"/>
                <w:lang w:val="en-NZ"/>
              </w:rPr>
              <w:footnoteReference w:id="2"/>
            </w:r>
            <w:r w:rsidR="00AD4B7D">
              <w:rPr>
                <w:lang w:val="en-NZ"/>
              </w:rPr>
              <w:t xml:space="preserve"> </w:t>
            </w:r>
            <w:r w:rsidR="000C39AD">
              <w:rPr>
                <w:lang w:val="en-NZ"/>
              </w:rPr>
              <w:t xml:space="preserve">The public </w:t>
            </w:r>
            <w:r w:rsidR="00AD4B7D">
              <w:rPr>
                <w:lang w:val="en-NZ"/>
              </w:rPr>
              <w:t>consider</w:t>
            </w:r>
            <w:r w:rsidR="003330C0">
              <w:rPr>
                <w:lang w:val="en-NZ"/>
              </w:rPr>
              <w:t>ed</w:t>
            </w:r>
            <w:r w:rsidR="00AD4B7D">
              <w:rPr>
                <w:lang w:val="en-NZ"/>
              </w:rPr>
              <w:t xml:space="preserve"> that a range of exclusions to the proposal ought to be included</w:t>
            </w:r>
            <w:r w:rsidR="00CF07C9">
              <w:rPr>
                <w:lang w:val="en-NZ"/>
              </w:rPr>
              <w:t>,</w:t>
            </w:r>
            <w:r w:rsidR="00AD4B7D">
              <w:rPr>
                <w:lang w:val="en-NZ"/>
              </w:rPr>
              <w:t xml:space="preserve"> generally arguing that removing interest deductibility from various types of housing would not further the Government’s objectives.</w:t>
            </w:r>
            <w:r w:rsidR="00163118">
              <w:rPr>
                <w:lang w:val="en-NZ"/>
              </w:rPr>
              <w:t xml:space="preserve"> </w:t>
            </w:r>
          </w:p>
          <w:p w14:paraId="3940B4E8" w14:textId="1D085D5B" w:rsidR="00420D29" w:rsidRDefault="005E11EC" w:rsidP="00273FD3">
            <w:pPr>
              <w:tabs>
                <w:tab w:val="left" w:pos="7424"/>
                <w:tab w:val="right" w:pos="8636"/>
              </w:tabs>
              <w:jc w:val="both"/>
              <w:rPr>
                <w:rFonts w:cs="Arial"/>
                <w:szCs w:val="22"/>
                <w:lang w:val="en-NZ"/>
              </w:rPr>
            </w:pPr>
            <w:r>
              <w:rPr>
                <w:lang w:val="en-NZ"/>
              </w:rPr>
              <w:t>T</w:t>
            </w:r>
            <w:r w:rsidRPr="005E11EC">
              <w:rPr>
                <w:lang w:val="en-NZ"/>
              </w:rPr>
              <w:t xml:space="preserve">here was support for the new build exemption. </w:t>
            </w:r>
            <w:r w:rsidR="00163118" w:rsidRPr="00163118">
              <w:rPr>
                <w:lang w:val="en-NZ"/>
              </w:rPr>
              <w:t>Most submissions received on the new build exemption concerned its length and application. Some submitters favoured an exemption that applies to all owners of a new build for a period of time, ranging from a shorter exemption (for example, 10 years) to one that applies in perpetuity. Others preferred an exemption that only applies to initial owners of a new build, with a range of views on how long it should apply for.</w:t>
            </w:r>
          </w:p>
          <w:p w14:paraId="0A2A518B" w14:textId="3981043E" w:rsidR="00581AED" w:rsidRDefault="005E0B91" w:rsidP="00273FD3">
            <w:pPr>
              <w:tabs>
                <w:tab w:val="left" w:pos="7424"/>
                <w:tab w:val="right" w:pos="8636"/>
              </w:tabs>
              <w:jc w:val="both"/>
              <w:rPr>
                <w:lang w:val="en-NZ"/>
              </w:rPr>
            </w:pPr>
            <w:r>
              <w:rPr>
                <w:lang w:val="en-NZ"/>
              </w:rPr>
              <w:t>The</w:t>
            </w:r>
            <w:r w:rsidR="004214D9">
              <w:rPr>
                <w:lang w:val="en-NZ"/>
              </w:rPr>
              <w:t xml:space="preserve"> submissions that commented on </w:t>
            </w:r>
            <w:r w:rsidR="000D7759">
              <w:rPr>
                <w:lang w:val="en-NZ"/>
              </w:rPr>
              <w:t>t</w:t>
            </w:r>
            <w:r w:rsidR="004214D9" w:rsidRPr="00657256">
              <w:rPr>
                <w:lang w:val="en-NZ"/>
              </w:rPr>
              <w:t xml:space="preserve">he treatment of interest </w:t>
            </w:r>
            <w:r w:rsidR="004214D9">
              <w:rPr>
                <w:lang w:val="en-NZ"/>
              </w:rPr>
              <w:t xml:space="preserve">expenditure </w:t>
            </w:r>
            <w:r w:rsidR="004214D9" w:rsidRPr="00657256">
              <w:rPr>
                <w:lang w:val="en-NZ"/>
              </w:rPr>
              <w:t xml:space="preserve">when residential investment property is sold considered that </w:t>
            </w:r>
            <w:r>
              <w:rPr>
                <w:lang w:val="en-NZ"/>
              </w:rPr>
              <w:t xml:space="preserve">the </w:t>
            </w:r>
            <w:r w:rsidR="004214D9" w:rsidRPr="00657256">
              <w:rPr>
                <w:lang w:val="en-NZ"/>
              </w:rPr>
              <w:t xml:space="preserve">interest should be fully deductible </w:t>
            </w:r>
            <w:r>
              <w:rPr>
                <w:lang w:val="en-NZ"/>
              </w:rPr>
              <w:t xml:space="preserve">if the </w:t>
            </w:r>
            <w:r w:rsidR="004214D9" w:rsidRPr="00657256">
              <w:rPr>
                <w:lang w:val="en-NZ"/>
              </w:rPr>
              <w:t xml:space="preserve">property </w:t>
            </w:r>
            <w:r>
              <w:rPr>
                <w:lang w:val="en-NZ"/>
              </w:rPr>
              <w:t xml:space="preserve">is </w:t>
            </w:r>
            <w:r w:rsidR="004214D9" w:rsidRPr="00657256">
              <w:rPr>
                <w:lang w:val="en-NZ"/>
              </w:rPr>
              <w:t>taxable</w:t>
            </w:r>
            <w:r w:rsidR="002E20CE">
              <w:rPr>
                <w:lang w:val="en-NZ"/>
              </w:rPr>
              <w:t xml:space="preserve"> on sale</w:t>
            </w:r>
            <w:r w:rsidR="004214D9" w:rsidRPr="00657256">
              <w:rPr>
                <w:lang w:val="en-NZ"/>
              </w:rPr>
              <w:t>.</w:t>
            </w:r>
          </w:p>
          <w:p w14:paraId="60F9FF88" w14:textId="4B449E4C" w:rsidR="004A1865" w:rsidRDefault="00581AED" w:rsidP="0080209F">
            <w:pPr>
              <w:tabs>
                <w:tab w:val="left" w:pos="7424"/>
                <w:tab w:val="right" w:pos="8636"/>
              </w:tabs>
              <w:jc w:val="both"/>
              <w:rPr>
                <w:rFonts w:cs="Arial"/>
                <w:szCs w:val="22"/>
                <w:lang w:val="en-NZ"/>
              </w:rPr>
            </w:pPr>
            <w:r w:rsidRPr="00581AED">
              <w:rPr>
                <w:rFonts w:cs="Arial"/>
                <w:szCs w:val="22"/>
                <w:lang w:val="en-NZ"/>
              </w:rPr>
              <w:t xml:space="preserve">Submitters were largely concerned about increased </w:t>
            </w:r>
            <w:r w:rsidR="00CD0E70">
              <w:rPr>
                <w:rFonts w:cs="Arial"/>
                <w:szCs w:val="22"/>
                <w:lang w:val="en-NZ"/>
              </w:rPr>
              <w:t xml:space="preserve">administration and </w:t>
            </w:r>
            <w:r w:rsidRPr="00581AED">
              <w:rPr>
                <w:rFonts w:cs="Arial"/>
                <w:szCs w:val="22"/>
                <w:lang w:val="en-NZ"/>
              </w:rPr>
              <w:t>compliance costs</w:t>
            </w:r>
            <w:r w:rsidR="009F0ECA">
              <w:rPr>
                <w:rFonts w:cs="Arial"/>
                <w:szCs w:val="22"/>
                <w:lang w:val="en-NZ"/>
              </w:rPr>
              <w:t>;</w:t>
            </w:r>
            <w:r w:rsidRPr="00581AED">
              <w:rPr>
                <w:rFonts w:cs="Arial"/>
                <w:szCs w:val="22"/>
                <w:lang w:val="en-NZ"/>
              </w:rPr>
              <w:t xml:space="preserve"> in particular</w:t>
            </w:r>
            <w:r w:rsidR="009F0ECA">
              <w:rPr>
                <w:rFonts w:cs="Arial"/>
                <w:szCs w:val="22"/>
                <w:lang w:val="en-NZ"/>
              </w:rPr>
              <w:t>,</w:t>
            </w:r>
            <w:r w:rsidRPr="00581AED">
              <w:rPr>
                <w:rFonts w:cs="Arial"/>
                <w:szCs w:val="22"/>
                <w:lang w:val="en-NZ"/>
              </w:rPr>
              <w:t xml:space="preserve"> increased time and cost for tax agents. Other submitters were against additional information requirements as self-assessment and existing record-keeping rules would already require taxpayers to retain relevant information.</w:t>
            </w:r>
            <w:r w:rsidR="00F211D4">
              <w:rPr>
                <w:rFonts w:cs="Arial"/>
                <w:szCs w:val="22"/>
                <w:lang w:val="en-NZ"/>
              </w:rPr>
              <w:t xml:space="preserve"> </w:t>
            </w:r>
          </w:p>
          <w:p w14:paraId="32A1256D" w14:textId="1EA953A1" w:rsidR="000132F6" w:rsidRPr="00833C7E" w:rsidRDefault="00F211D4" w:rsidP="0080209F">
            <w:pPr>
              <w:tabs>
                <w:tab w:val="left" w:pos="7424"/>
                <w:tab w:val="right" w:pos="8636"/>
              </w:tabs>
              <w:jc w:val="both"/>
            </w:pPr>
            <w:r>
              <w:rPr>
                <w:rFonts w:cs="Arial"/>
                <w:szCs w:val="22"/>
                <w:lang w:val="en-NZ"/>
              </w:rPr>
              <w:t xml:space="preserve">A range of </w:t>
            </w:r>
            <w:r w:rsidR="00B7112B">
              <w:rPr>
                <w:rFonts w:cs="Arial"/>
                <w:szCs w:val="22"/>
                <w:lang w:val="en-NZ"/>
              </w:rPr>
              <w:t xml:space="preserve">other </w:t>
            </w:r>
            <w:r>
              <w:rPr>
                <w:rFonts w:cs="Arial"/>
                <w:szCs w:val="22"/>
                <w:lang w:val="en-NZ"/>
              </w:rPr>
              <w:t>submissions were made on the discussion document</w:t>
            </w:r>
            <w:r w:rsidR="00B7112B">
              <w:rPr>
                <w:rFonts w:cs="Arial"/>
                <w:szCs w:val="22"/>
                <w:lang w:val="en-NZ"/>
              </w:rPr>
              <w:t xml:space="preserve"> </w:t>
            </w:r>
            <w:r w:rsidR="001B538E" w:rsidRPr="00C8502B">
              <w:rPr>
                <w:lang w:val="en-NZ"/>
              </w:rPr>
              <w:t xml:space="preserve">– further </w:t>
            </w:r>
            <w:r w:rsidR="00B7112B" w:rsidRPr="00C8502B">
              <w:rPr>
                <w:lang w:val="en-NZ"/>
              </w:rPr>
              <w:t xml:space="preserve">detail </w:t>
            </w:r>
            <w:r w:rsidR="001B538E" w:rsidRPr="00C8502B">
              <w:rPr>
                <w:lang w:val="en-NZ"/>
              </w:rPr>
              <w:t xml:space="preserve">on submissions </w:t>
            </w:r>
            <w:r w:rsidR="00B7112B" w:rsidRPr="00C8502B">
              <w:rPr>
                <w:lang w:val="en-NZ"/>
              </w:rPr>
              <w:t xml:space="preserve">can be found </w:t>
            </w:r>
            <w:bookmarkStart w:id="3" w:name="Subject"/>
            <w:bookmarkEnd w:id="3"/>
            <w:r w:rsidR="00FE345A" w:rsidRPr="00C8502B">
              <w:rPr>
                <w:lang w:val="en-NZ"/>
              </w:rPr>
              <w:t>in the report</w:t>
            </w:r>
            <w:r w:rsidR="001C6348" w:rsidRPr="00C8502B">
              <w:rPr>
                <w:lang w:val="en-NZ"/>
              </w:rPr>
              <w:t xml:space="preserve"> “</w:t>
            </w:r>
            <w:r w:rsidR="001C6348" w:rsidRPr="00C8502B">
              <w:t>Interest limitation on residential investment property – key policy issues” (</w:t>
            </w:r>
            <w:r w:rsidR="0080209F" w:rsidRPr="00C8502B">
              <w:t xml:space="preserve">IR2021/325; T2021/1935 </w:t>
            </w:r>
            <w:r w:rsidR="0080209F" w:rsidRPr="00C8502B">
              <w:rPr>
                <w:lang w:val="en-NZ"/>
              </w:rPr>
              <w:t>refers).</w:t>
            </w:r>
          </w:p>
        </w:tc>
      </w:tr>
      <w:tr w:rsidR="00E8143E" w:rsidRPr="00A864A5" w14:paraId="42ED5650" w14:textId="77777777" w:rsidTr="00045034">
        <w:tc>
          <w:tcPr>
            <w:tcW w:w="5000" w:type="pct"/>
            <w:gridSpan w:val="2"/>
            <w:tcBorders>
              <w:bottom w:val="single" w:sz="4" w:space="0" w:color="DDDDDD"/>
            </w:tcBorders>
            <w:shd w:val="clear" w:color="auto" w:fill="99CDDD"/>
            <w:hideMark/>
          </w:tcPr>
          <w:p w14:paraId="195A9405" w14:textId="74F1F41C" w:rsidR="00E8143E" w:rsidRPr="00A864A5" w:rsidRDefault="00E8143E" w:rsidP="00273FD3">
            <w:pPr>
              <w:pStyle w:val="TableHeadings"/>
              <w:jc w:val="both"/>
              <w:rPr>
                <w:color w:val="002060"/>
                <w:szCs w:val="22"/>
                <w:lang w:val="en-NZ"/>
              </w:rPr>
            </w:pPr>
            <w:bookmarkStart w:id="4" w:name="_Hlk57203483"/>
            <w:bookmarkEnd w:id="1"/>
            <w:bookmarkEnd w:id="2"/>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E8143E" w:rsidRPr="00A864A5" w14:paraId="2E89EDEC" w14:textId="77777777" w:rsidTr="003E175D">
        <w:trPr>
          <w:trHeight w:val="978"/>
        </w:trPr>
        <w:tc>
          <w:tcPr>
            <w:tcW w:w="5000" w:type="pct"/>
            <w:gridSpan w:val="2"/>
            <w:shd w:val="clear" w:color="auto" w:fill="auto"/>
          </w:tcPr>
          <w:p w14:paraId="0776F9C0" w14:textId="3090FCF0" w:rsidR="006B0BE7" w:rsidRDefault="00E70DD5" w:rsidP="00273FD3">
            <w:pPr>
              <w:spacing w:after="180"/>
              <w:jc w:val="both"/>
            </w:pPr>
            <w:r>
              <w:t xml:space="preserve">The analysis is limited by </w:t>
            </w:r>
            <w:r w:rsidR="00A36337">
              <w:t xml:space="preserve">a </w:t>
            </w:r>
            <w:r w:rsidR="00425B4D">
              <w:t xml:space="preserve">number of </w:t>
            </w:r>
            <w:r w:rsidR="00F35FDE">
              <w:t>decisions made by Cabinet</w:t>
            </w:r>
            <w:r w:rsidR="00F35FDE">
              <w:rPr>
                <w:rStyle w:val="FootnoteReference"/>
              </w:rPr>
              <w:footnoteReference w:id="3"/>
            </w:r>
            <w:r w:rsidR="000B3955">
              <w:t xml:space="preserve"> </w:t>
            </w:r>
            <w:r w:rsidR="00167F7C">
              <w:t>prior to public consultation</w:t>
            </w:r>
            <w:r w:rsidR="00F35FDE">
              <w:t>, including the following</w:t>
            </w:r>
            <w:r w:rsidR="00F13884">
              <w:t xml:space="preserve"> key</w:t>
            </w:r>
            <w:r w:rsidR="00F35FDE">
              <w:t xml:space="preserve"> in</w:t>
            </w:r>
            <w:r w:rsidR="00F13884">
              <w:t>-</w:t>
            </w:r>
            <w:r w:rsidR="00F35FDE">
              <w:t>principle decisions</w:t>
            </w:r>
            <w:r w:rsidR="00F354E5">
              <w:t xml:space="preserve"> (full list of decisions </w:t>
            </w:r>
            <w:r w:rsidR="00B47348">
              <w:t xml:space="preserve">can be </w:t>
            </w:r>
            <w:r w:rsidR="00F354E5">
              <w:t xml:space="preserve">found below at </w:t>
            </w:r>
            <w:r w:rsidR="006F627B">
              <w:t xml:space="preserve">paragraph </w:t>
            </w:r>
            <w:r w:rsidR="00384C95">
              <w:t>14</w:t>
            </w:r>
            <w:r w:rsidR="00F354E5">
              <w:t>)</w:t>
            </w:r>
            <w:r w:rsidR="006B0BE7">
              <w:t>:</w:t>
            </w:r>
          </w:p>
          <w:p w14:paraId="7A57E767" w14:textId="0D81A953" w:rsidR="006B0BE7" w:rsidRDefault="0019307D" w:rsidP="00273FD3">
            <w:pPr>
              <w:pStyle w:val="ListParagraph"/>
              <w:numPr>
                <w:ilvl w:val="0"/>
                <w:numId w:val="35"/>
              </w:numPr>
              <w:spacing w:after="180"/>
              <w:jc w:val="both"/>
            </w:pPr>
            <w:r>
              <w:t xml:space="preserve">deductions </w:t>
            </w:r>
            <w:r w:rsidR="00F13884">
              <w:t xml:space="preserve">for interest incurred on or after 1 October 2021 </w:t>
            </w:r>
            <w:r>
              <w:t xml:space="preserve">will be denied in full </w:t>
            </w:r>
            <w:r w:rsidR="00F23751">
              <w:t>for interest on</w:t>
            </w:r>
            <w:r>
              <w:t xml:space="preserve"> loans relating to residential property acquired on or after the </w:t>
            </w:r>
            <w:r w:rsidR="00B012D0">
              <w:t>27 March 2021</w:t>
            </w:r>
            <w:r>
              <w:t xml:space="preserve">; </w:t>
            </w:r>
          </w:p>
          <w:p w14:paraId="19556483" w14:textId="5B57420E" w:rsidR="00051510" w:rsidRDefault="001B3EDF" w:rsidP="00273FD3">
            <w:pPr>
              <w:pStyle w:val="ListParagraph"/>
              <w:numPr>
                <w:ilvl w:val="0"/>
                <w:numId w:val="35"/>
              </w:numPr>
              <w:spacing w:after="180"/>
              <w:jc w:val="both"/>
            </w:pPr>
            <w:r>
              <w:t xml:space="preserve">residential properties acquired before </w:t>
            </w:r>
            <w:r w:rsidR="00C62158">
              <w:t xml:space="preserve">27 March 2021 will be subject </w:t>
            </w:r>
            <w:r w:rsidR="00BC7433">
              <w:t>to phasing of interest denial at 25 percent per year over four years</w:t>
            </w:r>
            <w:r w:rsidR="00CC4B6D">
              <w:t>;</w:t>
            </w:r>
            <w:r w:rsidR="00963B9B">
              <w:t xml:space="preserve"> and</w:t>
            </w:r>
          </w:p>
          <w:p w14:paraId="7BFDC66F" w14:textId="417A2513" w:rsidR="00B9388D" w:rsidRDefault="00B9388D" w:rsidP="00273FD3">
            <w:pPr>
              <w:pStyle w:val="ListParagraph"/>
              <w:numPr>
                <w:ilvl w:val="0"/>
                <w:numId w:val="35"/>
              </w:numPr>
              <w:spacing w:after="180"/>
              <w:jc w:val="both"/>
            </w:pPr>
            <w:r>
              <w:t xml:space="preserve">exempt property </w:t>
            </w:r>
            <w:r w:rsidR="00F354E5">
              <w:t>from the denial prop</w:t>
            </w:r>
            <w:r w:rsidR="00F23751">
              <w:t>osal</w:t>
            </w:r>
            <w:r w:rsidR="00F354E5">
              <w:t xml:space="preserve"> </w:t>
            </w:r>
            <w:r w:rsidR="00530917">
              <w:t>that is</w:t>
            </w:r>
            <w:r w:rsidR="00F354E5">
              <w:t xml:space="preserve"> </w:t>
            </w:r>
            <w:r>
              <w:t>located in New Zealand</w:t>
            </w:r>
            <w:r w:rsidR="00956B34">
              <w:t>,</w:t>
            </w:r>
            <w:r>
              <w:t xml:space="preserve"> </w:t>
            </w:r>
            <w:r w:rsidR="00530917">
              <w:t xml:space="preserve">and </w:t>
            </w:r>
            <w:r>
              <w:t xml:space="preserve">purchased on or after </w:t>
            </w:r>
            <w:r w:rsidR="00925396">
              <w:t>27 March 2021</w:t>
            </w:r>
            <w:r>
              <w:t xml:space="preserve"> and within 12 months of receiving its code compliance certificate</w:t>
            </w:r>
            <w:r w:rsidR="005E520F">
              <w:t>.</w:t>
            </w:r>
          </w:p>
          <w:p w14:paraId="3CF3532D" w14:textId="69A897D8" w:rsidR="00C60777" w:rsidRDefault="00CC434D" w:rsidP="00273FD3">
            <w:pPr>
              <w:spacing w:after="180"/>
              <w:jc w:val="both"/>
            </w:pPr>
            <w:bookmarkStart w:id="5" w:name="_Hlk81382528"/>
            <w:r w:rsidRPr="00CC434D">
              <w:t>Officials were not directed to consult on whether to proceed with the overall interest limitation policy</w:t>
            </w:r>
            <w:r w:rsidR="00123DED">
              <w:t>.</w:t>
            </w:r>
            <w:r w:rsidRPr="00CC434D">
              <w:t xml:space="preserve"> </w:t>
            </w:r>
            <w:r w:rsidR="00123DED">
              <w:t>They</w:t>
            </w:r>
            <w:r w:rsidRPr="00CC434D">
              <w:t xml:space="preserve"> were only directed to consult on the design of the policy (such as </w:t>
            </w:r>
            <w:r w:rsidR="00CB640D">
              <w:t>the design of</w:t>
            </w:r>
            <w:r w:rsidRPr="00CC434D">
              <w:t xml:space="preserve"> a new build exemption and whether interest deductions should be denied or </w:t>
            </w:r>
            <w:bookmarkStart w:id="6" w:name="_Hlk81382545"/>
            <w:bookmarkEnd w:id="5"/>
            <w:r w:rsidRPr="00CC434D">
              <w:t>merely deferred where the property</w:t>
            </w:r>
            <w:r w:rsidR="00147E03">
              <w:t xml:space="preserve"> is</w:t>
            </w:r>
            <w:r w:rsidRPr="00CC434D">
              <w:t xml:space="preserve"> taxable on sale).</w:t>
            </w:r>
            <w:r w:rsidRPr="00CC434D" w:rsidDel="00CC434D">
              <w:t xml:space="preserve"> </w:t>
            </w:r>
          </w:p>
          <w:p w14:paraId="4D1FB23E" w14:textId="5373C42E" w:rsidR="00CF0111" w:rsidRDefault="00B13933" w:rsidP="00273FD3">
            <w:pPr>
              <w:spacing w:after="180"/>
              <w:jc w:val="both"/>
            </w:pPr>
            <w:r>
              <w:t>A</w:t>
            </w:r>
            <w:r w:rsidR="00461225">
              <w:t xml:space="preserve">nalysis has not been done on the impacts of the overall interest limitation policy </w:t>
            </w:r>
            <w:r w:rsidR="00306442">
              <w:t xml:space="preserve">in </w:t>
            </w:r>
            <w:r w:rsidR="00670579">
              <w:t>conjunction with</w:t>
            </w:r>
            <w:r w:rsidR="00306442">
              <w:t xml:space="preserve"> </w:t>
            </w:r>
            <w:r w:rsidR="00306442">
              <w:rPr>
                <w:lang w:val="en-NZ"/>
              </w:rPr>
              <w:t xml:space="preserve">non-tax measures that have recently </w:t>
            </w:r>
            <w:r w:rsidR="00081995">
              <w:rPr>
                <w:lang w:val="en-NZ"/>
              </w:rPr>
              <w:t xml:space="preserve">been </w:t>
            </w:r>
            <w:r w:rsidR="00306442">
              <w:rPr>
                <w:lang w:val="en-NZ"/>
              </w:rPr>
              <w:t xml:space="preserve">implemented or </w:t>
            </w:r>
            <w:r w:rsidR="00304172">
              <w:rPr>
                <w:lang w:val="en-NZ"/>
              </w:rPr>
              <w:t>which</w:t>
            </w:r>
            <w:r w:rsidR="00306442">
              <w:rPr>
                <w:lang w:val="en-NZ"/>
              </w:rPr>
              <w:t xml:space="preserve"> are being considered</w:t>
            </w:r>
            <w:r w:rsidR="00306442">
              <w:t xml:space="preserve">. </w:t>
            </w:r>
            <w:r w:rsidR="00AF44F9">
              <w:t xml:space="preserve">This analysis has been prepared under time constraints. </w:t>
            </w:r>
            <w:r w:rsidR="00D835BC">
              <w:t>While a discussion document was produced</w:t>
            </w:r>
            <w:r w:rsidR="00EE1D82">
              <w:t xml:space="preserve"> concerning the general proposal, there has been very limited engagement on final design decisions</w:t>
            </w:r>
            <w:r w:rsidR="00EA788B">
              <w:t xml:space="preserve"> and their </w:t>
            </w:r>
            <w:r w:rsidR="005E520F">
              <w:t>overall coherence.</w:t>
            </w:r>
            <w:r w:rsidR="00557B2C">
              <w:t xml:space="preserve"> </w:t>
            </w:r>
            <w:bookmarkEnd w:id="6"/>
          </w:p>
          <w:p w14:paraId="6339166B" w14:textId="42F2E054" w:rsidR="00D63EA6" w:rsidRPr="00D63EA6" w:rsidRDefault="001E4C46" w:rsidP="00273FD3">
            <w:pPr>
              <w:spacing w:after="180"/>
              <w:jc w:val="both"/>
            </w:pPr>
            <w:r>
              <w:t xml:space="preserve">The impacts of each option are uncertain </w:t>
            </w:r>
            <w:r w:rsidR="00293589" w:rsidRPr="00293589">
              <w:t>and depend on judgements about how much and how quickly housing supply responds to economic signals such as price.</w:t>
            </w:r>
          </w:p>
        </w:tc>
      </w:tr>
      <w:tr w:rsidR="00413FD8" w:rsidRPr="00A864A5" w14:paraId="0EA0047F" w14:textId="77777777" w:rsidTr="00045034">
        <w:tc>
          <w:tcPr>
            <w:tcW w:w="5000" w:type="pct"/>
            <w:gridSpan w:val="2"/>
            <w:tcBorders>
              <w:bottom w:val="single" w:sz="4" w:space="0" w:color="DDDDDD"/>
            </w:tcBorders>
            <w:shd w:val="clear" w:color="auto" w:fill="99CDDD"/>
            <w:hideMark/>
          </w:tcPr>
          <w:p w14:paraId="7A579FF2" w14:textId="686AE2CC" w:rsidR="00413FD8" w:rsidRPr="00A864A5" w:rsidRDefault="00413FD8" w:rsidP="00273FD3">
            <w:pPr>
              <w:pStyle w:val="TableHeadings"/>
              <w:jc w:val="both"/>
              <w:rPr>
                <w:color w:val="002060"/>
                <w:szCs w:val="22"/>
                <w:lang w:val="en-NZ"/>
              </w:rPr>
            </w:pPr>
            <w:bookmarkStart w:id="7" w:name="_Hlk47608084"/>
            <w:bookmarkEnd w:id="4"/>
            <w:r w:rsidRPr="00A864A5">
              <w:rPr>
                <w:szCs w:val="22"/>
                <w:lang w:val="en-NZ"/>
              </w:rPr>
              <w:t>Responsible Manager</w:t>
            </w:r>
          </w:p>
        </w:tc>
      </w:tr>
      <w:tr w:rsidR="00413FD8" w:rsidRPr="00A864A5" w14:paraId="091E60B6" w14:textId="77777777" w:rsidTr="007A20DD">
        <w:trPr>
          <w:trHeight w:val="1761"/>
        </w:trPr>
        <w:tc>
          <w:tcPr>
            <w:tcW w:w="5000" w:type="pct"/>
            <w:gridSpan w:val="2"/>
            <w:tcBorders>
              <w:top w:val="nil"/>
            </w:tcBorders>
            <w:shd w:val="clear" w:color="auto" w:fill="auto"/>
          </w:tcPr>
          <w:p w14:paraId="2BD94019" w14:textId="060E9B6A" w:rsidR="00413FD8" w:rsidRPr="006F47F2" w:rsidRDefault="005A090C" w:rsidP="00273FD3">
            <w:pPr>
              <w:spacing w:before="60" w:after="0" w:line="276" w:lineRule="auto"/>
              <w:ind w:left="284" w:hanging="284"/>
              <w:jc w:val="both"/>
              <w:rPr>
                <w:rFonts w:cs="Arial"/>
                <w:szCs w:val="22"/>
                <w:lang w:val="en-NZ"/>
              </w:rPr>
            </w:pPr>
            <w:r w:rsidRPr="006F47F2">
              <w:rPr>
                <w:rFonts w:cs="Arial"/>
                <w:szCs w:val="22"/>
                <w:lang w:val="en-NZ"/>
              </w:rPr>
              <w:t>Chris Gillion</w:t>
            </w:r>
          </w:p>
          <w:p w14:paraId="08A99EE2" w14:textId="77777777" w:rsidR="006F47F2" w:rsidRPr="006F47F2" w:rsidRDefault="006F47F2" w:rsidP="00273FD3">
            <w:pPr>
              <w:spacing w:before="60" w:after="0" w:line="276" w:lineRule="auto"/>
              <w:ind w:left="284" w:hanging="284"/>
              <w:jc w:val="both"/>
              <w:rPr>
                <w:rFonts w:cs="Arial"/>
                <w:szCs w:val="22"/>
                <w:lang w:val="en-NZ"/>
              </w:rPr>
            </w:pPr>
            <w:r w:rsidRPr="006F47F2">
              <w:rPr>
                <w:rFonts w:cs="Arial"/>
                <w:szCs w:val="22"/>
                <w:lang w:val="en-NZ"/>
              </w:rPr>
              <w:t>Policy Lead</w:t>
            </w:r>
          </w:p>
          <w:p w14:paraId="51DF013E" w14:textId="0A19539F" w:rsidR="006F47F2" w:rsidRPr="006F47F2" w:rsidRDefault="006F47F2" w:rsidP="00273FD3">
            <w:pPr>
              <w:spacing w:before="60" w:after="0" w:line="276" w:lineRule="auto"/>
              <w:ind w:left="284" w:hanging="284"/>
              <w:jc w:val="both"/>
              <w:rPr>
                <w:rFonts w:cs="Arial"/>
                <w:szCs w:val="22"/>
                <w:lang w:val="en-NZ"/>
              </w:rPr>
            </w:pPr>
            <w:r w:rsidRPr="006F47F2">
              <w:rPr>
                <w:rFonts w:cs="Arial"/>
                <w:szCs w:val="22"/>
                <w:lang w:val="en-NZ"/>
              </w:rPr>
              <w:t xml:space="preserve">Policy &amp; Regulatory Stewardship </w:t>
            </w:r>
          </w:p>
          <w:p w14:paraId="4E99BE46" w14:textId="75F4F81A" w:rsidR="00413FD8" w:rsidRPr="006F47F2" w:rsidRDefault="006F47F2" w:rsidP="00273FD3">
            <w:pPr>
              <w:spacing w:before="60" w:after="0" w:line="276" w:lineRule="auto"/>
              <w:ind w:left="284" w:hanging="284"/>
              <w:jc w:val="both"/>
              <w:rPr>
                <w:rFonts w:cs="Arial"/>
                <w:szCs w:val="22"/>
                <w:lang w:val="en-NZ"/>
              </w:rPr>
            </w:pPr>
            <w:r w:rsidRPr="006F47F2">
              <w:rPr>
                <w:rFonts w:cs="Arial"/>
                <w:szCs w:val="22"/>
                <w:lang w:val="en-NZ"/>
              </w:rPr>
              <w:t>Inland Revenue</w:t>
            </w:r>
          </w:p>
          <w:p w14:paraId="56D94B25" w14:textId="77777777" w:rsidR="00A726CF" w:rsidRDefault="00A726CF" w:rsidP="00273FD3">
            <w:pPr>
              <w:spacing w:after="0"/>
              <w:jc w:val="both"/>
              <w:rPr>
                <w:rFonts w:cs="Arial"/>
                <w:i/>
                <w:iCs/>
                <w:szCs w:val="22"/>
                <w:lang w:val="en-NZ"/>
              </w:rPr>
            </w:pPr>
          </w:p>
          <w:p w14:paraId="3EE462A3" w14:textId="3E524A90" w:rsidR="00A726CF" w:rsidRDefault="006D6A71" w:rsidP="00273FD3">
            <w:pPr>
              <w:spacing w:after="0"/>
              <w:jc w:val="both"/>
              <w:rPr>
                <w:rFonts w:cs="Arial"/>
                <w:i/>
                <w:iCs/>
                <w:szCs w:val="22"/>
                <w:lang w:val="en-NZ"/>
              </w:rPr>
            </w:pPr>
            <w:r w:rsidRPr="006D6A71">
              <w:rPr>
                <w:rFonts w:cs="Arial"/>
                <w:iCs/>
                <w:color w:val="000000"/>
                <w:szCs w:val="22"/>
                <w:lang w:val="en-NZ"/>
              </w:rPr>
              <w:t>8 September 2021</w:t>
            </w:r>
            <w:r w:rsidR="00A726CF">
              <w:rPr>
                <w:noProof/>
              </w:rPr>
              <w:drawing>
                <wp:anchor distT="0" distB="0" distL="114300" distR="114300" simplePos="0" relativeHeight="251658240" behindDoc="0" locked="0" layoutInCell="1" allowOverlap="1" wp14:anchorId="238487B5" wp14:editId="72207254">
                  <wp:simplePos x="0" y="0"/>
                  <wp:positionH relativeFrom="column">
                    <wp:posOffset>-2540</wp:posOffset>
                  </wp:positionH>
                  <wp:positionV relativeFrom="paragraph">
                    <wp:posOffset>7620</wp:posOffset>
                  </wp:positionV>
                  <wp:extent cx="1014730" cy="676275"/>
                  <wp:effectExtent l="0" t="0" r="0" b="952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73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FBD4C4" w14:textId="5D4BC1AF" w:rsidR="007A20DD" w:rsidRPr="00A864A5" w:rsidRDefault="007A20DD" w:rsidP="006D6A71">
            <w:pPr>
              <w:spacing w:after="0"/>
              <w:jc w:val="both"/>
              <w:rPr>
                <w:rFonts w:cs="Arial"/>
                <w:iCs/>
                <w:color w:val="000000"/>
                <w:sz w:val="14"/>
                <w:szCs w:val="14"/>
                <w:lang w:val="en-NZ"/>
              </w:rPr>
            </w:pPr>
          </w:p>
        </w:tc>
      </w:tr>
      <w:tr w:rsidR="00EB2157" w:rsidRPr="00A864A5" w14:paraId="5FCD62D5" w14:textId="77777777" w:rsidTr="00045034">
        <w:tc>
          <w:tcPr>
            <w:tcW w:w="5000" w:type="pct"/>
            <w:gridSpan w:val="2"/>
            <w:tcBorders>
              <w:bottom w:val="single" w:sz="4" w:space="0" w:color="DDDDDD"/>
            </w:tcBorders>
            <w:shd w:val="clear" w:color="auto" w:fill="99CDDD"/>
            <w:hideMark/>
          </w:tcPr>
          <w:p w14:paraId="55C0C834" w14:textId="678B9934" w:rsidR="00EB2157" w:rsidRPr="00A864A5" w:rsidRDefault="00EB2157" w:rsidP="00273FD3">
            <w:pPr>
              <w:pStyle w:val="TableHeadings"/>
              <w:jc w:val="both"/>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p>
        </w:tc>
      </w:tr>
      <w:tr w:rsidR="00EB2157" w:rsidRPr="00A864A5" w14:paraId="6F7BACA2" w14:textId="77777777" w:rsidTr="00B81C76">
        <w:trPr>
          <w:trHeight w:val="141"/>
        </w:trPr>
        <w:tc>
          <w:tcPr>
            <w:tcW w:w="1297" w:type="pct"/>
            <w:tcBorders>
              <w:top w:val="nil"/>
            </w:tcBorders>
            <w:shd w:val="clear" w:color="auto" w:fill="EBF5F8"/>
          </w:tcPr>
          <w:p w14:paraId="22AF1207" w14:textId="7EA6C592" w:rsidR="00EB2157" w:rsidRPr="00A864A5" w:rsidRDefault="00EB2157" w:rsidP="00273FD3">
            <w:pPr>
              <w:spacing w:after="180"/>
              <w:jc w:val="both"/>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703" w:type="pct"/>
            <w:tcBorders>
              <w:top w:val="nil"/>
            </w:tcBorders>
            <w:shd w:val="clear" w:color="auto" w:fill="auto"/>
          </w:tcPr>
          <w:p w14:paraId="402BE84D" w14:textId="7ECEC36F" w:rsidR="00EB2157" w:rsidRPr="006F47F2" w:rsidRDefault="006F47F2" w:rsidP="00273FD3">
            <w:pPr>
              <w:spacing w:after="180"/>
              <w:jc w:val="both"/>
              <w:rPr>
                <w:rFonts w:cs="Arial"/>
                <w:iCs/>
                <w:color w:val="000000"/>
                <w:szCs w:val="22"/>
                <w:highlight w:val="green"/>
                <w:lang w:val="en-NZ"/>
              </w:rPr>
            </w:pPr>
            <w:r w:rsidRPr="006F47F2">
              <w:rPr>
                <w:rFonts w:cs="Arial"/>
                <w:szCs w:val="22"/>
                <w:lang w:val="en-NZ"/>
              </w:rPr>
              <w:t>Inland Revenue and The Treasury</w:t>
            </w:r>
          </w:p>
        </w:tc>
      </w:tr>
      <w:tr w:rsidR="00EB2157" w:rsidRPr="00A864A5" w14:paraId="228C68D7" w14:textId="77777777" w:rsidTr="00FA2433">
        <w:trPr>
          <w:trHeight w:val="1639"/>
        </w:trPr>
        <w:tc>
          <w:tcPr>
            <w:tcW w:w="1297" w:type="pct"/>
            <w:tcBorders>
              <w:top w:val="nil"/>
            </w:tcBorders>
            <w:shd w:val="clear" w:color="auto" w:fill="EBF5F8"/>
          </w:tcPr>
          <w:p w14:paraId="4DF0990E" w14:textId="00252464" w:rsidR="00EB2157" w:rsidRPr="00A864A5" w:rsidRDefault="00F321A6" w:rsidP="00273FD3">
            <w:pPr>
              <w:spacing w:after="180"/>
              <w:jc w:val="both"/>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703" w:type="pct"/>
            <w:tcBorders>
              <w:top w:val="nil"/>
            </w:tcBorders>
            <w:shd w:val="clear" w:color="auto" w:fill="auto"/>
          </w:tcPr>
          <w:p w14:paraId="51272B22" w14:textId="77777777" w:rsidR="00AB0A28" w:rsidRPr="00AB0A28" w:rsidRDefault="00AB0A28" w:rsidP="00AB0A28">
            <w:pPr>
              <w:spacing w:after="180"/>
              <w:jc w:val="both"/>
              <w:rPr>
                <w:rFonts w:cs="Arial"/>
                <w:szCs w:val="22"/>
                <w:lang w:val="en-NZ"/>
              </w:rPr>
            </w:pPr>
            <w:r w:rsidRPr="00AB0A28">
              <w:rPr>
                <w:rFonts w:cs="Arial"/>
                <w:szCs w:val="22"/>
                <w:lang w:val="en-NZ"/>
              </w:rPr>
              <w:t xml:space="preserve">The Quality Assurance Panel with representatives from Inland Revenue and the Treasury has reviewed the Limiting interest deductibility on residential investment property regulatory impact statement (RIS) prepared by Inland Revenue and considers that the information and analysis summarised in the RIS partially meets the quality assurance criteria. </w:t>
            </w:r>
          </w:p>
          <w:p w14:paraId="5360A6D3" w14:textId="77777777" w:rsidR="00AB0A28" w:rsidRPr="00AB0A28" w:rsidRDefault="00AB0A28" w:rsidP="00AB0A28">
            <w:pPr>
              <w:spacing w:after="180"/>
              <w:jc w:val="both"/>
              <w:rPr>
                <w:rFonts w:cs="Arial"/>
                <w:szCs w:val="22"/>
                <w:lang w:val="en-NZ"/>
              </w:rPr>
            </w:pPr>
            <w:r w:rsidRPr="00AB0A28">
              <w:rPr>
                <w:rFonts w:cs="Arial"/>
                <w:szCs w:val="22"/>
                <w:lang w:val="en-NZ"/>
              </w:rPr>
              <w:t xml:space="preserve">Assessing the impact of each option depends on judgements about how much and how quickly housing supply responds to economic signals such as price. Further, the timeframe for policy development has been constrained. Given this, the panel considers that the information in the RIS is as complete as could reasonably be expected and identifies the main judgements, risks and uncertainties within the policy.  </w:t>
            </w:r>
          </w:p>
          <w:p w14:paraId="28FD900F" w14:textId="3F794218" w:rsidR="00EB2157" w:rsidRPr="006F47F2" w:rsidRDefault="00AB0A28" w:rsidP="00AB0A28">
            <w:pPr>
              <w:spacing w:after="180"/>
              <w:jc w:val="both"/>
              <w:rPr>
                <w:rFonts w:cs="Arial"/>
                <w:iCs/>
                <w:color w:val="000000"/>
                <w:szCs w:val="22"/>
                <w:highlight w:val="green"/>
                <w:lang w:val="en-NZ"/>
              </w:rPr>
            </w:pPr>
            <w:r w:rsidRPr="00AB0A28">
              <w:rPr>
                <w:rFonts w:cs="Arial"/>
                <w:szCs w:val="22"/>
                <w:lang w:val="en-NZ"/>
              </w:rPr>
              <w:t xml:space="preserve">However, the RIS does not analyse the impacts of the interest limitation policy in conjunction with other measures that have been recently implemented or are being considered. Further, while public consultation was carried out on the design of the proposal to limit interest deductibility, the public have not specifically been consulted on the problem definition and the broader range of options (although where stakeholders provided general comments on the proposal and suggested alternatives through the public consultation process, these comments have been incorporated into the RIS). Consequently, the panel cannot be confident that the full range of impacts have been identified or that the preferred options are the best options to address the problem and achieve the desired objectives.  </w:t>
            </w:r>
          </w:p>
        </w:tc>
      </w:tr>
    </w:tbl>
    <w:p w14:paraId="7010C4D9" w14:textId="77777777" w:rsidR="00D603D8" w:rsidRDefault="00D603D8" w:rsidP="00273FD3">
      <w:pPr>
        <w:pStyle w:val="Heading2"/>
        <w:jc w:val="both"/>
        <w:rPr>
          <w:lang w:val="en-NZ"/>
        </w:rPr>
      </w:pPr>
      <w:bookmarkStart w:id="8" w:name="_Toc363047038"/>
      <w:bookmarkStart w:id="9" w:name="_Toc362940530"/>
      <w:bookmarkStart w:id="10" w:name="_Toc362618966"/>
      <w:bookmarkStart w:id="11" w:name="_Toc362434720"/>
      <w:bookmarkStart w:id="12" w:name="_Toc362368098"/>
      <w:bookmarkEnd w:id="7"/>
    </w:p>
    <w:p w14:paraId="52B56829" w14:textId="77777777" w:rsidR="00D603D8" w:rsidRDefault="00D603D8" w:rsidP="00273FD3">
      <w:pPr>
        <w:spacing w:after="0" w:line="240" w:lineRule="auto"/>
        <w:jc w:val="both"/>
        <w:rPr>
          <w:rFonts w:ascii="Arial Bold" w:hAnsi="Arial Bold"/>
          <w:b/>
          <w:color w:val="0082AB"/>
          <w:spacing w:val="20"/>
          <w:w w:val="90"/>
          <w:sz w:val="32"/>
          <w:szCs w:val="24"/>
          <w:lang w:val="en-NZ"/>
        </w:rPr>
      </w:pPr>
      <w:r>
        <w:rPr>
          <w:lang w:val="en-NZ"/>
        </w:rPr>
        <w:br w:type="page"/>
      </w:r>
    </w:p>
    <w:p w14:paraId="3E327532" w14:textId="4E5CA1BB" w:rsidR="00C53DAC" w:rsidRDefault="00F16C50" w:rsidP="00273FD3">
      <w:pPr>
        <w:pStyle w:val="Heading2"/>
        <w:jc w:val="both"/>
        <w:rPr>
          <w:lang w:val="en-NZ"/>
        </w:rPr>
      </w:pPr>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4E48D616" w14:textId="12CAB91E" w:rsidR="007D78A1" w:rsidRPr="00A864A5" w:rsidRDefault="007E4F5A" w:rsidP="00273FD3">
      <w:pPr>
        <w:pStyle w:val="Heading3"/>
        <w:jc w:val="both"/>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0C2AA408" w14:textId="3FD6E809" w:rsidR="00903E2E" w:rsidRPr="002523AA" w:rsidRDefault="00EC43E4" w:rsidP="00390F88">
      <w:pPr>
        <w:pStyle w:val="ListParagraph"/>
        <w:numPr>
          <w:ilvl w:val="0"/>
          <w:numId w:val="39"/>
        </w:numPr>
        <w:ind w:left="930" w:hanging="646"/>
        <w:jc w:val="both"/>
        <w:rPr>
          <w:lang w:val="en-NZ"/>
        </w:rPr>
      </w:pPr>
      <w:r>
        <w:t>Affordable housing is an important factor in determining people’s wellbeing, particularly for low-income families where housing costs represent a higher proportion of total income. Renters generally live in poorer-quality housing that is more likely to be cold, damp, have mould, and need major repairs.</w:t>
      </w:r>
      <w:r w:rsidR="00EA0C1D">
        <w:rPr>
          <w:rStyle w:val="FootnoteReference"/>
        </w:rPr>
        <w:footnoteReference w:id="4"/>
      </w:r>
      <w:r>
        <w:t xml:space="preserve"> Home ownership in and of itself has long-term impacts on living standards and the distribution of wealth; New Zealand homeowners are typically 14 times wealthier than non-homeowners.</w:t>
      </w:r>
      <w:r w:rsidR="00EC1E96">
        <w:rPr>
          <w:rStyle w:val="FootnoteReference"/>
        </w:rPr>
        <w:footnoteReference w:id="5"/>
      </w:r>
      <w:r>
        <w:t xml:space="preserve"> Furthermore, unaffordable housing disproportionately affects </w:t>
      </w:r>
      <w:r w:rsidR="00DD71A8">
        <w:t>certain</w:t>
      </w:r>
      <w:r>
        <w:t xml:space="preserve"> population groups </w:t>
      </w:r>
      <w:r w:rsidR="00BB1369">
        <w:t>such as</w:t>
      </w:r>
      <w:r>
        <w:t xml:space="preserve"> low-income people, young people, Māori, and Pacific peoples. </w:t>
      </w:r>
    </w:p>
    <w:p w14:paraId="6C794D9C" w14:textId="27EAFEE3" w:rsidR="006F1514" w:rsidRPr="006F1514" w:rsidRDefault="00EC43E4" w:rsidP="00390F88">
      <w:pPr>
        <w:pStyle w:val="ListParagraph"/>
        <w:numPr>
          <w:ilvl w:val="0"/>
          <w:numId w:val="39"/>
        </w:numPr>
        <w:ind w:left="930" w:hanging="646"/>
        <w:jc w:val="both"/>
        <w:rPr>
          <w:lang w:val="en-NZ"/>
        </w:rPr>
      </w:pPr>
      <w:r w:rsidRPr="00903E2E">
        <w:rPr>
          <w:b/>
          <w:bCs/>
        </w:rPr>
        <w:t xml:space="preserve">Housing affordability </w:t>
      </w:r>
      <w:r w:rsidR="006F1514">
        <w:rPr>
          <w:b/>
          <w:bCs/>
        </w:rPr>
        <w:t xml:space="preserve">for owner-occupiers: </w:t>
      </w:r>
      <w:r>
        <w:t>Housing costs compared to income are high in New Zealand compared to other OECD countries.</w:t>
      </w:r>
      <w:r w:rsidR="00D9339A">
        <w:rPr>
          <w:rStyle w:val="FootnoteReference"/>
        </w:rPr>
        <w:footnoteReference w:id="6"/>
      </w:r>
      <w:r>
        <w:t xml:space="preserve"> Nationally, house prices have been rising at a rate faster than wages over the past five years.</w:t>
      </w:r>
      <w:r w:rsidR="00D9339A">
        <w:rPr>
          <w:rStyle w:val="FootnoteReference"/>
        </w:rPr>
        <w:footnoteReference w:id="7"/>
      </w:r>
      <w:r>
        <w:t xml:space="preserve"> This trend has accelerated over the past year. House prices have increased 19.8 percent year-on-year to October 2020, with the median price at that time being $725,000.</w:t>
      </w:r>
      <w:r w:rsidR="00D9339A">
        <w:rPr>
          <w:rStyle w:val="FootnoteReference"/>
        </w:rPr>
        <w:footnoteReference w:id="8"/>
      </w:r>
      <w:r>
        <w:t xml:space="preserve"> Auckland’s median house sale price for October was over $1 million for the first time. Homeownership rates are significantly lower now than they were at their peak in the 1990s and, as at the 2018 Census, were at their lowest since the 1950s.</w:t>
      </w:r>
      <w:r w:rsidR="002D56C8">
        <w:rPr>
          <w:rStyle w:val="FootnoteReference"/>
        </w:rPr>
        <w:footnoteReference w:id="9"/>
      </w:r>
      <w:r>
        <w:t xml:space="preserve"> However, home ownership rates have remained relatively stable over the last 5 years, which may reflect first</w:t>
      </w:r>
      <w:r w:rsidR="009F305E">
        <w:t>-</w:t>
      </w:r>
      <w:r>
        <w:t xml:space="preserve">home buyers taking advantage of KiwiSaver deposits and low mortgage interest rates to enter the market. The decline in the proportion of households living in owner-occupied homes </w:t>
      </w:r>
      <w:r w:rsidR="00242C50">
        <w:t>since the 1990s has</w:t>
      </w:r>
      <w:r>
        <w:t xml:space="preserve"> not occu</w:t>
      </w:r>
      <w:r w:rsidR="00313E22">
        <w:t>r</w:t>
      </w:r>
      <w:r>
        <w:t>r</w:t>
      </w:r>
      <w:r w:rsidR="00337201">
        <w:t>ed</w:t>
      </w:r>
      <w:r>
        <w:t xml:space="preserve"> uniformly across the population</w:t>
      </w:r>
      <w:r w:rsidR="0086188F">
        <w:t xml:space="preserve">. For example, </w:t>
      </w:r>
      <w:r w:rsidR="000543AC">
        <w:t>the decline</w:t>
      </w:r>
      <w:r w:rsidR="0086188F">
        <w:t xml:space="preserve"> has</w:t>
      </w:r>
      <w:r>
        <w:t xml:space="preserve"> </w:t>
      </w:r>
      <w:r w:rsidR="000543AC">
        <w:t xml:space="preserve">been faster </w:t>
      </w:r>
      <w:r>
        <w:t>for Māori and Pacific peoples. For Māori</w:t>
      </w:r>
      <w:r w:rsidR="001263EA">
        <w:t>,</w:t>
      </w:r>
      <w:r>
        <w:t xml:space="preserve"> the proportion of people living in an owner-occupied home declined across most of the 20th and early 21st century. </w:t>
      </w:r>
      <w:r w:rsidR="000543AC">
        <w:t>From</w:t>
      </w:r>
      <w:r>
        <w:t xml:space="preserve"> 1991</w:t>
      </w:r>
      <w:r w:rsidR="004B7D32">
        <w:t>,</w:t>
      </w:r>
      <w:r>
        <w:t xml:space="preserve"> it has fallen from 57.4</w:t>
      </w:r>
      <w:r w:rsidR="007316BC">
        <w:t xml:space="preserve"> percent</w:t>
      </w:r>
      <w:r>
        <w:t xml:space="preserve"> to 47.2</w:t>
      </w:r>
      <w:r w:rsidR="007316BC">
        <w:t xml:space="preserve"> percent</w:t>
      </w:r>
      <w:r>
        <w:t xml:space="preserve"> by 2018. For Pacific people</w:t>
      </w:r>
      <w:r w:rsidR="004B7D32">
        <w:t>,</w:t>
      </w:r>
      <w:r>
        <w:t xml:space="preserve"> it </w:t>
      </w:r>
      <w:r w:rsidR="0085066B">
        <w:t>fell</w:t>
      </w:r>
      <w:r>
        <w:t xml:space="preserve"> from 50.8</w:t>
      </w:r>
      <w:r w:rsidR="007316BC">
        <w:t xml:space="preserve"> percent</w:t>
      </w:r>
      <w:r>
        <w:t xml:space="preserve"> in 1986 to 35.1</w:t>
      </w:r>
      <w:r w:rsidR="007316BC">
        <w:t xml:space="preserve"> percent</w:t>
      </w:r>
      <w:r>
        <w:t xml:space="preserve"> in 2018.</w:t>
      </w:r>
      <w:r w:rsidR="00E07086">
        <w:rPr>
          <w:rStyle w:val="FootnoteReference"/>
        </w:rPr>
        <w:footnoteReference w:id="10"/>
      </w:r>
      <w:r>
        <w:t xml:space="preserve"> There are also considerable disparities in homeownership rates by age, with </w:t>
      </w:r>
      <w:r w:rsidR="00F951C2">
        <w:t xml:space="preserve">higher </w:t>
      </w:r>
      <w:r>
        <w:t>rates for older people.</w:t>
      </w:r>
      <w:r w:rsidR="00931EA1">
        <w:rPr>
          <w:rStyle w:val="FootnoteReference"/>
        </w:rPr>
        <w:footnoteReference w:id="11"/>
      </w:r>
      <w:r>
        <w:t xml:space="preserve"> </w:t>
      </w:r>
    </w:p>
    <w:p w14:paraId="649F4F75" w14:textId="76CBDE09" w:rsidR="006F1514" w:rsidRPr="006F1514" w:rsidRDefault="006F1514" w:rsidP="00390F88">
      <w:pPr>
        <w:pStyle w:val="ListParagraph"/>
        <w:numPr>
          <w:ilvl w:val="0"/>
          <w:numId w:val="39"/>
        </w:numPr>
        <w:ind w:left="930" w:hanging="646"/>
        <w:jc w:val="both"/>
        <w:rPr>
          <w:lang w:val="en-NZ"/>
        </w:rPr>
      </w:pPr>
      <w:r>
        <w:t>Housing investors have consistently accounted for over one-third of property purchase transactions over the past decade, with investors making almost 40</w:t>
      </w:r>
      <w:r w:rsidR="007316BC" w:rsidRPr="007316BC">
        <w:t xml:space="preserve"> </w:t>
      </w:r>
      <w:r w:rsidR="007316BC">
        <w:t>percent</w:t>
      </w:r>
      <w:r>
        <w:t xml:space="preserve"> of purchases in September 2020. Investor bidding is likely to exacerbate price escalation and hinder the ability of owner-occupiers to purchase houses</w:t>
      </w:r>
      <w:r w:rsidR="00AD5B37">
        <w:t xml:space="preserve">. </w:t>
      </w:r>
      <w:r w:rsidR="007A7C47">
        <w:t>At the same time</w:t>
      </w:r>
      <w:r w:rsidR="006446A0">
        <w:t>,</w:t>
      </w:r>
      <w:r w:rsidR="007A7C47">
        <w:t xml:space="preserve"> investors supply rental housing and a </w:t>
      </w:r>
      <w:r w:rsidR="000B33A9">
        <w:t>good supply of rental housing is an important part of a healthy housing market.</w:t>
      </w:r>
    </w:p>
    <w:p w14:paraId="5BE0BF6D" w14:textId="76CA587D" w:rsidR="006F1514" w:rsidRPr="006F1514" w:rsidRDefault="006F1514" w:rsidP="00390F88">
      <w:pPr>
        <w:pStyle w:val="ListParagraph"/>
        <w:numPr>
          <w:ilvl w:val="0"/>
          <w:numId w:val="39"/>
        </w:numPr>
        <w:ind w:left="930" w:hanging="646"/>
        <w:jc w:val="both"/>
        <w:rPr>
          <w:lang w:val="en-NZ"/>
        </w:rPr>
      </w:pPr>
      <w:r w:rsidRPr="00903E2E">
        <w:rPr>
          <w:b/>
          <w:bCs/>
        </w:rPr>
        <w:t xml:space="preserve">Housing affordability </w:t>
      </w:r>
      <w:r w:rsidRPr="006F1514">
        <w:rPr>
          <w:b/>
          <w:bCs/>
        </w:rPr>
        <w:t>for renters</w:t>
      </w:r>
      <w:r>
        <w:rPr>
          <w:b/>
          <w:bCs/>
        </w:rPr>
        <w:t>:</w:t>
      </w:r>
      <w:r>
        <w:t xml:space="preserve"> Housing </w:t>
      </w:r>
      <w:r w:rsidR="00A32782">
        <w:t xml:space="preserve">costs </w:t>
      </w:r>
      <w:r>
        <w:t xml:space="preserve">tend to be </w:t>
      </w:r>
      <w:r w:rsidR="00A32782">
        <w:t xml:space="preserve">a greater burden </w:t>
      </w:r>
      <w:r>
        <w:t>for renters than owner-occupiers.</w:t>
      </w:r>
      <w:r w:rsidR="00A32782">
        <w:rPr>
          <w:rStyle w:val="FootnoteReference"/>
        </w:rPr>
        <w:footnoteReference w:id="12"/>
      </w:r>
      <w:r>
        <w:t xml:space="preserve"> In 2019, approximately one third of households were renters.</w:t>
      </w:r>
      <w:r w:rsidR="007A1D89">
        <w:rPr>
          <w:rStyle w:val="FootnoteReference"/>
        </w:rPr>
        <w:footnoteReference w:id="13"/>
      </w:r>
      <w:r>
        <w:t xml:space="preserve"> </w:t>
      </w:r>
      <w:r w:rsidR="0096614E">
        <w:t>A</w:t>
      </w:r>
      <w:r w:rsidR="00A32782">
        <w:t xml:space="preserve"> greater proportion of</w:t>
      </w:r>
      <w:r>
        <w:t xml:space="preserve"> lower</w:t>
      </w:r>
      <w:r w:rsidR="0096614E">
        <w:t>-</w:t>
      </w:r>
      <w:r>
        <w:t xml:space="preserve">income households </w:t>
      </w:r>
      <w:r w:rsidR="00A32782">
        <w:t>were renters</w:t>
      </w:r>
      <w:r w:rsidR="006F64E8">
        <w:t xml:space="preserve">, including </w:t>
      </w:r>
      <w:r>
        <w:t>nearly half of all households in the lowest income decile.</w:t>
      </w:r>
      <w:r w:rsidR="003F4F4F">
        <w:rPr>
          <w:rStyle w:val="FootnoteReference"/>
        </w:rPr>
        <w:footnoteReference w:id="14"/>
      </w:r>
      <w:r>
        <w:t xml:space="preserve"> In 2020, 45</w:t>
      </w:r>
      <w:r w:rsidR="007316BC" w:rsidRPr="007316BC">
        <w:t xml:space="preserve"> </w:t>
      </w:r>
      <w:r w:rsidR="007316BC">
        <w:t xml:space="preserve">percent </w:t>
      </w:r>
      <w:r>
        <w:t>of renters spent 30</w:t>
      </w:r>
      <w:r w:rsidR="007316BC" w:rsidRPr="007316BC">
        <w:t xml:space="preserve"> </w:t>
      </w:r>
      <w:r w:rsidR="007316BC">
        <w:t xml:space="preserve">percent </w:t>
      </w:r>
      <w:r>
        <w:t>or more of their income on housing costs compared to 25</w:t>
      </w:r>
      <w:r w:rsidR="007316BC" w:rsidRPr="007316BC">
        <w:t xml:space="preserve"> </w:t>
      </w:r>
      <w:r w:rsidR="007316BC">
        <w:t xml:space="preserve">percent </w:t>
      </w:r>
      <w:r>
        <w:t>for owner-occupiers.</w:t>
      </w:r>
      <w:r w:rsidR="00931EA1">
        <w:rPr>
          <w:rStyle w:val="FootnoteReference"/>
        </w:rPr>
        <w:footnoteReference w:id="15"/>
      </w:r>
      <w:r>
        <w:t xml:space="preserve"> This high ratio of rents to incomes has been steady nationally for more than a decade.</w:t>
      </w:r>
      <w:r w:rsidR="003F4F4F">
        <w:rPr>
          <w:rStyle w:val="FootnoteReference"/>
        </w:rPr>
        <w:footnoteReference w:id="16"/>
      </w:r>
      <w:r>
        <w:t xml:space="preserve"> However, rents have grown much faster than incomes for some groups, including</w:t>
      </w:r>
      <w:r w:rsidR="00EC43E4">
        <w:t xml:space="preserve"> renters in major centres (such as Auckland and Wellington).</w:t>
      </w:r>
      <w:r w:rsidR="00FD19F4">
        <w:rPr>
          <w:rStyle w:val="FootnoteReference"/>
        </w:rPr>
        <w:footnoteReference w:id="17"/>
      </w:r>
      <w:r w:rsidR="00EC43E4">
        <w:t xml:space="preserve"> </w:t>
      </w:r>
      <w:r w:rsidR="000B1D10">
        <w:t>Several factors explain increasing rent prices including the cost of supplying rentals and increased incomes.</w:t>
      </w:r>
    </w:p>
    <w:p w14:paraId="0F1A3F1B" w14:textId="6CBE249B" w:rsidR="00A87329" w:rsidRPr="00A87329" w:rsidRDefault="00EC43E4" w:rsidP="00390F88">
      <w:pPr>
        <w:pStyle w:val="ListParagraph"/>
        <w:numPr>
          <w:ilvl w:val="0"/>
          <w:numId w:val="39"/>
        </w:numPr>
        <w:ind w:left="930" w:hanging="646"/>
        <w:jc w:val="both"/>
        <w:rPr>
          <w:lang w:val="en-NZ"/>
        </w:rPr>
      </w:pPr>
      <w:r w:rsidRPr="006F1514">
        <w:rPr>
          <w:b/>
          <w:bCs/>
        </w:rPr>
        <w:t>The drivers of unaffordability</w:t>
      </w:r>
      <w:r w:rsidR="00C25B9C">
        <w:rPr>
          <w:b/>
          <w:bCs/>
        </w:rPr>
        <w:t xml:space="preserve"> </w:t>
      </w:r>
      <w:r w:rsidR="00AC5C56">
        <w:rPr>
          <w:b/>
          <w:bCs/>
        </w:rPr>
        <w:t>–</w:t>
      </w:r>
      <w:r>
        <w:t xml:space="preserve"> </w:t>
      </w:r>
      <w:r w:rsidR="0096700A" w:rsidRPr="0096700A">
        <w:rPr>
          <w:b/>
          <w:bCs/>
        </w:rPr>
        <w:t>s</w:t>
      </w:r>
      <w:r w:rsidRPr="0096700A">
        <w:rPr>
          <w:b/>
          <w:bCs/>
        </w:rPr>
        <w:t>upply issues</w:t>
      </w:r>
      <w:r w:rsidR="0096700A" w:rsidRPr="0096700A">
        <w:rPr>
          <w:b/>
          <w:bCs/>
        </w:rPr>
        <w:t>:</w:t>
      </w:r>
      <w:r>
        <w:t xml:space="preserve"> </w:t>
      </w:r>
      <w:r w:rsidR="00BD0EA6">
        <w:t>Various r</w:t>
      </w:r>
      <w:r>
        <w:t xml:space="preserve">estrictions </w:t>
      </w:r>
      <w:r w:rsidR="00BD0EA6">
        <w:t xml:space="preserve">impede </w:t>
      </w:r>
      <w:r>
        <w:t xml:space="preserve">the ability to increase housing supply in the short term. </w:t>
      </w:r>
      <w:r w:rsidR="00136FAE">
        <w:t>These</w:t>
      </w:r>
      <w:r>
        <w:t xml:space="preserve"> include regulatory barriers (e.g. zoning and height restrictions), increasing costs of building, and a lack of long-term infrastructure planning. Contributing to the lack of planning is local councils’ limited access to financial capital. As a result of these supply-side restrictions, increases in housing supply has not kept up with increases in demand over the last 40 years.</w:t>
      </w:r>
    </w:p>
    <w:p w14:paraId="22AC04BB" w14:textId="74B830FB" w:rsidR="007D78A1" w:rsidRPr="00A87329" w:rsidRDefault="0096700A" w:rsidP="00390F88">
      <w:pPr>
        <w:pStyle w:val="ListParagraph"/>
        <w:numPr>
          <w:ilvl w:val="0"/>
          <w:numId w:val="39"/>
        </w:numPr>
        <w:ind w:left="930" w:hanging="646"/>
        <w:jc w:val="both"/>
        <w:rPr>
          <w:lang w:val="en-NZ"/>
        </w:rPr>
      </w:pPr>
      <w:r w:rsidRPr="00A87329">
        <w:rPr>
          <w:b/>
          <w:bCs/>
        </w:rPr>
        <w:t>The drivers of unaffordability</w:t>
      </w:r>
      <w:r w:rsidR="00C25B9C">
        <w:rPr>
          <w:b/>
          <w:bCs/>
        </w:rPr>
        <w:t xml:space="preserve"> </w:t>
      </w:r>
      <w:r w:rsidR="00AC5C56" w:rsidRPr="00A87329">
        <w:rPr>
          <w:b/>
          <w:bCs/>
        </w:rPr>
        <w:t>–</w:t>
      </w:r>
      <w:r>
        <w:t xml:space="preserve"> </w:t>
      </w:r>
      <w:r w:rsidRPr="00A87329">
        <w:rPr>
          <w:b/>
          <w:bCs/>
        </w:rPr>
        <w:t>d</w:t>
      </w:r>
      <w:r w:rsidR="00EC43E4" w:rsidRPr="00A87329">
        <w:rPr>
          <w:b/>
          <w:bCs/>
        </w:rPr>
        <w:t>emand issues</w:t>
      </w:r>
      <w:r w:rsidRPr="00A87329">
        <w:rPr>
          <w:b/>
          <w:bCs/>
        </w:rPr>
        <w:t>:</w:t>
      </w:r>
      <w:r w:rsidR="00EC43E4">
        <w:t xml:space="preserve"> Demand side factors are also putting upward pressure on prices. Falling interest rates have resulted in an increase in house prices, creating capital gains for existing property owners but worsening the position of prospective first</w:t>
      </w:r>
      <w:r w:rsidR="00D61224">
        <w:t>-</w:t>
      </w:r>
      <w:r w:rsidR="00EC43E4">
        <w:t>home buyers. The removal of loan</w:t>
      </w:r>
      <w:r w:rsidR="008831AF">
        <w:t>-</w:t>
      </w:r>
      <w:r w:rsidR="00EC43E4">
        <w:t>to</w:t>
      </w:r>
      <w:r w:rsidR="008831AF">
        <w:t>-</w:t>
      </w:r>
      <w:r w:rsidR="00EC43E4">
        <w:t>value ratio (LVR) restrictions by the Reserve Bank of New Zealand in response to COVID-19 allowed highly-leveraged investors to re-enter the market</w:t>
      </w:r>
      <w:r w:rsidR="00D5425A">
        <w:t xml:space="preserve"> thereby</w:t>
      </w:r>
      <w:r w:rsidR="00EC43E4">
        <w:t xml:space="preserve"> exacerbating price pressures</w:t>
      </w:r>
      <w:r w:rsidR="00D5425A">
        <w:t>. H</w:t>
      </w:r>
      <w:r w:rsidR="00C420D0">
        <w:t xml:space="preserve">owever, these </w:t>
      </w:r>
      <w:r w:rsidR="00FB5486">
        <w:t xml:space="preserve">have </w:t>
      </w:r>
      <w:r w:rsidR="009763AF">
        <w:t>since been reinstated</w:t>
      </w:r>
      <w:r w:rsidR="00EC43E4">
        <w:t>. High population growth has also increased demand for housing over recent decades. While tax settings are not the primary driver of housing affordability, current tax settings incentivise investment in housing. In the context of constrained supply, lightly taxing housing relative to other forms of income will lead to higher property prices than would otherwise be expected.</w:t>
      </w:r>
    </w:p>
    <w:p w14:paraId="760FFEE0" w14:textId="7903CD20" w:rsidR="007E4F5A" w:rsidRPr="006C22AC" w:rsidRDefault="007D78A1" w:rsidP="00273FD3">
      <w:pPr>
        <w:pStyle w:val="Heading3"/>
        <w:jc w:val="both"/>
        <w:rPr>
          <w:lang w:val="en-NZ"/>
        </w:rPr>
      </w:pPr>
      <w:r w:rsidRPr="00A864A5">
        <w:rPr>
          <w:lang w:val="en-NZ"/>
        </w:rPr>
        <w:t>What is the policy problem</w:t>
      </w:r>
      <w:r w:rsidR="002352C4">
        <w:rPr>
          <w:lang w:val="en-NZ"/>
        </w:rPr>
        <w:t xml:space="preserve"> or opportunity</w:t>
      </w:r>
      <w:r w:rsidRPr="00A864A5">
        <w:rPr>
          <w:lang w:val="en-NZ"/>
        </w:rPr>
        <w:t>?</w:t>
      </w:r>
    </w:p>
    <w:p w14:paraId="54C9B0A1" w14:textId="4DED496B" w:rsidR="00F57089" w:rsidRPr="00F57089" w:rsidRDefault="00980F84" w:rsidP="00390F88">
      <w:pPr>
        <w:pStyle w:val="ListParagraph"/>
        <w:numPr>
          <w:ilvl w:val="0"/>
          <w:numId w:val="39"/>
        </w:numPr>
        <w:ind w:left="930" w:hanging="646"/>
        <w:jc w:val="both"/>
        <w:rPr>
          <w:lang w:val="en-NZ"/>
        </w:rPr>
      </w:pPr>
      <w:r>
        <w:t xml:space="preserve">The key policy problem is </w:t>
      </w:r>
      <w:r w:rsidR="00340C57">
        <w:t xml:space="preserve">housing affordability. </w:t>
      </w:r>
      <w:r w:rsidR="00E45575">
        <w:t>The cost of buying a house is placing significant financial stress on households and having perverse effects on equity</w:t>
      </w:r>
      <w:r w:rsidR="001C187E">
        <w:t xml:space="preserve">, </w:t>
      </w:r>
      <w:r w:rsidR="00E45575">
        <w:t>including intergenerational equity. House prices compared to income in New Zealand are high by international standards and have increased further over recent years. Rates of homeownership have declined significantly since the 1990s</w:t>
      </w:r>
      <w:r w:rsidR="00743B1F">
        <w:t xml:space="preserve"> and a government objective is to increase the number of owner-occupiers</w:t>
      </w:r>
      <w:r w:rsidR="00E45575">
        <w:t xml:space="preserve">. As noted above, this impacts people’s living standards. The Government is also looking at a package of supply-side measures to address housing affordability in the long term. However, these measures will take some time to have an impact. </w:t>
      </w:r>
    </w:p>
    <w:p w14:paraId="482ACE63" w14:textId="0EE06326" w:rsidR="005A74BD" w:rsidRPr="00743B1F" w:rsidRDefault="00E45575" w:rsidP="00390F88">
      <w:pPr>
        <w:pStyle w:val="ListParagraph"/>
        <w:numPr>
          <w:ilvl w:val="0"/>
          <w:numId w:val="39"/>
        </w:numPr>
        <w:ind w:left="930" w:hanging="646"/>
        <w:jc w:val="both"/>
        <w:rPr>
          <w:lang w:val="en-NZ"/>
        </w:rPr>
      </w:pPr>
      <w:r>
        <w:t xml:space="preserve">To the extent that affordability concerns are due to excess demand and some of this demand is from investors, then reducing demand from investors may result in less upward pressure on house prices. While the tax system is not the primary driver of housing affordability, features of the tax system exacerbate the issue. </w:t>
      </w:r>
      <w:r w:rsidR="000923FE">
        <w:t>I</w:t>
      </w:r>
      <w:r>
        <w:t>nvestment in housing is tax-preferred compared to investments that do not earn large gains.</w:t>
      </w:r>
      <w:r w:rsidR="00805F87">
        <w:rPr>
          <w:rStyle w:val="FootnoteReference"/>
        </w:rPr>
        <w:footnoteReference w:id="18"/>
      </w:r>
      <w:r>
        <w:t xml:space="preserve"> This creates an incentive to invest in housing over other asset classes and puts further upward pressure on property prices</w:t>
      </w:r>
      <w:r w:rsidR="00AD5B37">
        <w:t xml:space="preserve">. </w:t>
      </w:r>
      <w:r w:rsidR="00E726BE">
        <w:t xml:space="preserve">The policy question is whether limiting interest deductions </w:t>
      </w:r>
      <w:r w:rsidR="0006705E">
        <w:t>is</w:t>
      </w:r>
      <w:r w:rsidR="00E726BE">
        <w:t xml:space="preserve"> a</w:t>
      </w:r>
      <w:r w:rsidR="00934FC9">
        <w:t xml:space="preserve">n efficient and effective way of addressing these concerns and, if so, </w:t>
      </w:r>
      <w:r w:rsidR="004A08D4">
        <w:t>how interest limitation rules should best be designed.</w:t>
      </w:r>
    </w:p>
    <w:p w14:paraId="59BB5BCF" w14:textId="139B4ECD" w:rsidR="007037C4" w:rsidRPr="00847E6E" w:rsidRDefault="007037C4" w:rsidP="00273FD3">
      <w:pPr>
        <w:pStyle w:val="Heading3"/>
        <w:jc w:val="both"/>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p w14:paraId="30408DBF" w14:textId="62226D1D" w:rsidR="00940D31" w:rsidRPr="00940D31" w:rsidRDefault="00B24196" w:rsidP="00390F88">
      <w:pPr>
        <w:pStyle w:val="ListParagraph"/>
        <w:numPr>
          <w:ilvl w:val="0"/>
          <w:numId w:val="39"/>
        </w:numPr>
        <w:ind w:hanging="644"/>
        <w:jc w:val="both"/>
        <w:rPr>
          <w:lang w:val="en-NZ"/>
        </w:rPr>
      </w:pPr>
      <w:r>
        <w:t>As noted on</w:t>
      </w:r>
      <w:r w:rsidR="000352CB">
        <w:t xml:space="preserve"> 8 March 2021</w:t>
      </w:r>
      <w:r>
        <w:t xml:space="preserve"> (CAB-21-MIN-00</w:t>
      </w:r>
      <w:r w:rsidR="000352CB">
        <w:t>45 Amended</w:t>
      </w:r>
      <w:r>
        <w:t xml:space="preserve"> refers), Cabinet’s policy objectives for the housing market are to: </w:t>
      </w:r>
    </w:p>
    <w:p w14:paraId="6B3D2F94" w14:textId="77777777" w:rsidR="00940D31" w:rsidRPr="00940D31" w:rsidRDefault="00B24196" w:rsidP="00390F88">
      <w:pPr>
        <w:pStyle w:val="ListParagraph"/>
        <w:numPr>
          <w:ilvl w:val="1"/>
          <w:numId w:val="39"/>
        </w:numPr>
        <w:ind w:hanging="447"/>
        <w:jc w:val="both"/>
        <w:rPr>
          <w:lang w:val="en-NZ"/>
        </w:rPr>
      </w:pPr>
      <w:r>
        <w:t xml:space="preserve">Ensure every New Zealander has a safe, warm, dry, and affordable home to call their own – whether they are renters or owners. </w:t>
      </w:r>
    </w:p>
    <w:p w14:paraId="78969619" w14:textId="2EE8E911" w:rsidR="00940D31" w:rsidRPr="00940D31" w:rsidRDefault="00B24196" w:rsidP="00390F88">
      <w:pPr>
        <w:pStyle w:val="ListParagraph"/>
        <w:numPr>
          <w:ilvl w:val="1"/>
          <w:numId w:val="39"/>
        </w:numPr>
        <w:ind w:hanging="447"/>
        <w:jc w:val="both"/>
        <w:rPr>
          <w:lang w:val="en-NZ"/>
        </w:rPr>
      </w:pPr>
      <w:bookmarkStart w:id="13" w:name="_Ref81302602"/>
      <w:r>
        <w:t>Support more sustainable house prices, including by dampening investor demand for existing housing stock, which would improve affordability for first</w:t>
      </w:r>
      <w:r w:rsidR="00940D31">
        <w:t>-</w:t>
      </w:r>
      <w:r>
        <w:t>home buyers.</w:t>
      </w:r>
      <w:bookmarkEnd w:id="13"/>
      <w:r>
        <w:t xml:space="preserve"> </w:t>
      </w:r>
    </w:p>
    <w:p w14:paraId="578B1730" w14:textId="77777777" w:rsidR="00940D31" w:rsidRPr="00940D31" w:rsidRDefault="00B24196" w:rsidP="00390F88">
      <w:pPr>
        <w:pStyle w:val="ListParagraph"/>
        <w:numPr>
          <w:ilvl w:val="1"/>
          <w:numId w:val="39"/>
        </w:numPr>
        <w:ind w:hanging="447"/>
        <w:jc w:val="both"/>
        <w:rPr>
          <w:lang w:val="en-NZ"/>
        </w:rPr>
      </w:pPr>
      <w:r>
        <w:t xml:space="preserve">Create a housing and urban land market that credibly responds to population growth and changing housing preferences, that is competitive and affordable for renters and homeowners, and is well-planned and well-regulated. </w:t>
      </w:r>
    </w:p>
    <w:p w14:paraId="7ED1C225" w14:textId="1D30DBCB" w:rsidR="002523AA" w:rsidRPr="003A49D2" w:rsidRDefault="00B24196" w:rsidP="00390F88">
      <w:pPr>
        <w:pStyle w:val="ListParagraph"/>
        <w:numPr>
          <w:ilvl w:val="0"/>
          <w:numId w:val="39"/>
        </w:numPr>
        <w:ind w:hanging="644"/>
        <w:jc w:val="both"/>
        <w:rPr>
          <w:lang w:val="en-NZ"/>
        </w:rPr>
      </w:pPr>
      <w:r>
        <w:t xml:space="preserve">The intervention identified in this Regulatory Impact Statement seeks to </w:t>
      </w:r>
      <w:r w:rsidR="00B6049F">
        <w:t xml:space="preserve">primarily </w:t>
      </w:r>
      <w:r>
        <w:t xml:space="preserve">address the Government’s demand-side housing objectives as set out in the second bullet point above: to support more sustainable house prices, including by dampening investor demand for existing housing stock, which would improve affordability for first-home buyers. </w:t>
      </w:r>
      <w:r w:rsidR="00B6049F">
        <w:t xml:space="preserve">However, </w:t>
      </w:r>
      <w:r w:rsidR="0063426C">
        <w:t xml:space="preserve">the rules will also impact the other </w:t>
      </w:r>
      <w:r w:rsidR="00867C44">
        <w:t>objectives for the housing market</w:t>
      </w:r>
      <w:r w:rsidR="009372E4">
        <w:t>.</w:t>
      </w:r>
      <w:r w:rsidR="00867C44">
        <w:t xml:space="preserve"> </w:t>
      </w:r>
      <w:r>
        <w:t xml:space="preserve">One interaction between these </w:t>
      </w:r>
      <w:r w:rsidR="009372E4">
        <w:t xml:space="preserve">three </w:t>
      </w:r>
      <w:r>
        <w:t xml:space="preserve">objectives is that more supply will support affordable housing for all New Zealanders, including first-home buyers, in the long-term. </w:t>
      </w:r>
      <w:bookmarkEnd w:id="8"/>
      <w:bookmarkEnd w:id="9"/>
      <w:bookmarkEnd w:id="10"/>
      <w:bookmarkEnd w:id="11"/>
      <w:bookmarkEnd w:id="12"/>
    </w:p>
    <w:p w14:paraId="2B635B3D" w14:textId="37381D88" w:rsidR="008321F8" w:rsidRDefault="00F402DF" w:rsidP="00273FD3">
      <w:pPr>
        <w:pStyle w:val="Heading2"/>
        <w:jc w:val="both"/>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A199392" w14:textId="34836E89" w:rsidR="008321F8" w:rsidRPr="00A864A5" w:rsidRDefault="008321F8" w:rsidP="00273FD3">
      <w:pPr>
        <w:pStyle w:val="Heading3"/>
        <w:jc w:val="both"/>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4465C5BF" w14:textId="7B269D95" w:rsidR="007835F8" w:rsidRPr="007835F8" w:rsidRDefault="00376EE9" w:rsidP="00390F88">
      <w:pPr>
        <w:pStyle w:val="ListParagraph"/>
        <w:numPr>
          <w:ilvl w:val="0"/>
          <w:numId w:val="39"/>
        </w:numPr>
        <w:ind w:hanging="644"/>
        <w:jc w:val="both"/>
        <w:rPr>
          <w:lang w:val="en-NZ"/>
        </w:rPr>
      </w:pPr>
      <w:r>
        <w:t xml:space="preserve">The likely impacts of the proposals </w:t>
      </w:r>
      <w:r w:rsidR="007835F8">
        <w:t>will be</w:t>
      </w:r>
      <w:r>
        <w:t xml:space="preserve"> assessed against a set of criteria to evaluate the impact of the proposals on the Government’s demand-side objectives (above at </w:t>
      </w:r>
      <w:r w:rsidR="006F627B">
        <w:t>paragraph 9</w:t>
      </w:r>
      <w:r>
        <w:t>)</w:t>
      </w:r>
      <w:r w:rsidR="007835F8">
        <w:t>. Those criteria are broadly</w:t>
      </w:r>
      <w:r w:rsidR="00113C62">
        <w:t xml:space="preserve"> whether the proposal</w:t>
      </w:r>
      <w:r w:rsidR="007835F8">
        <w:t>:</w:t>
      </w:r>
    </w:p>
    <w:p w14:paraId="5C77D3C1" w14:textId="4D2C648F" w:rsidR="009353FF" w:rsidRPr="00A50EC3" w:rsidRDefault="003F14C8" w:rsidP="00390F88">
      <w:pPr>
        <w:pStyle w:val="ListParagraph"/>
        <w:numPr>
          <w:ilvl w:val="1"/>
          <w:numId w:val="39"/>
        </w:numPr>
        <w:ind w:hanging="447"/>
        <w:jc w:val="both"/>
        <w:rPr>
          <w:lang w:val="en-NZ"/>
        </w:rPr>
      </w:pPr>
      <w:r>
        <w:t>improves</w:t>
      </w:r>
      <w:r w:rsidR="0083545B">
        <w:t xml:space="preserve"> housing affordability for first</w:t>
      </w:r>
      <w:r w:rsidR="00967BDC">
        <w:t>-</w:t>
      </w:r>
      <w:r w:rsidR="0083545B">
        <w:t>home buyers</w:t>
      </w:r>
      <w:r w:rsidR="00927059">
        <w:t>;</w:t>
      </w:r>
    </w:p>
    <w:p w14:paraId="00CBD858" w14:textId="1C85715D" w:rsidR="00A50EC3" w:rsidRPr="006F34DB" w:rsidRDefault="00886B80" w:rsidP="00390F88">
      <w:pPr>
        <w:pStyle w:val="ListParagraph"/>
        <w:numPr>
          <w:ilvl w:val="1"/>
          <w:numId w:val="39"/>
        </w:numPr>
        <w:ind w:hanging="447"/>
        <w:jc w:val="both"/>
        <w:rPr>
          <w:lang w:val="en-NZ"/>
        </w:rPr>
      </w:pPr>
      <w:r>
        <w:rPr>
          <w:lang w:val="en-NZ"/>
        </w:rPr>
        <w:t>m</w:t>
      </w:r>
      <w:r w:rsidRPr="00886B80">
        <w:rPr>
          <w:lang w:val="en-NZ"/>
        </w:rPr>
        <w:t>aintain</w:t>
      </w:r>
      <w:r w:rsidR="00641544">
        <w:rPr>
          <w:lang w:val="en-NZ"/>
        </w:rPr>
        <w:t>s</w:t>
      </w:r>
      <w:r w:rsidRPr="00886B80">
        <w:rPr>
          <w:lang w:val="en-NZ"/>
        </w:rPr>
        <w:t xml:space="preserve"> the rate of development of new housing stock</w:t>
      </w:r>
      <w:r w:rsidR="00177509">
        <w:rPr>
          <w:lang w:val="en-NZ"/>
        </w:rPr>
        <w:t>;</w:t>
      </w:r>
      <w:r w:rsidR="00FD50EE">
        <w:rPr>
          <w:lang w:val="en-NZ"/>
        </w:rPr>
        <w:t xml:space="preserve"> and</w:t>
      </w:r>
    </w:p>
    <w:p w14:paraId="6489D5A6" w14:textId="6F0B0529" w:rsidR="00A76920" w:rsidRPr="00A76920" w:rsidRDefault="00927059" w:rsidP="00390F88">
      <w:pPr>
        <w:pStyle w:val="ListParagraph"/>
        <w:numPr>
          <w:ilvl w:val="1"/>
          <w:numId w:val="39"/>
        </w:numPr>
        <w:ind w:hanging="447"/>
        <w:jc w:val="both"/>
        <w:rPr>
          <w:lang w:val="en-NZ"/>
        </w:rPr>
      </w:pPr>
      <w:r>
        <w:t>i</w:t>
      </w:r>
      <w:r w:rsidR="00A76920">
        <w:t>mprove</w:t>
      </w:r>
      <w:r>
        <w:t>s</w:t>
      </w:r>
      <w:r w:rsidR="00A76920">
        <w:t xml:space="preserve"> </w:t>
      </w:r>
      <w:r w:rsidR="003F14C8">
        <w:t xml:space="preserve">housing </w:t>
      </w:r>
      <w:r w:rsidR="00A76920">
        <w:t>affordability in the rental market</w:t>
      </w:r>
      <w:r w:rsidR="00967BDC">
        <w:t>.</w:t>
      </w:r>
    </w:p>
    <w:p w14:paraId="5F939656" w14:textId="4AC06D27" w:rsidR="00156B14" w:rsidRPr="00156B14" w:rsidRDefault="00922FBD" w:rsidP="00390F88">
      <w:pPr>
        <w:pStyle w:val="ListParagraph"/>
        <w:numPr>
          <w:ilvl w:val="0"/>
          <w:numId w:val="39"/>
        </w:numPr>
        <w:ind w:hanging="644"/>
        <w:jc w:val="both"/>
        <w:rPr>
          <w:lang w:val="en-NZ"/>
        </w:rPr>
      </w:pPr>
      <w:r>
        <w:t>The options will also be evaluated against the</w:t>
      </w:r>
      <w:r w:rsidR="00156B14">
        <w:t xml:space="preserve"> </w:t>
      </w:r>
      <w:r w:rsidR="00376EE9">
        <w:t>traditional tax policy criteria of efficiency,</w:t>
      </w:r>
      <w:r w:rsidR="00830BC5" w:rsidRPr="00830BC5">
        <w:t xml:space="preserve"> </w:t>
      </w:r>
      <w:r w:rsidR="00830BC5">
        <w:t>equity,</w:t>
      </w:r>
      <w:r w:rsidR="00376EE9">
        <w:t xml:space="preserve"> integrity, </w:t>
      </w:r>
      <w:r w:rsidR="00B421EE">
        <w:t>fiscal impact</w:t>
      </w:r>
      <w:r w:rsidR="00376EE9">
        <w:t>, compliance and administration costs, and coherence</w:t>
      </w:r>
      <w:r>
        <w:t>. These are described below</w:t>
      </w:r>
      <w:r w:rsidR="00BD1987">
        <w:t>.</w:t>
      </w:r>
    </w:p>
    <w:p w14:paraId="5812889D" w14:textId="739C9B10" w:rsidR="00156B14" w:rsidRPr="00156B14" w:rsidRDefault="00376EE9" w:rsidP="00390F88">
      <w:pPr>
        <w:pStyle w:val="ListParagraph"/>
        <w:numPr>
          <w:ilvl w:val="1"/>
          <w:numId w:val="39"/>
        </w:numPr>
        <w:ind w:hanging="447"/>
        <w:jc w:val="both"/>
        <w:rPr>
          <w:lang w:val="en-NZ"/>
        </w:rPr>
      </w:pPr>
      <w:r w:rsidRPr="00376EE9">
        <w:rPr>
          <w:b/>
          <w:bCs/>
        </w:rPr>
        <w:t>Efficiency and growth</w:t>
      </w:r>
      <w:r>
        <w:t>: Taxes should be, to the extent possible, efficient and minimise</w:t>
      </w:r>
      <w:r w:rsidR="00DB293E">
        <w:t xml:space="preserve"> (as much as possible)</w:t>
      </w:r>
      <w:r>
        <w:t xml:space="preserve"> impediments to economic growth. That is, the tax system should avoid unnecessarily distorting the use of resources (e.g. causing biases toward one form of investment versus another) and imposing heavy costs on individuals and firms. </w:t>
      </w:r>
    </w:p>
    <w:p w14:paraId="03381FE8" w14:textId="0FF1D240" w:rsidR="00156B14" w:rsidRPr="00DE5CD7" w:rsidRDefault="00376EE9" w:rsidP="00390F88">
      <w:pPr>
        <w:pStyle w:val="ListParagraph"/>
        <w:numPr>
          <w:ilvl w:val="1"/>
          <w:numId w:val="39"/>
        </w:numPr>
        <w:ind w:hanging="447"/>
        <w:jc w:val="both"/>
      </w:pPr>
      <w:r w:rsidRPr="00376EE9">
        <w:rPr>
          <w:b/>
          <w:bCs/>
        </w:rPr>
        <w:t>Equity and fairness</w:t>
      </w:r>
      <w:r>
        <w:t xml:space="preserve">: </w:t>
      </w:r>
      <w:r w:rsidR="00DE5CD7">
        <w:t>The tax system should promote fairness. The burden of taxes differs across individuals and businesses depending on which bases and rates are adopted. Assessment of both vertical equity (the relative position of those on different income levels or in different circumstances) and horizontal equity (the</w:t>
      </w:r>
      <w:r>
        <w:t xml:space="preserve"> </w:t>
      </w:r>
      <w:r w:rsidR="00F743F4">
        <w:t>consistent treatment of those at similar income levels, or similar circumstances) is important.</w:t>
      </w:r>
      <w:r w:rsidR="00F743F4">
        <w:cr/>
      </w:r>
    </w:p>
    <w:p w14:paraId="08E4F502" w14:textId="4B1B90D4" w:rsidR="00156B14" w:rsidRPr="00156B14" w:rsidRDefault="00376EE9" w:rsidP="00390F88">
      <w:pPr>
        <w:pStyle w:val="ListParagraph"/>
        <w:numPr>
          <w:ilvl w:val="1"/>
          <w:numId w:val="39"/>
        </w:numPr>
        <w:ind w:hanging="447"/>
        <w:jc w:val="both"/>
        <w:rPr>
          <w:lang w:val="en-NZ"/>
        </w:rPr>
      </w:pPr>
      <w:r w:rsidRPr="00376EE9">
        <w:rPr>
          <w:b/>
          <w:bCs/>
        </w:rPr>
        <w:t>Revenue integrity</w:t>
      </w:r>
      <w:r>
        <w:t xml:space="preserve">: The tax system should be sustainable over time and minimise opportunities for tax avoidance and arbitrage. </w:t>
      </w:r>
    </w:p>
    <w:p w14:paraId="3FA0B371" w14:textId="6A12F694" w:rsidR="00156B14" w:rsidRPr="00156B14" w:rsidRDefault="00376EE9" w:rsidP="00390F88">
      <w:pPr>
        <w:pStyle w:val="ListParagraph"/>
        <w:numPr>
          <w:ilvl w:val="1"/>
          <w:numId w:val="39"/>
        </w:numPr>
        <w:ind w:hanging="447"/>
        <w:jc w:val="both"/>
        <w:rPr>
          <w:lang w:val="en-NZ"/>
        </w:rPr>
      </w:pPr>
      <w:r w:rsidRPr="00376EE9">
        <w:rPr>
          <w:b/>
          <w:bCs/>
        </w:rPr>
        <w:t>Fiscal impact</w:t>
      </w:r>
      <w:r>
        <w:t xml:space="preserve">: Tax reforms need to be affordable given fiscal constraints, and the tax system must raise sufficient revenue to support the Government’s fiscal strategy. </w:t>
      </w:r>
    </w:p>
    <w:p w14:paraId="1A5466FB" w14:textId="4A631003" w:rsidR="00156B14" w:rsidRPr="00156B14" w:rsidRDefault="00376EE9" w:rsidP="00390F88">
      <w:pPr>
        <w:pStyle w:val="ListParagraph"/>
        <w:numPr>
          <w:ilvl w:val="1"/>
          <w:numId w:val="39"/>
        </w:numPr>
        <w:ind w:hanging="447"/>
        <w:jc w:val="both"/>
        <w:rPr>
          <w:lang w:val="en-NZ"/>
        </w:rPr>
      </w:pPr>
      <w:r w:rsidRPr="00376EE9">
        <w:rPr>
          <w:b/>
          <w:bCs/>
        </w:rPr>
        <w:t>Compliance and administration cost</w:t>
      </w:r>
      <w:r>
        <w:t xml:space="preserve">: The tax system should be as simple and low cost as possible for taxpayers to comply with and for the Inland Revenue Department to administer. </w:t>
      </w:r>
    </w:p>
    <w:p w14:paraId="3CE133D8" w14:textId="6357A2F5" w:rsidR="00762A6A" w:rsidRPr="00762A6A" w:rsidRDefault="00376EE9" w:rsidP="00390F88">
      <w:pPr>
        <w:pStyle w:val="ListParagraph"/>
        <w:numPr>
          <w:ilvl w:val="1"/>
          <w:numId w:val="39"/>
        </w:numPr>
        <w:ind w:hanging="447"/>
        <w:jc w:val="both"/>
        <w:rPr>
          <w:lang w:val="en-NZ"/>
        </w:rPr>
      </w:pPr>
      <w:r w:rsidRPr="00376EE9">
        <w:rPr>
          <w:b/>
          <w:bCs/>
        </w:rPr>
        <w:t>Coherence</w:t>
      </w:r>
      <w:r>
        <w:t xml:space="preserve">: Individual reform options should make sense in the context of the entire tax system. While a particular measure may seem sensible when viewed in isolation, implementing the proposal may not be desirable given the tax system as a whole. </w:t>
      </w:r>
    </w:p>
    <w:p w14:paraId="3252D892" w14:textId="6BF0445B" w:rsidR="00E52B84" w:rsidRPr="00CD4B62" w:rsidRDefault="007D78A1" w:rsidP="00273FD3">
      <w:pPr>
        <w:pStyle w:val="Heading3"/>
        <w:jc w:val="both"/>
        <w:rPr>
          <w:lang w:val="en-NZ"/>
        </w:rPr>
      </w:pPr>
      <w:r w:rsidRPr="00A864A5">
        <w:rPr>
          <w:lang w:val="en-NZ"/>
        </w:rPr>
        <w:t xml:space="preserve">What scope </w:t>
      </w:r>
      <w:r w:rsidR="003A6757">
        <w:rPr>
          <w:lang w:val="en-NZ"/>
        </w:rPr>
        <w:t>will</w:t>
      </w:r>
      <w:r w:rsidRPr="00A864A5">
        <w:rPr>
          <w:lang w:val="en-NZ"/>
        </w:rPr>
        <w:t xml:space="preserve"> </w:t>
      </w:r>
      <w:r w:rsidR="007336C9">
        <w:rPr>
          <w:lang w:val="en-NZ"/>
        </w:rPr>
        <w:t>options be considered</w:t>
      </w:r>
      <w:r w:rsidRPr="00A864A5">
        <w:rPr>
          <w:lang w:val="en-NZ"/>
        </w:rPr>
        <w:t xml:space="preserve"> within?</w:t>
      </w:r>
    </w:p>
    <w:p w14:paraId="0CC99C9B" w14:textId="0EF8E192" w:rsidR="00951553" w:rsidRDefault="00951553" w:rsidP="003D0733">
      <w:pPr>
        <w:pStyle w:val="Heading4"/>
        <w:spacing w:before="240"/>
      </w:pPr>
      <w:bookmarkStart w:id="14" w:name="_Ref80364192"/>
      <w:r>
        <w:t>Decisions by Cabinet</w:t>
      </w:r>
    </w:p>
    <w:p w14:paraId="1AD9F615" w14:textId="7D674525" w:rsidR="00EE0C39" w:rsidRDefault="00951553" w:rsidP="00A87329">
      <w:pPr>
        <w:pStyle w:val="ListParagraph"/>
        <w:numPr>
          <w:ilvl w:val="0"/>
          <w:numId w:val="39"/>
        </w:numPr>
        <w:ind w:hanging="644"/>
        <w:jc w:val="both"/>
      </w:pPr>
      <w:r>
        <w:t xml:space="preserve">Cabinet made the following </w:t>
      </w:r>
      <w:r w:rsidR="004C6FAC">
        <w:t xml:space="preserve">in-principle </w:t>
      </w:r>
      <w:r w:rsidR="00EE0C39">
        <w:t>decisions</w:t>
      </w:r>
      <w:r>
        <w:t xml:space="preserve"> prior to </w:t>
      </w:r>
      <w:r w:rsidR="008E64DF">
        <w:t xml:space="preserve">public </w:t>
      </w:r>
      <w:r>
        <w:t>consultation.</w:t>
      </w:r>
      <w:r w:rsidR="001204FB">
        <w:rPr>
          <w:rStyle w:val="FootnoteReference"/>
        </w:rPr>
        <w:footnoteReference w:id="19"/>
      </w:r>
      <w:bookmarkEnd w:id="14"/>
      <w:r w:rsidR="00EE0C39">
        <w:t xml:space="preserve"> </w:t>
      </w:r>
    </w:p>
    <w:p w14:paraId="332A356C" w14:textId="3F927581" w:rsidR="005F2C5E" w:rsidRPr="00467532" w:rsidRDefault="005F2C5E" w:rsidP="00273FD3">
      <w:pPr>
        <w:pStyle w:val="Heading4"/>
        <w:jc w:val="both"/>
        <w:rPr>
          <w:b w:val="0"/>
          <w:bCs w:val="0"/>
          <w:i/>
          <w:iCs/>
        </w:rPr>
      </w:pPr>
      <w:r w:rsidRPr="00467532">
        <w:rPr>
          <w:b w:val="0"/>
          <w:bCs w:val="0"/>
          <w:i/>
          <w:iCs/>
        </w:rPr>
        <w:t>Interest denial generally</w:t>
      </w:r>
    </w:p>
    <w:p w14:paraId="36C23A07" w14:textId="69CF0F6A" w:rsidR="00EE0C39" w:rsidRDefault="00E109F9" w:rsidP="00A73973">
      <w:pPr>
        <w:pStyle w:val="ListParagraph"/>
        <w:numPr>
          <w:ilvl w:val="0"/>
          <w:numId w:val="39"/>
        </w:numPr>
        <w:ind w:hanging="644"/>
        <w:jc w:val="both"/>
      </w:pPr>
      <w:r>
        <w:t>I</w:t>
      </w:r>
      <w:r w:rsidR="00EE0C39">
        <w:t>nterest deductions will be denied in full against the income from residential property investment for loans relating to residential property acquired on or after 27 March 2021</w:t>
      </w:r>
      <w:r>
        <w:t>.</w:t>
      </w:r>
    </w:p>
    <w:p w14:paraId="5438F370" w14:textId="2867063F" w:rsidR="00EE0C39" w:rsidRDefault="00E109F9" w:rsidP="00A73973">
      <w:pPr>
        <w:pStyle w:val="ListParagraph"/>
        <w:numPr>
          <w:ilvl w:val="0"/>
          <w:numId w:val="39"/>
        </w:numPr>
        <w:ind w:hanging="644"/>
        <w:jc w:val="both"/>
      </w:pPr>
      <w:r>
        <w:t>I</w:t>
      </w:r>
      <w:r w:rsidR="00EE0C39">
        <w:t>nterest deductions will be denied for interest incurred on or after 1 October 2021</w:t>
      </w:r>
      <w:r>
        <w:t>.</w:t>
      </w:r>
    </w:p>
    <w:p w14:paraId="13676DFA" w14:textId="2DFDAB10" w:rsidR="00FA780E" w:rsidRDefault="00FA780E" w:rsidP="00A73973">
      <w:pPr>
        <w:pStyle w:val="ListParagraph"/>
        <w:numPr>
          <w:ilvl w:val="0"/>
          <w:numId w:val="39"/>
        </w:numPr>
        <w:ind w:hanging="644"/>
        <w:jc w:val="both"/>
      </w:pPr>
      <w:r>
        <w:t>Officials were directed to</w:t>
      </w:r>
      <w:r w:rsidR="006D4BBF">
        <w:t xml:space="preserve"> consult with stakeholders on t</w:t>
      </w:r>
      <w:r>
        <w:t>he design details of the interest limitation proposal before seeking final decisions from Cabinet</w:t>
      </w:r>
      <w:r w:rsidR="006D4BBF">
        <w:t>.</w:t>
      </w:r>
    </w:p>
    <w:p w14:paraId="3913BAC4" w14:textId="2C6E187D" w:rsidR="00BF6AFD" w:rsidRPr="00467532" w:rsidRDefault="00BF6AFD" w:rsidP="00273FD3">
      <w:pPr>
        <w:pStyle w:val="Heading4"/>
        <w:jc w:val="both"/>
        <w:rPr>
          <w:b w:val="0"/>
          <w:bCs w:val="0"/>
          <w:i/>
          <w:iCs/>
        </w:rPr>
      </w:pPr>
      <w:r w:rsidRPr="00467532">
        <w:rPr>
          <w:b w:val="0"/>
          <w:bCs w:val="0"/>
          <w:i/>
          <w:iCs/>
        </w:rPr>
        <w:t>Property acquired before 27 March 2021</w:t>
      </w:r>
    </w:p>
    <w:p w14:paraId="27DFE1D0" w14:textId="76D1FAE1" w:rsidR="00EE0C39" w:rsidRDefault="00E109F9" w:rsidP="00A87329">
      <w:pPr>
        <w:pStyle w:val="ListParagraph"/>
        <w:numPr>
          <w:ilvl w:val="0"/>
          <w:numId w:val="39"/>
        </w:numPr>
        <w:ind w:hanging="644"/>
        <w:jc w:val="both"/>
      </w:pPr>
      <w:r>
        <w:t>R</w:t>
      </w:r>
      <w:r w:rsidR="00EE0C39">
        <w:t>esidential properties acquired before 27 March 2021</w:t>
      </w:r>
      <w:r w:rsidR="00346E42">
        <w:t xml:space="preserve"> </w:t>
      </w:r>
      <w:r w:rsidR="00EE0C39">
        <w:t>will be subject to phasing of interest denial at 25 percent per year over four years</w:t>
      </w:r>
      <w:r>
        <w:t>.</w:t>
      </w:r>
    </w:p>
    <w:p w14:paraId="5D7A06A7" w14:textId="0343F079" w:rsidR="0021489B" w:rsidRDefault="00E109F9" w:rsidP="00A87329">
      <w:pPr>
        <w:pStyle w:val="ListParagraph"/>
        <w:numPr>
          <w:ilvl w:val="0"/>
          <w:numId w:val="39"/>
        </w:numPr>
        <w:ind w:hanging="644"/>
        <w:jc w:val="both"/>
      </w:pPr>
      <w:r>
        <w:t>F</w:t>
      </w:r>
      <w:r w:rsidR="0021489B">
        <w:t xml:space="preserve">urther borrowing against residential property drawn down after </w:t>
      </w:r>
      <w:r w:rsidR="00BA1395">
        <w:t xml:space="preserve">27 March 2021 </w:t>
      </w:r>
      <w:r>
        <w:t>will be subject to full denial</w:t>
      </w:r>
      <w:r w:rsidR="0021489B">
        <w:t xml:space="preserve"> if it relates to residential properties acquired before </w:t>
      </w:r>
      <w:r w:rsidR="00CB59A1">
        <w:t>27 March 2021</w:t>
      </w:r>
      <w:r w:rsidR="0021489B">
        <w:t xml:space="preserve"> (or treated as though they were acquired before </w:t>
      </w:r>
      <w:r w:rsidR="000D6B44">
        <w:t>27 March 2021</w:t>
      </w:r>
      <w:r w:rsidR="0021489B">
        <w:t>)</w:t>
      </w:r>
      <w:r>
        <w:t>.</w:t>
      </w:r>
    </w:p>
    <w:p w14:paraId="732F9B3F" w14:textId="7451542E" w:rsidR="00E109F9" w:rsidRPr="00467532" w:rsidRDefault="00E109F9" w:rsidP="00BD41EA">
      <w:pPr>
        <w:pStyle w:val="Heading4"/>
        <w:keepNext/>
        <w:jc w:val="both"/>
        <w:rPr>
          <w:b w:val="0"/>
          <w:bCs w:val="0"/>
          <w:i/>
          <w:iCs/>
        </w:rPr>
      </w:pPr>
      <w:r w:rsidRPr="00467532">
        <w:rPr>
          <w:b w:val="0"/>
          <w:bCs w:val="0"/>
          <w:i/>
          <w:iCs/>
        </w:rPr>
        <w:t>Property acquired on or after 27 March 2021</w:t>
      </w:r>
    </w:p>
    <w:p w14:paraId="01DA6835" w14:textId="6E2440B4" w:rsidR="003F4DC0" w:rsidRDefault="00E109F9" w:rsidP="00A87329">
      <w:pPr>
        <w:pStyle w:val="ListParagraph"/>
        <w:numPr>
          <w:ilvl w:val="0"/>
          <w:numId w:val="39"/>
        </w:numPr>
        <w:ind w:hanging="644"/>
        <w:jc w:val="both"/>
      </w:pPr>
      <w:r>
        <w:t>R</w:t>
      </w:r>
      <w:r w:rsidR="003F4DC0">
        <w:t>esidential properties acquired on or after 27 March 2021 as a result of an offer made before the end of the day of announcement will be subject to phasing of interest denial at 25 percent per year over four years</w:t>
      </w:r>
      <w:r w:rsidR="00C004B4">
        <w:t>.</w:t>
      </w:r>
    </w:p>
    <w:p w14:paraId="3AC4890E" w14:textId="3FB70F62" w:rsidR="00E109F9" w:rsidRPr="00467532" w:rsidRDefault="00E109F9" w:rsidP="00273FD3">
      <w:pPr>
        <w:pStyle w:val="Heading4"/>
        <w:jc w:val="both"/>
        <w:rPr>
          <w:b w:val="0"/>
          <w:bCs w:val="0"/>
          <w:i/>
          <w:iCs/>
        </w:rPr>
      </w:pPr>
      <w:r w:rsidRPr="00467532">
        <w:rPr>
          <w:b w:val="0"/>
          <w:bCs w:val="0"/>
          <w:i/>
          <w:iCs/>
        </w:rPr>
        <w:t>New build exemption</w:t>
      </w:r>
    </w:p>
    <w:p w14:paraId="746FF821" w14:textId="25FA3385" w:rsidR="00EE0C39" w:rsidRDefault="006D4BBF" w:rsidP="00A87329">
      <w:pPr>
        <w:pStyle w:val="ListParagraph"/>
        <w:numPr>
          <w:ilvl w:val="0"/>
          <w:numId w:val="39"/>
        </w:numPr>
        <w:ind w:hanging="644"/>
        <w:jc w:val="both"/>
      </w:pPr>
      <w:r>
        <w:t>P</w:t>
      </w:r>
      <w:r w:rsidR="00EE0C39">
        <w:t>roperty located in New Zealand</w:t>
      </w:r>
      <w:r w:rsidR="007B4BF2">
        <w:t>,</w:t>
      </w:r>
      <w:r w:rsidR="00EE0C39">
        <w:t xml:space="preserve"> </w:t>
      </w:r>
      <w:r w:rsidR="005773FE">
        <w:t xml:space="preserve">and </w:t>
      </w:r>
      <w:r w:rsidR="00EE0C39">
        <w:t xml:space="preserve">purchased on or after the </w:t>
      </w:r>
      <w:r w:rsidR="00925396">
        <w:t>27 March 2021</w:t>
      </w:r>
      <w:r w:rsidR="00EE0C39">
        <w:t xml:space="preserve"> and within 12 months of receiving its code compliance certificate</w:t>
      </w:r>
      <w:r>
        <w:t xml:space="preserve"> </w:t>
      </w:r>
      <w:r w:rsidR="0049488B">
        <w:t xml:space="preserve">(new builds) </w:t>
      </w:r>
      <w:r>
        <w:t>will be exempt from the proposal</w:t>
      </w:r>
      <w:r w:rsidR="00F143C7">
        <w:t>.</w:t>
      </w:r>
    </w:p>
    <w:p w14:paraId="5890CB76" w14:textId="423174A8" w:rsidR="0049488B" w:rsidRDefault="00D471D5" w:rsidP="00A87329">
      <w:pPr>
        <w:pStyle w:val="ListParagraph"/>
        <w:numPr>
          <w:ilvl w:val="0"/>
          <w:numId w:val="39"/>
        </w:numPr>
        <w:ind w:hanging="644"/>
        <w:jc w:val="both"/>
      </w:pPr>
      <w:r>
        <w:t>O</w:t>
      </w:r>
      <w:r w:rsidR="0049488B">
        <w:t xml:space="preserve">fficials were directed to consult on </w:t>
      </w:r>
      <w:r w:rsidR="00F143C7">
        <w:t xml:space="preserve">this exemption, </w:t>
      </w:r>
      <w:r w:rsidR="00611DD2">
        <w:t xml:space="preserve">including the following </w:t>
      </w:r>
      <w:r w:rsidR="00144A2E">
        <w:t>situations</w:t>
      </w:r>
      <w:r>
        <w:t xml:space="preserve"> </w:t>
      </w:r>
      <w:r w:rsidR="00144A2E">
        <w:t>where the exemption would apply</w:t>
      </w:r>
      <w:r w:rsidR="00611DD2">
        <w:t>:</w:t>
      </w:r>
    </w:p>
    <w:p w14:paraId="64F415CF" w14:textId="565229B8" w:rsidR="00611DD2" w:rsidRDefault="00D471D5" w:rsidP="00770FC3">
      <w:pPr>
        <w:pStyle w:val="ListParagraph"/>
        <w:numPr>
          <w:ilvl w:val="1"/>
          <w:numId w:val="39"/>
        </w:numPr>
        <w:ind w:hanging="447"/>
        <w:jc w:val="both"/>
      </w:pPr>
      <w:r>
        <w:t>O</w:t>
      </w:r>
      <w:r w:rsidR="00611DD2">
        <w:t xml:space="preserve">nly </w:t>
      </w:r>
      <w:r w:rsidR="00144A2E">
        <w:t xml:space="preserve">to </w:t>
      </w:r>
      <w:r w:rsidR="00611DD2">
        <w:t>initial (or early) purchasers of a qualifying new</w:t>
      </w:r>
      <w:r w:rsidR="007316BC">
        <w:t xml:space="preserve"> </w:t>
      </w:r>
      <w:r w:rsidR="00611DD2">
        <w:t>build who purchase a property within 12 months of receiving its code compliance certificate</w:t>
      </w:r>
      <w:r>
        <w:t>.</w:t>
      </w:r>
    </w:p>
    <w:p w14:paraId="0A759643" w14:textId="29175535" w:rsidR="00611DD2" w:rsidRDefault="00D471D5" w:rsidP="00770FC3">
      <w:pPr>
        <w:pStyle w:val="ListParagraph"/>
        <w:numPr>
          <w:ilvl w:val="1"/>
          <w:numId w:val="39"/>
        </w:numPr>
        <w:ind w:hanging="447"/>
        <w:jc w:val="both"/>
      </w:pPr>
      <w:r>
        <w:t>F</w:t>
      </w:r>
      <w:r w:rsidR="00611DD2">
        <w:t>or a fixed period of ten years to both the first purchaser and subsequent purchasers of a qualifying new</w:t>
      </w:r>
      <w:r w:rsidR="00786AAB">
        <w:t xml:space="preserve"> </w:t>
      </w:r>
      <w:r w:rsidR="00611DD2">
        <w:t>build</w:t>
      </w:r>
      <w:r>
        <w:t>.</w:t>
      </w:r>
    </w:p>
    <w:p w14:paraId="719E05B5" w14:textId="7F2C922A" w:rsidR="00611DD2" w:rsidRDefault="006608FB" w:rsidP="00770FC3">
      <w:pPr>
        <w:pStyle w:val="ListParagraph"/>
        <w:numPr>
          <w:ilvl w:val="1"/>
          <w:numId w:val="39"/>
        </w:numPr>
        <w:ind w:hanging="447"/>
        <w:jc w:val="both"/>
      </w:pPr>
      <w:r>
        <w:t>F</w:t>
      </w:r>
      <w:r w:rsidR="00611DD2">
        <w:t>or a fixed period of 20 years to both the first purchaser and subsequent purchasers of a qualifying new</w:t>
      </w:r>
      <w:r w:rsidR="00786AAB">
        <w:t xml:space="preserve"> </w:t>
      </w:r>
      <w:r w:rsidR="00611DD2">
        <w:t>build</w:t>
      </w:r>
      <w:r>
        <w:t>.</w:t>
      </w:r>
    </w:p>
    <w:p w14:paraId="0C92E6CD" w14:textId="723EF4C8" w:rsidR="00611DD2" w:rsidRDefault="00AE4101" w:rsidP="00A87329">
      <w:pPr>
        <w:pStyle w:val="ListParagraph"/>
        <w:numPr>
          <w:ilvl w:val="0"/>
          <w:numId w:val="39"/>
        </w:numPr>
        <w:ind w:hanging="644"/>
        <w:jc w:val="both"/>
      </w:pPr>
      <w:r>
        <w:t>O</w:t>
      </w:r>
      <w:r w:rsidR="00611DD2">
        <w:t xml:space="preserve">fficials </w:t>
      </w:r>
      <w:r>
        <w:t xml:space="preserve">were directed </w:t>
      </w:r>
      <w:r w:rsidR="00611DD2">
        <w:t>to consult on whether the above rule should be bolstered by</w:t>
      </w:r>
      <w:r>
        <w:t xml:space="preserve"> </w:t>
      </w:r>
      <w:r w:rsidR="00611DD2">
        <w:t>also including a “first-occupied” test or another test</w:t>
      </w:r>
      <w:r w:rsidR="009C5561">
        <w:t>,</w:t>
      </w:r>
      <w:r w:rsidR="00611DD2">
        <w:t xml:space="preserve"> such as one based on when consent was granted to ensure that taxpayers do not have incentives to delay seeking code compliance certificates and eligibility for an exemption is objectively verifiable</w:t>
      </w:r>
      <w:r w:rsidR="00576F2C">
        <w:t>.</w:t>
      </w:r>
    </w:p>
    <w:p w14:paraId="0ABB5A4C" w14:textId="4C3A4F73" w:rsidR="00E109F9" w:rsidRPr="00A06A21" w:rsidRDefault="00B22343" w:rsidP="00273FD3">
      <w:pPr>
        <w:pStyle w:val="Heading4"/>
        <w:jc w:val="both"/>
        <w:rPr>
          <w:b w:val="0"/>
          <w:bCs w:val="0"/>
          <w:i/>
          <w:iCs/>
        </w:rPr>
      </w:pPr>
      <w:r w:rsidRPr="00A06A21">
        <w:rPr>
          <w:b w:val="0"/>
          <w:bCs w:val="0"/>
          <w:i/>
          <w:iCs/>
        </w:rPr>
        <w:t>Deductions for property developers and</w:t>
      </w:r>
      <w:r w:rsidR="00C004B4" w:rsidRPr="00A06A21">
        <w:rPr>
          <w:b w:val="0"/>
          <w:bCs w:val="0"/>
          <w:i/>
          <w:iCs/>
        </w:rPr>
        <w:t xml:space="preserve"> other</w:t>
      </w:r>
      <w:r w:rsidRPr="00A06A21">
        <w:rPr>
          <w:b w:val="0"/>
          <w:bCs w:val="0"/>
          <w:i/>
          <w:iCs/>
        </w:rPr>
        <w:t xml:space="preserve"> </w:t>
      </w:r>
      <w:r w:rsidR="00C004B4" w:rsidRPr="00A06A21">
        <w:rPr>
          <w:b w:val="0"/>
          <w:bCs w:val="0"/>
          <w:i/>
          <w:iCs/>
        </w:rPr>
        <w:t>persons subject to tax on sale</w:t>
      </w:r>
    </w:p>
    <w:p w14:paraId="03FF0211" w14:textId="00C05FAF" w:rsidR="00E109F9" w:rsidRDefault="00C004B4" w:rsidP="00A87329">
      <w:pPr>
        <w:pStyle w:val="ListParagraph"/>
        <w:numPr>
          <w:ilvl w:val="0"/>
          <w:numId w:val="39"/>
        </w:numPr>
        <w:ind w:hanging="644"/>
        <w:jc w:val="both"/>
      </w:pPr>
      <w:r>
        <w:t>P</w:t>
      </w:r>
      <w:r w:rsidR="00E109F9">
        <w:t xml:space="preserve">roperty developers </w:t>
      </w:r>
      <w:r>
        <w:t>will</w:t>
      </w:r>
      <w:r w:rsidR="00E109F9">
        <w:t xml:space="preserve"> be allowed to continue deducting their interest expenses as incurred</w:t>
      </w:r>
      <w:r w:rsidR="00FA780E">
        <w:t>.</w:t>
      </w:r>
    </w:p>
    <w:p w14:paraId="6F23639C" w14:textId="1E1DF4AF" w:rsidR="00FA780E" w:rsidRDefault="00FA780E" w:rsidP="00A87329">
      <w:pPr>
        <w:pStyle w:val="ListParagraph"/>
        <w:numPr>
          <w:ilvl w:val="0"/>
          <w:numId w:val="39"/>
        </w:numPr>
        <w:ind w:hanging="644"/>
        <w:jc w:val="both"/>
      </w:pPr>
      <w:r>
        <w:t>Officials were directed to consult on whether interest deductions should be denied or merely deferred if the taxpayer is not a property developer but is taxed on the disposal of their property under the bright-line test or another land sale rule.</w:t>
      </w:r>
    </w:p>
    <w:p w14:paraId="5859139C" w14:textId="3CCDE5AF" w:rsidR="00467532" w:rsidRDefault="00467532" w:rsidP="00467532">
      <w:pPr>
        <w:pStyle w:val="Heading4"/>
      </w:pPr>
      <w:r>
        <w:t>Limitations on consultation</w:t>
      </w:r>
    </w:p>
    <w:p w14:paraId="7C2770FA" w14:textId="297493F5" w:rsidR="000C3A51" w:rsidRDefault="00467532" w:rsidP="00390F88">
      <w:pPr>
        <w:pStyle w:val="ListParagraph"/>
        <w:numPr>
          <w:ilvl w:val="0"/>
          <w:numId w:val="39"/>
        </w:numPr>
        <w:ind w:left="930" w:hanging="646"/>
        <w:jc w:val="both"/>
      </w:pPr>
      <w:r>
        <w:t xml:space="preserve">As is evident from the decisions above, </w:t>
      </w:r>
      <w:r w:rsidRPr="00467532">
        <w:t>Officials were not directed to consult on whether to proceed with the overall interest limitation policy</w:t>
      </w:r>
      <w:r w:rsidR="00AA1504">
        <w:t>. They</w:t>
      </w:r>
      <w:r w:rsidRPr="00467532">
        <w:t xml:space="preserve"> were only directed to consult on the design of the policy (such as the design of a new build exemption and whether interest deductions should be denied or merely deferred where the property taxable on sale). </w:t>
      </w:r>
    </w:p>
    <w:p w14:paraId="1F6F687D" w14:textId="785CD659" w:rsidR="000C3A51" w:rsidRDefault="00F86742" w:rsidP="00390F88">
      <w:pPr>
        <w:pStyle w:val="ListParagraph"/>
        <w:numPr>
          <w:ilvl w:val="0"/>
          <w:numId w:val="39"/>
        </w:numPr>
        <w:ind w:left="930" w:hanging="646"/>
        <w:jc w:val="both"/>
      </w:pPr>
      <w:r>
        <w:t>A</w:t>
      </w:r>
      <w:r w:rsidR="00467532" w:rsidRPr="00467532">
        <w:t xml:space="preserve">nalysis has not been done on the impacts of the overall interest limitation policy in </w:t>
      </w:r>
      <w:r w:rsidR="00084F57">
        <w:t>conjunction with</w:t>
      </w:r>
      <w:r w:rsidR="00467532" w:rsidRPr="00467532">
        <w:t xml:space="preserve"> non-tax measures that have been recently implemented or are being considered. </w:t>
      </w:r>
    </w:p>
    <w:p w14:paraId="7E40A7C0" w14:textId="10261139" w:rsidR="00467532" w:rsidRDefault="00467532" w:rsidP="00390F88">
      <w:pPr>
        <w:pStyle w:val="ListParagraph"/>
        <w:numPr>
          <w:ilvl w:val="0"/>
          <w:numId w:val="39"/>
        </w:numPr>
        <w:ind w:left="930" w:hanging="646"/>
        <w:jc w:val="both"/>
      </w:pPr>
      <w:r w:rsidRPr="00467532">
        <w:t>This analysis has been prepared under time constraints. While a discussion document was produced concerning the general proposal, there has been very limited engagement on final design decisions and their overall coherence.</w:t>
      </w:r>
    </w:p>
    <w:p w14:paraId="2711B9A7" w14:textId="6F6B7CB6" w:rsidR="00364D5A" w:rsidRDefault="00364D5A" w:rsidP="003D3AFE">
      <w:pPr>
        <w:pStyle w:val="Heading4"/>
      </w:pPr>
      <w:r>
        <w:t>Experience from other countries</w:t>
      </w:r>
    </w:p>
    <w:p w14:paraId="7C359639" w14:textId="1827CD03" w:rsidR="00615464" w:rsidRDefault="00615464" w:rsidP="00390F88">
      <w:pPr>
        <w:pStyle w:val="ListParagraph"/>
        <w:numPr>
          <w:ilvl w:val="0"/>
          <w:numId w:val="39"/>
        </w:numPr>
        <w:ind w:left="930" w:hanging="646"/>
        <w:jc w:val="both"/>
      </w:pPr>
      <w:r>
        <w:t>The United Kingdom have implemented a similar proposal</w:t>
      </w:r>
      <w:r w:rsidR="00BA30EA">
        <w:t>,</w:t>
      </w:r>
      <w:r>
        <w:t xml:space="preserve"> </w:t>
      </w:r>
      <w:r w:rsidR="003A75F0">
        <w:t>which</w:t>
      </w:r>
      <w:r>
        <w:t xml:space="preserve"> </w:t>
      </w:r>
      <w:r w:rsidR="000C0AF6" w:rsidRPr="000C0AF6">
        <w:t>restrict</w:t>
      </w:r>
      <w:r w:rsidR="003A75F0">
        <w:t>s</w:t>
      </w:r>
      <w:r w:rsidR="000C0AF6" w:rsidRPr="000C0AF6">
        <w:t xml:space="preserve"> deductions from property income for finance costs for</w:t>
      </w:r>
      <w:r w:rsidR="000C0AF6">
        <w:t xml:space="preserve"> residential properties</w:t>
      </w:r>
      <w:r>
        <w:t>. The denial was gradually rolled out over 4 years in 25</w:t>
      </w:r>
      <w:r w:rsidR="007316BC" w:rsidRPr="007316BC">
        <w:t xml:space="preserve"> </w:t>
      </w:r>
      <w:r w:rsidR="007316BC">
        <w:t xml:space="preserve">percent </w:t>
      </w:r>
      <w:r>
        <w:t xml:space="preserve">increments and, as of April 2020, is fully phased in. </w:t>
      </w:r>
    </w:p>
    <w:p w14:paraId="5F480A66" w14:textId="7BE3254B" w:rsidR="00615464" w:rsidRDefault="00615464" w:rsidP="00390F88">
      <w:pPr>
        <w:pStyle w:val="ListParagraph"/>
        <w:numPr>
          <w:ilvl w:val="0"/>
          <w:numId w:val="39"/>
        </w:numPr>
        <w:ind w:left="930" w:hanging="646"/>
        <w:jc w:val="both"/>
      </w:pPr>
      <w:r>
        <w:t xml:space="preserve">The main distinction between the UK and the proposal </w:t>
      </w:r>
      <w:r w:rsidR="00237FD9">
        <w:t xml:space="preserve">described in the Cabinet decisions above </w:t>
      </w:r>
      <w:r>
        <w:t>is that interest denial in the</w:t>
      </w:r>
      <w:r w:rsidR="00237FD9">
        <w:t xml:space="preserve"> United Kingdom</w:t>
      </w:r>
      <w:r>
        <w:t xml:space="preserve"> was accompanied by a 20</w:t>
      </w:r>
      <w:r w:rsidR="007316BC" w:rsidRPr="007316BC">
        <w:t xml:space="preserve"> </w:t>
      </w:r>
      <w:r w:rsidR="007316BC">
        <w:t xml:space="preserve">percent </w:t>
      </w:r>
      <w:r>
        <w:t xml:space="preserve">tax credit for </w:t>
      </w:r>
      <w:r w:rsidR="002275EC">
        <w:t>denied deductions</w:t>
      </w:r>
      <w:r>
        <w:t xml:space="preserve">. </w:t>
      </w:r>
      <w:r w:rsidR="00D720E0">
        <w:t>F</w:t>
      </w:r>
      <w:r>
        <w:t>or landlords on the standard income tax rate of 20</w:t>
      </w:r>
      <w:r w:rsidR="007316BC">
        <w:t xml:space="preserve"> percent</w:t>
      </w:r>
      <w:r>
        <w:t xml:space="preserve"> (i.e. those with income between £12,501 and £50,000), the interest is effectively fully deductible</w:t>
      </w:r>
      <w:r w:rsidR="00AD5B37">
        <w:t xml:space="preserve">. </w:t>
      </w:r>
      <w:r w:rsidR="00F9560E">
        <w:t>For l</w:t>
      </w:r>
      <w:r>
        <w:t>andlords on higher income tax rate</w:t>
      </w:r>
      <w:r w:rsidR="003C3E24">
        <w:t>s</w:t>
      </w:r>
      <w:r w:rsidR="00115A99">
        <w:t xml:space="preserve"> (either 40</w:t>
      </w:r>
      <w:r w:rsidR="007316BC">
        <w:t xml:space="preserve"> percent</w:t>
      </w:r>
      <w:r w:rsidR="00115A99">
        <w:t xml:space="preserve"> or 45</w:t>
      </w:r>
      <w:r w:rsidR="007316BC">
        <w:t xml:space="preserve"> percent</w:t>
      </w:r>
      <w:r w:rsidR="00115A99">
        <w:t>)</w:t>
      </w:r>
      <w:r w:rsidR="003C3E24">
        <w:t xml:space="preserve">, </w:t>
      </w:r>
      <w:r w:rsidR="00FB0DB7">
        <w:t xml:space="preserve">their deductions are denied but </w:t>
      </w:r>
      <w:r>
        <w:t>the</w:t>
      </w:r>
      <w:r w:rsidR="00FB0DB7">
        <w:t>y will</w:t>
      </w:r>
      <w:r>
        <w:t xml:space="preserve"> </w:t>
      </w:r>
      <w:r w:rsidR="00FB0DB7">
        <w:t xml:space="preserve">obtain </w:t>
      </w:r>
      <w:r>
        <w:t>benefit of the tax credit</w:t>
      </w:r>
      <w:r w:rsidR="003C3E24">
        <w:t xml:space="preserve">, so effectively those landlords will </w:t>
      </w:r>
      <w:r>
        <w:t xml:space="preserve">get </w:t>
      </w:r>
      <w:r w:rsidR="003C3E24">
        <w:t xml:space="preserve">to </w:t>
      </w:r>
      <w:r>
        <w:t>deduct a portion of the</w:t>
      </w:r>
      <w:r w:rsidR="003C3E24">
        <w:t>ir</w:t>
      </w:r>
      <w:r>
        <w:t xml:space="preserve"> interest</w:t>
      </w:r>
      <w:r w:rsidR="003C3E24">
        <w:t xml:space="preserve"> </w:t>
      </w:r>
      <w:r w:rsidR="00F8635A">
        <w:t>expenditure</w:t>
      </w:r>
      <w:r w:rsidR="00AD5B37">
        <w:t xml:space="preserve">. </w:t>
      </w:r>
    </w:p>
    <w:p w14:paraId="6A9C7DD0" w14:textId="13D8FC0C" w:rsidR="00364D5A" w:rsidRDefault="0084400B" w:rsidP="00390F88">
      <w:pPr>
        <w:pStyle w:val="ListParagraph"/>
        <w:numPr>
          <w:ilvl w:val="0"/>
          <w:numId w:val="39"/>
        </w:numPr>
        <w:ind w:left="930" w:hanging="646"/>
        <w:jc w:val="both"/>
      </w:pPr>
      <w:r>
        <w:t xml:space="preserve">One in five </w:t>
      </w:r>
      <w:r w:rsidR="00615464">
        <w:t xml:space="preserve">individual landlords </w:t>
      </w:r>
      <w:r>
        <w:t xml:space="preserve">are expected to </w:t>
      </w:r>
      <w:r w:rsidR="00615464">
        <w:t xml:space="preserve">pay more tax as a result of the measure (i.e. those </w:t>
      </w:r>
      <w:r w:rsidR="00115A99">
        <w:t xml:space="preserve">on </w:t>
      </w:r>
      <w:r w:rsidR="00615464">
        <w:t xml:space="preserve">higher income tax rates). Given that only a small proportion of the housing market </w:t>
      </w:r>
      <w:r w:rsidR="00DF2AF7">
        <w:t>is</w:t>
      </w:r>
      <w:r w:rsidR="00615464">
        <w:t xml:space="preserve"> affected</w:t>
      </w:r>
      <w:r w:rsidR="00112142">
        <w:t xml:space="preserve"> by these changes</w:t>
      </w:r>
      <w:r w:rsidR="00615464">
        <w:t>, the UK government did not expect the</w:t>
      </w:r>
      <w:r w:rsidR="00112142">
        <w:t>m</w:t>
      </w:r>
      <w:r w:rsidR="00615464">
        <w:t xml:space="preserve"> to have a large effect on rent levels or house prices.</w:t>
      </w:r>
    </w:p>
    <w:p w14:paraId="20E02017" w14:textId="77777777" w:rsidR="00A87329" w:rsidRDefault="00A87329" w:rsidP="00A87329">
      <w:pPr>
        <w:pStyle w:val="Heading4"/>
      </w:pPr>
      <w:r>
        <w:t>Alternative options ruled out</w:t>
      </w:r>
    </w:p>
    <w:p w14:paraId="755B5486" w14:textId="638F2D13" w:rsidR="00A87329" w:rsidRDefault="00A87329" w:rsidP="00A73973">
      <w:pPr>
        <w:pStyle w:val="ListParagraph"/>
        <w:numPr>
          <w:ilvl w:val="0"/>
          <w:numId w:val="39"/>
        </w:numPr>
        <w:spacing w:after="0"/>
        <w:ind w:left="930" w:hanging="646"/>
        <w:jc w:val="both"/>
      </w:pPr>
      <w:r>
        <w:t xml:space="preserve">A capital gains tax </w:t>
      </w:r>
      <w:r w:rsidR="00AD2218">
        <w:t>was</w:t>
      </w:r>
      <w:r>
        <w:t xml:space="preserve"> considered in the wider context of housing affordability during the Tax Working Group process and the 2020 New Zealand General Election </w:t>
      </w:r>
      <w:r w:rsidR="00C470A5">
        <w:t>but</w:t>
      </w:r>
      <w:r>
        <w:t xml:space="preserve"> was ruled out.</w:t>
      </w:r>
      <w:r w:rsidDel="000947AA">
        <w:t xml:space="preserve"> </w:t>
      </w:r>
    </w:p>
    <w:p w14:paraId="478442FD" w14:textId="77777777" w:rsidR="00F05E1B" w:rsidRDefault="00F05E1B">
      <w:pPr>
        <w:spacing w:after="0" w:line="240" w:lineRule="auto"/>
      </w:pPr>
    </w:p>
    <w:p w14:paraId="5CB7908C" w14:textId="2D8E4F48" w:rsidR="002523AA" w:rsidRDefault="002523AA">
      <w:pPr>
        <w:spacing w:after="0" w:line="240" w:lineRule="auto"/>
        <w:rPr>
          <w:rFonts w:ascii="Arial Bold" w:hAnsi="Arial Bold"/>
          <w:b/>
          <w:color w:val="0082AB"/>
          <w:spacing w:val="20"/>
          <w:w w:val="90"/>
          <w:sz w:val="24"/>
          <w:szCs w:val="22"/>
          <w:highlight w:val="green"/>
          <w:lang w:val="en-NZ"/>
        </w:rPr>
      </w:pPr>
      <w:r>
        <w:rPr>
          <w:highlight w:val="green"/>
          <w:lang w:val="en-NZ"/>
        </w:rPr>
        <w:br w:type="page"/>
      </w:r>
    </w:p>
    <w:p w14:paraId="0A37FF0E" w14:textId="77777777" w:rsidR="00C36123" w:rsidRPr="001A0DE0" w:rsidRDefault="00373851" w:rsidP="002A1E94">
      <w:pPr>
        <w:pStyle w:val="Heading3"/>
        <w:rPr>
          <w:lang w:val="en-NZ"/>
        </w:rPr>
      </w:pPr>
      <w:bookmarkStart w:id="15" w:name="_Hlk80281941"/>
      <w:r w:rsidRPr="001A0DE0">
        <w:rPr>
          <w:lang w:val="en-NZ"/>
        </w:rPr>
        <w:t xml:space="preserve">What options </w:t>
      </w:r>
      <w:r w:rsidR="003A6757" w:rsidRPr="001A0DE0">
        <w:rPr>
          <w:lang w:val="en-NZ"/>
        </w:rPr>
        <w:t xml:space="preserve">are </w:t>
      </w:r>
      <w:r w:rsidR="007336C9" w:rsidRPr="001A0DE0">
        <w:rPr>
          <w:lang w:val="en-NZ"/>
        </w:rPr>
        <w:t>being considered</w:t>
      </w:r>
      <w:r w:rsidRPr="001A0DE0">
        <w:rPr>
          <w:lang w:val="en-NZ"/>
        </w:rPr>
        <w:t>?</w:t>
      </w:r>
    </w:p>
    <w:bookmarkEnd w:id="15"/>
    <w:p w14:paraId="4375624C" w14:textId="1C642F9B" w:rsidR="00E67BD0" w:rsidRDefault="0074132F" w:rsidP="00A73973">
      <w:pPr>
        <w:pStyle w:val="ListParagraph"/>
        <w:numPr>
          <w:ilvl w:val="0"/>
          <w:numId w:val="39"/>
        </w:numPr>
        <w:ind w:hanging="644"/>
        <w:jc w:val="both"/>
        <w:rPr>
          <w:lang w:val="en-NZ"/>
        </w:rPr>
      </w:pPr>
      <w:r>
        <w:rPr>
          <w:lang w:val="en-NZ"/>
        </w:rPr>
        <w:t>Four</w:t>
      </w:r>
      <w:r w:rsidR="00E67BD0">
        <w:rPr>
          <w:lang w:val="en-NZ"/>
        </w:rPr>
        <w:t xml:space="preserve"> options have been identified in addition to the status quo (allowing deductions for interest expenditure for all types of residential investment property):</w:t>
      </w:r>
    </w:p>
    <w:p w14:paraId="5050B7A4" w14:textId="07D2B327" w:rsidR="00E67BD0" w:rsidRDefault="00E67BD0" w:rsidP="00A73973">
      <w:pPr>
        <w:pStyle w:val="ListParagraph"/>
        <w:numPr>
          <w:ilvl w:val="1"/>
          <w:numId w:val="39"/>
        </w:numPr>
        <w:ind w:hanging="447"/>
        <w:jc w:val="both"/>
        <w:rPr>
          <w:lang w:val="en-NZ"/>
        </w:rPr>
      </w:pPr>
      <w:r>
        <w:rPr>
          <w:lang w:val="en-NZ"/>
        </w:rPr>
        <w:t xml:space="preserve">Option 1: Deny interest deductions </w:t>
      </w:r>
      <w:r w:rsidR="00027B29">
        <w:rPr>
          <w:lang w:val="en-NZ"/>
        </w:rPr>
        <w:t>for residential investment property.</w:t>
      </w:r>
    </w:p>
    <w:p w14:paraId="392F99EA" w14:textId="7805BBB0" w:rsidR="00027B29" w:rsidRDefault="00027B29" w:rsidP="00A73973">
      <w:pPr>
        <w:pStyle w:val="ListParagraph"/>
        <w:numPr>
          <w:ilvl w:val="1"/>
          <w:numId w:val="39"/>
        </w:numPr>
        <w:ind w:hanging="447"/>
        <w:jc w:val="both"/>
        <w:rPr>
          <w:lang w:val="en-NZ"/>
        </w:rPr>
      </w:pPr>
      <w:r>
        <w:rPr>
          <w:lang w:val="en-NZ"/>
        </w:rPr>
        <w:t xml:space="preserve">Option 2: </w:t>
      </w:r>
      <w:r w:rsidR="00471F6A">
        <w:rPr>
          <w:lang w:val="en-NZ"/>
        </w:rPr>
        <w:t>Deny interest deductions for residential investment property, but with an exemption for new builds.</w:t>
      </w:r>
    </w:p>
    <w:p w14:paraId="55F8862C" w14:textId="7A74FE45" w:rsidR="00036FEE" w:rsidRDefault="00471F6A" w:rsidP="00A73973">
      <w:pPr>
        <w:pStyle w:val="ListParagraph"/>
        <w:numPr>
          <w:ilvl w:val="1"/>
          <w:numId w:val="39"/>
        </w:numPr>
        <w:ind w:hanging="447"/>
        <w:jc w:val="both"/>
        <w:rPr>
          <w:lang w:val="en-NZ"/>
        </w:rPr>
      </w:pPr>
      <w:r>
        <w:rPr>
          <w:lang w:val="en-NZ"/>
        </w:rPr>
        <w:t xml:space="preserve">Option 3: Deny interest deductions for residential investment property, but with an exemption for new builds and </w:t>
      </w:r>
      <w:r w:rsidR="00AB3C2B">
        <w:rPr>
          <w:lang w:val="en-NZ"/>
        </w:rPr>
        <w:t>allow interest deductions where the property is taxable on sale</w:t>
      </w:r>
      <w:r w:rsidR="008D3729">
        <w:rPr>
          <w:lang w:val="en-NZ"/>
        </w:rPr>
        <w:t xml:space="preserve"> (at the time of sale)</w:t>
      </w:r>
      <w:r w:rsidR="00AB3C2B">
        <w:rPr>
          <w:lang w:val="en-NZ"/>
        </w:rPr>
        <w:t>.</w:t>
      </w:r>
    </w:p>
    <w:p w14:paraId="674FEA47" w14:textId="6FEF03A8" w:rsidR="00062267" w:rsidRPr="00167C9C" w:rsidRDefault="00062267" w:rsidP="00A73973">
      <w:pPr>
        <w:pStyle w:val="ListParagraph"/>
        <w:numPr>
          <w:ilvl w:val="1"/>
          <w:numId w:val="39"/>
        </w:numPr>
        <w:ind w:hanging="447"/>
        <w:jc w:val="both"/>
        <w:rPr>
          <w:lang w:val="en-NZ"/>
        </w:rPr>
      </w:pPr>
      <w:r w:rsidRPr="00167C9C">
        <w:rPr>
          <w:lang w:val="en-NZ"/>
        </w:rPr>
        <w:t>Option 4</w:t>
      </w:r>
      <w:r w:rsidR="00167C9C">
        <w:rPr>
          <w:lang w:val="en-NZ"/>
        </w:rPr>
        <w:t>: D</w:t>
      </w:r>
      <w:r w:rsidRPr="00167C9C">
        <w:rPr>
          <w:lang w:val="en-NZ"/>
        </w:rPr>
        <w:t>eny interest deductions for residential investment property</w:t>
      </w:r>
      <w:r w:rsidR="00546B08">
        <w:rPr>
          <w:lang w:val="en-NZ"/>
        </w:rPr>
        <w:t>,</w:t>
      </w:r>
      <w:r w:rsidRPr="00167C9C">
        <w:rPr>
          <w:lang w:val="en-NZ"/>
        </w:rPr>
        <w:t xml:space="preserve"> but allow interest deductions where the property is taxable on sale (at the time of sale). </w:t>
      </w:r>
    </w:p>
    <w:p w14:paraId="79D92767" w14:textId="3055852B" w:rsidR="007D78A1" w:rsidRDefault="00AB3C2B" w:rsidP="00A73973">
      <w:pPr>
        <w:pStyle w:val="ListParagraph"/>
        <w:numPr>
          <w:ilvl w:val="0"/>
          <w:numId w:val="39"/>
        </w:numPr>
        <w:ind w:hanging="644"/>
        <w:jc w:val="both"/>
        <w:rPr>
          <w:lang w:val="en-NZ"/>
        </w:rPr>
      </w:pPr>
      <w:r>
        <w:rPr>
          <w:lang w:val="en-NZ"/>
        </w:rPr>
        <w:t>In-principle d</w:t>
      </w:r>
      <w:r w:rsidR="0049628F">
        <w:rPr>
          <w:lang w:val="en-NZ"/>
        </w:rPr>
        <w:t xml:space="preserve">ecisions have already been made </w:t>
      </w:r>
      <w:r>
        <w:rPr>
          <w:lang w:val="en-NZ"/>
        </w:rPr>
        <w:t>by Cabinet</w:t>
      </w:r>
      <w:r w:rsidR="009E4EA7">
        <w:rPr>
          <w:lang w:val="en-NZ"/>
        </w:rPr>
        <w:t xml:space="preserve"> </w:t>
      </w:r>
      <w:r w:rsidR="0049628F">
        <w:rPr>
          <w:lang w:val="en-NZ"/>
        </w:rPr>
        <w:t xml:space="preserve">to implement the policy to deny deductions </w:t>
      </w:r>
      <w:r w:rsidR="00690141">
        <w:rPr>
          <w:lang w:val="en-NZ"/>
        </w:rPr>
        <w:t>and to include</w:t>
      </w:r>
      <w:r w:rsidR="0049628F">
        <w:rPr>
          <w:lang w:val="en-NZ"/>
        </w:rPr>
        <w:t xml:space="preserve"> a</w:t>
      </w:r>
      <w:r w:rsidR="00690141">
        <w:rPr>
          <w:lang w:val="en-NZ"/>
        </w:rPr>
        <w:t>n</w:t>
      </w:r>
      <w:r w:rsidR="0049628F">
        <w:rPr>
          <w:lang w:val="en-NZ"/>
        </w:rPr>
        <w:t xml:space="preserve"> exemption</w:t>
      </w:r>
      <w:r w:rsidR="00690141">
        <w:rPr>
          <w:lang w:val="en-NZ"/>
        </w:rPr>
        <w:t xml:space="preserve"> for new builds</w:t>
      </w:r>
      <w:r w:rsidR="00350616">
        <w:rPr>
          <w:lang w:val="en-NZ"/>
        </w:rPr>
        <w:t xml:space="preserve">. </w:t>
      </w:r>
      <w:r w:rsidR="002A173C">
        <w:rPr>
          <w:lang w:val="en-NZ"/>
        </w:rPr>
        <w:t>These decisions have been publicly announced.</w:t>
      </w:r>
      <w:r w:rsidR="00350616">
        <w:rPr>
          <w:lang w:val="en-NZ"/>
        </w:rPr>
        <w:t xml:space="preserve"> </w:t>
      </w:r>
      <w:r w:rsidR="00E52502">
        <w:rPr>
          <w:lang w:val="en-NZ"/>
        </w:rPr>
        <w:t>However</w:t>
      </w:r>
      <w:r w:rsidR="008D3729">
        <w:rPr>
          <w:lang w:val="en-NZ"/>
        </w:rPr>
        <w:t>,</w:t>
      </w:r>
      <w:r w:rsidR="00E52502">
        <w:rPr>
          <w:lang w:val="en-NZ"/>
        </w:rPr>
        <w:t xml:space="preserve"> this regulatory impact assessment will analyse all options.</w:t>
      </w:r>
    </w:p>
    <w:p w14:paraId="3D3FC0E8" w14:textId="30516042" w:rsidR="000838A3" w:rsidRPr="000838A3" w:rsidRDefault="000838A3" w:rsidP="00A73973">
      <w:pPr>
        <w:pStyle w:val="ListParagraph"/>
        <w:numPr>
          <w:ilvl w:val="0"/>
          <w:numId w:val="39"/>
        </w:numPr>
        <w:ind w:hanging="644"/>
        <w:jc w:val="both"/>
        <w:rPr>
          <w:lang w:val="en-NZ"/>
        </w:rPr>
      </w:pPr>
      <w:r w:rsidRPr="000838A3">
        <w:rPr>
          <w:lang w:val="en-NZ"/>
        </w:rPr>
        <w:t xml:space="preserve">This assessment focuses on possible changes to the tax system to address housing affordability. We acknowledge that non-tax measures have been recently implemented or are being considered but analysis </w:t>
      </w:r>
      <w:r w:rsidR="000B041F">
        <w:rPr>
          <w:lang w:val="en-NZ"/>
        </w:rPr>
        <w:t xml:space="preserve">of such options </w:t>
      </w:r>
      <w:r w:rsidRPr="000838A3">
        <w:rPr>
          <w:lang w:val="en-NZ"/>
        </w:rPr>
        <w:t xml:space="preserve">will not form part of this assessment. </w:t>
      </w:r>
    </w:p>
    <w:p w14:paraId="0F6FCE9D" w14:textId="20544666" w:rsidR="00570E3F" w:rsidRPr="00A864A5" w:rsidRDefault="00570E3F" w:rsidP="00273FD3">
      <w:pPr>
        <w:pStyle w:val="Heading4"/>
        <w:jc w:val="both"/>
        <w:rPr>
          <w:lang w:val="en-NZ"/>
        </w:rPr>
      </w:pPr>
      <w:r w:rsidRPr="00A864A5">
        <w:rPr>
          <w:lang w:val="en-NZ"/>
        </w:rPr>
        <w:t xml:space="preserve">Option </w:t>
      </w:r>
      <w:r w:rsidR="005A0FA4">
        <w:rPr>
          <w:lang w:val="en-NZ"/>
        </w:rPr>
        <w:t>1</w:t>
      </w:r>
      <w:r w:rsidRPr="00A864A5">
        <w:rPr>
          <w:lang w:val="en-NZ"/>
        </w:rPr>
        <w:t xml:space="preserve"> –</w:t>
      </w:r>
      <w:r w:rsidR="008D497D">
        <w:rPr>
          <w:lang w:val="en-NZ"/>
        </w:rPr>
        <w:t xml:space="preserve"> </w:t>
      </w:r>
      <w:r w:rsidR="008D66A0">
        <w:rPr>
          <w:lang w:val="en-NZ"/>
        </w:rPr>
        <w:t>deny interest deductions for residential investment property</w:t>
      </w:r>
    </w:p>
    <w:p w14:paraId="2CE6058D" w14:textId="5AF1FBFD" w:rsidR="00570E3F" w:rsidRDefault="005A0FA4" w:rsidP="00390F88">
      <w:pPr>
        <w:pStyle w:val="ListParagraph"/>
        <w:numPr>
          <w:ilvl w:val="0"/>
          <w:numId w:val="39"/>
        </w:numPr>
        <w:ind w:hanging="644"/>
        <w:jc w:val="both"/>
        <w:rPr>
          <w:lang w:val="en-NZ"/>
        </w:rPr>
      </w:pPr>
      <w:r>
        <w:rPr>
          <w:lang w:val="en-NZ"/>
        </w:rPr>
        <w:t>Option 1</w:t>
      </w:r>
      <w:r w:rsidR="00996BC7">
        <w:rPr>
          <w:lang w:val="en-NZ"/>
        </w:rPr>
        <w:t xml:space="preserve"> would deny deduction</w:t>
      </w:r>
      <w:r w:rsidR="00606CA2">
        <w:rPr>
          <w:lang w:val="en-NZ"/>
        </w:rPr>
        <w:t>s</w:t>
      </w:r>
      <w:r w:rsidR="00996BC7">
        <w:rPr>
          <w:lang w:val="en-NZ"/>
        </w:rPr>
        <w:t xml:space="preserve"> for interest expenditure incurred</w:t>
      </w:r>
      <w:r w:rsidR="00606CA2">
        <w:rPr>
          <w:lang w:val="en-NZ"/>
        </w:rPr>
        <w:t xml:space="preserve"> in deriving </w:t>
      </w:r>
      <w:r w:rsidR="00383FA0">
        <w:rPr>
          <w:lang w:val="en-NZ"/>
        </w:rPr>
        <w:t>income from rental property</w:t>
      </w:r>
      <w:r w:rsidR="00F428F3">
        <w:rPr>
          <w:lang w:val="en-NZ"/>
        </w:rPr>
        <w:t xml:space="preserve">. </w:t>
      </w:r>
      <w:r w:rsidR="002E4DBE">
        <w:rPr>
          <w:lang w:val="en-NZ"/>
        </w:rPr>
        <w:t>In general, the proposals will apply to interest on debt used to purchase or operate residential investment property</w:t>
      </w:r>
      <w:r w:rsidR="00981475">
        <w:rPr>
          <w:lang w:val="en-NZ"/>
        </w:rPr>
        <w:t xml:space="preserve">, which is primarily residential property rented to tenants. </w:t>
      </w:r>
    </w:p>
    <w:p w14:paraId="71A7EF60" w14:textId="428CF900" w:rsidR="00981475" w:rsidRDefault="00F5134F" w:rsidP="00390F88">
      <w:pPr>
        <w:pStyle w:val="ListParagraph"/>
        <w:numPr>
          <w:ilvl w:val="0"/>
          <w:numId w:val="39"/>
        </w:numPr>
        <w:ind w:hanging="644"/>
        <w:jc w:val="both"/>
        <w:rPr>
          <w:lang w:val="en-NZ"/>
        </w:rPr>
      </w:pPr>
      <w:r>
        <w:rPr>
          <w:lang w:val="en-NZ"/>
        </w:rPr>
        <w:t>A range of</w:t>
      </w:r>
      <w:r w:rsidR="00CB0AE9">
        <w:rPr>
          <w:lang w:val="en-NZ"/>
        </w:rPr>
        <w:t xml:space="preserve"> residenti</w:t>
      </w:r>
      <w:r w:rsidR="00680263">
        <w:rPr>
          <w:lang w:val="en-NZ"/>
        </w:rPr>
        <w:t>al investment</w:t>
      </w:r>
      <w:r>
        <w:rPr>
          <w:lang w:val="en-NZ"/>
        </w:rPr>
        <w:t xml:space="preserve"> property</w:t>
      </w:r>
      <w:r w:rsidR="00B34D14">
        <w:rPr>
          <w:lang w:val="en-NZ"/>
        </w:rPr>
        <w:t xml:space="preserve"> would</w:t>
      </w:r>
      <w:r w:rsidR="00577C07">
        <w:rPr>
          <w:lang w:val="en-NZ"/>
        </w:rPr>
        <w:t xml:space="preserve"> be</w:t>
      </w:r>
      <w:r w:rsidR="00B34D14">
        <w:rPr>
          <w:lang w:val="en-NZ"/>
        </w:rPr>
        <w:t xml:space="preserve"> e</w:t>
      </w:r>
      <w:r w:rsidR="00694FCA">
        <w:rPr>
          <w:lang w:val="en-NZ"/>
        </w:rPr>
        <w:t xml:space="preserve">xcluded from the proposal, </w:t>
      </w:r>
      <w:r w:rsidR="00CB0AE9">
        <w:rPr>
          <w:lang w:val="en-NZ"/>
        </w:rPr>
        <w:t>including</w:t>
      </w:r>
      <w:r w:rsidR="004C12A7">
        <w:rPr>
          <w:lang w:val="en-NZ"/>
        </w:rPr>
        <w:t>:</w:t>
      </w:r>
      <w:r w:rsidR="00BF5C8D">
        <w:rPr>
          <w:lang w:val="en-NZ"/>
        </w:rPr>
        <w:t xml:space="preserve"> </w:t>
      </w:r>
    </w:p>
    <w:p w14:paraId="33D14F95" w14:textId="35199B9D" w:rsidR="00E34655" w:rsidRDefault="00E34655" w:rsidP="00390F88">
      <w:pPr>
        <w:pStyle w:val="ListParagraph"/>
        <w:numPr>
          <w:ilvl w:val="1"/>
          <w:numId w:val="39"/>
        </w:numPr>
        <w:ind w:left="1418" w:hanging="425"/>
        <w:jc w:val="both"/>
        <w:rPr>
          <w:lang w:val="en-NZ"/>
        </w:rPr>
      </w:pPr>
      <w:r>
        <w:rPr>
          <w:lang w:val="en-NZ"/>
        </w:rPr>
        <w:t>land held by property developers;</w:t>
      </w:r>
    </w:p>
    <w:p w14:paraId="65CC78D0" w14:textId="63A7B4D6" w:rsidR="00CB0AE9" w:rsidRDefault="00CB0AE9" w:rsidP="00390F88">
      <w:pPr>
        <w:pStyle w:val="ListParagraph"/>
        <w:numPr>
          <w:ilvl w:val="1"/>
          <w:numId w:val="39"/>
        </w:numPr>
        <w:ind w:left="1418" w:hanging="425"/>
        <w:jc w:val="both"/>
        <w:rPr>
          <w:lang w:val="en-NZ"/>
        </w:rPr>
      </w:pPr>
      <w:r>
        <w:rPr>
          <w:lang w:val="en-NZ"/>
        </w:rPr>
        <w:t>land outside New Zealand;</w:t>
      </w:r>
    </w:p>
    <w:p w14:paraId="4714537B" w14:textId="23DDDEF6" w:rsidR="00680263" w:rsidRPr="00680263" w:rsidRDefault="00680263" w:rsidP="00390F88">
      <w:pPr>
        <w:pStyle w:val="ListParagraph"/>
        <w:numPr>
          <w:ilvl w:val="1"/>
          <w:numId w:val="39"/>
        </w:numPr>
        <w:ind w:left="1418" w:hanging="425"/>
        <w:jc w:val="both"/>
        <w:rPr>
          <w:lang w:val="en-NZ"/>
        </w:rPr>
      </w:pPr>
      <w:r>
        <w:rPr>
          <w:lang w:val="en-NZ"/>
        </w:rPr>
        <w:t>e</w:t>
      </w:r>
      <w:r w:rsidRPr="00680263">
        <w:rPr>
          <w:lang w:val="en-NZ"/>
        </w:rPr>
        <w:t>mployee accommodation</w:t>
      </w:r>
      <w:r>
        <w:rPr>
          <w:lang w:val="en-NZ"/>
        </w:rPr>
        <w:t>;</w:t>
      </w:r>
    </w:p>
    <w:p w14:paraId="71D37C1C" w14:textId="11BF3666" w:rsidR="00680263" w:rsidRPr="00680263" w:rsidRDefault="00680263" w:rsidP="00390F88">
      <w:pPr>
        <w:pStyle w:val="ListParagraph"/>
        <w:numPr>
          <w:ilvl w:val="1"/>
          <w:numId w:val="39"/>
        </w:numPr>
        <w:ind w:left="1418" w:hanging="425"/>
        <w:jc w:val="both"/>
        <w:rPr>
          <w:lang w:val="en-NZ"/>
        </w:rPr>
      </w:pPr>
      <w:r>
        <w:rPr>
          <w:lang w:val="en-NZ"/>
        </w:rPr>
        <w:t>f</w:t>
      </w:r>
      <w:r w:rsidRPr="00680263">
        <w:rPr>
          <w:lang w:val="en-NZ"/>
        </w:rPr>
        <w:t>armland</w:t>
      </w:r>
      <w:r>
        <w:rPr>
          <w:lang w:val="en-NZ"/>
        </w:rPr>
        <w:t>;</w:t>
      </w:r>
    </w:p>
    <w:p w14:paraId="7F5C88DD" w14:textId="0FA45DF5" w:rsidR="00680263" w:rsidRPr="00680263" w:rsidRDefault="00680263" w:rsidP="00390F88">
      <w:pPr>
        <w:pStyle w:val="ListParagraph"/>
        <w:numPr>
          <w:ilvl w:val="1"/>
          <w:numId w:val="39"/>
        </w:numPr>
        <w:ind w:left="1418" w:hanging="425"/>
        <w:jc w:val="both"/>
        <w:rPr>
          <w:lang w:val="en-NZ"/>
        </w:rPr>
      </w:pPr>
      <w:r>
        <w:rPr>
          <w:lang w:val="en-NZ"/>
        </w:rPr>
        <w:t>c</w:t>
      </w:r>
      <w:r w:rsidRPr="00680263">
        <w:rPr>
          <w:lang w:val="en-NZ"/>
        </w:rPr>
        <w:t xml:space="preserve">are facilities </w:t>
      </w:r>
      <w:r w:rsidR="00335ED9">
        <w:rPr>
          <w:lang w:val="en-NZ"/>
        </w:rPr>
        <w:t>(for example</w:t>
      </w:r>
      <w:r w:rsidR="00377303">
        <w:rPr>
          <w:lang w:val="en-NZ"/>
        </w:rPr>
        <w:t>,</w:t>
      </w:r>
      <w:r w:rsidR="00335ED9">
        <w:rPr>
          <w:lang w:val="en-NZ"/>
        </w:rPr>
        <w:t xml:space="preserve"> </w:t>
      </w:r>
      <w:r w:rsidRPr="00680263">
        <w:rPr>
          <w:lang w:val="en-NZ"/>
        </w:rPr>
        <w:t>hospitals, convalescent homes, nursing homes,</w:t>
      </w:r>
      <w:r>
        <w:rPr>
          <w:lang w:val="en-NZ"/>
        </w:rPr>
        <w:t xml:space="preserve"> </w:t>
      </w:r>
      <w:r w:rsidRPr="00680263">
        <w:rPr>
          <w:lang w:val="en-NZ"/>
        </w:rPr>
        <w:t>and hospices</w:t>
      </w:r>
      <w:r w:rsidR="00335ED9">
        <w:rPr>
          <w:lang w:val="en-NZ"/>
        </w:rPr>
        <w:t>)</w:t>
      </w:r>
      <w:r>
        <w:rPr>
          <w:lang w:val="en-NZ"/>
        </w:rPr>
        <w:t>;</w:t>
      </w:r>
    </w:p>
    <w:p w14:paraId="19AB6F05" w14:textId="4043274A" w:rsidR="00680263" w:rsidRPr="00FE3E7F" w:rsidRDefault="00680263" w:rsidP="00390F88">
      <w:pPr>
        <w:pStyle w:val="ListParagraph"/>
        <w:numPr>
          <w:ilvl w:val="1"/>
          <w:numId w:val="39"/>
        </w:numPr>
        <w:ind w:left="1418" w:hanging="425"/>
        <w:jc w:val="both"/>
        <w:rPr>
          <w:lang w:val="en-NZ"/>
        </w:rPr>
      </w:pPr>
      <w:r>
        <w:rPr>
          <w:lang w:val="en-NZ"/>
        </w:rPr>
        <w:t>c</w:t>
      </w:r>
      <w:r w:rsidRPr="00680263">
        <w:rPr>
          <w:lang w:val="en-NZ"/>
        </w:rPr>
        <w:t xml:space="preserve">ommercial accommodation </w:t>
      </w:r>
      <w:r w:rsidR="00335ED9">
        <w:rPr>
          <w:lang w:val="en-NZ"/>
        </w:rPr>
        <w:t xml:space="preserve">(for example, </w:t>
      </w:r>
      <w:r w:rsidRPr="00680263">
        <w:rPr>
          <w:lang w:val="en-NZ"/>
        </w:rPr>
        <w:t>hotels</w:t>
      </w:r>
      <w:r w:rsidR="00335ED9">
        <w:rPr>
          <w:lang w:val="en-NZ"/>
        </w:rPr>
        <w:t xml:space="preserve"> and </w:t>
      </w:r>
      <w:r w:rsidRPr="00680263">
        <w:rPr>
          <w:lang w:val="en-NZ"/>
        </w:rPr>
        <w:t>motels</w:t>
      </w:r>
      <w:r w:rsidR="00335ED9">
        <w:rPr>
          <w:lang w:val="en-NZ"/>
        </w:rPr>
        <w:t>)</w:t>
      </w:r>
      <w:r w:rsidR="00165E1C" w:rsidRPr="00FE3E7F">
        <w:rPr>
          <w:lang w:val="en-NZ"/>
        </w:rPr>
        <w:t xml:space="preserve">; </w:t>
      </w:r>
      <w:r w:rsidRPr="00FE3E7F">
        <w:rPr>
          <w:lang w:val="en-NZ"/>
        </w:rPr>
        <w:t>and</w:t>
      </w:r>
    </w:p>
    <w:p w14:paraId="6F5A27AA" w14:textId="01E1E9F4" w:rsidR="00CB0AE9" w:rsidRDefault="00680263" w:rsidP="00390F88">
      <w:pPr>
        <w:pStyle w:val="ListParagraph"/>
        <w:numPr>
          <w:ilvl w:val="1"/>
          <w:numId w:val="39"/>
        </w:numPr>
        <w:ind w:left="1418" w:hanging="425"/>
        <w:jc w:val="both"/>
        <w:rPr>
          <w:lang w:val="en-NZ"/>
        </w:rPr>
      </w:pPr>
      <w:r>
        <w:rPr>
          <w:lang w:val="en-NZ"/>
        </w:rPr>
        <w:t>r</w:t>
      </w:r>
      <w:r w:rsidRPr="00680263">
        <w:rPr>
          <w:lang w:val="en-NZ"/>
        </w:rPr>
        <w:t>etirement villages and rest homes</w:t>
      </w:r>
      <w:r>
        <w:rPr>
          <w:lang w:val="en-NZ"/>
        </w:rPr>
        <w:t>.</w:t>
      </w:r>
    </w:p>
    <w:p w14:paraId="2D68ED73" w14:textId="03025B3F" w:rsidR="007E6A27" w:rsidRDefault="00B60F14" w:rsidP="00390F88">
      <w:pPr>
        <w:pStyle w:val="ListParagraph"/>
        <w:numPr>
          <w:ilvl w:val="0"/>
          <w:numId w:val="39"/>
        </w:numPr>
        <w:ind w:left="930" w:hanging="646"/>
        <w:jc w:val="both"/>
        <w:rPr>
          <w:lang w:val="en-NZ"/>
        </w:rPr>
      </w:pPr>
      <w:r>
        <w:rPr>
          <w:b/>
          <w:bCs/>
          <w:lang w:val="en-NZ"/>
        </w:rPr>
        <w:t>Consultation</w:t>
      </w:r>
      <w:r w:rsidRPr="00B60F14">
        <w:rPr>
          <w:lang w:val="en-NZ"/>
        </w:rPr>
        <w:t xml:space="preserve">: </w:t>
      </w:r>
      <w:r w:rsidR="003A712E" w:rsidRPr="00B60F14">
        <w:rPr>
          <w:lang w:val="en-NZ"/>
        </w:rPr>
        <w:t>S</w:t>
      </w:r>
      <w:r w:rsidR="003A712E">
        <w:rPr>
          <w:lang w:val="en-NZ"/>
        </w:rPr>
        <w:t>takeholder support is low for this option. Most submitters to the Government’s discussion document opposed t</w:t>
      </w:r>
      <w:r w:rsidR="00350201">
        <w:rPr>
          <w:lang w:val="en-NZ"/>
        </w:rPr>
        <w:t>he general proposal to limit interest deductions. Further</w:t>
      </w:r>
      <w:r w:rsidR="00C54EA4">
        <w:rPr>
          <w:lang w:val="en-NZ"/>
        </w:rPr>
        <w:t>,</w:t>
      </w:r>
      <w:r w:rsidR="00350201">
        <w:rPr>
          <w:lang w:val="en-NZ"/>
        </w:rPr>
        <w:t xml:space="preserve"> they </w:t>
      </w:r>
      <w:r w:rsidR="00630238">
        <w:rPr>
          <w:lang w:val="en-NZ"/>
        </w:rPr>
        <w:t>consider</w:t>
      </w:r>
      <w:r w:rsidR="00350201">
        <w:rPr>
          <w:lang w:val="en-NZ"/>
        </w:rPr>
        <w:t xml:space="preserve"> that </w:t>
      </w:r>
      <w:r w:rsidR="00240EA8">
        <w:rPr>
          <w:lang w:val="en-NZ"/>
        </w:rPr>
        <w:t>a range of exclusions to the proposal ought to be included</w:t>
      </w:r>
      <w:r w:rsidR="0044324F">
        <w:rPr>
          <w:lang w:val="en-NZ"/>
        </w:rPr>
        <w:t xml:space="preserve"> (such as a new build exemption) </w:t>
      </w:r>
      <w:r w:rsidR="00A25DE5">
        <w:rPr>
          <w:lang w:val="en-NZ"/>
        </w:rPr>
        <w:t>generally arguing that removing interest deductibility from various types of housing would not further the Government’s objectives</w:t>
      </w:r>
      <w:r w:rsidR="007E0291">
        <w:rPr>
          <w:lang w:val="en-NZ"/>
        </w:rPr>
        <w:t xml:space="preserve">. </w:t>
      </w:r>
      <w:r w:rsidR="007E6A27">
        <w:rPr>
          <w:lang w:val="en-NZ"/>
        </w:rPr>
        <w:t>Variations to the proposal were put forward by submitters, including only denying 50</w:t>
      </w:r>
      <w:r w:rsidR="007316BC">
        <w:rPr>
          <w:lang w:val="en-NZ"/>
        </w:rPr>
        <w:t xml:space="preserve"> percent</w:t>
      </w:r>
      <w:r w:rsidR="007E6A27">
        <w:rPr>
          <w:lang w:val="en-NZ"/>
        </w:rPr>
        <w:t xml:space="preserve"> of deductions, and changes to the proposal’s application date.</w:t>
      </w:r>
    </w:p>
    <w:p w14:paraId="52D8E405" w14:textId="3E4EE5B2" w:rsidR="00CF3C68" w:rsidRDefault="00466CCD" w:rsidP="00390F88">
      <w:pPr>
        <w:pStyle w:val="ListParagraph"/>
        <w:numPr>
          <w:ilvl w:val="0"/>
          <w:numId w:val="39"/>
        </w:numPr>
        <w:ind w:left="930" w:hanging="646"/>
        <w:jc w:val="both"/>
        <w:rPr>
          <w:lang w:val="en-NZ"/>
        </w:rPr>
      </w:pPr>
      <w:r>
        <w:rPr>
          <w:lang w:val="en-NZ"/>
        </w:rPr>
        <w:t xml:space="preserve">A </w:t>
      </w:r>
      <w:r w:rsidR="007E0291">
        <w:rPr>
          <w:lang w:val="en-NZ"/>
        </w:rPr>
        <w:t xml:space="preserve">range of submissions </w:t>
      </w:r>
      <w:r>
        <w:rPr>
          <w:lang w:val="en-NZ"/>
        </w:rPr>
        <w:t>were made</w:t>
      </w:r>
      <w:r w:rsidR="007E0291">
        <w:rPr>
          <w:lang w:val="en-NZ"/>
        </w:rPr>
        <w:t xml:space="preserve"> </w:t>
      </w:r>
      <w:r w:rsidR="00B66F5C">
        <w:rPr>
          <w:lang w:val="en-NZ"/>
        </w:rPr>
        <w:t xml:space="preserve">to exempt (to varying extents) </w:t>
      </w:r>
      <w:r w:rsidR="008B46A5">
        <w:rPr>
          <w:lang w:val="en-NZ"/>
        </w:rPr>
        <w:t xml:space="preserve">specific </w:t>
      </w:r>
      <w:r w:rsidR="00B66F5C">
        <w:rPr>
          <w:lang w:val="en-NZ"/>
        </w:rPr>
        <w:t xml:space="preserve">types of housing, </w:t>
      </w:r>
      <w:r w:rsidR="00667A1D">
        <w:rPr>
          <w:lang w:val="en-NZ"/>
        </w:rPr>
        <w:t>includ</w:t>
      </w:r>
      <w:r w:rsidR="00B66F5C">
        <w:rPr>
          <w:lang w:val="en-NZ"/>
        </w:rPr>
        <w:t>ing</w:t>
      </w:r>
      <w:r w:rsidR="00667A1D">
        <w:rPr>
          <w:lang w:val="en-NZ"/>
        </w:rPr>
        <w:t xml:space="preserve"> private student accommodation, properties with multiple dwellings on a single title, </w:t>
      </w:r>
      <w:r w:rsidR="007E0291">
        <w:rPr>
          <w:lang w:val="en-NZ"/>
        </w:rPr>
        <w:t>purpose</w:t>
      </w:r>
      <w:r w:rsidR="003B7467">
        <w:rPr>
          <w:lang w:val="en-NZ"/>
        </w:rPr>
        <w:t>-</w:t>
      </w:r>
      <w:r w:rsidR="007E0291">
        <w:rPr>
          <w:lang w:val="en-NZ"/>
        </w:rPr>
        <w:t>built rentals, dual purpose buildings</w:t>
      </w:r>
      <w:r w:rsidR="00B66F5C">
        <w:rPr>
          <w:lang w:val="en-NZ"/>
        </w:rPr>
        <w:t xml:space="preserve">, </w:t>
      </w:r>
      <w:r w:rsidR="008A1629">
        <w:rPr>
          <w:lang w:val="en-NZ"/>
        </w:rPr>
        <w:t xml:space="preserve">and short-stay accommodation. </w:t>
      </w:r>
      <w:r w:rsidR="009D4F4F">
        <w:rPr>
          <w:lang w:val="en-NZ"/>
        </w:rPr>
        <w:t>Submissions on</w:t>
      </w:r>
      <w:r w:rsidR="009C3461">
        <w:rPr>
          <w:lang w:val="en-NZ"/>
        </w:rPr>
        <w:t xml:space="preserve"> the proposal to exempt </w:t>
      </w:r>
      <w:r w:rsidR="0044324F" w:rsidRPr="0044324F">
        <w:rPr>
          <w:lang w:val="en-NZ"/>
        </w:rPr>
        <w:t xml:space="preserve">Māori communal housing </w:t>
      </w:r>
      <w:r w:rsidR="002624BC">
        <w:rPr>
          <w:lang w:val="en-NZ"/>
        </w:rPr>
        <w:t>(</w:t>
      </w:r>
      <w:r w:rsidR="0044324F" w:rsidRPr="0044324F">
        <w:rPr>
          <w:lang w:val="en-NZ"/>
        </w:rPr>
        <w:t>such as papakāinga housing</w:t>
      </w:r>
      <w:r w:rsidR="002624BC">
        <w:rPr>
          <w:lang w:val="en-NZ"/>
        </w:rPr>
        <w:t>)</w:t>
      </w:r>
      <w:r w:rsidR="0044324F" w:rsidRPr="0044324F">
        <w:rPr>
          <w:lang w:val="en-NZ"/>
        </w:rPr>
        <w:t xml:space="preserve"> were mostly in favour</w:t>
      </w:r>
      <w:r w:rsidR="0044324F">
        <w:rPr>
          <w:lang w:val="en-NZ"/>
        </w:rPr>
        <w:t>.</w:t>
      </w:r>
    </w:p>
    <w:p w14:paraId="4DE8325D" w14:textId="51EAE484" w:rsidR="007316BC" w:rsidRDefault="00AF1A94" w:rsidP="00390F88">
      <w:pPr>
        <w:pStyle w:val="ListParagraph"/>
        <w:numPr>
          <w:ilvl w:val="0"/>
          <w:numId w:val="39"/>
        </w:numPr>
        <w:ind w:left="930" w:hanging="646"/>
        <w:jc w:val="both"/>
        <w:rPr>
          <w:lang w:val="en-NZ"/>
        </w:rPr>
      </w:pPr>
      <w:r>
        <w:rPr>
          <w:lang w:val="en-NZ"/>
        </w:rPr>
        <w:t xml:space="preserve">Submitters generally favoured some form of exclusion for </w:t>
      </w:r>
      <w:r w:rsidR="00DE5294">
        <w:rPr>
          <w:lang w:val="en-NZ"/>
        </w:rPr>
        <w:t>widely-held</w:t>
      </w:r>
      <w:r>
        <w:rPr>
          <w:lang w:val="en-NZ"/>
        </w:rPr>
        <w:t xml:space="preserve"> companies</w:t>
      </w:r>
      <w:r w:rsidR="00B354CC">
        <w:rPr>
          <w:lang w:val="en-NZ"/>
        </w:rPr>
        <w:t>. This</w:t>
      </w:r>
      <w:r w:rsidR="007316BC">
        <w:rPr>
          <w:lang w:val="en-NZ"/>
        </w:rPr>
        <w:t xml:space="preserve"> includ</w:t>
      </w:r>
      <w:r w:rsidR="00AD2237">
        <w:rPr>
          <w:lang w:val="en-NZ"/>
        </w:rPr>
        <w:t>ed</w:t>
      </w:r>
      <w:r w:rsidR="007316BC">
        <w:rPr>
          <w:lang w:val="en-NZ"/>
        </w:rPr>
        <w:t xml:space="preserve"> </w:t>
      </w:r>
      <w:r w:rsidR="00AD2237">
        <w:rPr>
          <w:lang w:val="en-NZ"/>
        </w:rPr>
        <w:t>support for</w:t>
      </w:r>
      <w:r w:rsidR="007316BC">
        <w:rPr>
          <w:lang w:val="en-NZ"/>
        </w:rPr>
        <w:t xml:space="preserve"> an exclusion for </w:t>
      </w:r>
      <w:r w:rsidR="0062674E">
        <w:rPr>
          <w:lang w:val="en-NZ"/>
        </w:rPr>
        <w:t xml:space="preserve">a company </w:t>
      </w:r>
      <w:r w:rsidR="007316BC">
        <w:rPr>
          <w:lang w:val="en-NZ"/>
        </w:rPr>
        <w:t>that</w:t>
      </w:r>
      <w:r w:rsidR="008503D2">
        <w:rPr>
          <w:lang w:val="en-NZ"/>
        </w:rPr>
        <w:t xml:space="preserve"> </w:t>
      </w:r>
      <w:r w:rsidR="0062674E">
        <w:rPr>
          <w:lang w:val="en-NZ"/>
        </w:rPr>
        <w:t>is</w:t>
      </w:r>
      <w:r w:rsidR="007316BC">
        <w:rPr>
          <w:lang w:val="en-NZ"/>
        </w:rPr>
        <w:t>,</w:t>
      </w:r>
      <w:r w:rsidR="0062674E">
        <w:rPr>
          <w:lang w:val="en-NZ"/>
        </w:rPr>
        <w:t xml:space="preserve"> </w:t>
      </w:r>
      <w:r w:rsidR="00260CCC">
        <w:rPr>
          <w:lang w:val="en-NZ"/>
        </w:rPr>
        <w:t>or is owned by</w:t>
      </w:r>
      <w:r w:rsidR="007316BC">
        <w:rPr>
          <w:lang w:val="en-NZ"/>
        </w:rPr>
        <w:t>,</w:t>
      </w:r>
      <w:r w:rsidR="0062674E">
        <w:rPr>
          <w:lang w:val="en-NZ"/>
        </w:rPr>
        <w:t xml:space="preserve"> a </w:t>
      </w:r>
      <w:r w:rsidR="00E45D9D" w:rsidRPr="00E45D9D">
        <w:rPr>
          <w:lang w:val="en-NZ"/>
        </w:rPr>
        <w:t>Māori authorit</w:t>
      </w:r>
      <w:r w:rsidR="00E45D9D">
        <w:rPr>
          <w:lang w:val="en-NZ"/>
        </w:rPr>
        <w:t>y</w:t>
      </w:r>
      <w:r w:rsidR="008503D2">
        <w:rPr>
          <w:lang w:val="en-NZ"/>
        </w:rPr>
        <w:t xml:space="preserve"> </w:t>
      </w:r>
      <w:r w:rsidR="00E45D9D">
        <w:rPr>
          <w:lang w:val="en-NZ"/>
        </w:rPr>
        <w:t xml:space="preserve">(given that </w:t>
      </w:r>
      <w:r w:rsidR="001D7B50">
        <w:rPr>
          <w:lang w:val="en-NZ"/>
        </w:rPr>
        <w:t xml:space="preserve">such </w:t>
      </w:r>
      <w:r w:rsidR="00E45D9D">
        <w:rPr>
          <w:lang w:val="en-NZ"/>
        </w:rPr>
        <w:t xml:space="preserve">a company </w:t>
      </w:r>
      <w:r w:rsidR="007316BC">
        <w:rPr>
          <w:lang w:val="en-NZ"/>
        </w:rPr>
        <w:t xml:space="preserve">would </w:t>
      </w:r>
      <w:r w:rsidR="0051013A">
        <w:rPr>
          <w:lang w:val="en-NZ"/>
        </w:rPr>
        <w:t xml:space="preserve">generally </w:t>
      </w:r>
      <w:r w:rsidR="007316BC">
        <w:rPr>
          <w:lang w:val="en-NZ"/>
        </w:rPr>
        <w:t xml:space="preserve">not be widely-held as the shares </w:t>
      </w:r>
      <w:r w:rsidR="001A6B5F">
        <w:rPr>
          <w:lang w:val="en-NZ"/>
        </w:rPr>
        <w:t xml:space="preserve">are often </w:t>
      </w:r>
      <w:r w:rsidR="007316BC">
        <w:rPr>
          <w:lang w:val="en-NZ"/>
        </w:rPr>
        <w:t>held by a small number of trustees for the benefit of a wider group).</w:t>
      </w:r>
    </w:p>
    <w:p w14:paraId="4A7667BA" w14:textId="6D651903" w:rsidR="00514C1B" w:rsidRDefault="00F43646" w:rsidP="00390F88">
      <w:pPr>
        <w:pStyle w:val="ListParagraph"/>
        <w:numPr>
          <w:ilvl w:val="0"/>
          <w:numId w:val="39"/>
        </w:numPr>
        <w:ind w:left="930" w:hanging="646"/>
        <w:jc w:val="both"/>
        <w:rPr>
          <w:lang w:val="en-NZ"/>
        </w:rPr>
      </w:pPr>
      <w:r w:rsidRPr="007D4A52">
        <w:rPr>
          <w:lang w:val="en-NZ"/>
        </w:rPr>
        <w:t xml:space="preserve">Submitters were mixed as to whether Kāinga Ora and its subsidiaries should be excluded from the rules. </w:t>
      </w:r>
      <w:r w:rsidR="00514C1B" w:rsidRPr="007D4A52">
        <w:rPr>
          <w:lang w:val="en-NZ"/>
        </w:rPr>
        <w:t>The majority of submitters wanted an exclusion for public or community housing. Some wanted an exclusion to apply on a property basis (as opposed to an entity basis), while others wanted an exemption for registered community housing providers or council-controlled organisations that provide community housing. Some submitters wanted exclusions for certain types of Māori entities (for example, Māori authorities or mandated iwi organisations).</w:t>
      </w:r>
    </w:p>
    <w:p w14:paraId="7E77E4EF" w14:textId="03133818" w:rsidR="00A93E38" w:rsidRDefault="00A93E38" w:rsidP="00390F88">
      <w:pPr>
        <w:pStyle w:val="ListParagraph"/>
        <w:numPr>
          <w:ilvl w:val="0"/>
          <w:numId w:val="39"/>
        </w:numPr>
        <w:ind w:left="930" w:hanging="646"/>
        <w:jc w:val="both"/>
        <w:rPr>
          <w:lang w:val="en-NZ"/>
        </w:rPr>
      </w:pPr>
      <w:r w:rsidRPr="00600213">
        <w:rPr>
          <w:lang w:val="en-NZ"/>
        </w:rPr>
        <w:t xml:space="preserve">Submitters were supportive of </w:t>
      </w:r>
      <w:r w:rsidR="00A263E2">
        <w:rPr>
          <w:lang w:val="en-NZ"/>
        </w:rPr>
        <w:t xml:space="preserve">the </w:t>
      </w:r>
      <w:r w:rsidRPr="00600213">
        <w:rPr>
          <w:lang w:val="en-NZ"/>
        </w:rPr>
        <w:t>exemption</w:t>
      </w:r>
      <w:r>
        <w:rPr>
          <w:lang w:val="en-NZ"/>
        </w:rPr>
        <w:t xml:space="preserve"> for property developers</w:t>
      </w:r>
      <w:r w:rsidR="00A263E2">
        <w:rPr>
          <w:lang w:val="en-NZ"/>
        </w:rPr>
        <w:t xml:space="preserve">. </w:t>
      </w:r>
      <w:r>
        <w:rPr>
          <w:lang w:val="en-NZ"/>
        </w:rPr>
        <w:t xml:space="preserve">There were mixed views </w:t>
      </w:r>
      <w:r w:rsidRPr="007377BF">
        <w:rPr>
          <w:lang w:val="en-NZ"/>
        </w:rPr>
        <w:t xml:space="preserve">as to </w:t>
      </w:r>
      <w:r>
        <w:rPr>
          <w:lang w:val="en-NZ"/>
        </w:rPr>
        <w:t>the range of activities and persons who would qualify for the property development exemption.</w:t>
      </w:r>
    </w:p>
    <w:p w14:paraId="679634FE" w14:textId="4835EE3D" w:rsidR="00581AED" w:rsidRPr="004D3D37" w:rsidRDefault="00A25D81" w:rsidP="00390F88">
      <w:pPr>
        <w:pStyle w:val="ListParagraph"/>
        <w:numPr>
          <w:ilvl w:val="0"/>
          <w:numId w:val="39"/>
        </w:numPr>
        <w:ind w:left="930" w:hanging="646"/>
        <w:jc w:val="both"/>
        <w:rPr>
          <w:lang w:val="en-NZ"/>
        </w:rPr>
      </w:pPr>
      <w:r>
        <w:rPr>
          <w:lang w:val="en-NZ"/>
        </w:rPr>
        <w:t xml:space="preserve">Of submitters who commented on the administration of the </w:t>
      </w:r>
      <w:r w:rsidR="001B7445">
        <w:rPr>
          <w:lang w:val="en-NZ"/>
        </w:rPr>
        <w:t xml:space="preserve">proposal, </w:t>
      </w:r>
      <w:r w:rsidR="00BB2680">
        <w:rPr>
          <w:lang w:val="en-NZ"/>
        </w:rPr>
        <w:t>their main concern was</w:t>
      </w:r>
      <w:r w:rsidR="00581AED" w:rsidRPr="00581AED">
        <w:rPr>
          <w:lang w:val="en-NZ"/>
        </w:rPr>
        <w:t xml:space="preserve"> increased compliance costs. Some submitters agreed there may be some need for taxpayers to provide additional information to Inland Revenue. Other submitters were against additional information requirements </w:t>
      </w:r>
      <w:r w:rsidR="00EA6D82">
        <w:rPr>
          <w:lang w:val="en-NZ"/>
        </w:rPr>
        <w:t>because</w:t>
      </w:r>
      <w:r w:rsidR="00581AED" w:rsidRPr="00581AED">
        <w:rPr>
          <w:lang w:val="en-NZ"/>
        </w:rPr>
        <w:t xml:space="preserve"> self-assessment and existing record-keeping rules already require taxpayers to retain relevant information.</w:t>
      </w:r>
    </w:p>
    <w:p w14:paraId="5A449DE0" w14:textId="58017067" w:rsidR="008D7BEC" w:rsidRPr="003D3AFE" w:rsidRDefault="004567D6" w:rsidP="00390F88">
      <w:pPr>
        <w:pStyle w:val="ListParagraph"/>
        <w:numPr>
          <w:ilvl w:val="0"/>
          <w:numId w:val="39"/>
        </w:numPr>
        <w:ind w:left="930" w:hanging="646"/>
        <w:jc w:val="both"/>
        <w:rPr>
          <w:rFonts w:eastAsia="Calibri" w:cs="Arial"/>
          <w:szCs w:val="22"/>
          <w:lang w:eastAsia="en-NZ"/>
        </w:rPr>
      </w:pPr>
      <w:r w:rsidRPr="00793ACF">
        <w:rPr>
          <w:b/>
          <w:bCs/>
        </w:rPr>
        <w:t>Improves housing affordability for first-home buyers</w:t>
      </w:r>
      <w:r w:rsidRPr="00793ACF">
        <w:t>:</w:t>
      </w:r>
      <w:r w:rsidR="00793ACF">
        <w:t xml:space="preserve"> </w:t>
      </w:r>
      <w:r w:rsidR="00375448" w:rsidRPr="00C7681B">
        <w:rPr>
          <w:rFonts w:eastAsia="Calibri" w:cs="Arial"/>
          <w:szCs w:val="22"/>
          <w:lang w:eastAsia="en-NZ"/>
        </w:rPr>
        <w:t xml:space="preserve">Limiting interest deductibility could potentially help meet some of </w:t>
      </w:r>
      <w:r w:rsidR="000E4EBC">
        <w:rPr>
          <w:rFonts w:eastAsia="Calibri" w:cs="Arial"/>
          <w:szCs w:val="22"/>
          <w:lang w:eastAsia="en-NZ"/>
        </w:rPr>
        <w:t>the Government’s</w:t>
      </w:r>
      <w:r w:rsidR="00375448" w:rsidRPr="00C7681B">
        <w:rPr>
          <w:rFonts w:eastAsia="Calibri" w:cs="Arial"/>
          <w:szCs w:val="22"/>
          <w:lang w:eastAsia="en-NZ"/>
        </w:rPr>
        <w:t xml:space="preserve"> housing market objectives. </w:t>
      </w:r>
      <w:r w:rsidR="002E154C" w:rsidRPr="002E154C">
        <w:rPr>
          <w:szCs w:val="22"/>
        </w:rPr>
        <w:t xml:space="preserve">Denying interest deductions for residential investment property would increase the tax cost of investment property compared to the status quo. All else being equal, this would put downward pressure on demand and therefore on property prices. </w:t>
      </w:r>
      <w:r w:rsidR="000C39E7">
        <w:rPr>
          <w:szCs w:val="22"/>
        </w:rPr>
        <w:t xml:space="preserve">Further, </w:t>
      </w:r>
      <w:r w:rsidR="00A83B73">
        <w:rPr>
          <w:szCs w:val="22"/>
        </w:rPr>
        <w:t>some investors may choose to sell their residential investment properties</w:t>
      </w:r>
      <w:r w:rsidR="009F5BB2">
        <w:rPr>
          <w:szCs w:val="22"/>
        </w:rPr>
        <w:t xml:space="preserve"> given the lower return on those properties</w:t>
      </w:r>
      <w:r w:rsidR="00946711">
        <w:rPr>
          <w:szCs w:val="22"/>
        </w:rPr>
        <w:t xml:space="preserve">. These </w:t>
      </w:r>
      <w:r w:rsidR="009F5BB2">
        <w:rPr>
          <w:szCs w:val="22"/>
        </w:rPr>
        <w:t>effects</w:t>
      </w:r>
      <w:r w:rsidR="002E154C" w:rsidRPr="002E154C">
        <w:rPr>
          <w:szCs w:val="22"/>
        </w:rPr>
        <w:t xml:space="preserve"> would benefit first</w:t>
      </w:r>
      <w:r w:rsidR="002B4EB1">
        <w:rPr>
          <w:szCs w:val="22"/>
        </w:rPr>
        <w:t>-</w:t>
      </w:r>
      <w:r w:rsidR="002E154C" w:rsidRPr="002E154C">
        <w:rPr>
          <w:szCs w:val="22"/>
        </w:rPr>
        <w:t>home buyers</w:t>
      </w:r>
      <w:r w:rsidR="00C82444">
        <w:rPr>
          <w:szCs w:val="22"/>
        </w:rPr>
        <w:t>.</w:t>
      </w:r>
      <w:r w:rsidR="002E154C" w:rsidRPr="002E154C">
        <w:rPr>
          <w:szCs w:val="22"/>
        </w:rPr>
        <w:t xml:space="preserve"> </w:t>
      </w:r>
    </w:p>
    <w:p w14:paraId="3E7AF634" w14:textId="37924A5B" w:rsidR="00D15560" w:rsidRPr="00D15560" w:rsidRDefault="00D15560" w:rsidP="00390F88">
      <w:pPr>
        <w:pStyle w:val="ListParagraph"/>
        <w:numPr>
          <w:ilvl w:val="0"/>
          <w:numId w:val="39"/>
        </w:numPr>
        <w:ind w:hanging="644"/>
        <w:jc w:val="both"/>
        <w:rPr>
          <w:rFonts w:eastAsia="Calibri" w:cs="Arial"/>
          <w:szCs w:val="22"/>
          <w:lang w:eastAsia="en-NZ"/>
        </w:rPr>
      </w:pPr>
      <w:r w:rsidRPr="00D15560">
        <w:rPr>
          <w:rFonts w:eastAsia="Calibri" w:cs="Arial"/>
          <w:szCs w:val="22"/>
          <w:lang w:eastAsia="en-NZ"/>
        </w:rPr>
        <w:t xml:space="preserve">Residential property is tax-favoured relative to more fully taxed investments such as interest income. This is because gains are generally not taxed and owner-occupiers are not taxed on their imputed rental income. </w:t>
      </w:r>
    </w:p>
    <w:p w14:paraId="74FED298" w14:textId="1608E10C" w:rsidR="00D15560" w:rsidRPr="00D15560" w:rsidRDefault="00D15560" w:rsidP="00390F88">
      <w:pPr>
        <w:pStyle w:val="ListParagraph"/>
        <w:numPr>
          <w:ilvl w:val="0"/>
          <w:numId w:val="39"/>
        </w:numPr>
        <w:ind w:hanging="644"/>
        <w:jc w:val="both"/>
        <w:rPr>
          <w:rFonts w:eastAsia="Calibri" w:cs="Arial"/>
          <w:szCs w:val="22"/>
          <w:lang w:eastAsia="en-NZ"/>
        </w:rPr>
      </w:pPr>
      <w:r w:rsidRPr="00D15560">
        <w:rPr>
          <w:rFonts w:eastAsia="Calibri" w:cs="Arial"/>
          <w:szCs w:val="22"/>
          <w:lang w:eastAsia="en-NZ"/>
        </w:rPr>
        <w:t>Owner-occupiers generally have a larger tax benefit relative to residential property investors. This is because</w:t>
      </w:r>
      <w:r w:rsidR="008E79AF">
        <w:rPr>
          <w:rFonts w:eastAsia="Calibri" w:cs="Arial"/>
          <w:szCs w:val="22"/>
          <w:lang w:eastAsia="en-NZ"/>
        </w:rPr>
        <w:t xml:space="preserve"> </w:t>
      </w:r>
      <w:r w:rsidRPr="00D15560">
        <w:rPr>
          <w:rFonts w:eastAsia="Calibri" w:cs="Arial"/>
          <w:szCs w:val="22"/>
          <w:lang w:eastAsia="en-NZ"/>
        </w:rPr>
        <w:t xml:space="preserve">ring-fencing rental losses has generally removed the tax advantages that investors could obtain above the tax advantages received by owner-occupiers. </w:t>
      </w:r>
    </w:p>
    <w:p w14:paraId="6EE1FDA3" w14:textId="1A71F1C9" w:rsidR="008D7BEC" w:rsidRPr="008D7BEC" w:rsidRDefault="00D15560" w:rsidP="00390F88">
      <w:pPr>
        <w:pStyle w:val="ListParagraph"/>
        <w:numPr>
          <w:ilvl w:val="0"/>
          <w:numId w:val="39"/>
        </w:numPr>
        <w:ind w:hanging="644"/>
        <w:jc w:val="both"/>
        <w:rPr>
          <w:rFonts w:eastAsia="Calibri" w:cs="Arial"/>
          <w:szCs w:val="22"/>
          <w:lang w:eastAsia="en-NZ"/>
        </w:rPr>
      </w:pPr>
      <w:r w:rsidRPr="00D15560">
        <w:rPr>
          <w:rFonts w:eastAsia="Calibri" w:cs="Arial"/>
          <w:szCs w:val="22"/>
          <w:lang w:eastAsia="en-NZ"/>
        </w:rPr>
        <w:t>This result arises as owner-occupiers face an effective income tax rate of 0</w:t>
      </w:r>
      <w:r w:rsidR="007316BC">
        <w:rPr>
          <w:rFonts w:eastAsia="Calibri" w:cs="Arial"/>
          <w:szCs w:val="22"/>
          <w:lang w:eastAsia="en-NZ"/>
        </w:rPr>
        <w:t xml:space="preserve"> percent</w:t>
      </w:r>
      <w:r w:rsidRPr="00D15560">
        <w:rPr>
          <w:rFonts w:eastAsia="Calibri" w:cs="Arial"/>
          <w:szCs w:val="22"/>
          <w:lang w:eastAsia="en-NZ"/>
        </w:rPr>
        <w:t xml:space="preserve"> because they are not taxed on their gains or imputed rental income. Ring-fencing rental losses means that investors cannot use rental losses against other income</w:t>
      </w:r>
      <w:r w:rsidR="00303FAB">
        <w:rPr>
          <w:rFonts w:eastAsia="Calibri" w:cs="Arial"/>
          <w:szCs w:val="22"/>
          <w:lang w:eastAsia="en-NZ"/>
        </w:rPr>
        <w:t>. This means</w:t>
      </w:r>
      <w:r w:rsidRPr="00D15560">
        <w:rPr>
          <w:rFonts w:eastAsia="Calibri" w:cs="Arial"/>
          <w:szCs w:val="22"/>
          <w:lang w:eastAsia="en-NZ"/>
        </w:rPr>
        <w:t xml:space="preserve"> the effective income tax rate on their property portfolio cannot fall below 0</w:t>
      </w:r>
      <w:r w:rsidR="007316BC">
        <w:rPr>
          <w:rFonts w:eastAsia="Calibri" w:cs="Arial"/>
          <w:szCs w:val="22"/>
          <w:lang w:eastAsia="en-NZ"/>
        </w:rPr>
        <w:t xml:space="preserve"> percent</w:t>
      </w:r>
      <w:r w:rsidRPr="00D15560">
        <w:rPr>
          <w:rFonts w:eastAsia="Calibri" w:cs="Arial"/>
          <w:szCs w:val="22"/>
          <w:lang w:eastAsia="en-NZ"/>
        </w:rPr>
        <w:t xml:space="preserve"> and may be greater than 0</w:t>
      </w:r>
      <w:r w:rsidR="007316BC">
        <w:rPr>
          <w:rFonts w:eastAsia="Calibri" w:cs="Arial"/>
          <w:szCs w:val="22"/>
          <w:lang w:eastAsia="en-NZ"/>
        </w:rPr>
        <w:t xml:space="preserve"> percent</w:t>
      </w:r>
      <w:r w:rsidRPr="00D15560">
        <w:rPr>
          <w:rFonts w:eastAsia="Calibri" w:cs="Arial"/>
          <w:szCs w:val="22"/>
          <w:lang w:eastAsia="en-NZ"/>
        </w:rPr>
        <w:t xml:space="preserve">. </w:t>
      </w:r>
    </w:p>
    <w:p w14:paraId="47DEAEE0" w14:textId="5661851C" w:rsidR="003739D9" w:rsidRPr="00D15560" w:rsidRDefault="003739D9" w:rsidP="00390F88">
      <w:pPr>
        <w:pStyle w:val="ListParagraph"/>
        <w:numPr>
          <w:ilvl w:val="0"/>
          <w:numId w:val="39"/>
        </w:numPr>
        <w:ind w:hanging="644"/>
        <w:jc w:val="both"/>
        <w:rPr>
          <w:rFonts w:eastAsia="Calibri" w:cs="Arial"/>
          <w:szCs w:val="22"/>
          <w:lang w:eastAsia="en-NZ"/>
        </w:rPr>
      </w:pPr>
      <w:r>
        <w:rPr>
          <w:rFonts w:eastAsia="Calibri" w:cs="Arial"/>
          <w:szCs w:val="22"/>
          <w:lang w:eastAsia="en-NZ"/>
        </w:rPr>
        <w:t>Although owner-occupiers have significant tax benefits from investing in their own housing</w:t>
      </w:r>
      <w:r w:rsidR="000E0E8A">
        <w:rPr>
          <w:rFonts w:eastAsia="Calibri" w:cs="Arial"/>
          <w:szCs w:val="22"/>
          <w:lang w:eastAsia="en-NZ"/>
        </w:rPr>
        <w:t xml:space="preserve">, interest disallowance will have no </w:t>
      </w:r>
      <w:r w:rsidR="005310E1">
        <w:rPr>
          <w:rFonts w:eastAsia="Calibri" w:cs="Arial"/>
          <w:szCs w:val="22"/>
          <w:lang w:eastAsia="en-NZ"/>
        </w:rPr>
        <w:t xml:space="preserve">tax </w:t>
      </w:r>
      <w:r w:rsidR="000E0E8A">
        <w:rPr>
          <w:rFonts w:eastAsia="Calibri" w:cs="Arial"/>
          <w:szCs w:val="22"/>
          <w:lang w:eastAsia="en-NZ"/>
        </w:rPr>
        <w:t>cost for them since they cannot deduct any housing interest now or under the proposed policy</w:t>
      </w:r>
      <w:r w:rsidR="000A2EF1">
        <w:rPr>
          <w:rFonts w:eastAsia="Calibri" w:cs="Arial"/>
          <w:szCs w:val="22"/>
          <w:lang w:eastAsia="en-NZ"/>
        </w:rPr>
        <w:t>.</w:t>
      </w:r>
      <w:r w:rsidR="00C1643E">
        <w:rPr>
          <w:rFonts w:eastAsia="Calibri" w:cs="Arial"/>
          <w:szCs w:val="22"/>
          <w:lang w:eastAsia="en-NZ"/>
        </w:rPr>
        <w:t xml:space="preserve"> </w:t>
      </w:r>
      <w:r w:rsidR="000A2EF1">
        <w:rPr>
          <w:rFonts w:eastAsia="Calibri" w:cs="Arial"/>
          <w:szCs w:val="22"/>
          <w:lang w:eastAsia="en-NZ"/>
        </w:rPr>
        <w:t>F</w:t>
      </w:r>
      <w:r w:rsidR="00EB2927">
        <w:rPr>
          <w:rFonts w:eastAsia="Calibri" w:cs="Arial"/>
          <w:szCs w:val="22"/>
          <w:lang w:eastAsia="en-NZ"/>
        </w:rPr>
        <w:t>irst-home buyers</w:t>
      </w:r>
      <w:r w:rsidR="00C1643E">
        <w:rPr>
          <w:rFonts w:eastAsia="Calibri" w:cs="Arial"/>
          <w:szCs w:val="22"/>
          <w:lang w:eastAsia="en-NZ"/>
        </w:rPr>
        <w:t xml:space="preserve"> would indirectly benefit from the policy </w:t>
      </w:r>
      <w:r w:rsidR="00227E40">
        <w:rPr>
          <w:rFonts w:eastAsia="Calibri" w:cs="Arial"/>
          <w:szCs w:val="22"/>
          <w:lang w:eastAsia="en-NZ"/>
        </w:rPr>
        <w:t>due to house prices being lower than they otherwise would.</w:t>
      </w:r>
      <w:r w:rsidR="00A4508A">
        <w:rPr>
          <w:rFonts w:eastAsia="Calibri" w:cs="Arial"/>
          <w:szCs w:val="22"/>
          <w:lang w:eastAsia="en-NZ"/>
        </w:rPr>
        <w:t xml:space="preserve"> </w:t>
      </w:r>
      <w:r w:rsidR="00C3532F">
        <w:rPr>
          <w:rFonts w:eastAsia="Calibri" w:cs="Arial"/>
          <w:szCs w:val="22"/>
          <w:lang w:eastAsia="en-NZ"/>
        </w:rPr>
        <w:t xml:space="preserve">Existing owner-occupiers may benefit due to the cost </w:t>
      </w:r>
      <w:r w:rsidR="005815AD">
        <w:rPr>
          <w:rFonts w:eastAsia="Calibri" w:cs="Arial"/>
          <w:szCs w:val="22"/>
          <w:lang w:eastAsia="en-NZ"/>
        </w:rPr>
        <w:t xml:space="preserve">of purchasing replacement housing being lower (such as buying a larger house to live in), but </w:t>
      </w:r>
      <w:r w:rsidR="00AF74EC">
        <w:rPr>
          <w:rFonts w:eastAsia="Calibri" w:cs="Arial"/>
          <w:szCs w:val="22"/>
          <w:lang w:eastAsia="en-NZ"/>
        </w:rPr>
        <w:t xml:space="preserve">may </w:t>
      </w:r>
      <w:r w:rsidR="005815AD">
        <w:rPr>
          <w:rFonts w:eastAsia="Calibri" w:cs="Arial"/>
          <w:szCs w:val="22"/>
          <w:lang w:eastAsia="en-NZ"/>
        </w:rPr>
        <w:t xml:space="preserve">be disadvantaged </w:t>
      </w:r>
      <w:r w:rsidR="00160872">
        <w:rPr>
          <w:rFonts w:eastAsia="Calibri" w:cs="Arial"/>
          <w:szCs w:val="22"/>
          <w:lang w:eastAsia="en-NZ"/>
        </w:rPr>
        <w:t>by</w:t>
      </w:r>
      <w:r w:rsidR="005815AD">
        <w:rPr>
          <w:rFonts w:eastAsia="Calibri" w:cs="Arial"/>
          <w:szCs w:val="22"/>
          <w:lang w:eastAsia="en-NZ"/>
        </w:rPr>
        <w:t xml:space="preserve"> the price of their own</w:t>
      </w:r>
      <w:r w:rsidR="00E00D7F">
        <w:rPr>
          <w:rFonts w:eastAsia="Calibri" w:cs="Arial"/>
          <w:szCs w:val="22"/>
          <w:lang w:eastAsia="en-NZ"/>
        </w:rPr>
        <w:t xml:space="preserve"> current</w:t>
      </w:r>
      <w:r w:rsidR="005815AD">
        <w:rPr>
          <w:rFonts w:eastAsia="Calibri" w:cs="Arial"/>
          <w:szCs w:val="22"/>
          <w:lang w:eastAsia="en-NZ"/>
        </w:rPr>
        <w:t xml:space="preserve"> house falling </w:t>
      </w:r>
      <w:r w:rsidR="00BF1461">
        <w:rPr>
          <w:rFonts w:eastAsia="Calibri" w:cs="Arial"/>
          <w:szCs w:val="22"/>
          <w:lang w:eastAsia="en-NZ"/>
        </w:rPr>
        <w:t>or not rising as quickly as it otherwise would.</w:t>
      </w:r>
    </w:p>
    <w:p w14:paraId="4DEB0498" w14:textId="2DD73A90" w:rsidR="00F019AB" w:rsidRPr="00D15560" w:rsidRDefault="00F019AB" w:rsidP="00390F88">
      <w:pPr>
        <w:pStyle w:val="ListParagraph"/>
        <w:numPr>
          <w:ilvl w:val="0"/>
          <w:numId w:val="39"/>
        </w:numPr>
        <w:ind w:hanging="644"/>
        <w:jc w:val="both"/>
        <w:rPr>
          <w:rFonts w:eastAsia="Calibri" w:cs="Arial"/>
          <w:szCs w:val="22"/>
          <w:lang w:eastAsia="en-NZ"/>
        </w:rPr>
      </w:pPr>
      <w:r>
        <w:rPr>
          <w:rFonts w:eastAsia="Calibri" w:cs="Arial"/>
          <w:szCs w:val="22"/>
          <w:lang w:eastAsia="en-NZ"/>
        </w:rPr>
        <w:t xml:space="preserve">If </w:t>
      </w:r>
      <w:r w:rsidR="0093051D">
        <w:rPr>
          <w:rFonts w:eastAsia="Calibri" w:cs="Arial"/>
          <w:szCs w:val="22"/>
          <w:lang w:eastAsia="en-NZ"/>
        </w:rPr>
        <w:t>limiting interest deductibilit</w:t>
      </w:r>
      <w:r w:rsidR="00EE3CA1">
        <w:rPr>
          <w:rFonts w:eastAsia="Calibri" w:cs="Arial"/>
          <w:szCs w:val="22"/>
          <w:lang w:eastAsia="en-NZ"/>
        </w:rPr>
        <w:t>y</w:t>
      </w:r>
      <w:r w:rsidR="0093051D">
        <w:rPr>
          <w:rFonts w:eastAsia="Calibri" w:cs="Arial"/>
          <w:szCs w:val="22"/>
          <w:lang w:eastAsia="en-NZ"/>
        </w:rPr>
        <w:t xml:space="preserve"> reduces the pric</w:t>
      </w:r>
      <w:r w:rsidR="004F75F3">
        <w:rPr>
          <w:rFonts w:eastAsia="Calibri" w:cs="Arial"/>
          <w:szCs w:val="22"/>
          <w:lang w:eastAsia="en-NZ"/>
        </w:rPr>
        <w:t>e that leveraged investors are willing to pay for new houses, this can</w:t>
      </w:r>
      <w:r w:rsidR="008A05D9">
        <w:rPr>
          <w:rFonts w:eastAsia="Calibri" w:cs="Arial"/>
          <w:szCs w:val="22"/>
          <w:lang w:eastAsia="en-NZ"/>
        </w:rPr>
        <w:t xml:space="preserve"> reduce the incentive for developers to build and sell new houses</w:t>
      </w:r>
      <w:r w:rsidR="00AD5B37">
        <w:rPr>
          <w:rFonts w:eastAsia="Calibri" w:cs="Arial"/>
          <w:szCs w:val="22"/>
          <w:lang w:eastAsia="en-NZ"/>
        </w:rPr>
        <w:t xml:space="preserve">. </w:t>
      </w:r>
      <w:r w:rsidR="001201B2">
        <w:rPr>
          <w:rFonts w:eastAsia="Calibri" w:cs="Arial"/>
          <w:szCs w:val="22"/>
          <w:lang w:eastAsia="en-NZ"/>
        </w:rPr>
        <w:t xml:space="preserve">This can </w:t>
      </w:r>
      <w:r w:rsidR="00490696">
        <w:rPr>
          <w:rFonts w:eastAsia="Calibri" w:cs="Arial"/>
          <w:szCs w:val="22"/>
          <w:lang w:eastAsia="en-NZ"/>
        </w:rPr>
        <w:t xml:space="preserve">in turn </w:t>
      </w:r>
      <w:r w:rsidR="001201B2">
        <w:rPr>
          <w:rFonts w:eastAsia="Calibri" w:cs="Arial"/>
          <w:szCs w:val="22"/>
          <w:lang w:eastAsia="en-NZ"/>
        </w:rPr>
        <w:t>reduce the supply of housing in the longer run which will tend to push up rents</w:t>
      </w:r>
      <w:r w:rsidR="0082119D">
        <w:rPr>
          <w:rFonts w:eastAsia="Calibri" w:cs="Arial"/>
          <w:szCs w:val="22"/>
          <w:lang w:eastAsia="en-NZ"/>
        </w:rPr>
        <w:t xml:space="preserve"> and offset any fall in the price of houses.</w:t>
      </w:r>
      <w:r w:rsidR="001B1B41">
        <w:rPr>
          <w:rFonts w:eastAsia="Calibri" w:cs="Arial"/>
          <w:szCs w:val="22"/>
          <w:lang w:eastAsia="en-NZ"/>
        </w:rPr>
        <w:t xml:space="preserve"> The degree to which this would occur is uncertain.</w:t>
      </w:r>
    </w:p>
    <w:p w14:paraId="72BEBF15" w14:textId="680948EF" w:rsidR="00600608" w:rsidRDefault="009F638A" w:rsidP="00390F88">
      <w:pPr>
        <w:pStyle w:val="NumberedParagraph"/>
        <w:numPr>
          <w:ilvl w:val="0"/>
          <w:numId w:val="39"/>
        </w:numPr>
        <w:spacing w:after="240" w:line="280" w:lineRule="atLeast"/>
        <w:ind w:hanging="644"/>
        <w:rPr>
          <w:rFonts w:ascii="Arial" w:hAnsi="Arial"/>
          <w:sz w:val="22"/>
          <w:szCs w:val="22"/>
        </w:rPr>
      </w:pPr>
      <w:r w:rsidRPr="003D3AFE">
        <w:rPr>
          <w:rFonts w:ascii="Arial" w:hAnsi="Arial"/>
          <w:b/>
          <w:bCs/>
          <w:sz w:val="22"/>
          <w:szCs w:val="22"/>
        </w:rPr>
        <w:t>Maintain</w:t>
      </w:r>
      <w:r w:rsidR="00E3314F">
        <w:rPr>
          <w:rFonts w:ascii="Arial" w:hAnsi="Arial"/>
          <w:b/>
          <w:bCs/>
          <w:sz w:val="22"/>
          <w:szCs w:val="22"/>
        </w:rPr>
        <w:t>s</w:t>
      </w:r>
      <w:r w:rsidRPr="003D3AFE">
        <w:rPr>
          <w:rFonts w:ascii="Arial" w:hAnsi="Arial"/>
          <w:b/>
          <w:bCs/>
          <w:sz w:val="22"/>
          <w:szCs w:val="22"/>
        </w:rPr>
        <w:t xml:space="preserve"> the rate of development of new housing stock</w:t>
      </w:r>
      <w:r w:rsidRPr="003D3AFE">
        <w:rPr>
          <w:rFonts w:ascii="Arial" w:hAnsi="Arial"/>
          <w:sz w:val="22"/>
          <w:szCs w:val="22"/>
        </w:rPr>
        <w:t>:</w:t>
      </w:r>
      <w:r w:rsidRPr="009F638A">
        <w:rPr>
          <w:rFonts w:ascii="Arial" w:hAnsi="Arial"/>
          <w:sz w:val="22"/>
          <w:szCs w:val="22"/>
        </w:rPr>
        <w:t xml:space="preserve"> </w:t>
      </w:r>
      <w:r w:rsidR="00600608">
        <w:rPr>
          <w:rFonts w:ascii="Arial" w:hAnsi="Arial"/>
          <w:sz w:val="22"/>
          <w:szCs w:val="22"/>
        </w:rPr>
        <w:t>A</w:t>
      </w:r>
      <w:r w:rsidR="00600608" w:rsidRPr="00C7681B">
        <w:rPr>
          <w:rFonts w:ascii="Arial" w:hAnsi="Arial"/>
          <w:sz w:val="22"/>
          <w:szCs w:val="22"/>
        </w:rPr>
        <w:t xml:space="preserve">ny </w:t>
      </w:r>
      <w:r w:rsidR="005607E2">
        <w:rPr>
          <w:rFonts w:ascii="Arial" w:hAnsi="Arial"/>
          <w:sz w:val="22"/>
          <w:szCs w:val="22"/>
        </w:rPr>
        <w:t>negative</w:t>
      </w:r>
      <w:r w:rsidR="00600608" w:rsidRPr="00C7681B">
        <w:rPr>
          <w:rFonts w:ascii="Arial" w:hAnsi="Arial"/>
          <w:sz w:val="22"/>
          <w:szCs w:val="22"/>
        </w:rPr>
        <w:t xml:space="preserve"> impacts on prices reduces the incentive to build new houses.</w:t>
      </w:r>
      <w:r w:rsidR="00CE1A16">
        <w:rPr>
          <w:rFonts w:ascii="Arial" w:hAnsi="Arial"/>
          <w:sz w:val="22"/>
          <w:szCs w:val="22"/>
        </w:rPr>
        <w:t xml:space="preserve"> </w:t>
      </w:r>
      <w:r w:rsidR="00662659">
        <w:rPr>
          <w:rFonts w:ascii="Arial" w:hAnsi="Arial"/>
          <w:sz w:val="22"/>
          <w:szCs w:val="22"/>
        </w:rPr>
        <w:t>Therefore,</w:t>
      </w:r>
      <w:r w:rsidR="00CE1A16">
        <w:rPr>
          <w:rFonts w:ascii="Arial" w:hAnsi="Arial"/>
          <w:sz w:val="22"/>
          <w:szCs w:val="22"/>
        </w:rPr>
        <w:t xml:space="preserve"> </w:t>
      </w:r>
      <w:r w:rsidR="00751CC6">
        <w:rPr>
          <w:rFonts w:ascii="Arial" w:hAnsi="Arial"/>
          <w:sz w:val="22"/>
          <w:szCs w:val="22"/>
        </w:rPr>
        <w:t xml:space="preserve">we expect that the rate of development of new housing </w:t>
      </w:r>
      <w:r w:rsidR="00B37545">
        <w:rPr>
          <w:rFonts w:ascii="Arial" w:hAnsi="Arial"/>
          <w:sz w:val="22"/>
          <w:szCs w:val="22"/>
        </w:rPr>
        <w:t>stock may be negatively impact</w:t>
      </w:r>
      <w:r w:rsidR="00105D25">
        <w:rPr>
          <w:rFonts w:ascii="Arial" w:hAnsi="Arial"/>
          <w:sz w:val="22"/>
          <w:szCs w:val="22"/>
        </w:rPr>
        <w:t>ed.</w:t>
      </w:r>
      <w:r w:rsidR="00050320">
        <w:rPr>
          <w:rFonts w:ascii="Arial" w:hAnsi="Arial"/>
          <w:sz w:val="22"/>
          <w:szCs w:val="22"/>
        </w:rPr>
        <w:t xml:space="preserve"> </w:t>
      </w:r>
    </w:p>
    <w:p w14:paraId="210126B1" w14:textId="4C2F66C6" w:rsidR="00095CFF" w:rsidRPr="003E175D" w:rsidRDefault="00E52095" w:rsidP="00390F88">
      <w:pPr>
        <w:pStyle w:val="ListParagraph"/>
        <w:numPr>
          <w:ilvl w:val="0"/>
          <w:numId w:val="39"/>
        </w:numPr>
        <w:ind w:hanging="644"/>
        <w:jc w:val="both"/>
        <w:rPr>
          <w:lang w:val="en-NZ"/>
        </w:rPr>
      </w:pPr>
      <w:r w:rsidRPr="00CA0652">
        <w:rPr>
          <w:b/>
          <w:bCs/>
        </w:rPr>
        <w:t>I</w:t>
      </w:r>
      <w:r w:rsidR="004567D6" w:rsidRPr="00CA0652">
        <w:rPr>
          <w:b/>
          <w:bCs/>
        </w:rPr>
        <w:t>mproves housing affordability</w:t>
      </w:r>
      <w:r w:rsidRPr="00CA0652">
        <w:rPr>
          <w:b/>
          <w:bCs/>
        </w:rPr>
        <w:t xml:space="preserve"> for renters</w:t>
      </w:r>
      <w:r w:rsidR="004567D6" w:rsidRPr="00793ACF">
        <w:t>:</w:t>
      </w:r>
      <w:r w:rsidR="00235239">
        <w:t xml:space="preserve"> </w:t>
      </w:r>
      <w:r w:rsidR="00095CFF" w:rsidRPr="003E175D">
        <w:rPr>
          <w:lang w:val="en-NZ"/>
        </w:rPr>
        <w:t>In the immediate term, property investors are constrained in their ability to increase rents in response to the interest denial policy. This is because rents can only be increased once every 12 months. After that period:</w:t>
      </w:r>
    </w:p>
    <w:p w14:paraId="443608AD" w14:textId="6AB00702" w:rsidR="00095CFF" w:rsidRPr="003E175D" w:rsidRDefault="00095CFF" w:rsidP="00390F88">
      <w:pPr>
        <w:pStyle w:val="ListParagraph"/>
        <w:numPr>
          <w:ilvl w:val="1"/>
          <w:numId w:val="39"/>
        </w:numPr>
        <w:ind w:hanging="447"/>
        <w:jc w:val="both"/>
        <w:rPr>
          <w:lang w:val="en-NZ"/>
        </w:rPr>
      </w:pPr>
      <w:r w:rsidRPr="003E175D">
        <w:rPr>
          <w:lang w:val="en-NZ"/>
        </w:rPr>
        <w:t>In the short run</w:t>
      </w:r>
      <w:r w:rsidR="00C96006">
        <w:rPr>
          <w:lang w:val="en-NZ"/>
        </w:rPr>
        <w:t>,</w:t>
      </w:r>
      <w:r w:rsidR="00EB3BC6">
        <w:rPr>
          <w:lang w:val="en-NZ"/>
        </w:rPr>
        <w:t xml:space="preserve"> </w:t>
      </w:r>
      <w:r w:rsidR="00DC5F3F">
        <w:rPr>
          <w:lang w:val="en-NZ"/>
        </w:rPr>
        <w:t>i</w:t>
      </w:r>
      <w:r w:rsidRPr="003E175D">
        <w:rPr>
          <w:lang w:val="en-NZ"/>
        </w:rPr>
        <w:t>t is unlikely that landlords will be able to pass on any significant share of the additional tax costs</w:t>
      </w:r>
      <w:r w:rsidR="00C80D00" w:rsidRPr="003E175D">
        <w:rPr>
          <w:lang w:val="en-NZ"/>
        </w:rPr>
        <w:t>,</w:t>
      </w:r>
      <w:r w:rsidRPr="003E175D">
        <w:rPr>
          <w:lang w:val="en-NZ"/>
        </w:rPr>
        <w:t xml:space="preserve"> but this may not hold in specific circumstances where tenants have limited choice.</w:t>
      </w:r>
    </w:p>
    <w:p w14:paraId="6054119D" w14:textId="3A74BC2D" w:rsidR="00EC70E0" w:rsidRPr="008C20E3" w:rsidRDefault="00095CFF" w:rsidP="00390F88">
      <w:pPr>
        <w:pStyle w:val="ListParagraph"/>
        <w:numPr>
          <w:ilvl w:val="1"/>
          <w:numId w:val="39"/>
        </w:numPr>
        <w:ind w:hanging="447"/>
        <w:jc w:val="both"/>
        <w:rPr>
          <w:lang w:val="en-NZ"/>
        </w:rPr>
      </w:pPr>
      <w:r w:rsidRPr="003E175D">
        <w:rPr>
          <w:lang w:val="en-NZ"/>
        </w:rPr>
        <w:t>In the medium and long run, rents may rise in line with any impact on the supply of new build housing</w:t>
      </w:r>
      <w:r w:rsidR="008C20E3" w:rsidRPr="008C20E3">
        <w:rPr>
          <w:lang w:val="en-NZ"/>
        </w:rPr>
        <w:t>.</w:t>
      </w:r>
      <w:r w:rsidR="008C20E3">
        <w:rPr>
          <w:lang w:val="en-NZ"/>
        </w:rPr>
        <w:t xml:space="preserve"> </w:t>
      </w:r>
      <w:r w:rsidR="001719C2" w:rsidRPr="3E7B795A">
        <w:rPr>
          <w:rFonts w:eastAsia="Calibri" w:cs="Arial"/>
          <w:lang w:eastAsia="en-NZ"/>
        </w:rPr>
        <w:t xml:space="preserve">The reduction of interest deductions </w:t>
      </w:r>
      <w:r w:rsidR="00C80D00" w:rsidRPr="3E7B795A">
        <w:rPr>
          <w:rFonts w:eastAsia="Calibri" w:cs="Arial"/>
          <w:lang w:eastAsia="en-NZ"/>
        </w:rPr>
        <w:t xml:space="preserve">may </w:t>
      </w:r>
      <w:r w:rsidR="001719C2" w:rsidRPr="3E7B795A">
        <w:rPr>
          <w:rFonts w:eastAsia="Calibri" w:cs="Arial"/>
          <w:lang w:eastAsia="en-NZ"/>
        </w:rPr>
        <w:t>lead to fewer investors purchasing property as rental accommodation</w:t>
      </w:r>
      <w:r w:rsidR="00C80D00" w:rsidRPr="3E7B795A">
        <w:rPr>
          <w:rFonts w:eastAsia="Calibri" w:cs="Arial"/>
          <w:lang w:eastAsia="en-NZ"/>
        </w:rPr>
        <w:t xml:space="preserve"> and tend to reduce new house building and housing supply in the long run.</w:t>
      </w:r>
      <w:r w:rsidR="008C20E3" w:rsidRPr="3E7B795A">
        <w:rPr>
          <w:rFonts w:eastAsia="Calibri" w:cs="Arial"/>
          <w:lang w:eastAsia="en-NZ"/>
        </w:rPr>
        <w:t xml:space="preserve"> </w:t>
      </w:r>
      <w:r w:rsidR="008C20E3">
        <w:t>Th</w:t>
      </w:r>
      <w:r>
        <w:t>is</w:t>
      </w:r>
      <w:r w:rsidR="008C20E3">
        <w:t xml:space="preserve"> decrease </w:t>
      </w:r>
      <w:r w:rsidR="006E17E1">
        <w:t xml:space="preserve">of </w:t>
      </w:r>
      <w:r w:rsidR="007544DF">
        <w:t xml:space="preserve">rental </w:t>
      </w:r>
      <w:r w:rsidR="006E17E1">
        <w:t>accommodation</w:t>
      </w:r>
      <w:r w:rsidR="008C20E3">
        <w:t xml:space="preserve"> </w:t>
      </w:r>
      <w:r w:rsidR="006E17E1">
        <w:t xml:space="preserve">being added to the rental market </w:t>
      </w:r>
      <w:r w:rsidR="008C20E3">
        <w:t xml:space="preserve">may lead to increased rent. </w:t>
      </w:r>
    </w:p>
    <w:p w14:paraId="4EE12AEC" w14:textId="634C6128" w:rsidR="004E6646" w:rsidRPr="00AA74F9" w:rsidRDefault="004E6646" w:rsidP="00390F88">
      <w:pPr>
        <w:pStyle w:val="ListParagraph"/>
        <w:numPr>
          <w:ilvl w:val="0"/>
          <w:numId w:val="39"/>
        </w:numPr>
        <w:ind w:left="930" w:hanging="646"/>
        <w:jc w:val="both"/>
        <w:rPr>
          <w:lang w:val="en-NZ"/>
        </w:rPr>
      </w:pPr>
      <w:r>
        <w:t>To the extent that proposals place upward pressure on rents, this appears more likely to disproportionately impact low-income households, younger people, Māori, and Pacific peoples, who are less likely to own their home relative to the general population. In addition, as around 43</w:t>
      </w:r>
      <w:r w:rsidR="007316BC">
        <w:t xml:space="preserve"> percent</w:t>
      </w:r>
      <w:r>
        <w:t xml:space="preserve"> of children are living in rental accommodation, upward pressure on rents could have negative impacts on child wellbeing and child poverty. Increases in rents may also lead to an increase in spending on the accommodation supplement and temporary additional support</w:t>
      </w:r>
      <w:r w:rsidR="00453748">
        <w:t>,</w:t>
      </w:r>
      <w:r>
        <w:t xml:space="preserve"> although it is difficult to quantify this impact at this stage.</w:t>
      </w:r>
    </w:p>
    <w:p w14:paraId="367804A2" w14:textId="38BB8530" w:rsidR="0083059C" w:rsidRPr="0083059C" w:rsidRDefault="004567D6" w:rsidP="00390F88">
      <w:pPr>
        <w:pStyle w:val="ListParagraph"/>
        <w:numPr>
          <w:ilvl w:val="0"/>
          <w:numId w:val="39"/>
        </w:numPr>
        <w:ind w:left="930" w:hanging="646"/>
        <w:jc w:val="both"/>
        <w:rPr>
          <w:szCs w:val="22"/>
        </w:rPr>
      </w:pPr>
      <w:r w:rsidRPr="00793ACF">
        <w:rPr>
          <w:b/>
          <w:bCs/>
        </w:rPr>
        <w:t>Efficiency and growth</w:t>
      </w:r>
      <w:r w:rsidRPr="00793ACF">
        <w:t xml:space="preserve">: </w:t>
      </w:r>
      <w:r w:rsidR="0083059C" w:rsidRPr="0083059C">
        <w:rPr>
          <w:szCs w:val="22"/>
        </w:rPr>
        <w:t xml:space="preserve">The deductibility of interest is a key consideration for debt-funded investors. The denial of such deductions will impact the profitability of their investments and </w:t>
      </w:r>
      <w:r w:rsidR="001E1D36">
        <w:rPr>
          <w:szCs w:val="22"/>
        </w:rPr>
        <w:t xml:space="preserve">cause investors to underinvest in housing relative to other investments where </w:t>
      </w:r>
      <w:r w:rsidR="002C24E0">
        <w:rPr>
          <w:szCs w:val="22"/>
        </w:rPr>
        <w:t>interest continues to be fully deductible</w:t>
      </w:r>
      <w:r w:rsidR="000B1E4E">
        <w:rPr>
          <w:szCs w:val="22"/>
        </w:rPr>
        <w:t xml:space="preserve"> </w:t>
      </w:r>
      <w:r w:rsidR="00B45294">
        <w:rPr>
          <w:szCs w:val="22"/>
        </w:rPr>
        <w:t>(and if the property is also taxed under the bright-line</w:t>
      </w:r>
      <w:r w:rsidR="00764295">
        <w:rPr>
          <w:szCs w:val="22"/>
        </w:rPr>
        <w:t>, then the investment ma</w:t>
      </w:r>
      <w:r w:rsidR="00F24D7C">
        <w:rPr>
          <w:szCs w:val="22"/>
        </w:rPr>
        <w:t>y</w:t>
      </w:r>
      <w:r w:rsidR="00764295">
        <w:rPr>
          <w:szCs w:val="22"/>
        </w:rPr>
        <w:t xml:space="preserve"> be overtaxed)</w:t>
      </w:r>
      <w:r w:rsidR="00AD5B37">
        <w:rPr>
          <w:szCs w:val="22"/>
        </w:rPr>
        <w:t xml:space="preserve">. </w:t>
      </w:r>
      <w:r w:rsidR="002C24E0">
        <w:rPr>
          <w:szCs w:val="22"/>
        </w:rPr>
        <w:t>It</w:t>
      </w:r>
      <w:r w:rsidR="0083059C" w:rsidRPr="0083059C">
        <w:rPr>
          <w:szCs w:val="22"/>
        </w:rPr>
        <w:t xml:space="preserve"> </w:t>
      </w:r>
      <w:r w:rsidR="005779E7">
        <w:rPr>
          <w:szCs w:val="22"/>
        </w:rPr>
        <w:t>could</w:t>
      </w:r>
      <w:r w:rsidR="002C24E0">
        <w:rPr>
          <w:szCs w:val="22"/>
        </w:rPr>
        <w:t xml:space="preserve"> also</w:t>
      </w:r>
      <w:r w:rsidR="0083059C" w:rsidRPr="0083059C">
        <w:rPr>
          <w:szCs w:val="22"/>
        </w:rPr>
        <w:t xml:space="preserve"> lead to the inefficient and premature sale of property (though this may be mitigated by the bright-line test, depending on when the property was acquired). </w:t>
      </w:r>
    </w:p>
    <w:p w14:paraId="194FF3F3" w14:textId="1F7E5309" w:rsidR="004567D6" w:rsidRPr="00793ACF" w:rsidRDefault="0083059C" w:rsidP="00390F88">
      <w:pPr>
        <w:pStyle w:val="ListParagraph"/>
        <w:numPr>
          <w:ilvl w:val="0"/>
          <w:numId w:val="39"/>
        </w:numPr>
        <w:ind w:left="930" w:hanging="646"/>
        <w:jc w:val="both"/>
        <w:rPr>
          <w:lang w:val="en-NZ"/>
        </w:rPr>
      </w:pPr>
      <w:r w:rsidRPr="0083059C">
        <w:rPr>
          <w:szCs w:val="22"/>
        </w:rPr>
        <w:t>Denying interest deductibility will encourage equity-</w:t>
      </w:r>
      <w:r w:rsidR="002726AC">
        <w:rPr>
          <w:szCs w:val="22"/>
        </w:rPr>
        <w:t>funded</w:t>
      </w:r>
      <w:r w:rsidRPr="0083059C">
        <w:rPr>
          <w:szCs w:val="22"/>
        </w:rPr>
        <w:t xml:space="preserve"> investment over debt-</w:t>
      </w:r>
      <w:r w:rsidR="002726AC">
        <w:rPr>
          <w:szCs w:val="22"/>
        </w:rPr>
        <w:t>funded</w:t>
      </w:r>
      <w:r w:rsidRPr="0083059C">
        <w:rPr>
          <w:szCs w:val="22"/>
        </w:rPr>
        <w:t xml:space="preserve"> investment in housing. This is because equity investors will be unaffected by the measure and can still access the tax preferences from housing</w:t>
      </w:r>
      <w:r w:rsidR="00F67A30">
        <w:rPr>
          <w:szCs w:val="22"/>
        </w:rPr>
        <w:t>.</w:t>
      </w:r>
    </w:p>
    <w:p w14:paraId="1F64F6C5" w14:textId="1FDD26C9" w:rsidR="0007173B" w:rsidRDefault="004567D6" w:rsidP="00390F88">
      <w:pPr>
        <w:pStyle w:val="ListParagraph"/>
        <w:numPr>
          <w:ilvl w:val="0"/>
          <w:numId w:val="39"/>
        </w:numPr>
        <w:ind w:left="930" w:hanging="646"/>
        <w:jc w:val="both"/>
      </w:pPr>
      <w:r w:rsidRPr="00793ACF">
        <w:rPr>
          <w:b/>
          <w:bCs/>
        </w:rPr>
        <w:t>Equity and fairness</w:t>
      </w:r>
      <w:r w:rsidRPr="00793ACF">
        <w:t xml:space="preserve">: </w:t>
      </w:r>
      <w:r w:rsidR="0007173B">
        <w:t xml:space="preserve">Restricting mortgage interest deductions </w:t>
      </w:r>
      <w:r w:rsidR="00EC3994">
        <w:t xml:space="preserve">may be considered </w:t>
      </w:r>
      <w:r w:rsidR="00DD35D2">
        <w:t xml:space="preserve">unfair (violates horizontal equity) as </w:t>
      </w:r>
      <w:r w:rsidR="00383EF7">
        <w:t>it disallows a deduction that is available for almost all other investments</w:t>
      </w:r>
      <w:r w:rsidR="00AD5B37">
        <w:t xml:space="preserve">. </w:t>
      </w:r>
      <w:r w:rsidR="002336E3">
        <w:t>However</w:t>
      </w:r>
      <w:r w:rsidR="00B56C0C">
        <w:t>,</w:t>
      </w:r>
      <w:r w:rsidR="002336E3">
        <w:t xml:space="preserve"> it</w:t>
      </w:r>
      <w:r w:rsidR="0007173B">
        <w:t xml:space="preserve"> may be considered fair by some as it partially addresses the under-taxation of residential property investors relative to other fully</w:t>
      </w:r>
      <w:r w:rsidR="008A476F">
        <w:t xml:space="preserve"> </w:t>
      </w:r>
      <w:r w:rsidR="0007173B">
        <w:t>taxed investments.</w:t>
      </w:r>
      <w:r w:rsidR="000C5973">
        <w:t xml:space="preserve"> T</w:t>
      </w:r>
      <w:r w:rsidR="000C5973" w:rsidRPr="002B4EB1">
        <w:rPr>
          <w:szCs w:val="22"/>
        </w:rPr>
        <w:t>here can be some cases where if an interest deduction is not allowed, an investor may be overtaxed. This would be the case where the disallowed interest deduction</w:t>
      </w:r>
      <w:r w:rsidR="003738C1">
        <w:rPr>
          <w:szCs w:val="22"/>
        </w:rPr>
        <w:t>s</w:t>
      </w:r>
      <w:r w:rsidR="000C5973" w:rsidRPr="002B4EB1">
        <w:rPr>
          <w:szCs w:val="22"/>
        </w:rPr>
        <w:t xml:space="preserve"> exceed the non-taxable gain.</w:t>
      </w:r>
    </w:p>
    <w:p w14:paraId="2B0E57D6" w14:textId="657DDB3C" w:rsidR="0053756F" w:rsidRDefault="0053756F" w:rsidP="00390F88">
      <w:pPr>
        <w:pStyle w:val="ListParagraph"/>
        <w:numPr>
          <w:ilvl w:val="0"/>
          <w:numId w:val="39"/>
        </w:numPr>
        <w:ind w:left="930" w:hanging="646"/>
        <w:jc w:val="both"/>
      </w:pPr>
      <w:r>
        <w:t xml:space="preserve">The tax rate on investment in residential property would likely increase </w:t>
      </w:r>
      <w:r w:rsidR="0002389E">
        <w:t xml:space="preserve">under Option 1 </w:t>
      </w:r>
      <w:r>
        <w:t>and be broadly progressive given that a greater proportion of income from renting residential investment properties tends to be earned by people on higher incomes.</w:t>
      </w:r>
    </w:p>
    <w:p w14:paraId="0D196870" w14:textId="337EF345" w:rsidR="00413F1A" w:rsidRPr="0095086C" w:rsidRDefault="00F761BB" w:rsidP="00390F88">
      <w:pPr>
        <w:pStyle w:val="ListParagraph"/>
        <w:numPr>
          <w:ilvl w:val="0"/>
          <w:numId w:val="39"/>
        </w:numPr>
        <w:ind w:left="930" w:hanging="646"/>
        <w:jc w:val="both"/>
        <w:rPr>
          <w:szCs w:val="22"/>
        </w:rPr>
      </w:pPr>
      <w:r w:rsidRPr="00015FDC">
        <w:rPr>
          <w:szCs w:val="22"/>
        </w:rPr>
        <w:t>If the proposal is applied to existing investment properties, then some investors may unexpectedly end up with negative cash flow. These investors may be forced to sell their property and potentially make losses.</w:t>
      </w:r>
      <w:r w:rsidRPr="00BE75EF">
        <w:rPr>
          <w:szCs w:val="22"/>
        </w:rPr>
        <w:t xml:space="preserve"> </w:t>
      </w:r>
    </w:p>
    <w:p w14:paraId="7D56056C" w14:textId="209844D0" w:rsidR="004567D6" w:rsidRPr="00070382" w:rsidRDefault="004567D6" w:rsidP="00390F88">
      <w:pPr>
        <w:pStyle w:val="ListParagraph"/>
        <w:numPr>
          <w:ilvl w:val="0"/>
          <w:numId w:val="39"/>
        </w:numPr>
        <w:ind w:left="930" w:hanging="646"/>
        <w:jc w:val="both"/>
        <w:rPr>
          <w:lang w:val="en-NZ"/>
        </w:rPr>
      </w:pPr>
      <w:r w:rsidRPr="00070382">
        <w:rPr>
          <w:b/>
          <w:bCs/>
        </w:rPr>
        <w:t>Revenue integrity</w:t>
      </w:r>
      <w:r w:rsidRPr="00793ACF">
        <w:t xml:space="preserve">: </w:t>
      </w:r>
      <w:r w:rsidR="00E83C41">
        <w:t xml:space="preserve">The rules to implement this option may create opportunities for </w:t>
      </w:r>
      <w:r w:rsidR="55201F58">
        <w:t xml:space="preserve">tax </w:t>
      </w:r>
      <w:r w:rsidR="00E83C41">
        <w:t xml:space="preserve">avoidance. </w:t>
      </w:r>
      <w:r w:rsidR="00114B90">
        <w:t xml:space="preserve">Denying interest deductions will require </w:t>
      </w:r>
      <w:r w:rsidR="00FD3CC2">
        <w:t xml:space="preserve">taxpayers to </w:t>
      </w:r>
      <w:r w:rsidR="00114B90">
        <w:t xml:space="preserve">distinguish between interest </w:t>
      </w:r>
      <w:r w:rsidR="00EC2C73">
        <w:t xml:space="preserve">on debt obtained </w:t>
      </w:r>
      <w:r w:rsidR="00114B90">
        <w:t xml:space="preserve">to generate rental income </w:t>
      </w:r>
      <w:r w:rsidR="003B084A">
        <w:t xml:space="preserve">from </w:t>
      </w:r>
      <w:r w:rsidR="00114B90">
        <w:t xml:space="preserve">interest </w:t>
      </w:r>
      <w:r w:rsidR="00EC2C73">
        <w:t>on debt obtained to generate</w:t>
      </w:r>
      <w:r w:rsidR="00114B90">
        <w:t xml:space="preserve"> </w:t>
      </w:r>
      <w:r w:rsidR="003B084A">
        <w:t xml:space="preserve">other </w:t>
      </w:r>
      <w:r w:rsidR="00114B90">
        <w:t xml:space="preserve">business income. Both </w:t>
      </w:r>
      <w:r w:rsidR="004E7420">
        <w:t xml:space="preserve">debts </w:t>
      </w:r>
      <w:r w:rsidR="00114B90">
        <w:t xml:space="preserve">may be secured against residential property </w:t>
      </w:r>
      <w:r w:rsidR="00FA209A">
        <w:t xml:space="preserve">but </w:t>
      </w:r>
      <w:r w:rsidR="00F43045">
        <w:t>distinguishing</w:t>
      </w:r>
      <w:r w:rsidR="00EC2C73">
        <w:t xml:space="preserve"> </w:t>
      </w:r>
      <w:r w:rsidR="00FA209A">
        <w:t xml:space="preserve">the interest deductions </w:t>
      </w:r>
      <w:r w:rsidR="00C57FD6">
        <w:t xml:space="preserve">that are incurred </w:t>
      </w:r>
      <w:r w:rsidR="00FA209A">
        <w:t xml:space="preserve">for </w:t>
      </w:r>
      <w:r w:rsidR="00C57FD6">
        <w:t xml:space="preserve">each income-generating purpose may be </w:t>
      </w:r>
      <w:r w:rsidR="00114B90">
        <w:t>difficult</w:t>
      </w:r>
      <w:r w:rsidR="007A54DC">
        <w:t xml:space="preserve">. </w:t>
      </w:r>
    </w:p>
    <w:p w14:paraId="4EB8320A" w14:textId="75E46609" w:rsidR="000E254B" w:rsidRPr="000E254B" w:rsidRDefault="004567D6" w:rsidP="00390F88">
      <w:pPr>
        <w:pStyle w:val="ListParagraph"/>
        <w:numPr>
          <w:ilvl w:val="0"/>
          <w:numId w:val="39"/>
        </w:numPr>
        <w:ind w:left="930" w:hanging="646"/>
        <w:jc w:val="both"/>
        <w:rPr>
          <w:rFonts w:cs="Arial"/>
        </w:rPr>
      </w:pPr>
      <w:r w:rsidRPr="00793ACF">
        <w:rPr>
          <w:b/>
          <w:bCs/>
        </w:rPr>
        <w:t>Fiscal impact</w:t>
      </w:r>
      <w:r w:rsidRPr="00793ACF">
        <w:t xml:space="preserve">: </w:t>
      </w:r>
      <w:r w:rsidR="000E254B" w:rsidRPr="000E254B">
        <w:t xml:space="preserve"> </w:t>
      </w:r>
      <w:r w:rsidR="000E254B" w:rsidRPr="794F2497">
        <w:rPr>
          <w:rFonts w:cs="Arial"/>
        </w:rPr>
        <w:t>The expected revenue gain from this option is $1.</w:t>
      </w:r>
      <w:r w:rsidR="434233C8" w:rsidRPr="794F2497">
        <w:rPr>
          <w:rFonts w:cs="Arial"/>
        </w:rPr>
        <w:t>81</w:t>
      </w:r>
      <w:r w:rsidR="1465B8E5" w:rsidRPr="794F2497">
        <w:rPr>
          <w:rFonts w:cs="Arial"/>
        </w:rPr>
        <w:t xml:space="preserve"> </w:t>
      </w:r>
      <w:r w:rsidR="434233C8" w:rsidRPr="3012AE61">
        <w:rPr>
          <w:rFonts w:cs="Arial"/>
        </w:rPr>
        <w:t>b</w:t>
      </w:r>
      <w:r w:rsidR="1A5F23F2" w:rsidRPr="3012AE61">
        <w:rPr>
          <w:rFonts w:cs="Arial"/>
        </w:rPr>
        <w:t>i</w:t>
      </w:r>
      <w:r w:rsidR="7C4136F2" w:rsidRPr="3012AE61">
        <w:rPr>
          <w:rFonts w:cs="Arial"/>
        </w:rPr>
        <w:t>llio</w:t>
      </w:r>
      <w:r w:rsidR="434233C8" w:rsidRPr="3012AE61">
        <w:rPr>
          <w:rFonts w:cs="Arial"/>
        </w:rPr>
        <w:t>n</w:t>
      </w:r>
      <w:r w:rsidR="000E254B" w:rsidRPr="794F2497">
        <w:rPr>
          <w:rFonts w:cs="Arial"/>
        </w:rPr>
        <w:t xml:space="preserve"> over the forecast period</w:t>
      </w:r>
      <w:r w:rsidR="001B5CD8" w:rsidRPr="794F2497">
        <w:rPr>
          <w:rFonts w:cs="Arial"/>
        </w:rPr>
        <w:t xml:space="preserve"> </w:t>
      </w:r>
      <w:r w:rsidR="001B5CD8">
        <w:t>(2021/22 to 2024/25)</w:t>
      </w:r>
      <w:r w:rsidR="00AD5B37" w:rsidRPr="794F2497">
        <w:rPr>
          <w:rFonts w:cs="Arial"/>
        </w:rPr>
        <w:t xml:space="preserve">. </w:t>
      </w:r>
      <w:r w:rsidR="000E254B" w:rsidRPr="794F2497">
        <w:rPr>
          <w:rFonts w:cs="Arial"/>
        </w:rPr>
        <w:t>This estimate is based on a number of assumptions</w:t>
      </w:r>
      <w:r w:rsidR="00C57773" w:rsidRPr="794F2497">
        <w:rPr>
          <w:rFonts w:cs="Arial"/>
        </w:rPr>
        <w:t>,</w:t>
      </w:r>
      <w:r w:rsidR="000E254B" w:rsidRPr="794F2497">
        <w:rPr>
          <w:rFonts w:cs="Arial"/>
        </w:rPr>
        <w:t xml:space="preserve"> including</w:t>
      </w:r>
      <w:r w:rsidR="00C57773" w:rsidRPr="794F2497">
        <w:rPr>
          <w:rFonts w:cs="Arial"/>
        </w:rPr>
        <w:t xml:space="preserve"> the following</w:t>
      </w:r>
      <w:r w:rsidR="000E254B" w:rsidRPr="794F2497">
        <w:rPr>
          <w:rFonts w:cs="Arial"/>
        </w:rPr>
        <w:t>:</w:t>
      </w:r>
    </w:p>
    <w:p w14:paraId="0B6488DF" w14:textId="0C949F08" w:rsidR="000E254B" w:rsidRPr="000E254B" w:rsidRDefault="000E254B" w:rsidP="00390F88">
      <w:pPr>
        <w:pStyle w:val="ListParagraph"/>
        <w:numPr>
          <w:ilvl w:val="1"/>
          <w:numId w:val="39"/>
        </w:numPr>
        <w:ind w:hanging="448"/>
        <w:jc w:val="both"/>
        <w:rPr>
          <w:rFonts w:cs="Arial"/>
        </w:rPr>
      </w:pPr>
      <w:r w:rsidRPr="39089994">
        <w:rPr>
          <w:rFonts w:cs="Arial"/>
        </w:rPr>
        <w:t>Information from income tax returns for the 2019-20 income year are projected forward using Treasury's Budget 2021 forecasts.</w:t>
      </w:r>
    </w:p>
    <w:p w14:paraId="74E4E401" w14:textId="77777777" w:rsidR="000E254B" w:rsidRPr="000E254B" w:rsidRDefault="000E254B" w:rsidP="00390F88">
      <w:pPr>
        <w:pStyle w:val="ListParagraph"/>
        <w:numPr>
          <w:ilvl w:val="1"/>
          <w:numId w:val="39"/>
        </w:numPr>
        <w:ind w:hanging="448"/>
        <w:jc w:val="both"/>
        <w:rPr>
          <w:rFonts w:cs="Arial"/>
          <w:szCs w:val="22"/>
        </w:rPr>
      </w:pPr>
      <w:r w:rsidRPr="000E254B">
        <w:rPr>
          <w:rFonts w:cs="Arial"/>
          <w:szCs w:val="22"/>
        </w:rPr>
        <w:t>Rising house prices will increase the nominal borrowing (and consequently the interest expenditure) of a portion of taxpayers.</w:t>
      </w:r>
    </w:p>
    <w:p w14:paraId="0C0BE391" w14:textId="77777777" w:rsidR="000E254B" w:rsidRPr="000E254B" w:rsidRDefault="000E254B" w:rsidP="00390F88">
      <w:pPr>
        <w:pStyle w:val="ListParagraph"/>
        <w:numPr>
          <w:ilvl w:val="1"/>
          <w:numId w:val="39"/>
        </w:numPr>
        <w:ind w:hanging="448"/>
        <w:jc w:val="both"/>
        <w:rPr>
          <w:rFonts w:cs="Arial"/>
          <w:szCs w:val="22"/>
        </w:rPr>
      </w:pPr>
      <w:r w:rsidRPr="000E254B">
        <w:rPr>
          <w:rFonts w:cs="Arial"/>
          <w:szCs w:val="22"/>
        </w:rPr>
        <w:t>Where the denial of interest expenditure results in an increase of the taxable income of the taxpayer, the additional income is taxed at the taxpayer's marginal rate.</w:t>
      </w:r>
    </w:p>
    <w:p w14:paraId="681B05E8" w14:textId="3F25E60D" w:rsidR="004567D6" w:rsidRPr="00B64A03" w:rsidRDefault="000E254B" w:rsidP="00390F88">
      <w:pPr>
        <w:pStyle w:val="ListParagraph"/>
        <w:numPr>
          <w:ilvl w:val="1"/>
          <w:numId w:val="39"/>
        </w:numPr>
        <w:ind w:hanging="448"/>
        <w:jc w:val="both"/>
        <w:rPr>
          <w:lang w:val="en-NZ"/>
        </w:rPr>
      </w:pPr>
      <w:r w:rsidRPr="000E254B">
        <w:rPr>
          <w:rFonts w:cs="Arial"/>
          <w:szCs w:val="22"/>
        </w:rPr>
        <w:t>Denial of interest deductions is phased in over time and is not fully denied until the 2025/26 income year.</w:t>
      </w:r>
    </w:p>
    <w:p w14:paraId="6E10328F" w14:textId="178B605D" w:rsidR="00D25DCC" w:rsidRPr="007F047E" w:rsidRDefault="00D25DCC" w:rsidP="00390F88">
      <w:pPr>
        <w:pStyle w:val="ListParagraph"/>
        <w:numPr>
          <w:ilvl w:val="1"/>
          <w:numId w:val="39"/>
        </w:numPr>
        <w:ind w:hanging="448"/>
        <w:jc w:val="both"/>
        <w:rPr>
          <w:lang w:val="en-NZ"/>
        </w:rPr>
      </w:pPr>
      <w:r w:rsidRPr="00D25DCC">
        <w:rPr>
          <w:lang w:val="en-NZ"/>
        </w:rPr>
        <w:t xml:space="preserve">Calculations are based on information from a subset of taxpayers and </w:t>
      </w:r>
      <w:r w:rsidR="00B37DB8">
        <w:rPr>
          <w:lang w:val="en-NZ"/>
        </w:rPr>
        <w:t xml:space="preserve">is </w:t>
      </w:r>
      <w:r w:rsidRPr="00D25DCC">
        <w:rPr>
          <w:lang w:val="en-NZ"/>
        </w:rPr>
        <w:t>scaled to provide population estimates.</w:t>
      </w:r>
    </w:p>
    <w:p w14:paraId="0EA93D49" w14:textId="26FCA7FF" w:rsidR="000E1436" w:rsidRDefault="004567D6" w:rsidP="00390F88">
      <w:pPr>
        <w:pStyle w:val="ListParagraph"/>
        <w:numPr>
          <w:ilvl w:val="0"/>
          <w:numId w:val="39"/>
        </w:numPr>
        <w:ind w:hanging="644"/>
        <w:jc w:val="both"/>
      </w:pPr>
      <w:r w:rsidRPr="00793ACF">
        <w:rPr>
          <w:b/>
          <w:bCs/>
        </w:rPr>
        <w:t>Compliance and administration cost</w:t>
      </w:r>
      <w:r w:rsidRPr="00793ACF">
        <w:t xml:space="preserve">: </w:t>
      </w:r>
      <w:r w:rsidR="00E25FA6">
        <w:t xml:space="preserve">Limiting interest deductions </w:t>
      </w:r>
      <w:r w:rsidR="00690B92">
        <w:t xml:space="preserve">will </w:t>
      </w:r>
      <w:r w:rsidR="00CE5642" w:rsidRPr="00CE5642">
        <w:t>come with high compliance costs for a large number of residential property owners. An estimated 2</w:t>
      </w:r>
      <w:r w:rsidR="00A57ADD">
        <w:t>5</w:t>
      </w:r>
      <w:r w:rsidR="00CE5642" w:rsidRPr="00CE5642">
        <w:t>0,000 taxpayers are likely to be affected by changes to interest deductibility</w:t>
      </w:r>
      <w:r w:rsidR="00AD5B37">
        <w:t xml:space="preserve">. </w:t>
      </w:r>
      <w:r w:rsidR="00D738B3">
        <w:t xml:space="preserve">Of those, </w:t>
      </w:r>
      <w:r w:rsidR="0005435E">
        <w:t>some</w:t>
      </w:r>
      <w:r w:rsidR="00D738B3">
        <w:t xml:space="preserve"> </w:t>
      </w:r>
      <w:r w:rsidR="0005435E">
        <w:t>m</w:t>
      </w:r>
      <w:r w:rsidR="005B4E60">
        <w:t>ay</w:t>
      </w:r>
      <w:r w:rsidR="0005435E">
        <w:t xml:space="preserve"> not have tax agents and only have one </w:t>
      </w:r>
      <w:r w:rsidR="00753CBA">
        <w:t xml:space="preserve">residential </w:t>
      </w:r>
      <w:r w:rsidR="0005435E">
        <w:t>property</w:t>
      </w:r>
      <w:r w:rsidR="00753CBA">
        <w:t xml:space="preserve">. </w:t>
      </w:r>
      <w:r w:rsidR="00742BF0">
        <w:t>I</w:t>
      </w:r>
      <w:r w:rsidR="00F24D7C">
        <w:t>t</w:t>
      </w:r>
      <w:r w:rsidR="00742BF0">
        <w:t xml:space="preserve"> may be particula</w:t>
      </w:r>
      <w:r w:rsidR="000F3853">
        <w:t>rly difficult for some taxpayers to determine w</w:t>
      </w:r>
      <w:r w:rsidR="005B549C">
        <w:t xml:space="preserve">hether </w:t>
      </w:r>
      <w:r w:rsidR="00E04A21">
        <w:t xml:space="preserve">their lending </w:t>
      </w:r>
      <w:r w:rsidR="00535038">
        <w:t>relates to residential property</w:t>
      </w:r>
      <w:r w:rsidR="00505479">
        <w:t xml:space="preserve"> or to other business purposes</w:t>
      </w:r>
      <w:r w:rsidR="006006A7">
        <w:t>.</w:t>
      </w:r>
      <w:r w:rsidR="00E25FA6">
        <w:t xml:space="preserve"> </w:t>
      </w:r>
      <w:r w:rsidR="00F2660A">
        <w:t xml:space="preserve">Further, taxpayers will be required to determine the </w:t>
      </w:r>
      <w:r w:rsidR="00505479">
        <w:t xml:space="preserve">deductions available for </w:t>
      </w:r>
      <w:r w:rsidR="00F2660A">
        <w:t xml:space="preserve">interest expenditure </w:t>
      </w:r>
      <w:r w:rsidR="00505479">
        <w:t xml:space="preserve">at </w:t>
      </w:r>
      <w:r w:rsidR="002B39EA">
        <w:t>each stage of the four-year phase out period.</w:t>
      </w:r>
    </w:p>
    <w:p w14:paraId="07EFF4F6" w14:textId="2455E23C" w:rsidR="00E25FA6" w:rsidRDefault="00425EEE" w:rsidP="00390F88">
      <w:pPr>
        <w:pStyle w:val="ListParagraph"/>
        <w:numPr>
          <w:ilvl w:val="0"/>
          <w:numId w:val="39"/>
        </w:numPr>
        <w:ind w:hanging="644"/>
        <w:jc w:val="both"/>
      </w:pPr>
      <w:r>
        <w:t>L</w:t>
      </w:r>
      <w:r w:rsidR="00E25FA6">
        <w:t xml:space="preserve">imiting interest deductions would involve increased administration costs for Inland Revenue over an extended period while different rules </w:t>
      </w:r>
      <w:r w:rsidR="00733C0A">
        <w:t>(</w:t>
      </w:r>
      <w:r w:rsidR="00E25FA6">
        <w:t>based on the acquisition date and nature of properties</w:t>
      </w:r>
      <w:r w:rsidR="00733C0A">
        <w:t>)</w:t>
      </w:r>
      <w:r w:rsidR="00E25FA6">
        <w:t xml:space="preserve"> continue to be in place. These administration costs would arise from managing an increased number of customer contacts and supporting the integrity of the rules. </w:t>
      </w:r>
      <w:r w:rsidR="00927ECD">
        <w:t>This means a mixture of providing people with information to increase awareness and making sure that Inland Revenue uses its full range of interventions to support customers in meeting their obligations right from the start through to follow-up action, where there is clear evidence of deliberate non-compliance.</w:t>
      </w:r>
      <w:r w:rsidR="00E25FA6">
        <w:t xml:space="preserve"> This will involve: </w:t>
      </w:r>
    </w:p>
    <w:p w14:paraId="3C14CCBB" w14:textId="60E40B3D" w:rsidR="00E25FA6" w:rsidRDefault="00E25FA6" w:rsidP="00390F88">
      <w:pPr>
        <w:pStyle w:val="ListParagraph"/>
        <w:numPr>
          <w:ilvl w:val="1"/>
          <w:numId w:val="39"/>
        </w:numPr>
        <w:ind w:hanging="447"/>
        <w:jc w:val="both"/>
      </w:pPr>
      <w:r>
        <w:t>ongoing proactive marketing and targeted education campaigns, followed by one-on-one interventions such as community compliance visits and integrity checks</w:t>
      </w:r>
      <w:r w:rsidR="634E1D81">
        <w:t>;</w:t>
      </w:r>
      <w:r>
        <w:t xml:space="preserve"> </w:t>
      </w:r>
    </w:p>
    <w:p w14:paraId="73EBD61C" w14:textId="77777777" w:rsidR="00E25FA6" w:rsidRDefault="00E25FA6" w:rsidP="00390F88">
      <w:pPr>
        <w:pStyle w:val="ListParagraph"/>
        <w:numPr>
          <w:ilvl w:val="1"/>
          <w:numId w:val="39"/>
        </w:numPr>
        <w:ind w:hanging="447"/>
        <w:jc w:val="both"/>
      </w:pPr>
      <w:r>
        <w:t xml:space="preserve">developing appropriate tools to assist customers to determine eligibility; </w:t>
      </w:r>
    </w:p>
    <w:p w14:paraId="2D46508C" w14:textId="2FE018FB" w:rsidR="00E25FA6" w:rsidRDefault="00E25FA6" w:rsidP="00390F88">
      <w:pPr>
        <w:pStyle w:val="ListParagraph"/>
        <w:numPr>
          <w:ilvl w:val="1"/>
          <w:numId w:val="39"/>
        </w:numPr>
        <w:ind w:hanging="447"/>
        <w:jc w:val="both"/>
      </w:pPr>
      <w:r>
        <w:t xml:space="preserve">improving Inland Revenue’s data and analytical capability; and </w:t>
      </w:r>
    </w:p>
    <w:p w14:paraId="23DCA817" w14:textId="4885530B" w:rsidR="00E25FA6" w:rsidRDefault="00E25FA6" w:rsidP="00390F88">
      <w:pPr>
        <w:pStyle w:val="ListParagraph"/>
        <w:numPr>
          <w:ilvl w:val="1"/>
          <w:numId w:val="39"/>
        </w:numPr>
        <w:ind w:hanging="447"/>
        <w:jc w:val="both"/>
      </w:pPr>
      <w:r>
        <w:t>taking audit action to address deliberate non-compliance</w:t>
      </w:r>
      <w:r w:rsidR="003E6181">
        <w:t>.</w:t>
      </w:r>
      <w:r w:rsidR="00DB11D2">
        <w:t xml:space="preserve"> </w:t>
      </w:r>
      <w:r w:rsidR="00535038">
        <w:t xml:space="preserve"> </w:t>
      </w:r>
    </w:p>
    <w:p w14:paraId="19B01769" w14:textId="4A0AF162" w:rsidR="00BF5C8D" w:rsidRPr="00793ACF" w:rsidRDefault="004567D6" w:rsidP="00390F88">
      <w:pPr>
        <w:pStyle w:val="ListParagraph"/>
        <w:numPr>
          <w:ilvl w:val="0"/>
          <w:numId w:val="39"/>
        </w:numPr>
        <w:ind w:hanging="644"/>
        <w:jc w:val="both"/>
        <w:rPr>
          <w:lang w:val="en-NZ"/>
        </w:rPr>
      </w:pPr>
      <w:r w:rsidRPr="00793ACF">
        <w:rPr>
          <w:b/>
          <w:bCs/>
        </w:rPr>
        <w:t>Coherence</w:t>
      </w:r>
      <w:r w:rsidR="002D4F81">
        <w:t xml:space="preserve">: </w:t>
      </w:r>
      <w:r w:rsidR="000F7168" w:rsidRPr="000F7168">
        <w:t>Limiting interest deductions will decrease the coherence of the tax system. A principle underlying the tax system is that generally only the amount of income after deducting any associated costs is taxable. This policy would create an exception to that general rule.</w:t>
      </w:r>
    </w:p>
    <w:p w14:paraId="3F7AA2C2" w14:textId="5355C703" w:rsidR="007D78A1" w:rsidRPr="00A864A5" w:rsidRDefault="001A4B31" w:rsidP="00273FD3">
      <w:pPr>
        <w:pStyle w:val="Heading4"/>
        <w:jc w:val="both"/>
        <w:rPr>
          <w:lang w:val="en-NZ"/>
        </w:rPr>
      </w:pPr>
      <w:r>
        <w:rPr>
          <w:lang w:val="en-NZ"/>
        </w:rPr>
        <w:br/>
      </w:r>
      <w:r w:rsidR="007D78A1" w:rsidRPr="00A864A5">
        <w:rPr>
          <w:lang w:val="en-NZ"/>
        </w:rPr>
        <w:t xml:space="preserve">Option </w:t>
      </w:r>
      <w:r w:rsidR="005A0FA4">
        <w:rPr>
          <w:lang w:val="en-NZ"/>
        </w:rPr>
        <w:t>2</w:t>
      </w:r>
      <w:r w:rsidR="007D78A1" w:rsidRPr="00A864A5">
        <w:rPr>
          <w:lang w:val="en-NZ"/>
        </w:rPr>
        <w:t xml:space="preserve"> </w:t>
      </w:r>
      <w:r w:rsidR="001C1A46">
        <w:rPr>
          <w:lang w:val="en-NZ"/>
        </w:rPr>
        <w:t>–</w:t>
      </w:r>
      <w:r w:rsidR="007D78A1" w:rsidRPr="00A864A5">
        <w:rPr>
          <w:lang w:val="en-NZ"/>
        </w:rPr>
        <w:t xml:space="preserve"> </w:t>
      </w:r>
      <w:r w:rsidR="000512C7">
        <w:rPr>
          <w:lang w:val="en-NZ"/>
        </w:rPr>
        <w:t>deny interest deductions for residential investment property, but with an exemption for new builds</w:t>
      </w:r>
    </w:p>
    <w:p w14:paraId="48A52D24" w14:textId="33172020" w:rsidR="007C1FC0" w:rsidRDefault="005A0FA4" w:rsidP="00390F88">
      <w:pPr>
        <w:pStyle w:val="ListParagraph"/>
        <w:numPr>
          <w:ilvl w:val="0"/>
          <w:numId w:val="39"/>
        </w:numPr>
        <w:ind w:hanging="644"/>
        <w:jc w:val="both"/>
        <w:rPr>
          <w:lang w:val="en-NZ"/>
        </w:rPr>
      </w:pPr>
      <w:r>
        <w:rPr>
          <w:lang w:val="en-NZ"/>
        </w:rPr>
        <w:t>Option 2</w:t>
      </w:r>
      <w:r w:rsidR="00176B09">
        <w:rPr>
          <w:lang w:val="en-NZ"/>
        </w:rPr>
        <w:t xml:space="preserve"> </w:t>
      </w:r>
      <w:r w:rsidR="00D00E0E">
        <w:rPr>
          <w:lang w:val="en-NZ"/>
        </w:rPr>
        <w:t xml:space="preserve">is </w:t>
      </w:r>
      <w:r w:rsidR="00A95674">
        <w:rPr>
          <w:lang w:val="en-NZ"/>
        </w:rPr>
        <w:t>similar</w:t>
      </w:r>
      <w:r w:rsidR="00D00E0E">
        <w:rPr>
          <w:lang w:val="en-NZ"/>
        </w:rPr>
        <w:t xml:space="preserve"> to Option </w:t>
      </w:r>
      <w:r>
        <w:rPr>
          <w:lang w:val="en-NZ"/>
        </w:rPr>
        <w:t>1</w:t>
      </w:r>
      <w:r w:rsidR="005F60FD">
        <w:rPr>
          <w:lang w:val="en-NZ"/>
        </w:rPr>
        <w:t>, except that th</w:t>
      </w:r>
      <w:r w:rsidR="0090386B">
        <w:rPr>
          <w:lang w:val="en-NZ"/>
        </w:rPr>
        <w:t>ere</w:t>
      </w:r>
      <w:r w:rsidR="005F60FD">
        <w:rPr>
          <w:lang w:val="en-NZ"/>
        </w:rPr>
        <w:t xml:space="preserve"> is a</w:t>
      </w:r>
      <w:r w:rsidR="0090386B">
        <w:rPr>
          <w:lang w:val="en-NZ"/>
        </w:rPr>
        <w:t>n</w:t>
      </w:r>
      <w:r w:rsidR="005F60FD">
        <w:rPr>
          <w:lang w:val="en-NZ"/>
        </w:rPr>
        <w:t xml:space="preserve"> </w:t>
      </w:r>
      <w:r w:rsidR="003F0955">
        <w:rPr>
          <w:lang w:val="en-NZ"/>
        </w:rPr>
        <w:t>exclusion for interest expenditure incurred in deriving income from property</w:t>
      </w:r>
      <w:r w:rsidR="00D00E0E">
        <w:rPr>
          <w:lang w:val="en-NZ"/>
        </w:rPr>
        <w:t xml:space="preserve"> </w:t>
      </w:r>
      <w:r w:rsidR="003F0955">
        <w:rPr>
          <w:lang w:val="en-NZ"/>
        </w:rPr>
        <w:t xml:space="preserve">that </w:t>
      </w:r>
      <w:r w:rsidR="007A45E4">
        <w:rPr>
          <w:lang w:val="en-NZ"/>
        </w:rPr>
        <w:t xml:space="preserve">qualifies as </w:t>
      </w:r>
      <w:r w:rsidR="003F0955">
        <w:rPr>
          <w:lang w:val="en-NZ"/>
        </w:rPr>
        <w:t xml:space="preserve">a new build. </w:t>
      </w:r>
      <w:r w:rsidR="00414BC4" w:rsidRPr="00414BC4">
        <w:rPr>
          <w:lang w:val="en-NZ"/>
        </w:rPr>
        <w:t xml:space="preserve">The discussion document consulted on </w:t>
      </w:r>
      <w:r w:rsidR="00414BC4">
        <w:rPr>
          <w:lang w:val="en-NZ"/>
        </w:rPr>
        <w:t xml:space="preserve">two design features of the </w:t>
      </w:r>
      <w:r w:rsidR="007C1FC0">
        <w:rPr>
          <w:lang w:val="en-NZ"/>
        </w:rPr>
        <w:t>proposed new build exemption:</w:t>
      </w:r>
    </w:p>
    <w:p w14:paraId="500C5F65" w14:textId="50D59CBF" w:rsidR="00414BC4" w:rsidRPr="00456ED3" w:rsidRDefault="007B3E69" w:rsidP="00390F88">
      <w:pPr>
        <w:pStyle w:val="ListParagraph"/>
        <w:numPr>
          <w:ilvl w:val="1"/>
          <w:numId w:val="39"/>
        </w:numPr>
        <w:ind w:hanging="447"/>
        <w:jc w:val="both"/>
        <w:rPr>
          <w:lang w:val="en-NZ"/>
        </w:rPr>
      </w:pPr>
      <w:r>
        <w:rPr>
          <w:lang w:val="en-NZ"/>
        </w:rPr>
        <w:t xml:space="preserve">who is eligible for the exemption (for example, </w:t>
      </w:r>
      <w:r w:rsidR="00414BC4" w:rsidRPr="00456ED3">
        <w:rPr>
          <w:lang w:val="en-NZ"/>
        </w:rPr>
        <w:t>whether to</w:t>
      </w:r>
      <w:r w:rsidR="00456ED3" w:rsidRPr="00456ED3">
        <w:rPr>
          <w:lang w:val="en-NZ"/>
        </w:rPr>
        <w:t xml:space="preserve"> </w:t>
      </w:r>
      <w:r w:rsidR="00414BC4" w:rsidRPr="00456ED3">
        <w:rPr>
          <w:lang w:val="en-NZ"/>
        </w:rPr>
        <w:t>only allow interest deductions for the initial purchasers of those new builds</w:t>
      </w:r>
      <w:r w:rsidR="00456ED3" w:rsidRPr="00456ED3">
        <w:rPr>
          <w:lang w:val="en-NZ"/>
        </w:rPr>
        <w:t xml:space="preserve"> </w:t>
      </w:r>
      <w:r w:rsidR="00414BC4" w:rsidRPr="00456ED3">
        <w:rPr>
          <w:lang w:val="en-NZ"/>
        </w:rPr>
        <w:t>or allow interest deductions on new builds to be claimed for a fixed period</w:t>
      </w:r>
      <w:r w:rsidR="0001253C">
        <w:rPr>
          <w:lang w:val="en-NZ"/>
        </w:rPr>
        <w:t xml:space="preserve"> (with both initial and subsequent purchasers being allowed to claim interest deductions</w:t>
      </w:r>
      <w:r w:rsidR="00370F06">
        <w:rPr>
          <w:lang w:val="en-NZ"/>
        </w:rPr>
        <w:t xml:space="preserve"> during that period</w:t>
      </w:r>
      <w:r w:rsidR="0001253C">
        <w:rPr>
          <w:lang w:val="en-NZ"/>
        </w:rPr>
        <w:t>)</w:t>
      </w:r>
      <w:r w:rsidR="00144E9B">
        <w:rPr>
          <w:lang w:val="en-NZ"/>
        </w:rPr>
        <w:t>)</w:t>
      </w:r>
      <w:r w:rsidR="007C1FC0" w:rsidRPr="00456ED3">
        <w:rPr>
          <w:lang w:val="en-NZ"/>
        </w:rPr>
        <w:t>; and</w:t>
      </w:r>
    </w:p>
    <w:p w14:paraId="6A982B7A" w14:textId="2ED494AC" w:rsidR="007C1FC0" w:rsidRDefault="007C1FC0" w:rsidP="00390F88">
      <w:pPr>
        <w:pStyle w:val="ListParagraph"/>
        <w:numPr>
          <w:ilvl w:val="1"/>
          <w:numId w:val="39"/>
        </w:numPr>
        <w:ind w:hanging="447"/>
        <w:jc w:val="both"/>
        <w:rPr>
          <w:lang w:val="en-NZ"/>
        </w:rPr>
      </w:pPr>
      <w:r>
        <w:rPr>
          <w:lang w:val="en-NZ"/>
        </w:rPr>
        <w:t>the length of the exemption</w:t>
      </w:r>
      <w:r w:rsidR="00456ED3">
        <w:rPr>
          <w:lang w:val="en-NZ"/>
        </w:rPr>
        <w:t xml:space="preserve"> </w:t>
      </w:r>
      <w:r w:rsidR="00F241A5">
        <w:rPr>
          <w:lang w:val="en-NZ"/>
        </w:rPr>
        <w:t xml:space="preserve">(for example, </w:t>
      </w:r>
      <w:r w:rsidR="00456ED3">
        <w:rPr>
          <w:lang w:val="en-NZ"/>
        </w:rPr>
        <w:t xml:space="preserve">10 </w:t>
      </w:r>
      <w:r w:rsidR="002F5E0A">
        <w:rPr>
          <w:lang w:val="en-NZ"/>
        </w:rPr>
        <w:t>years,</w:t>
      </w:r>
      <w:r w:rsidR="00456ED3">
        <w:rPr>
          <w:lang w:val="en-NZ"/>
        </w:rPr>
        <w:t xml:space="preserve"> 20 years</w:t>
      </w:r>
      <w:r w:rsidR="002F5E0A">
        <w:rPr>
          <w:lang w:val="en-NZ"/>
        </w:rPr>
        <w:t>, or in perpetuity</w:t>
      </w:r>
      <w:r w:rsidR="00394BE1">
        <w:rPr>
          <w:lang w:val="en-NZ"/>
        </w:rPr>
        <w:t xml:space="preserve"> from when </w:t>
      </w:r>
      <w:r w:rsidR="0042613E">
        <w:rPr>
          <w:lang w:val="en-NZ"/>
        </w:rPr>
        <w:t>the code compliance certificate was issued</w:t>
      </w:r>
      <w:r w:rsidR="00F241A5">
        <w:rPr>
          <w:lang w:val="en-NZ"/>
        </w:rPr>
        <w:t>)</w:t>
      </w:r>
      <w:r w:rsidR="00456ED3">
        <w:rPr>
          <w:lang w:val="en-NZ"/>
        </w:rPr>
        <w:t>.</w:t>
      </w:r>
    </w:p>
    <w:p w14:paraId="72E377E4" w14:textId="78806734" w:rsidR="00273FD3" w:rsidRPr="004265D2" w:rsidRDefault="00E16EDA" w:rsidP="00390F88">
      <w:pPr>
        <w:pStyle w:val="ListParagraph"/>
        <w:numPr>
          <w:ilvl w:val="0"/>
          <w:numId w:val="39"/>
        </w:numPr>
        <w:ind w:hanging="644"/>
        <w:jc w:val="both"/>
        <w:rPr>
          <w:lang w:val="en-NZ"/>
        </w:rPr>
      </w:pPr>
      <w:r w:rsidRPr="004265D2">
        <w:rPr>
          <w:b/>
          <w:bCs/>
          <w:lang w:val="en-NZ"/>
        </w:rPr>
        <w:t>Consultation</w:t>
      </w:r>
      <w:r w:rsidRPr="004265D2">
        <w:rPr>
          <w:lang w:val="en-NZ"/>
        </w:rPr>
        <w:t xml:space="preserve">: </w:t>
      </w:r>
      <w:r w:rsidR="003055AA" w:rsidRPr="004265D2">
        <w:rPr>
          <w:lang w:val="en-NZ"/>
        </w:rPr>
        <w:t xml:space="preserve">Submitters to the Government’s discussion document </w:t>
      </w:r>
      <w:r w:rsidR="0077571D" w:rsidRPr="004265D2">
        <w:rPr>
          <w:lang w:val="en-NZ"/>
        </w:rPr>
        <w:t>generally considered</w:t>
      </w:r>
      <w:r w:rsidR="003055AA" w:rsidRPr="004265D2">
        <w:rPr>
          <w:lang w:val="en-NZ"/>
        </w:rPr>
        <w:t xml:space="preserve"> that if the proposal went ahead, that a generous new build exemption </w:t>
      </w:r>
      <w:r w:rsidR="0058713C" w:rsidRPr="004265D2">
        <w:rPr>
          <w:lang w:val="en-NZ"/>
        </w:rPr>
        <w:t>ought to be provided.</w:t>
      </w:r>
      <w:r w:rsidR="00B1687F" w:rsidRPr="004265D2">
        <w:rPr>
          <w:lang w:val="en-NZ"/>
        </w:rPr>
        <w:t xml:space="preserve"> </w:t>
      </w:r>
      <w:r w:rsidR="000672C6" w:rsidRPr="004265D2">
        <w:rPr>
          <w:lang w:val="en-NZ"/>
        </w:rPr>
        <w:t xml:space="preserve">However, general critique focussed on how the exemption could increase the price of new builds </w:t>
      </w:r>
      <w:r w:rsidR="00F54B7D" w:rsidRPr="004265D2">
        <w:rPr>
          <w:lang w:val="en-NZ"/>
        </w:rPr>
        <w:t>(</w:t>
      </w:r>
      <w:r w:rsidR="000672C6" w:rsidRPr="004265D2">
        <w:rPr>
          <w:lang w:val="en-NZ"/>
        </w:rPr>
        <w:t>therefore negatively impacting owner-occupiers</w:t>
      </w:r>
      <w:r w:rsidR="00F54B7D" w:rsidRPr="004265D2">
        <w:rPr>
          <w:lang w:val="en-NZ"/>
        </w:rPr>
        <w:t xml:space="preserve">) </w:t>
      </w:r>
      <w:r w:rsidR="00254EBF" w:rsidRPr="004265D2">
        <w:rPr>
          <w:lang w:val="en-NZ"/>
        </w:rPr>
        <w:t xml:space="preserve">and </w:t>
      </w:r>
      <w:r w:rsidR="000672C6" w:rsidRPr="004265D2">
        <w:rPr>
          <w:lang w:val="en-NZ"/>
        </w:rPr>
        <w:t xml:space="preserve">undermine the interest limitation policy. </w:t>
      </w:r>
    </w:p>
    <w:p w14:paraId="4EC2384F" w14:textId="2A189128" w:rsidR="000672C6" w:rsidRPr="00273FD3" w:rsidRDefault="00273FD3" w:rsidP="00390F88">
      <w:pPr>
        <w:pStyle w:val="ListParagraph"/>
        <w:numPr>
          <w:ilvl w:val="0"/>
          <w:numId w:val="39"/>
        </w:numPr>
        <w:ind w:hanging="644"/>
        <w:jc w:val="both"/>
        <w:rPr>
          <w:lang w:val="en-NZ"/>
        </w:rPr>
      </w:pPr>
      <w:r>
        <w:rPr>
          <w:lang w:val="en-NZ"/>
        </w:rPr>
        <w:t>S</w:t>
      </w:r>
      <w:r w:rsidR="005604B1" w:rsidRPr="00273FD3">
        <w:rPr>
          <w:lang w:val="en-NZ"/>
        </w:rPr>
        <w:t xml:space="preserve">ubmitters </w:t>
      </w:r>
      <w:r w:rsidR="000672C6" w:rsidRPr="00273FD3">
        <w:rPr>
          <w:lang w:val="en-NZ"/>
        </w:rPr>
        <w:t>were largely in favour of the exemption applying to both initial owners and subsequent purchasers</w:t>
      </w:r>
      <w:r w:rsidR="006E38DC" w:rsidRPr="00273FD3">
        <w:rPr>
          <w:lang w:val="en-NZ"/>
        </w:rPr>
        <w:t xml:space="preserve"> a</w:t>
      </w:r>
      <w:r w:rsidR="005604B1" w:rsidRPr="00273FD3">
        <w:rPr>
          <w:lang w:val="en-NZ"/>
        </w:rPr>
        <w:t xml:space="preserve">s </w:t>
      </w:r>
      <w:r w:rsidR="006E38DC" w:rsidRPr="00273FD3">
        <w:rPr>
          <w:lang w:val="en-NZ"/>
        </w:rPr>
        <w:t>th</w:t>
      </w:r>
      <w:r w:rsidR="00254EBF">
        <w:rPr>
          <w:lang w:val="en-NZ"/>
        </w:rPr>
        <w:t>is</w:t>
      </w:r>
      <w:r w:rsidR="005604B1" w:rsidRPr="00273FD3">
        <w:rPr>
          <w:lang w:val="en-NZ"/>
        </w:rPr>
        <w:t xml:space="preserve"> will</w:t>
      </w:r>
      <w:r w:rsidR="000672C6" w:rsidRPr="00273FD3">
        <w:rPr>
          <w:lang w:val="en-NZ"/>
        </w:rPr>
        <w:t xml:space="preserve"> </w:t>
      </w:r>
      <w:r w:rsidR="006E38DC" w:rsidRPr="00273FD3">
        <w:rPr>
          <w:lang w:val="en-NZ"/>
        </w:rPr>
        <w:t>like</w:t>
      </w:r>
      <w:r w:rsidR="008976E2">
        <w:rPr>
          <w:lang w:val="en-NZ"/>
        </w:rPr>
        <w:t>ly</w:t>
      </w:r>
      <w:r w:rsidR="006E38DC" w:rsidRPr="00273FD3">
        <w:rPr>
          <w:lang w:val="en-NZ"/>
        </w:rPr>
        <w:t xml:space="preserve"> </w:t>
      </w:r>
      <w:r w:rsidR="000672C6" w:rsidRPr="00273FD3">
        <w:rPr>
          <w:lang w:val="en-NZ"/>
        </w:rPr>
        <w:t>increase the resale value</w:t>
      </w:r>
      <w:r w:rsidR="006E38DC" w:rsidRPr="00273FD3">
        <w:rPr>
          <w:lang w:val="en-NZ"/>
        </w:rPr>
        <w:t xml:space="preserve"> of the property</w:t>
      </w:r>
      <w:r w:rsidR="000672C6" w:rsidRPr="00273FD3">
        <w:rPr>
          <w:lang w:val="en-NZ"/>
        </w:rPr>
        <w:t xml:space="preserve"> </w:t>
      </w:r>
      <w:r w:rsidR="1C048B54" w:rsidRPr="275244B3">
        <w:rPr>
          <w:lang w:val="en-NZ"/>
        </w:rPr>
        <w:t>(</w:t>
      </w:r>
      <w:r w:rsidR="000672C6" w:rsidRPr="00273FD3">
        <w:rPr>
          <w:lang w:val="en-NZ"/>
        </w:rPr>
        <w:t>providing a greater incentive for the initial investor to purchase a new build</w:t>
      </w:r>
      <w:r w:rsidR="1206FA0D" w:rsidRPr="275244B3">
        <w:rPr>
          <w:lang w:val="en-NZ"/>
        </w:rPr>
        <w:t>)</w:t>
      </w:r>
      <w:r w:rsidR="7E7EA4F5" w:rsidRPr="275244B3">
        <w:rPr>
          <w:lang w:val="en-NZ"/>
        </w:rPr>
        <w:t>.</w:t>
      </w:r>
      <w:r w:rsidR="000672C6" w:rsidRPr="00273FD3">
        <w:rPr>
          <w:lang w:val="en-NZ"/>
        </w:rPr>
        <w:t xml:space="preserve"> However, many submitters did not think the exemption should be passed on to a subsequent purchaser, either because it was unfair to advantage someone who had not invested in a "new" new build, or because it would drive up the price of new builds and price owner-occupiers out of the new build market.  </w:t>
      </w:r>
    </w:p>
    <w:p w14:paraId="05CD2EE2" w14:textId="4F3AAE0F" w:rsidR="000672C6" w:rsidRPr="006A5A95" w:rsidRDefault="000672C6" w:rsidP="00390F88">
      <w:pPr>
        <w:pStyle w:val="ListParagraph"/>
        <w:numPr>
          <w:ilvl w:val="0"/>
          <w:numId w:val="39"/>
        </w:numPr>
        <w:ind w:hanging="644"/>
        <w:jc w:val="both"/>
        <w:rPr>
          <w:lang w:val="en-NZ"/>
        </w:rPr>
      </w:pPr>
      <w:r w:rsidRPr="000672C6">
        <w:rPr>
          <w:lang w:val="en-NZ"/>
        </w:rPr>
        <w:t>The most popular option was for a fixed period to apply to both the initial owners and subsequent purchasers of a new build. The option of an in-perpetuity exemption for initial owners</w:t>
      </w:r>
      <w:r w:rsidR="529827F1" w:rsidRPr="275244B3">
        <w:rPr>
          <w:lang w:val="en-NZ"/>
        </w:rPr>
        <w:t>,</w:t>
      </w:r>
      <w:r w:rsidRPr="000672C6">
        <w:rPr>
          <w:lang w:val="en-NZ"/>
        </w:rPr>
        <w:t xml:space="preserve"> </w:t>
      </w:r>
      <w:r w:rsidR="00483F02">
        <w:rPr>
          <w:lang w:val="en-NZ"/>
        </w:rPr>
        <w:t>plus a fixed period for subsequent purchasers</w:t>
      </w:r>
      <w:r w:rsidR="7FA0EB2F" w:rsidRPr="275244B3">
        <w:rPr>
          <w:lang w:val="en-NZ"/>
        </w:rPr>
        <w:t>,</w:t>
      </w:r>
      <w:r w:rsidR="00483F02">
        <w:rPr>
          <w:lang w:val="en-NZ"/>
        </w:rPr>
        <w:t xml:space="preserve"> </w:t>
      </w:r>
      <w:r w:rsidRPr="000672C6">
        <w:rPr>
          <w:lang w:val="en-NZ"/>
        </w:rPr>
        <w:t xml:space="preserve">was also popular. </w:t>
      </w:r>
    </w:p>
    <w:p w14:paraId="08A90A84" w14:textId="39E6D64B" w:rsidR="00B6124B" w:rsidRPr="00F2153A" w:rsidRDefault="00B6124B" w:rsidP="00390F88">
      <w:pPr>
        <w:pStyle w:val="ListParagraph"/>
        <w:numPr>
          <w:ilvl w:val="0"/>
          <w:numId w:val="39"/>
        </w:numPr>
        <w:ind w:hanging="644"/>
        <w:jc w:val="both"/>
        <w:rPr>
          <w:lang w:val="en-NZ"/>
        </w:rPr>
      </w:pPr>
      <w:r w:rsidRPr="00727F32">
        <w:rPr>
          <w:b/>
          <w:bCs/>
        </w:rPr>
        <w:t>Improves housing affordability for first-home buyers</w:t>
      </w:r>
      <w:r w:rsidRPr="00793ACF">
        <w:t>:</w:t>
      </w:r>
      <w:r>
        <w:t xml:space="preserve"> This option would improve housing affordability for first</w:t>
      </w:r>
      <w:r w:rsidR="00D61224">
        <w:t>-</w:t>
      </w:r>
      <w:r>
        <w:t xml:space="preserve">home buyers (given the increased </w:t>
      </w:r>
      <w:r w:rsidR="00750F13">
        <w:t xml:space="preserve">tax cost of </w:t>
      </w:r>
      <w:r>
        <w:t xml:space="preserve">investment </w:t>
      </w:r>
      <w:r w:rsidR="00132DE1">
        <w:t xml:space="preserve">in </w:t>
      </w:r>
      <w:r w:rsidRPr="00F2153A">
        <w:t xml:space="preserve">existing builds), but to a lesser extent to than </w:t>
      </w:r>
      <w:r w:rsidR="00C01E90">
        <w:t>Option 1</w:t>
      </w:r>
      <w:r w:rsidRPr="00F2153A">
        <w:t xml:space="preserve">. </w:t>
      </w:r>
    </w:p>
    <w:p w14:paraId="74DCCD6C" w14:textId="11D2A939" w:rsidR="00E62786" w:rsidRPr="004A18A5" w:rsidRDefault="00BF3D1C" w:rsidP="00390F88">
      <w:pPr>
        <w:pStyle w:val="ListParagraph"/>
        <w:numPr>
          <w:ilvl w:val="0"/>
          <w:numId w:val="39"/>
        </w:numPr>
        <w:ind w:hanging="644"/>
        <w:jc w:val="both"/>
        <w:rPr>
          <w:lang w:val="en-NZ"/>
        </w:rPr>
      </w:pPr>
      <w:r w:rsidRPr="00F2153A">
        <w:rPr>
          <w:lang w:val="en-NZ"/>
        </w:rPr>
        <w:t xml:space="preserve">The new build exemption will increase the return for a </w:t>
      </w:r>
      <w:r w:rsidR="00A942EA">
        <w:rPr>
          <w:lang w:val="en-NZ"/>
        </w:rPr>
        <w:t>debt-funded</w:t>
      </w:r>
      <w:r w:rsidR="00A942EA" w:rsidRPr="00F2153A">
        <w:rPr>
          <w:lang w:val="en-NZ"/>
        </w:rPr>
        <w:t xml:space="preserve"> </w:t>
      </w:r>
      <w:r w:rsidRPr="00F2153A">
        <w:rPr>
          <w:lang w:val="en-NZ"/>
        </w:rPr>
        <w:t xml:space="preserve">investor </w:t>
      </w:r>
      <w:r w:rsidR="00F601DB">
        <w:rPr>
          <w:lang w:val="en-NZ"/>
        </w:rPr>
        <w:t>in</w:t>
      </w:r>
      <w:r w:rsidRPr="00F2153A">
        <w:rPr>
          <w:lang w:val="en-NZ"/>
        </w:rPr>
        <w:t xml:space="preserve"> a newly built residential property, relative to the return from that investor purchasing an existing residential property. This means that a new </w:t>
      </w:r>
      <w:r w:rsidR="00CC40E3">
        <w:rPr>
          <w:lang w:val="en-NZ"/>
        </w:rPr>
        <w:t>debt-funded</w:t>
      </w:r>
      <w:r w:rsidR="00CC40E3" w:rsidRPr="00F2153A">
        <w:rPr>
          <w:lang w:val="en-NZ"/>
        </w:rPr>
        <w:t xml:space="preserve"> </w:t>
      </w:r>
      <w:r w:rsidRPr="00F2153A">
        <w:rPr>
          <w:lang w:val="en-NZ"/>
        </w:rPr>
        <w:t xml:space="preserve">investor will be willing to pay less for an existing property compared to </w:t>
      </w:r>
      <w:r w:rsidR="00717C02">
        <w:rPr>
          <w:lang w:val="en-NZ"/>
        </w:rPr>
        <w:t>a comparable new</w:t>
      </w:r>
      <w:r w:rsidR="00510827">
        <w:rPr>
          <w:lang w:val="en-NZ"/>
        </w:rPr>
        <w:t xml:space="preserve"> </w:t>
      </w:r>
      <w:r w:rsidR="00717C02">
        <w:rPr>
          <w:lang w:val="en-NZ"/>
        </w:rPr>
        <w:t>build</w:t>
      </w:r>
      <w:r w:rsidRPr="00F2153A">
        <w:rPr>
          <w:lang w:val="en-NZ"/>
        </w:rPr>
        <w:t>.</w:t>
      </w:r>
    </w:p>
    <w:p w14:paraId="5ABD10B5" w14:textId="7CB9BF90" w:rsidR="005A574F" w:rsidRDefault="00D31831" w:rsidP="00390F88">
      <w:pPr>
        <w:pStyle w:val="ListParagraph"/>
        <w:numPr>
          <w:ilvl w:val="0"/>
          <w:numId w:val="39"/>
        </w:numPr>
        <w:ind w:hanging="644"/>
        <w:jc w:val="both"/>
      </w:pPr>
      <w:r w:rsidRPr="00F44429">
        <w:rPr>
          <w:lang w:val="en-NZ"/>
        </w:rPr>
        <w:t>Th</w:t>
      </w:r>
      <w:r w:rsidR="00F44429" w:rsidRPr="00F44429">
        <w:rPr>
          <w:lang w:val="en-NZ"/>
        </w:rPr>
        <w:t>e</w:t>
      </w:r>
      <w:r w:rsidRPr="00F44429">
        <w:rPr>
          <w:lang w:val="en-NZ"/>
        </w:rPr>
        <w:t xml:space="preserve"> shift in demand </w:t>
      </w:r>
      <w:r w:rsidR="00F44429" w:rsidRPr="00F44429">
        <w:rPr>
          <w:lang w:val="en-NZ"/>
        </w:rPr>
        <w:t xml:space="preserve">towards new builds </w:t>
      </w:r>
      <w:r w:rsidRPr="00F44429">
        <w:rPr>
          <w:lang w:val="en-NZ"/>
        </w:rPr>
        <w:t>could,</w:t>
      </w:r>
      <w:r w:rsidR="0A6429B7" w:rsidRPr="142E7EB4">
        <w:rPr>
          <w:lang w:val="en-NZ"/>
        </w:rPr>
        <w:t xml:space="preserve"> </w:t>
      </w:r>
      <w:r w:rsidRPr="00F44429">
        <w:rPr>
          <w:lang w:val="en-NZ"/>
        </w:rPr>
        <w:t xml:space="preserve">unchecked, lead to an increase in the price of new builds relative to existing homes. </w:t>
      </w:r>
      <w:r w:rsidR="00BF3D1C">
        <w:t xml:space="preserve">However, the </w:t>
      </w:r>
      <w:r w:rsidR="005A574F">
        <w:t xml:space="preserve">shift </w:t>
      </w:r>
      <w:r w:rsidR="00BF3D1C">
        <w:t xml:space="preserve">in </w:t>
      </w:r>
      <w:r w:rsidR="005A574F">
        <w:t>investor demand to new builds</w:t>
      </w:r>
      <w:r w:rsidR="00BF3D1C">
        <w:t xml:space="preserve"> </w:t>
      </w:r>
      <w:r w:rsidR="005A574F">
        <w:t>will reduce the impact that removing the deductibility of interest has on moderating house price growth. This is because the new build exemption will lead investors to value new builds closer to how they were valued prior to the tax change. A longer new build exemption would further reduce the impact that the policy has on moderating house price growth.</w:t>
      </w:r>
    </w:p>
    <w:p w14:paraId="3A51230F" w14:textId="2820529D" w:rsidR="00D31831" w:rsidRDefault="005A574F" w:rsidP="00390F88">
      <w:pPr>
        <w:pStyle w:val="ListParagraph"/>
        <w:numPr>
          <w:ilvl w:val="0"/>
          <w:numId w:val="39"/>
        </w:numPr>
        <w:ind w:left="930" w:hanging="646"/>
        <w:jc w:val="both"/>
      </w:pPr>
      <w:r>
        <w:t xml:space="preserve">The new build exemption will not just affect demand for new builds. In response to </w:t>
      </w:r>
      <w:r w:rsidR="00916CA9">
        <w:t xml:space="preserve">debt-funded </w:t>
      </w:r>
      <w:r>
        <w:t>investors moving into the new build market, owner-occupiers and equity</w:t>
      </w:r>
      <w:r w:rsidR="004127A9">
        <w:t>-funded</w:t>
      </w:r>
      <w:r>
        <w:t xml:space="preserve"> investors will purchase fewer new builds and more existing homes. That means that the length of the new build exemption </w:t>
      </w:r>
      <w:r w:rsidR="125823B4">
        <w:t>modif</w:t>
      </w:r>
      <w:r>
        <w:t>ies</w:t>
      </w:r>
      <w:r w:rsidR="00E36075">
        <w:t xml:space="preserve"> </w:t>
      </w:r>
      <w:r>
        <w:t xml:space="preserve">the impact that interest limitation has on the demand for, and growth in prices of, both new </w:t>
      </w:r>
      <w:r w:rsidRPr="00AD673D">
        <w:t>and</w:t>
      </w:r>
      <w:r>
        <w:t xml:space="preserve"> existing </w:t>
      </w:r>
      <w:r w:rsidRPr="00831F80">
        <w:t xml:space="preserve">homes. </w:t>
      </w:r>
    </w:p>
    <w:p w14:paraId="6BA31CE3" w14:textId="511302E9" w:rsidR="00831F80" w:rsidRDefault="00D31831" w:rsidP="00390F88">
      <w:pPr>
        <w:pStyle w:val="ListParagraph"/>
        <w:numPr>
          <w:ilvl w:val="0"/>
          <w:numId w:val="39"/>
        </w:numPr>
        <w:ind w:left="930" w:hanging="646"/>
        <w:jc w:val="both"/>
      </w:pPr>
      <w:r w:rsidRPr="00E43A7C">
        <w:rPr>
          <w:lang w:val="en-NZ"/>
        </w:rPr>
        <w:t xml:space="preserve">If new and existing homes on the market are </w:t>
      </w:r>
      <w:r w:rsidR="00FE4AFD">
        <w:rPr>
          <w:lang w:val="en-NZ"/>
        </w:rPr>
        <w:t>very clos</w:t>
      </w:r>
      <w:r w:rsidRPr="00E43A7C">
        <w:rPr>
          <w:lang w:val="en-NZ"/>
        </w:rPr>
        <w:t xml:space="preserve">ely substitutable, then we would expect that buyer </w:t>
      </w:r>
      <w:r w:rsidR="00BB73BF">
        <w:rPr>
          <w:lang w:val="en-NZ"/>
        </w:rPr>
        <w:t>su</w:t>
      </w:r>
      <w:r w:rsidR="0088666C">
        <w:rPr>
          <w:lang w:val="en-NZ"/>
        </w:rPr>
        <w:t>b</w:t>
      </w:r>
      <w:r w:rsidR="00BB73BF">
        <w:rPr>
          <w:lang w:val="en-NZ"/>
        </w:rPr>
        <w:t>stitution</w:t>
      </w:r>
      <w:r w:rsidR="00BB73BF" w:rsidRPr="00E43A7C">
        <w:rPr>
          <w:lang w:val="en-NZ"/>
        </w:rPr>
        <w:t xml:space="preserve"> </w:t>
      </w:r>
      <w:r w:rsidR="00675196">
        <w:rPr>
          <w:lang w:val="en-NZ"/>
        </w:rPr>
        <w:t>is likely to</w:t>
      </w:r>
      <w:r w:rsidR="00E03924">
        <w:rPr>
          <w:lang w:val="en-NZ"/>
        </w:rPr>
        <w:t xml:space="preserve"> mean that </w:t>
      </w:r>
      <w:r w:rsidR="00E34658">
        <w:rPr>
          <w:lang w:val="en-NZ"/>
        </w:rPr>
        <w:t>O</w:t>
      </w:r>
      <w:r w:rsidR="00E03924">
        <w:rPr>
          <w:lang w:val="en-NZ"/>
        </w:rPr>
        <w:t xml:space="preserve">ption 2 would be much less effective than </w:t>
      </w:r>
      <w:r w:rsidR="00E34658">
        <w:rPr>
          <w:lang w:val="en-NZ"/>
        </w:rPr>
        <w:t>O</w:t>
      </w:r>
      <w:r w:rsidR="00E03924">
        <w:rPr>
          <w:lang w:val="en-NZ"/>
        </w:rPr>
        <w:t>ption 1 in putting downwar</w:t>
      </w:r>
      <w:r w:rsidR="00CC14E7">
        <w:rPr>
          <w:lang w:val="en-NZ"/>
        </w:rPr>
        <w:t>d pressure on the price of existing houses</w:t>
      </w:r>
      <w:r w:rsidR="07420119" w:rsidRPr="177497C6">
        <w:rPr>
          <w:lang w:val="en-NZ"/>
        </w:rPr>
        <w:t xml:space="preserve"> </w:t>
      </w:r>
      <w:r w:rsidR="00BF45EE">
        <w:rPr>
          <w:lang w:val="en-NZ"/>
        </w:rPr>
        <w:t>and might in the end have little effect in reducing these prices</w:t>
      </w:r>
      <w:r w:rsidR="00AD5B37">
        <w:rPr>
          <w:lang w:val="en-NZ"/>
        </w:rPr>
        <w:t xml:space="preserve">. </w:t>
      </w:r>
      <w:r w:rsidR="19F642EF" w:rsidRPr="177497C6">
        <w:rPr>
          <w:lang w:val="en-NZ"/>
        </w:rPr>
        <w:t xml:space="preserve">However, </w:t>
      </w:r>
      <w:r w:rsidR="007D0039" w:rsidRPr="00D137AB">
        <w:rPr>
          <w:lang w:val="en-NZ"/>
        </w:rPr>
        <w:t>Te Tūāpapa Kura Kāinga – Ministry of Housing and Urban Development</w:t>
      </w:r>
      <w:r w:rsidR="00567942">
        <w:rPr>
          <w:lang w:val="en-NZ"/>
        </w:rPr>
        <w:t xml:space="preserve"> and Inland Revenue </w:t>
      </w:r>
      <w:r w:rsidR="009B10E0">
        <w:rPr>
          <w:lang w:val="en-NZ"/>
        </w:rPr>
        <w:t xml:space="preserve">do not </w:t>
      </w:r>
      <w:r w:rsidR="0034482D">
        <w:rPr>
          <w:lang w:val="en-NZ"/>
        </w:rPr>
        <w:t>consider that this is likely to be the case</w:t>
      </w:r>
      <w:r w:rsidR="00564C65">
        <w:rPr>
          <w:lang w:val="en-NZ"/>
        </w:rPr>
        <w:t>.</w:t>
      </w:r>
      <w:r w:rsidR="00443D50">
        <w:rPr>
          <w:lang w:val="en-NZ"/>
        </w:rPr>
        <w:t xml:space="preserve"> </w:t>
      </w:r>
      <w:r w:rsidR="004A18A5">
        <w:rPr>
          <w:lang w:val="en-NZ"/>
        </w:rPr>
        <w:t>T</w:t>
      </w:r>
      <w:r w:rsidR="00725CEA">
        <w:rPr>
          <w:lang w:val="en-NZ"/>
        </w:rPr>
        <w:t xml:space="preserve">he characteristics </w:t>
      </w:r>
      <w:r w:rsidR="003671A6">
        <w:rPr>
          <w:lang w:val="en-NZ"/>
        </w:rPr>
        <w:t xml:space="preserve">(in particular, the location, typology, and quality) </w:t>
      </w:r>
      <w:r w:rsidR="00725CEA">
        <w:rPr>
          <w:lang w:val="en-NZ"/>
        </w:rPr>
        <w:t xml:space="preserve">of new builds </w:t>
      </w:r>
      <w:r w:rsidR="003671A6">
        <w:rPr>
          <w:lang w:val="en-NZ"/>
        </w:rPr>
        <w:t xml:space="preserve">as compared with </w:t>
      </w:r>
      <w:r w:rsidR="00564C65">
        <w:rPr>
          <w:lang w:val="en-NZ"/>
        </w:rPr>
        <w:t>existing</w:t>
      </w:r>
      <w:r w:rsidR="00725CEA">
        <w:rPr>
          <w:lang w:val="en-NZ"/>
        </w:rPr>
        <w:t xml:space="preserve"> housing are sufficiently di</w:t>
      </w:r>
      <w:r w:rsidR="00AC54EE">
        <w:rPr>
          <w:lang w:val="en-NZ"/>
        </w:rPr>
        <w:t xml:space="preserve">fferent that the relative pricing between new builds and </w:t>
      </w:r>
      <w:r w:rsidR="006B1684">
        <w:rPr>
          <w:lang w:val="en-NZ"/>
        </w:rPr>
        <w:t xml:space="preserve">existing </w:t>
      </w:r>
      <w:r w:rsidR="00091327">
        <w:rPr>
          <w:lang w:val="en-NZ"/>
        </w:rPr>
        <w:t>housing will diverge more than they do currently</w:t>
      </w:r>
      <w:r w:rsidR="00AA474B">
        <w:rPr>
          <w:lang w:val="en-NZ"/>
        </w:rPr>
        <w:t>.</w:t>
      </w:r>
      <w:r w:rsidR="00091327">
        <w:rPr>
          <w:lang w:val="en-NZ"/>
        </w:rPr>
        <w:t xml:space="preserve"> </w:t>
      </w:r>
      <w:r w:rsidR="00AA474B">
        <w:rPr>
          <w:lang w:val="en-NZ"/>
        </w:rPr>
        <w:t>This</w:t>
      </w:r>
      <w:r w:rsidR="004A18A5">
        <w:rPr>
          <w:lang w:val="en-NZ"/>
        </w:rPr>
        <w:t xml:space="preserve"> </w:t>
      </w:r>
      <w:r w:rsidR="00091327">
        <w:rPr>
          <w:lang w:val="en-NZ"/>
        </w:rPr>
        <w:t xml:space="preserve">could allow a price reduction for purchasers of </w:t>
      </w:r>
      <w:r w:rsidR="006B1684">
        <w:rPr>
          <w:lang w:val="en-NZ"/>
        </w:rPr>
        <w:t xml:space="preserve">existing </w:t>
      </w:r>
      <w:r w:rsidR="00091327">
        <w:rPr>
          <w:lang w:val="en-NZ"/>
        </w:rPr>
        <w:t>housing while maintain</w:t>
      </w:r>
      <w:r w:rsidR="006B1684">
        <w:rPr>
          <w:lang w:val="en-NZ"/>
        </w:rPr>
        <w:t>ing</w:t>
      </w:r>
      <w:r w:rsidR="00091327">
        <w:rPr>
          <w:lang w:val="en-NZ"/>
        </w:rPr>
        <w:t xml:space="preserve"> a supply benefit from the continued provision of new builds.</w:t>
      </w:r>
      <w:r w:rsidR="005A574F" w:rsidRPr="00831F80">
        <w:t xml:space="preserve"> </w:t>
      </w:r>
    </w:p>
    <w:p w14:paraId="034CDDC1" w14:textId="5A4303A6" w:rsidR="00D57C4A" w:rsidRDefault="007D20CF" w:rsidP="00390F88">
      <w:pPr>
        <w:pStyle w:val="ListParagraph"/>
        <w:numPr>
          <w:ilvl w:val="0"/>
          <w:numId w:val="39"/>
        </w:numPr>
        <w:ind w:left="930" w:hanging="646"/>
        <w:jc w:val="both"/>
      </w:pPr>
      <w:r w:rsidRPr="00831F80">
        <w:t xml:space="preserve">The impact of </w:t>
      </w:r>
      <w:r w:rsidR="00C01E90">
        <w:t>Option 2</w:t>
      </w:r>
      <w:r w:rsidRPr="00831F80">
        <w:t xml:space="preserve"> on housing affordability for first-home buyers is</w:t>
      </w:r>
      <w:r w:rsidR="00B6124B">
        <w:t xml:space="preserve"> </w:t>
      </w:r>
      <w:r w:rsidR="00521D18">
        <w:t xml:space="preserve">also </w:t>
      </w:r>
      <w:r w:rsidRPr="00831F80">
        <w:t>heavily dep</w:t>
      </w:r>
      <w:r>
        <w:t xml:space="preserve">endent on the length of the </w:t>
      </w:r>
      <w:r w:rsidR="00352F53">
        <w:t xml:space="preserve">new build exemption. </w:t>
      </w:r>
      <w:r w:rsidR="00BA682B">
        <w:t>Inland Revenue considers that a</w:t>
      </w:r>
      <w:r w:rsidR="00D57C4A">
        <w:t xml:space="preserve"> longer exemption is likely to </w:t>
      </w:r>
      <w:r w:rsidR="006B1684">
        <w:t xml:space="preserve">result in </w:t>
      </w:r>
      <w:r w:rsidR="00D57C4A">
        <w:t xml:space="preserve">less downward pressure on house prices. </w:t>
      </w:r>
      <w:r w:rsidR="25D3C54D">
        <w:t>However, Inland Revenue</w:t>
      </w:r>
      <w:r w:rsidR="00D57C4A">
        <w:t xml:space="preserve"> considers that in the long run </w:t>
      </w:r>
      <w:r w:rsidR="2CDA66B2">
        <w:t xml:space="preserve">housing </w:t>
      </w:r>
      <w:r w:rsidR="00D57C4A">
        <w:t>affordability is unlikely to be promoted by measures which reduce the supply of housing</w:t>
      </w:r>
      <w:r w:rsidR="007E1AEC">
        <w:t>. Given that Inland Revenue considers that a shorter exemption will</w:t>
      </w:r>
      <w:r w:rsidR="006D239B">
        <w:t xml:space="preserve"> reduce the supply of housing (see </w:t>
      </w:r>
      <w:r w:rsidR="7CDC2CD6">
        <w:t>analysis</w:t>
      </w:r>
      <w:r w:rsidR="006D239B">
        <w:t xml:space="preserve"> below), Inland Revenue </w:t>
      </w:r>
      <w:r w:rsidR="00D57C4A">
        <w:t xml:space="preserve">supports a longer new build exemption. </w:t>
      </w:r>
    </w:p>
    <w:p w14:paraId="7E4F1BC9" w14:textId="175CDF36" w:rsidR="00E166FB" w:rsidRDefault="00E3314F" w:rsidP="00390F88">
      <w:pPr>
        <w:pStyle w:val="ListParagraph"/>
        <w:numPr>
          <w:ilvl w:val="0"/>
          <w:numId w:val="39"/>
        </w:numPr>
        <w:ind w:left="930" w:hanging="646"/>
        <w:jc w:val="both"/>
      </w:pPr>
      <w:r w:rsidRPr="003D3AFE">
        <w:rPr>
          <w:b/>
          <w:bCs/>
          <w:szCs w:val="22"/>
        </w:rPr>
        <w:t>Maintain</w:t>
      </w:r>
      <w:r>
        <w:rPr>
          <w:b/>
          <w:bCs/>
          <w:szCs w:val="22"/>
        </w:rPr>
        <w:t>s</w:t>
      </w:r>
      <w:r w:rsidRPr="003D3AFE">
        <w:rPr>
          <w:b/>
          <w:bCs/>
          <w:szCs w:val="22"/>
        </w:rPr>
        <w:t xml:space="preserve"> </w:t>
      </w:r>
      <w:r w:rsidR="006D5E2B" w:rsidRPr="00DC1304">
        <w:rPr>
          <w:b/>
          <w:bCs/>
          <w:szCs w:val="22"/>
        </w:rPr>
        <w:t>the rate of development of new housing stock</w:t>
      </w:r>
      <w:r w:rsidR="006D5E2B" w:rsidRPr="00DC1304">
        <w:rPr>
          <w:szCs w:val="22"/>
        </w:rPr>
        <w:t xml:space="preserve">: </w:t>
      </w:r>
      <w:r w:rsidR="00DC1304" w:rsidRPr="00E12281">
        <w:t xml:space="preserve">The impacts </w:t>
      </w:r>
      <w:r w:rsidR="00DC1304">
        <w:t>of the new build exemption on the Government</w:t>
      </w:r>
      <w:r w:rsidR="00111A58">
        <w:t>’</w:t>
      </w:r>
      <w:r w:rsidR="00DC1304">
        <w:t xml:space="preserve">s </w:t>
      </w:r>
      <w:r w:rsidR="006B1684">
        <w:t>objectives, including</w:t>
      </w:r>
      <w:r w:rsidR="00420DDA">
        <w:t xml:space="preserve"> the rate of </w:t>
      </w:r>
      <w:r w:rsidR="00D71C4B" w:rsidRPr="00D71C4B">
        <w:t>development of new housing stock</w:t>
      </w:r>
      <w:r w:rsidR="006B1684">
        <w:t>,</w:t>
      </w:r>
      <w:r w:rsidR="00DC1304">
        <w:t xml:space="preserve"> </w:t>
      </w:r>
      <w:r w:rsidR="00DC1304" w:rsidRPr="00E12281">
        <w:t>are uncertain</w:t>
      </w:r>
      <w:r w:rsidR="006B1684">
        <w:t>.</w:t>
      </w:r>
      <w:r w:rsidR="00DC1304" w:rsidRPr="00E12281">
        <w:t xml:space="preserve"> </w:t>
      </w:r>
    </w:p>
    <w:p w14:paraId="635822B6" w14:textId="1FA1E1C3" w:rsidR="00EE31E3" w:rsidRPr="007F41D2" w:rsidRDefault="00BC2B64" w:rsidP="00390F88">
      <w:pPr>
        <w:pStyle w:val="ListParagraph"/>
        <w:numPr>
          <w:ilvl w:val="0"/>
          <w:numId w:val="39"/>
        </w:numPr>
        <w:ind w:left="930" w:hanging="646"/>
        <w:jc w:val="both"/>
        <w:rPr>
          <w:rFonts w:ascii="Verdana" w:hAnsi="Verdana"/>
          <w:i/>
          <w:iCs/>
          <w:sz w:val="20"/>
          <w:lang w:val="en-NZ" w:eastAsia="en-US"/>
        </w:rPr>
      </w:pPr>
      <w:r w:rsidRPr="007F41D2">
        <w:t xml:space="preserve">The extent of land use regulation impacts how much demand changes (including those caused by tax changes) </w:t>
      </w:r>
      <w:r w:rsidR="00F24D7C">
        <w:t>affect</w:t>
      </w:r>
      <w:r w:rsidRPr="007F41D2">
        <w:t xml:space="preserve"> the supply of land for a particular use (such as for residential property) and the price of land. The more restrictive land use regulation</w:t>
      </w:r>
      <w:r w:rsidR="00347A45">
        <w:t>s are</w:t>
      </w:r>
      <w:r w:rsidRPr="007F41D2">
        <w:t xml:space="preserve"> (restricting the ability to use land for residential purposes), the more a tax change </w:t>
      </w:r>
      <w:r w:rsidR="1982C13F">
        <w:t>that</w:t>
      </w:r>
      <w:r w:rsidRPr="007F41D2">
        <w:t xml:space="preserve"> increases demand for residential property development will impact the price and the less </w:t>
      </w:r>
      <w:r w:rsidR="1B53729A">
        <w:t xml:space="preserve">it will impact </w:t>
      </w:r>
      <w:r w:rsidRPr="007F41D2">
        <w:t>on supply</w:t>
      </w:r>
      <w:r w:rsidRPr="00BC2B64">
        <w:rPr>
          <w:rFonts w:ascii="Verdana" w:hAnsi="Verdana"/>
          <w:i/>
          <w:iCs/>
          <w:sz w:val="20"/>
        </w:rPr>
        <w:t>.</w:t>
      </w:r>
    </w:p>
    <w:p w14:paraId="14A6F8FA" w14:textId="778E506F" w:rsidR="00533713" w:rsidRPr="00FD4540" w:rsidRDefault="00D51A9C" w:rsidP="00390F88">
      <w:pPr>
        <w:pStyle w:val="ListParagraph"/>
        <w:numPr>
          <w:ilvl w:val="0"/>
          <w:numId w:val="39"/>
        </w:numPr>
        <w:ind w:left="930" w:hanging="646"/>
        <w:jc w:val="both"/>
        <w:rPr>
          <w:i/>
        </w:rPr>
      </w:pPr>
      <w:r w:rsidRPr="0046653F">
        <w:t>Inland Revenue</w:t>
      </w:r>
      <w:r w:rsidR="00AD0BAC">
        <w:t xml:space="preserve"> has</w:t>
      </w:r>
      <w:r w:rsidRPr="0046653F">
        <w:t xml:space="preserve"> recommend</w:t>
      </w:r>
      <w:r w:rsidR="00AD0BAC">
        <w:t>ed</w:t>
      </w:r>
      <w:r w:rsidRPr="0046653F">
        <w:t xml:space="preserve"> a longer new build exemption to minimise impacts on supply</w:t>
      </w:r>
      <w:r w:rsidR="00AD5B37">
        <w:t xml:space="preserve">. </w:t>
      </w:r>
      <w:r w:rsidR="00BA3A55">
        <w:t xml:space="preserve">Putting aside the question of the competitive nature or otherwise at the periphery of the city, clearly within a city land can be put to alternative uses, in terms of residential or commercial land, typology of housing (e.g. terraced </w:t>
      </w:r>
      <w:r w:rsidR="007621C8">
        <w:t>or</w:t>
      </w:r>
      <w:r w:rsidR="00BA3A55">
        <w:t xml:space="preserve"> standalone), and size of houses. The number of </w:t>
      </w:r>
      <w:r w:rsidR="002F3DA5">
        <w:t>landowners</w:t>
      </w:r>
      <w:r w:rsidR="00BA3A55">
        <w:t xml:space="preserve"> make it difficult to argue that within city limits there is insufficient competition between land owners for tax to influence choices. Therefore, tax changes (including the extent of a new build exemption) will likely influence decisions, and thereby influence total housing supply</w:t>
      </w:r>
      <w:r w:rsidR="009926FD">
        <w:t xml:space="preserve">.  </w:t>
      </w:r>
      <w:r w:rsidR="005532D2">
        <w:t xml:space="preserve">  </w:t>
      </w:r>
      <w:r w:rsidR="00C05FD6">
        <w:t xml:space="preserve"> </w:t>
      </w:r>
      <w:r w:rsidR="006D239B" w:rsidRPr="00E34B47">
        <w:t xml:space="preserve"> </w:t>
      </w:r>
      <w:r w:rsidR="00533713" w:rsidRPr="003E175D">
        <w:rPr>
          <w:i/>
        </w:rPr>
        <w:t xml:space="preserve"> </w:t>
      </w:r>
    </w:p>
    <w:p w14:paraId="07C65147" w14:textId="6341B50A" w:rsidR="007B0503" w:rsidRPr="006F1F06" w:rsidRDefault="008001B7" w:rsidP="00390F88">
      <w:pPr>
        <w:pStyle w:val="NumberedParagraph"/>
        <w:numPr>
          <w:ilvl w:val="0"/>
          <w:numId w:val="39"/>
        </w:numPr>
        <w:spacing w:after="240" w:line="280" w:lineRule="atLeast"/>
        <w:ind w:left="930" w:hanging="646"/>
        <w:rPr>
          <w:rFonts w:ascii="Arial" w:hAnsi="Arial"/>
          <w:i/>
        </w:rPr>
      </w:pPr>
      <w:r w:rsidRPr="006F1F06">
        <w:rPr>
          <w:rFonts w:ascii="Arial" w:hAnsi="Arial"/>
          <w:b/>
          <w:bCs/>
          <w:sz w:val="22"/>
          <w:szCs w:val="22"/>
        </w:rPr>
        <w:t>Improves housing affordability for renters</w:t>
      </w:r>
      <w:r w:rsidRPr="006F1F06">
        <w:rPr>
          <w:rFonts w:ascii="Arial" w:hAnsi="Arial"/>
          <w:sz w:val="22"/>
          <w:szCs w:val="22"/>
        </w:rPr>
        <w:t>:</w:t>
      </w:r>
      <w:r w:rsidR="00B77EA0" w:rsidRPr="79CF77A7">
        <w:rPr>
          <w:rFonts w:ascii="Arial" w:hAnsi="Arial"/>
        </w:rPr>
        <w:t xml:space="preserve"> </w:t>
      </w:r>
      <w:r w:rsidR="00AD0BAC" w:rsidRPr="006F1F06">
        <w:rPr>
          <w:rFonts w:ascii="Arial" w:hAnsi="Arial"/>
          <w:sz w:val="22"/>
          <w:szCs w:val="22"/>
        </w:rPr>
        <w:t xml:space="preserve">Inland Revenue’s view is that interest limitation will increase rents and that </w:t>
      </w:r>
      <w:r w:rsidR="3C5AFF66" w:rsidRPr="79CF77A7">
        <w:rPr>
          <w:rFonts w:ascii="Arial" w:hAnsi="Arial"/>
          <w:sz w:val="22"/>
          <w:szCs w:val="22"/>
        </w:rPr>
        <w:t xml:space="preserve">in the </w:t>
      </w:r>
      <w:r w:rsidR="00AD0BAC" w:rsidRPr="006F1F06">
        <w:rPr>
          <w:rFonts w:ascii="Arial" w:hAnsi="Arial"/>
          <w:sz w:val="22"/>
          <w:szCs w:val="22"/>
        </w:rPr>
        <w:t>long run</w:t>
      </w:r>
      <w:r w:rsidR="16D66F21" w:rsidRPr="4C11520C">
        <w:rPr>
          <w:rFonts w:ascii="Arial" w:hAnsi="Arial"/>
          <w:sz w:val="22"/>
          <w:szCs w:val="22"/>
        </w:rPr>
        <w:t>,</w:t>
      </w:r>
      <w:r w:rsidR="00AD0BAC" w:rsidRPr="006F1F06">
        <w:rPr>
          <w:rFonts w:ascii="Arial" w:hAnsi="Arial"/>
          <w:sz w:val="22"/>
          <w:szCs w:val="22"/>
        </w:rPr>
        <w:t xml:space="preserve"> affordability for renters will not be promoted by taxing the provision of </w:t>
      </w:r>
      <w:r w:rsidR="003D207E">
        <w:rPr>
          <w:rFonts w:ascii="Arial" w:hAnsi="Arial"/>
          <w:sz w:val="22"/>
          <w:szCs w:val="22"/>
        </w:rPr>
        <w:t>rental properties</w:t>
      </w:r>
      <w:r w:rsidR="00AD0BAC" w:rsidRPr="006F1F06">
        <w:rPr>
          <w:rFonts w:ascii="Arial" w:hAnsi="Arial"/>
          <w:sz w:val="22"/>
          <w:szCs w:val="22"/>
        </w:rPr>
        <w:t xml:space="preserve"> by landlords more heavily.</w:t>
      </w:r>
      <w:r w:rsidR="00D64609" w:rsidRPr="006F1F06">
        <w:rPr>
          <w:rFonts w:ascii="Arial" w:hAnsi="Arial"/>
          <w:sz w:val="22"/>
          <w:szCs w:val="22"/>
        </w:rPr>
        <w:t xml:space="preserve"> However, the effect of </w:t>
      </w:r>
      <w:r w:rsidR="006227EE" w:rsidRPr="006F1F06">
        <w:rPr>
          <w:rFonts w:ascii="Arial" w:hAnsi="Arial"/>
          <w:sz w:val="22"/>
          <w:szCs w:val="22"/>
        </w:rPr>
        <w:t>this option on rents will be less significant compared to Option 1</w:t>
      </w:r>
      <w:r w:rsidR="00B0703A" w:rsidRPr="006F1F06">
        <w:rPr>
          <w:rFonts w:ascii="Arial" w:hAnsi="Arial"/>
          <w:sz w:val="22"/>
          <w:szCs w:val="22"/>
        </w:rPr>
        <w:t>.</w:t>
      </w:r>
    </w:p>
    <w:p w14:paraId="2E27CD6A" w14:textId="7AAE0658" w:rsidR="008001B7" w:rsidRPr="00DC2764" w:rsidRDefault="008001B7" w:rsidP="00390F88">
      <w:pPr>
        <w:pStyle w:val="ListParagraph"/>
        <w:numPr>
          <w:ilvl w:val="0"/>
          <w:numId w:val="39"/>
        </w:numPr>
        <w:ind w:left="930" w:hanging="646"/>
        <w:jc w:val="both"/>
        <w:rPr>
          <w:lang w:val="en-NZ"/>
        </w:rPr>
      </w:pPr>
      <w:r w:rsidRPr="00793ACF">
        <w:rPr>
          <w:b/>
          <w:bCs/>
        </w:rPr>
        <w:t>Efficiency and growth</w:t>
      </w:r>
      <w:r w:rsidRPr="00793ACF">
        <w:t xml:space="preserve">: </w:t>
      </w:r>
      <w:r w:rsidR="008761B8" w:rsidRPr="00CA12B8">
        <w:rPr>
          <w:rFonts w:cs="Arial"/>
          <w:szCs w:val="22"/>
        </w:rPr>
        <w:t xml:space="preserve">As </w:t>
      </w:r>
      <w:r w:rsidR="00C01E90">
        <w:rPr>
          <w:rFonts w:cs="Arial"/>
          <w:szCs w:val="22"/>
        </w:rPr>
        <w:t>for Option 1</w:t>
      </w:r>
      <w:r w:rsidR="008761B8" w:rsidRPr="00CA12B8">
        <w:rPr>
          <w:rFonts w:cs="Arial"/>
          <w:szCs w:val="22"/>
        </w:rPr>
        <w:t>, the deductibility of interest is a key consideration for debt-funded investors</w:t>
      </w:r>
      <w:r w:rsidR="008761B8">
        <w:rPr>
          <w:rFonts w:cs="Arial"/>
          <w:szCs w:val="22"/>
        </w:rPr>
        <w:t xml:space="preserve">. </w:t>
      </w:r>
      <w:r w:rsidR="000422EE" w:rsidRPr="0083059C">
        <w:rPr>
          <w:szCs w:val="22"/>
        </w:rPr>
        <w:t xml:space="preserve">Allowing interest deductions for new builds will likely cause </w:t>
      </w:r>
      <w:r w:rsidR="00CD0E64">
        <w:rPr>
          <w:szCs w:val="22"/>
        </w:rPr>
        <w:t xml:space="preserve">debt-funded </w:t>
      </w:r>
      <w:r w:rsidR="000422EE" w:rsidRPr="0083059C">
        <w:rPr>
          <w:szCs w:val="22"/>
        </w:rPr>
        <w:t xml:space="preserve">investors to focus investment </w:t>
      </w:r>
      <w:r w:rsidR="005A4C96" w:rsidRPr="0083059C">
        <w:rPr>
          <w:szCs w:val="22"/>
        </w:rPr>
        <w:t>on</w:t>
      </w:r>
      <w:r w:rsidR="000422EE" w:rsidRPr="0083059C">
        <w:rPr>
          <w:szCs w:val="22"/>
        </w:rPr>
        <w:t xml:space="preserve"> new builds when they may not have otherwise done so. This may lead to less efficient decision making.</w:t>
      </w:r>
      <w:r w:rsidR="00FC65B2">
        <w:rPr>
          <w:szCs w:val="22"/>
        </w:rPr>
        <w:t xml:space="preserve"> </w:t>
      </w:r>
      <w:r w:rsidR="008761B8">
        <w:rPr>
          <w:rFonts w:cs="Arial"/>
          <w:szCs w:val="22"/>
        </w:rPr>
        <w:t>This will have an impact on relative prices (described above). Again, equity</w:t>
      </w:r>
      <w:r w:rsidR="002726AC">
        <w:rPr>
          <w:rFonts w:cs="Arial"/>
          <w:szCs w:val="22"/>
        </w:rPr>
        <w:t>-funded</w:t>
      </w:r>
      <w:r w:rsidR="008761B8">
        <w:rPr>
          <w:rFonts w:cs="Arial"/>
          <w:szCs w:val="22"/>
        </w:rPr>
        <w:t xml:space="preserve"> investors will </w:t>
      </w:r>
      <w:r w:rsidR="00B46ABE">
        <w:rPr>
          <w:rFonts w:cs="Arial"/>
          <w:szCs w:val="22"/>
        </w:rPr>
        <w:t xml:space="preserve">not </w:t>
      </w:r>
      <w:r w:rsidR="008761B8">
        <w:rPr>
          <w:rFonts w:cs="Arial"/>
          <w:szCs w:val="22"/>
        </w:rPr>
        <w:t xml:space="preserve">be directly </w:t>
      </w:r>
      <w:r w:rsidR="00B46ABE">
        <w:rPr>
          <w:rFonts w:cs="Arial"/>
          <w:szCs w:val="22"/>
        </w:rPr>
        <w:t xml:space="preserve">affected </w:t>
      </w:r>
      <w:r w:rsidR="008761B8">
        <w:rPr>
          <w:rFonts w:cs="Arial"/>
          <w:szCs w:val="22"/>
        </w:rPr>
        <w:t>by the proposals.</w:t>
      </w:r>
    </w:p>
    <w:p w14:paraId="12D190FE" w14:textId="75B50F87" w:rsidR="0016673D" w:rsidRDefault="008001B7" w:rsidP="00390F88">
      <w:pPr>
        <w:pStyle w:val="ListParagraph"/>
        <w:numPr>
          <w:ilvl w:val="0"/>
          <w:numId w:val="39"/>
        </w:numPr>
        <w:ind w:left="930" w:hanging="646"/>
        <w:jc w:val="both"/>
      </w:pPr>
      <w:r w:rsidRPr="00793ACF">
        <w:rPr>
          <w:b/>
          <w:bCs/>
        </w:rPr>
        <w:t>Equity and fairness</w:t>
      </w:r>
      <w:r w:rsidRPr="00793ACF">
        <w:t xml:space="preserve">: </w:t>
      </w:r>
      <w:r w:rsidR="0016673D">
        <w:t>As described above, th</w:t>
      </w:r>
      <w:r w:rsidR="004F0D5F">
        <w:t xml:space="preserve">e proposal to limit interest deductions </w:t>
      </w:r>
      <w:r w:rsidR="0016673D">
        <w:t xml:space="preserve">may erode horizontal equity in relation to other types of investment, which generally are entitled to deductions for all expenditure incurred in deriving income from that investment. </w:t>
      </w:r>
      <w:r w:rsidR="004F0D5F">
        <w:t>However, to a lesser extent than Option 1.</w:t>
      </w:r>
    </w:p>
    <w:p w14:paraId="71BFF16E" w14:textId="5C5E7F8C" w:rsidR="0016673D" w:rsidRDefault="0016673D" w:rsidP="00390F88">
      <w:pPr>
        <w:pStyle w:val="ListParagraph"/>
        <w:numPr>
          <w:ilvl w:val="0"/>
          <w:numId w:val="39"/>
        </w:numPr>
        <w:ind w:left="930" w:hanging="646"/>
        <w:jc w:val="both"/>
      </w:pPr>
      <w:r>
        <w:t xml:space="preserve">This option may be seen as unfair for debt-funded investors who acquired residential property prior to 27 March 2021. While </w:t>
      </w:r>
      <w:r w:rsidR="3FCADB18">
        <w:t>these</w:t>
      </w:r>
      <w:r>
        <w:t xml:space="preserve"> investors are able to claim interest deductions under the four-year phase out period, the deductibility of interest is a major consideration for investors and will impact the profitability of past investments. </w:t>
      </w:r>
    </w:p>
    <w:p w14:paraId="4767A048" w14:textId="0DD55C2B" w:rsidR="008001B7" w:rsidRPr="00793ACF" w:rsidRDefault="008001B7" w:rsidP="00390F88">
      <w:pPr>
        <w:pStyle w:val="ListParagraph"/>
        <w:numPr>
          <w:ilvl w:val="0"/>
          <w:numId w:val="39"/>
        </w:numPr>
        <w:ind w:left="930" w:hanging="646"/>
        <w:jc w:val="both"/>
        <w:rPr>
          <w:lang w:val="en-NZ"/>
        </w:rPr>
      </w:pPr>
      <w:r w:rsidRPr="00793ACF">
        <w:rPr>
          <w:b/>
          <w:bCs/>
        </w:rPr>
        <w:t>Revenue integrity</w:t>
      </w:r>
      <w:r w:rsidRPr="00793ACF">
        <w:t xml:space="preserve">: </w:t>
      </w:r>
      <w:r w:rsidR="00F267B1">
        <w:t xml:space="preserve">As described for Option 1, </w:t>
      </w:r>
      <w:r w:rsidR="0006184A">
        <w:t>O</w:t>
      </w:r>
      <w:r w:rsidR="009F5A42" w:rsidRPr="009F5A42">
        <w:t>ption</w:t>
      </w:r>
      <w:r w:rsidR="0006184A">
        <w:t xml:space="preserve"> 2</w:t>
      </w:r>
      <w:r w:rsidR="009F5A42" w:rsidRPr="009F5A42">
        <w:t xml:space="preserve"> is expected to negatively impact the integrity of the tax system. The method for determining what deductions should be denied to what categories of persons is a complex task given the range of structuring that could occur.</w:t>
      </w:r>
      <w:r w:rsidR="00FD79F9">
        <w:t xml:space="preserve"> </w:t>
      </w:r>
      <w:r w:rsidR="003F07DE">
        <w:t xml:space="preserve"> </w:t>
      </w:r>
    </w:p>
    <w:p w14:paraId="1D564374" w14:textId="5C55ED16" w:rsidR="0078314E" w:rsidRPr="003E175D" w:rsidRDefault="008001B7" w:rsidP="00390F88">
      <w:pPr>
        <w:pStyle w:val="ListParagraph"/>
        <w:numPr>
          <w:ilvl w:val="0"/>
          <w:numId w:val="39"/>
        </w:numPr>
        <w:ind w:hanging="644"/>
        <w:jc w:val="both"/>
        <w:rPr>
          <w:rFonts w:cs="Arial"/>
          <w:szCs w:val="22"/>
        </w:rPr>
      </w:pPr>
      <w:r w:rsidRPr="00793ACF">
        <w:rPr>
          <w:b/>
          <w:bCs/>
        </w:rPr>
        <w:t>Fiscal impact</w:t>
      </w:r>
      <w:r w:rsidRPr="00793ACF">
        <w:t xml:space="preserve">: </w:t>
      </w:r>
      <w:r w:rsidR="002839FA" w:rsidRPr="00CA12B8">
        <w:rPr>
          <w:rFonts w:cs="Arial"/>
          <w:szCs w:val="22"/>
        </w:rPr>
        <w:t xml:space="preserve">Denying interest deductions under </w:t>
      </w:r>
      <w:r w:rsidR="00C01E90">
        <w:rPr>
          <w:rFonts w:cs="Arial"/>
          <w:szCs w:val="22"/>
        </w:rPr>
        <w:t>Option 2</w:t>
      </w:r>
      <w:r w:rsidR="002839FA" w:rsidRPr="00CA12B8">
        <w:rPr>
          <w:rFonts w:cs="Arial"/>
          <w:szCs w:val="22"/>
        </w:rPr>
        <w:t xml:space="preserve"> will also raise revenue, but to a lesser extent than </w:t>
      </w:r>
      <w:r w:rsidR="00C01E90" w:rsidRPr="0026072F">
        <w:rPr>
          <w:rFonts w:cs="Arial"/>
          <w:szCs w:val="22"/>
        </w:rPr>
        <w:t>Option 1</w:t>
      </w:r>
      <w:r w:rsidR="002839FA" w:rsidRPr="0026072F">
        <w:rPr>
          <w:rFonts w:cs="Arial"/>
          <w:szCs w:val="22"/>
        </w:rPr>
        <w:t xml:space="preserve">. </w:t>
      </w:r>
      <w:r w:rsidR="00C57773" w:rsidRPr="000E254B">
        <w:rPr>
          <w:rFonts w:cs="Arial"/>
          <w:szCs w:val="22"/>
        </w:rPr>
        <w:t>The expected revenue gain from this option is</w:t>
      </w:r>
      <w:r w:rsidR="0078314E" w:rsidRPr="003E175D">
        <w:rPr>
          <w:rFonts w:cs="Arial"/>
          <w:szCs w:val="22"/>
        </w:rPr>
        <w:t xml:space="preserve"> $1.22</w:t>
      </w:r>
      <w:r w:rsidR="0036212F">
        <w:rPr>
          <w:rFonts w:cs="Arial"/>
          <w:szCs w:val="22"/>
        </w:rPr>
        <w:t xml:space="preserve"> </w:t>
      </w:r>
      <w:r w:rsidR="0078314E" w:rsidRPr="003E175D">
        <w:rPr>
          <w:rFonts w:cs="Arial"/>
          <w:szCs w:val="22"/>
        </w:rPr>
        <w:t>b</w:t>
      </w:r>
      <w:r w:rsidR="0036212F">
        <w:rPr>
          <w:rFonts w:cs="Arial"/>
          <w:szCs w:val="22"/>
        </w:rPr>
        <w:t>illio</w:t>
      </w:r>
      <w:r w:rsidR="0078314E" w:rsidRPr="003E175D">
        <w:rPr>
          <w:rFonts w:cs="Arial"/>
          <w:szCs w:val="22"/>
        </w:rPr>
        <w:t>n over the forecast period</w:t>
      </w:r>
      <w:r w:rsidR="000251A0">
        <w:rPr>
          <w:rFonts w:cs="Arial"/>
          <w:szCs w:val="22"/>
        </w:rPr>
        <w:t xml:space="preserve"> </w:t>
      </w:r>
      <w:r w:rsidR="000251A0">
        <w:t>(2021/22 to 2024/25)</w:t>
      </w:r>
      <w:r w:rsidR="00AD5B37">
        <w:rPr>
          <w:rFonts w:cs="Arial"/>
          <w:szCs w:val="22"/>
        </w:rPr>
        <w:t xml:space="preserve">. </w:t>
      </w:r>
      <w:r w:rsidR="0078314E" w:rsidRPr="003E175D">
        <w:rPr>
          <w:rFonts w:cs="Arial"/>
          <w:szCs w:val="22"/>
        </w:rPr>
        <w:t>In addition to the assumptions provided above under Option 1, this option includes the following assumptions:</w:t>
      </w:r>
    </w:p>
    <w:p w14:paraId="1F3C5681" w14:textId="4B641B2B" w:rsidR="00FF7CAA" w:rsidRDefault="00FF7CAA" w:rsidP="00390F88">
      <w:pPr>
        <w:pStyle w:val="ListParagraph"/>
        <w:numPr>
          <w:ilvl w:val="1"/>
          <w:numId w:val="39"/>
        </w:numPr>
        <w:ind w:hanging="447"/>
        <w:jc w:val="both"/>
        <w:rPr>
          <w:rFonts w:cs="Arial"/>
        </w:rPr>
      </w:pPr>
      <w:r w:rsidRPr="5823D88D">
        <w:rPr>
          <w:rFonts w:cs="Arial"/>
        </w:rPr>
        <w:t xml:space="preserve">The new build exemption would </w:t>
      </w:r>
      <w:r w:rsidR="00DC62F9" w:rsidRPr="5823D88D">
        <w:rPr>
          <w:rFonts w:cs="Arial"/>
        </w:rPr>
        <w:t xml:space="preserve">be for 20 years and </w:t>
      </w:r>
      <w:r w:rsidRPr="5823D88D">
        <w:rPr>
          <w:rFonts w:cs="Arial"/>
        </w:rPr>
        <w:t>be available for all purchasers of the relevant property</w:t>
      </w:r>
      <w:r w:rsidR="005808BE" w:rsidRPr="5823D88D">
        <w:rPr>
          <w:rFonts w:cs="Arial"/>
        </w:rPr>
        <w:t>.</w:t>
      </w:r>
      <w:r w:rsidRPr="5823D88D">
        <w:rPr>
          <w:rFonts w:cs="Arial"/>
        </w:rPr>
        <w:t xml:space="preserve"> </w:t>
      </w:r>
    </w:p>
    <w:p w14:paraId="11666C65" w14:textId="2A692E79" w:rsidR="0078314E" w:rsidRPr="003E175D" w:rsidRDefault="0078314E" w:rsidP="00390F88">
      <w:pPr>
        <w:pStyle w:val="ListParagraph"/>
        <w:numPr>
          <w:ilvl w:val="1"/>
          <w:numId w:val="39"/>
        </w:numPr>
        <w:ind w:hanging="447"/>
        <w:jc w:val="both"/>
        <w:rPr>
          <w:rFonts w:cs="Arial"/>
        </w:rPr>
      </w:pPr>
      <w:r w:rsidRPr="57440359">
        <w:rPr>
          <w:rFonts w:cs="Arial"/>
        </w:rPr>
        <w:t xml:space="preserve">The forecast value of new residential builds is </w:t>
      </w:r>
      <w:r w:rsidR="00FA167A" w:rsidRPr="57440359">
        <w:rPr>
          <w:rFonts w:cs="Arial"/>
        </w:rPr>
        <w:t xml:space="preserve">derived </w:t>
      </w:r>
      <w:r w:rsidRPr="57440359">
        <w:rPr>
          <w:rFonts w:cs="Arial"/>
        </w:rPr>
        <w:t>from Treasury’s Budget 2021 forecasts.</w:t>
      </w:r>
    </w:p>
    <w:p w14:paraId="21591B76" w14:textId="3A1C4E2B" w:rsidR="0078314E" w:rsidRPr="003E175D" w:rsidRDefault="0078314E" w:rsidP="00390F88">
      <w:pPr>
        <w:pStyle w:val="ListParagraph"/>
        <w:numPr>
          <w:ilvl w:val="1"/>
          <w:numId w:val="39"/>
        </w:numPr>
        <w:ind w:hanging="447"/>
        <w:jc w:val="both"/>
        <w:rPr>
          <w:rFonts w:cs="Arial"/>
          <w:szCs w:val="22"/>
        </w:rPr>
      </w:pPr>
      <w:r w:rsidRPr="003E175D">
        <w:rPr>
          <w:rFonts w:cs="Arial"/>
          <w:szCs w:val="22"/>
        </w:rPr>
        <w:t>The behavioural change induced by the new build exemption increases the proportion of new builds being bought for use as rental property from 35 percent to 75 percent</w:t>
      </w:r>
      <w:r>
        <w:rPr>
          <w:rFonts w:cs="Arial"/>
          <w:szCs w:val="22"/>
        </w:rPr>
        <w:t>.</w:t>
      </w:r>
      <w:r w:rsidR="0020371C">
        <w:rPr>
          <w:rStyle w:val="FootnoteReference"/>
          <w:rFonts w:cs="Arial"/>
          <w:szCs w:val="22"/>
        </w:rPr>
        <w:footnoteReference w:id="20"/>
      </w:r>
    </w:p>
    <w:p w14:paraId="727F3D41" w14:textId="5B969861" w:rsidR="0078314E" w:rsidRPr="003E175D" w:rsidRDefault="0078314E" w:rsidP="00390F88">
      <w:pPr>
        <w:pStyle w:val="ListParagraph"/>
        <w:numPr>
          <w:ilvl w:val="1"/>
          <w:numId w:val="39"/>
        </w:numPr>
        <w:ind w:hanging="447"/>
        <w:jc w:val="both"/>
        <w:rPr>
          <w:rFonts w:cs="Arial"/>
          <w:szCs w:val="22"/>
        </w:rPr>
      </w:pPr>
      <w:r w:rsidRPr="003E175D">
        <w:rPr>
          <w:rFonts w:cs="Arial"/>
          <w:szCs w:val="22"/>
        </w:rPr>
        <w:t>Interest expenditure is calculated using the repayment profile generated from a 25-year loan.</w:t>
      </w:r>
      <w:r w:rsidR="007C0824">
        <w:rPr>
          <w:rStyle w:val="FootnoteReference"/>
          <w:rFonts w:cs="Arial"/>
          <w:szCs w:val="22"/>
        </w:rPr>
        <w:footnoteReference w:id="21"/>
      </w:r>
    </w:p>
    <w:p w14:paraId="5C82467D" w14:textId="61FEE37E" w:rsidR="008001B7" w:rsidRPr="00793ACF" w:rsidRDefault="0078314E" w:rsidP="00390F88">
      <w:pPr>
        <w:pStyle w:val="ListParagraph"/>
        <w:numPr>
          <w:ilvl w:val="1"/>
          <w:numId w:val="39"/>
        </w:numPr>
        <w:ind w:hanging="447"/>
        <w:jc w:val="both"/>
        <w:rPr>
          <w:lang w:val="en-NZ"/>
        </w:rPr>
      </w:pPr>
      <w:r w:rsidRPr="003E175D">
        <w:rPr>
          <w:rFonts w:cs="Arial"/>
          <w:szCs w:val="22"/>
        </w:rPr>
        <w:t>The tax impact of the new build exemption is calculated using a marginal tax rate of 24.55 percent.</w:t>
      </w:r>
      <w:r w:rsidR="00983A9E">
        <w:rPr>
          <w:rStyle w:val="FootnoteReference"/>
          <w:rFonts w:cs="Arial"/>
          <w:szCs w:val="22"/>
        </w:rPr>
        <w:footnoteReference w:id="22"/>
      </w:r>
      <w:r w:rsidRPr="0078314E" w:rsidDel="00814F13">
        <w:rPr>
          <w:rFonts w:cs="Arial"/>
          <w:b/>
          <w:bCs/>
          <w:szCs w:val="22"/>
        </w:rPr>
        <w:t xml:space="preserve"> </w:t>
      </w:r>
    </w:p>
    <w:p w14:paraId="6137D008" w14:textId="000B7472" w:rsidR="00BD733F" w:rsidRDefault="008001B7" w:rsidP="00390F88">
      <w:pPr>
        <w:pStyle w:val="ListParagraph"/>
        <w:numPr>
          <w:ilvl w:val="0"/>
          <w:numId w:val="39"/>
        </w:numPr>
        <w:ind w:hanging="644"/>
        <w:jc w:val="both"/>
      </w:pPr>
      <w:r w:rsidRPr="00793ACF">
        <w:rPr>
          <w:b/>
          <w:bCs/>
        </w:rPr>
        <w:t>Compliance and administration cost</w:t>
      </w:r>
      <w:r w:rsidRPr="00793ACF">
        <w:t xml:space="preserve">: </w:t>
      </w:r>
      <w:r w:rsidR="00BE5FA7">
        <w:t xml:space="preserve">In addition to the </w:t>
      </w:r>
      <w:r w:rsidR="006379B6">
        <w:t xml:space="preserve">extensive </w:t>
      </w:r>
      <w:r w:rsidR="00BE5FA7">
        <w:t xml:space="preserve">compliance and administration costs described for </w:t>
      </w:r>
      <w:r w:rsidR="00C01E90">
        <w:t>Option 1</w:t>
      </w:r>
      <w:r w:rsidR="00BE5FA7">
        <w:t xml:space="preserve">, this option would also require </w:t>
      </w:r>
      <w:r w:rsidR="001827E4">
        <w:t>current and prospective residential property investors</w:t>
      </w:r>
      <w:r w:rsidR="00BD733F">
        <w:t xml:space="preserve"> to consider the following: </w:t>
      </w:r>
    </w:p>
    <w:p w14:paraId="10A01043" w14:textId="77977E95" w:rsidR="00394BE1" w:rsidRPr="00394BE1" w:rsidRDefault="00AC55F1" w:rsidP="00390F88">
      <w:pPr>
        <w:pStyle w:val="ListParagraph"/>
        <w:numPr>
          <w:ilvl w:val="1"/>
          <w:numId w:val="39"/>
        </w:numPr>
        <w:ind w:hanging="447"/>
      </w:pPr>
      <w:r>
        <w:t xml:space="preserve">Whether a property they are seeking to purchase is a new build or an existing build. </w:t>
      </w:r>
      <w:r w:rsidR="00394BE1" w:rsidRPr="00394BE1">
        <w:t xml:space="preserve">This </w:t>
      </w:r>
      <w:r w:rsidR="00AB6F82">
        <w:t>may</w:t>
      </w:r>
      <w:r w:rsidR="00394BE1" w:rsidRPr="00394BE1">
        <w:t xml:space="preserve"> require taxpayers to </w:t>
      </w:r>
      <w:r w:rsidR="00AB6F82">
        <w:t xml:space="preserve">obtain </w:t>
      </w:r>
      <w:r w:rsidR="00394BE1" w:rsidRPr="00394BE1">
        <w:t xml:space="preserve">a code compliance certificate from </w:t>
      </w:r>
      <w:r w:rsidR="00845F64">
        <w:t xml:space="preserve">the relevant </w:t>
      </w:r>
      <w:r w:rsidR="00394BE1" w:rsidRPr="00394BE1">
        <w:t>territorial authorit</w:t>
      </w:r>
      <w:r w:rsidR="00845F64">
        <w:t>y</w:t>
      </w:r>
      <w:r w:rsidR="00394BE1" w:rsidRPr="00394BE1">
        <w:t>.</w:t>
      </w:r>
    </w:p>
    <w:p w14:paraId="44F011CF" w14:textId="11255B6D" w:rsidR="00A808EA" w:rsidRDefault="00BD733F" w:rsidP="00390F88">
      <w:pPr>
        <w:pStyle w:val="ListParagraph"/>
        <w:numPr>
          <w:ilvl w:val="1"/>
          <w:numId w:val="39"/>
        </w:numPr>
        <w:ind w:hanging="447"/>
        <w:jc w:val="both"/>
      </w:pPr>
      <w:r>
        <w:t>Whether their</w:t>
      </w:r>
      <w:r w:rsidR="00C15AE3">
        <w:t xml:space="preserve"> current</w:t>
      </w:r>
      <w:r>
        <w:t xml:space="preserve"> lending relates to a new build or an existing build</w:t>
      </w:r>
      <w:r w:rsidR="00C15AE3">
        <w:t xml:space="preserve">. This </w:t>
      </w:r>
      <w:r w:rsidR="00A808EA">
        <w:t>would</w:t>
      </w:r>
      <w:r w:rsidR="008D4DEA">
        <w:t xml:space="preserve"> </w:t>
      </w:r>
      <w:r w:rsidR="000C5735">
        <w:t>include a</w:t>
      </w:r>
      <w:r w:rsidR="00C15AE3">
        <w:t xml:space="preserve"> more complex tracing exercise than Option 1</w:t>
      </w:r>
      <w:r w:rsidR="008D4DEA">
        <w:t xml:space="preserve"> where lending relates to both new builds and existing builds</w:t>
      </w:r>
      <w:r w:rsidR="00C15AE3">
        <w:t>.</w:t>
      </w:r>
      <w:r w:rsidR="00BC4A8A">
        <w:t xml:space="preserve"> </w:t>
      </w:r>
      <w:r w:rsidR="000D6DE1">
        <w:t xml:space="preserve">This may also lead to various financing and </w:t>
      </w:r>
      <w:r w:rsidR="006379B6">
        <w:t>debt reorganisation</w:t>
      </w:r>
      <w:r w:rsidR="00BB4E2D">
        <w:t>s</w:t>
      </w:r>
      <w:r w:rsidR="006379B6">
        <w:t xml:space="preserve"> that may have not otherwise been necessary. </w:t>
      </w:r>
    </w:p>
    <w:p w14:paraId="09538B1C" w14:textId="5035ADFD" w:rsidR="00A808EA" w:rsidRDefault="00BC4A8A" w:rsidP="00390F88">
      <w:pPr>
        <w:pStyle w:val="ListParagraph"/>
        <w:numPr>
          <w:ilvl w:val="2"/>
          <w:numId w:val="39"/>
        </w:numPr>
        <w:ind w:left="1985" w:hanging="284"/>
        <w:jc w:val="both"/>
      </w:pPr>
      <w:r>
        <w:t>For existing properties</w:t>
      </w:r>
      <w:r w:rsidR="008D4215">
        <w:t>,</w:t>
      </w:r>
      <w:r>
        <w:t xml:space="preserve"> taxpayers will have to </w:t>
      </w:r>
      <w:r w:rsidR="00AB6F82">
        <w:t>apply the</w:t>
      </w:r>
      <w:r>
        <w:t xml:space="preserve"> interest phase-out rules </w:t>
      </w:r>
      <w:r w:rsidR="00AB6F82">
        <w:t xml:space="preserve">to each payment </w:t>
      </w:r>
      <w:r>
        <w:t xml:space="preserve">(in respect of residential land purchased before 27 March 2021). </w:t>
      </w:r>
    </w:p>
    <w:p w14:paraId="0C9ED648" w14:textId="24798D20" w:rsidR="00450FEC" w:rsidRDefault="00BC4A8A" w:rsidP="00390F88">
      <w:pPr>
        <w:pStyle w:val="ListParagraph"/>
        <w:numPr>
          <w:ilvl w:val="2"/>
          <w:numId w:val="39"/>
        </w:numPr>
        <w:ind w:left="1985" w:hanging="284"/>
        <w:jc w:val="both"/>
      </w:pPr>
      <w:r>
        <w:t>For residential property purchased on or after 27 March 2021, or for land where a code compliance certificate (CCC) for a new build is issued on or after this date, they will need to determine whether any of the exemptions from the application of the new rules apply (for example, the development and new build exemptions).</w:t>
      </w:r>
    </w:p>
    <w:p w14:paraId="0CD70640" w14:textId="06FEE170" w:rsidR="008001B7" w:rsidRPr="001423C2" w:rsidRDefault="00AB6F82" w:rsidP="00390F88">
      <w:pPr>
        <w:pStyle w:val="ListParagraph"/>
        <w:numPr>
          <w:ilvl w:val="0"/>
          <w:numId w:val="39"/>
        </w:numPr>
        <w:ind w:hanging="644"/>
        <w:jc w:val="both"/>
      </w:pPr>
      <w:r>
        <w:t>O</w:t>
      </w:r>
      <w:r w:rsidR="00E30DBA" w:rsidRPr="00E30DBA">
        <w:t>wners of new builds and property develop</w:t>
      </w:r>
      <w:r w:rsidR="00F923B7">
        <w:t>ers</w:t>
      </w:r>
      <w:r w:rsidR="00E30DBA" w:rsidRPr="00E30DBA">
        <w:t xml:space="preserve"> will need to maintain records and sufficient evidence to establish that they qualify for the new build or development exemption, and in particular to support their approach to tracing through their lending.</w:t>
      </w:r>
    </w:p>
    <w:p w14:paraId="0979967C" w14:textId="383D15C3" w:rsidR="008001B7" w:rsidRPr="008A4533" w:rsidRDefault="008001B7" w:rsidP="00390F88">
      <w:pPr>
        <w:pStyle w:val="ListParagraph"/>
        <w:numPr>
          <w:ilvl w:val="0"/>
          <w:numId w:val="39"/>
        </w:numPr>
        <w:ind w:hanging="644"/>
        <w:jc w:val="both"/>
        <w:rPr>
          <w:lang w:val="en-NZ"/>
        </w:rPr>
      </w:pPr>
      <w:r w:rsidRPr="008A4533">
        <w:rPr>
          <w:b/>
        </w:rPr>
        <w:t>Coherence</w:t>
      </w:r>
      <w:r w:rsidRPr="00793ACF">
        <w:t>:</w:t>
      </w:r>
      <w:r>
        <w:tab/>
      </w:r>
      <w:r w:rsidR="00381B95">
        <w:t>Option 2, as an overall proposal, is less coherent than Option 1. T</w:t>
      </w:r>
      <w:r w:rsidR="00982DF6">
        <w:t xml:space="preserve">his option creates artificial boundaries </w:t>
      </w:r>
      <w:r w:rsidR="00B75853">
        <w:t>based on when the property was buil</w:t>
      </w:r>
      <w:r w:rsidR="006E6A3C">
        <w:t>t</w:t>
      </w:r>
      <w:r w:rsidR="00C57793">
        <w:t>, which</w:t>
      </w:r>
      <w:r w:rsidR="00982DF6">
        <w:t xml:space="preserve"> will make the </w:t>
      </w:r>
      <w:r w:rsidR="00B75853">
        <w:t xml:space="preserve">taxation of residential investment property </w:t>
      </w:r>
      <w:r w:rsidR="00982DF6">
        <w:t>more difficult to navigate and administer.</w:t>
      </w:r>
      <w:r w:rsidR="00680C6E">
        <w:t xml:space="preserve"> Option 2 will also undermine the coherence of the </w:t>
      </w:r>
      <w:r w:rsidR="00C8371A">
        <w:t xml:space="preserve">broader </w:t>
      </w:r>
      <w:r w:rsidR="00680C6E">
        <w:t xml:space="preserve">tax system </w:t>
      </w:r>
      <w:r w:rsidR="00313F17">
        <w:t xml:space="preserve">given it will create a </w:t>
      </w:r>
      <w:r w:rsidR="00680C6E">
        <w:t xml:space="preserve">carve out </w:t>
      </w:r>
      <w:r w:rsidR="00313F17">
        <w:t xml:space="preserve">to </w:t>
      </w:r>
      <w:r w:rsidR="00680C6E">
        <w:t xml:space="preserve">the general principle that expenditure incurred in business is deductible. </w:t>
      </w:r>
    </w:p>
    <w:p w14:paraId="7FB8D3D3" w14:textId="344C16E1" w:rsidR="000E0FFD" w:rsidRDefault="000E0FFD" w:rsidP="00273FD3">
      <w:pPr>
        <w:pStyle w:val="Heading4"/>
        <w:jc w:val="both"/>
        <w:rPr>
          <w:lang w:val="en-NZ"/>
        </w:rPr>
      </w:pPr>
      <w:r>
        <w:rPr>
          <w:lang w:val="en-NZ"/>
        </w:rPr>
        <w:t xml:space="preserve">Option </w:t>
      </w:r>
      <w:r w:rsidR="005A0FA4">
        <w:rPr>
          <w:lang w:val="en-NZ"/>
        </w:rPr>
        <w:t>3</w:t>
      </w:r>
      <w:r>
        <w:rPr>
          <w:lang w:val="en-NZ"/>
        </w:rPr>
        <w:t xml:space="preserve"> - </w:t>
      </w:r>
      <w:r w:rsidR="000228DF">
        <w:rPr>
          <w:lang w:val="en-NZ"/>
        </w:rPr>
        <w:t>deny interest deductions for residential investment property, but with an exemption for new builds and allow interest deductions where the property is taxable on sale (at the time of sale)</w:t>
      </w:r>
    </w:p>
    <w:p w14:paraId="7C8CD5C1" w14:textId="0798BFD4" w:rsidR="000E0FFD" w:rsidRDefault="00AD6873" w:rsidP="00A73973">
      <w:pPr>
        <w:pStyle w:val="ListParagraph"/>
        <w:numPr>
          <w:ilvl w:val="0"/>
          <w:numId w:val="39"/>
        </w:numPr>
        <w:ind w:hanging="644"/>
        <w:jc w:val="both"/>
        <w:rPr>
          <w:lang w:val="en-NZ"/>
        </w:rPr>
      </w:pPr>
      <w:r>
        <w:rPr>
          <w:lang w:val="en-NZ"/>
        </w:rPr>
        <w:t>Option 3</w:t>
      </w:r>
      <w:r w:rsidR="00E34655" w:rsidRPr="00C718F3">
        <w:rPr>
          <w:lang w:val="en-NZ"/>
        </w:rPr>
        <w:t xml:space="preserve"> is </w:t>
      </w:r>
      <w:r w:rsidR="00A95674">
        <w:rPr>
          <w:lang w:val="en-NZ"/>
        </w:rPr>
        <w:t>similar</w:t>
      </w:r>
      <w:r w:rsidR="00E34655" w:rsidRPr="00C718F3">
        <w:rPr>
          <w:lang w:val="en-NZ"/>
        </w:rPr>
        <w:t xml:space="preserve"> to Option </w:t>
      </w:r>
      <w:r>
        <w:rPr>
          <w:lang w:val="en-NZ"/>
        </w:rPr>
        <w:t>2</w:t>
      </w:r>
      <w:r w:rsidR="00136616" w:rsidRPr="00C718F3">
        <w:rPr>
          <w:lang w:val="en-NZ"/>
        </w:rPr>
        <w:t xml:space="preserve"> in that interest deductions will be generally denied for residential investment property</w:t>
      </w:r>
      <w:r w:rsidR="00F61A8B" w:rsidRPr="00C718F3">
        <w:rPr>
          <w:lang w:val="en-NZ"/>
        </w:rPr>
        <w:t xml:space="preserve"> (excluding new builds), however</w:t>
      </w:r>
      <w:r w:rsidR="5AF93E31" w:rsidRPr="7511A513">
        <w:rPr>
          <w:lang w:val="en-NZ"/>
        </w:rPr>
        <w:t>,</w:t>
      </w:r>
      <w:r w:rsidR="00F61A8B" w:rsidRPr="00C718F3">
        <w:rPr>
          <w:lang w:val="en-NZ"/>
        </w:rPr>
        <w:t xml:space="preserve"> this option</w:t>
      </w:r>
      <w:r w:rsidR="00DB3E1B" w:rsidRPr="00C718F3">
        <w:rPr>
          <w:lang w:val="en-NZ"/>
        </w:rPr>
        <w:t xml:space="preserve"> </w:t>
      </w:r>
      <w:r w:rsidR="00E8479D" w:rsidRPr="00C718F3">
        <w:rPr>
          <w:lang w:val="en-NZ"/>
        </w:rPr>
        <w:t>would allow interest deductions</w:t>
      </w:r>
      <w:r w:rsidR="00F51DF1">
        <w:rPr>
          <w:lang w:val="en-NZ"/>
        </w:rPr>
        <w:t xml:space="preserve"> for</w:t>
      </w:r>
      <w:r w:rsidR="00E8479D" w:rsidRPr="00C718F3">
        <w:rPr>
          <w:lang w:val="en-NZ"/>
        </w:rPr>
        <w:t xml:space="preserve"> a property </w:t>
      </w:r>
      <w:r w:rsidR="00421447">
        <w:rPr>
          <w:lang w:val="en-NZ"/>
        </w:rPr>
        <w:t xml:space="preserve">that is sold and subject to tax </w:t>
      </w:r>
      <w:r w:rsidR="00B02847" w:rsidRPr="00C718F3">
        <w:rPr>
          <w:lang w:val="en-NZ"/>
        </w:rPr>
        <w:t>(</w:t>
      </w:r>
      <w:r w:rsidR="004B3431" w:rsidRPr="00C718F3">
        <w:rPr>
          <w:lang w:val="en-NZ"/>
        </w:rPr>
        <w:t xml:space="preserve">including property sold within the relevant bright-line period). </w:t>
      </w:r>
      <w:r w:rsidR="00C718F3" w:rsidRPr="00C718F3">
        <w:rPr>
          <w:lang w:val="en-NZ"/>
        </w:rPr>
        <w:t xml:space="preserve">The </w:t>
      </w:r>
      <w:r w:rsidR="002E2D16">
        <w:rPr>
          <w:lang w:val="en-NZ"/>
        </w:rPr>
        <w:t>rationale for</w:t>
      </w:r>
      <w:r w:rsidR="00C718F3" w:rsidRPr="00C718F3">
        <w:rPr>
          <w:lang w:val="en-NZ"/>
        </w:rPr>
        <w:t xml:space="preserve"> allowing </w:t>
      </w:r>
      <w:r w:rsidR="002E2D16">
        <w:rPr>
          <w:lang w:val="en-NZ"/>
        </w:rPr>
        <w:t xml:space="preserve">interest deductions </w:t>
      </w:r>
      <w:r w:rsidR="007E4DC2">
        <w:rPr>
          <w:lang w:val="en-NZ"/>
        </w:rPr>
        <w:t xml:space="preserve">on a taxable sale </w:t>
      </w:r>
      <w:r w:rsidR="00C718F3" w:rsidRPr="00C718F3">
        <w:rPr>
          <w:lang w:val="en-NZ"/>
        </w:rPr>
        <w:t xml:space="preserve">is to target the </w:t>
      </w:r>
      <w:r w:rsidR="007E4DC2">
        <w:rPr>
          <w:lang w:val="en-NZ"/>
        </w:rPr>
        <w:t xml:space="preserve">policy </w:t>
      </w:r>
      <w:r w:rsidR="00C718F3" w:rsidRPr="00C718F3">
        <w:rPr>
          <w:lang w:val="en-NZ"/>
        </w:rPr>
        <w:t>to where taxes are low relative to actual income</w:t>
      </w:r>
      <w:r w:rsidR="00100DEC">
        <w:rPr>
          <w:lang w:val="en-NZ"/>
        </w:rPr>
        <w:t xml:space="preserve"> (</w:t>
      </w:r>
      <w:r w:rsidR="002E59B0">
        <w:rPr>
          <w:lang w:val="en-NZ"/>
        </w:rPr>
        <w:t xml:space="preserve">because the gain </w:t>
      </w:r>
      <w:r w:rsidR="00D77E8C">
        <w:rPr>
          <w:lang w:val="en-NZ"/>
        </w:rPr>
        <w:t xml:space="preserve">is </w:t>
      </w:r>
      <w:r w:rsidR="002E59B0">
        <w:rPr>
          <w:lang w:val="en-NZ"/>
        </w:rPr>
        <w:t>untaxed)</w:t>
      </w:r>
      <w:r w:rsidR="00A344FF">
        <w:rPr>
          <w:lang w:val="en-NZ"/>
        </w:rPr>
        <w:t>.</w:t>
      </w:r>
      <w:r w:rsidR="00C718F3" w:rsidRPr="00C718F3">
        <w:rPr>
          <w:lang w:val="en-NZ"/>
        </w:rPr>
        <w:t xml:space="preserve"> </w:t>
      </w:r>
    </w:p>
    <w:p w14:paraId="3B7C5143" w14:textId="63E7E3C4" w:rsidR="00233B09" w:rsidRPr="00233B09" w:rsidRDefault="00233B09" w:rsidP="00A73973">
      <w:pPr>
        <w:pStyle w:val="ListParagraph"/>
        <w:numPr>
          <w:ilvl w:val="0"/>
          <w:numId w:val="39"/>
        </w:numPr>
        <w:ind w:hanging="644"/>
        <w:jc w:val="both"/>
        <w:rPr>
          <w:lang w:val="en-NZ"/>
        </w:rPr>
      </w:pPr>
      <w:r w:rsidRPr="00233B09">
        <w:rPr>
          <w:b/>
          <w:bCs/>
          <w:lang w:val="en-NZ"/>
        </w:rPr>
        <w:t>Consultation</w:t>
      </w:r>
      <w:r>
        <w:rPr>
          <w:lang w:val="en-NZ"/>
        </w:rPr>
        <w:t xml:space="preserve">: </w:t>
      </w:r>
      <w:r w:rsidRPr="00233B09">
        <w:rPr>
          <w:lang w:val="en-NZ"/>
        </w:rPr>
        <w:t>The discussion document consulted on the following options</w:t>
      </w:r>
      <w:r w:rsidR="00B353C9">
        <w:rPr>
          <w:lang w:val="en-NZ"/>
        </w:rPr>
        <w:t xml:space="preserve"> where </w:t>
      </w:r>
      <w:r w:rsidR="008C6488" w:rsidRPr="00C718F3">
        <w:rPr>
          <w:lang w:val="en-NZ"/>
        </w:rPr>
        <w:t xml:space="preserve">a property </w:t>
      </w:r>
      <w:r w:rsidR="008C6488">
        <w:rPr>
          <w:lang w:val="en-NZ"/>
        </w:rPr>
        <w:t>that is sold</w:t>
      </w:r>
      <w:r w:rsidR="00113B12">
        <w:rPr>
          <w:lang w:val="en-NZ"/>
        </w:rPr>
        <w:t xml:space="preserve"> is subject to tax</w:t>
      </w:r>
      <w:r w:rsidRPr="00233B09">
        <w:rPr>
          <w:lang w:val="en-NZ"/>
        </w:rPr>
        <w:t>:</w:t>
      </w:r>
    </w:p>
    <w:p w14:paraId="2B464AE3" w14:textId="77777777" w:rsidR="00233B09" w:rsidRPr="00233B09" w:rsidRDefault="00233B09" w:rsidP="00A73973">
      <w:pPr>
        <w:pStyle w:val="ListParagraph"/>
        <w:numPr>
          <w:ilvl w:val="1"/>
          <w:numId w:val="39"/>
        </w:numPr>
        <w:ind w:hanging="447"/>
        <w:jc w:val="both"/>
        <w:rPr>
          <w:lang w:val="en-NZ"/>
        </w:rPr>
      </w:pPr>
      <w:r w:rsidRPr="00233B09">
        <w:rPr>
          <w:lang w:val="en-NZ"/>
        </w:rPr>
        <w:t>Permanently denying all interest deductions subject to the interest limitation rule.</w:t>
      </w:r>
    </w:p>
    <w:p w14:paraId="42B3AE3F" w14:textId="052E91A5" w:rsidR="00233B09" w:rsidRPr="00233B09" w:rsidRDefault="00233B09" w:rsidP="00A73973">
      <w:pPr>
        <w:pStyle w:val="ListParagraph"/>
        <w:numPr>
          <w:ilvl w:val="1"/>
          <w:numId w:val="39"/>
        </w:numPr>
        <w:ind w:hanging="447"/>
        <w:jc w:val="both"/>
        <w:rPr>
          <w:lang w:val="en-NZ"/>
        </w:rPr>
      </w:pPr>
      <w:bookmarkStart w:id="16" w:name="_Ref81233421"/>
      <w:r w:rsidRPr="00233B09">
        <w:rPr>
          <w:lang w:val="en-NZ"/>
        </w:rPr>
        <w:t xml:space="preserve">Allowing interest deductions when a property is subject to tax on sale (for example, because </w:t>
      </w:r>
      <w:r w:rsidR="009011AA">
        <w:rPr>
          <w:lang w:val="en-NZ"/>
        </w:rPr>
        <w:t>the sale</w:t>
      </w:r>
      <w:r w:rsidRPr="00233B09">
        <w:rPr>
          <w:lang w:val="en-NZ"/>
        </w:rPr>
        <w:t xml:space="preserve"> is </w:t>
      </w:r>
      <w:r w:rsidR="009011AA">
        <w:rPr>
          <w:lang w:val="en-NZ"/>
        </w:rPr>
        <w:t>subject to</w:t>
      </w:r>
      <w:r w:rsidRPr="00233B09">
        <w:rPr>
          <w:lang w:val="en-NZ"/>
        </w:rPr>
        <w:t xml:space="preserve"> the bright-line rule).</w:t>
      </w:r>
      <w:bookmarkEnd w:id="16"/>
    </w:p>
    <w:p w14:paraId="0230812E" w14:textId="1C9935DA" w:rsidR="00233B09" w:rsidRPr="00233B09" w:rsidRDefault="00233B09" w:rsidP="00A73973">
      <w:pPr>
        <w:pStyle w:val="ListParagraph"/>
        <w:numPr>
          <w:ilvl w:val="1"/>
          <w:numId w:val="39"/>
        </w:numPr>
        <w:ind w:hanging="447"/>
        <w:jc w:val="both"/>
        <w:rPr>
          <w:lang w:val="en-NZ"/>
        </w:rPr>
      </w:pPr>
      <w:r w:rsidRPr="00233B09">
        <w:rPr>
          <w:lang w:val="en-NZ"/>
        </w:rPr>
        <w:t>Allowing all interest deductions</w:t>
      </w:r>
      <w:r w:rsidR="009C1C95">
        <w:rPr>
          <w:lang w:val="en-NZ"/>
        </w:rPr>
        <w:t xml:space="preserve"> on sale</w:t>
      </w:r>
      <w:r w:rsidRPr="00233B09">
        <w:rPr>
          <w:lang w:val="en-NZ"/>
        </w:rPr>
        <w:t>, except to the extent there is an untaxed increase in value of the property.</w:t>
      </w:r>
    </w:p>
    <w:p w14:paraId="53CA1EF3" w14:textId="7E1CB3C8" w:rsidR="00657256" w:rsidRDefault="00C810CE" w:rsidP="00A73973">
      <w:pPr>
        <w:pStyle w:val="ListParagraph"/>
        <w:numPr>
          <w:ilvl w:val="0"/>
          <w:numId w:val="39"/>
        </w:numPr>
        <w:ind w:hanging="644"/>
        <w:jc w:val="both"/>
        <w:rPr>
          <w:lang w:val="en-NZ"/>
        </w:rPr>
      </w:pPr>
      <w:r>
        <w:rPr>
          <w:lang w:val="en-NZ"/>
        </w:rPr>
        <w:t>S</w:t>
      </w:r>
      <w:r w:rsidR="00C831C9" w:rsidRPr="3AF83343">
        <w:rPr>
          <w:lang w:val="en-NZ"/>
        </w:rPr>
        <w:t>ubmissions</w:t>
      </w:r>
      <w:r w:rsidR="00C831C9">
        <w:rPr>
          <w:lang w:val="en-NZ"/>
        </w:rPr>
        <w:t xml:space="preserve"> that commented on </w:t>
      </w:r>
      <w:r w:rsidR="00CC2E5F">
        <w:rPr>
          <w:lang w:val="en-NZ"/>
        </w:rPr>
        <w:t xml:space="preserve">this design issue </w:t>
      </w:r>
      <w:r w:rsidR="00E62E70">
        <w:rPr>
          <w:lang w:val="en-NZ"/>
        </w:rPr>
        <w:t xml:space="preserve">generally </w:t>
      </w:r>
      <w:r w:rsidR="00657256" w:rsidRPr="00657256">
        <w:rPr>
          <w:lang w:val="en-NZ"/>
        </w:rPr>
        <w:t xml:space="preserve">considered that interest should be fully deductible when </w:t>
      </w:r>
      <w:r w:rsidR="00C467A6">
        <w:rPr>
          <w:lang w:val="en-NZ"/>
        </w:rPr>
        <w:t xml:space="preserve">the sale of a </w:t>
      </w:r>
      <w:r w:rsidR="00657256" w:rsidRPr="00657256">
        <w:rPr>
          <w:lang w:val="en-NZ"/>
        </w:rPr>
        <w:t xml:space="preserve">property is </w:t>
      </w:r>
      <w:r w:rsidR="00C467A6">
        <w:rPr>
          <w:lang w:val="en-NZ"/>
        </w:rPr>
        <w:t>subject to tax</w:t>
      </w:r>
      <w:r w:rsidR="00657256" w:rsidRPr="00657256">
        <w:rPr>
          <w:lang w:val="en-NZ"/>
        </w:rPr>
        <w:t xml:space="preserve">. </w:t>
      </w:r>
      <w:r w:rsidR="460BC7DD" w:rsidRPr="1EFA7692">
        <w:rPr>
          <w:lang w:val="en-NZ"/>
        </w:rPr>
        <w:t xml:space="preserve">Many </w:t>
      </w:r>
      <w:r w:rsidR="00772A6A">
        <w:rPr>
          <w:lang w:val="en-NZ"/>
        </w:rPr>
        <w:t>also considered</w:t>
      </w:r>
      <w:r w:rsidR="00657256" w:rsidRPr="00657256">
        <w:rPr>
          <w:lang w:val="en-NZ"/>
        </w:rPr>
        <w:t xml:space="preserve"> that at least some interest should be deductible when capital account (non-taxable) property is sold. A small number of submitters thought that there should be no deduction for deferred interest on sale in order to maximise the impact</w:t>
      </w:r>
      <w:r w:rsidR="00E62E70">
        <w:rPr>
          <w:lang w:val="en-NZ"/>
        </w:rPr>
        <w:t xml:space="preserve"> of the policy on the housing market</w:t>
      </w:r>
      <w:r w:rsidR="00657256" w:rsidRPr="00657256">
        <w:rPr>
          <w:lang w:val="en-NZ"/>
        </w:rPr>
        <w:t>.</w:t>
      </w:r>
    </w:p>
    <w:p w14:paraId="1C71B38E" w14:textId="07C9062F" w:rsidR="002C0AF0" w:rsidRPr="006A67B1" w:rsidRDefault="00682732" w:rsidP="00A73973">
      <w:pPr>
        <w:pStyle w:val="ListParagraph"/>
        <w:numPr>
          <w:ilvl w:val="0"/>
          <w:numId w:val="39"/>
        </w:numPr>
        <w:ind w:hanging="644"/>
        <w:jc w:val="both"/>
        <w:rPr>
          <w:lang w:val="en-NZ"/>
        </w:rPr>
      </w:pPr>
      <w:r>
        <w:rPr>
          <w:b/>
          <w:bCs/>
          <w:lang w:val="en-NZ"/>
        </w:rPr>
        <w:t>Design of Option 3</w:t>
      </w:r>
      <w:r w:rsidRPr="00682732">
        <w:rPr>
          <w:lang w:val="en-NZ"/>
        </w:rPr>
        <w:t>:</w:t>
      </w:r>
      <w:r>
        <w:rPr>
          <w:b/>
          <w:bCs/>
          <w:lang w:val="en-NZ"/>
        </w:rPr>
        <w:t xml:space="preserve"> </w:t>
      </w:r>
      <w:r w:rsidR="002C0AF0">
        <w:rPr>
          <w:lang w:val="en-NZ"/>
        </w:rPr>
        <w:t>This assessment analyses the design of Option</w:t>
      </w:r>
      <w:r w:rsidR="00784738">
        <w:rPr>
          <w:lang w:val="en-NZ"/>
        </w:rPr>
        <w:t xml:space="preserve"> </w:t>
      </w:r>
      <w:r w:rsidR="002C0AF0">
        <w:rPr>
          <w:lang w:val="en-NZ"/>
        </w:rPr>
        <w:t>3</w:t>
      </w:r>
      <w:r w:rsidR="00CE1402">
        <w:rPr>
          <w:lang w:val="en-NZ"/>
        </w:rPr>
        <w:t xml:space="preserve"> where </w:t>
      </w:r>
      <w:r w:rsidR="006A67B1">
        <w:rPr>
          <w:lang w:val="en-NZ"/>
        </w:rPr>
        <w:t>the proposal allows</w:t>
      </w:r>
      <w:r w:rsidR="002C0AF0" w:rsidRPr="00CE1402">
        <w:rPr>
          <w:lang w:val="en-NZ"/>
        </w:rPr>
        <w:t xml:space="preserve"> interest deductions when a property is subject to tax on sale </w:t>
      </w:r>
      <w:r w:rsidR="006A67B1">
        <w:rPr>
          <w:lang w:val="en-NZ"/>
        </w:rPr>
        <w:t xml:space="preserve">– </w:t>
      </w:r>
      <w:r w:rsidR="002C0AF0" w:rsidRPr="00CE1402">
        <w:rPr>
          <w:lang w:val="en-NZ"/>
        </w:rPr>
        <w:t>for</w:t>
      </w:r>
      <w:r w:rsidR="006A67B1">
        <w:rPr>
          <w:lang w:val="en-NZ"/>
        </w:rPr>
        <w:t xml:space="preserve"> </w:t>
      </w:r>
      <w:r w:rsidR="002C0AF0" w:rsidRPr="00CE1402">
        <w:rPr>
          <w:lang w:val="en-NZ"/>
        </w:rPr>
        <w:t>example, because it is caught by the bright-line rule</w:t>
      </w:r>
      <w:r w:rsidR="006A67B1">
        <w:rPr>
          <w:lang w:val="en-NZ"/>
        </w:rPr>
        <w:t xml:space="preserve"> (see paragraph </w:t>
      </w:r>
      <w:r w:rsidR="006A67B1">
        <w:rPr>
          <w:lang w:val="en-NZ"/>
        </w:rPr>
        <w:fldChar w:fldCharType="begin"/>
      </w:r>
      <w:r w:rsidR="006A67B1">
        <w:rPr>
          <w:lang w:val="en-NZ"/>
        </w:rPr>
        <w:instrText xml:space="preserve"> REF _Ref81233421 \r \h </w:instrText>
      </w:r>
      <w:r w:rsidR="006A67B1">
        <w:rPr>
          <w:lang w:val="en-NZ"/>
        </w:rPr>
      </w:r>
      <w:r w:rsidR="006A67B1">
        <w:rPr>
          <w:lang w:val="en-NZ"/>
        </w:rPr>
        <w:fldChar w:fldCharType="separate"/>
      </w:r>
      <w:r w:rsidR="006527C9">
        <w:rPr>
          <w:lang w:val="en-NZ"/>
        </w:rPr>
        <w:t>85.b</w:t>
      </w:r>
      <w:r w:rsidR="006A67B1">
        <w:rPr>
          <w:lang w:val="en-NZ"/>
        </w:rPr>
        <w:fldChar w:fldCharType="end"/>
      </w:r>
      <w:r w:rsidR="006A67B1">
        <w:rPr>
          <w:lang w:val="en-NZ"/>
        </w:rPr>
        <w:t>)</w:t>
      </w:r>
      <w:r w:rsidR="002C0AF0" w:rsidRPr="006A67B1">
        <w:rPr>
          <w:lang w:val="en-NZ"/>
        </w:rPr>
        <w:t>.</w:t>
      </w:r>
      <w:r w:rsidR="00784738" w:rsidRPr="006A67B1">
        <w:rPr>
          <w:lang w:val="en-NZ"/>
        </w:rPr>
        <w:t xml:space="preserve"> </w:t>
      </w:r>
      <w:r w:rsidR="002C0AF0" w:rsidRPr="006A67B1">
        <w:rPr>
          <w:lang w:val="en-NZ"/>
        </w:rPr>
        <w:t xml:space="preserve"> </w:t>
      </w:r>
    </w:p>
    <w:p w14:paraId="54814BA2" w14:textId="0FE15C6A" w:rsidR="005E7E9E" w:rsidRDefault="008001B7" w:rsidP="00A73973">
      <w:pPr>
        <w:pStyle w:val="ListParagraph"/>
        <w:numPr>
          <w:ilvl w:val="0"/>
          <w:numId w:val="39"/>
        </w:numPr>
        <w:ind w:left="930" w:hanging="646"/>
        <w:jc w:val="both"/>
        <w:rPr>
          <w:lang w:val="en-NZ"/>
        </w:rPr>
      </w:pPr>
      <w:r w:rsidRPr="005E7E9E">
        <w:rPr>
          <w:b/>
          <w:bCs/>
        </w:rPr>
        <w:t>Improves housing affordability for first-home buyers</w:t>
      </w:r>
      <w:r w:rsidRPr="00793ACF">
        <w:t>:</w:t>
      </w:r>
      <w:r>
        <w:t xml:space="preserve"> </w:t>
      </w:r>
      <w:r w:rsidR="00F64D56" w:rsidRPr="006D2177">
        <w:t>This option would still improve housing affordability for first</w:t>
      </w:r>
      <w:r w:rsidR="00D61224">
        <w:t>-</w:t>
      </w:r>
      <w:r w:rsidR="00F64D56" w:rsidRPr="006D2177">
        <w:t xml:space="preserve">home buyers but to a </w:t>
      </w:r>
      <w:r w:rsidR="00D82BED" w:rsidRPr="006D2177">
        <w:t xml:space="preserve">slightly </w:t>
      </w:r>
      <w:r w:rsidR="00F64D56" w:rsidRPr="006D2177">
        <w:t xml:space="preserve">lesser extent than both </w:t>
      </w:r>
      <w:r w:rsidR="00C01E90" w:rsidRPr="006D2177">
        <w:t>Options 1</w:t>
      </w:r>
      <w:r w:rsidR="00F64D56" w:rsidRPr="006D2177">
        <w:t xml:space="preserve"> and 2</w:t>
      </w:r>
      <w:r w:rsidR="00AD5B37">
        <w:t xml:space="preserve">. </w:t>
      </w:r>
      <w:r w:rsidR="00D82BED" w:rsidRPr="005E7E9E">
        <w:rPr>
          <w:lang w:val="en-NZ"/>
        </w:rPr>
        <w:t xml:space="preserve">Officials advised that the impact of </w:t>
      </w:r>
      <w:r w:rsidR="00AC1FA6">
        <w:rPr>
          <w:lang w:val="en-NZ"/>
        </w:rPr>
        <w:t>this design issue (</w:t>
      </w:r>
      <w:r w:rsidR="00982177" w:rsidRPr="005E7E9E">
        <w:rPr>
          <w:lang w:val="en-NZ"/>
        </w:rPr>
        <w:t>whether to fully deny or just def</w:t>
      </w:r>
      <w:r w:rsidR="00F17D37">
        <w:rPr>
          <w:lang w:val="en-NZ"/>
        </w:rPr>
        <w:t>er</w:t>
      </w:r>
      <w:r w:rsidR="00982177" w:rsidRPr="005E7E9E">
        <w:rPr>
          <w:lang w:val="en-NZ"/>
        </w:rPr>
        <w:t xml:space="preserve"> deductions</w:t>
      </w:r>
      <w:r w:rsidR="00AC1FA6">
        <w:rPr>
          <w:lang w:val="en-NZ"/>
        </w:rPr>
        <w:t>)</w:t>
      </w:r>
      <w:r w:rsidR="00982177" w:rsidRPr="005E7E9E">
        <w:rPr>
          <w:lang w:val="en-NZ"/>
        </w:rPr>
        <w:t xml:space="preserve"> </w:t>
      </w:r>
      <w:r w:rsidR="00D82BED" w:rsidRPr="005E7E9E">
        <w:rPr>
          <w:lang w:val="en-NZ"/>
        </w:rPr>
        <w:t>will be significantly smaller than</w:t>
      </w:r>
      <w:r w:rsidR="00982177" w:rsidRPr="005E7E9E">
        <w:rPr>
          <w:lang w:val="en-NZ"/>
        </w:rPr>
        <w:t xml:space="preserve"> the impact of</w:t>
      </w:r>
      <w:r w:rsidR="00D82BED" w:rsidRPr="005E7E9E">
        <w:rPr>
          <w:lang w:val="en-NZ"/>
        </w:rPr>
        <w:t xml:space="preserve"> the length of the new build exemption.</w:t>
      </w:r>
      <w:r w:rsidR="00982177" w:rsidRPr="005E7E9E">
        <w:rPr>
          <w:lang w:val="en-NZ"/>
        </w:rPr>
        <w:t xml:space="preserve"> </w:t>
      </w:r>
      <w:r w:rsidR="007A54E6">
        <w:rPr>
          <w:lang w:val="en-NZ"/>
        </w:rPr>
        <w:t xml:space="preserve">However, </w:t>
      </w:r>
      <w:r w:rsidR="007A54E6" w:rsidRPr="004A26FF">
        <w:rPr>
          <w:lang w:val="en-NZ"/>
        </w:rPr>
        <w:t>even if interest deductions are deferred rather than permanently denied, investors will be worse of</w:t>
      </w:r>
      <w:r w:rsidR="00B94A04">
        <w:rPr>
          <w:lang w:val="en-NZ"/>
        </w:rPr>
        <w:t>f</w:t>
      </w:r>
      <w:r w:rsidR="007A54E6" w:rsidRPr="004A26FF">
        <w:rPr>
          <w:lang w:val="en-NZ"/>
        </w:rPr>
        <w:t xml:space="preserve"> compared to the status quo.</w:t>
      </w:r>
      <w:r w:rsidR="007A54E6">
        <w:rPr>
          <w:lang w:val="en-NZ"/>
        </w:rPr>
        <w:t xml:space="preserve"> </w:t>
      </w:r>
    </w:p>
    <w:p w14:paraId="1A57D4C6" w14:textId="3DAE23AD" w:rsidR="00463C69" w:rsidRPr="00D975D4" w:rsidRDefault="00E3314F" w:rsidP="00A73973">
      <w:pPr>
        <w:pStyle w:val="NumberedParagraph"/>
        <w:numPr>
          <w:ilvl w:val="0"/>
          <w:numId w:val="39"/>
        </w:numPr>
        <w:spacing w:after="240" w:line="280" w:lineRule="atLeast"/>
        <w:ind w:left="930" w:hanging="646"/>
      </w:pPr>
      <w:r w:rsidRPr="003D3AFE">
        <w:rPr>
          <w:rFonts w:ascii="Arial" w:hAnsi="Arial"/>
          <w:b/>
          <w:bCs/>
          <w:sz w:val="22"/>
          <w:szCs w:val="22"/>
        </w:rPr>
        <w:t>Maintain</w:t>
      </w:r>
      <w:r>
        <w:rPr>
          <w:rFonts w:ascii="Arial" w:hAnsi="Arial"/>
          <w:b/>
          <w:bCs/>
          <w:sz w:val="22"/>
          <w:szCs w:val="22"/>
        </w:rPr>
        <w:t>s</w:t>
      </w:r>
      <w:r w:rsidRPr="003D3AFE">
        <w:rPr>
          <w:rFonts w:ascii="Arial" w:hAnsi="Arial"/>
          <w:b/>
          <w:bCs/>
          <w:sz w:val="22"/>
          <w:szCs w:val="22"/>
        </w:rPr>
        <w:t xml:space="preserve"> </w:t>
      </w:r>
      <w:r w:rsidR="00CC62DF" w:rsidRPr="00080F4B">
        <w:rPr>
          <w:rFonts w:ascii="Arial" w:hAnsi="Arial"/>
          <w:b/>
          <w:bCs/>
          <w:sz w:val="22"/>
          <w:szCs w:val="22"/>
        </w:rPr>
        <w:t>the rate of development of new housing stock</w:t>
      </w:r>
      <w:r w:rsidR="00CC62DF" w:rsidRPr="00080F4B">
        <w:rPr>
          <w:rFonts w:ascii="Arial" w:hAnsi="Arial"/>
          <w:sz w:val="22"/>
          <w:szCs w:val="22"/>
        </w:rPr>
        <w:t>:</w:t>
      </w:r>
      <w:r w:rsidR="00CC62DF" w:rsidRPr="009F638A">
        <w:rPr>
          <w:rFonts w:ascii="Arial" w:hAnsi="Arial"/>
          <w:sz w:val="22"/>
          <w:szCs w:val="22"/>
        </w:rPr>
        <w:t xml:space="preserve"> </w:t>
      </w:r>
      <w:r w:rsidR="009B547B">
        <w:rPr>
          <w:rFonts w:ascii="Arial" w:hAnsi="Arial"/>
          <w:sz w:val="22"/>
          <w:szCs w:val="22"/>
        </w:rPr>
        <w:t>The impact of this option on the rate</w:t>
      </w:r>
      <w:r w:rsidR="002B0167">
        <w:rPr>
          <w:rFonts w:ascii="Arial" w:hAnsi="Arial"/>
          <w:sz w:val="22"/>
          <w:szCs w:val="22"/>
        </w:rPr>
        <w:t xml:space="preserve"> </w:t>
      </w:r>
      <w:r w:rsidR="00254C72">
        <w:rPr>
          <w:rFonts w:ascii="Arial" w:hAnsi="Arial"/>
          <w:sz w:val="22"/>
          <w:szCs w:val="22"/>
        </w:rPr>
        <w:t xml:space="preserve">of new housing supply </w:t>
      </w:r>
      <w:r w:rsidR="002B0167">
        <w:rPr>
          <w:rFonts w:ascii="Arial" w:hAnsi="Arial"/>
          <w:sz w:val="22"/>
          <w:szCs w:val="22"/>
        </w:rPr>
        <w:t>is likely to be similar to</w:t>
      </w:r>
      <w:r w:rsidR="00B93603">
        <w:rPr>
          <w:rFonts w:ascii="Arial" w:hAnsi="Arial"/>
          <w:sz w:val="22"/>
          <w:szCs w:val="22"/>
        </w:rPr>
        <w:t xml:space="preserve"> </w:t>
      </w:r>
      <w:r w:rsidR="002B0167">
        <w:rPr>
          <w:rFonts w:ascii="Arial" w:hAnsi="Arial"/>
          <w:sz w:val="22"/>
          <w:szCs w:val="22"/>
        </w:rPr>
        <w:t xml:space="preserve">that of </w:t>
      </w:r>
      <w:r w:rsidR="00C01E90">
        <w:rPr>
          <w:rFonts w:ascii="Arial" w:hAnsi="Arial"/>
          <w:sz w:val="22"/>
          <w:szCs w:val="22"/>
        </w:rPr>
        <w:t>Option 2</w:t>
      </w:r>
      <w:r w:rsidR="0091798E">
        <w:rPr>
          <w:rFonts w:ascii="Arial" w:hAnsi="Arial"/>
          <w:sz w:val="22"/>
          <w:szCs w:val="22"/>
        </w:rPr>
        <w:t xml:space="preserve">. </w:t>
      </w:r>
      <w:r w:rsidR="002D6F7F">
        <w:rPr>
          <w:rFonts w:ascii="Arial" w:hAnsi="Arial"/>
          <w:sz w:val="22"/>
          <w:szCs w:val="22"/>
        </w:rPr>
        <w:t xml:space="preserve">Option 3 will further reduce the effect of the overall policy </w:t>
      </w:r>
      <w:r w:rsidR="00994936">
        <w:rPr>
          <w:rFonts w:ascii="Arial" w:hAnsi="Arial"/>
          <w:sz w:val="22"/>
          <w:szCs w:val="22"/>
        </w:rPr>
        <w:t>on house prices</w:t>
      </w:r>
      <w:r w:rsidR="003A622F">
        <w:rPr>
          <w:rFonts w:ascii="Arial" w:hAnsi="Arial"/>
          <w:sz w:val="22"/>
          <w:szCs w:val="22"/>
        </w:rPr>
        <w:t xml:space="preserve"> </w:t>
      </w:r>
      <w:r w:rsidR="00E04CCC">
        <w:rPr>
          <w:rFonts w:ascii="Arial" w:hAnsi="Arial"/>
          <w:sz w:val="22"/>
          <w:szCs w:val="22"/>
        </w:rPr>
        <w:t xml:space="preserve">and </w:t>
      </w:r>
      <w:r w:rsidR="009B0933">
        <w:rPr>
          <w:rFonts w:ascii="Arial" w:hAnsi="Arial"/>
          <w:sz w:val="22"/>
          <w:szCs w:val="22"/>
        </w:rPr>
        <w:t>s</w:t>
      </w:r>
      <w:r w:rsidR="00FB4121">
        <w:rPr>
          <w:rFonts w:ascii="Arial" w:hAnsi="Arial"/>
          <w:sz w:val="22"/>
          <w:szCs w:val="22"/>
        </w:rPr>
        <w:t>h</w:t>
      </w:r>
      <w:r w:rsidR="009B0933">
        <w:rPr>
          <w:rFonts w:ascii="Arial" w:hAnsi="Arial"/>
          <w:sz w:val="22"/>
          <w:szCs w:val="22"/>
        </w:rPr>
        <w:t>ould</w:t>
      </w:r>
      <w:r w:rsidR="00477DB8">
        <w:rPr>
          <w:rFonts w:ascii="Arial" w:hAnsi="Arial"/>
          <w:sz w:val="22"/>
          <w:szCs w:val="22"/>
        </w:rPr>
        <w:t xml:space="preserve"> </w:t>
      </w:r>
      <w:r w:rsidR="00927404">
        <w:rPr>
          <w:rFonts w:ascii="Arial" w:hAnsi="Arial"/>
          <w:sz w:val="22"/>
          <w:szCs w:val="22"/>
        </w:rPr>
        <w:t>produce less of a</w:t>
      </w:r>
      <w:r w:rsidR="009B0933">
        <w:rPr>
          <w:rFonts w:ascii="Arial" w:hAnsi="Arial"/>
          <w:sz w:val="22"/>
          <w:szCs w:val="22"/>
        </w:rPr>
        <w:t xml:space="preserve"> disincentive</w:t>
      </w:r>
      <w:r w:rsidR="00DA3DCC">
        <w:rPr>
          <w:rFonts w:ascii="Arial" w:hAnsi="Arial"/>
          <w:sz w:val="22"/>
          <w:szCs w:val="22"/>
        </w:rPr>
        <w:t xml:space="preserve"> </w:t>
      </w:r>
      <w:r w:rsidR="00927404">
        <w:rPr>
          <w:rFonts w:ascii="Arial" w:hAnsi="Arial"/>
          <w:sz w:val="22"/>
          <w:szCs w:val="22"/>
        </w:rPr>
        <w:t>to build new supply (</w:t>
      </w:r>
      <w:r w:rsidR="00FB4121">
        <w:rPr>
          <w:rFonts w:ascii="Arial" w:hAnsi="Arial"/>
          <w:sz w:val="22"/>
          <w:szCs w:val="22"/>
        </w:rPr>
        <w:t xml:space="preserve">compared to </w:t>
      </w:r>
      <w:r w:rsidR="007E0923">
        <w:rPr>
          <w:rFonts w:ascii="Arial" w:hAnsi="Arial"/>
          <w:sz w:val="22"/>
          <w:szCs w:val="22"/>
        </w:rPr>
        <w:t>O</w:t>
      </w:r>
      <w:r w:rsidR="00FB4121">
        <w:rPr>
          <w:rFonts w:ascii="Arial" w:hAnsi="Arial"/>
          <w:sz w:val="22"/>
          <w:szCs w:val="22"/>
        </w:rPr>
        <w:t>ption</w:t>
      </w:r>
      <w:r w:rsidR="00F10438">
        <w:rPr>
          <w:rFonts w:ascii="Arial" w:hAnsi="Arial"/>
          <w:sz w:val="22"/>
          <w:szCs w:val="22"/>
        </w:rPr>
        <w:t>s</w:t>
      </w:r>
      <w:r w:rsidR="00FB4121">
        <w:rPr>
          <w:rFonts w:ascii="Arial" w:hAnsi="Arial"/>
          <w:sz w:val="22"/>
          <w:szCs w:val="22"/>
        </w:rPr>
        <w:t xml:space="preserve"> 1</w:t>
      </w:r>
      <w:r w:rsidR="00F10438">
        <w:rPr>
          <w:rFonts w:ascii="Arial" w:hAnsi="Arial"/>
          <w:sz w:val="22"/>
          <w:szCs w:val="22"/>
        </w:rPr>
        <w:t xml:space="preserve"> and 2</w:t>
      </w:r>
      <w:r w:rsidR="00927404">
        <w:rPr>
          <w:rFonts w:ascii="Arial" w:hAnsi="Arial"/>
          <w:sz w:val="22"/>
          <w:szCs w:val="22"/>
        </w:rPr>
        <w:t>)</w:t>
      </w:r>
      <w:r w:rsidR="003A622F">
        <w:rPr>
          <w:rFonts w:ascii="Arial" w:hAnsi="Arial"/>
          <w:sz w:val="22"/>
          <w:szCs w:val="22"/>
        </w:rPr>
        <w:t xml:space="preserve">. However, the impact of Option 3 on </w:t>
      </w:r>
      <w:r w:rsidR="00C85E1A">
        <w:rPr>
          <w:rFonts w:ascii="Arial" w:hAnsi="Arial"/>
          <w:sz w:val="22"/>
          <w:szCs w:val="22"/>
        </w:rPr>
        <w:t xml:space="preserve">new housing supply </w:t>
      </w:r>
      <w:r w:rsidR="00FB4121">
        <w:rPr>
          <w:rFonts w:ascii="Arial" w:hAnsi="Arial"/>
          <w:sz w:val="22"/>
          <w:szCs w:val="22"/>
        </w:rPr>
        <w:t xml:space="preserve">is likely be </w:t>
      </w:r>
      <w:r w:rsidR="00297354">
        <w:rPr>
          <w:rFonts w:ascii="Arial" w:hAnsi="Arial"/>
          <w:sz w:val="22"/>
          <w:szCs w:val="22"/>
        </w:rPr>
        <w:t>small</w:t>
      </w:r>
      <w:r w:rsidR="00FB4121">
        <w:rPr>
          <w:rFonts w:ascii="Arial" w:hAnsi="Arial"/>
          <w:sz w:val="22"/>
          <w:szCs w:val="22"/>
        </w:rPr>
        <w:t xml:space="preserve"> relative to </w:t>
      </w:r>
      <w:r w:rsidR="00B73B9D">
        <w:rPr>
          <w:rFonts w:ascii="Arial" w:hAnsi="Arial"/>
          <w:sz w:val="22"/>
          <w:szCs w:val="22"/>
        </w:rPr>
        <w:t xml:space="preserve">the potential impact of </w:t>
      </w:r>
      <w:r w:rsidR="007E0923">
        <w:rPr>
          <w:rFonts w:ascii="Arial" w:hAnsi="Arial"/>
          <w:sz w:val="22"/>
          <w:szCs w:val="22"/>
        </w:rPr>
        <w:t>O</w:t>
      </w:r>
      <w:r w:rsidR="00FB4121">
        <w:rPr>
          <w:rFonts w:ascii="Arial" w:hAnsi="Arial"/>
          <w:sz w:val="22"/>
          <w:szCs w:val="22"/>
        </w:rPr>
        <w:t>ption 2.</w:t>
      </w:r>
    </w:p>
    <w:p w14:paraId="310EB50D" w14:textId="6F0E6E60" w:rsidR="008001B7" w:rsidRPr="00793ACF" w:rsidRDefault="008001B7" w:rsidP="00A73973">
      <w:pPr>
        <w:pStyle w:val="ListParagraph"/>
        <w:numPr>
          <w:ilvl w:val="0"/>
          <w:numId w:val="39"/>
        </w:numPr>
        <w:ind w:hanging="644"/>
        <w:jc w:val="both"/>
        <w:rPr>
          <w:lang w:val="en-NZ"/>
        </w:rPr>
      </w:pPr>
      <w:r w:rsidRPr="00793ACF">
        <w:rPr>
          <w:b/>
          <w:bCs/>
        </w:rPr>
        <w:t>Improves housing affordability for renters</w:t>
      </w:r>
      <w:r w:rsidRPr="00793ACF">
        <w:t>:</w:t>
      </w:r>
      <w:r w:rsidR="00F02712">
        <w:t xml:space="preserve"> </w:t>
      </w:r>
      <w:r w:rsidR="6749138A">
        <w:t xml:space="preserve"> </w:t>
      </w:r>
      <w:r w:rsidR="579CF6AB">
        <w:t>A</w:t>
      </w:r>
      <w:r w:rsidR="0052615E">
        <w:t xml:space="preserve">ffordability for renters </w:t>
      </w:r>
      <w:r w:rsidR="6863DFB2">
        <w:t xml:space="preserve">in the long </w:t>
      </w:r>
      <w:r w:rsidR="00B73B9D">
        <w:t>run</w:t>
      </w:r>
      <w:r w:rsidR="6863DFB2">
        <w:t xml:space="preserve"> </w:t>
      </w:r>
      <w:r w:rsidR="0052615E">
        <w:t xml:space="preserve">will not be promoted by taxing the provision of accommodation by landlords more heavily under the general proposal. However, </w:t>
      </w:r>
      <w:r w:rsidR="00553AC4">
        <w:t xml:space="preserve">Option 3 would </w:t>
      </w:r>
      <w:r w:rsidR="00BD13D9">
        <w:t xml:space="preserve">have the smallest </w:t>
      </w:r>
      <w:r w:rsidR="00CC7D0B">
        <w:t xml:space="preserve">negative </w:t>
      </w:r>
      <w:r w:rsidR="00BD13D9">
        <w:t xml:space="preserve">impact on long-term </w:t>
      </w:r>
      <w:r w:rsidR="00CC7D0B">
        <w:t xml:space="preserve">housing </w:t>
      </w:r>
      <w:r w:rsidR="00BD13D9">
        <w:t>suppl</w:t>
      </w:r>
      <w:r w:rsidR="00CC7D0B">
        <w:t>y</w:t>
      </w:r>
      <w:r w:rsidR="00BD13D9">
        <w:t xml:space="preserve">, and therefore will have </w:t>
      </w:r>
      <w:r w:rsidR="00CC7D0B">
        <w:t xml:space="preserve">the least tendency to </w:t>
      </w:r>
      <w:r w:rsidR="00945F9E">
        <w:t>increase rents</w:t>
      </w:r>
      <w:r w:rsidR="00CC7D0B">
        <w:t>.</w:t>
      </w:r>
      <w:r w:rsidR="00ED043B">
        <w:t xml:space="preserve">  </w:t>
      </w:r>
    </w:p>
    <w:p w14:paraId="1C447463" w14:textId="32C1C382" w:rsidR="008001B7" w:rsidRPr="00F42A8C" w:rsidRDefault="008001B7" w:rsidP="00A73973">
      <w:pPr>
        <w:pStyle w:val="ListParagraph"/>
        <w:numPr>
          <w:ilvl w:val="0"/>
          <w:numId w:val="39"/>
        </w:numPr>
        <w:ind w:hanging="644"/>
        <w:jc w:val="both"/>
        <w:rPr>
          <w:lang w:val="en-NZ"/>
        </w:rPr>
      </w:pPr>
      <w:r w:rsidRPr="00F42A8C">
        <w:rPr>
          <w:b/>
          <w:bCs/>
        </w:rPr>
        <w:t>Efficiency and growth</w:t>
      </w:r>
      <w:r w:rsidRPr="00793ACF">
        <w:t xml:space="preserve">: </w:t>
      </w:r>
      <w:r w:rsidR="00AF7321">
        <w:t>Again, for debt-funded investors interest deductibility is a key consideration.</w:t>
      </w:r>
      <w:r w:rsidR="00F42A8C">
        <w:t xml:space="preserve"> </w:t>
      </w:r>
      <w:r w:rsidR="00AF7321">
        <w:t xml:space="preserve">The deferral of interest deductions for investors in property who are taxable on sale will likely mitigate some efficiency concerns because interest deductions </w:t>
      </w:r>
      <w:r w:rsidR="00970004">
        <w:t xml:space="preserve">to </w:t>
      </w:r>
      <w:r w:rsidR="00126FBB">
        <w:t xml:space="preserve">those properties </w:t>
      </w:r>
      <w:r w:rsidR="00AF7321">
        <w:t>will be available at some point. However, there would still be a preference to invest in new builds, given that interest would be deductible in the year it was incurred.</w:t>
      </w:r>
    </w:p>
    <w:p w14:paraId="2FF54C03" w14:textId="2EC140F2" w:rsidR="00EC1D55" w:rsidRDefault="008001B7" w:rsidP="00A73973">
      <w:pPr>
        <w:pStyle w:val="ListParagraph"/>
        <w:numPr>
          <w:ilvl w:val="0"/>
          <w:numId w:val="39"/>
        </w:numPr>
        <w:ind w:hanging="644"/>
        <w:jc w:val="both"/>
      </w:pPr>
      <w:r w:rsidRPr="00793ACF">
        <w:rPr>
          <w:b/>
          <w:bCs/>
        </w:rPr>
        <w:t>Equity and fairness</w:t>
      </w:r>
      <w:r w:rsidRPr="00793ACF">
        <w:t xml:space="preserve">: </w:t>
      </w:r>
      <w:r w:rsidR="00564590">
        <w:t>T</w:t>
      </w:r>
      <w:r w:rsidR="00EC1D55">
        <w:t>his option may erode horizontal equity in relation to other types of investment, which generally are entitled to deductions for all expenditure incurred in deriving income from that investment</w:t>
      </w:r>
      <w:r w:rsidR="006930CF">
        <w:t xml:space="preserve"> in the year </w:t>
      </w:r>
      <w:r w:rsidR="00ED10DC">
        <w:t>it</w:t>
      </w:r>
      <w:r w:rsidR="006930CF">
        <w:t xml:space="preserve"> was incurred</w:t>
      </w:r>
      <w:r w:rsidR="00AD5B37">
        <w:t xml:space="preserve">. </w:t>
      </w:r>
      <w:r w:rsidR="003F23E9">
        <w:t xml:space="preserve">However, </w:t>
      </w:r>
      <w:r w:rsidR="00554AFF">
        <w:t>horizontal equity would be eroded to a lesser extent under Option 3</w:t>
      </w:r>
      <w:r w:rsidR="003F23E9">
        <w:t xml:space="preserve"> than </w:t>
      </w:r>
      <w:r w:rsidR="00554AFF">
        <w:t xml:space="preserve">under </w:t>
      </w:r>
      <w:r w:rsidR="006930CF">
        <w:t>O</w:t>
      </w:r>
      <w:r w:rsidR="00BE262F">
        <w:t>ptions 1 and 2.</w:t>
      </w:r>
    </w:p>
    <w:p w14:paraId="0931CA71" w14:textId="187928F4" w:rsidR="008001B7" w:rsidRPr="00793ACF" w:rsidRDefault="00EC1D55" w:rsidP="00A73973">
      <w:pPr>
        <w:pStyle w:val="ListParagraph"/>
        <w:numPr>
          <w:ilvl w:val="0"/>
          <w:numId w:val="39"/>
        </w:numPr>
        <w:ind w:hanging="644"/>
        <w:jc w:val="both"/>
        <w:rPr>
          <w:lang w:val="en-NZ"/>
        </w:rPr>
      </w:pPr>
      <w:r>
        <w:t xml:space="preserve">Where a sale of a property is taxable, all of the income from owning the property has been taxed, so all deductions should be allowed. The deferral </w:t>
      </w:r>
      <w:r w:rsidR="00234E5B">
        <w:t>of</w:t>
      </w:r>
      <w:r>
        <w:t xml:space="preserve"> the deduction </w:t>
      </w:r>
      <w:r w:rsidR="00CA3E76">
        <w:t>(</w:t>
      </w:r>
      <w:r>
        <w:t>until the time of sale</w:t>
      </w:r>
      <w:r w:rsidR="00CA3E76">
        <w:t>)</w:t>
      </w:r>
      <w:r>
        <w:t xml:space="preserve"> is appropriate because it may not be clear whether the sale is taxable until the year of sale</w:t>
      </w:r>
      <w:r w:rsidR="0081356C">
        <w:t xml:space="preserve"> </w:t>
      </w:r>
      <w:r w:rsidR="00CA3E76">
        <w:t xml:space="preserve">(especially </w:t>
      </w:r>
      <w:r w:rsidR="0081356C">
        <w:t>where the bright-line rule applies</w:t>
      </w:r>
      <w:r w:rsidR="00CA3E76">
        <w:t>)</w:t>
      </w:r>
      <w:r>
        <w:t xml:space="preserve">. </w:t>
      </w:r>
      <w:r w:rsidR="00A73326">
        <w:t>Th</w:t>
      </w:r>
      <w:r w:rsidR="00B66DEE">
        <w:t xml:space="preserve">is </w:t>
      </w:r>
      <w:r w:rsidR="00A73326">
        <w:t xml:space="preserve">then </w:t>
      </w:r>
      <w:r w:rsidR="00DC415D">
        <w:t xml:space="preserve">aligns </w:t>
      </w:r>
      <w:r w:rsidR="00A73326">
        <w:t>th</w:t>
      </w:r>
      <w:r w:rsidR="00D06F1B">
        <w:t>ose</w:t>
      </w:r>
      <w:r w:rsidR="00A73326">
        <w:t xml:space="preserve"> deductions </w:t>
      </w:r>
      <w:r w:rsidR="00BF7933">
        <w:t>with the taxation of the gain</w:t>
      </w:r>
      <w:r w:rsidR="001206AD">
        <w:t>, which removes a timing advantage</w:t>
      </w:r>
      <w:r w:rsidR="00E27F3C">
        <w:t xml:space="preserve"> (as </w:t>
      </w:r>
      <w:r w:rsidR="00E8747B">
        <w:t>the gain accrues over the entire holding period</w:t>
      </w:r>
      <w:r w:rsidR="00E27F3C">
        <w:t>).</w:t>
      </w:r>
    </w:p>
    <w:p w14:paraId="563007AC" w14:textId="252DADF6" w:rsidR="008001B7" w:rsidRPr="00793ACF" w:rsidRDefault="008001B7" w:rsidP="00A73973">
      <w:pPr>
        <w:pStyle w:val="ListParagraph"/>
        <w:numPr>
          <w:ilvl w:val="0"/>
          <w:numId w:val="39"/>
        </w:numPr>
        <w:ind w:hanging="644"/>
        <w:jc w:val="both"/>
        <w:rPr>
          <w:lang w:val="en-NZ"/>
        </w:rPr>
      </w:pPr>
      <w:r w:rsidRPr="00793ACF">
        <w:rPr>
          <w:b/>
          <w:bCs/>
        </w:rPr>
        <w:t>Revenue integrity</w:t>
      </w:r>
      <w:r w:rsidRPr="00793ACF">
        <w:t xml:space="preserve">: </w:t>
      </w:r>
      <w:r w:rsidR="00EF3C23" w:rsidRPr="00EF3C23">
        <w:t>This option is expected to negatively impact the integrity of the tax system, given the complexity involved and the opportunities for avoidance and arbitrage. The methods for determining what deductions should be denied to what categories of persons is a complex task given the large range of structuring that could occur.</w:t>
      </w:r>
    </w:p>
    <w:p w14:paraId="6EB7C325" w14:textId="57FDEC22" w:rsidR="00F77208" w:rsidRDefault="008001B7" w:rsidP="00A73973">
      <w:pPr>
        <w:pStyle w:val="ListParagraph"/>
        <w:numPr>
          <w:ilvl w:val="0"/>
          <w:numId w:val="39"/>
        </w:numPr>
        <w:ind w:hanging="644"/>
        <w:jc w:val="both"/>
      </w:pPr>
      <w:r w:rsidRPr="00793ACF">
        <w:rPr>
          <w:b/>
          <w:bCs/>
        </w:rPr>
        <w:t>Fiscal impact</w:t>
      </w:r>
      <w:r w:rsidRPr="00793ACF">
        <w:t xml:space="preserve">: </w:t>
      </w:r>
      <w:r w:rsidR="008C27FE" w:rsidRPr="008C27FE">
        <w:t xml:space="preserve">Denying interest deductions under </w:t>
      </w:r>
      <w:r w:rsidR="00C01E90">
        <w:t>Option 3</w:t>
      </w:r>
      <w:r w:rsidR="008C27FE" w:rsidRPr="008C27FE">
        <w:t xml:space="preserve"> will also raise revenue, but to a lesser extent than </w:t>
      </w:r>
      <w:r w:rsidR="00C01E90">
        <w:t>Options 1</w:t>
      </w:r>
      <w:r w:rsidR="008C27FE" w:rsidRPr="008C27FE">
        <w:t xml:space="preserve"> and 2.</w:t>
      </w:r>
      <w:r w:rsidR="00F77208">
        <w:t xml:space="preserve"> </w:t>
      </w:r>
      <w:r w:rsidR="00C57773" w:rsidRPr="5980B353">
        <w:rPr>
          <w:rFonts w:cs="Arial"/>
        </w:rPr>
        <w:t xml:space="preserve">The expected revenue gain from this option is </w:t>
      </w:r>
      <w:r w:rsidR="00F77208">
        <w:t>$1.</w:t>
      </w:r>
      <w:r w:rsidR="22396A82">
        <w:t>12</w:t>
      </w:r>
      <w:r w:rsidR="3CFB2A51">
        <w:t xml:space="preserve"> </w:t>
      </w:r>
      <w:r w:rsidR="22396A82">
        <w:t>b</w:t>
      </w:r>
      <w:r w:rsidR="287F65B1">
        <w:t>illio</w:t>
      </w:r>
      <w:r w:rsidR="22396A82">
        <w:t>n</w:t>
      </w:r>
      <w:r w:rsidR="0008332C">
        <w:t xml:space="preserve"> </w:t>
      </w:r>
      <w:r w:rsidR="0008332C" w:rsidRPr="0008332C">
        <w:t>over the forecast period</w:t>
      </w:r>
      <w:r w:rsidR="000251A0">
        <w:t xml:space="preserve"> (2021/22 to 2024/25)</w:t>
      </w:r>
      <w:r w:rsidR="00AD5B37">
        <w:t xml:space="preserve">. </w:t>
      </w:r>
      <w:r w:rsidR="00F77208">
        <w:t>In addition to the assumptions for Options 1 and 2 above, this option includes the following assumptions:</w:t>
      </w:r>
    </w:p>
    <w:p w14:paraId="4A84BD7E" w14:textId="4F45816F" w:rsidR="00FD67CC" w:rsidRPr="00233B09" w:rsidRDefault="00FD67CC" w:rsidP="00A73973">
      <w:pPr>
        <w:pStyle w:val="ListParagraph"/>
        <w:numPr>
          <w:ilvl w:val="1"/>
          <w:numId w:val="39"/>
        </w:numPr>
        <w:ind w:hanging="447"/>
        <w:jc w:val="both"/>
        <w:rPr>
          <w:lang w:val="en-NZ"/>
        </w:rPr>
      </w:pPr>
      <w:r>
        <w:rPr>
          <w:lang w:val="en-NZ"/>
        </w:rPr>
        <w:t>I</w:t>
      </w:r>
      <w:r w:rsidRPr="00233B09">
        <w:rPr>
          <w:lang w:val="en-NZ"/>
        </w:rPr>
        <w:t xml:space="preserve">nterest deductions </w:t>
      </w:r>
      <w:r>
        <w:rPr>
          <w:lang w:val="en-NZ"/>
        </w:rPr>
        <w:t xml:space="preserve">will be allowed </w:t>
      </w:r>
      <w:r w:rsidRPr="00233B09">
        <w:rPr>
          <w:lang w:val="en-NZ"/>
        </w:rPr>
        <w:t>when a property is subject to tax on sale (for example, because it is caught by the bright-line rule).</w:t>
      </w:r>
    </w:p>
    <w:p w14:paraId="1AC65DC7" w14:textId="58F8E890" w:rsidR="00F77208" w:rsidRDefault="00F77208" w:rsidP="00A73973">
      <w:pPr>
        <w:pStyle w:val="ListParagraph"/>
        <w:numPr>
          <w:ilvl w:val="1"/>
          <w:numId w:val="39"/>
        </w:numPr>
        <w:ind w:hanging="447"/>
        <w:jc w:val="both"/>
      </w:pPr>
      <w:r>
        <w:t>Disallowed interest deductions accumulate through time.</w:t>
      </w:r>
    </w:p>
    <w:p w14:paraId="47084E2B" w14:textId="6DDF1277" w:rsidR="00F77208" w:rsidRDefault="00F77208" w:rsidP="00A73973">
      <w:pPr>
        <w:pStyle w:val="ListParagraph"/>
        <w:numPr>
          <w:ilvl w:val="1"/>
          <w:numId w:val="39"/>
        </w:numPr>
        <w:ind w:hanging="447"/>
        <w:jc w:val="both"/>
      </w:pPr>
      <w:r>
        <w:t>Eight percent of properties are sold each year (Core</w:t>
      </w:r>
      <w:r w:rsidR="00EC298A">
        <w:t>L</w:t>
      </w:r>
      <w:r>
        <w:t xml:space="preserve">ogic data), of which 40 percent are subject to tax on sale. It has been assumed that for those properties, 80 percent of the interest expenditure will be deductible (as that amount is below the capital gain). </w:t>
      </w:r>
    </w:p>
    <w:p w14:paraId="24ABAE46" w14:textId="3EDD3D3E" w:rsidR="00F77208" w:rsidRDefault="00F77208" w:rsidP="00A73973">
      <w:pPr>
        <w:pStyle w:val="ListParagraph"/>
        <w:numPr>
          <w:ilvl w:val="1"/>
          <w:numId w:val="39"/>
        </w:numPr>
        <w:ind w:hanging="447"/>
        <w:jc w:val="both"/>
      </w:pPr>
      <w:r>
        <w:t>The total interest deductions allowed for properties taxable on sale has been reduced to take into account the impact of the new build exemption and avoid over-estimating the fiscal impact.</w:t>
      </w:r>
    </w:p>
    <w:p w14:paraId="0BA33B49" w14:textId="7B7B229F" w:rsidR="008001B7" w:rsidRPr="00793ACF" w:rsidRDefault="00F77208" w:rsidP="00A73973">
      <w:pPr>
        <w:pStyle w:val="ListParagraph"/>
        <w:numPr>
          <w:ilvl w:val="1"/>
          <w:numId w:val="39"/>
        </w:numPr>
        <w:ind w:hanging="447"/>
        <w:jc w:val="both"/>
        <w:rPr>
          <w:lang w:val="en-NZ"/>
        </w:rPr>
      </w:pPr>
      <w:r>
        <w:t>The tax effect of allowing interest deductions for properties within the taxable-on-sale exemption under Option 3 is calculated using a 24.55 percent tax rate.</w:t>
      </w:r>
      <w:r w:rsidR="008E69C4">
        <w:rPr>
          <w:rStyle w:val="FootnoteReference"/>
        </w:rPr>
        <w:footnoteReference w:id="23"/>
      </w:r>
    </w:p>
    <w:p w14:paraId="65C7C9E9" w14:textId="7C3C00AE" w:rsidR="006A67B1" w:rsidRDefault="008001B7" w:rsidP="00A73973">
      <w:pPr>
        <w:pStyle w:val="ListParagraph"/>
        <w:numPr>
          <w:ilvl w:val="0"/>
          <w:numId w:val="39"/>
        </w:numPr>
        <w:ind w:hanging="644"/>
        <w:jc w:val="both"/>
      </w:pPr>
      <w:r w:rsidRPr="00793ACF">
        <w:rPr>
          <w:b/>
          <w:bCs/>
        </w:rPr>
        <w:t>Compliance and administration cost</w:t>
      </w:r>
      <w:r w:rsidRPr="00793ACF">
        <w:t xml:space="preserve">: </w:t>
      </w:r>
      <w:r w:rsidR="00810C9C">
        <w:t xml:space="preserve">In addition to the compliance and administration costs described for </w:t>
      </w:r>
      <w:r w:rsidR="00C01E90">
        <w:t>Options 1</w:t>
      </w:r>
      <w:r w:rsidR="00810C9C">
        <w:t xml:space="preserve"> and 2, </w:t>
      </w:r>
      <w:r w:rsidR="005E612E">
        <w:t xml:space="preserve">Option 3 will </w:t>
      </w:r>
      <w:r w:rsidR="00DE20FC">
        <w:t xml:space="preserve">also </w:t>
      </w:r>
      <w:r w:rsidR="005E612E">
        <w:t>require taxpayers to</w:t>
      </w:r>
      <w:r w:rsidR="00DE20FC">
        <w:t xml:space="preserve"> r</w:t>
      </w:r>
      <w:r w:rsidR="00A044C8">
        <w:t>etain comprehensive records of interest expenditure incurred over the period of ownership of the property</w:t>
      </w:r>
      <w:r w:rsidR="00F431C9">
        <w:t xml:space="preserve"> for a longer period than </w:t>
      </w:r>
      <w:r w:rsidR="00BE087E">
        <w:t>otherwise required to by law</w:t>
      </w:r>
      <w:r w:rsidR="00A044C8">
        <w:t>. Investors who know that the sale will be taxable will keep all records to ensure they can claim their interest deductions. For investors who are not expecting to be taxable on sale, best practice may be to maintain comprehensive records throughout the period of ownership (should the sale be taxable and they can then claim interest deductions).</w:t>
      </w:r>
    </w:p>
    <w:p w14:paraId="643C926F" w14:textId="3EEE07CE" w:rsidR="00432515" w:rsidRPr="00A93E38" w:rsidRDefault="00432515" w:rsidP="00A73973">
      <w:pPr>
        <w:pStyle w:val="ListParagraph"/>
        <w:numPr>
          <w:ilvl w:val="0"/>
          <w:numId w:val="39"/>
        </w:numPr>
        <w:ind w:hanging="644"/>
        <w:jc w:val="both"/>
        <w:rPr>
          <w:lang w:val="en-NZ"/>
        </w:rPr>
      </w:pPr>
      <w:r w:rsidRPr="002A1E94">
        <w:rPr>
          <w:b/>
          <w:bCs/>
        </w:rPr>
        <w:t>Coherence</w:t>
      </w:r>
      <w:r w:rsidRPr="00793ACF">
        <w:t>:</w:t>
      </w:r>
      <w:r>
        <w:tab/>
      </w:r>
      <w:r w:rsidR="00B75853">
        <w:t xml:space="preserve">Option 3 </w:t>
      </w:r>
      <w:r w:rsidR="00CF24C8">
        <w:t xml:space="preserve">will </w:t>
      </w:r>
      <w:r w:rsidR="00271823">
        <w:t>decrease the coherence of the tax system as a whole</w:t>
      </w:r>
      <w:r w:rsidR="00CF24C8">
        <w:t xml:space="preserve">, but to a lesser extent than </w:t>
      </w:r>
      <w:r w:rsidR="0074132F">
        <w:t>O</w:t>
      </w:r>
      <w:r w:rsidR="00CF24C8">
        <w:t>ptions 1 and 2</w:t>
      </w:r>
      <w:r w:rsidR="00B75853">
        <w:t xml:space="preserve">. </w:t>
      </w:r>
      <w:r w:rsidR="00CF24C8">
        <w:t>As described above,</w:t>
      </w:r>
      <w:r w:rsidR="00C65AB6">
        <w:t xml:space="preserve"> the interest limitation policy</w:t>
      </w:r>
      <w:r w:rsidR="00CF24C8">
        <w:t xml:space="preserve"> </w:t>
      </w:r>
      <w:r w:rsidR="00C65AB6">
        <w:t xml:space="preserve">will undermine the coherence of the tax system given it will create a carve out to the general principle that expenditure incurred in business is deductible. However, </w:t>
      </w:r>
      <w:r w:rsidR="003C66E4">
        <w:t xml:space="preserve">Option 3 </w:t>
      </w:r>
      <w:r w:rsidR="00042422">
        <w:t xml:space="preserve">erodes </w:t>
      </w:r>
      <w:r w:rsidR="009B1CC4">
        <w:t>the coherence of the tax system to a lesser extent as</w:t>
      </w:r>
      <w:r w:rsidR="00F42275">
        <w:t xml:space="preserve"> </w:t>
      </w:r>
      <w:r w:rsidR="00C56ECB">
        <w:t xml:space="preserve">it </w:t>
      </w:r>
      <w:r w:rsidR="00DD247C">
        <w:t>allow</w:t>
      </w:r>
      <w:r w:rsidR="000746D4">
        <w:t>s</w:t>
      </w:r>
      <w:r w:rsidR="00DD247C">
        <w:t xml:space="preserve"> the deduction of </w:t>
      </w:r>
      <w:r w:rsidR="00CD739E">
        <w:t xml:space="preserve">some of </w:t>
      </w:r>
      <w:r w:rsidR="00DD247C">
        <w:t>those business expen</w:t>
      </w:r>
      <w:r w:rsidR="000746D4">
        <w:t xml:space="preserve">ses consistently with that </w:t>
      </w:r>
      <w:r w:rsidR="0052218C">
        <w:t xml:space="preserve">general </w:t>
      </w:r>
      <w:r w:rsidR="000746D4">
        <w:t>principle</w:t>
      </w:r>
      <w:r w:rsidR="00D548D1">
        <w:t xml:space="preserve">. Further, </w:t>
      </w:r>
      <w:r w:rsidR="004A2BD9">
        <w:t xml:space="preserve">Option 3 </w:t>
      </w:r>
      <w:r w:rsidR="001E599D">
        <w:t>reflects another general principle of the tax system to only tax a person to the extent of their income</w:t>
      </w:r>
      <w:r w:rsidR="00270B9D">
        <w:t xml:space="preserve">. </w:t>
      </w:r>
    </w:p>
    <w:p w14:paraId="5C3C8E8E" w14:textId="417B4898" w:rsidR="00062267" w:rsidRDefault="00062267" w:rsidP="00A93E38">
      <w:pPr>
        <w:pStyle w:val="Heading4"/>
        <w:rPr>
          <w:lang w:val="en-NZ"/>
        </w:rPr>
      </w:pPr>
      <w:r>
        <w:t xml:space="preserve">Option 4 – </w:t>
      </w:r>
      <w:r w:rsidR="00546B08">
        <w:rPr>
          <w:lang w:val="en-NZ"/>
        </w:rPr>
        <w:t>d</w:t>
      </w:r>
      <w:r w:rsidR="00546B08" w:rsidRPr="00167C9C">
        <w:rPr>
          <w:lang w:val="en-NZ"/>
        </w:rPr>
        <w:t>eny interest deductions for residential investment property</w:t>
      </w:r>
      <w:r w:rsidR="00546B08">
        <w:rPr>
          <w:lang w:val="en-NZ"/>
        </w:rPr>
        <w:t>,</w:t>
      </w:r>
      <w:r w:rsidR="00546B08" w:rsidRPr="00167C9C">
        <w:rPr>
          <w:lang w:val="en-NZ"/>
        </w:rPr>
        <w:t xml:space="preserve"> but allow interest deductions where the property is taxable on sale (at the time of sale)</w:t>
      </w:r>
    </w:p>
    <w:p w14:paraId="4036F1D2" w14:textId="1DAFA9DD" w:rsidR="00EA20F5" w:rsidRDefault="00AD6873" w:rsidP="00A73973">
      <w:pPr>
        <w:pStyle w:val="ListParagraph"/>
        <w:numPr>
          <w:ilvl w:val="0"/>
          <w:numId w:val="39"/>
        </w:numPr>
        <w:ind w:left="930" w:hanging="646"/>
        <w:jc w:val="both"/>
      </w:pPr>
      <w:r>
        <w:t>Option 4</w:t>
      </w:r>
      <w:r w:rsidR="00EA20F5">
        <w:t xml:space="preserve"> is a combination of Option</w:t>
      </w:r>
      <w:r w:rsidR="005E36B5">
        <w:t>s</w:t>
      </w:r>
      <w:r w:rsidR="00EA20F5">
        <w:t xml:space="preserve"> 1 and 3. </w:t>
      </w:r>
      <w:r w:rsidR="00EA20F5" w:rsidRPr="00EA20F5">
        <w:t xml:space="preserve">Option 4 </w:t>
      </w:r>
      <w:r w:rsidR="00EA20F5">
        <w:t xml:space="preserve">would </w:t>
      </w:r>
      <w:r w:rsidR="00EA20F5" w:rsidRPr="00EA20F5">
        <w:t xml:space="preserve">deny interest deductions for residential investment property but allow interest deductions where the property is taxable on sale (at the time of sale). </w:t>
      </w:r>
    </w:p>
    <w:p w14:paraId="1292FF00" w14:textId="5ADF8C15" w:rsidR="00072162" w:rsidRPr="00C26F9A" w:rsidRDefault="00EA20F5" w:rsidP="00A73973">
      <w:pPr>
        <w:pStyle w:val="ListParagraph"/>
        <w:numPr>
          <w:ilvl w:val="0"/>
          <w:numId w:val="39"/>
        </w:numPr>
        <w:ind w:left="930" w:hanging="646"/>
        <w:jc w:val="both"/>
      </w:pPr>
      <w:r w:rsidRPr="00EA20F5">
        <w:t xml:space="preserve">The analysis for Option 4 </w:t>
      </w:r>
      <w:r w:rsidR="0045490F">
        <w:t xml:space="preserve">largely </w:t>
      </w:r>
      <w:r w:rsidRPr="00EA20F5">
        <w:t>follows the analysis for</w:t>
      </w:r>
      <w:r w:rsidR="0045490F">
        <w:t xml:space="preserve"> Option </w:t>
      </w:r>
      <w:r w:rsidR="00E60E5A">
        <w:t>1 but</w:t>
      </w:r>
      <w:r w:rsidR="0045490F">
        <w:t xml:space="preserve"> modified to take into account </w:t>
      </w:r>
      <w:r w:rsidR="00AF1A01">
        <w:t>the impact of allowing deductions on a taxable sale</w:t>
      </w:r>
      <w:r w:rsidR="00072162">
        <w:t xml:space="preserve">. Option </w:t>
      </w:r>
      <w:r w:rsidR="00D95F4D">
        <w:t xml:space="preserve">4 </w:t>
      </w:r>
      <w:r w:rsidR="00072162" w:rsidRPr="006D2177">
        <w:t>would improve housing affordability for first</w:t>
      </w:r>
      <w:r w:rsidR="00D61224">
        <w:t>-</w:t>
      </w:r>
      <w:r w:rsidR="00072162" w:rsidRPr="006D2177">
        <w:t>home buyers</w:t>
      </w:r>
      <w:r w:rsidR="00AF1A01">
        <w:t xml:space="preserve"> better than Options 2 and 3,</w:t>
      </w:r>
      <w:r w:rsidR="00072162" w:rsidRPr="006D2177">
        <w:t xml:space="preserve"> but to a slightly lesser extent than Option 1</w:t>
      </w:r>
      <w:r w:rsidR="00072162">
        <w:t>.</w:t>
      </w:r>
      <w:r w:rsidR="00AF1A01">
        <w:t xml:space="preserve"> </w:t>
      </w:r>
      <w:r w:rsidR="00DF13C7">
        <w:t>With no new build exemption under Option 4, t</w:t>
      </w:r>
      <w:r w:rsidR="003A7C60">
        <w:t>he</w:t>
      </w:r>
      <w:r w:rsidR="003A7C60">
        <w:rPr>
          <w:szCs w:val="22"/>
        </w:rPr>
        <w:t xml:space="preserve"> rate of development of new housing stock may be negatively impacted</w:t>
      </w:r>
      <w:r w:rsidR="00287033">
        <w:rPr>
          <w:szCs w:val="22"/>
        </w:rPr>
        <w:t>, which may cause rents to increase i</w:t>
      </w:r>
      <w:r w:rsidR="00287033" w:rsidRPr="00287033">
        <w:rPr>
          <w:szCs w:val="22"/>
        </w:rPr>
        <w:t>n the medium and long run</w:t>
      </w:r>
      <w:r w:rsidR="008D765A">
        <w:rPr>
          <w:szCs w:val="22"/>
        </w:rPr>
        <w:t xml:space="preserve"> (similar impact as Option 1)</w:t>
      </w:r>
      <w:r w:rsidR="00287033" w:rsidRPr="00287033">
        <w:rPr>
          <w:szCs w:val="22"/>
        </w:rPr>
        <w:t>.</w:t>
      </w:r>
    </w:p>
    <w:p w14:paraId="0C175AF1" w14:textId="29D83D67" w:rsidR="00C26F9A" w:rsidRPr="001A6E97" w:rsidRDefault="00BF6E0D" w:rsidP="00A73973">
      <w:pPr>
        <w:pStyle w:val="ListParagraph"/>
        <w:numPr>
          <w:ilvl w:val="0"/>
          <w:numId w:val="39"/>
        </w:numPr>
        <w:ind w:left="930" w:hanging="646"/>
        <w:jc w:val="both"/>
      </w:pPr>
      <w:r>
        <w:t>Option 4 would likely have similar</w:t>
      </w:r>
      <w:r w:rsidR="00D66045">
        <w:t xml:space="preserve"> but</w:t>
      </w:r>
      <w:r w:rsidR="00E05022">
        <w:t xml:space="preserve"> slightly</w:t>
      </w:r>
      <w:r>
        <w:t xml:space="preserve"> </w:t>
      </w:r>
      <w:r w:rsidR="00315FFE">
        <w:t xml:space="preserve">better </w:t>
      </w:r>
      <w:r>
        <w:t>outcomes to Option 1 in relation to efficiency and growth</w:t>
      </w:r>
      <w:r w:rsidR="00FB03FA">
        <w:t xml:space="preserve">, </w:t>
      </w:r>
      <w:r w:rsidR="00292A15">
        <w:t>equity and fairness</w:t>
      </w:r>
      <w:r w:rsidR="00FB03FA">
        <w:t>, and coherence</w:t>
      </w:r>
      <w:r w:rsidR="00292A15">
        <w:t xml:space="preserve">. Option 4 would be fairer to those that are taxable on sale, </w:t>
      </w:r>
      <w:r w:rsidR="00AB24E3">
        <w:t>because</w:t>
      </w:r>
      <w:r w:rsidR="00292A15">
        <w:t xml:space="preserve"> </w:t>
      </w:r>
      <w:r w:rsidR="00292A15" w:rsidRPr="00957653">
        <w:rPr>
          <w:szCs w:val="22"/>
        </w:rPr>
        <w:t>if an interest deduction is not allowed, an investor may be overtaxed</w:t>
      </w:r>
      <w:r w:rsidR="00292A15" w:rsidRPr="00DA758D">
        <w:rPr>
          <w:szCs w:val="22"/>
        </w:rPr>
        <w:t xml:space="preserve"> where the disallowed interest deduction exceeds the non-taxable </w:t>
      </w:r>
      <w:r w:rsidR="00292A15" w:rsidRPr="005E6A0F">
        <w:rPr>
          <w:szCs w:val="22"/>
        </w:rPr>
        <w:t>gain.</w:t>
      </w:r>
      <w:r w:rsidR="00957653">
        <w:rPr>
          <w:szCs w:val="22"/>
        </w:rPr>
        <w:t xml:space="preserve"> </w:t>
      </w:r>
      <w:r w:rsidR="00315FFE">
        <w:t xml:space="preserve">However, </w:t>
      </w:r>
      <w:r w:rsidR="00132853">
        <w:t xml:space="preserve">the fiscal impact of </w:t>
      </w:r>
      <w:r w:rsidR="00315FFE">
        <w:t xml:space="preserve">Option 4 would likely </w:t>
      </w:r>
      <w:r w:rsidR="00132853">
        <w:t>be</w:t>
      </w:r>
      <w:r w:rsidR="00315FFE">
        <w:t xml:space="preserve"> slightly worse </w:t>
      </w:r>
      <w:r w:rsidR="00132853">
        <w:t xml:space="preserve">than for </w:t>
      </w:r>
      <w:r w:rsidR="00315FFE">
        <w:t>Option 1</w:t>
      </w:r>
      <w:r w:rsidR="00292A15">
        <w:t>.</w:t>
      </w:r>
    </w:p>
    <w:p w14:paraId="4842FA8D" w14:textId="47CB45AB" w:rsidR="004227AF" w:rsidRPr="00A93E38" w:rsidRDefault="004227AF" w:rsidP="00A93E38">
      <w:pPr>
        <w:pStyle w:val="Heading4"/>
        <w:rPr>
          <w:b w:val="0"/>
          <w:bCs w:val="0"/>
          <w:lang w:val="en-NZ"/>
        </w:rPr>
      </w:pPr>
      <w:r>
        <w:t xml:space="preserve">Key stakeholder </w:t>
      </w:r>
      <w:r w:rsidR="00A371AE">
        <w:t>view</w:t>
      </w:r>
      <w:r w:rsidR="00F37A13">
        <w:t>:</w:t>
      </w:r>
      <w:r w:rsidR="00FE0791">
        <w:t xml:space="preserve"> Treasury</w:t>
      </w:r>
    </w:p>
    <w:p w14:paraId="0DB70C9D" w14:textId="205EBB13" w:rsidR="00D27EF0" w:rsidRDefault="00D27EF0" w:rsidP="00A73973">
      <w:pPr>
        <w:pStyle w:val="ListParagraph"/>
        <w:numPr>
          <w:ilvl w:val="0"/>
          <w:numId w:val="39"/>
        </w:numPr>
        <w:ind w:left="930" w:hanging="646"/>
        <w:jc w:val="both"/>
      </w:pPr>
      <w:r>
        <w:t xml:space="preserve">In general, the Treasury supports limiting interest deductions for residential property primarily because it addresses the Government’s demand-side housing objective of moderating prices. In addition, in the absence of a comprehensive capital gains tax, the Treasury also supports limiting interest deductibility for residential property as a means of taxing more economic income from residential property investment. </w:t>
      </w:r>
    </w:p>
    <w:p w14:paraId="37C70B3E" w14:textId="59A0F3CA" w:rsidR="00D27EF0" w:rsidRDefault="00D27EF0" w:rsidP="00A73973">
      <w:pPr>
        <w:pStyle w:val="ListParagraph"/>
        <w:numPr>
          <w:ilvl w:val="0"/>
          <w:numId w:val="39"/>
        </w:numPr>
        <w:ind w:left="930" w:hanging="646"/>
        <w:jc w:val="both"/>
      </w:pPr>
      <w:r>
        <w:t xml:space="preserve"> The Treasury recognises the need to balance the Government's objective of moderating house prices and supporting a high level of housing supply and affordable rents. The Treasury’s assessment of the evidence is that this policy is likely to have only limited impact on either housing supply or rents, and will have more impact on land prices. This is because urban land markets are relatively uncompetitive and therefore construction activity does not fully respond to the typical economic signals of house prices alone.  </w:t>
      </w:r>
    </w:p>
    <w:p w14:paraId="2B7A9FC6" w14:textId="0DE21DD5" w:rsidR="00D27EF0" w:rsidRDefault="00D27EF0" w:rsidP="00A73973">
      <w:pPr>
        <w:pStyle w:val="ListParagraph"/>
        <w:numPr>
          <w:ilvl w:val="0"/>
          <w:numId w:val="39"/>
        </w:numPr>
        <w:ind w:left="930" w:hanging="646"/>
        <w:jc w:val="both"/>
      </w:pPr>
      <w:r w:rsidRPr="00D27EF0">
        <w:rPr>
          <w:b/>
          <w:bCs/>
        </w:rPr>
        <w:t>New build exemption</w:t>
      </w:r>
      <w:r>
        <w:t xml:space="preserve">: Consequently, the Treasury is of the view that there should be no new build exemption, and that if there is one it should be as short as possible (consistent with </w:t>
      </w:r>
      <w:r w:rsidR="0074132F">
        <w:t>O</w:t>
      </w:r>
      <w:r>
        <w:t>ption</w:t>
      </w:r>
      <w:r w:rsidR="00A72BFE">
        <w:t>s</w:t>
      </w:r>
      <w:r>
        <w:t xml:space="preserve"> 1</w:t>
      </w:r>
      <w:r w:rsidR="00A72BFE">
        <w:t xml:space="preserve"> and 4</w:t>
      </w:r>
      <w:r>
        <w:t xml:space="preserve">). </w:t>
      </w:r>
    </w:p>
    <w:p w14:paraId="12F956C7" w14:textId="5591A719" w:rsidR="00D27EF0" w:rsidRDefault="00D27EF0" w:rsidP="00A73973">
      <w:pPr>
        <w:pStyle w:val="ListParagraph"/>
        <w:numPr>
          <w:ilvl w:val="0"/>
          <w:numId w:val="39"/>
        </w:numPr>
        <w:ind w:left="930" w:hanging="646"/>
        <w:jc w:val="both"/>
      </w:pPr>
      <w:r>
        <w:t xml:space="preserve">This is because the Treasury’s judgement is that a longer exemption for new builds will reduce the impact of the measure on overall demand for housing and therefore house price inflation, while it will not have any material impact on housing supply given the uncompetitiveness of urban land markets. This lower impact on price inflation will be true of all homes, not just the new homes to which the exemption applies. While, for a very short time, there may be a spike in the demand for new builds as highly leveraged investors look to purchase more to take advantage of the exemption, in most locations demand and prices for new builds and existing houses will swiftly equalise as other buyers (such as prospective owners) would be displaced and instead purchase existing properties. </w:t>
      </w:r>
    </w:p>
    <w:p w14:paraId="70B68A8B" w14:textId="2F12DE51" w:rsidR="00D27EF0" w:rsidRDefault="00D27EF0" w:rsidP="00A73973">
      <w:pPr>
        <w:pStyle w:val="ListParagraph"/>
        <w:numPr>
          <w:ilvl w:val="0"/>
          <w:numId w:val="39"/>
        </w:numPr>
        <w:ind w:left="930" w:hanging="646"/>
        <w:jc w:val="both"/>
      </w:pPr>
      <w:r>
        <w:t>The Treasury acknowledges that there may be a small</w:t>
      </w:r>
      <w:r w:rsidR="00F353D5">
        <w:t>,</w:t>
      </w:r>
      <w:r>
        <w:t xml:space="preserve"> short-run reduction in construction activity from a shorter exemption, but this would occur primarily in locations where land supply is plentiful. </w:t>
      </w:r>
    </w:p>
    <w:p w14:paraId="3152856A" w14:textId="15633EC8" w:rsidR="00D27EF0" w:rsidRDefault="00D27EF0" w:rsidP="00A73973">
      <w:pPr>
        <w:pStyle w:val="ListParagraph"/>
        <w:numPr>
          <w:ilvl w:val="0"/>
          <w:numId w:val="39"/>
        </w:numPr>
        <w:ind w:left="930" w:hanging="646"/>
        <w:jc w:val="both"/>
      </w:pPr>
      <w:r>
        <w:t>Furthermore, the Treasury considers that a new build exemption could distort the type of property that people live in. If so, this will be welfare-reducing. For example, some owner</w:t>
      </w:r>
      <w:r w:rsidR="00423C98">
        <w:t>-</w:t>
      </w:r>
      <w:r>
        <w:t>occupiers who would have preferred a new build will be pushed into the existing home market by investors purchasing new builds in order to access the exemption. Some renters who, for affordability reasons, might have preferred to live in an older house, will instead move into the new build market. A longer new build exemption will lead to a greater distortion in the market, and a greater welfare loss.</w:t>
      </w:r>
    </w:p>
    <w:p w14:paraId="195482DD" w14:textId="77777777" w:rsidR="00C57911" w:rsidRPr="00C57911" w:rsidRDefault="00D27EF0" w:rsidP="00C57911">
      <w:pPr>
        <w:pStyle w:val="ListParagraph"/>
        <w:numPr>
          <w:ilvl w:val="0"/>
          <w:numId w:val="39"/>
        </w:numPr>
        <w:ind w:left="930" w:hanging="646"/>
        <w:jc w:val="both"/>
        <w:rPr>
          <w:lang w:val="en-NZ"/>
        </w:rPr>
      </w:pPr>
      <w:r w:rsidRPr="00C8611F">
        <w:rPr>
          <w:b/>
          <w:bCs/>
        </w:rPr>
        <w:t>Allowing interest deductions to offset tax when property sold</w:t>
      </w:r>
      <w:r>
        <w:t xml:space="preserve">: While the Treasury does not support a new build exemption, it supports allowing interest deductions to offset any tax paid by investors on the sale of their properties (as outlined in </w:t>
      </w:r>
      <w:r w:rsidR="0074132F">
        <w:t>O</w:t>
      </w:r>
      <w:r>
        <w:t>ption</w:t>
      </w:r>
      <w:r w:rsidR="00436B40">
        <w:t>s</w:t>
      </w:r>
      <w:r>
        <w:t xml:space="preserve"> 3</w:t>
      </w:r>
      <w:r w:rsidR="00436B40">
        <w:t xml:space="preserve"> and 4</w:t>
      </w:r>
      <w:r>
        <w:t>). Allowing a deduction for interest payments when the property is taxable on sale will avoid the double taxation of the economic income from residential investment property. The Treasury agrees that these deductions should be limited so that they can only be used to offset tax on the gains on the sale of property, which would reduce the integrity risks that could arise if taxpayers could offset deductions against their other income.</w:t>
      </w:r>
      <w:r w:rsidR="00C57911">
        <w:t xml:space="preserve"> </w:t>
      </w:r>
    </w:p>
    <w:p w14:paraId="5455FAC3" w14:textId="35D2764B" w:rsidR="001E2A6B" w:rsidRPr="00C57911" w:rsidRDefault="001E2A6B" w:rsidP="00C57911">
      <w:pPr>
        <w:pStyle w:val="ListParagraph"/>
        <w:numPr>
          <w:ilvl w:val="0"/>
          <w:numId w:val="39"/>
        </w:numPr>
        <w:ind w:left="930" w:hanging="646"/>
        <w:jc w:val="both"/>
        <w:rPr>
          <w:lang w:val="en-NZ"/>
        </w:rPr>
      </w:pPr>
      <w:r w:rsidRPr="00C57911">
        <w:rPr>
          <w:bCs/>
        </w:rPr>
        <w:t xml:space="preserve">In summary, the Treasury supports </w:t>
      </w:r>
      <w:r w:rsidR="00B95973">
        <w:rPr>
          <w:bCs/>
        </w:rPr>
        <w:t>O</w:t>
      </w:r>
      <w:r w:rsidRPr="00C57911">
        <w:rPr>
          <w:bCs/>
        </w:rPr>
        <w:t>ption 4</w:t>
      </w:r>
      <w:r w:rsidRPr="00C57911">
        <w:rPr>
          <w:lang w:val="en-NZ"/>
        </w:rPr>
        <w:t>.</w:t>
      </w:r>
    </w:p>
    <w:p w14:paraId="160B2BB3" w14:textId="6403F270" w:rsidR="00FE0791" w:rsidRPr="00A93E38" w:rsidRDefault="00FE0791" w:rsidP="00A93E38">
      <w:pPr>
        <w:pStyle w:val="Heading4"/>
        <w:rPr>
          <w:lang w:val="en-NZ"/>
        </w:rPr>
      </w:pPr>
      <w:r>
        <w:t>Key stakeholder vie</w:t>
      </w:r>
      <w:r w:rsidR="00814F13">
        <w:t>w:</w:t>
      </w:r>
      <w:r>
        <w:t xml:space="preserve"> </w:t>
      </w:r>
      <w:r w:rsidR="007D0039" w:rsidRPr="007D0039">
        <w:t>Te Tūāpapa Kura Kāinga – Ministry of Housing and Urban Development</w:t>
      </w:r>
    </w:p>
    <w:p w14:paraId="0787A846" w14:textId="18D4F848" w:rsidR="00D137AB" w:rsidRPr="00D137AB" w:rsidRDefault="00D137AB" w:rsidP="00A73973">
      <w:pPr>
        <w:pStyle w:val="ListParagraph"/>
        <w:numPr>
          <w:ilvl w:val="0"/>
          <w:numId w:val="39"/>
        </w:numPr>
        <w:ind w:hanging="644"/>
        <w:jc w:val="both"/>
        <w:rPr>
          <w:lang w:val="en-NZ"/>
        </w:rPr>
      </w:pPr>
      <w:r w:rsidRPr="00D137AB">
        <w:rPr>
          <w:lang w:val="en-NZ"/>
        </w:rPr>
        <w:t>Te Tūāpapa Kura Kāinga – Ministry of Housing and Urban Development (HUD) does not support limiting interest deductions for residential property investors. While limiting interest deductions may help support the Government’s objective of supporting more sustainable house prices, including by dampening investor demand for existing stock, reducing investor demand for property could have a significantly negative impact on supply, and is likely to also have a number of unintended negative impacts including:</w:t>
      </w:r>
    </w:p>
    <w:p w14:paraId="7A4F3322" w14:textId="584E8CF0" w:rsidR="00D137AB" w:rsidRPr="00D137AB" w:rsidRDefault="00D137AB" w:rsidP="00A73973">
      <w:pPr>
        <w:pStyle w:val="ListParagraph"/>
        <w:numPr>
          <w:ilvl w:val="1"/>
          <w:numId w:val="44"/>
        </w:numPr>
        <w:jc w:val="both"/>
        <w:rPr>
          <w:lang w:val="en-NZ"/>
        </w:rPr>
      </w:pPr>
      <w:r w:rsidRPr="00835325">
        <w:rPr>
          <w:b/>
          <w:bCs/>
          <w:lang w:val="en-NZ"/>
        </w:rPr>
        <w:t>Increased rents and rental churn</w:t>
      </w:r>
      <w:r w:rsidRPr="00D137AB">
        <w:rPr>
          <w:lang w:val="en-NZ"/>
        </w:rPr>
        <w:t xml:space="preserve"> – While the ability for landlords to pass their increased tax costs onto their tenants is constrained in the immediate term, in the short term we would expect there to be some upward pressure on rents, particularly where renters’ choices are constrained. Increased tax costs may also lead to landlords selling investment properties, displacing tenants who will need to incur costs associated with finding new rental accommodation.</w:t>
      </w:r>
    </w:p>
    <w:p w14:paraId="4B6997E9" w14:textId="77777777" w:rsidR="00D137AB" w:rsidRPr="00D137AB" w:rsidRDefault="00D137AB" w:rsidP="00A73973">
      <w:pPr>
        <w:ind w:left="1440"/>
        <w:jc w:val="both"/>
        <w:rPr>
          <w:lang w:val="en-NZ"/>
        </w:rPr>
      </w:pPr>
      <w:r w:rsidRPr="00D137AB">
        <w:rPr>
          <w:lang w:val="en-NZ"/>
        </w:rPr>
        <w:t>To minimise the negative impacts of the interest limitation rules on renters, HUD considers that interest deductions for properties already owned prior to 27 March 2021 should not be limited. If interest is to be limited, then the phase-out period for already owned investment properties should be longer and last for at least 10 years.</w:t>
      </w:r>
    </w:p>
    <w:p w14:paraId="2CF5A987" w14:textId="42A124CD" w:rsidR="00D137AB" w:rsidRPr="00D137AB" w:rsidRDefault="00D137AB" w:rsidP="00A73973">
      <w:pPr>
        <w:pStyle w:val="ListParagraph"/>
        <w:numPr>
          <w:ilvl w:val="1"/>
          <w:numId w:val="44"/>
        </w:numPr>
        <w:jc w:val="both"/>
        <w:rPr>
          <w:lang w:val="en-NZ"/>
        </w:rPr>
      </w:pPr>
      <w:r w:rsidRPr="00835325">
        <w:rPr>
          <w:b/>
          <w:bCs/>
          <w:lang w:val="en-NZ"/>
        </w:rPr>
        <w:t>Reduced feasibility of purpose-built rentals in New Zealand</w:t>
      </w:r>
      <w:r w:rsidRPr="00D137AB">
        <w:rPr>
          <w:lang w:val="en-NZ"/>
        </w:rPr>
        <w:t xml:space="preserve"> – Purpose-built rental (PBR, also known as build to rent) is a developing sector in New Zealand and stakeholders have raised concerns that limiting interest deductions will significantly reduce the feasibility of PBR. While the development and new build exemptions will apply to new PBR developments, the eventual expiration of the new build exemption will affect the valuation of the development</w:t>
      </w:r>
      <w:r w:rsidR="007E676E">
        <w:rPr>
          <w:lang w:val="en-NZ"/>
        </w:rPr>
        <w:t>s</w:t>
      </w:r>
      <w:r w:rsidRPr="00D137AB">
        <w:rPr>
          <w:lang w:val="en-NZ"/>
        </w:rPr>
        <w:t xml:space="preserve"> and make it less likely </w:t>
      </w:r>
      <w:r w:rsidR="00EC69D5">
        <w:rPr>
          <w:lang w:val="en-NZ"/>
        </w:rPr>
        <w:t>that they</w:t>
      </w:r>
      <w:r w:rsidRPr="00D137AB">
        <w:rPr>
          <w:lang w:val="en-NZ"/>
        </w:rPr>
        <w:t xml:space="preserve"> will be built.</w:t>
      </w:r>
    </w:p>
    <w:p w14:paraId="67755863" w14:textId="236D128D" w:rsidR="00D137AB" w:rsidRPr="00D137AB" w:rsidRDefault="00D137AB" w:rsidP="00A73973">
      <w:pPr>
        <w:ind w:left="1440"/>
        <w:jc w:val="both"/>
        <w:rPr>
          <w:lang w:val="en-NZ"/>
        </w:rPr>
      </w:pPr>
      <w:r w:rsidRPr="00D137AB">
        <w:rPr>
          <w:lang w:val="en-NZ"/>
        </w:rPr>
        <w:t xml:space="preserve">PBR could be an important way to help New Zealand’s housing needs. If supported through the right settings, large scale PBR has the potential to deliver 6,500-7,000 units over the next 10 years. Owing to differences in </w:t>
      </w:r>
      <w:r w:rsidRPr="001E1301">
        <w:rPr>
          <w:lang w:val="en-NZ"/>
        </w:rPr>
        <w:t>typology</w:t>
      </w:r>
      <w:r w:rsidRPr="00D137AB">
        <w:rPr>
          <w:lang w:val="en-NZ"/>
        </w:rPr>
        <w:t xml:space="preserve"> of large-scale PBR and traditional build-to-sell developments, this would likely lead to extra new supply overall than if regulatory settings do not support PBR. PBR also provides a number of other benefits including high quality properties, economies of scale in terms of maintenance and upkeep, longer and more flexible lease periods, shared spaces facilitating community and social good, and housing in suitable locations close to public transport and employment.</w:t>
      </w:r>
    </w:p>
    <w:p w14:paraId="1BCCBE96" w14:textId="77777777" w:rsidR="00D137AB" w:rsidRPr="00D137AB" w:rsidRDefault="00D137AB" w:rsidP="004A38F8">
      <w:pPr>
        <w:spacing w:line="260" w:lineRule="atLeast"/>
        <w:ind w:left="1440"/>
        <w:jc w:val="both"/>
        <w:rPr>
          <w:lang w:val="en-NZ"/>
        </w:rPr>
      </w:pPr>
      <w:r w:rsidRPr="00D137AB">
        <w:rPr>
          <w:lang w:val="en-NZ"/>
        </w:rPr>
        <w:t>To reduce the impact of the interest limitation rules on PBR, HUD considers it necessary to exclude PBR from the scope of the interest limitation rules.</w:t>
      </w:r>
    </w:p>
    <w:p w14:paraId="18B83432" w14:textId="5BB04FB8" w:rsidR="00D137AB" w:rsidRPr="00D137AB" w:rsidRDefault="00D137AB" w:rsidP="004A38F8">
      <w:pPr>
        <w:pStyle w:val="ListParagraph"/>
        <w:numPr>
          <w:ilvl w:val="1"/>
          <w:numId w:val="44"/>
        </w:numPr>
        <w:spacing w:line="260" w:lineRule="atLeast"/>
        <w:ind w:hanging="447"/>
        <w:jc w:val="both"/>
        <w:rPr>
          <w:lang w:val="en-NZ"/>
        </w:rPr>
      </w:pPr>
      <w:r w:rsidRPr="007D0D85">
        <w:rPr>
          <w:b/>
          <w:bCs/>
          <w:lang w:val="en-NZ"/>
        </w:rPr>
        <w:t>Reduced supply of emergency, transitional and public housing</w:t>
      </w:r>
      <w:r w:rsidRPr="00D137AB">
        <w:rPr>
          <w:lang w:val="en-NZ"/>
        </w:rPr>
        <w:t xml:space="preserve"> – While registered community housing providers (CHPs) will often be charities or covered by a separate income tax exemption, and Kāinga Ora (which is not tax exempt) will be excluded from the interest limitation rules, the interest limitation rules may still lead to a reduction in the supply of public housing.</w:t>
      </w:r>
    </w:p>
    <w:p w14:paraId="6DB72260" w14:textId="77777777" w:rsidR="00D137AB" w:rsidRPr="00D137AB" w:rsidRDefault="00D137AB" w:rsidP="004A38F8">
      <w:pPr>
        <w:spacing w:line="260" w:lineRule="atLeast"/>
        <w:ind w:left="1440"/>
        <w:jc w:val="both"/>
        <w:rPr>
          <w:lang w:val="en-NZ"/>
        </w:rPr>
      </w:pPr>
      <w:r w:rsidRPr="00D137AB">
        <w:rPr>
          <w:lang w:val="en-NZ"/>
        </w:rPr>
        <w:t>Both CHPs and the Government lease properties from private landlords for use as emergency, transitional and public housing. These private landlords will be affected by the interest limitation rules and will have a higher tax cost in relation to leasing their properties for use as public housing. This higher tax cost could lead to a reduction in the number of properties made available for use as public housing, or an increased cost to CHPs and the Government in procuring these properties.</w:t>
      </w:r>
    </w:p>
    <w:p w14:paraId="25AEB044" w14:textId="2563CB88" w:rsidR="00D137AB" w:rsidRPr="00D137AB" w:rsidRDefault="00D137AB" w:rsidP="004A38F8">
      <w:pPr>
        <w:spacing w:line="260" w:lineRule="atLeast"/>
        <w:ind w:left="1440"/>
        <w:jc w:val="both"/>
        <w:rPr>
          <w:lang w:val="en-NZ"/>
        </w:rPr>
      </w:pPr>
      <w:r w:rsidRPr="00D137AB">
        <w:rPr>
          <w:lang w:val="en-NZ"/>
        </w:rPr>
        <w:t>Some council housing may also be provided through council</w:t>
      </w:r>
      <w:r w:rsidR="003730E4">
        <w:rPr>
          <w:lang w:val="en-NZ"/>
        </w:rPr>
        <w:t>-</w:t>
      </w:r>
      <w:r w:rsidRPr="00D137AB">
        <w:rPr>
          <w:lang w:val="en-NZ"/>
        </w:rPr>
        <w:t>controlled organisations (CCOs) which are not exempt from income tax, and so will face an increased tax cost from the interest limitation rules.</w:t>
      </w:r>
    </w:p>
    <w:p w14:paraId="39ACF00E" w14:textId="2FE98D2B" w:rsidR="00D137AB" w:rsidRPr="00D137AB" w:rsidRDefault="00D137AB" w:rsidP="004A38F8">
      <w:pPr>
        <w:spacing w:line="260" w:lineRule="atLeast"/>
        <w:ind w:left="1440"/>
        <w:jc w:val="both"/>
        <w:rPr>
          <w:lang w:val="en-NZ"/>
        </w:rPr>
      </w:pPr>
      <w:r w:rsidRPr="00D137AB">
        <w:rPr>
          <w:lang w:val="en-NZ"/>
        </w:rPr>
        <w:t>Māori entities that are not registered charities or CHPs may also provide some social housing. These entities providing social housing will also face increased tax costs from the rules.</w:t>
      </w:r>
    </w:p>
    <w:p w14:paraId="3A820A46" w14:textId="77777777" w:rsidR="00D137AB" w:rsidRPr="00D137AB" w:rsidRDefault="00D137AB" w:rsidP="004A38F8">
      <w:pPr>
        <w:spacing w:line="260" w:lineRule="atLeast"/>
        <w:ind w:left="1440"/>
        <w:jc w:val="both"/>
        <w:rPr>
          <w:lang w:val="en-NZ"/>
        </w:rPr>
      </w:pPr>
      <w:r w:rsidRPr="00D137AB">
        <w:rPr>
          <w:lang w:val="en-NZ"/>
        </w:rPr>
        <w:t>To minimise the impact of the interest limitation rules on the provision of emergency, transitional and public housing, HUD considers it would be necessary to exclude all properties used for these purposes from the scope of the rules, regardless of the underlying ownership of the properties.</w:t>
      </w:r>
    </w:p>
    <w:p w14:paraId="29D0FA52" w14:textId="59ED6621" w:rsidR="00D137AB" w:rsidRPr="00D137AB" w:rsidRDefault="00D137AB" w:rsidP="004A38F8">
      <w:pPr>
        <w:pStyle w:val="ListParagraph"/>
        <w:numPr>
          <w:ilvl w:val="0"/>
          <w:numId w:val="39"/>
        </w:numPr>
        <w:spacing w:line="260" w:lineRule="atLeast"/>
        <w:ind w:hanging="644"/>
        <w:jc w:val="both"/>
        <w:rPr>
          <w:lang w:val="en-NZ"/>
        </w:rPr>
      </w:pPr>
      <w:r w:rsidRPr="00D137AB">
        <w:rPr>
          <w:lang w:val="en-NZ"/>
        </w:rPr>
        <w:t>The design of the interest limitation rules may be able to minimise these negative unintended consequences, however, this may reduce the impact of the rules on house prices. Furthermore, designing the rules to minimise unintended consequences is likely to increase the complexity of the rules, making them harder for Inland Revenue to enforce and for tax agents and taxpayers to comply with.</w:t>
      </w:r>
    </w:p>
    <w:p w14:paraId="511FDBED" w14:textId="3EC67014" w:rsidR="00D137AB" w:rsidRPr="00D137AB" w:rsidRDefault="00D137AB" w:rsidP="004A38F8">
      <w:pPr>
        <w:pStyle w:val="ListParagraph"/>
        <w:numPr>
          <w:ilvl w:val="0"/>
          <w:numId w:val="39"/>
        </w:numPr>
        <w:spacing w:line="260" w:lineRule="atLeast"/>
        <w:ind w:hanging="644"/>
        <w:jc w:val="both"/>
        <w:rPr>
          <w:lang w:val="en-NZ"/>
        </w:rPr>
      </w:pPr>
      <w:r w:rsidRPr="003058C3">
        <w:rPr>
          <w:b/>
          <w:bCs/>
          <w:lang w:val="en-NZ"/>
        </w:rPr>
        <w:t>New build exemption</w:t>
      </w:r>
      <w:r w:rsidRPr="00D137AB">
        <w:rPr>
          <w:lang w:val="en-NZ"/>
        </w:rPr>
        <w:t xml:space="preserve"> – HUD considers that a long new build exemption (i.e. at least 20 years) is necessary to minimise the impact of the interest limitation rules on the supply of new housing. Long-run housing affordability is not supported by measures that reduce the supply of new housing and there is a significant risk that supply will reduce if the exemption period is too short.</w:t>
      </w:r>
    </w:p>
    <w:p w14:paraId="28B1DD93" w14:textId="4E39E822" w:rsidR="001555CF" w:rsidRPr="00367A39" w:rsidRDefault="00D137AB" w:rsidP="004A38F8">
      <w:pPr>
        <w:pStyle w:val="ListParagraph"/>
        <w:numPr>
          <w:ilvl w:val="0"/>
          <w:numId w:val="39"/>
        </w:numPr>
        <w:spacing w:line="260" w:lineRule="atLeast"/>
        <w:ind w:hanging="644"/>
        <w:jc w:val="both"/>
        <w:rPr>
          <w:lang w:val="en-NZ"/>
        </w:rPr>
      </w:pPr>
      <w:r w:rsidRPr="00D137AB">
        <w:rPr>
          <w:lang w:val="en-NZ"/>
        </w:rPr>
        <w:t xml:space="preserve">Housing supply is already somewhat responsive to changes in the price of housing and the National Policy Statement on Urban Development (NPS-UD) and </w:t>
      </w:r>
      <w:r w:rsidR="00E10919">
        <w:rPr>
          <w:lang w:val="en-NZ"/>
        </w:rPr>
        <w:t>related work</w:t>
      </w:r>
      <w:r w:rsidR="000605B9">
        <w:rPr>
          <w:lang w:val="en-NZ"/>
        </w:rPr>
        <w:t xml:space="preserve"> </w:t>
      </w:r>
      <w:r w:rsidRPr="00D137AB">
        <w:rPr>
          <w:lang w:val="en-NZ"/>
        </w:rPr>
        <w:t xml:space="preserve">will increase this responsiveness. Denying interest deductions would therefore significantly reduce the supply of housing in the medium to long term and create a risk that the extra housing being enabled by the NPS-UD and </w:t>
      </w:r>
      <w:r w:rsidR="00E10919">
        <w:rPr>
          <w:lang w:val="en-NZ"/>
        </w:rPr>
        <w:t xml:space="preserve">related work </w:t>
      </w:r>
      <w:r w:rsidRPr="00D137AB">
        <w:rPr>
          <w:lang w:val="en-NZ"/>
        </w:rPr>
        <w:t>would not be supplied. A long new build exemption would alleviate much of this impact. HUD therefore recommends that the new build exemption should last for at least 20 years from the date of CCC, so as to minimise the impact that denying interest deductions has on the supply of new housing.</w:t>
      </w:r>
    </w:p>
    <w:p w14:paraId="5B5885BE" w14:textId="0C621037" w:rsidR="00FE13F2" w:rsidRDefault="00FE13F2" w:rsidP="00805F87">
      <w:pPr>
        <w:jc w:val="both"/>
        <w:rPr>
          <w:lang w:val="en-NZ"/>
        </w:rPr>
        <w:sectPr w:rsidR="00FE13F2" w:rsidSect="00D71CE0">
          <w:headerReference w:type="even" r:id="rId8"/>
          <w:headerReference w:type="default" r:id="rId9"/>
          <w:footerReference w:type="even" r:id="rId10"/>
          <w:footerReference w:type="default" r:id="rId11"/>
          <w:pgSz w:w="11906" w:h="16838" w:code="9"/>
          <w:pgMar w:top="1134" w:right="1418" w:bottom="992" w:left="1418" w:header="709" w:footer="709" w:gutter="0"/>
          <w:cols w:space="708"/>
          <w:docGrid w:linePitch="360"/>
        </w:sectPr>
      </w:pPr>
    </w:p>
    <w:p w14:paraId="4EC02C43" w14:textId="26BB704D" w:rsidR="00D71CE0" w:rsidRPr="00A864A5" w:rsidRDefault="00DB51CD" w:rsidP="00273FD3">
      <w:pPr>
        <w:pStyle w:val="Heading3"/>
        <w:jc w:val="both"/>
        <w:rPr>
          <w:lang w:val="en-NZ"/>
        </w:rPr>
      </w:pPr>
      <w:r>
        <w:rPr>
          <w:lang w:val="en-NZ"/>
        </w:rPr>
        <w:t>How do the options compare to the status quo/counterfactual?</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475"/>
        <w:gridCol w:w="2476"/>
        <w:gridCol w:w="2477"/>
        <w:gridCol w:w="2491"/>
        <w:gridCol w:w="2492"/>
        <w:gridCol w:w="2183"/>
      </w:tblGrid>
      <w:tr w:rsidR="003A68B8" w:rsidRPr="004873D9" w14:paraId="64606FB2" w14:textId="0EC5AF49" w:rsidTr="000B7D13">
        <w:trPr>
          <w:trHeight w:val="395"/>
        </w:trPr>
        <w:tc>
          <w:tcPr>
            <w:tcW w:w="2475" w:type="dxa"/>
            <w:shd w:val="clear" w:color="auto" w:fill="99CDDD"/>
            <w:vAlign w:val="center"/>
          </w:tcPr>
          <w:p w14:paraId="3D6EF1B6" w14:textId="72EE34FD" w:rsidR="003A68B8" w:rsidRPr="004873D9" w:rsidRDefault="003A68B8" w:rsidP="00AE0D61">
            <w:pPr>
              <w:spacing w:before="60" w:after="60" w:line="276" w:lineRule="auto"/>
              <w:rPr>
                <w:rFonts w:cs="Arial"/>
                <w:bCs/>
                <w:i/>
                <w:iCs/>
                <w:color w:val="FFFFFF"/>
                <w:sz w:val="20"/>
                <w:lang w:val="en-NZ"/>
              </w:rPr>
            </w:pPr>
          </w:p>
        </w:tc>
        <w:tc>
          <w:tcPr>
            <w:tcW w:w="2476" w:type="dxa"/>
            <w:shd w:val="clear" w:color="auto" w:fill="99CDDD"/>
            <w:vAlign w:val="center"/>
          </w:tcPr>
          <w:p w14:paraId="643BB81E" w14:textId="5832EAB6" w:rsidR="003A68B8" w:rsidRPr="004873D9" w:rsidRDefault="003A68B8" w:rsidP="00AE0D61">
            <w:pPr>
              <w:spacing w:before="60" w:after="60" w:line="240" w:lineRule="auto"/>
              <w:rPr>
                <w:rFonts w:cs="Arial"/>
                <w:b/>
                <w:color w:val="000000"/>
                <w:sz w:val="20"/>
                <w:lang w:val="en-NZ"/>
              </w:rPr>
            </w:pPr>
            <w:r>
              <w:rPr>
                <w:rFonts w:cs="Arial"/>
                <w:b/>
                <w:color w:val="000000"/>
                <w:sz w:val="20"/>
                <w:lang w:val="en-NZ"/>
              </w:rPr>
              <w:t>Status quo</w:t>
            </w:r>
            <w:r w:rsidRPr="004873D9">
              <w:rPr>
                <w:rFonts w:cs="Arial"/>
                <w:b/>
                <w:color w:val="000000"/>
                <w:sz w:val="20"/>
                <w:lang w:val="en-NZ"/>
              </w:rPr>
              <w:t xml:space="preserve"> –</w:t>
            </w:r>
            <w:r>
              <w:rPr>
                <w:rFonts w:cs="Arial"/>
                <w:b/>
                <w:color w:val="000000"/>
                <w:sz w:val="20"/>
                <w:lang w:val="en-NZ"/>
              </w:rPr>
              <w:t xml:space="preserve"> </w:t>
            </w:r>
            <w:r w:rsidRPr="004873D9">
              <w:rPr>
                <w:rFonts w:cs="Arial"/>
                <w:b/>
                <w:color w:val="000000"/>
                <w:sz w:val="20"/>
                <w:lang w:val="en-NZ"/>
              </w:rPr>
              <w:t xml:space="preserve">allow interest deductions </w:t>
            </w:r>
            <w:r>
              <w:rPr>
                <w:rFonts w:cs="Arial"/>
                <w:b/>
                <w:color w:val="000000"/>
                <w:sz w:val="20"/>
                <w:lang w:val="en-NZ"/>
              </w:rPr>
              <w:t xml:space="preserve">for residential investment property </w:t>
            </w:r>
          </w:p>
        </w:tc>
        <w:tc>
          <w:tcPr>
            <w:tcW w:w="2477" w:type="dxa"/>
            <w:shd w:val="clear" w:color="auto" w:fill="99CDDD"/>
            <w:vAlign w:val="center"/>
          </w:tcPr>
          <w:p w14:paraId="62135168" w14:textId="401B3A37" w:rsidR="003A68B8" w:rsidRPr="004873D9" w:rsidRDefault="003A68B8" w:rsidP="00AE0D61">
            <w:pPr>
              <w:spacing w:before="60" w:after="60" w:line="276" w:lineRule="auto"/>
              <w:rPr>
                <w:rFonts w:cs="Arial"/>
                <w:b/>
                <w:color w:val="000000"/>
                <w:sz w:val="20"/>
                <w:lang w:val="en-NZ"/>
              </w:rPr>
            </w:pPr>
            <w:r w:rsidRPr="004873D9">
              <w:rPr>
                <w:rFonts w:cs="Arial"/>
                <w:b/>
                <w:color w:val="000000"/>
                <w:sz w:val="20"/>
                <w:lang w:val="en-NZ"/>
              </w:rPr>
              <w:t xml:space="preserve">Option </w:t>
            </w:r>
            <w:r w:rsidR="005A0FA4">
              <w:rPr>
                <w:rFonts w:cs="Arial"/>
                <w:b/>
                <w:color w:val="000000"/>
                <w:sz w:val="20"/>
                <w:lang w:val="en-NZ"/>
              </w:rPr>
              <w:t>1</w:t>
            </w:r>
            <w:r w:rsidRPr="004873D9">
              <w:rPr>
                <w:rFonts w:cs="Arial"/>
                <w:b/>
                <w:color w:val="000000"/>
                <w:sz w:val="20"/>
                <w:lang w:val="en-NZ"/>
              </w:rPr>
              <w:t xml:space="preserve"> – deny interest deductions</w:t>
            </w:r>
            <w:r>
              <w:rPr>
                <w:rFonts w:cs="Arial"/>
                <w:b/>
                <w:color w:val="000000"/>
                <w:sz w:val="20"/>
                <w:lang w:val="en-NZ"/>
              </w:rPr>
              <w:t xml:space="preserve"> for residential investment property</w:t>
            </w:r>
          </w:p>
        </w:tc>
        <w:tc>
          <w:tcPr>
            <w:tcW w:w="2491" w:type="dxa"/>
            <w:shd w:val="clear" w:color="auto" w:fill="99CDDD"/>
            <w:vAlign w:val="center"/>
          </w:tcPr>
          <w:p w14:paraId="1A26DBF3" w14:textId="4963A419" w:rsidR="003A68B8" w:rsidRPr="004873D9" w:rsidRDefault="003A68B8" w:rsidP="00AE0D61">
            <w:pPr>
              <w:spacing w:before="60" w:after="60" w:line="276" w:lineRule="auto"/>
              <w:rPr>
                <w:rFonts w:cs="Arial"/>
                <w:b/>
                <w:color w:val="000000"/>
                <w:sz w:val="20"/>
                <w:lang w:val="en-NZ"/>
              </w:rPr>
            </w:pPr>
            <w:r w:rsidRPr="004873D9">
              <w:rPr>
                <w:rFonts w:cs="Arial"/>
                <w:b/>
                <w:color w:val="000000"/>
                <w:sz w:val="20"/>
                <w:lang w:val="en-NZ"/>
              </w:rPr>
              <w:t xml:space="preserve">Option </w:t>
            </w:r>
            <w:r w:rsidR="005A0FA4">
              <w:rPr>
                <w:rFonts w:cs="Arial"/>
                <w:b/>
                <w:color w:val="000000"/>
                <w:sz w:val="20"/>
                <w:lang w:val="en-NZ"/>
              </w:rPr>
              <w:t>2</w:t>
            </w:r>
            <w:r w:rsidRPr="004873D9">
              <w:rPr>
                <w:rFonts w:cs="Arial"/>
                <w:b/>
                <w:color w:val="000000"/>
                <w:sz w:val="20"/>
                <w:lang w:val="en-NZ"/>
              </w:rPr>
              <w:t xml:space="preserve"> – deny interest deductions, except for new builds</w:t>
            </w:r>
          </w:p>
        </w:tc>
        <w:tc>
          <w:tcPr>
            <w:tcW w:w="2492" w:type="dxa"/>
            <w:shd w:val="clear" w:color="auto" w:fill="99CDDD"/>
          </w:tcPr>
          <w:p w14:paraId="02C71C0B" w14:textId="5C1844D5" w:rsidR="003A68B8" w:rsidRPr="004873D9" w:rsidRDefault="003A68B8" w:rsidP="00AE0D61">
            <w:pPr>
              <w:spacing w:before="60" w:after="60" w:line="276" w:lineRule="auto"/>
              <w:rPr>
                <w:rFonts w:cs="Arial"/>
                <w:b/>
                <w:color w:val="000000"/>
                <w:sz w:val="20"/>
                <w:lang w:val="en-NZ"/>
              </w:rPr>
            </w:pPr>
            <w:r w:rsidRPr="004873D9">
              <w:rPr>
                <w:rFonts w:cs="Arial"/>
                <w:b/>
                <w:color w:val="000000"/>
                <w:sz w:val="20"/>
                <w:lang w:val="en-NZ"/>
              </w:rPr>
              <w:t xml:space="preserve">Option </w:t>
            </w:r>
            <w:r w:rsidR="005A0FA4">
              <w:rPr>
                <w:rFonts w:cs="Arial"/>
                <w:b/>
                <w:color w:val="000000"/>
                <w:sz w:val="20"/>
                <w:lang w:val="en-NZ"/>
              </w:rPr>
              <w:t>3</w:t>
            </w:r>
            <w:r w:rsidRPr="004873D9">
              <w:rPr>
                <w:rFonts w:cs="Arial"/>
                <w:b/>
                <w:color w:val="000000"/>
                <w:sz w:val="20"/>
                <w:lang w:val="en-NZ"/>
              </w:rPr>
              <w:t xml:space="preserve"> – deny interest deductions, except for new builds and properties tax</w:t>
            </w:r>
            <w:r>
              <w:rPr>
                <w:rFonts w:cs="Arial"/>
                <w:b/>
                <w:color w:val="000000"/>
                <w:sz w:val="20"/>
                <w:lang w:val="en-NZ"/>
              </w:rPr>
              <w:t>able</w:t>
            </w:r>
            <w:r w:rsidRPr="004873D9">
              <w:rPr>
                <w:rFonts w:cs="Arial"/>
                <w:b/>
                <w:color w:val="000000"/>
                <w:sz w:val="20"/>
                <w:lang w:val="en-NZ"/>
              </w:rPr>
              <w:t xml:space="preserve"> on </w:t>
            </w:r>
            <w:r w:rsidR="00291A42">
              <w:rPr>
                <w:rFonts w:cs="Arial"/>
                <w:b/>
                <w:color w:val="000000"/>
                <w:sz w:val="20"/>
                <w:lang w:val="en-NZ"/>
              </w:rPr>
              <w:t>sale</w:t>
            </w:r>
          </w:p>
        </w:tc>
        <w:tc>
          <w:tcPr>
            <w:tcW w:w="2183" w:type="dxa"/>
            <w:shd w:val="clear" w:color="auto" w:fill="99CDDD"/>
          </w:tcPr>
          <w:p w14:paraId="50E24262" w14:textId="5EDE2028" w:rsidR="003A68B8" w:rsidRPr="004873D9" w:rsidRDefault="003A68B8" w:rsidP="00AE0D61">
            <w:pPr>
              <w:spacing w:before="60" w:after="60" w:line="276" w:lineRule="auto"/>
              <w:rPr>
                <w:rFonts w:cs="Arial"/>
                <w:b/>
                <w:color w:val="000000"/>
                <w:sz w:val="20"/>
                <w:lang w:val="en-NZ"/>
              </w:rPr>
            </w:pPr>
            <w:r>
              <w:rPr>
                <w:rFonts w:cs="Arial"/>
                <w:b/>
                <w:color w:val="000000"/>
                <w:sz w:val="20"/>
                <w:lang w:val="en-NZ"/>
              </w:rPr>
              <w:t xml:space="preserve">Option </w:t>
            </w:r>
            <w:r w:rsidR="005A0FA4">
              <w:rPr>
                <w:rFonts w:cs="Arial"/>
                <w:b/>
                <w:color w:val="000000"/>
                <w:sz w:val="20"/>
                <w:lang w:val="en-NZ"/>
              </w:rPr>
              <w:t>4</w:t>
            </w:r>
            <w:r>
              <w:rPr>
                <w:rFonts w:cs="Arial"/>
                <w:b/>
                <w:color w:val="000000"/>
                <w:sz w:val="20"/>
                <w:lang w:val="en-NZ"/>
              </w:rPr>
              <w:t xml:space="preserve"> – </w:t>
            </w:r>
            <w:r w:rsidRPr="004873D9">
              <w:rPr>
                <w:rFonts w:cs="Arial"/>
                <w:b/>
                <w:color w:val="000000"/>
                <w:sz w:val="20"/>
                <w:lang w:val="en-NZ"/>
              </w:rPr>
              <w:t>deny interest deductions, except for properties tax</w:t>
            </w:r>
            <w:r>
              <w:rPr>
                <w:rFonts w:cs="Arial"/>
                <w:b/>
                <w:color w:val="000000"/>
                <w:sz w:val="20"/>
                <w:lang w:val="en-NZ"/>
              </w:rPr>
              <w:t>able</w:t>
            </w:r>
            <w:r w:rsidRPr="004873D9">
              <w:rPr>
                <w:rFonts w:cs="Arial"/>
                <w:b/>
                <w:color w:val="000000"/>
                <w:sz w:val="20"/>
                <w:lang w:val="en-NZ"/>
              </w:rPr>
              <w:t xml:space="preserve"> on </w:t>
            </w:r>
            <w:r w:rsidR="00291A42">
              <w:rPr>
                <w:rFonts w:cs="Arial"/>
                <w:b/>
                <w:color w:val="000000"/>
                <w:sz w:val="20"/>
                <w:lang w:val="en-NZ"/>
              </w:rPr>
              <w:t>sale</w:t>
            </w:r>
          </w:p>
        </w:tc>
      </w:tr>
      <w:tr w:rsidR="003A68B8" w:rsidRPr="00A864A5" w14:paraId="43A4983D" w14:textId="630C2566" w:rsidTr="000B7D13">
        <w:trPr>
          <w:trHeight w:val="594"/>
        </w:trPr>
        <w:tc>
          <w:tcPr>
            <w:tcW w:w="2475" w:type="dxa"/>
            <w:shd w:val="clear" w:color="auto" w:fill="99CDDD"/>
            <w:vAlign w:val="center"/>
          </w:tcPr>
          <w:p w14:paraId="62A9F0E1" w14:textId="0D1EE380" w:rsidR="003A68B8" w:rsidRPr="004873D9" w:rsidRDefault="003A68B8" w:rsidP="003A68B8">
            <w:pPr>
              <w:spacing w:before="60" w:after="60" w:line="240" w:lineRule="auto"/>
              <w:rPr>
                <w:rFonts w:cs="Arial"/>
                <w:b/>
                <w:color w:val="000000"/>
                <w:sz w:val="18"/>
                <w:szCs w:val="22"/>
                <w:lang w:val="en-NZ"/>
              </w:rPr>
            </w:pPr>
            <w:r>
              <w:rPr>
                <w:rFonts w:cs="Arial"/>
                <w:b/>
                <w:color w:val="000000"/>
                <w:sz w:val="18"/>
                <w:szCs w:val="22"/>
                <w:lang w:val="en-NZ"/>
              </w:rPr>
              <w:t>Improve</w:t>
            </w:r>
            <w:r w:rsidR="00AA3234">
              <w:rPr>
                <w:rFonts w:cs="Arial"/>
                <w:b/>
                <w:color w:val="000000"/>
                <w:sz w:val="18"/>
                <w:szCs w:val="22"/>
                <w:lang w:val="en-NZ"/>
              </w:rPr>
              <w:t>s</w:t>
            </w:r>
            <w:r>
              <w:rPr>
                <w:rFonts w:cs="Arial"/>
                <w:b/>
                <w:color w:val="000000"/>
                <w:sz w:val="18"/>
                <w:szCs w:val="22"/>
                <w:lang w:val="en-NZ"/>
              </w:rPr>
              <w:t xml:space="preserve"> affordability for </w:t>
            </w:r>
            <w:r w:rsidRPr="004873D9">
              <w:rPr>
                <w:rFonts w:cs="Arial"/>
                <w:b/>
                <w:color w:val="000000"/>
                <w:sz w:val="18"/>
                <w:szCs w:val="22"/>
                <w:lang w:val="en-NZ"/>
              </w:rPr>
              <w:t>first</w:t>
            </w:r>
            <w:r>
              <w:rPr>
                <w:rFonts w:cs="Arial"/>
                <w:b/>
                <w:color w:val="000000"/>
                <w:sz w:val="18"/>
                <w:szCs w:val="22"/>
                <w:lang w:val="en-NZ"/>
              </w:rPr>
              <w:t>-</w:t>
            </w:r>
            <w:r w:rsidRPr="004873D9">
              <w:rPr>
                <w:rFonts w:cs="Arial"/>
                <w:b/>
                <w:color w:val="000000"/>
                <w:sz w:val="18"/>
                <w:szCs w:val="22"/>
                <w:lang w:val="en-NZ"/>
              </w:rPr>
              <w:t>home buyers</w:t>
            </w:r>
          </w:p>
        </w:tc>
        <w:tc>
          <w:tcPr>
            <w:tcW w:w="2476" w:type="dxa"/>
            <w:shd w:val="clear" w:color="auto" w:fill="auto"/>
            <w:vAlign w:val="center"/>
          </w:tcPr>
          <w:p w14:paraId="2C8AD330" w14:textId="5D33D519"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64D49E0B" w14:textId="2044F687" w:rsidR="003A68B8" w:rsidRPr="00666B7B" w:rsidRDefault="003A68B8" w:rsidP="003A68B8">
            <w:pPr>
              <w:pStyle w:val="TableText"/>
              <w:spacing w:line="276" w:lineRule="auto"/>
              <w:jc w:val="both"/>
              <w:rPr>
                <w:b/>
                <w:i/>
                <w:iCs/>
                <w:lang w:val="en-NZ"/>
              </w:rPr>
            </w:pPr>
            <w:r w:rsidRPr="00666B7B">
              <w:rPr>
                <w:rFonts w:cs="Arial"/>
                <w:b/>
              </w:rPr>
              <w:t>+</w:t>
            </w:r>
          </w:p>
        </w:tc>
        <w:tc>
          <w:tcPr>
            <w:tcW w:w="2491" w:type="dxa"/>
            <w:shd w:val="clear" w:color="auto" w:fill="auto"/>
            <w:vAlign w:val="center"/>
          </w:tcPr>
          <w:p w14:paraId="4BC00262" w14:textId="64A9798C" w:rsidR="003A68B8" w:rsidRPr="00666B7B" w:rsidRDefault="003A68B8" w:rsidP="003A68B8">
            <w:pPr>
              <w:pStyle w:val="TableText"/>
              <w:spacing w:line="276" w:lineRule="auto"/>
              <w:jc w:val="both"/>
              <w:rPr>
                <w:b/>
                <w:lang w:val="en-NZ"/>
              </w:rPr>
            </w:pPr>
            <w:r w:rsidRPr="00666B7B">
              <w:rPr>
                <w:rFonts w:cs="Arial"/>
                <w:b/>
              </w:rPr>
              <w:t>+ / 0</w:t>
            </w:r>
          </w:p>
        </w:tc>
        <w:tc>
          <w:tcPr>
            <w:tcW w:w="2492" w:type="dxa"/>
            <w:vAlign w:val="center"/>
          </w:tcPr>
          <w:p w14:paraId="338E3C84" w14:textId="6C1FBE21" w:rsidR="003A68B8" w:rsidRPr="00666B7B" w:rsidRDefault="003A68B8" w:rsidP="003A68B8">
            <w:pPr>
              <w:pStyle w:val="TableText"/>
              <w:spacing w:line="276" w:lineRule="auto"/>
              <w:jc w:val="both"/>
              <w:rPr>
                <w:b/>
                <w:lang w:val="en-NZ"/>
              </w:rPr>
            </w:pPr>
            <w:r w:rsidRPr="00666B7B">
              <w:rPr>
                <w:rFonts w:cs="Arial"/>
                <w:b/>
              </w:rPr>
              <w:t>+ / 0</w:t>
            </w:r>
          </w:p>
        </w:tc>
        <w:tc>
          <w:tcPr>
            <w:tcW w:w="2183" w:type="dxa"/>
            <w:vAlign w:val="center"/>
          </w:tcPr>
          <w:p w14:paraId="6403ADF8" w14:textId="73075B4F" w:rsidR="003A68B8" w:rsidRPr="00666B7B" w:rsidRDefault="003A68B8" w:rsidP="003A68B8">
            <w:pPr>
              <w:pStyle w:val="TableText"/>
              <w:spacing w:line="276" w:lineRule="auto"/>
              <w:jc w:val="both"/>
              <w:rPr>
                <w:rFonts w:cs="Arial"/>
                <w:b/>
              </w:rPr>
            </w:pPr>
            <w:r w:rsidRPr="00666B7B">
              <w:rPr>
                <w:rFonts w:cs="Arial"/>
                <w:b/>
              </w:rPr>
              <w:t>+</w:t>
            </w:r>
          </w:p>
        </w:tc>
      </w:tr>
      <w:tr w:rsidR="003A68B8" w:rsidRPr="00A864A5" w14:paraId="0399B26E" w14:textId="33460DB6" w:rsidTr="000B7D13">
        <w:trPr>
          <w:trHeight w:val="594"/>
        </w:trPr>
        <w:tc>
          <w:tcPr>
            <w:tcW w:w="2475" w:type="dxa"/>
            <w:shd w:val="clear" w:color="auto" w:fill="99CDDD"/>
            <w:vAlign w:val="center"/>
          </w:tcPr>
          <w:p w14:paraId="058D3255" w14:textId="2CF42E17" w:rsidR="003A68B8" w:rsidRPr="00C71DA7" w:rsidRDefault="003A68B8" w:rsidP="003A68B8">
            <w:pPr>
              <w:spacing w:before="60" w:after="60" w:line="240" w:lineRule="auto"/>
              <w:rPr>
                <w:rFonts w:cs="Arial"/>
                <w:b/>
                <w:color w:val="000000"/>
                <w:sz w:val="18"/>
                <w:szCs w:val="22"/>
                <w:lang w:val="en-NZ"/>
              </w:rPr>
            </w:pPr>
            <w:r>
              <w:rPr>
                <w:rFonts w:cs="Arial"/>
                <w:b/>
                <w:color w:val="000000"/>
                <w:sz w:val="18"/>
                <w:szCs w:val="22"/>
                <w:lang w:val="en-NZ"/>
              </w:rPr>
              <w:t>M</w:t>
            </w:r>
            <w:r w:rsidRPr="00177509">
              <w:rPr>
                <w:rFonts w:cs="Arial"/>
                <w:b/>
                <w:color w:val="000000"/>
                <w:sz w:val="18"/>
                <w:szCs w:val="22"/>
                <w:lang w:val="en-NZ"/>
              </w:rPr>
              <w:t>aintain</w:t>
            </w:r>
            <w:r w:rsidR="00AA3234">
              <w:rPr>
                <w:rFonts w:cs="Arial"/>
                <w:b/>
                <w:color w:val="000000"/>
                <w:sz w:val="18"/>
                <w:szCs w:val="22"/>
                <w:lang w:val="en-NZ"/>
              </w:rPr>
              <w:t>s</w:t>
            </w:r>
            <w:r w:rsidRPr="00177509">
              <w:rPr>
                <w:rFonts w:cs="Arial"/>
                <w:b/>
                <w:color w:val="000000"/>
                <w:sz w:val="18"/>
                <w:szCs w:val="22"/>
                <w:lang w:val="en-NZ"/>
              </w:rPr>
              <w:t xml:space="preserve"> the rate of </w:t>
            </w:r>
            <w:r>
              <w:rPr>
                <w:rFonts w:cs="Arial"/>
                <w:b/>
                <w:color w:val="000000"/>
                <w:sz w:val="18"/>
                <w:szCs w:val="22"/>
                <w:lang w:val="en-NZ"/>
              </w:rPr>
              <w:t>development of new housing stock</w:t>
            </w:r>
          </w:p>
        </w:tc>
        <w:tc>
          <w:tcPr>
            <w:tcW w:w="2476" w:type="dxa"/>
            <w:shd w:val="clear" w:color="auto" w:fill="auto"/>
            <w:vAlign w:val="center"/>
          </w:tcPr>
          <w:p w14:paraId="14D08EAB" w14:textId="460E35CF"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1FFDFAE8" w14:textId="59FAF0DF" w:rsidR="003A68B8" w:rsidRPr="00666B7B" w:rsidRDefault="003A68B8" w:rsidP="003A68B8">
            <w:pPr>
              <w:pStyle w:val="TableText"/>
              <w:spacing w:line="276" w:lineRule="auto"/>
              <w:jc w:val="both"/>
              <w:rPr>
                <w:rFonts w:cs="Arial"/>
                <w:b/>
              </w:rPr>
            </w:pPr>
            <w:r w:rsidRPr="00666B7B">
              <w:rPr>
                <w:rFonts w:cs="Arial"/>
                <w:b/>
              </w:rPr>
              <w:t>- -</w:t>
            </w:r>
          </w:p>
        </w:tc>
        <w:tc>
          <w:tcPr>
            <w:tcW w:w="2491" w:type="dxa"/>
            <w:shd w:val="clear" w:color="auto" w:fill="auto"/>
            <w:vAlign w:val="center"/>
          </w:tcPr>
          <w:p w14:paraId="6D8F6661" w14:textId="72FE553E" w:rsidR="003A68B8" w:rsidRPr="00666B7B" w:rsidRDefault="003A68B8" w:rsidP="003A68B8">
            <w:pPr>
              <w:pStyle w:val="TableText"/>
              <w:spacing w:line="276" w:lineRule="auto"/>
              <w:jc w:val="both"/>
              <w:rPr>
                <w:rFonts w:cs="Arial"/>
                <w:b/>
              </w:rPr>
            </w:pPr>
            <w:r w:rsidRPr="00666B7B">
              <w:rPr>
                <w:rFonts w:cs="Arial"/>
                <w:b/>
              </w:rPr>
              <w:t>-</w:t>
            </w:r>
          </w:p>
        </w:tc>
        <w:tc>
          <w:tcPr>
            <w:tcW w:w="2492" w:type="dxa"/>
            <w:vAlign w:val="center"/>
          </w:tcPr>
          <w:p w14:paraId="315777BF" w14:textId="51B247B8" w:rsidR="003A68B8" w:rsidRPr="00666B7B" w:rsidRDefault="003A68B8" w:rsidP="003A68B8">
            <w:pPr>
              <w:pStyle w:val="TableText"/>
              <w:spacing w:line="276" w:lineRule="auto"/>
              <w:jc w:val="both"/>
              <w:rPr>
                <w:rFonts w:cs="Arial"/>
                <w:b/>
              </w:rPr>
            </w:pPr>
            <w:r w:rsidRPr="00666B7B">
              <w:rPr>
                <w:rFonts w:cs="Arial"/>
                <w:b/>
              </w:rPr>
              <w:t>-</w:t>
            </w:r>
          </w:p>
        </w:tc>
        <w:tc>
          <w:tcPr>
            <w:tcW w:w="2183" w:type="dxa"/>
            <w:vAlign w:val="center"/>
          </w:tcPr>
          <w:p w14:paraId="2188D3F0" w14:textId="7C46DB09" w:rsidR="003A68B8" w:rsidRPr="00666B7B" w:rsidRDefault="003A68B8" w:rsidP="003A68B8">
            <w:pPr>
              <w:pStyle w:val="TableText"/>
              <w:spacing w:line="276" w:lineRule="auto"/>
              <w:jc w:val="both"/>
              <w:rPr>
                <w:rFonts w:cs="Arial"/>
                <w:b/>
              </w:rPr>
            </w:pPr>
            <w:r w:rsidRPr="00666B7B">
              <w:rPr>
                <w:rFonts w:cs="Arial"/>
                <w:b/>
              </w:rPr>
              <w:t>- -</w:t>
            </w:r>
          </w:p>
        </w:tc>
      </w:tr>
      <w:tr w:rsidR="003A68B8" w:rsidRPr="00A864A5" w14:paraId="1CB11B40" w14:textId="584EE2CC" w:rsidTr="000B7D13">
        <w:trPr>
          <w:trHeight w:val="594"/>
        </w:trPr>
        <w:tc>
          <w:tcPr>
            <w:tcW w:w="2475" w:type="dxa"/>
            <w:shd w:val="clear" w:color="auto" w:fill="99CDDD"/>
            <w:vAlign w:val="center"/>
          </w:tcPr>
          <w:p w14:paraId="0677EE1B" w14:textId="2E98E37A" w:rsidR="003A68B8" w:rsidRPr="00C71DA7" w:rsidRDefault="003A68B8" w:rsidP="003A68B8">
            <w:pPr>
              <w:spacing w:before="60" w:after="60" w:line="240" w:lineRule="auto"/>
              <w:rPr>
                <w:rFonts w:cs="Arial"/>
                <w:b/>
                <w:color w:val="000000"/>
                <w:sz w:val="18"/>
                <w:szCs w:val="22"/>
                <w:lang w:val="en-NZ"/>
              </w:rPr>
            </w:pPr>
            <w:r w:rsidRPr="00C71DA7">
              <w:rPr>
                <w:rFonts w:cs="Arial"/>
                <w:b/>
                <w:color w:val="000000"/>
                <w:sz w:val="18"/>
                <w:szCs w:val="22"/>
                <w:lang w:val="en-NZ"/>
              </w:rPr>
              <w:t>Improve</w:t>
            </w:r>
            <w:r w:rsidR="00AA3234">
              <w:rPr>
                <w:rFonts w:cs="Arial"/>
                <w:b/>
                <w:color w:val="000000"/>
                <w:sz w:val="18"/>
                <w:szCs w:val="22"/>
                <w:lang w:val="en-NZ"/>
              </w:rPr>
              <w:t>s</w:t>
            </w:r>
            <w:r w:rsidRPr="00C71DA7">
              <w:rPr>
                <w:rFonts w:cs="Arial"/>
                <w:b/>
                <w:color w:val="000000"/>
                <w:sz w:val="18"/>
                <w:szCs w:val="22"/>
                <w:lang w:val="en-NZ"/>
              </w:rPr>
              <w:t xml:space="preserve"> affordability </w:t>
            </w:r>
            <w:r>
              <w:rPr>
                <w:rFonts w:cs="Arial"/>
                <w:b/>
                <w:color w:val="000000"/>
                <w:sz w:val="18"/>
                <w:szCs w:val="22"/>
                <w:lang w:val="en-NZ"/>
              </w:rPr>
              <w:t>for</w:t>
            </w:r>
          </w:p>
          <w:p w14:paraId="6019EF4C" w14:textId="06230C48" w:rsidR="003A68B8" w:rsidRPr="004873D9" w:rsidRDefault="003A68B8" w:rsidP="003A68B8">
            <w:pPr>
              <w:spacing w:before="60" w:after="60" w:line="240" w:lineRule="auto"/>
              <w:rPr>
                <w:rFonts w:cs="Arial"/>
                <w:b/>
                <w:color w:val="000000"/>
                <w:sz w:val="18"/>
                <w:szCs w:val="22"/>
                <w:lang w:val="en-NZ"/>
              </w:rPr>
            </w:pPr>
            <w:r w:rsidRPr="00C71DA7">
              <w:rPr>
                <w:rFonts w:cs="Arial"/>
                <w:b/>
                <w:color w:val="000000"/>
                <w:sz w:val="18"/>
                <w:szCs w:val="22"/>
                <w:lang w:val="en-NZ"/>
              </w:rPr>
              <w:t>rent</w:t>
            </w:r>
            <w:r>
              <w:rPr>
                <w:rFonts w:cs="Arial"/>
                <w:b/>
                <w:color w:val="000000"/>
                <w:sz w:val="18"/>
                <w:szCs w:val="22"/>
                <w:lang w:val="en-NZ"/>
              </w:rPr>
              <w:t>ers</w:t>
            </w:r>
          </w:p>
        </w:tc>
        <w:tc>
          <w:tcPr>
            <w:tcW w:w="2476" w:type="dxa"/>
            <w:shd w:val="clear" w:color="auto" w:fill="auto"/>
            <w:vAlign w:val="center"/>
          </w:tcPr>
          <w:p w14:paraId="5DFE28F3" w14:textId="14E01AA2"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7A75D328" w14:textId="30AA48D1" w:rsidR="003A68B8" w:rsidRPr="00666B7B" w:rsidRDefault="003A68B8" w:rsidP="003A68B8">
            <w:pPr>
              <w:pStyle w:val="TableText"/>
              <w:spacing w:line="276" w:lineRule="auto"/>
              <w:jc w:val="both"/>
              <w:rPr>
                <w:b/>
                <w:lang w:val="en-NZ"/>
              </w:rPr>
            </w:pPr>
            <w:r w:rsidRPr="00666B7B">
              <w:rPr>
                <w:rFonts w:cs="Arial"/>
                <w:b/>
              </w:rPr>
              <w:t>- -</w:t>
            </w:r>
          </w:p>
        </w:tc>
        <w:tc>
          <w:tcPr>
            <w:tcW w:w="2491" w:type="dxa"/>
            <w:shd w:val="clear" w:color="auto" w:fill="auto"/>
            <w:vAlign w:val="center"/>
          </w:tcPr>
          <w:p w14:paraId="1532A06B" w14:textId="0FB8424F" w:rsidR="003A68B8" w:rsidRPr="00666B7B" w:rsidRDefault="003A68B8" w:rsidP="003A68B8">
            <w:pPr>
              <w:pStyle w:val="TableText"/>
              <w:spacing w:line="276" w:lineRule="auto"/>
              <w:jc w:val="both"/>
              <w:rPr>
                <w:b/>
                <w:lang w:val="en-NZ"/>
              </w:rPr>
            </w:pPr>
            <w:r w:rsidRPr="00666B7B">
              <w:rPr>
                <w:rFonts w:cs="Arial"/>
                <w:b/>
              </w:rPr>
              <w:t>- / - -</w:t>
            </w:r>
          </w:p>
        </w:tc>
        <w:tc>
          <w:tcPr>
            <w:tcW w:w="2492" w:type="dxa"/>
            <w:vAlign w:val="center"/>
          </w:tcPr>
          <w:p w14:paraId="380EA8FA" w14:textId="4582CB83" w:rsidR="003A68B8" w:rsidRPr="00666B7B" w:rsidRDefault="003A68B8" w:rsidP="003A68B8">
            <w:pPr>
              <w:pStyle w:val="TableText"/>
              <w:spacing w:line="276" w:lineRule="auto"/>
              <w:jc w:val="both"/>
              <w:rPr>
                <w:b/>
                <w:lang w:val="en-NZ"/>
              </w:rPr>
            </w:pPr>
            <w:r w:rsidRPr="00666B7B">
              <w:rPr>
                <w:rFonts w:cs="Arial"/>
                <w:b/>
              </w:rPr>
              <w:t>- / - -</w:t>
            </w:r>
          </w:p>
        </w:tc>
        <w:tc>
          <w:tcPr>
            <w:tcW w:w="2183" w:type="dxa"/>
            <w:vAlign w:val="center"/>
          </w:tcPr>
          <w:p w14:paraId="655FA411" w14:textId="454DD37E" w:rsidR="003A68B8" w:rsidRPr="00666B7B" w:rsidRDefault="003A68B8" w:rsidP="003A68B8">
            <w:pPr>
              <w:pStyle w:val="TableText"/>
              <w:spacing w:line="276" w:lineRule="auto"/>
              <w:jc w:val="both"/>
              <w:rPr>
                <w:rFonts w:cs="Arial"/>
                <w:b/>
              </w:rPr>
            </w:pPr>
            <w:r w:rsidRPr="00666B7B">
              <w:rPr>
                <w:rFonts w:cs="Arial"/>
                <w:b/>
              </w:rPr>
              <w:t>- -</w:t>
            </w:r>
          </w:p>
        </w:tc>
      </w:tr>
      <w:tr w:rsidR="003A68B8" w:rsidRPr="00A864A5" w14:paraId="1F59A3C2" w14:textId="6ACFA2DB" w:rsidTr="000B7D13">
        <w:trPr>
          <w:trHeight w:val="594"/>
        </w:trPr>
        <w:tc>
          <w:tcPr>
            <w:tcW w:w="2475" w:type="dxa"/>
            <w:shd w:val="clear" w:color="auto" w:fill="99CDDD"/>
            <w:vAlign w:val="center"/>
          </w:tcPr>
          <w:p w14:paraId="516F19E0" w14:textId="005F6B05" w:rsidR="003A68B8" w:rsidRPr="004873D9" w:rsidRDefault="003A68B8" w:rsidP="003A68B8">
            <w:pPr>
              <w:spacing w:before="60" w:after="60" w:line="240" w:lineRule="auto"/>
              <w:rPr>
                <w:rFonts w:cs="Arial"/>
                <w:b/>
                <w:color w:val="000000"/>
                <w:sz w:val="18"/>
                <w:szCs w:val="22"/>
                <w:lang w:val="en-NZ"/>
              </w:rPr>
            </w:pPr>
            <w:r w:rsidRPr="00C71DA7">
              <w:rPr>
                <w:rFonts w:cs="Arial"/>
                <w:b/>
                <w:color w:val="000000"/>
                <w:sz w:val="18"/>
                <w:szCs w:val="22"/>
                <w:lang w:val="en-NZ"/>
              </w:rPr>
              <w:t>Efficiency and growth</w:t>
            </w:r>
          </w:p>
        </w:tc>
        <w:tc>
          <w:tcPr>
            <w:tcW w:w="2476" w:type="dxa"/>
            <w:shd w:val="clear" w:color="auto" w:fill="auto"/>
            <w:vAlign w:val="center"/>
          </w:tcPr>
          <w:p w14:paraId="2E4085FC" w14:textId="2808813C"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7C60E5B1" w14:textId="68A3485A" w:rsidR="003A68B8" w:rsidRPr="00666B7B" w:rsidRDefault="003A68B8" w:rsidP="003A68B8">
            <w:pPr>
              <w:pStyle w:val="TableText"/>
              <w:spacing w:line="276" w:lineRule="auto"/>
              <w:jc w:val="both"/>
              <w:rPr>
                <w:b/>
                <w:lang w:val="en-NZ"/>
              </w:rPr>
            </w:pPr>
            <w:r w:rsidRPr="00666B7B">
              <w:rPr>
                <w:rFonts w:cs="Arial"/>
                <w:b/>
              </w:rPr>
              <w:t>-</w:t>
            </w:r>
          </w:p>
        </w:tc>
        <w:tc>
          <w:tcPr>
            <w:tcW w:w="2491" w:type="dxa"/>
            <w:shd w:val="clear" w:color="auto" w:fill="auto"/>
            <w:vAlign w:val="center"/>
          </w:tcPr>
          <w:p w14:paraId="2C58ACA4" w14:textId="5B1B9F34" w:rsidR="003A68B8" w:rsidRPr="00666B7B" w:rsidRDefault="003A68B8" w:rsidP="003A68B8">
            <w:pPr>
              <w:pStyle w:val="TableText"/>
              <w:spacing w:line="276" w:lineRule="auto"/>
              <w:jc w:val="both"/>
              <w:rPr>
                <w:b/>
                <w:lang w:val="en-NZ"/>
              </w:rPr>
            </w:pPr>
            <w:r w:rsidRPr="00666B7B">
              <w:rPr>
                <w:rFonts w:cs="Arial"/>
                <w:b/>
              </w:rPr>
              <w:t>-</w:t>
            </w:r>
          </w:p>
        </w:tc>
        <w:tc>
          <w:tcPr>
            <w:tcW w:w="2492" w:type="dxa"/>
            <w:vAlign w:val="center"/>
          </w:tcPr>
          <w:p w14:paraId="1529B7EB" w14:textId="4DB7670E" w:rsidR="003A68B8" w:rsidRPr="00666B7B" w:rsidRDefault="003A68B8" w:rsidP="003A68B8">
            <w:pPr>
              <w:pStyle w:val="TableText"/>
              <w:spacing w:line="276" w:lineRule="auto"/>
              <w:jc w:val="both"/>
              <w:rPr>
                <w:b/>
                <w:lang w:val="en-NZ"/>
              </w:rPr>
            </w:pPr>
            <w:r w:rsidRPr="00666B7B">
              <w:rPr>
                <w:rFonts w:cs="Arial"/>
                <w:b/>
              </w:rPr>
              <w:t>-</w:t>
            </w:r>
          </w:p>
        </w:tc>
        <w:tc>
          <w:tcPr>
            <w:tcW w:w="2183" w:type="dxa"/>
            <w:vAlign w:val="center"/>
          </w:tcPr>
          <w:p w14:paraId="3AA7A16C" w14:textId="55B75FEA" w:rsidR="003A68B8" w:rsidRPr="00666B7B" w:rsidRDefault="003A68B8" w:rsidP="003A68B8">
            <w:pPr>
              <w:pStyle w:val="TableText"/>
              <w:spacing w:line="276" w:lineRule="auto"/>
              <w:jc w:val="both"/>
              <w:rPr>
                <w:rFonts w:cs="Arial"/>
                <w:b/>
              </w:rPr>
            </w:pPr>
            <w:r w:rsidRPr="00666B7B">
              <w:rPr>
                <w:rFonts w:cs="Arial"/>
                <w:b/>
              </w:rPr>
              <w:t>-</w:t>
            </w:r>
          </w:p>
        </w:tc>
      </w:tr>
      <w:tr w:rsidR="003A68B8" w:rsidRPr="00A864A5" w14:paraId="4ACE5F8E" w14:textId="56801C51" w:rsidTr="000B7D13">
        <w:trPr>
          <w:trHeight w:val="594"/>
        </w:trPr>
        <w:tc>
          <w:tcPr>
            <w:tcW w:w="2475" w:type="dxa"/>
            <w:shd w:val="clear" w:color="auto" w:fill="99CDDD"/>
            <w:vAlign w:val="center"/>
          </w:tcPr>
          <w:p w14:paraId="57810700" w14:textId="67995C55" w:rsidR="003A68B8" w:rsidRPr="00EF6313" w:rsidRDefault="003A68B8" w:rsidP="003A68B8">
            <w:pPr>
              <w:spacing w:before="60" w:after="60" w:line="240" w:lineRule="auto"/>
              <w:rPr>
                <w:rFonts w:cs="Arial"/>
                <w:b/>
                <w:color w:val="000000"/>
                <w:sz w:val="18"/>
                <w:szCs w:val="22"/>
                <w:lang w:val="en-NZ"/>
              </w:rPr>
            </w:pPr>
            <w:r w:rsidRPr="00EF6313">
              <w:rPr>
                <w:rFonts w:cs="Arial"/>
                <w:b/>
                <w:color w:val="000000"/>
                <w:sz w:val="18"/>
                <w:szCs w:val="22"/>
                <w:lang w:val="en-NZ"/>
              </w:rPr>
              <w:t>Equity and fairness</w:t>
            </w:r>
          </w:p>
          <w:p w14:paraId="7B5B1597" w14:textId="0BF6818A" w:rsidR="003A68B8" w:rsidRPr="00C71DA7" w:rsidRDefault="003A68B8" w:rsidP="003A68B8">
            <w:pPr>
              <w:spacing w:before="60" w:after="60" w:line="240" w:lineRule="auto"/>
              <w:rPr>
                <w:rFonts w:cs="Arial"/>
                <w:b/>
                <w:color w:val="000000"/>
                <w:sz w:val="18"/>
                <w:szCs w:val="22"/>
                <w:lang w:val="en-NZ"/>
              </w:rPr>
            </w:pPr>
            <w:r w:rsidRPr="00EF6313">
              <w:rPr>
                <w:rFonts w:cs="Arial"/>
                <w:b/>
                <w:color w:val="000000"/>
                <w:sz w:val="18"/>
                <w:szCs w:val="22"/>
                <w:lang w:val="en-NZ"/>
              </w:rPr>
              <w:t>(horizontal and vertical)</w:t>
            </w:r>
          </w:p>
        </w:tc>
        <w:tc>
          <w:tcPr>
            <w:tcW w:w="2476" w:type="dxa"/>
            <w:shd w:val="clear" w:color="auto" w:fill="auto"/>
            <w:vAlign w:val="center"/>
          </w:tcPr>
          <w:p w14:paraId="705828E1" w14:textId="087CDCEC"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012536A7" w14:textId="33C05476" w:rsidR="003A68B8" w:rsidRPr="00666B7B" w:rsidRDefault="003A68B8" w:rsidP="003A68B8">
            <w:pPr>
              <w:pStyle w:val="TableText"/>
              <w:spacing w:line="276" w:lineRule="auto"/>
              <w:jc w:val="both"/>
              <w:rPr>
                <w:b/>
                <w:lang w:val="en-NZ"/>
              </w:rPr>
            </w:pPr>
            <w:r w:rsidRPr="00666B7B">
              <w:rPr>
                <w:rFonts w:cs="Arial"/>
                <w:b/>
              </w:rPr>
              <w:t>- -</w:t>
            </w:r>
          </w:p>
        </w:tc>
        <w:tc>
          <w:tcPr>
            <w:tcW w:w="2491" w:type="dxa"/>
            <w:shd w:val="clear" w:color="auto" w:fill="auto"/>
            <w:vAlign w:val="center"/>
          </w:tcPr>
          <w:p w14:paraId="0BAE6256" w14:textId="74750117" w:rsidR="003A68B8" w:rsidRPr="00666B7B" w:rsidRDefault="003A68B8" w:rsidP="003A68B8">
            <w:pPr>
              <w:pStyle w:val="TableText"/>
              <w:spacing w:line="276" w:lineRule="auto"/>
              <w:jc w:val="both"/>
              <w:rPr>
                <w:b/>
                <w:lang w:val="en-NZ"/>
              </w:rPr>
            </w:pPr>
            <w:r w:rsidRPr="00666B7B">
              <w:rPr>
                <w:rFonts w:cs="Arial"/>
                <w:b/>
              </w:rPr>
              <w:t xml:space="preserve">- </w:t>
            </w:r>
          </w:p>
        </w:tc>
        <w:tc>
          <w:tcPr>
            <w:tcW w:w="2492" w:type="dxa"/>
            <w:vAlign w:val="center"/>
          </w:tcPr>
          <w:p w14:paraId="3BFF4387" w14:textId="47B7C179" w:rsidR="003A68B8" w:rsidRPr="00666B7B" w:rsidRDefault="003A68B8" w:rsidP="003A68B8">
            <w:pPr>
              <w:pStyle w:val="TableText"/>
              <w:spacing w:line="276" w:lineRule="auto"/>
              <w:jc w:val="both"/>
              <w:rPr>
                <w:b/>
                <w:lang w:val="en-NZ"/>
              </w:rPr>
            </w:pPr>
            <w:r w:rsidRPr="00666B7B">
              <w:rPr>
                <w:rFonts w:cs="Arial"/>
                <w:b/>
              </w:rPr>
              <w:t xml:space="preserve">- </w:t>
            </w:r>
          </w:p>
        </w:tc>
        <w:tc>
          <w:tcPr>
            <w:tcW w:w="2183" w:type="dxa"/>
            <w:vAlign w:val="center"/>
          </w:tcPr>
          <w:p w14:paraId="0BCB352F" w14:textId="2F4B14A7" w:rsidR="003A68B8" w:rsidRPr="00666B7B" w:rsidRDefault="003A68B8" w:rsidP="003A68B8">
            <w:pPr>
              <w:pStyle w:val="TableText"/>
              <w:spacing w:line="276" w:lineRule="auto"/>
              <w:jc w:val="both"/>
              <w:rPr>
                <w:rFonts w:cs="Arial"/>
                <w:b/>
              </w:rPr>
            </w:pPr>
            <w:r w:rsidRPr="00666B7B">
              <w:rPr>
                <w:rFonts w:cs="Arial"/>
                <w:b/>
              </w:rPr>
              <w:t>-</w:t>
            </w:r>
          </w:p>
        </w:tc>
      </w:tr>
      <w:tr w:rsidR="003A68B8" w:rsidRPr="00A864A5" w14:paraId="3ECB9270" w14:textId="08D3FA2C" w:rsidTr="000B7D13">
        <w:trPr>
          <w:trHeight w:val="594"/>
        </w:trPr>
        <w:tc>
          <w:tcPr>
            <w:tcW w:w="2475" w:type="dxa"/>
            <w:shd w:val="clear" w:color="auto" w:fill="99CDDD"/>
            <w:vAlign w:val="center"/>
          </w:tcPr>
          <w:p w14:paraId="037D18D3" w14:textId="1F972EA6" w:rsidR="003A68B8" w:rsidRPr="00C71DA7" w:rsidRDefault="003A68B8" w:rsidP="003A68B8">
            <w:pPr>
              <w:spacing w:before="60" w:after="60" w:line="240" w:lineRule="auto"/>
              <w:rPr>
                <w:rFonts w:cs="Arial"/>
                <w:b/>
                <w:color w:val="000000"/>
                <w:sz w:val="18"/>
                <w:szCs w:val="22"/>
                <w:lang w:val="en-NZ"/>
              </w:rPr>
            </w:pPr>
            <w:r>
              <w:rPr>
                <w:rFonts w:cs="Arial"/>
                <w:b/>
                <w:color w:val="000000"/>
                <w:sz w:val="18"/>
                <w:szCs w:val="22"/>
                <w:lang w:val="en-NZ"/>
              </w:rPr>
              <w:t>Revenue integrity</w:t>
            </w:r>
          </w:p>
        </w:tc>
        <w:tc>
          <w:tcPr>
            <w:tcW w:w="2476" w:type="dxa"/>
            <w:shd w:val="clear" w:color="auto" w:fill="auto"/>
            <w:vAlign w:val="center"/>
          </w:tcPr>
          <w:p w14:paraId="712E1B49" w14:textId="393410EB"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10D9BF0B" w14:textId="3D348D80" w:rsidR="003A68B8" w:rsidRPr="00666B7B" w:rsidRDefault="003A68B8" w:rsidP="003A68B8">
            <w:pPr>
              <w:pStyle w:val="TableText"/>
              <w:spacing w:line="276" w:lineRule="auto"/>
              <w:jc w:val="both"/>
              <w:rPr>
                <w:b/>
                <w:lang w:val="en-NZ"/>
              </w:rPr>
            </w:pPr>
            <w:r w:rsidRPr="00666B7B">
              <w:rPr>
                <w:rFonts w:cs="Arial"/>
                <w:b/>
              </w:rPr>
              <w:t>-</w:t>
            </w:r>
          </w:p>
        </w:tc>
        <w:tc>
          <w:tcPr>
            <w:tcW w:w="2491" w:type="dxa"/>
            <w:shd w:val="clear" w:color="auto" w:fill="auto"/>
            <w:vAlign w:val="center"/>
          </w:tcPr>
          <w:p w14:paraId="0C82B32F" w14:textId="24253042" w:rsidR="003A68B8" w:rsidRPr="00666B7B" w:rsidRDefault="003A68B8" w:rsidP="003A68B8">
            <w:pPr>
              <w:pStyle w:val="TableText"/>
              <w:spacing w:line="276" w:lineRule="auto"/>
              <w:jc w:val="both"/>
              <w:rPr>
                <w:b/>
                <w:lang w:val="en-NZ"/>
              </w:rPr>
            </w:pPr>
            <w:r w:rsidRPr="00666B7B">
              <w:rPr>
                <w:rFonts w:cs="Arial"/>
                <w:b/>
              </w:rPr>
              <w:t>-</w:t>
            </w:r>
          </w:p>
        </w:tc>
        <w:tc>
          <w:tcPr>
            <w:tcW w:w="2492" w:type="dxa"/>
            <w:vAlign w:val="center"/>
          </w:tcPr>
          <w:p w14:paraId="0D20CFAB" w14:textId="41B915C4" w:rsidR="003A68B8" w:rsidRPr="00666B7B" w:rsidRDefault="003A68B8" w:rsidP="003A68B8">
            <w:pPr>
              <w:pStyle w:val="TableText"/>
              <w:spacing w:line="276" w:lineRule="auto"/>
              <w:jc w:val="both"/>
              <w:rPr>
                <w:b/>
                <w:lang w:val="en-NZ"/>
              </w:rPr>
            </w:pPr>
            <w:r w:rsidRPr="00666B7B">
              <w:rPr>
                <w:rFonts w:cs="Arial"/>
                <w:b/>
              </w:rPr>
              <w:t>-</w:t>
            </w:r>
          </w:p>
        </w:tc>
        <w:tc>
          <w:tcPr>
            <w:tcW w:w="2183" w:type="dxa"/>
            <w:vAlign w:val="center"/>
          </w:tcPr>
          <w:p w14:paraId="47311EE2" w14:textId="28DAFF15" w:rsidR="003A68B8" w:rsidRPr="00666B7B" w:rsidRDefault="003A68B8" w:rsidP="003A68B8">
            <w:pPr>
              <w:pStyle w:val="TableText"/>
              <w:spacing w:line="276" w:lineRule="auto"/>
              <w:jc w:val="both"/>
              <w:rPr>
                <w:rFonts w:cs="Arial"/>
                <w:b/>
              </w:rPr>
            </w:pPr>
            <w:r w:rsidRPr="00666B7B">
              <w:rPr>
                <w:rFonts w:cs="Arial"/>
                <w:b/>
              </w:rPr>
              <w:t>-</w:t>
            </w:r>
          </w:p>
        </w:tc>
      </w:tr>
      <w:tr w:rsidR="003A68B8" w:rsidRPr="00A864A5" w14:paraId="169DF5AC" w14:textId="2812F2C2" w:rsidTr="000B7D13">
        <w:trPr>
          <w:trHeight w:val="594"/>
        </w:trPr>
        <w:tc>
          <w:tcPr>
            <w:tcW w:w="2475" w:type="dxa"/>
            <w:shd w:val="clear" w:color="auto" w:fill="99CDDD"/>
            <w:vAlign w:val="center"/>
          </w:tcPr>
          <w:p w14:paraId="6555E368" w14:textId="26AA554C" w:rsidR="003A68B8" w:rsidRPr="00C71DA7" w:rsidRDefault="003A68B8" w:rsidP="003A68B8">
            <w:pPr>
              <w:spacing w:before="60" w:after="60" w:line="240" w:lineRule="auto"/>
              <w:rPr>
                <w:rFonts w:cs="Arial"/>
                <w:b/>
                <w:color w:val="000000"/>
                <w:sz w:val="18"/>
                <w:szCs w:val="22"/>
                <w:lang w:val="en-NZ"/>
              </w:rPr>
            </w:pPr>
            <w:r>
              <w:rPr>
                <w:rFonts w:cs="Arial"/>
                <w:b/>
                <w:color w:val="000000"/>
                <w:sz w:val="18"/>
                <w:szCs w:val="22"/>
                <w:lang w:val="en-NZ"/>
              </w:rPr>
              <w:t>Fiscal impact</w:t>
            </w:r>
          </w:p>
        </w:tc>
        <w:tc>
          <w:tcPr>
            <w:tcW w:w="2476" w:type="dxa"/>
            <w:shd w:val="clear" w:color="auto" w:fill="auto"/>
            <w:vAlign w:val="center"/>
          </w:tcPr>
          <w:p w14:paraId="2B01FF6D" w14:textId="1D79D047"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06B0B418" w14:textId="3AE6B2CE" w:rsidR="003A68B8" w:rsidRPr="00666B7B" w:rsidRDefault="003A68B8" w:rsidP="003A68B8">
            <w:pPr>
              <w:pStyle w:val="TableText"/>
              <w:spacing w:line="276" w:lineRule="auto"/>
              <w:jc w:val="both"/>
              <w:rPr>
                <w:b/>
                <w:lang w:val="en-NZ"/>
              </w:rPr>
            </w:pPr>
            <w:r w:rsidRPr="00666B7B">
              <w:rPr>
                <w:rFonts w:cs="Arial"/>
                <w:b/>
              </w:rPr>
              <w:t xml:space="preserve">++ </w:t>
            </w:r>
          </w:p>
        </w:tc>
        <w:tc>
          <w:tcPr>
            <w:tcW w:w="2491" w:type="dxa"/>
            <w:shd w:val="clear" w:color="auto" w:fill="auto"/>
            <w:vAlign w:val="center"/>
          </w:tcPr>
          <w:p w14:paraId="43F9B8BD" w14:textId="3E3A4651" w:rsidR="003A68B8" w:rsidRPr="00666B7B" w:rsidRDefault="003A68B8" w:rsidP="003A68B8">
            <w:pPr>
              <w:pStyle w:val="TableText"/>
              <w:spacing w:line="276" w:lineRule="auto"/>
              <w:jc w:val="both"/>
              <w:rPr>
                <w:b/>
                <w:lang w:val="en-NZ"/>
              </w:rPr>
            </w:pPr>
            <w:r w:rsidRPr="00666B7B">
              <w:rPr>
                <w:rFonts w:cs="Arial"/>
                <w:b/>
              </w:rPr>
              <w:t xml:space="preserve">+ </w:t>
            </w:r>
          </w:p>
        </w:tc>
        <w:tc>
          <w:tcPr>
            <w:tcW w:w="2492" w:type="dxa"/>
            <w:vAlign w:val="center"/>
          </w:tcPr>
          <w:p w14:paraId="5E30F117" w14:textId="74170686" w:rsidR="003A68B8" w:rsidRPr="00666B7B" w:rsidRDefault="003A68B8" w:rsidP="003A68B8">
            <w:pPr>
              <w:pStyle w:val="TableText"/>
              <w:spacing w:line="276" w:lineRule="auto"/>
              <w:jc w:val="both"/>
              <w:rPr>
                <w:b/>
                <w:lang w:val="en-NZ"/>
              </w:rPr>
            </w:pPr>
            <w:r w:rsidRPr="00666B7B">
              <w:rPr>
                <w:rFonts w:cs="Arial"/>
                <w:b/>
              </w:rPr>
              <w:t xml:space="preserve">+ </w:t>
            </w:r>
          </w:p>
        </w:tc>
        <w:tc>
          <w:tcPr>
            <w:tcW w:w="2183" w:type="dxa"/>
            <w:vAlign w:val="center"/>
          </w:tcPr>
          <w:p w14:paraId="79F7D21E" w14:textId="2BE17BBD" w:rsidR="003A68B8" w:rsidRPr="00666B7B" w:rsidRDefault="00367A39" w:rsidP="003A68B8">
            <w:pPr>
              <w:pStyle w:val="TableText"/>
              <w:spacing w:line="276" w:lineRule="auto"/>
              <w:jc w:val="both"/>
              <w:rPr>
                <w:rFonts w:cs="Arial"/>
                <w:b/>
              </w:rPr>
            </w:pPr>
            <w:r>
              <w:rPr>
                <w:rFonts w:cs="Arial"/>
                <w:b/>
              </w:rPr>
              <w:t>+</w:t>
            </w:r>
            <w:r w:rsidR="00B90122">
              <w:rPr>
                <w:rFonts w:cs="Arial"/>
                <w:b/>
              </w:rPr>
              <w:t xml:space="preserve"> / ++</w:t>
            </w:r>
          </w:p>
        </w:tc>
      </w:tr>
      <w:tr w:rsidR="003A68B8" w:rsidRPr="00A864A5" w14:paraId="4339779D" w14:textId="0F8AE792" w:rsidTr="000B7D13">
        <w:trPr>
          <w:trHeight w:val="594"/>
        </w:trPr>
        <w:tc>
          <w:tcPr>
            <w:tcW w:w="2475" w:type="dxa"/>
            <w:shd w:val="clear" w:color="auto" w:fill="99CDDD"/>
            <w:vAlign w:val="center"/>
          </w:tcPr>
          <w:p w14:paraId="1C4666DD" w14:textId="33DFABDF" w:rsidR="003A68B8" w:rsidRPr="00C71DA7" w:rsidRDefault="003A68B8" w:rsidP="003A68B8">
            <w:pPr>
              <w:spacing w:before="60" w:after="60" w:line="240" w:lineRule="auto"/>
              <w:rPr>
                <w:rFonts w:cs="Arial"/>
                <w:b/>
                <w:color w:val="000000"/>
                <w:sz w:val="18"/>
                <w:szCs w:val="22"/>
                <w:lang w:val="en-NZ"/>
              </w:rPr>
            </w:pPr>
            <w:r>
              <w:rPr>
                <w:rFonts w:cs="Arial"/>
                <w:b/>
                <w:color w:val="000000"/>
                <w:sz w:val="18"/>
                <w:szCs w:val="22"/>
                <w:lang w:val="en-NZ"/>
              </w:rPr>
              <w:t>Compliance and administration costs</w:t>
            </w:r>
          </w:p>
        </w:tc>
        <w:tc>
          <w:tcPr>
            <w:tcW w:w="2476" w:type="dxa"/>
            <w:shd w:val="clear" w:color="auto" w:fill="auto"/>
            <w:vAlign w:val="center"/>
          </w:tcPr>
          <w:p w14:paraId="53E4FF61" w14:textId="65380384"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132616F0" w14:textId="66DCB733" w:rsidR="003A68B8" w:rsidRPr="00666B7B" w:rsidRDefault="003A68B8" w:rsidP="003A68B8">
            <w:pPr>
              <w:pStyle w:val="TableText"/>
              <w:spacing w:line="276" w:lineRule="auto"/>
              <w:jc w:val="both"/>
              <w:rPr>
                <w:b/>
                <w:lang w:val="en-NZ"/>
              </w:rPr>
            </w:pPr>
            <w:r w:rsidRPr="00666B7B">
              <w:rPr>
                <w:rFonts w:cs="Arial"/>
                <w:b/>
              </w:rPr>
              <w:t xml:space="preserve">- </w:t>
            </w:r>
            <w:r>
              <w:rPr>
                <w:rFonts w:cs="Arial"/>
                <w:b/>
              </w:rPr>
              <w:t>-</w:t>
            </w:r>
          </w:p>
        </w:tc>
        <w:tc>
          <w:tcPr>
            <w:tcW w:w="2491" w:type="dxa"/>
            <w:shd w:val="clear" w:color="auto" w:fill="auto"/>
            <w:vAlign w:val="center"/>
          </w:tcPr>
          <w:p w14:paraId="374AC1D7" w14:textId="09367EDC" w:rsidR="003A68B8" w:rsidRPr="00666B7B" w:rsidRDefault="003A68B8" w:rsidP="003A68B8">
            <w:pPr>
              <w:pStyle w:val="TableText"/>
              <w:spacing w:line="276" w:lineRule="auto"/>
              <w:jc w:val="both"/>
              <w:rPr>
                <w:b/>
                <w:lang w:val="en-NZ"/>
              </w:rPr>
            </w:pPr>
            <w:r w:rsidRPr="00666B7B">
              <w:rPr>
                <w:rFonts w:cs="Arial"/>
                <w:b/>
              </w:rPr>
              <w:t>- -</w:t>
            </w:r>
          </w:p>
        </w:tc>
        <w:tc>
          <w:tcPr>
            <w:tcW w:w="2492" w:type="dxa"/>
            <w:vAlign w:val="center"/>
          </w:tcPr>
          <w:p w14:paraId="49FB27FA" w14:textId="0AAD7273" w:rsidR="003A68B8" w:rsidRPr="00666B7B" w:rsidRDefault="003A68B8" w:rsidP="003A68B8">
            <w:pPr>
              <w:pStyle w:val="TableText"/>
              <w:spacing w:line="276" w:lineRule="auto"/>
              <w:jc w:val="both"/>
              <w:rPr>
                <w:b/>
                <w:lang w:val="en-NZ"/>
              </w:rPr>
            </w:pPr>
            <w:r w:rsidRPr="00666B7B">
              <w:rPr>
                <w:rFonts w:cs="Arial"/>
                <w:b/>
              </w:rPr>
              <w:t>- -</w:t>
            </w:r>
          </w:p>
        </w:tc>
        <w:tc>
          <w:tcPr>
            <w:tcW w:w="2183" w:type="dxa"/>
            <w:vAlign w:val="center"/>
          </w:tcPr>
          <w:p w14:paraId="5EE29518" w14:textId="4F3D9276" w:rsidR="003A68B8" w:rsidRPr="00666B7B" w:rsidRDefault="003A68B8" w:rsidP="003A68B8">
            <w:pPr>
              <w:pStyle w:val="TableText"/>
              <w:spacing w:line="276" w:lineRule="auto"/>
              <w:jc w:val="both"/>
              <w:rPr>
                <w:rFonts w:cs="Arial"/>
                <w:b/>
              </w:rPr>
            </w:pPr>
            <w:r w:rsidRPr="00666B7B">
              <w:rPr>
                <w:rFonts w:cs="Arial"/>
                <w:b/>
              </w:rPr>
              <w:t xml:space="preserve">- </w:t>
            </w:r>
            <w:r>
              <w:rPr>
                <w:rFonts w:cs="Arial"/>
                <w:b/>
              </w:rPr>
              <w:t>-</w:t>
            </w:r>
          </w:p>
        </w:tc>
      </w:tr>
      <w:tr w:rsidR="003A68B8" w:rsidRPr="00A864A5" w14:paraId="44C2C6A4" w14:textId="23DF1394" w:rsidTr="000B7D13">
        <w:trPr>
          <w:trHeight w:val="594"/>
        </w:trPr>
        <w:tc>
          <w:tcPr>
            <w:tcW w:w="2475" w:type="dxa"/>
            <w:shd w:val="clear" w:color="auto" w:fill="99CDDD"/>
            <w:vAlign w:val="center"/>
          </w:tcPr>
          <w:p w14:paraId="4375692B" w14:textId="38615168" w:rsidR="003A68B8" w:rsidRPr="00C71DA7" w:rsidRDefault="003A68B8" w:rsidP="003A68B8">
            <w:pPr>
              <w:spacing w:before="60" w:after="60" w:line="240" w:lineRule="auto"/>
              <w:rPr>
                <w:rFonts w:cs="Arial"/>
                <w:b/>
                <w:color w:val="000000"/>
                <w:sz w:val="18"/>
                <w:szCs w:val="22"/>
                <w:lang w:val="en-NZ"/>
              </w:rPr>
            </w:pPr>
            <w:r>
              <w:rPr>
                <w:rFonts w:cs="Arial"/>
                <w:b/>
                <w:color w:val="000000"/>
                <w:sz w:val="18"/>
                <w:szCs w:val="22"/>
                <w:lang w:val="en-NZ"/>
              </w:rPr>
              <w:t>Coherence</w:t>
            </w:r>
          </w:p>
        </w:tc>
        <w:tc>
          <w:tcPr>
            <w:tcW w:w="2476" w:type="dxa"/>
            <w:shd w:val="clear" w:color="auto" w:fill="auto"/>
            <w:vAlign w:val="center"/>
          </w:tcPr>
          <w:p w14:paraId="0A5081D9" w14:textId="30EBC2FC"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4D921289" w14:textId="658253E4" w:rsidR="003A68B8" w:rsidRPr="00666B7B" w:rsidRDefault="003A68B8" w:rsidP="003A68B8">
            <w:pPr>
              <w:pStyle w:val="TableText"/>
              <w:spacing w:line="276" w:lineRule="auto"/>
              <w:jc w:val="both"/>
              <w:rPr>
                <w:b/>
                <w:lang w:val="en-NZ"/>
              </w:rPr>
            </w:pPr>
            <w:r w:rsidRPr="00666B7B">
              <w:rPr>
                <w:rFonts w:cs="Arial"/>
                <w:b/>
              </w:rPr>
              <w:t>- -</w:t>
            </w:r>
          </w:p>
        </w:tc>
        <w:tc>
          <w:tcPr>
            <w:tcW w:w="2491" w:type="dxa"/>
            <w:shd w:val="clear" w:color="auto" w:fill="auto"/>
            <w:vAlign w:val="center"/>
          </w:tcPr>
          <w:p w14:paraId="77DDEE27" w14:textId="3B0C65EB" w:rsidR="003A68B8" w:rsidRPr="00666B7B" w:rsidRDefault="003A68B8" w:rsidP="003A68B8">
            <w:pPr>
              <w:pStyle w:val="TableText"/>
              <w:spacing w:line="276" w:lineRule="auto"/>
              <w:jc w:val="both"/>
              <w:rPr>
                <w:b/>
                <w:lang w:val="en-NZ"/>
              </w:rPr>
            </w:pPr>
            <w:r w:rsidRPr="00666B7B">
              <w:rPr>
                <w:rFonts w:cs="Arial"/>
                <w:b/>
              </w:rPr>
              <w:t>- -</w:t>
            </w:r>
          </w:p>
        </w:tc>
        <w:tc>
          <w:tcPr>
            <w:tcW w:w="2492" w:type="dxa"/>
            <w:vAlign w:val="center"/>
          </w:tcPr>
          <w:p w14:paraId="18064CF3" w14:textId="080E1AC0" w:rsidR="003A68B8" w:rsidRPr="00666B7B" w:rsidRDefault="003A68B8" w:rsidP="003A68B8">
            <w:pPr>
              <w:pStyle w:val="TableText"/>
              <w:spacing w:line="276" w:lineRule="auto"/>
              <w:jc w:val="both"/>
              <w:rPr>
                <w:b/>
                <w:lang w:val="en-NZ"/>
              </w:rPr>
            </w:pPr>
            <w:r w:rsidRPr="00666B7B">
              <w:rPr>
                <w:rFonts w:cs="Arial"/>
                <w:b/>
              </w:rPr>
              <w:t>-</w:t>
            </w:r>
            <w:r w:rsidR="00DC78EC">
              <w:rPr>
                <w:rFonts w:cs="Arial"/>
                <w:b/>
              </w:rPr>
              <w:t xml:space="preserve"> </w:t>
            </w:r>
            <w:r w:rsidR="00802EEE">
              <w:rPr>
                <w:rFonts w:cs="Arial"/>
                <w:b/>
              </w:rPr>
              <w:t xml:space="preserve">/ - </w:t>
            </w:r>
            <w:r w:rsidR="00DC78EC">
              <w:rPr>
                <w:rFonts w:cs="Arial"/>
                <w:b/>
              </w:rPr>
              <w:t xml:space="preserve">- </w:t>
            </w:r>
          </w:p>
        </w:tc>
        <w:tc>
          <w:tcPr>
            <w:tcW w:w="2183" w:type="dxa"/>
            <w:vAlign w:val="center"/>
          </w:tcPr>
          <w:p w14:paraId="3FFECFBC" w14:textId="7937248F" w:rsidR="003A68B8" w:rsidRPr="00666B7B" w:rsidRDefault="003A68B8" w:rsidP="003A68B8">
            <w:pPr>
              <w:pStyle w:val="TableText"/>
              <w:spacing w:line="276" w:lineRule="auto"/>
              <w:jc w:val="both"/>
              <w:rPr>
                <w:rFonts w:cs="Arial"/>
                <w:b/>
              </w:rPr>
            </w:pPr>
            <w:r w:rsidRPr="00666B7B">
              <w:rPr>
                <w:rFonts w:cs="Arial"/>
                <w:b/>
              </w:rPr>
              <w:t xml:space="preserve">- </w:t>
            </w:r>
            <w:r w:rsidR="00802EEE">
              <w:rPr>
                <w:rFonts w:cs="Arial"/>
                <w:b/>
              </w:rPr>
              <w:t xml:space="preserve">/ - </w:t>
            </w:r>
            <w:r w:rsidRPr="00666B7B">
              <w:rPr>
                <w:rFonts w:cs="Arial"/>
                <w:b/>
              </w:rPr>
              <w:t>-</w:t>
            </w:r>
          </w:p>
        </w:tc>
      </w:tr>
      <w:tr w:rsidR="003A68B8" w:rsidRPr="00A864A5" w14:paraId="610535B6" w14:textId="5F80E916" w:rsidTr="000B7D13">
        <w:trPr>
          <w:trHeight w:val="584"/>
        </w:trPr>
        <w:tc>
          <w:tcPr>
            <w:tcW w:w="2475" w:type="dxa"/>
            <w:shd w:val="clear" w:color="auto" w:fill="99CDDD"/>
            <w:vAlign w:val="center"/>
          </w:tcPr>
          <w:p w14:paraId="4CEBFF80" w14:textId="77777777" w:rsidR="003A68B8" w:rsidRPr="004873D9" w:rsidRDefault="003A68B8" w:rsidP="003A68B8">
            <w:pPr>
              <w:spacing w:before="60" w:after="60" w:line="240" w:lineRule="auto"/>
              <w:rPr>
                <w:rFonts w:cs="Arial"/>
                <w:b/>
                <w:color w:val="000000"/>
                <w:sz w:val="18"/>
                <w:szCs w:val="22"/>
                <w:lang w:val="en-NZ"/>
              </w:rPr>
            </w:pPr>
            <w:r w:rsidRPr="004873D9">
              <w:rPr>
                <w:rFonts w:cs="Arial"/>
                <w:b/>
                <w:color w:val="000000"/>
                <w:sz w:val="18"/>
                <w:szCs w:val="22"/>
                <w:lang w:val="en-NZ"/>
              </w:rPr>
              <w:t>Overall assessment</w:t>
            </w:r>
          </w:p>
        </w:tc>
        <w:tc>
          <w:tcPr>
            <w:tcW w:w="2476" w:type="dxa"/>
            <w:shd w:val="clear" w:color="auto" w:fill="auto"/>
            <w:vAlign w:val="center"/>
          </w:tcPr>
          <w:p w14:paraId="14B5A9EB" w14:textId="6B4DDA97" w:rsidR="003A68B8" w:rsidRPr="00666B7B" w:rsidRDefault="003A68B8" w:rsidP="003A68B8">
            <w:pPr>
              <w:pStyle w:val="TableText"/>
              <w:spacing w:line="276" w:lineRule="auto"/>
              <w:jc w:val="both"/>
              <w:rPr>
                <w:b/>
                <w:lang w:val="en-NZ"/>
              </w:rPr>
            </w:pPr>
            <w:r w:rsidRPr="00666B7B">
              <w:rPr>
                <w:b/>
                <w:lang w:val="en-NZ"/>
              </w:rPr>
              <w:t>0</w:t>
            </w:r>
          </w:p>
        </w:tc>
        <w:tc>
          <w:tcPr>
            <w:tcW w:w="2477" w:type="dxa"/>
            <w:shd w:val="clear" w:color="auto" w:fill="auto"/>
            <w:vAlign w:val="center"/>
          </w:tcPr>
          <w:p w14:paraId="18445CBD" w14:textId="54B1C528" w:rsidR="003A68B8" w:rsidRPr="00666B7B" w:rsidRDefault="003A68B8" w:rsidP="003A68B8">
            <w:pPr>
              <w:pStyle w:val="TableText"/>
              <w:spacing w:line="276" w:lineRule="auto"/>
              <w:jc w:val="both"/>
              <w:rPr>
                <w:b/>
                <w:lang w:val="en-NZ"/>
              </w:rPr>
            </w:pPr>
            <w:r w:rsidRPr="00666B7B">
              <w:rPr>
                <w:b/>
                <w:lang w:val="en-NZ"/>
              </w:rPr>
              <w:t>-</w:t>
            </w:r>
          </w:p>
        </w:tc>
        <w:tc>
          <w:tcPr>
            <w:tcW w:w="2491" w:type="dxa"/>
            <w:shd w:val="clear" w:color="auto" w:fill="auto"/>
            <w:vAlign w:val="center"/>
          </w:tcPr>
          <w:p w14:paraId="11A67343" w14:textId="6F860B02" w:rsidR="003A68B8" w:rsidRPr="00666B7B" w:rsidRDefault="003A68B8" w:rsidP="003A68B8">
            <w:pPr>
              <w:pStyle w:val="TableText"/>
              <w:spacing w:line="276" w:lineRule="auto"/>
              <w:jc w:val="both"/>
              <w:rPr>
                <w:b/>
                <w:lang w:val="en-NZ"/>
              </w:rPr>
            </w:pPr>
            <w:r w:rsidRPr="00666B7B">
              <w:rPr>
                <w:b/>
                <w:lang w:val="en-NZ"/>
              </w:rPr>
              <w:t xml:space="preserve">- </w:t>
            </w:r>
          </w:p>
        </w:tc>
        <w:tc>
          <w:tcPr>
            <w:tcW w:w="2492" w:type="dxa"/>
            <w:vAlign w:val="center"/>
          </w:tcPr>
          <w:p w14:paraId="4F438E13" w14:textId="04613395" w:rsidR="003A68B8" w:rsidRPr="00666B7B" w:rsidRDefault="003A68B8" w:rsidP="00367A39">
            <w:pPr>
              <w:pStyle w:val="TableText"/>
              <w:spacing w:line="276" w:lineRule="auto"/>
              <w:rPr>
                <w:b/>
                <w:lang w:val="en-NZ"/>
              </w:rPr>
            </w:pPr>
            <w:r w:rsidRPr="00666B7B">
              <w:rPr>
                <w:b/>
                <w:lang w:val="en-NZ"/>
              </w:rPr>
              <w:t>-</w:t>
            </w:r>
          </w:p>
        </w:tc>
        <w:tc>
          <w:tcPr>
            <w:tcW w:w="2183" w:type="dxa"/>
            <w:vAlign w:val="center"/>
          </w:tcPr>
          <w:p w14:paraId="6F7ADC36" w14:textId="16CD8439" w:rsidR="003A68B8" w:rsidRPr="00666B7B" w:rsidRDefault="003A68B8" w:rsidP="003A68B8">
            <w:pPr>
              <w:pStyle w:val="TableText"/>
              <w:spacing w:line="276" w:lineRule="auto"/>
              <w:jc w:val="both"/>
              <w:rPr>
                <w:b/>
                <w:lang w:val="en-NZ"/>
              </w:rPr>
            </w:pPr>
            <w:r w:rsidRPr="00666B7B">
              <w:rPr>
                <w:b/>
                <w:lang w:val="en-NZ"/>
              </w:rPr>
              <w:t>-</w:t>
            </w:r>
          </w:p>
        </w:tc>
      </w:tr>
    </w:tbl>
    <w:p w14:paraId="1FEA8154" w14:textId="1D2AFA04" w:rsidR="00D71CE0" w:rsidRDefault="00D71CE0" w:rsidP="00273FD3">
      <w:pPr>
        <w:pStyle w:val="spacer"/>
        <w:jc w:val="both"/>
        <w:rPr>
          <w:sz w:val="8"/>
          <w:szCs w:val="14"/>
          <w:lang w:val="en-NZ"/>
        </w:rPr>
      </w:pPr>
    </w:p>
    <w:p w14:paraId="14C632DD" w14:textId="1803AA6D" w:rsidR="00F11CA6" w:rsidRPr="00A864A5" w:rsidRDefault="00F11CA6" w:rsidP="00273FD3">
      <w:pPr>
        <w:pStyle w:val="spacer"/>
        <w:jc w:val="both"/>
        <w:rPr>
          <w:sz w:val="8"/>
          <w:szCs w:val="14"/>
          <w:lang w:val="en-NZ"/>
        </w:rPr>
      </w:pPr>
    </w:p>
    <w:p w14:paraId="1CAF88F7" w14:textId="77777777" w:rsidR="002159B9" w:rsidRDefault="002159B9" w:rsidP="00273FD3">
      <w:pPr>
        <w:pStyle w:val="Heading3"/>
        <w:jc w:val="both"/>
        <w:rPr>
          <w:noProof/>
          <w:lang w:val="en-NZ" w:eastAsia="en-NZ"/>
        </w:rPr>
        <w:sectPr w:rsidR="002159B9" w:rsidSect="00D71CE0">
          <w:pgSz w:w="16838" w:h="11906" w:orient="landscape" w:code="9"/>
          <w:pgMar w:top="1418" w:right="1134" w:bottom="1418" w:left="992" w:header="709" w:footer="709" w:gutter="0"/>
          <w:cols w:space="708"/>
          <w:docGrid w:linePitch="360"/>
        </w:sectPr>
      </w:pPr>
    </w:p>
    <w:p w14:paraId="0A8D3328" w14:textId="3E75F369" w:rsidR="002159B9" w:rsidRDefault="002159B9" w:rsidP="00273FD3">
      <w:pPr>
        <w:pStyle w:val="Heading3"/>
        <w:jc w:val="both"/>
        <w:rPr>
          <w:noProof/>
          <w:lang w:val="en-NZ" w:eastAsia="en-NZ"/>
        </w:rPr>
      </w:pPr>
    </w:p>
    <w:p w14:paraId="678847D0" w14:textId="77777777" w:rsidR="002159B9" w:rsidRDefault="00305A0C" w:rsidP="00273FD3">
      <w:pPr>
        <w:pStyle w:val="Heading3"/>
        <w:jc w:val="both"/>
        <w:rPr>
          <w:noProof/>
          <w:lang w:val="en-NZ" w:eastAsia="en-NZ"/>
        </w:rPr>
      </w:pPr>
      <w:r w:rsidRPr="00A864A5">
        <w:rPr>
          <w:noProof/>
          <w:lang w:val="en-NZ" w:eastAsia="en-NZ"/>
        </w:rPr>
        <mc:AlternateContent>
          <mc:Choice Requires="wps">
            <w:drawing>
              <wp:inline distT="0" distB="0" distL="0" distR="0" wp14:anchorId="66D76EFA" wp14:editId="0BDEC815">
                <wp:extent cx="5760720" cy="1508760"/>
                <wp:effectExtent l="0" t="0" r="11430" b="152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08760"/>
                        </a:xfrm>
                        <a:prstGeom prst="rect">
                          <a:avLst/>
                        </a:prstGeom>
                        <a:noFill/>
                        <a:ln w="9525">
                          <a:solidFill>
                            <a:srgbClr val="000000"/>
                          </a:solidFill>
                          <a:miter lim="800000"/>
                          <a:headEnd/>
                          <a:tailEnd/>
                        </a:ln>
                        <a:effectLst/>
                      </wps:spPr>
                      <wps:txbx>
                        <w:txbxContent>
                          <w:p w14:paraId="1CD50E0D" w14:textId="625995CE" w:rsidR="00BD5FE4" w:rsidRPr="00A864A5" w:rsidRDefault="00BD5FE4" w:rsidP="00846C56">
                            <w:pPr>
                              <w:spacing w:after="120" w:line="276" w:lineRule="auto"/>
                              <w:rPr>
                                <w:rFonts w:cs="Arial"/>
                                <w:b/>
                                <w:sz w:val="20"/>
                              </w:rPr>
                            </w:pPr>
                            <w:r w:rsidRPr="00A864A5">
                              <w:rPr>
                                <w:rFonts w:cs="Arial"/>
                                <w:b/>
                                <w:sz w:val="20"/>
                              </w:rPr>
                              <w:t>Example key for qualitative judgements:</w:t>
                            </w:r>
                          </w:p>
                          <w:p w14:paraId="3488C3D8" w14:textId="272FEC9D" w:rsidR="00BD5FE4" w:rsidRPr="00A864A5" w:rsidRDefault="00BD5FE4"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7DCDF501" w14:textId="31C08327" w:rsidR="00BD5FE4" w:rsidRPr="00A864A5" w:rsidRDefault="00BD5FE4"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613D28C3" w14:textId="69C9BAD3" w:rsidR="00BD5FE4" w:rsidRPr="00A864A5" w:rsidRDefault="00BD5FE4"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0251B55C" w14:textId="365659B8" w:rsidR="00BD5FE4" w:rsidRPr="00A864A5" w:rsidRDefault="00BD5FE4"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13A728D9" w14:textId="05F7BAAA" w:rsidR="00BD5FE4" w:rsidRPr="0049467D" w:rsidRDefault="00BD5FE4"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5C384372" w14:textId="77777777" w:rsidR="00BD5FE4" w:rsidRPr="00D90DE0" w:rsidRDefault="00BD5FE4" w:rsidP="00846C56">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inline>
            </w:drawing>
          </mc:Choice>
          <mc:Fallback>
            <w:pict>
              <v:shapetype w14:anchorId="66D76EFA" id="_x0000_t202" coordsize="21600,21600" o:spt="202" path="m,l,21600r21600,l21600,xe">
                <v:stroke joinstyle="miter"/>
                <v:path gradientshapeok="t" o:connecttype="rect"/>
              </v:shapetype>
              <v:shape id="Text Box 2" o:spid="_x0000_s1026" type="#_x0000_t202" style="width:453.6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" filled="f">
                <v:textbox>
                  <w:txbxContent>
                    <w:p w14:paraId="1CD50E0D" w14:textId="625995CE" w:rsidR="00BD5FE4" w:rsidRPr="00A864A5" w:rsidRDefault="00BD5FE4" w:rsidP="00846C56">
                      <w:pPr>
                        <w:spacing w:after="120" w:line="276" w:lineRule="auto"/>
                        <w:rPr>
                          <w:rFonts w:cs="Arial"/>
                          <w:b/>
                          <w:sz w:val="20"/>
                        </w:rPr>
                      </w:pPr>
                      <w:r w:rsidRPr="00A864A5">
                        <w:rPr>
                          <w:rFonts w:cs="Arial"/>
                          <w:b/>
                          <w:sz w:val="20"/>
                        </w:rPr>
                        <w:t>Example key for qualitative judgements:</w:t>
                      </w:r>
                    </w:p>
                    <w:p w14:paraId="3488C3D8" w14:textId="272FEC9D" w:rsidR="00BD5FE4" w:rsidRPr="00A864A5" w:rsidRDefault="00BD5FE4"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7DCDF501" w14:textId="31C08327" w:rsidR="00BD5FE4" w:rsidRPr="00A864A5" w:rsidRDefault="00BD5FE4"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613D28C3" w14:textId="69C9BAD3" w:rsidR="00BD5FE4" w:rsidRPr="00A864A5" w:rsidRDefault="00BD5FE4"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0251B55C" w14:textId="365659B8" w:rsidR="00BD5FE4" w:rsidRPr="00A864A5" w:rsidRDefault="00BD5FE4"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13A728D9" w14:textId="05F7BAAA" w:rsidR="00BD5FE4" w:rsidRPr="0049467D" w:rsidRDefault="00BD5FE4"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5C384372" w14:textId="77777777" w:rsidR="00BD5FE4" w:rsidRPr="00D90DE0" w:rsidRDefault="00BD5FE4" w:rsidP="00846C56">
                      <w:pPr>
                        <w:pStyle w:val="Bullet-list"/>
                        <w:numPr>
                          <w:ilvl w:val="0"/>
                          <w:numId w:val="0"/>
                        </w:numPr>
                        <w:spacing w:after="120"/>
                        <w:rPr>
                          <w:i/>
                          <w:iCs/>
                        </w:rPr>
                      </w:pPr>
                    </w:p>
                  </w:txbxContent>
                </v:textbox>
                <w10:anchorlock/>
              </v:shape>
            </w:pict>
          </mc:Fallback>
        </mc:AlternateContent>
      </w:r>
    </w:p>
    <w:p w14:paraId="156E57E7" w14:textId="459E5DFB" w:rsidR="00D71CE0" w:rsidRPr="00A864A5" w:rsidRDefault="00DB51CD" w:rsidP="00273FD3">
      <w:pPr>
        <w:pStyle w:val="Heading3"/>
        <w:jc w:val="both"/>
        <w:rPr>
          <w:noProof/>
          <w:lang w:val="en-NZ" w:eastAsia="en-NZ"/>
        </w:rPr>
      </w:pPr>
      <w:r>
        <w:rPr>
          <w:noProof/>
          <w:lang w:val="en-NZ" w:eastAsia="en-NZ"/>
        </w:rPr>
        <w:t xml:space="preserve">What </w:t>
      </w:r>
      <w:r w:rsidR="007336C9">
        <w:rPr>
          <w:noProof/>
          <w:lang w:val="en-NZ" w:eastAsia="en-NZ"/>
        </w:rPr>
        <w:t>optio</w:t>
      </w:r>
      <w:r w:rsidR="005F41A2">
        <w:rPr>
          <w:noProof/>
          <w:lang w:val="en-NZ" w:eastAsia="en-NZ"/>
        </w:rPr>
        <w:t>n is likely to best address the problem, meet the policy objectives, and deliver the highest net benefits</w:t>
      </w:r>
      <w:r>
        <w:rPr>
          <w:noProof/>
          <w:lang w:val="en-NZ" w:eastAsia="en-NZ"/>
        </w:rPr>
        <w:t>?</w:t>
      </w:r>
    </w:p>
    <w:p w14:paraId="4D797C89" w14:textId="3B9ACE9B" w:rsidR="00515521" w:rsidRPr="00515521" w:rsidRDefault="00027347" w:rsidP="00A73973">
      <w:pPr>
        <w:pStyle w:val="ListParagraph"/>
        <w:numPr>
          <w:ilvl w:val="0"/>
          <w:numId w:val="39"/>
        </w:numPr>
        <w:ind w:left="930" w:hanging="646"/>
        <w:jc w:val="both"/>
        <w:rPr>
          <w:lang w:val="en-NZ" w:eastAsia="en-NZ"/>
        </w:rPr>
      </w:pPr>
      <w:r>
        <w:rPr>
          <w:lang w:val="en-NZ" w:eastAsia="en-NZ"/>
        </w:rPr>
        <w:t>Inland Revenue considers retaining the status quo to be the most desirable option</w:t>
      </w:r>
      <w:r w:rsidR="00AD5B37">
        <w:rPr>
          <w:lang w:val="en-NZ" w:eastAsia="en-NZ"/>
        </w:rPr>
        <w:t xml:space="preserve">. </w:t>
      </w:r>
      <w:r w:rsidR="00305868">
        <w:rPr>
          <w:lang w:val="en-NZ" w:eastAsia="en-NZ"/>
        </w:rPr>
        <w:t>While the status quo does not</w:t>
      </w:r>
      <w:r w:rsidR="00794994">
        <w:rPr>
          <w:lang w:val="en-NZ" w:eastAsia="en-NZ"/>
        </w:rPr>
        <w:t xml:space="preserve"> improve housing affordability for first-home buyers</w:t>
      </w:r>
      <w:r w:rsidR="00305868">
        <w:rPr>
          <w:lang w:val="en-NZ" w:eastAsia="en-NZ"/>
        </w:rPr>
        <w:t xml:space="preserve">, on balance </w:t>
      </w:r>
      <w:r w:rsidR="00C01E90">
        <w:rPr>
          <w:lang w:val="en-NZ" w:eastAsia="en-NZ"/>
        </w:rPr>
        <w:t xml:space="preserve">Inland Revenue considers that </w:t>
      </w:r>
      <w:r w:rsidR="003973EB">
        <w:rPr>
          <w:lang w:val="en-NZ" w:eastAsia="en-NZ"/>
        </w:rPr>
        <w:t xml:space="preserve">the detriment </w:t>
      </w:r>
      <w:r w:rsidR="00C01E90">
        <w:rPr>
          <w:lang w:val="en-NZ" w:eastAsia="en-NZ"/>
        </w:rPr>
        <w:t xml:space="preserve">produced </w:t>
      </w:r>
      <w:r w:rsidR="003973EB">
        <w:rPr>
          <w:lang w:val="en-NZ" w:eastAsia="en-NZ"/>
        </w:rPr>
        <w:t xml:space="preserve">from all </w:t>
      </w:r>
      <w:r w:rsidR="009D0347">
        <w:rPr>
          <w:lang w:val="en-NZ" w:eastAsia="en-NZ"/>
        </w:rPr>
        <w:t xml:space="preserve">four </w:t>
      </w:r>
      <w:r w:rsidR="003973EB">
        <w:rPr>
          <w:lang w:val="en-NZ" w:eastAsia="en-NZ"/>
        </w:rPr>
        <w:t xml:space="preserve">options </w:t>
      </w:r>
      <w:r w:rsidR="000068AB">
        <w:rPr>
          <w:lang w:val="en-NZ" w:eastAsia="en-NZ"/>
        </w:rPr>
        <w:t>is too great</w:t>
      </w:r>
      <w:r w:rsidR="002025EB">
        <w:rPr>
          <w:lang w:val="en-NZ" w:eastAsia="en-NZ"/>
        </w:rPr>
        <w:t>.</w:t>
      </w:r>
      <w:r w:rsidR="003973EB">
        <w:rPr>
          <w:lang w:val="en-NZ" w:eastAsia="en-NZ"/>
        </w:rPr>
        <w:t xml:space="preserve"> </w:t>
      </w:r>
      <w:r w:rsidR="00C119AE">
        <w:rPr>
          <w:lang w:val="en-NZ" w:eastAsia="en-NZ"/>
        </w:rPr>
        <w:t xml:space="preserve">For </w:t>
      </w:r>
      <w:r w:rsidR="00297735">
        <w:rPr>
          <w:lang w:val="en-NZ" w:eastAsia="en-NZ"/>
        </w:rPr>
        <w:t xml:space="preserve">all </w:t>
      </w:r>
      <w:r w:rsidR="009D0347">
        <w:rPr>
          <w:lang w:val="en-NZ" w:eastAsia="en-NZ"/>
        </w:rPr>
        <w:t>four</w:t>
      </w:r>
      <w:r w:rsidR="00C119AE">
        <w:rPr>
          <w:lang w:val="en-NZ" w:eastAsia="en-NZ"/>
        </w:rPr>
        <w:t xml:space="preserve"> options, </w:t>
      </w:r>
      <w:r w:rsidR="00C003D6">
        <w:rPr>
          <w:lang w:val="en-NZ" w:eastAsia="en-NZ"/>
        </w:rPr>
        <w:t xml:space="preserve">the compliance </w:t>
      </w:r>
      <w:r w:rsidR="00297735">
        <w:rPr>
          <w:lang w:val="en-NZ" w:eastAsia="en-NZ"/>
        </w:rPr>
        <w:t xml:space="preserve">and administration </w:t>
      </w:r>
      <w:r w:rsidR="00C003D6">
        <w:rPr>
          <w:lang w:val="en-NZ" w:eastAsia="en-NZ"/>
        </w:rPr>
        <w:t xml:space="preserve">costs </w:t>
      </w:r>
      <w:r w:rsidR="00794994">
        <w:rPr>
          <w:lang w:val="en-NZ" w:eastAsia="en-NZ"/>
        </w:rPr>
        <w:t xml:space="preserve">for </w:t>
      </w:r>
      <w:r w:rsidR="00C003D6">
        <w:rPr>
          <w:lang w:val="en-NZ" w:eastAsia="en-NZ"/>
        </w:rPr>
        <w:t>an expected 2</w:t>
      </w:r>
      <w:r w:rsidR="00A57ADD">
        <w:rPr>
          <w:lang w:val="en-NZ" w:eastAsia="en-NZ"/>
        </w:rPr>
        <w:t>5</w:t>
      </w:r>
      <w:r w:rsidR="00C003D6">
        <w:rPr>
          <w:lang w:val="en-NZ" w:eastAsia="en-NZ"/>
        </w:rPr>
        <w:t>0,000 taxpayers</w:t>
      </w:r>
      <w:r w:rsidR="00A15B55">
        <w:rPr>
          <w:lang w:val="en-NZ" w:eastAsia="en-NZ"/>
        </w:rPr>
        <w:t xml:space="preserve">, the </w:t>
      </w:r>
      <w:r w:rsidR="00794994">
        <w:rPr>
          <w:lang w:val="en-NZ" w:eastAsia="en-NZ"/>
        </w:rPr>
        <w:t>decreas</w:t>
      </w:r>
      <w:r w:rsidR="00A15B55">
        <w:rPr>
          <w:lang w:val="en-NZ" w:eastAsia="en-NZ"/>
        </w:rPr>
        <w:t>e</w:t>
      </w:r>
      <w:r w:rsidR="00794994">
        <w:rPr>
          <w:lang w:val="en-NZ" w:eastAsia="en-NZ"/>
        </w:rPr>
        <w:t xml:space="preserve"> </w:t>
      </w:r>
      <w:r w:rsidR="00A15B55">
        <w:rPr>
          <w:lang w:val="en-NZ" w:eastAsia="en-NZ"/>
        </w:rPr>
        <w:t xml:space="preserve">in </w:t>
      </w:r>
      <w:r w:rsidR="00794994">
        <w:rPr>
          <w:lang w:val="en-NZ" w:eastAsia="en-NZ"/>
        </w:rPr>
        <w:t>housing affordability for renters</w:t>
      </w:r>
      <w:r w:rsidR="00C01E90">
        <w:rPr>
          <w:lang w:val="en-NZ" w:eastAsia="en-NZ"/>
        </w:rPr>
        <w:t xml:space="preserve">, </w:t>
      </w:r>
      <w:r w:rsidR="00A15B55">
        <w:rPr>
          <w:lang w:val="en-NZ" w:eastAsia="en-NZ"/>
        </w:rPr>
        <w:t xml:space="preserve">and the </w:t>
      </w:r>
      <w:r w:rsidR="00C119AE">
        <w:rPr>
          <w:lang w:val="en-NZ" w:eastAsia="en-NZ"/>
        </w:rPr>
        <w:t xml:space="preserve">erosion of the </w:t>
      </w:r>
      <w:r w:rsidR="00794994">
        <w:rPr>
          <w:lang w:val="en-NZ" w:eastAsia="en-NZ"/>
        </w:rPr>
        <w:t>coherence of the tax system</w:t>
      </w:r>
      <w:r w:rsidR="00C119AE">
        <w:rPr>
          <w:lang w:val="en-NZ" w:eastAsia="en-NZ"/>
        </w:rPr>
        <w:t xml:space="preserve"> </w:t>
      </w:r>
      <w:r w:rsidR="003973EB">
        <w:rPr>
          <w:lang w:val="en-NZ" w:eastAsia="en-NZ"/>
        </w:rPr>
        <w:t>outweigh the</w:t>
      </w:r>
      <w:r w:rsidR="009F7DCA">
        <w:rPr>
          <w:lang w:val="en-NZ" w:eastAsia="en-NZ"/>
        </w:rPr>
        <w:t xml:space="preserve"> relative increase</w:t>
      </w:r>
      <w:r w:rsidR="0034413A">
        <w:rPr>
          <w:lang w:val="en-NZ" w:eastAsia="en-NZ"/>
        </w:rPr>
        <w:t xml:space="preserve"> in </w:t>
      </w:r>
      <w:r w:rsidR="00C01E90">
        <w:rPr>
          <w:lang w:val="en-NZ" w:eastAsia="en-NZ"/>
        </w:rPr>
        <w:t xml:space="preserve">housing </w:t>
      </w:r>
      <w:r w:rsidR="0034413A">
        <w:rPr>
          <w:lang w:val="en-NZ" w:eastAsia="en-NZ"/>
        </w:rPr>
        <w:t>affordability</w:t>
      </w:r>
      <w:r w:rsidR="009F7DCA">
        <w:rPr>
          <w:lang w:val="en-NZ" w:eastAsia="en-NZ"/>
        </w:rPr>
        <w:t xml:space="preserve"> </w:t>
      </w:r>
      <w:r w:rsidR="00C01E90">
        <w:rPr>
          <w:lang w:val="en-NZ" w:eastAsia="en-NZ"/>
        </w:rPr>
        <w:t>for first</w:t>
      </w:r>
      <w:r w:rsidR="00D61224">
        <w:rPr>
          <w:lang w:val="en-NZ" w:eastAsia="en-NZ"/>
        </w:rPr>
        <w:t>-</w:t>
      </w:r>
      <w:r w:rsidR="00C01E90">
        <w:rPr>
          <w:lang w:val="en-NZ" w:eastAsia="en-NZ"/>
        </w:rPr>
        <w:t>home buyers</w:t>
      </w:r>
      <w:r w:rsidR="009F7DCA">
        <w:rPr>
          <w:lang w:val="en-NZ" w:eastAsia="en-NZ"/>
        </w:rPr>
        <w:t xml:space="preserve">. </w:t>
      </w:r>
      <w:r w:rsidR="00515521" w:rsidRPr="00515521">
        <w:rPr>
          <w:lang w:val="en-NZ" w:eastAsia="en-NZ"/>
        </w:rPr>
        <w:t xml:space="preserve">Limiting interest deductibility </w:t>
      </w:r>
      <w:r w:rsidR="001C4E63">
        <w:rPr>
          <w:lang w:val="en-NZ" w:eastAsia="en-NZ"/>
        </w:rPr>
        <w:t>will be</w:t>
      </w:r>
      <w:r w:rsidR="00515521" w:rsidRPr="00515521">
        <w:rPr>
          <w:lang w:val="en-NZ" w:eastAsia="en-NZ"/>
        </w:rPr>
        <w:t xml:space="preserve"> complex</w:t>
      </w:r>
      <w:r w:rsidR="00966A80">
        <w:rPr>
          <w:lang w:val="en-NZ" w:eastAsia="en-NZ"/>
        </w:rPr>
        <w:t xml:space="preserve"> </w:t>
      </w:r>
      <w:r w:rsidR="00077704">
        <w:rPr>
          <w:lang w:val="en-NZ" w:eastAsia="en-NZ"/>
        </w:rPr>
        <w:t xml:space="preserve">and </w:t>
      </w:r>
      <w:r w:rsidR="00544CAB">
        <w:rPr>
          <w:lang w:val="en-NZ" w:eastAsia="en-NZ"/>
        </w:rPr>
        <w:t>raise fairness concerns</w:t>
      </w:r>
      <w:r w:rsidR="00C01E90">
        <w:rPr>
          <w:lang w:val="en-NZ" w:eastAsia="en-NZ"/>
        </w:rPr>
        <w:t xml:space="preserve"> for </w:t>
      </w:r>
      <w:r w:rsidR="0020414D">
        <w:rPr>
          <w:lang w:val="en-NZ" w:eastAsia="en-NZ"/>
        </w:rPr>
        <w:t>existing residential property investors</w:t>
      </w:r>
      <w:r w:rsidR="00515521" w:rsidRPr="00515521">
        <w:rPr>
          <w:lang w:val="en-NZ" w:eastAsia="en-NZ"/>
        </w:rPr>
        <w:t xml:space="preserve">. </w:t>
      </w:r>
    </w:p>
    <w:p w14:paraId="43C9436D" w14:textId="77DF1A73" w:rsidR="00305868" w:rsidRPr="006E6AE0" w:rsidRDefault="004653CB" w:rsidP="00A73973">
      <w:pPr>
        <w:pStyle w:val="ListParagraph"/>
        <w:numPr>
          <w:ilvl w:val="0"/>
          <w:numId w:val="39"/>
        </w:numPr>
        <w:ind w:left="930" w:hanging="646"/>
        <w:jc w:val="both"/>
        <w:rPr>
          <w:lang w:val="en-NZ" w:eastAsia="en-NZ"/>
        </w:rPr>
      </w:pPr>
      <w:r w:rsidRPr="00966A80">
        <w:rPr>
          <w:lang w:val="en-NZ" w:eastAsia="en-NZ"/>
        </w:rPr>
        <w:t xml:space="preserve">Cabinet </w:t>
      </w:r>
      <w:r w:rsidR="00272ECC">
        <w:rPr>
          <w:lang w:val="en-NZ" w:eastAsia="en-NZ"/>
        </w:rPr>
        <w:t>has</w:t>
      </w:r>
      <w:r w:rsidR="00190AD9">
        <w:rPr>
          <w:lang w:val="en-NZ" w:eastAsia="en-NZ"/>
        </w:rPr>
        <w:t xml:space="preserve">, however, </w:t>
      </w:r>
      <w:r w:rsidR="00272ECC">
        <w:rPr>
          <w:lang w:val="en-NZ" w:eastAsia="en-NZ"/>
        </w:rPr>
        <w:t xml:space="preserve">already </w:t>
      </w:r>
      <w:r w:rsidR="005E577F" w:rsidRPr="00966A80">
        <w:rPr>
          <w:lang w:val="en-NZ" w:eastAsia="en-NZ"/>
        </w:rPr>
        <w:t xml:space="preserve">(effectively) </w:t>
      </w:r>
      <w:r w:rsidR="00272ECC">
        <w:rPr>
          <w:lang w:val="en-NZ" w:eastAsia="en-NZ"/>
        </w:rPr>
        <w:t xml:space="preserve">decided </w:t>
      </w:r>
      <w:r w:rsidR="005E577F" w:rsidRPr="00966A80">
        <w:rPr>
          <w:lang w:val="en-NZ" w:eastAsia="en-NZ"/>
        </w:rPr>
        <w:t xml:space="preserve">not </w:t>
      </w:r>
      <w:r w:rsidR="00424448">
        <w:rPr>
          <w:lang w:val="en-NZ" w:eastAsia="en-NZ"/>
        </w:rPr>
        <w:t xml:space="preserve">to </w:t>
      </w:r>
      <w:r w:rsidR="005E577F" w:rsidRPr="00966A80">
        <w:rPr>
          <w:lang w:val="en-NZ" w:eastAsia="en-NZ"/>
        </w:rPr>
        <w:t>proceed with the status quo</w:t>
      </w:r>
      <w:r w:rsidR="00272ECC">
        <w:rPr>
          <w:lang w:val="en-NZ" w:eastAsia="en-NZ"/>
        </w:rPr>
        <w:t>,</w:t>
      </w:r>
      <w:r w:rsidR="005E577F" w:rsidRPr="00966A80">
        <w:rPr>
          <w:lang w:val="en-NZ" w:eastAsia="en-NZ"/>
        </w:rPr>
        <w:t xml:space="preserve"> </w:t>
      </w:r>
      <w:r w:rsidR="00C01E90">
        <w:rPr>
          <w:lang w:val="en-NZ" w:eastAsia="en-NZ"/>
        </w:rPr>
        <w:t>Option 1</w:t>
      </w:r>
      <w:r w:rsidR="00272ECC">
        <w:rPr>
          <w:lang w:val="en-NZ" w:eastAsia="en-NZ"/>
        </w:rPr>
        <w:t>, or Option 4</w:t>
      </w:r>
      <w:r w:rsidR="005E577F" w:rsidRPr="00966A80">
        <w:rPr>
          <w:lang w:val="en-NZ" w:eastAsia="en-NZ"/>
        </w:rPr>
        <w:t xml:space="preserve">. </w:t>
      </w:r>
      <w:r w:rsidR="005C656E">
        <w:rPr>
          <w:lang w:val="en-NZ" w:eastAsia="en-NZ"/>
        </w:rPr>
        <w:t xml:space="preserve">Cabinet has agreed </w:t>
      </w:r>
      <w:r w:rsidR="004C6FAC">
        <w:rPr>
          <w:lang w:val="en-NZ" w:eastAsia="en-NZ"/>
        </w:rPr>
        <w:t xml:space="preserve">in-principle </w:t>
      </w:r>
      <w:r w:rsidR="005C656E">
        <w:rPr>
          <w:lang w:val="en-NZ" w:eastAsia="en-NZ"/>
        </w:rPr>
        <w:t xml:space="preserve">to </w:t>
      </w:r>
      <w:r w:rsidR="004C6FAC">
        <w:rPr>
          <w:lang w:val="en-NZ" w:eastAsia="en-NZ"/>
        </w:rPr>
        <w:t xml:space="preserve">proceed with the interest limitation policy with an </w:t>
      </w:r>
      <w:r w:rsidR="005C656E">
        <w:rPr>
          <w:lang w:val="en-NZ" w:eastAsia="en-NZ"/>
        </w:rPr>
        <w:t>exempt</w:t>
      </w:r>
      <w:r w:rsidR="004C6FAC">
        <w:rPr>
          <w:lang w:val="en-NZ" w:eastAsia="en-NZ"/>
        </w:rPr>
        <w:t>ion</w:t>
      </w:r>
      <w:r w:rsidR="005C656E">
        <w:rPr>
          <w:lang w:val="en-NZ" w:eastAsia="en-NZ"/>
        </w:rPr>
        <w:t xml:space="preserve"> </w:t>
      </w:r>
      <w:r w:rsidR="006A23D5">
        <w:rPr>
          <w:lang w:val="en-NZ" w:eastAsia="en-NZ"/>
        </w:rPr>
        <w:t>for</w:t>
      </w:r>
      <w:r w:rsidR="005C656E">
        <w:rPr>
          <w:lang w:val="en-NZ" w:eastAsia="en-NZ"/>
        </w:rPr>
        <w:t xml:space="preserve"> new builds</w:t>
      </w:r>
      <w:r w:rsidR="00190AD9">
        <w:rPr>
          <w:lang w:val="en-NZ" w:eastAsia="en-NZ"/>
        </w:rPr>
        <w:t>, and has communicated th</w:t>
      </w:r>
      <w:r w:rsidR="007131D5">
        <w:rPr>
          <w:lang w:val="en-NZ" w:eastAsia="en-NZ"/>
        </w:rPr>
        <w:t>is</w:t>
      </w:r>
      <w:r w:rsidR="00190AD9">
        <w:rPr>
          <w:lang w:val="en-NZ" w:eastAsia="en-NZ"/>
        </w:rPr>
        <w:t xml:space="preserve"> decision to the public. </w:t>
      </w:r>
      <w:r w:rsidR="003F5338" w:rsidRPr="00513D17">
        <w:rPr>
          <w:lang w:val="en-NZ" w:eastAsia="en-NZ"/>
        </w:rPr>
        <w:t xml:space="preserve">Therefore, this analysis </w:t>
      </w:r>
      <w:r w:rsidR="00B26450" w:rsidRPr="00513D17">
        <w:rPr>
          <w:lang w:val="en-NZ" w:eastAsia="en-NZ"/>
        </w:rPr>
        <w:t xml:space="preserve">further </w:t>
      </w:r>
      <w:r w:rsidR="00142F0A" w:rsidRPr="00513D17">
        <w:rPr>
          <w:lang w:val="en-NZ" w:eastAsia="en-NZ"/>
        </w:rPr>
        <w:t xml:space="preserve">focuses on </w:t>
      </w:r>
      <w:r w:rsidR="00B24383" w:rsidRPr="00513D17">
        <w:rPr>
          <w:lang w:val="en-NZ" w:eastAsia="en-NZ"/>
        </w:rPr>
        <w:t xml:space="preserve">the </w:t>
      </w:r>
      <w:r w:rsidR="00966B36" w:rsidRPr="00513D17">
        <w:rPr>
          <w:lang w:val="en-NZ" w:eastAsia="en-NZ"/>
        </w:rPr>
        <w:t xml:space="preserve">option (out of </w:t>
      </w:r>
      <w:r w:rsidR="00B24383" w:rsidRPr="00513D17">
        <w:rPr>
          <w:lang w:val="en-NZ" w:eastAsia="en-NZ"/>
        </w:rPr>
        <w:t xml:space="preserve">remaining </w:t>
      </w:r>
      <w:r w:rsidR="00C01E90" w:rsidRPr="006E6AE0">
        <w:rPr>
          <w:lang w:val="en-NZ" w:eastAsia="en-NZ"/>
        </w:rPr>
        <w:t>Options 2</w:t>
      </w:r>
      <w:r w:rsidR="00966B36" w:rsidRPr="006E6AE0">
        <w:rPr>
          <w:lang w:val="en-NZ" w:eastAsia="en-NZ"/>
        </w:rPr>
        <w:t xml:space="preserve"> and 3) that best addresses the problem</w:t>
      </w:r>
      <w:r w:rsidR="007B7B4A" w:rsidRPr="006E6AE0">
        <w:rPr>
          <w:lang w:val="en-NZ" w:eastAsia="en-NZ"/>
        </w:rPr>
        <w:t xml:space="preserve"> and meets the policy objectives.</w:t>
      </w:r>
    </w:p>
    <w:p w14:paraId="1CADFBC4" w14:textId="37B115E6" w:rsidR="00142F0A" w:rsidRDefault="006379EE" w:rsidP="00A73973">
      <w:pPr>
        <w:pStyle w:val="ListParagraph"/>
        <w:numPr>
          <w:ilvl w:val="0"/>
          <w:numId w:val="39"/>
        </w:numPr>
        <w:ind w:left="930" w:hanging="646"/>
        <w:jc w:val="both"/>
        <w:rPr>
          <w:lang w:val="en-NZ" w:eastAsia="en-NZ"/>
        </w:rPr>
      </w:pPr>
      <w:r>
        <w:rPr>
          <w:lang w:val="en-NZ" w:eastAsia="en-NZ"/>
        </w:rPr>
        <w:t xml:space="preserve">Option 3 is likely the best </w:t>
      </w:r>
      <w:r w:rsidR="009C454E">
        <w:rPr>
          <w:lang w:val="en-NZ" w:eastAsia="en-NZ"/>
        </w:rPr>
        <w:t>option</w:t>
      </w:r>
      <w:r w:rsidR="00142F0A">
        <w:rPr>
          <w:lang w:val="en-NZ" w:eastAsia="en-NZ"/>
        </w:rPr>
        <w:t xml:space="preserve"> </w:t>
      </w:r>
      <w:r w:rsidR="005D05EA">
        <w:rPr>
          <w:lang w:val="en-NZ" w:eastAsia="en-NZ"/>
        </w:rPr>
        <w:t xml:space="preserve">relative to all options </w:t>
      </w:r>
      <w:r w:rsidR="00646A81">
        <w:rPr>
          <w:lang w:val="en-NZ" w:eastAsia="en-NZ"/>
        </w:rPr>
        <w:t>(other than</w:t>
      </w:r>
      <w:r w:rsidR="005D05EA">
        <w:rPr>
          <w:lang w:val="en-NZ" w:eastAsia="en-NZ"/>
        </w:rPr>
        <w:t xml:space="preserve"> the status</w:t>
      </w:r>
      <w:r w:rsidR="00FC0D95">
        <w:rPr>
          <w:lang w:val="en-NZ" w:eastAsia="en-NZ"/>
        </w:rPr>
        <w:t xml:space="preserve"> </w:t>
      </w:r>
      <w:r w:rsidR="005D05EA">
        <w:rPr>
          <w:lang w:val="en-NZ" w:eastAsia="en-NZ"/>
        </w:rPr>
        <w:t>quo</w:t>
      </w:r>
      <w:r w:rsidR="00646A81">
        <w:rPr>
          <w:lang w:val="en-NZ" w:eastAsia="en-NZ"/>
        </w:rPr>
        <w:t>)</w:t>
      </w:r>
      <w:r w:rsidR="00AD5B37">
        <w:rPr>
          <w:lang w:val="en-NZ" w:eastAsia="en-NZ"/>
        </w:rPr>
        <w:t xml:space="preserve">. </w:t>
      </w:r>
      <w:r w:rsidR="000C04F8">
        <w:rPr>
          <w:lang w:val="en-NZ" w:eastAsia="en-NZ"/>
        </w:rPr>
        <w:t xml:space="preserve">Compared to </w:t>
      </w:r>
      <w:r w:rsidR="00803EEE">
        <w:rPr>
          <w:lang w:val="en-NZ" w:eastAsia="en-NZ"/>
        </w:rPr>
        <w:t>Option</w:t>
      </w:r>
      <w:r w:rsidR="00C401AE">
        <w:rPr>
          <w:lang w:val="en-NZ" w:eastAsia="en-NZ"/>
        </w:rPr>
        <w:t xml:space="preserve"> 2 (and Option</w:t>
      </w:r>
      <w:r w:rsidR="00803EEE">
        <w:rPr>
          <w:lang w:val="en-NZ" w:eastAsia="en-NZ"/>
        </w:rPr>
        <w:t>s</w:t>
      </w:r>
      <w:r w:rsidR="000C04F8">
        <w:rPr>
          <w:lang w:val="en-NZ" w:eastAsia="en-NZ"/>
        </w:rPr>
        <w:t xml:space="preserve"> 1</w:t>
      </w:r>
      <w:r w:rsidR="00C401AE">
        <w:rPr>
          <w:lang w:val="en-NZ" w:eastAsia="en-NZ"/>
        </w:rPr>
        <w:t xml:space="preserve"> and 4)</w:t>
      </w:r>
      <w:r w:rsidR="000C04F8">
        <w:rPr>
          <w:lang w:val="en-NZ" w:eastAsia="en-NZ"/>
        </w:rPr>
        <w:t>,</w:t>
      </w:r>
      <w:r>
        <w:rPr>
          <w:lang w:val="en-NZ" w:eastAsia="en-NZ"/>
        </w:rPr>
        <w:t xml:space="preserve"> </w:t>
      </w:r>
      <w:r w:rsidR="00C01E90">
        <w:rPr>
          <w:lang w:val="en-NZ" w:eastAsia="en-NZ"/>
        </w:rPr>
        <w:t>Option 3</w:t>
      </w:r>
      <w:r>
        <w:rPr>
          <w:lang w:val="en-NZ" w:eastAsia="en-NZ"/>
        </w:rPr>
        <w:t xml:space="preserve"> is likely to </w:t>
      </w:r>
      <w:r w:rsidR="00B24383">
        <w:rPr>
          <w:lang w:val="en-NZ" w:eastAsia="en-NZ"/>
        </w:rPr>
        <w:t xml:space="preserve">produce </w:t>
      </w:r>
      <w:r>
        <w:rPr>
          <w:lang w:val="en-NZ" w:eastAsia="en-NZ"/>
        </w:rPr>
        <w:t xml:space="preserve">the </w:t>
      </w:r>
      <w:r w:rsidR="00B24383">
        <w:rPr>
          <w:lang w:val="en-NZ" w:eastAsia="en-NZ"/>
        </w:rPr>
        <w:t xml:space="preserve">least </w:t>
      </w:r>
      <w:r>
        <w:rPr>
          <w:lang w:val="en-NZ" w:eastAsia="en-NZ"/>
        </w:rPr>
        <w:t>impact on increasing the affordability of housing for first</w:t>
      </w:r>
      <w:r w:rsidR="00D61224">
        <w:rPr>
          <w:lang w:val="en-NZ" w:eastAsia="en-NZ"/>
        </w:rPr>
        <w:t>-</w:t>
      </w:r>
      <w:r>
        <w:rPr>
          <w:lang w:val="en-NZ" w:eastAsia="en-NZ"/>
        </w:rPr>
        <w:t>home buyers,</w:t>
      </w:r>
      <w:r w:rsidR="00C2291D">
        <w:rPr>
          <w:lang w:val="en-NZ" w:eastAsia="en-NZ"/>
        </w:rPr>
        <w:t xml:space="preserve"> but</w:t>
      </w:r>
      <w:r>
        <w:rPr>
          <w:lang w:val="en-NZ" w:eastAsia="en-NZ"/>
        </w:rPr>
        <w:t xml:space="preserve"> it will also have the lowest impact on decreasing the affordability for renters. </w:t>
      </w:r>
      <w:r w:rsidR="00C01E90">
        <w:rPr>
          <w:lang w:val="en-NZ" w:eastAsia="en-NZ"/>
        </w:rPr>
        <w:t>The marginal cost of Option 3 over Option 2</w:t>
      </w:r>
      <w:r w:rsidR="00E35B7D">
        <w:rPr>
          <w:lang w:val="en-NZ" w:eastAsia="en-NZ"/>
        </w:rPr>
        <w:t xml:space="preserve"> regarding price</w:t>
      </w:r>
      <w:r w:rsidR="00C01E90">
        <w:rPr>
          <w:lang w:val="en-NZ" w:eastAsia="en-NZ"/>
        </w:rPr>
        <w:t>, is outweighed by the marginal benefits</w:t>
      </w:r>
      <w:r w:rsidR="00E35B7D">
        <w:rPr>
          <w:lang w:val="en-NZ" w:eastAsia="en-NZ"/>
        </w:rPr>
        <w:t xml:space="preserve"> of </w:t>
      </w:r>
      <w:r w:rsidR="001714EA">
        <w:rPr>
          <w:lang w:val="en-NZ" w:eastAsia="en-NZ"/>
        </w:rPr>
        <w:t xml:space="preserve">rental affordability and </w:t>
      </w:r>
      <w:r w:rsidR="00C01E90">
        <w:rPr>
          <w:lang w:val="en-NZ" w:eastAsia="en-NZ"/>
        </w:rPr>
        <w:t xml:space="preserve">greater fairness and coherence of the tax system. </w:t>
      </w:r>
      <w:r w:rsidR="00884584">
        <w:rPr>
          <w:lang w:val="en-NZ" w:eastAsia="en-NZ"/>
        </w:rPr>
        <w:t xml:space="preserve">Given Option 3 has the least impact on rents, this option will minimise the impact of the proposal on those </w:t>
      </w:r>
      <w:r w:rsidR="00884584" w:rsidRPr="00FD782F">
        <w:rPr>
          <w:lang w:val="en-NZ" w:eastAsia="en-NZ"/>
        </w:rPr>
        <w:t>less likely to own their home relative to the general population</w:t>
      </w:r>
      <w:r w:rsidR="00884584">
        <w:rPr>
          <w:lang w:val="en-NZ" w:eastAsia="en-NZ"/>
        </w:rPr>
        <w:t xml:space="preserve"> (</w:t>
      </w:r>
      <w:r w:rsidR="00884584" w:rsidRPr="00FD782F">
        <w:rPr>
          <w:lang w:val="en-NZ" w:eastAsia="en-NZ"/>
        </w:rPr>
        <w:t>low-income households, younger people, Māori, and Pacific peoples</w:t>
      </w:r>
      <w:r w:rsidR="00884584">
        <w:rPr>
          <w:lang w:val="en-NZ" w:eastAsia="en-NZ"/>
        </w:rPr>
        <w:t>)</w:t>
      </w:r>
      <w:r w:rsidR="00884584" w:rsidRPr="00FD782F">
        <w:rPr>
          <w:lang w:val="en-NZ" w:eastAsia="en-NZ"/>
        </w:rPr>
        <w:t>.</w:t>
      </w:r>
    </w:p>
    <w:p w14:paraId="1BC33DEC" w14:textId="5C7D4DBF" w:rsidR="006379EE" w:rsidRDefault="00142F0A" w:rsidP="00A73973">
      <w:pPr>
        <w:pStyle w:val="ListParagraph"/>
        <w:numPr>
          <w:ilvl w:val="0"/>
          <w:numId w:val="39"/>
        </w:numPr>
        <w:ind w:left="930" w:hanging="646"/>
        <w:jc w:val="both"/>
        <w:rPr>
          <w:lang w:val="en-NZ" w:eastAsia="en-NZ"/>
        </w:rPr>
      </w:pPr>
      <w:r>
        <w:rPr>
          <w:lang w:val="en-NZ" w:eastAsia="en-NZ"/>
        </w:rPr>
        <w:t xml:space="preserve">Out of the </w:t>
      </w:r>
      <w:r w:rsidR="006E6AE0">
        <w:rPr>
          <w:lang w:val="en-NZ" w:eastAsia="en-NZ"/>
        </w:rPr>
        <w:t xml:space="preserve">four </w:t>
      </w:r>
      <w:r>
        <w:rPr>
          <w:lang w:val="en-NZ" w:eastAsia="en-NZ"/>
        </w:rPr>
        <w:t xml:space="preserve">options, </w:t>
      </w:r>
      <w:r w:rsidR="00C01E90">
        <w:rPr>
          <w:lang w:val="en-NZ" w:eastAsia="en-NZ"/>
        </w:rPr>
        <w:t>Option 3</w:t>
      </w:r>
      <w:r w:rsidR="006379EE">
        <w:rPr>
          <w:lang w:val="en-NZ" w:eastAsia="en-NZ"/>
        </w:rPr>
        <w:t xml:space="preserve"> will </w:t>
      </w:r>
      <w:r w:rsidR="00C01E90">
        <w:rPr>
          <w:lang w:val="en-NZ" w:eastAsia="en-NZ"/>
        </w:rPr>
        <w:t xml:space="preserve">also </w:t>
      </w:r>
      <w:r w:rsidR="006379EE">
        <w:rPr>
          <w:lang w:val="en-NZ" w:eastAsia="en-NZ"/>
        </w:rPr>
        <w:t>have the smallest effect on the supply of new housing in New Zealand</w:t>
      </w:r>
      <w:r w:rsidR="006F1D80">
        <w:rPr>
          <w:lang w:val="en-NZ" w:eastAsia="en-NZ"/>
        </w:rPr>
        <w:t>.</w:t>
      </w:r>
      <w:r w:rsidR="008C6872">
        <w:rPr>
          <w:lang w:val="en-NZ" w:eastAsia="en-NZ"/>
        </w:rPr>
        <w:t xml:space="preserve"> </w:t>
      </w:r>
      <w:r w:rsidR="00C01E90">
        <w:rPr>
          <w:lang w:val="en-NZ" w:eastAsia="en-NZ"/>
        </w:rPr>
        <w:t>While Option</w:t>
      </w:r>
      <w:r w:rsidR="00AE4694">
        <w:rPr>
          <w:lang w:val="en-NZ" w:eastAsia="en-NZ"/>
        </w:rPr>
        <w:t>s</w:t>
      </w:r>
      <w:r w:rsidR="00C01E90">
        <w:rPr>
          <w:lang w:val="en-NZ" w:eastAsia="en-NZ"/>
        </w:rPr>
        <w:t xml:space="preserve"> </w:t>
      </w:r>
      <w:r w:rsidR="00AE4694">
        <w:rPr>
          <w:lang w:val="en-NZ" w:eastAsia="en-NZ"/>
        </w:rPr>
        <w:t xml:space="preserve">2 and </w:t>
      </w:r>
      <w:r w:rsidR="00C01E90">
        <w:rPr>
          <w:lang w:val="en-NZ" w:eastAsia="en-NZ"/>
        </w:rPr>
        <w:t>3</w:t>
      </w:r>
      <w:r w:rsidR="008C6872">
        <w:rPr>
          <w:lang w:val="en-NZ" w:eastAsia="en-NZ"/>
        </w:rPr>
        <w:t xml:space="preserve"> may increase the price of </w:t>
      </w:r>
      <w:r w:rsidR="00F556CB">
        <w:rPr>
          <w:lang w:val="en-NZ" w:eastAsia="en-NZ"/>
        </w:rPr>
        <w:t>housing</w:t>
      </w:r>
      <w:r w:rsidR="008C6872">
        <w:rPr>
          <w:lang w:val="en-NZ" w:eastAsia="en-NZ"/>
        </w:rPr>
        <w:t xml:space="preserve"> to the detriment of </w:t>
      </w:r>
      <w:r w:rsidR="007951FF">
        <w:rPr>
          <w:lang w:val="en-NZ" w:eastAsia="en-NZ"/>
        </w:rPr>
        <w:t xml:space="preserve">owner-occupiers relative to </w:t>
      </w:r>
      <w:r w:rsidR="00043B49">
        <w:rPr>
          <w:lang w:val="en-NZ" w:eastAsia="en-NZ"/>
        </w:rPr>
        <w:t>Option</w:t>
      </w:r>
      <w:r w:rsidR="006E6AE0">
        <w:rPr>
          <w:lang w:val="en-NZ" w:eastAsia="en-NZ"/>
        </w:rPr>
        <w:t>s</w:t>
      </w:r>
      <w:r w:rsidR="00043B49">
        <w:rPr>
          <w:lang w:val="en-NZ" w:eastAsia="en-NZ"/>
        </w:rPr>
        <w:t xml:space="preserve"> </w:t>
      </w:r>
      <w:r w:rsidR="007951FF">
        <w:rPr>
          <w:lang w:val="en-NZ" w:eastAsia="en-NZ"/>
        </w:rPr>
        <w:t>1</w:t>
      </w:r>
      <w:r w:rsidR="006E6AE0">
        <w:rPr>
          <w:lang w:val="en-NZ" w:eastAsia="en-NZ"/>
        </w:rPr>
        <w:t xml:space="preserve"> and 4</w:t>
      </w:r>
      <w:r w:rsidR="008C6872">
        <w:rPr>
          <w:lang w:val="en-NZ" w:eastAsia="en-NZ"/>
        </w:rPr>
        <w:t xml:space="preserve">, </w:t>
      </w:r>
      <w:r w:rsidR="00891D6F">
        <w:rPr>
          <w:lang w:val="en-NZ" w:eastAsia="en-NZ"/>
        </w:rPr>
        <w:t>those</w:t>
      </w:r>
      <w:r w:rsidR="00E37E28">
        <w:rPr>
          <w:lang w:val="en-NZ" w:eastAsia="en-NZ"/>
        </w:rPr>
        <w:t xml:space="preserve"> building new properties will be further incentivised to build </w:t>
      </w:r>
      <w:r w:rsidR="00B5596C">
        <w:rPr>
          <w:lang w:val="en-NZ" w:eastAsia="en-NZ"/>
        </w:rPr>
        <w:t>new</w:t>
      </w:r>
      <w:r w:rsidR="00E37E28">
        <w:rPr>
          <w:lang w:val="en-NZ" w:eastAsia="en-NZ"/>
        </w:rPr>
        <w:t xml:space="preserve"> housing stock. </w:t>
      </w:r>
    </w:p>
    <w:p w14:paraId="38AF4E73" w14:textId="26069786" w:rsidR="006379EE" w:rsidRDefault="003351C5" w:rsidP="00A73973">
      <w:pPr>
        <w:pStyle w:val="ListParagraph"/>
        <w:numPr>
          <w:ilvl w:val="0"/>
          <w:numId w:val="39"/>
        </w:numPr>
        <w:ind w:left="930" w:hanging="646"/>
        <w:jc w:val="both"/>
        <w:rPr>
          <w:lang w:val="en-NZ" w:eastAsia="en-NZ"/>
        </w:rPr>
      </w:pPr>
      <w:r w:rsidRPr="002A1E94">
        <w:rPr>
          <w:lang w:val="en-NZ" w:eastAsia="en-NZ"/>
        </w:rPr>
        <w:t xml:space="preserve">Option 3 is preferable to </w:t>
      </w:r>
      <w:r w:rsidR="00C01E90">
        <w:rPr>
          <w:lang w:val="en-NZ" w:eastAsia="en-NZ"/>
        </w:rPr>
        <w:t>Option 2</w:t>
      </w:r>
      <w:r w:rsidRPr="002A1E94">
        <w:rPr>
          <w:lang w:val="en-NZ" w:eastAsia="en-NZ"/>
        </w:rPr>
        <w:t xml:space="preserve"> given it </w:t>
      </w:r>
      <w:r w:rsidR="0098713F" w:rsidRPr="002A1E94">
        <w:rPr>
          <w:lang w:val="en-NZ" w:eastAsia="en-NZ"/>
        </w:rPr>
        <w:t xml:space="preserve">would not tax investors beyond their economic income </w:t>
      </w:r>
      <w:r w:rsidR="001C758E">
        <w:rPr>
          <w:lang w:val="en-NZ" w:eastAsia="en-NZ"/>
        </w:rPr>
        <w:t xml:space="preserve">where the house is </w:t>
      </w:r>
      <w:r w:rsidR="00442701">
        <w:rPr>
          <w:lang w:val="en-NZ" w:eastAsia="en-NZ"/>
        </w:rPr>
        <w:t>taxable on sale</w:t>
      </w:r>
      <w:r w:rsidR="00DA758D">
        <w:rPr>
          <w:lang w:val="en-NZ" w:eastAsia="en-NZ"/>
        </w:rPr>
        <w:t xml:space="preserve">, </w:t>
      </w:r>
      <w:r w:rsidR="009B2156">
        <w:rPr>
          <w:lang w:val="en-NZ" w:eastAsia="en-NZ"/>
        </w:rPr>
        <w:t>thereby</w:t>
      </w:r>
      <w:r w:rsidR="00711DF4">
        <w:rPr>
          <w:lang w:val="en-NZ" w:eastAsia="en-NZ"/>
        </w:rPr>
        <w:t xml:space="preserve"> reduc</w:t>
      </w:r>
      <w:r w:rsidR="009B2156">
        <w:rPr>
          <w:lang w:val="en-NZ" w:eastAsia="en-NZ"/>
        </w:rPr>
        <w:t>ing</w:t>
      </w:r>
      <w:r w:rsidR="00711DF4">
        <w:rPr>
          <w:lang w:val="en-NZ" w:eastAsia="en-NZ"/>
        </w:rPr>
        <w:t xml:space="preserve"> over-taxation</w:t>
      </w:r>
      <w:r w:rsidR="00866638" w:rsidRPr="002A1E94">
        <w:rPr>
          <w:lang w:val="en-NZ" w:eastAsia="en-NZ"/>
        </w:rPr>
        <w:t xml:space="preserve">. This is a strong fairness argument, and on balance outweighs the slightly reduced impact on housing affordability </w:t>
      </w:r>
      <w:r w:rsidR="00D22A2A" w:rsidRPr="002A1E94">
        <w:rPr>
          <w:lang w:val="en-NZ" w:eastAsia="en-NZ"/>
        </w:rPr>
        <w:t xml:space="preserve">compared to </w:t>
      </w:r>
      <w:r w:rsidR="00C01E90">
        <w:rPr>
          <w:lang w:val="en-NZ" w:eastAsia="en-NZ"/>
        </w:rPr>
        <w:t>Option 2</w:t>
      </w:r>
      <w:r w:rsidR="00D22A2A" w:rsidRPr="002A1E94">
        <w:rPr>
          <w:lang w:val="en-NZ" w:eastAsia="en-NZ"/>
        </w:rPr>
        <w:t xml:space="preserve">. Further, </w:t>
      </w:r>
      <w:r w:rsidR="00C01E90">
        <w:rPr>
          <w:lang w:val="en-NZ" w:eastAsia="en-NZ"/>
        </w:rPr>
        <w:t>Option 3</w:t>
      </w:r>
      <w:r w:rsidR="00D22A2A" w:rsidRPr="002A1E94">
        <w:rPr>
          <w:lang w:val="en-NZ" w:eastAsia="en-NZ"/>
        </w:rPr>
        <w:t xml:space="preserve"> </w:t>
      </w:r>
      <w:r w:rsidR="00347208" w:rsidRPr="002A1E94">
        <w:rPr>
          <w:lang w:val="en-NZ" w:eastAsia="en-NZ"/>
        </w:rPr>
        <w:t xml:space="preserve">reduces the coherence of the tax system to a lesser extent overall – </w:t>
      </w:r>
      <w:r w:rsidR="003449A9">
        <w:t xml:space="preserve">as it allows </w:t>
      </w:r>
      <w:r w:rsidR="001F1ADE">
        <w:t>interest deductions in support of the general principle</w:t>
      </w:r>
      <w:r w:rsidR="009E4119">
        <w:t>s</w:t>
      </w:r>
      <w:r w:rsidR="001F1ADE">
        <w:t xml:space="preserve"> that expenditure incurred in business is deductible and </w:t>
      </w:r>
      <w:r w:rsidR="0093269B">
        <w:t>a person should only be taxed to the extent of their income</w:t>
      </w:r>
      <w:r w:rsidR="005B6EE1">
        <w:t>.</w:t>
      </w:r>
    </w:p>
    <w:p w14:paraId="79DA18FD" w14:textId="429FE605" w:rsidR="003C5436" w:rsidRDefault="009D7BA5" w:rsidP="00A73973">
      <w:pPr>
        <w:pStyle w:val="ListParagraph"/>
        <w:numPr>
          <w:ilvl w:val="0"/>
          <w:numId w:val="39"/>
        </w:numPr>
        <w:ind w:hanging="644"/>
        <w:jc w:val="both"/>
        <w:rPr>
          <w:lang w:val="en-NZ" w:eastAsia="en-NZ"/>
        </w:rPr>
        <w:sectPr w:rsidR="003C5436" w:rsidSect="002159B9">
          <w:pgSz w:w="11906" w:h="16838" w:code="9"/>
          <w:pgMar w:top="1134" w:right="1418" w:bottom="992" w:left="1418" w:header="709" w:footer="709" w:gutter="0"/>
          <w:cols w:space="708"/>
          <w:docGrid w:linePitch="360"/>
        </w:sectPr>
      </w:pPr>
      <w:r>
        <w:rPr>
          <w:lang w:val="en-NZ" w:eastAsia="en-NZ"/>
        </w:rPr>
        <w:t xml:space="preserve">Options </w:t>
      </w:r>
      <w:r w:rsidR="00575FCD">
        <w:rPr>
          <w:lang w:val="en-NZ" w:eastAsia="en-NZ"/>
        </w:rPr>
        <w:t xml:space="preserve">2 and </w:t>
      </w:r>
      <w:r>
        <w:rPr>
          <w:lang w:val="en-NZ" w:eastAsia="en-NZ"/>
        </w:rPr>
        <w:t xml:space="preserve">3 include a new build exemption. Two details of such an exemption can be modified – the period of the new build exemption and whether it applies to only initial purchasers or to all acquirers within the period of the exemption. </w:t>
      </w:r>
      <w:r w:rsidR="001C758E" w:rsidRPr="00142F0A">
        <w:rPr>
          <w:lang w:val="en-NZ" w:eastAsia="en-NZ"/>
        </w:rPr>
        <w:t xml:space="preserve">While there is debate and uncertainty as to the impact of a new build exemption on prices, housing supply and rents, Inland Revenue considers that a longer new build exemption </w:t>
      </w:r>
      <w:r>
        <w:rPr>
          <w:lang w:val="en-NZ" w:eastAsia="en-NZ"/>
        </w:rPr>
        <w:t xml:space="preserve">(20 years) and allowing all acquirers within that period to be eligible to the exemption </w:t>
      </w:r>
      <w:r w:rsidR="001C758E" w:rsidRPr="00142F0A">
        <w:rPr>
          <w:lang w:val="en-NZ" w:eastAsia="en-NZ"/>
        </w:rPr>
        <w:t xml:space="preserve">is preferred </w:t>
      </w:r>
      <w:r>
        <w:rPr>
          <w:lang w:val="en-NZ" w:eastAsia="en-NZ"/>
        </w:rPr>
        <w:t xml:space="preserve">as it </w:t>
      </w:r>
      <w:r w:rsidR="001C758E" w:rsidRPr="00142F0A">
        <w:rPr>
          <w:lang w:val="en-NZ" w:eastAsia="en-NZ"/>
        </w:rPr>
        <w:t xml:space="preserve">will minimise impacts on supply. Inland Revenue understands that a longer exemption is likely to mean less downward pressure on house prices. </w:t>
      </w:r>
      <w:r w:rsidR="00C303DC">
        <w:rPr>
          <w:lang w:val="en-NZ" w:eastAsia="en-NZ"/>
        </w:rPr>
        <w:t>However, Inland Revenue</w:t>
      </w:r>
      <w:r w:rsidR="001C758E" w:rsidRPr="00142F0A">
        <w:rPr>
          <w:lang w:val="en-NZ" w:eastAsia="en-NZ"/>
        </w:rPr>
        <w:t xml:space="preserve"> considers that in the long run affordability is unlikely to be promoted by measures which reduce the supply of housing and for this reason supports a </w:t>
      </w:r>
      <w:r>
        <w:rPr>
          <w:lang w:val="en-NZ" w:eastAsia="en-NZ"/>
        </w:rPr>
        <w:t>more generous exemption</w:t>
      </w:r>
      <w:r w:rsidR="001C758E" w:rsidRPr="00142F0A">
        <w:rPr>
          <w:lang w:val="en-NZ" w:eastAsia="en-NZ"/>
        </w:rPr>
        <w:t>.</w:t>
      </w:r>
    </w:p>
    <w:p w14:paraId="58ACFE9B" w14:textId="2CF60868" w:rsidR="00097119" w:rsidRDefault="00DB51CD" w:rsidP="00273FD3">
      <w:pPr>
        <w:pStyle w:val="Heading3"/>
        <w:jc w:val="both"/>
        <w:rPr>
          <w:lang w:val="en-NZ"/>
        </w:rPr>
      </w:pPr>
      <w:bookmarkStart w:id="17" w:name="_Hlk53565460"/>
      <w:r>
        <w:rPr>
          <w:noProof/>
          <w:lang w:val="en-NZ" w:eastAsia="en-NZ"/>
        </w:rPr>
        <w:t>What are</w:t>
      </w:r>
      <w:r w:rsidR="004625C9" w:rsidRPr="00A864A5">
        <w:rPr>
          <w:lang w:val="en-NZ"/>
        </w:rPr>
        <w:t xml:space="preserve"> the </w:t>
      </w:r>
      <w:r w:rsidR="005F41A2">
        <w:rPr>
          <w:lang w:val="en-NZ"/>
        </w:rPr>
        <w:t xml:space="preserve">marginal </w:t>
      </w:r>
      <w:r w:rsidR="00F01ED1" w:rsidRPr="00A864A5">
        <w:rPr>
          <w:lang w:val="en-NZ"/>
        </w:rPr>
        <w:t>costs and benefits</w:t>
      </w:r>
      <w:r w:rsidR="004625C9" w:rsidRPr="00A864A5">
        <w:rPr>
          <w:lang w:val="en-NZ"/>
        </w:rPr>
        <w:t xml:space="preserve"> of </w:t>
      </w:r>
      <w:r w:rsidR="0074132F">
        <w:rPr>
          <w:lang w:val="en-NZ"/>
        </w:rPr>
        <w:t>O</w:t>
      </w:r>
      <w:r w:rsidR="004625C9" w:rsidRPr="00A864A5">
        <w:rPr>
          <w:lang w:val="en-NZ"/>
        </w:rPr>
        <w:t>ption</w:t>
      </w:r>
      <w:r w:rsidR="00905857">
        <w:rPr>
          <w:lang w:val="en-NZ"/>
        </w:rPr>
        <w:t xml:space="preserve"> 3</w:t>
      </w:r>
      <w:r>
        <w:rPr>
          <w:lang w:val="en-NZ"/>
        </w:rPr>
        <w:t>?</w:t>
      </w:r>
    </w:p>
    <w:tbl>
      <w:tblPr>
        <w:tblpPr w:leftFromText="180" w:rightFromText="180" w:vertAnchor="text" w:horzAnchor="margin" w:tblpY="124"/>
        <w:tblOverlap w:val="never"/>
        <w:tblW w:w="977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38"/>
        <w:gridCol w:w="3969"/>
        <w:gridCol w:w="2835"/>
        <w:gridCol w:w="1135"/>
      </w:tblGrid>
      <w:tr w:rsidR="00136700" w:rsidRPr="00A864A5" w14:paraId="5EA92CE7" w14:textId="77777777" w:rsidTr="00E401FD">
        <w:trPr>
          <w:trHeight w:val="699"/>
        </w:trPr>
        <w:tc>
          <w:tcPr>
            <w:tcW w:w="1838" w:type="dxa"/>
            <w:shd w:val="clear" w:color="auto" w:fill="99CDDD"/>
          </w:tcPr>
          <w:p w14:paraId="74B32D65" w14:textId="4906BFE2" w:rsidR="009D0B82" w:rsidRPr="003D3AFE" w:rsidRDefault="009D0B82" w:rsidP="00AE0D61">
            <w:pPr>
              <w:pStyle w:val="TableText"/>
              <w:keepNext/>
              <w:rPr>
                <w:rFonts w:eastAsia="Calibri"/>
                <w:color w:val="000000"/>
                <w:szCs w:val="20"/>
                <w:lang w:val="en-NZ"/>
              </w:rPr>
            </w:pPr>
            <w:r w:rsidRPr="003D3AFE">
              <w:rPr>
                <w:rFonts w:eastAsia="Calibri"/>
                <w:b/>
                <w:color w:val="000000"/>
                <w:szCs w:val="20"/>
                <w:lang w:val="en-NZ"/>
              </w:rPr>
              <w:t>Affected groups</w:t>
            </w:r>
          </w:p>
        </w:tc>
        <w:tc>
          <w:tcPr>
            <w:tcW w:w="3969" w:type="dxa"/>
            <w:shd w:val="clear" w:color="auto" w:fill="99CDDD"/>
          </w:tcPr>
          <w:p w14:paraId="18E17B4C" w14:textId="3CC4DFAC" w:rsidR="009D0B82" w:rsidRPr="003D3AFE" w:rsidRDefault="009D0B82" w:rsidP="00AE0D61">
            <w:pPr>
              <w:pStyle w:val="TableText"/>
              <w:keepNext/>
              <w:rPr>
                <w:rFonts w:eastAsia="Calibri"/>
                <w:color w:val="000000"/>
                <w:szCs w:val="20"/>
                <w:lang w:val="en-NZ"/>
              </w:rPr>
            </w:pPr>
            <w:r w:rsidRPr="003D3AFE">
              <w:rPr>
                <w:rFonts w:eastAsia="Calibri"/>
                <w:b/>
                <w:color w:val="000000"/>
                <w:szCs w:val="20"/>
                <w:lang w:val="en-NZ"/>
              </w:rPr>
              <w:t>Comment</w:t>
            </w:r>
            <w:r w:rsidR="00136700" w:rsidRPr="003D3AFE">
              <w:rPr>
                <w:rFonts w:eastAsia="Calibri"/>
                <w:color w:val="000000"/>
                <w:szCs w:val="20"/>
                <w:lang w:val="en-NZ"/>
              </w:rPr>
              <w:br/>
            </w:r>
          </w:p>
        </w:tc>
        <w:tc>
          <w:tcPr>
            <w:tcW w:w="2835" w:type="dxa"/>
            <w:shd w:val="clear" w:color="auto" w:fill="99CDDD"/>
          </w:tcPr>
          <w:p w14:paraId="4E01756B" w14:textId="5D275CE1" w:rsidR="009D0B82" w:rsidRPr="003D3AFE" w:rsidRDefault="009D0B82" w:rsidP="00AE0D61">
            <w:pPr>
              <w:pStyle w:val="TableText"/>
              <w:keepNext/>
              <w:rPr>
                <w:rFonts w:eastAsia="Calibri"/>
                <w:b/>
                <w:color w:val="000000"/>
                <w:szCs w:val="20"/>
                <w:lang w:val="en-NZ"/>
              </w:rPr>
            </w:pPr>
            <w:r w:rsidRPr="003D3AFE">
              <w:rPr>
                <w:rFonts w:eastAsia="Calibri"/>
                <w:b/>
                <w:color w:val="000000"/>
                <w:szCs w:val="20"/>
                <w:lang w:val="en-NZ"/>
              </w:rPr>
              <w:t>Impact</w:t>
            </w:r>
            <w:r w:rsidR="00136700" w:rsidRPr="003D3AFE">
              <w:rPr>
                <w:rFonts w:eastAsia="Calibri"/>
                <w:b/>
                <w:color w:val="000000"/>
                <w:szCs w:val="20"/>
                <w:lang w:val="en-NZ"/>
              </w:rPr>
              <w:br/>
            </w:r>
          </w:p>
        </w:tc>
        <w:tc>
          <w:tcPr>
            <w:tcW w:w="1135" w:type="dxa"/>
            <w:shd w:val="clear" w:color="auto" w:fill="99CDDD"/>
          </w:tcPr>
          <w:p w14:paraId="29027758" w14:textId="3C837BA2" w:rsidR="009D0B82" w:rsidRPr="00045034" w:rsidRDefault="009D0B82" w:rsidP="00AE0D61">
            <w:pPr>
              <w:pStyle w:val="TableText"/>
              <w:keepNext/>
              <w:rPr>
                <w:rFonts w:eastAsia="Calibri"/>
                <w:bCs/>
                <w:i/>
                <w:iCs/>
                <w:color w:val="000000"/>
                <w:szCs w:val="20"/>
                <w:lang w:val="en-NZ"/>
              </w:rPr>
            </w:pPr>
            <w:r w:rsidRPr="003D3AFE">
              <w:rPr>
                <w:rFonts w:eastAsia="Calibri"/>
                <w:b/>
                <w:color w:val="000000"/>
                <w:szCs w:val="20"/>
                <w:lang w:val="en-NZ"/>
              </w:rPr>
              <w:t>Evidence Certainty</w:t>
            </w:r>
          </w:p>
        </w:tc>
      </w:tr>
      <w:tr w:rsidR="00136700" w:rsidRPr="00A864A5" w14:paraId="3BC25AF6" w14:textId="77777777" w:rsidTr="6956F314">
        <w:trPr>
          <w:trHeight w:val="391"/>
        </w:trPr>
        <w:tc>
          <w:tcPr>
            <w:tcW w:w="9777" w:type="dxa"/>
            <w:gridSpan w:val="4"/>
            <w:shd w:val="clear" w:color="auto" w:fill="99CDDD"/>
            <w:vAlign w:val="center"/>
          </w:tcPr>
          <w:p w14:paraId="183B7348" w14:textId="0B482915" w:rsidR="00136700" w:rsidRPr="003D3AFE" w:rsidRDefault="00136700" w:rsidP="00273FD3">
            <w:pPr>
              <w:keepNext/>
              <w:spacing w:before="40" w:after="20" w:line="240" w:lineRule="auto"/>
              <w:jc w:val="both"/>
              <w:rPr>
                <w:rFonts w:eastAsia="Calibri"/>
                <w:b/>
                <w:bCs/>
                <w:color w:val="000000"/>
                <w:sz w:val="20"/>
                <w:lang w:val="en-NZ"/>
              </w:rPr>
            </w:pPr>
            <w:r w:rsidRPr="003D3AFE">
              <w:rPr>
                <w:rFonts w:eastAsia="Calibri"/>
                <w:b/>
                <w:bCs/>
                <w:color w:val="000000"/>
                <w:sz w:val="20"/>
                <w:lang w:val="en-NZ"/>
              </w:rPr>
              <w:t xml:space="preserve">Additional costs of option </w:t>
            </w:r>
            <w:r w:rsidR="00905857">
              <w:rPr>
                <w:rFonts w:eastAsia="Calibri"/>
                <w:b/>
                <w:bCs/>
                <w:color w:val="000000"/>
                <w:sz w:val="20"/>
                <w:lang w:val="en-NZ"/>
              </w:rPr>
              <w:t xml:space="preserve">3 </w:t>
            </w:r>
            <w:r w:rsidRPr="003D3AFE">
              <w:rPr>
                <w:rFonts w:eastAsia="Calibri"/>
                <w:b/>
                <w:bCs/>
                <w:color w:val="000000"/>
                <w:sz w:val="20"/>
                <w:lang w:val="en-NZ"/>
              </w:rPr>
              <w:t>compared to taking no action</w:t>
            </w:r>
          </w:p>
        </w:tc>
      </w:tr>
      <w:tr w:rsidR="00136700" w:rsidRPr="00A864A5" w14:paraId="69C818D7" w14:textId="77777777" w:rsidTr="00E401FD">
        <w:trPr>
          <w:trHeight w:val="380"/>
        </w:trPr>
        <w:tc>
          <w:tcPr>
            <w:tcW w:w="1838" w:type="dxa"/>
            <w:shd w:val="clear" w:color="auto" w:fill="auto"/>
          </w:tcPr>
          <w:p w14:paraId="2A2865FC" w14:textId="3101814E" w:rsidR="009D0B82" w:rsidRPr="003D3AFE" w:rsidRDefault="009D0B82" w:rsidP="003D3AFE">
            <w:pPr>
              <w:pStyle w:val="TableText"/>
              <w:keepNext/>
              <w:rPr>
                <w:rFonts w:eastAsia="Calibri"/>
                <w:szCs w:val="20"/>
                <w:lang w:val="en-NZ"/>
              </w:rPr>
            </w:pPr>
            <w:r w:rsidRPr="003D3AFE">
              <w:rPr>
                <w:rFonts w:eastAsia="Calibri"/>
                <w:szCs w:val="20"/>
                <w:lang w:val="en-NZ"/>
              </w:rPr>
              <w:t>Regulated groups</w:t>
            </w:r>
            <w:r w:rsidR="00D9292C" w:rsidRPr="003D3AFE">
              <w:rPr>
                <w:rFonts w:eastAsia="Calibri"/>
                <w:szCs w:val="20"/>
                <w:lang w:val="en-NZ"/>
              </w:rPr>
              <w:t xml:space="preserve"> – residential property investors</w:t>
            </w:r>
          </w:p>
        </w:tc>
        <w:tc>
          <w:tcPr>
            <w:tcW w:w="3969" w:type="dxa"/>
            <w:shd w:val="clear" w:color="auto" w:fill="auto"/>
          </w:tcPr>
          <w:p w14:paraId="723DD30E" w14:textId="6D3B9B72" w:rsidR="009D0B82" w:rsidRPr="003D3AFE" w:rsidRDefault="00363955" w:rsidP="00E401FD">
            <w:pPr>
              <w:pStyle w:val="TableText"/>
              <w:keepNext/>
              <w:spacing w:before="0" w:after="120"/>
              <w:rPr>
                <w:szCs w:val="20"/>
              </w:rPr>
            </w:pPr>
            <w:r w:rsidRPr="003D3AFE">
              <w:rPr>
                <w:szCs w:val="20"/>
              </w:rPr>
              <w:t>Denying interest deductions for residential investment property</w:t>
            </w:r>
            <w:r w:rsidR="00045034" w:rsidRPr="003D3AFE">
              <w:rPr>
                <w:szCs w:val="20"/>
              </w:rPr>
              <w:t xml:space="preserve"> under </w:t>
            </w:r>
            <w:r w:rsidR="00142F0A">
              <w:rPr>
                <w:szCs w:val="20"/>
              </w:rPr>
              <w:t>Option 3</w:t>
            </w:r>
            <w:r w:rsidRPr="003D3AFE">
              <w:rPr>
                <w:szCs w:val="20"/>
              </w:rPr>
              <w:t xml:space="preserve"> would increase the tax cost of investment property compared to the status quo. All else being equal, this would put downward pressure on demand and therefore on property prices.</w:t>
            </w:r>
            <w:r w:rsidR="0081799F">
              <w:rPr>
                <w:szCs w:val="20"/>
              </w:rPr>
              <w:t xml:space="preserve"> </w:t>
            </w:r>
            <w:r w:rsidR="0081799F" w:rsidRPr="002B4EB1">
              <w:rPr>
                <w:szCs w:val="20"/>
              </w:rPr>
              <w:t xml:space="preserve">The impact </w:t>
            </w:r>
            <w:r w:rsidR="0081799F">
              <w:rPr>
                <w:szCs w:val="20"/>
              </w:rPr>
              <w:t xml:space="preserve">of Option 3 on </w:t>
            </w:r>
            <w:r w:rsidR="0081799F" w:rsidRPr="002B4EB1">
              <w:rPr>
                <w:szCs w:val="20"/>
              </w:rPr>
              <w:t xml:space="preserve">property prices would be </w:t>
            </w:r>
            <w:r w:rsidR="0081799F">
              <w:rPr>
                <w:szCs w:val="20"/>
              </w:rPr>
              <w:t>very difficult to determine</w:t>
            </w:r>
            <w:r w:rsidR="0081799F" w:rsidRPr="002B4EB1">
              <w:rPr>
                <w:szCs w:val="20"/>
              </w:rPr>
              <w:t>.</w:t>
            </w:r>
          </w:p>
          <w:p w14:paraId="37C37DAF" w14:textId="0F5BC034" w:rsidR="00045034" w:rsidRPr="002B4EB1" w:rsidRDefault="00D24826" w:rsidP="00E401FD">
            <w:pPr>
              <w:pStyle w:val="TableText"/>
              <w:keepNext/>
              <w:spacing w:before="0" w:after="120"/>
              <w:rPr>
                <w:szCs w:val="20"/>
              </w:rPr>
            </w:pPr>
            <w:r>
              <w:t xml:space="preserve">For the marginal investor, </w:t>
            </w:r>
            <w:r w:rsidR="00142F0A">
              <w:t>Option 3</w:t>
            </w:r>
            <w:r>
              <w:t xml:space="preserve"> could be the ‘tipping point,’ so they would forgo the purchase</w:t>
            </w:r>
            <w:r w:rsidR="002F3EB8">
              <w:t xml:space="preserve"> or sell their existing investment property</w:t>
            </w:r>
            <w:r>
              <w:t>, as other alternative investments become relatively more attractive. However, if the reduced return is still expected to be the highest yielding investment (adjusted for risk) then it is rational for them to purchase</w:t>
            </w:r>
            <w:r w:rsidR="002F3EB8">
              <w:t xml:space="preserve"> or retain</w:t>
            </w:r>
            <w:r>
              <w:t xml:space="preserve"> the property</w:t>
            </w:r>
            <w:r w:rsidR="00045034" w:rsidRPr="002B4EB1">
              <w:rPr>
                <w:szCs w:val="20"/>
              </w:rPr>
              <w:t>.</w:t>
            </w:r>
          </w:p>
          <w:p w14:paraId="6ADD4D7C" w14:textId="536C4037" w:rsidR="00045034" w:rsidRPr="00E401FD" w:rsidRDefault="00045034" w:rsidP="00E401FD">
            <w:pPr>
              <w:pStyle w:val="TableText"/>
              <w:keepNext/>
              <w:spacing w:before="0" w:after="120"/>
              <w:rPr>
                <w:szCs w:val="20"/>
              </w:rPr>
            </w:pPr>
            <w:r w:rsidRPr="002B4EB1">
              <w:rPr>
                <w:szCs w:val="20"/>
              </w:rPr>
              <w:t>Option 3 include</w:t>
            </w:r>
            <w:r w:rsidR="0097425E">
              <w:rPr>
                <w:szCs w:val="20"/>
              </w:rPr>
              <w:t>s</w:t>
            </w:r>
            <w:r w:rsidRPr="002B4EB1">
              <w:rPr>
                <w:szCs w:val="20"/>
              </w:rPr>
              <w:t xml:space="preserve"> a new build exemption, and therefore residential property investors could retain current tax settings through investing only in new builds. Option 3 would also assist in some fairness concerns that arise for those who have invested or are intending to invest in existing property. </w:t>
            </w:r>
          </w:p>
        </w:tc>
        <w:tc>
          <w:tcPr>
            <w:tcW w:w="2835" w:type="dxa"/>
            <w:shd w:val="clear" w:color="auto" w:fill="auto"/>
          </w:tcPr>
          <w:p w14:paraId="09F4C07A" w14:textId="7A6DCB1E" w:rsidR="003A0435" w:rsidRDefault="008F2042" w:rsidP="00E401FD">
            <w:pPr>
              <w:pStyle w:val="TableText"/>
              <w:keepNext/>
              <w:spacing w:before="0" w:after="120"/>
              <w:rPr>
                <w:szCs w:val="20"/>
              </w:rPr>
            </w:pPr>
            <w:r>
              <w:rPr>
                <w:szCs w:val="20"/>
              </w:rPr>
              <w:t>The additional tax paid by investors</w:t>
            </w:r>
            <w:r w:rsidR="00A244B6" w:rsidRPr="00A244B6">
              <w:t xml:space="preserve"> is expected to be $1.12</w:t>
            </w:r>
            <w:r w:rsidR="003236FE">
              <w:t xml:space="preserve"> </w:t>
            </w:r>
            <w:r w:rsidR="00A244B6" w:rsidRPr="00A244B6">
              <w:t>b</w:t>
            </w:r>
            <w:r w:rsidR="003236FE">
              <w:t>illio</w:t>
            </w:r>
            <w:r w:rsidR="00A244B6" w:rsidRPr="00A244B6">
              <w:t>n</w:t>
            </w:r>
            <w:r w:rsidR="00A244B6">
              <w:t xml:space="preserve"> over the forecast period</w:t>
            </w:r>
            <w:r w:rsidR="00447631">
              <w:t xml:space="preserve"> (2021/22 to 2024/25)</w:t>
            </w:r>
            <w:r w:rsidR="00AD5B37">
              <w:t xml:space="preserve">. </w:t>
            </w:r>
          </w:p>
          <w:p w14:paraId="4F5D4C84" w14:textId="22C75290" w:rsidR="003A0435" w:rsidRDefault="003A0435" w:rsidP="00E401FD">
            <w:pPr>
              <w:pStyle w:val="TableText"/>
              <w:keepNext/>
              <w:spacing w:before="0" w:after="120"/>
              <w:rPr>
                <w:szCs w:val="20"/>
              </w:rPr>
            </w:pPr>
            <w:r>
              <w:rPr>
                <w:rFonts w:eastAsia="Calibri"/>
                <w:szCs w:val="20"/>
                <w:lang w:val="en-NZ"/>
              </w:rPr>
              <w:t>The compliance and administration costs on residential property investors will be burdensome</w:t>
            </w:r>
            <w:r w:rsidR="008F2042">
              <w:rPr>
                <w:rFonts w:eastAsia="Calibri"/>
                <w:szCs w:val="20"/>
                <w:lang w:val="en-NZ"/>
              </w:rPr>
              <w:t xml:space="preserve"> and be an extra</w:t>
            </w:r>
            <w:r w:rsidR="00FB10A8">
              <w:rPr>
                <w:rFonts w:eastAsia="Calibri"/>
                <w:szCs w:val="20"/>
                <w:lang w:val="en-NZ"/>
              </w:rPr>
              <w:t xml:space="preserve"> cost </w:t>
            </w:r>
            <w:r w:rsidR="002C73D1">
              <w:rPr>
                <w:rFonts w:eastAsia="Calibri"/>
                <w:szCs w:val="20"/>
                <w:lang w:val="en-NZ"/>
              </w:rPr>
              <w:t>(</w:t>
            </w:r>
            <w:r w:rsidR="00FB10A8">
              <w:rPr>
                <w:rFonts w:eastAsia="Calibri"/>
                <w:szCs w:val="20"/>
                <w:lang w:val="en-NZ"/>
              </w:rPr>
              <w:t>in addition to the tax cost</w:t>
            </w:r>
            <w:r w:rsidR="002C73D1">
              <w:rPr>
                <w:rFonts w:eastAsia="Calibri"/>
                <w:szCs w:val="20"/>
                <w:lang w:val="en-NZ"/>
              </w:rPr>
              <w:t>)</w:t>
            </w:r>
            <w:r>
              <w:rPr>
                <w:rFonts w:eastAsia="Calibri"/>
                <w:szCs w:val="20"/>
                <w:lang w:val="en-NZ"/>
              </w:rPr>
              <w:t xml:space="preserve">. </w:t>
            </w:r>
            <w:r w:rsidR="002C73D1">
              <w:rPr>
                <w:rFonts w:eastAsia="Calibri"/>
                <w:szCs w:val="20"/>
                <w:lang w:val="en-NZ"/>
              </w:rPr>
              <w:t>Complying with the policy would</w:t>
            </w:r>
            <w:r>
              <w:rPr>
                <w:rFonts w:eastAsia="Calibri"/>
                <w:szCs w:val="20"/>
                <w:lang w:val="en-NZ"/>
              </w:rPr>
              <w:t xml:space="preserve"> </w:t>
            </w:r>
            <w:r w:rsidR="002C73D1">
              <w:rPr>
                <w:rFonts w:eastAsia="Calibri"/>
                <w:szCs w:val="20"/>
                <w:lang w:val="en-NZ"/>
              </w:rPr>
              <w:t xml:space="preserve">be </w:t>
            </w:r>
            <w:r>
              <w:rPr>
                <w:rFonts w:eastAsia="Calibri"/>
                <w:szCs w:val="20"/>
                <w:lang w:val="en-NZ"/>
              </w:rPr>
              <w:t>particularly difficult for investors without tax agents or who are relatively unsophisticated.</w:t>
            </w:r>
            <w:r w:rsidR="002C73D1">
              <w:rPr>
                <w:rFonts w:eastAsia="Calibri"/>
                <w:szCs w:val="20"/>
                <w:lang w:val="en-NZ"/>
              </w:rPr>
              <w:t xml:space="preserve"> Given the policy is a shift from the fundamental tax policy principle that interest expenditure for business purposes is generally deductible, boundary issues </w:t>
            </w:r>
            <w:r w:rsidR="00E4366B">
              <w:rPr>
                <w:rFonts w:eastAsia="Calibri"/>
                <w:szCs w:val="20"/>
                <w:lang w:val="en-NZ"/>
              </w:rPr>
              <w:t>would</w:t>
            </w:r>
            <w:r w:rsidR="002C73D1">
              <w:rPr>
                <w:rFonts w:eastAsia="Calibri"/>
                <w:szCs w:val="20"/>
                <w:lang w:val="en-NZ"/>
              </w:rPr>
              <w:t xml:space="preserve"> arise that investors </w:t>
            </w:r>
            <w:r w:rsidR="00E4366B">
              <w:rPr>
                <w:rFonts w:eastAsia="Calibri"/>
                <w:szCs w:val="20"/>
                <w:lang w:val="en-NZ"/>
              </w:rPr>
              <w:t>would</w:t>
            </w:r>
            <w:r w:rsidR="002C73D1">
              <w:rPr>
                <w:rFonts w:eastAsia="Calibri"/>
                <w:szCs w:val="20"/>
                <w:lang w:val="en-NZ"/>
              </w:rPr>
              <w:t xml:space="preserve"> be required to navigate.</w:t>
            </w:r>
          </w:p>
          <w:p w14:paraId="79F9BCBE" w14:textId="77777777" w:rsidR="003A0435" w:rsidRDefault="003A0435" w:rsidP="00E401FD">
            <w:pPr>
              <w:pStyle w:val="TableText"/>
              <w:keepNext/>
              <w:spacing w:before="0" w:after="120"/>
              <w:rPr>
                <w:szCs w:val="20"/>
              </w:rPr>
            </w:pPr>
          </w:p>
          <w:p w14:paraId="46F27F30" w14:textId="58E195BA" w:rsidR="003A0435" w:rsidRPr="003D3AFE" w:rsidRDefault="003A0435" w:rsidP="00E401FD">
            <w:pPr>
              <w:pStyle w:val="TableText"/>
              <w:keepNext/>
              <w:spacing w:before="0" w:after="120"/>
              <w:rPr>
                <w:rFonts w:eastAsia="Calibri"/>
                <w:szCs w:val="20"/>
                <w:lang w:val="en-NZ"/>
              </w:rPr>
            </w:pPr>
          </w:p>
        </w:tc>
        <w:tc>
          <w:tcPr>
            <w:tcW w:w="1135" w:type="dxa"/>
          </w:tcPr>
          <w:p w14:paraId="60063911" w14:textId="71885136" w:rsidR="009D0B82" w:rsidRPr="003D3AFE" w:rsidRDefault="005D2927" w:rsidP="00273FD3">
            <w:pPr>
              <w:pStyle w:val="TableText"/>
              <w:keepNext/>
              <w:jc w:val="both"/>
              <w:rPr>
                <w:rFonts w:eastAsia="Calibri"/>
                <w:szCs w:val="20"/>
                <w:lang w:val="en-NZ"/>
              </w:rPr>
            </w:pPr>
            <w:r w:rsidRPr="003D3AFE">
              <w:rPr>
                <w:rFonts w:eastAsia="Calibri"/>
                <w:szCs w:val="20"/>
                <w:lang w:val="en-NZ"/>
              </w:rPr>
              <w:t>Low</w:t>
            </w:r>
          </w:p>
        </w:tc>
      </w:tr>
      <w:tr w:rsidR="00136700" w:rsidRPr="00A864A5" w14:paraId="6C96536B" w14:textId="77777777" w:rsidTr="00E401FD">
        <w:trPr>
          <w:trHeight w:val="380"/>
        </w:trPr>
        <w:tc>
          <w:tcPr>
            <w:tcW w:w="1838" w:type="dxa"/>
            <w:shd w:val="clear" w:color="auto" w:fill="auto"/>
          </w:tcPr>
          <w:p w14:paraId="07EB9C17" w14:textId="0D38F59F" w:rsidR="009D0B82" w:rsidRPr="00045034" w:rsidRDefault="009D0B82" w:rsidP="003D3AFE">
            <w:pPr>
              <w:pStyle w:val="TableText"/>
              <w:keepNext/>
              <w:rPr>
                <w:rFonts w:eastAsia="Calibri"/>
                <w:szCs w:val="20"/>
                <w:lang w:val="en-NZ"/>
              </w:rPr>
            </w:pPr>
            <w:r w:rsidRPr="003D3AFE">
              <w:rPr>
                <w:rFonts w:eastAsia="Calibri"/>
                <w:szCs w:val="20"/>
                <w:lang w:val="en-NZ"/>
              </w:rPr>
              <w:t>Regulators</w:t>
            </w:r>
            <w:r w:rsidR="00893F41" w:rsidRPr="003D3AFE">
              <w:rPr>
                <w:rFonts w:eastAsia="Calibri"/>
                <w:szCs w:val="20"/>
                <w:lang w:val="en-NZ"/>
              </w:rPr>
              <w:t xml:space="preserve"> </w:t>
            </w:r>
            <w:r w:rsidR="0097425E">
              <w:rPr>
                <w:rFonts w:eastAsia="Calibri"/>
                <w:szCs w:val="20"/>
                <w:lang w:val="en-NZ"/>
              </w:rPr>
              <w:t>–</w:t>
            </w:r>
            <w:r w:rsidR="00893F41" w:rsidRPr="003D3AFE">
              <w:rPr>
                <w:rFonts w:eastAsia="Calibri"/>
                <w:szCs w:val="20"/>
                <w:lang w:val="en-NZ"/>
              </w:rPr>
              <w:t xml:space="preserve"> I</w:t>
            </w:r>
            <w:r w:rsidR="00EF2282">
              <w:rPr>
                <w:rFonts w:eastAsia="Calibri"/>
                <w:szCs w:val="20"/>
                <w:lang w:val="en-NZ"/>
              </w:rPr>
              <w:t xml:space="preserve">nland Revenue </w:t>
            </w:r>
          </w:p>
        </w:tc>
        <w:tc>
          <w:tcPr>
            <w:tcW w:w="3969" w:type="dxa"/>
            <w:shd w:val="clear" w:color="auto" w:fill="auto"/>
          </w:tcPr>
          <w:p w14:paraId="5DE5B82F" w14:textId="45F8C3D5" w:rsidR="009D0B82" w:rsidRPr="003D3AFE" w:rsidRDefault="00142F0A" w:rsidP="00E401FD">
            <w:pPr>
              <w:pStyle w:val="TableText"/>
              <w:keepNext/>
              <w:spacing w:before="0" w:after="120"/>
              <w:rPr>
                <w:rFonts w:eastAsia="Calibri"/>
                <w:lang w:val="en-NZ"/>
              </w:rPr>
            </w:pPr>
            <w:r>
              <w:t xml:space="preserve">Option 3 </w:t>
            </w:r>
            <w:r w:rsidR="00500290">
              <w:t xml:space="preserve">is complex and </w:t>
            </w:r>
            <w:r w:rsidR="006C278E">
              <w:t xml:space="preserve">will </w:t>
            </w:r>
            <w:r>
              <w:t xml:space="preserve">impose additional </w:t>
            </w:r>
            <w:r w:rsidR="00B34C55">
              <w:t xml:space="preserve">compliance </w:t>
            </w:r>
            <w:r w:rsidR="006C278E">
              <w:t xml:space="preserve">costs </w:t>
            </w:r>
            <w:r>
              <w:t xml:space="preserve">on </w:t>
            </w:r>
            <w:r w:rsidR="006C278E">
              <w:t>Inland Revenue</w:t>
            </w:r>
            <w:r w:rsidR="009E25D9">
              <w:t>.</w:t>
            </w:r>
            <w:r w:rsidR="006C278E">
              <w:t xml:space="preserve"> </w:t>
            </w:r>
            <w:r w:rsidR="5587DBEB">
              <w:t xml:space="preserve">Implementation and </w:t>
            </w:r>
            <w:r w:rsidR="2EB0C0DA">
              <w:t>o</w:t>
            </w:r>
            <w:r w:rsidR="36CD4611">
              <w:t>ngoing</w:t>
            </w:r>
            <w:r w:rsidR="009E25D9">
              <w:t xml:space="preserve"> </w:t>
            </w:r>
            <w:r w:rsidR="00B34C55">
              <w:t xml:space="preserve">administration demands </w:t>
            </w:r>
            <w:r w:rsidR="009E25D9">
              <w:t>will require Inland Revenue to</w:t>
            </w:r>
            <w:r w:rsidR="00B34C55">
              <w:t xml:space="preserve"> undertake </w:t>
            </w:r>
            <w:r w:rsidR="00500290" w:rsidRPr="00500290">
              <w:rPr>
                <w:rFonts w:eastAsia="Calibri"/>
                <w:lang w:val="en-NZ"/>
              </w:rPr>
              <w:t>proactive marketing and targeted education campaigns</w:t>
            </w:r>
            <w:r w:rsidR="00B34C55">
              <w:rPr>
                <w:rFonts w:eastAsia="Calibri"/>
                <w:lang w:val="en-NZ"/>
              </w:rPr>
              <w:t xml:space="preserve">, </w:t>
            </w:r>
            <w:r w:rsidR="00500290" w:rsidRPr="00500290">
              <w:rPr>
                <w:rFonts w:eastAsia="Calibri"/>
                <w:lang w:val="en-NZ"/>
              </w:rPr>
              <w:t>develop appropriate tools to assist customers to determine eligibility</w:t>
            </w:r>
            <w:r w:rsidR="00B34C55">
              <w:rPr>
                <w:rFonts w:eastAsia="Calibri"/>
                <w:lang w:val="en-NZ"/>
              </w:rPr>
              <w:t xml:space="preserve">, </w:t>
            </w:r>
            <w:r w:rsidR="00500290" w:rsidRPr="00500290">
              <w:rPr>
                <w:rFonts w:eastAsia="Calibri"/>
                <w:lang w:val="en-NZ"/>
              </w:rPr>
              <w:t>improv</w:t>
            </w:r>
            <w:r w:rsidR="00B34C55">
              <w:rPr>
                <w:rFonts w:eastAsia="Calibri"/>
                <w:lang w:val="en-NZ"/>
              </w:rPr>
              <w:t>e</w:t>
            </w:r>
            <w:r w:rsidR="00500290" w:rsidRPr="00500290">
              <w:rPr>
                <w:rFonts w:eastAsia="Calibri"/>
                <w:lang w:val="en-NZ"/>
              </w:rPr>
              <w:t xml:space="preserve"> Inland Revenue’s data and analytical capability</w:t>
            </w:r>
            <w:r w:rsidR="00B34C55">
              <w:rPr>
                <w:rFonts w:eastAsia="Calibri"/>
                <w:lang w:val="en-NZ"/>
              </w:rPr>
              <w:t>,</w:t>
            </w:r>
            <w:r w:rsidR="00500290" w:rsidRPr="00500290">
              <w:rPr>
                <w:rFonts w:eastAsia="Calibri"/>
                <w:lang w:val="en-NZ"/>
              </w:rPr>
              <w:t xml:space="preserve"> and tak</w:t>
            </w:r>
            <w:r w:rsidR="00B34C55">
              <w:rPr>
                <w:rFonts w:eastAsia="Calibri"/>
                <w:lang w:val="en-NZ"/>
              </w:rPr>
              <w:t>e</w:t>
            </w:r>
            <w:r w:rsidR="00500290" w:rsidRPr="00500290">
              <w:rPr>
                <w:rFonts w:eastAsia="Calibri"/>
                <w:lang w:val="en-NZ"/>
              </w:rPr>
              <w:t xml:space="preserve"> audit action to address deliberate non-compliance.  </w:t>
            </w:r>
          </w:p>
        </w:tc>
        <w:tc>
          <w:tcPr>
            <w:tcW w:w="2835" w:type="dxa"/>
            <w:shd w:val="clear" w:color="auto" w:fill="auto"/>
          </w:tcPr>
          <w:p w14:paraId="50D7CCCC" w14:textId="1653694B" w:rsidR="009D0B82" w:rsidRPr="0052460E" w:rsidRDefault="76D02AD0" w:rsidP="00E401FD">
            <w:pPr>
              <w:pStyle w:val="TableText"/>
              <w:keepNext/>
              <w:spacing w:before="0" w:after="120"/>
              <w:rPr>
                <w:rFonts w:eastAsia="Calibri"/>
                <w:lang w:val="en-NZ"/>
              </w:rPr>
            </w:pPr>
            <w:r w:rsidRPr="0052460E">
              <w:rPr>
                <w:lang w:val="en-NZ"/>
              </w:rPr>
              <w:t>The</w:t>
            </w:r>
            <w:r w:rsidR="21107D41" w:rsidRPr="0052460E">
              <w:rPr>
                <w:lang w:val="en-NZ"/>
              </w:rPr>
              <w:t xml:space="preserve"> </w:t>
            </w:r>
            <w:r w:rsidRPr="0052460E">
              <w:rPr>
                <w:lang w:val="en-NZ"/>
              </w:rPr>
              <w:t xml:space="preserve">expected administration costs </w:t>
            </w:r>
            <w:r w:rsidR="00B34C55" w:rsidRPr="0052460E">
              <w:rPr>
                <w:lang w:val="en-NZ"/>
              </w:rPr>
              <w:t>arising from</w:t>
            </w:r>
            <w:r w:rsidRPr="0052460E">
              <w:rPr>
                <w:lang w:val="en-NZ"/>
              </w:rPr>
              <w:t xml:space="preserve"> </w:t>
            </w:r>
            <w:r w:rsidR="00905F8E" w:rsidRPr="0052460E">
              <w:rPr>
                <w:lang w:val="en-NZ"/>
              </w:rPr>
              <w:t>O</w:t>
            </w:r>
            <w:r w:rsidRPr="0052460E">
              <w:rPr>
                <w:lang w:val="en-NZ"/>
              </w:rPr>
              <w:t>ption 3 is estimated to b</w:t>
            </w:r>
            <w:r w:rsidR="47A06EEA" w:rsidRPr="0052460E">
              <w:rPr>
                <w:lang w:val="en-NZ"/>
              </w:rPr>
              <w:t>e</w:t>
            </w:r>
            <w:r w:rsidR="0052460E">
              <w:rPr>
                <w:lang w:val="en-NZ"/>
              </w:rPr>
              <w:t xml:space="preserve"> $19.38 million over the forecast period (2021/22 to 2024/5).</w:t>
            </w:r>
            <w:r w:rsidR="00EF2282" w:rsidRPr="0052460E">
              <w:t xml:space="preserve"> </w:t>
            </w:r>
            <w:r w:rsidR="00714799" w:rsidRPr="0052460E">
              <w:t>While a significant proportion of administration costs will be incurred within the next four years, Inland Revenue will have ongoing administration costs.</w:t>
            </w:r>
          </w:p>
        </w:tc>
        <w:tc>
          <w:tcPr>
            <w:tcW w:w="1135" w:type="dxa"/>
          </w:tcPr>
          <w:p w14:paraId="01D89344" w14:textId="5C678923" w:rsidR="009D0B82" w:rsidRPr="00462D55" w:rsidRDefault="00462D55" w:rsidP="6956F314">
            <w:pPr>
              <w:pStyle w:val="TableText"/>
              <w:keepNext/>
              <w:jc w:val="both"/>
              <w:rPr>
                <w:rFonts w:eastAsia="Calibri"/>
                <w:lang w:val="en-NZ"/>
              </w:rPr>
            </w:pPr>
            <w:r w:rsidRPr="6956F314">
              <w:rPr>
                <w:rFonts w:eastAsia="Calibri"/>
                <w:lang w:val="en-NZ"/>
              </w:rPr>
              <w:t>Medium</w:t>
            </w:r>
          </w:p>
        </w:tc>
      </w:tr>
      <w:tr w:rsidR="0097425E" w:rsidRPr="00A864A5" w14:paraId="27FD1F3F" w14:textId="77777777" w:rsidTr="00E401FD">
        <w:trPr>
          <w:trHeight w:val="380"/>
        </w:trPr>
        <w:tc>
          <w:tcPr>
            <w:tcW w:w="1838" w:type="dxa"/>
            <w:shd w:val="clear" w:color="auto" w:fill="auto"/>
          </w:tcPr>
          <w:p w14:paraId="0622B90A" w14:textId="1D0D7839" w:rsidR="0097425E" w:rsidRPr="00045034" w:rsidRDefault="00FC076F" w:rsidP="003D3AFE">
            <w:pPr>
              <w:pStyle w:val="TableText"/>
              <w:keepNext/>
              <w:rPr>
                <w:rFonts w:eastAsia="Calibri"/>
                <w:szCs w:val="20"/>
                <w:lang w:val="en-NZ"/>
              </w:rPr>
            </w:pPr>
            <w:r>
              <w:rPr>
                <w:rFonts w:eastAsia="Calibri"/>
                <w:szCs w:val="20"/>
                <w:lang w:val="en-NZ"/>
              </w:rPr>
              <w:t xml:space="preserve">Other interested party </w:t>
            </w:r>
            <w:r w:rsidR="0097425E">
              <w:rPr>
                <w:rFonts w:eastAsia="Calibri"/>
                <w:szCs w:val="20"/>
                <w:lang w:val="en-NZ"/>
              </w:rPr>
              <w:t xml:space="preserve">– Renters </w:t>
            </w:r>
          </w:p>
        </w:tc>
        <w:tc>
          <w:tcPr>
            <w:tcW w:w="3969" w:type="dxa"/>
            <w:shd w:val="clear" w:color="auto" w:fill="auto"/>
          </w:tcPr>
          <w:p w14:paraId="488C0E4E" w14:textId="6A5CC73E" w:rsidR="0097425E" w:rsidRPr="00834B91" w:rsidRDefault="00142F0A" w:rsidP="00E401FD">
            <w:pPr>
              <w:pStyle w:val="TableText"/>
              <w:keepNext/>
              <w:spacing w:before="0" w:after="120"/>
              <w:rPr>
                <w:szCs w:val="20"/>
              </w:rPr>
            </w:pPr>
            <w:r>
              <w:rPr>
                <w:szCs w:val="20"/>
              </w:rPr>
              <w:t>Option 3</w:t>
            </w:r>
            <w:r w:rsidR="0097425E" w:rsidRPr="00834B91">
              <w:rPr>
                <w:szCs w:val="20"/>
              </w:rPr>
              <w:t xml:space="preserve"> may put upward pressure on rents through decreasing rental supply</w:t>
            </w:r>
            <w:r w:rsidR="00462D55">
              <w:rPr>
                <w:szCs w:val="20"/>
              </w:rPr>
              <w:t xml:space="preserve"> in the long term</w:t>
            </w:r>
            <w:r w:rsidR="0097425E" w:rsidRPr="00834B91">
              <w:rPr>
                <w:szCs w:val="20"/>
              </w:rPr>
              <w:t xml:space="preserve">. This means renters may be negatively impacted by the proposals. </w:t>
            </w:r>
            <w:r w:rsidR="0097425E">
              <w:rPr>
                <w:szCs w:val="20"/>
              </w:rPr>
              <w:t xml:space="preserve">Depending on how prices react to a new build exemption under </w:t>
            </w:r>
            <w:r w:rsidR="00C01E90">
              <w:rPr>
                <w:szCs w:val="20"/>
              </w:rPr>
              <w:t xml:space="preserve">Option </w:t>
            </w:r>
            <w:r w:rsidR="0097425E">
              <w:rPr>
                <w:szCs w:val="20"/>
              </w:rPr>
              <w:t>3, this may lead to differences in rent for new builds compared to existing builds.</w:t>
            </w:r>
          </w:p>
          <w:p w14:paraId="643A01DD" w14:textId="02E9AA97" w:rsidR="0097425E" w:rsidRPr="00834B91" w:rsidRDefault="0097425E" w:rsidP="00E401FD">
            <w:pPr>
              <w:pStyle w:val="TableText"/>
              <w:keepNext/>
              <w:spacing w:before="0" w:after="120"/>
              <w:rPr>
                <w:szCs w:val="20"/>
              </w:rPr>
            </w:pPr>
            <w:r w:rsidRPr="00834B91">
              <w:rPr>
                <w:szCs w:val="20"/>
              </w:rPr>
              <w:t xml:space="preserve">Increased rents may impact tenants’ living standards as it may mean that housing costs are high compared to their incomes or they are forced to live in premises that are not suitable for the number of </w:t>
            </w:r>
            <w:r w:rsidR="000346B6" w:rsidRPr="00834B91">
              <w:rPr>
                <w:szCs w:val="20"/>
              </w:rPr>
              <w:t>occupants and</w:t>
            </w:r>
            <w:r w:rsidRPr="00834B91">
              <w:rPr>
                <w:szCs w:val="20"/>
              </w:rPr>
              <w:t xml:space="preserve"> limit their level of privacy and personal space. It may also cause crowding. </w:t>
            </w:r>
          </w:p>
          <w:p w14:paraId="7D215A78" w14:textId="7DB5455C" w:rsidR="0097425E" w:rsidRPr="00045034" w:rsidRDefault="0097425E" w:rsidP="00E401FD">
            <w:pPr>
              <w:pStyle w:val="TableText"/>
              <w:keepNext/>
              <w:spacing w:before="0" w:after="120"/>
              <w:rPr>
                <w:szCs w:val="20"/>
              </w:rPr>
            </w:pPr>
            <w:r w:rsidRPr="00834B91">
              <w:rPr>
                <w:szCs w:val="20"/>
              </w:rPr>
              <w:t xml:space="preserve">Overall, this would reduce their financial and social capitals. To the extent that </w:t>
            </w:r>
            <w:r w:rsidR="00142F0A">
              <w:rPr>
                <w:szCs w:val="20"/>
              </w:rPr>
              <w:t>Option 3</w:t>
            </w:r>
            <w:r w:rsidRPr="00834B91">
              <w:rPr>
                <w:szCs w:val="20"/>
              </w:rPr>
              <w:t xml:space="preserve"> place</w:t>
            </w:r>
            <w:r w:rsidR="00142F0A">
              <w:rPr>
                <w:szCs w:val="20"/>
              </w:rPr>
              <w:t>s</w:t>
            </w:r>
            <w:r w:rsidRPr="00834B91">
              <w:rPr>
                <w:szCs w:val="20"/>
              </w:rPr>
              <w:t xml:space="preserve"> upward pressure on rents, this appears more likely to disproportionately impact low-income households, young people, Māori, and Pacific peoples, who are less likely to own their home relative to the general population. In addition, as around 43</w:t>
            </w:r>
            <w:r w:rsidR="007316BC">
              <w:rPr>
                <w:szCs w:val="20"/>
              </w:rPr>
              <w:t xml:space="preserve"> percent</w:t>
            </w:r>
            <w:r w:rsidRPr="00834B91">
              <w:rPr>
                <w:szCs w:val="20"/>
              </w:rPr>
              <w:t xml:space="preserve"> of children are living in rental accommodation, upward pressure on rents could have negative impacts on child wellbeing and child poverty. Some renters may take advantage of lower house prices to become owner-occupiers. This would give them the opportunity to increase their financial and social capitals.</w:t>
            </w:r>
            <w:r w:rsidR="00142F0A">
              <w:rPr>
                <w:szCs w:val="20"/>
              </w:rPr>
              <w:t xml:space="preserve"> The status quo would not provide any additional negative impacts that Option 3 may impose. </w:t>
            </w:r>
          </w:p>
        </w:tc>
        <w:tc>
          <w:tcPr>
            <w:tcW w:w="2835" w:type="dxa"/>
            <w:shd w:val="clear" w:color="auto" w:fill="auto"/>
          </w:tcPr>
          <w:p w14:paraId="562B42B0" w14:textId="77777777" w:rsidR="0097425E" w:rsidRDefault="0097425E" w:rsidP="00E401FD">
            <w:pPr>
              <w:pStyle w:val="TableText"/>
              <w:keepNext/>
              <w:spacing w:before="0" w:after="120"/>
              <w:rPr>
                <w:szCs w:val="20"/>
              </w:rPr>
            </w:pPr>
            <w:r w:rsidRPr="00834B91">
              <w:rPr>
                <w:szCs w:val="20"/>
              </w:rPr>
              <w:t>The overall change in demand (which influences the rental price), will depend on the extent to which people alter behaviour in response to the price change. This could be in the form of a transition to home-ownership (for the higher-income renters), a move down the housing spectrum (e.g. a younger person may move back in with their parents), or an increase in household occupancy rates to spread the rental costs over more people</w:t>
            </w:r>
            <w:r w:rsidR="00CC1CF5">
              <w:rPr>
                <w:szCs w:val="20"/>
              </w:rPr>
              <w:t>.</w:t>
            </w:r>
          </w:p>
          <w:p w14:paraId="215D41C9" w14:textId="77777777" w:rsidR="0059479A" w:rsidRDefault="0059479A" w:rsidP="00E401FD">
            <w:pPr>
              <w:pStyle w:val="TableText"/>
              <w:keepNext/>
              <w:spacing w:before="0" w:after="120"/>
              <w:rPr>
                <w:szCs w:val="20"/>
              </w:rPr>
            </w:pPr>
          </w:p>
          <w:p w14:paraId="0398A363" w14:textId="54AA3918" w:rsidR="0059479A" w:rsidRPr="00045034" w:rsidRDefault="0059479A" w:rsidP="00E401FD">
            <w:pPr>
              <w:pStyle w:val="TableText"/>
              <w:keepNext/>
              <w:spacing w:before="0" w:after="120"/>
              <w:rPr>
                <w:rFonts w:eastAsia="Calibri"/>
                <w:szCs w:val="20"/>
                <w:lang w:val="en-NZ"/>
              </w:rPr>
            </w:pPr>
          </w:p>
        </w:tc>
        <w:tc>
          <w:tcPr>
            <w:tcW w:w="1135" w:type="dxa"/>
          </w:tcPr>
          <w:p w14:paraId="11C0AEC3" w14:textId="70103993" w:rsidR="0097425E" w:rsidRPr="00045034" w:rsidRDefault="0097425E" w:rsidP="0097425E">
            <w:pPr>
              <w:pStyle w:val="TableText"/>
              <w:keepNext/>
              <w:jc w:val="both"/>
              <w:rPr>
                <w:rFonts w:eastAsia="Calibri"/>
                <w:szCs w:val="20"/>
                <w:lang w:val="en-NZ"/>
              </w:rPr>
            </w:pPr>
            <w:r w:rsidRPr="00834B91">
              <w:rPr>
                <w:rFonts w:eastAsia="Calibri"/>
                <w:szCs w:val="20"/>
                <w:lang w:val="en-NZ"/>
              </w:rPr>
              <w:t>Low</w:t>
            </w:r>
          </w:p>
        </w:tc>
      </w:tr>
      <w:tr w:rsidR="0097425E" w:rsidRPr="00A864A5" w14:paraId="2C9084A3" w14:textId="77777777" w:rsidTr="00E401FD">
        <w:trPr>
          <w:trHeight w:val="380"/>
        </w:trPr>
        <w:tc>
          <w:tcPr>
            <w:tcW w:w="1838" w:type="dxa"/>
            <w:shd w:val="clear" w:color="auto" w:fill="auto"/>
          </w:tcPr>
          <w:p w14:paraId="353DBAEF" w14:textId="6C745805" w:rsidR="0097425E" w:rsidRDefault="00FC076F" w:rsidP="0097425E">
            <w:pPr>
              <w:pStyle w:val="TableText"/>
              <w:keepNext/>
              <w:rPr>
                <w:rFonts w:eastAsia="Calibri"/>
                <w:szCs w:val="20"/>
                <w:lang w:val="en-NZ"/>
              </w:rPr>
            </w:pPr>
            <w:r>
              <w:rPr>
                <w:rFonts w:eastAsia="Calibri"/>
                <w:szCs w:val="20"/>
                <w:lang w:val="en-NZ"/>
              </w:rPr>
              <w:t xml:space="preserve">Other interested party </w:t>
            </w:r>
            <w:r w:rsidR="0097425E">
              <w:rPr>
                <w:rFonts w:eastAsia="Calibri"/>
                <w:szCs w:val="20"/>
                <w:lang w:val="en-NZ"/>
              </w:rPr>
              <w:t>– current owner-occupie</w:t>
            </w:r>
            <w:r w:rsidR="00555234">
              <w:rPr>
                <w:rFonts w:eastAsia="Calibri"/>
                <w:szCs w:val="20"/>
                <w:lang w:val="en-NZ"/>
              </w:rPr>
              <w:t>r</w:t>
            </w:r>
            <w:r w:rsidR="0097425E">
              <w:rPr>
                <w:rFonts w:eastAsia="Calibri"/>
                <w:szCs w:val="20"/>
                <w:lang w:val="en-NZ"/>
              </w:rPr>
              <w:t>s</w:t>
            </w:r>
          </w:p>
        </w:tc>
        <w:tc>
          <w:tcPr>
            <w:tcW w:w="3969" w:type="dxa"/>
            <w:shd w:val="clear" w:color="auto" w:fill="auto"/>
          </w:tcPr>
          <w:p w14:paraId="1C393A58" w14:textId="0D96821F" w:rsidR="0097425E" w:rsidRPr="00834B91" w:rsidRDefault="002B269D" w:rsidP="00E401FD">
            <w:pPr>
              <w:pStyle w:val="TableText"/>
              <w:keepNext/>
              <w:spacing w:before="0" w:after="120"/>
              <w:rPr>
                <w:szCs w:val="20"/>
              </w:rPr>
            </w:pPr>
            <w:r>
              <w:rPr>
                <w:szCs w:val="20"/>
              </w:rPr>
              <w:t xml:space="preserve">Owner-occupiers are not currently able to deduct interest expenditure from their income, therefore </w:t>
            </w:r>
            <w:r w:rsidR="00C01E90">
              <w:rPr>
                <w:szCs w:val="20"/>
              </w:rPr>
              <w:t>Option 3</w:t>
            </w:r>
            <w:r>
              <w:rPr>
                <w:szCs w:val="20"/>
              </w:rPr>
              <w:t xml:space="preserve"> will have no direct cost. However, given </w:t>
            </w:r>
            <w:r w:rsidR="00C01E90">
              <w:rPr>
                <w:szCs w:val="20"/>
              </w:rPr>
              <w:t>Option 3</w:t>
            </w:r>
            <w:r>
              <w:rPr>
                <w:szCs w:val="20"/>
              </w:rPr>
              <w:t xml:space="preserve"> is expected to (somewhat) impact house prices, the</w:t>
            </w:r>
            <w:r w:rsidR="00097522">
              <w:rPr>
                <w:szCs w:val="20"/>
              </w:rPr>
              <w:t xml:space="preserve"> sale</w:t>
            </w:r>
            <w:r>
              <w:rPr>
                <w:szCs w:val="20"/>
              </w:rPr>
              <w:t xml:space="preserve"> price that an owner-occupier could achieve if </w:t>
            </w:r>
            <w:r w:rsidR="00C01E90">
              <w:rPr>
                <w:szCs w:val="20"/>
              </w:rPr>
              <w:t>Option 3</w:t>
            </w:r>
            <w:r>
              <w:rPr>
                <w:szCs w:val="20"/>
              </w:rPr>
              <w:t xml:space="preserve"> is implemented may be lower than the </w:t>
            </w:r>
            <w:r w:rsidR="00097522">
              <w:rPr>
                <w:szCs w:val="20"/>
              </w:rPr>
              <w:t xml:space="preserve">sale </w:t>
            </w:r>
            <w:r>
              <w:rPr>
                <w:szCs w:val="20"/>
              </w:rPr>
              <w:t xml:space="preserve">price they could have achieved if the status quo was retained. </w:t>
            </w:r>
          </w:p>
        </w:tc>
        <w:tc>
          <w:tcPr>
            <w:tcW w:w="2835" w:type="dxa"/>
            <w:shd w:val="clear" w:color="auto" w:fill="auto"/>
          </w:tcPr>
          <w:p w14:paraId="5A7FFB70" w14:textId="329EA8EB" w:rsidR="0097425E" w:rsidRPr="00834B91" w:rsidRDefault="00684463" w:rsidP="00E401FD">
            <w:pPr>
              <w:pStyle w:val="TableText"/>
              <w:keepNext/>
              <w:spacing w:before="0" w:after="120"/>
              <w:rPr>
                <w:szCs w:val="20"/>
              </w:rPr>
            </w:pPr>
            <w:r w:rsidRPr="002B4EB1">
              <w:rPr>
                <w:szCs w:val="20"/>
              </w:rPr>
              <w:t xml:space="preserve">The impact </w:t>
            </w:r>
            <w:r>
              <w:rPr>
                <w:szCs w:val="20"/>
              </w:rPr>
              <w:t xml:space="preserve">of Option 3 on </w:t>
            </w:r>
            <w:r w:rsidRPr="002B4EB1">
              <w:rPr>
                <w:szCs w:val="20"/>
              </w:rPr>
              <w:t xml:space="preserve">property prices would be </w:t>
            </w:r>
            <w:r>
              <w:rPr>
                <w:szCs w:val="20"/>
              </w:rPr>
              <w:t>very difficult to determine</w:t>
            </w:r>
            <w:r w:rsidRPr="002B4EB1">
              <w:rPr>
                <w:szCs w:val="20"/>
              </w:rPr>
              <w:t>.</w:t>
            </w:r>
          </w:p>
        </w:tc>
        <w:tc>
          <w:tcPr>
            <w:tcW w:w="1135" w:type="dxa"/>
          </w:tcPr>
          <w:p w14:paraId="7ADDDDBD" w14:textId="4A399892" w:rsidR="0097425E" w:rsidRPr="00834B91" w:rsidRDefault="006A017E" w:rsidP="0097425E">
            <w:pPr>
              <w:pStyle w:val="TableText"/>
              <w:keepNext/>
              <w:jc w:val="both"/>
              <w:rPr>
                <w:rFonts w:eastAsia="Calibri"/>
                <w:szCs w:val="20"/>
                <w:lang w:val="en-NZ"/>
              </w:rPr>
            </w:pPr>
            <w:r>
              <w:rPr>
                <w:rFonts w:eastAsia="Calibri"/>
                <w:szCs w:val="20"/>
                <w:lang w:val="en-NZ"/>
              </w:rPr>
              <w:t>Low</w:t>
            </w:r>
          </w:p>
        </w:tc>
      </w:tr>
      <w:tr w:rsidR="0097425E" w:rsidRPr="00A864A5" w14:paraId="01F0A974" w14:textId="77777777" w:rsidTr="00E401FD">
        <w:trPr>
          <w:trHeight w:val="380"/>
        </w:trPr>
        <w:tc>
          <w:tcPr>
            <w:tcW w:w="1838" w:type="dxa"/>
            <w:shd w:val="clear" w:color="auto" w:fill="auto"/>
          </w:tcPr>
          <w:p w14:paraId="750CD4E4" w14:textId="243800B5" w:rsidR="0097425E" w:rsidRPr="00834B91" w:rsidRDefault="00FC076F" w:rsidP="0097425E">
            <w:pPr>
              <w:pStyle w:val="TableText"/>
              <w:keepNext/>
              <w:rPr>
                <w:rFonts w:eastAsia="Calibri"/>
                <w:szCs w:val="20"/>
                <w:lang w:val="en-NZ"/>
              </w:rPr>
            </w:pPr>
            <w:r>
              <w:rPr>
                <w:rFonts w:eastAsia="Calibri"/>
                <w:szCs w:val="20"/>
                <w:lang w:val="en-NZ"/>
              </w:rPr>
              <w:t>Other interested party</w:t>
            </w:r>
            <w:r w:rsidR="0097425E" w:rsidRPr="00834B91">
              <w:rPr>
                <w:rFonts w:eastAsia="Calibri"/>
                <w:szCs w:val="20"/>
                <w:lang w:val="en-NZ"/>
              </w:rPr>
              <w:t xml:space="preserve"> – macro-financial stability (including banks)</w:t>
            </w:r>
          </w:p>
        </w:tc>
        <w:tc>
          <w:tcPr>
            <w:tcW w:w="3969" w:type="dxa"/>
            <w:shd w:val="clear" w:color="auto" w:fill="auto"/>
          </w:tcPr>
          <w:p w14:paraId="085016FB" w14:textId="1D577456" w:rsidR="0097425E" w:rsidRPr="00834B91" w:rsidRDefault="0097425E" w:rsidP="00E401FD">
            <w:pPr>
              <w:pStyle w:val="TableText"/>
              <w:keepNext/>
              <w:spacing w:before="0" w:after="120"/>
              <w:rPr>
                <w:rFonts w:eastAsia="Calibri"/>
                <w:szCs w:val="20"/>
                <w:lang w:val="en-NZ"/>
              </w:rPr>
            </w:pPr>
            <w:r w:rsidRPr="00834B91">
              <w:rPr>
                <w:szCs w:val="20"/>
              </w:rPr>
              <w:t xml:space="preserve">To the extent that </w:t>
            </w:r>
            <w:r w:rsidR="009D7BA5">
              <w:rPr>
                <w:szCs w:val="20"/>
              </w:rPr>
              <w:t>Option 3</w:t>
            </w:r>
            <w:r w:rsidRPr="00834B91">
              <w:rPr>
                <w:szCs w:val="20"/>
              </w:rPr>
              <w:t xml:space="preserve"> succeeds in reducing demand from residential property investors, this reduction in aggregate demand for residential property at the margin may reduce price pressures, all else being equal. If there was a large price impact, this may have a negative impact at the margins for banks.</w:t>
            </w:r>
          </w:p>
        </w:tc>
        <w:tc>
          <w:tcPr>
            <w:tcW w:w="2835" w:type="dxa"/>
            <w:shd w:val="clear" w:color="auto" w:fill="auto"/>
          </w:tcPr>
          <w:p w14:paraId="038E613F" w14:textId="77777777" w:rsidR="0097425E" w:rsidRPr="00834B91" w:rsidRDefault="0097425E" w:rsidP="00E401FD">
            <w:pPr>
              <w:pStyle w:val="TableText"/>
              <w:keepNext/>
              <w:spacing w:before="0" w:after="120"/>
              <w:rPr>
                <w:rFonts w:eastAsia="Calibri"/>
                <w:szCs w:val="20"/>
                <w:lang w:val="en-NZ"/>
              </w:rPr>
            </w:pPr>
            <w:r w:rsidRPr="00834B91">
              <w:rPr>
                <w:szCs w:val="20"/>
              </w:rPr>
              <w:t>The impact for banks is unquantifiable but is unlikely to be significant.</w:t>
            </w:r>
          </w:p>
        </w:tc>
        <w:tc>
          <w:tcPr>
            <w:tcW w:w="1135" w:type="dxa"/>
          </w:tcPr>
          <w:p w14:paraId="08355AFF" w14:textId="77777777" w:rsidR="0097425E" w:rsidRPr="00834B91" w:rsidRDefault="0097425E" w:rsidP="0097425E">
            <w:pPr>
              <w:pStyle w:val="TableText"/>
              <w:keepNext/>
              <w:jc w:val="both"/>
              <w:rPr>
                <w:rFonts w:eastAsia="Calibri"/>
                <w:szCs w:val="20"/>
                <w:lang w:val="en-NZ"/>
              </w:rPr>
            </w:pPr>
            <w:r w:rsidRPr="00834B91">
              <w:rPr>
                <w:rFonts w:eastAsia="Calibri"/>
                <w:szCs w:val="20"/>
                <w:lang w:val="en-NZ"/>
              </w:rPr>
              <w:t>Low</w:t>
            </w:r>
          </w:p>
        </w:tc>
      </w:tr>
      <w:tr w:rsidR="0097425E" w:rsidRPr="00A864A5" w14:paraId="1EC05492" w14:textId="77777777" w:rsidTr="00E401FD">
        <w:trPr>
          <w:trHeight w:val="263"/>
        </w:trPr>
        <w:tc>
          <w:tcPr>
            <w:tcW w:w="1838" w:type="dxa"/>
            <w:shd w:val="clear" w:color="auto" w:fill="auto"/>
          </w:tcPr>
          <w:p w14:paraId="5E0B2728" w14:textId="7E9CACFC" w:rsidR="0097425E" w:rsidRPr="003D3AFE" w:rsidRDefault="00FC076F" w:rsidP="003D3AFE">
            <w:pPr>
              <w:pStyle w:val="TableText"/>
              <w:keepNext/>
              <w:rPr>
                <w:rFonts w:eastAsia="Calibri" w:cs="Arial"/>
                <w:color w:val="000000"/>
                <w:szCs w:val="20"/>
                <w:lang w:val="en-NZ"/>
              </w:rPr>
            </w:pPr>
            <w:r>
              <w:rPr>
                <w:rFonts w:eastAsia="Calibri"/>
                <w:szCs w:val="20"/>
                <w:lang w:val="en-NZ"/>
              </w:rPr>
              <w:t>Other interested party</w:t>
            </w:r>
            <w:r>
              <w:rPr>
                <w:rFonts w:eastAsia="Calibri"/>
                <w:color w:val="000000"/>
                <w:szCs w:val="20"/>
                <w:lang w:val="en-NZ"/>
              </w:rPr>
              <w:t xml:space="preserve"> </w:t>
            </w:r>
            <w:r w:rsidR="0097425E">
              <w:rPr>
                <w:rFonts w:eastAsia="Calibri"/>
                <w:color w:val="000000"/>
                <w:szCs w:val="20"/>
                <w:lang w:val="en-NZ"/>
              </w:rPr>
              <w:t xml:space="preserve">– </w:t>
            </w:r>
            <w:r w:rsidR="0097425E" w:rsidRPr="003D3AFE">
              <w:rPr>
                <w:rFonts w:eastAsia="Calibri"/>
                <w:color w:val="000000"/>
                <w:szCs w:val="20"/>
                <w:lang w:val="en-NZ"/>
              </w:rPr>
              <w:t>wider gov</w:t>
            </w:r>
            <w:r w:rsidR="0097425E">
              <w:rPr>
                <w:rFonts w:eastAsia="Calibri"/>
                <w:color w:val="000000"/>
                <w:szCs w:val="20"/>
                <w:lang w:val="en-NZ"/>
              </w:rPr>
              <w:t>ernment</w:t>
            </w:r>
          </w:p>
        </w:tc>
        <w:tc>
          <w:tcPr>
            <w:tcW w:w="3969" w:type="dxa"/>
            <w:shd w:val="clear" w:color="auto" w:fill="auto"/>
          </w:tcPr>
          <w:p w14:paraId="6CEA210A" w14:textId="5BA529DE" w:rsidR="0097425E" w:rsidRPr="003D3AFE" w:rsidRDefault="0097425E" w:rsidP="00E401FD">
            <w:pPr>
              <w:pStyle w:val="TableText"/>
              <w:keepNext/>
              <w:spacing w:before="0" w:after="120"/>
              <w:rPr>
                <w:rFonts w:eastAsia="Calibri"/>
                <w:szCs w:val="20"/>
                <w:lang w:val="en-NZ"/>
              </w:rPr>
            </w:pPr>
            <w:r>
              <w:t xml:space="preserve">To the extent that </w:t>
            </w:r>
            <w:r w:rsidR="009D7BA5">
              <w:t>Option 3</w:t>
            </w:r>
            <w:r>
              <w:t xml:space="preserve"> results in increased pressure on rents, it may also lead to an increase in spending on the accommodation supplement and temporary additional support.</w:t>
            </w:r>
          </w:p>
        </w:tc>
        <w:tc>
          <w:tcPr>
            <w:tcW w:w="2835" w:type="dxa"/>
            <w:shd w:val="clear" w:color="auto" w:fill="auto"/>
          </w:tcPr>
          <w:p w14:paraId="6D0271F8" w14:textId="58DE7529" w:rsidR="0097425E" w:rsidRPr="003D3AFE" w:rsidRDefault="00684463" w:rsidP="00E401FD">
            <w:pPr>
              <w:pStyle w:val="TableText"/>
              <w:keepNext/>
              <w:spacing w:before="0" w:after="120"/>
              <w:jc w:val="both"/>
              <w:rPr>
                <w:rFonts w:eastAsia="Calibri"/>
                <w:szCs w:val="20"/>
                <w:lang w:val="en-NZ"/>
              </w:rPr>
            </w:pPr>
            <w:r>
              <w:t>I</w:t>
            </w:r>
            <w:r w:rsidR="0097425E">
              <w:t>t is difficult to quantify th</w:t>
            </w:r>
            <w:r>
              <w:t>e</w:t>
            </w:r>
            <w:r w:rsidR="0097425E">
              <w:t xml:space="preserve"> impact </w:t>
            </w:r>
            <w:r>
              <w:t xml:space="preserve">of </w:t>
            </w:r>
            <w:r w:rsidR="0059479A">
              <w:t xml:space="preserve">Option 3 on wider government </w:t>
            </w:r>
            <w:r w:rsidR="0097425E">
              <w:t>at this stage.</w:t>
            </w:r>
          </w:p>
        </w:tc>
        <w:tc>
          <w:tcPr>
            <w:tcW w:w="1135" w:type="dxa"/>
          </w:tcPr>
          <w:p w14:paraId="11DB2252" w14:textId="39B1CEDE" w:rsidR="0097425E" w:rsidRPr="003D3AFE" w:rsidRDefault="0097425E" w:rsidP="0097425E">
            <w:pPr>
              <w:pStyle w:val="TableText"/>
              <w:keepNext/>
              <w:jc w:val="both"/>
              <w:rPr>
                <w:rFonts w:eastAsia="Calibri"/>
                <w:szCs w:val="20"/>
                <w:lang w:val="en-NZ"/>
              </w:rPr>
            </w:pPr>
            <w:r w:rsidRPr="003D3AFE">
              <w:rPr>
                <w:rFonts w:eastAsia="Calibri"/>
                <w:szCs w:val="20"/>
                <w:lang w:val="en-NZ"/>
              </w:rPr>
              <w:t>Low</w:t>
            </w:r>
          </w:p>
        </w:tc>
      </w:tr>
      <w:tr w:rsidR="0097425E" w:rsidRPr="00A864A5" w14:paraId="7B594653" w14:textId="77777777" w:rsidTr="00E401FD">
        <w:trPr>
          <w:trHeight w:val="263"/>
        </w:trPr>
        <w:tc>
          <w:tcPr>
            <w:tcW w:w="1838" w:type="dxa"/>
            <w:shd w:val="clear" w:color="auto" w:fill="auto"/>
          </w:tcPr>
          <w:p w14:paraId="53792208" w14:textId="77777777" w:rsidR="0097425E" w:rsidRPr="003D3AFE" w:rsidRDefault="0097425E" w:rsidP="0097425E">
            <w:pPr>
              <w:pStyle w:val="TableText"/>
              <w:keepNext/>
              <w:jc w:val="both"/>
              <w:rPr>
                <w:rFonts w:eastAsia="Calibri"/>
                <w:b/>
                <w:szCs w:val="20"/>
                <w:lang w:val="en-NZ"/>
              </w:rPr>
            </w:pPr>
            <w:r w:rsidRPr="003D3AFE">
              <w:rPr>
                <w:rFonts w:eastAsia="Calibri"/>
                <w:b/>
                <w:szCs w:val="20"/>
                <w:lang w:val="en-NZ"/>
              </w:rPr>
              <w:t>Total monetised costs</w:t>
            </w:r>
          </w:p>
        </w:tc>
        <w:tc>
          <w:tcPr>
            <w:tcW w:w="3969" w:type="dxa"/>
            <w:shd w:val="clear" w:color="auto" w:fill="auto"/>
          </w:tcPr>
          <w:p w14:paraId="691B6133" w14:textId="55FBEFBE" w:rsidR="0097425E" w:rsidRPr="003E175D" w:rsidRDefault="00DF38BF" w:rsidP="00E401FD">
            <w:pPr>
              <w:pStyle w:val="TableText"/>
              <w:keepNext/>
              <w:spacing w:before="0" w:after="120"/>
              <w:jc w:val="both"/>
              <w:rPr>
                <w:rFonts w:eastAsia="Calibri"/>
                <w:iCs/>
                <w:szCs w:val="20"/>
                <w:lang w:val="en-NZ"/>
              </w:rPr>
            </w:pPr>
            <w:r>
              <w:t>We do not have confidence in the ability to provide a total monetised cost.</w:t>
            </w:r>
          </w:p>
        </w:tc>
        <w:tc>
          <w:tcPr>
            <w:tcW w:w="2835" w:type="dxa"/>
            <w:shd w:val="clear" w:color="auto" w:fill="auto"/>
          </w:tcPr>
          <w:p w14:paraId="5A6CC8A1" w14:textId="3F7F1467" w:rsidR="0097425E" w:rsidRPr="003D3AFE" w:rsidRDefault="00760BF7" w:rsidP="00E401FD">
            <w:pPr>
              <w:pStyle w:val="TableText"/>
              <w:keepNext/>
              <w:spacing w:before="0" w:after="120"/>
              <w:rPr>
                <w:rFonts w:eastAsia="Calibri"/>
                <w:szCs w:val="20"/>
                <w:lang w:val="en-NZ"/>
              </w:rPr>
            </w:pPr>
            <w:r w:rsidRPr="00A244B6">
              <w:t>The expected revenue from this option</w:t>
            </w:r>
            <w:r w:rsidR="00DF38BF">
              <w:t xml:space="preserve"> (and therefore </w:t>
            </w:r>
            <w:r w:rsidR="00DF2A46">
              <w:t xml:space="preserve">expected </w:t>
            </w:r>
            <w:r w:rsidR="00DF2A46" w:rsidRPr="00A244B6">
              <w:t>cost</w:t>
            </w:r>
            <w:r w:rsidR="00DF38BF">
              <w:t xml:space="preserve"> to </w:t>
            </w:r>
            <w:r w:rsidR="00F51368">
              <w:t xml:space="preserve">residential property investors) </w:t>
            </w:r>
            <w:r w:rsidRPr="00A244B6">
              <w:t>is expected to be $1.12</w:t>
            </w:r>
            <w:r w:rsidR="003236FE">
              <w:t xml:space="preserve"> </w:t>
            </w:r>
            <w:r w:rsidRPr="00A244B6">
              <w:t>b</w:t>
            </w:r>
            <w:r w:rsidR="003236FE">
              <w:t>illio</w:t>
            </w:r>
            <w:r w:rsidRPr="00A244B6">
              <w:t>n</w:t>
            </w:r>
            <w:r>
              <w:t xml:space="preserve"> over the forecast period</w:t>
            </w:r>
            <w:r w:rsidR="00447631">
              <w:t xml:space="preserve"> (2021/22 to 2024/25)</w:t>
            </w:r>
            <w:r w:rsidR="00AD5B37">
              <w:t xml:space="preserve">. </w:t>
            </w:r>
          </w:p>
        </w:tc>
        <w:tc>
          <w:tcPr>
            <w:tcW w:w="1135" w:type="dxa"/>
          </w:tcPr>
          <w:p w14:paraId="1A599FEF" w14:textId="12A3AA6F" w:rsidR="0097425E" w:rsidRPr="003E175D" w:rsidRDefault="000605B9" w:rsidP="0097425E">
            <w:pPr>
              <w:pStyle w:val="TableText"/>
              <w:keepNext/>
              <w:jc w:val="both"/>
              <w:rPr>
                <w:rFonts w:eastAsia="Calibri"/>
                <w:b/>
                <w:bCs/>
                <w:szCs w:val="20"/>
                <w:lang w:val="en-NZ"/>
              </w:rPr>
            </w:pPr>
            <w:r w:rsidRPr="000605B9">
              <w:rPr>
                <w:rFonts w:eastAsia="Calibri"/>
                <w:szCs w:val="20"/>
                <w:lang w:val="en-NZ"/>
              </w:rPr>
              <w:t>Low</w:t>
            </w:r>
            <w:r w:rsidR="00DF38BF" w:rsidRPr="003E175D">
              <w:rPr>
                <w:rFonts w:eastAsia="Calibri"/>
                <w:b/>
                <w:bCs/>
                <w:szCs w:val="20"/>
                <w:highlight w:val="yellow"/>
                <w:lang w:val="en-NZ"/>
              </w:rPr>
              <w:t xml:space="preserve"> </w:t>
            </w:r>
          </w:p>
        </w:tc>
      </w:tr>
      <w:tr w:rsidR="0097425E" w:rsidRPr="00A864A5" w14:paraId="78D06DB5" w14:textId="77777777" w:rsidTr="00E401FD">
        <w:trPr>
          <w:trHeight w:val="263"/>
        </w:trPr>
        <w:tc>
          <w:tcPr>
            <w:tcW w:w="1838" w:type="dxa"/>
            <w:shd w:val="clear" w:color="auto" w:fill="auto"/>
          </w:tcPr>
          <w:p w14:paraId="2AEBC854" w14:textId="77777777" w:rsidR="0097425E" w:rsidRPr="003D3AFE" w:rsidRDefault="0097425E" w:rsidP="0097425E">
            <w:pPr>
              <w:pStyle w:val="TableText"/>
              <w:keepNext/>
              <w:jc w:val="both"/>
              <w:rPr>
                <w:rFonts w:eastAsia="Calibri"/>
                <w:b/>
                <w:szCs w:val="20"/>
                <w:lang w:val="en-NZ"/>
              </w:rPr>
            </w:pPr>
            <w:r w:rsidRPr="003D3AFE">
              <w:rPr>
                <w:rFonts w:eastAsia="Calibri"/>
                <w:b/>
                <w:szCs w:val="20"/>
                <w:lang w:val="en-NZ"/>
              </w:rPr>
              <w:t xml:space="preserve">Non-monetised costs </w:t>
            </w:r>
          </w:p>
        </w:tc>
        <w:tc>
          <w:tcPr>
            <w:tcW w:w="3969" w:type="dxa"/>
            <w:shd w:val="clear" w:color="auto" w:fill="auto"/>
          </w:tcPr>
          <w:p w14:paraId="327100D4" w14:textId="3B6A50B7" w:rsidR="0097425E" w:rsidRPr="003D3AFE" w:rsidRDefault="00DF38BF" w:rsidP="00E401FD">
            <w:pPr>
              <w:pStyle w:val="TableText"/>
              <w:keepNext/>
              <w:spacing w:before="0" w:after="120"/>
              <w:jc w:val="both"/>
              <w:rPr>
                <w:rFonts w:eastAsia="Calibri"/>
                <w:i/>
                <w:szCs w:val="20"/>
                <w:lang w:val="en-NZ"/>
              </w:rPr>
            </w:pPr>
            <w:r>
              <w:t>We do not have confidence in the ability to provide a total non-monetised cost.</w:t>
            </w:r>
          </w:p>
        </w:tc>
        <w:tc>
          <w:tcPr>
            <w:tcW w:w="2835" w:type="dxa"/>
            <w:shd w:val="clear" w:color="auto" w:fill="auto"/>
          </w:tcPr>
          <w:p w14:paraId="34399557" w14:textId="308974C6" w:rsidR="0097425E" w:rsidRPr="003D3AFE" w:rsidRDefault="00DF38BF" w:rsidP="00E401FD">
            <w:pPr>
              <w:pStyle w:val="TableText"/>
              <w:keepNext/>
              <w:spacing w:before="0" w:after="120"/>
              <w:jc w:val="both"/>
              <w:rPr>
                <w:rFonts w:eastAsia="Calibri"/>
                <w:i/>
                <w:szCs w:val="20"/>
                <w:lang w:val="en-NZ"/>
              </w:rPr>
            </w:pPr>
            <w:r>
              <w:rPr>
                <w:rFonts w:eastAsia="Calibri"/>
                <w:iCs/>
                <w:szCs w:val="20"/>
                <w:lang w:val="en-NZ"/>
              </w:rPr>
              <w:t>Low</w:t>
            </w:r>
          </w:p>
        </w:tc>
        <w:tc>
          <w:tcPr>
            <w:tcW w:w="1135" w:type="dxa"/>
          </w:tcPr>
          <w:p w14:paraId="2022F9A8" w14:textId="60578ABF" w:rsidR="0097425E" w:rsidRPr="003E175D" w:rsidRDefault="00DF38BF" w:rsidP="0097425E">
            <w:pPr>
              <w:pStyle w:val="TableText"/>
              <w:keepNext/>
              <w:jc w:val="both"/>
              <w:rPr>
                <w:rFonts w:eastAsia="Calibri"/>
                <w:iCs/>
                <w:szCs w:val="20"/>
                <w:lang w:val="en-NZ"/>
              </w:rPr>
            </w:pPr>
            <w:r>
              <w:rPr>
                <w:rFonts w:eastAsia="Calibri"/>
                <w:iCs/>
                <w:szCs w:val="20"/>
                <w:lang w:val="en-NZ"/>
              </w:rPr>
              <w:t>Low</w:t>
            </w:r>
          </w:p>
        </w:tc>
      </w:tr>
      <w:tr w:rsidR="0097425E" w:rsidRPr="00A864A5" w14:paraId="307E8894" w14:textId="77777777" w:rsidTr="6956F314">
        <w:trPr>
          <w:trHeight w:val="426"/>
        </w:trPr>
        <w:tc>
          <w:tcPr>
            <w:tcW w:w="9777" w:type="dxa"/>
            <w:gridSpan w:val="4"/>
            <w:shd w:val="clear" w:color="auto" w:fill="99CDDD"/>
            <w:vAlign w:val="center"/>
          </w:tcPr>
          <w:p w14:paraId="795E44B3" w14:textId="40103083" w:rsidR="0097425E" w:rsidRPr="003D3AFE" w:rsidRDefault="0097425E" w:rsidP="00E401FD">
            <w:pPr>
              <w:spacing w:after="120" w:line="240" w:lineRule="auto"/>
              <w:jc w:val="both"/>
              <w:rPr>
                <w:rFonts w:eastAsia="Calibri"/>
                <w:b/>
                <w:bCs/>
                <w:color w:val="000000"/>
                <w:sz w:val="20"/>
                <w:lang w:val="en-NZ"/>
              </w:rPr>
            </w:pPr>
            <w:r w:rsidRPr="003D3AFE">
              <w:rPr>
                <w:rFonts w:eastAsia="Calibri"/>
                <w:b/>
                <w:bCs/>
                <w:color w:val="000000"/>
                <w:sz w:val="20"/>
                <w:lang w:val="en-NZ"/>
              </w:rPr>
              <w:t>Additional benefits of the preferred option compared to taking no action</w:t>
            </w:r>
          </w:p>
        </w:tc>
      </w:tr>
      <w:tr w:rsidR="0097425E" w:rsidRPr="00A864A5" w14:paraId="32734276" w14:textId="77777777" w:rsidTr="00E401FD">
        <w:trPr>
          <w:trHeight w:val="381"/>
        </w:trPr>
        <w:tc>
          <w:tcPr>
            <w:tcW w:w="1838" w:type="dxa"/>
            <w:shd w:val="clear" w:color="auto" w:fill="auto"/>
          </w:tcPr>
          <w:p w14:paraId="014A71DB" w14:textId="6A442042" w:rsidR="0097425E" w:rsidRPr="003D3AFE" w:rsidRDefault="00FC076F" w:rsidP="0097425E">
            <w:pPr>
              <w:pStyle w:val="TableText"/>
              <w:jc w:val="both"/>
              <w:rPr>
                <w:rFonts w:eastAsia="Calibri"/>
                <w:szCs w:val="20"/>
                <w:lang w:val="en-NZ"/>
              </w:rPr>
            </w:pPr>
            <w:r>
              <w:rPr>
                <w:rFonts w:eastAsia="Calibri"/>
                <w:szCs w:val="20"/>
                <w:lang w:val="en-NZ"/>
              </w:rPr>
              <w:t>Other interested party</w:t>
            </w:r>
            <w:r w:rsidR="0097425E" w:rsidRPr="003D3AFE">
              <w:rPr>
                <w:rFonts w:eastAsia="Calibri"/>
                <w:szCs w:val="20"/>
                <w:lang w:val="en-NZ"/>
              </w:rPr>
              <w:t xml:space="preserve"> – first-home buyers</w:t>
            </w:r>
          </w:p>
        </w:tc>
        <w:tc>
          <w:tcPr>
            <w:tcW w:w="3969" w:type="dxa"/>
            <w:shd w:val="clear" w:color="auto" w:fill="auto"/>
          </w:tcPr>
          <w:p w14:paraId="1FFE9B1A" w14:textId="289F1A40" w:rsidR="0097425E" w:rsidRPr="003D3AFE" w:rsidRDefault="0097425E" w:rsidP="00E401FD">
            <w:pPr>
              <w:pStyle w:val="TableText"/>
              <w:spacing w:before="0" w:after="120"/>
              <w:rPr>
                <w:rFonts w:eastAsia="Calibri"/>
                <w:szCs w:val="20"/>
                <w:lang w:val="en-NZ"/>
              </w:rPr>
            </w:pPr>
            <w:r>
              <w:t>At the margin, reduced competition from residential property investors in the market may reduce pressure on prices and make it somewhat easier for prospective first-home buyers to purchase a property. This would improve their financial capital and social capital (as indicated above).</w:t>
            </w:r>
          </w:p>
        </w:tc>
        <w:tc>
          <w:tcPr>
            <w:tcW w:w="2835" w:type="dxa"/>
            <w:shd w:val="clear" w:color="auto" w:fill="auto"/>
          </w:tcPr>
          <w:p w14:paraId="0591054C" w14:textId="04979850" w:rsidR="0097425E" w:rsidRPr="003D3AFE" w:rsidRDefault="00C047E7" w:rsidP="00E401FD">
            <w:pPr>
              <w:pStyle w:val="TableText"/>
              <w:spacing w:before="0" w:after="120"/>
              <w:rPr>
                <w:rFonts w:eastAsia="Calibri"/>
                <w:b/>
                <w:bCs/>
                <w:szCs w:val="20"/>
                <w:lang w:val="en-NZ"/>
              </w:rPr>
            </w:pPr>
            <w:r>
              <w:t>It is very difficult to quantity the impact</w:t>
            </w:r>
            <w:r w:rsidR="0038193F">
              <w:t xml:space="preserve"> that Option 3 will have on house prices.</w:t>
            </w:r>
            <w:r w:rsidR="0097425E">
              <w:t xml:space="preserve"> It would depend on both the market conditions and the behaviour of market participants.</w:t>
            </w:r>
          </w:p>
        </w:tc>
        <w:tc>
          <w:tcPr>
            <w:tcW w:w="1135" w:type="dxa"/>
          </w:tcPr>
          <w:p w14:paraId="2784F337" w14:textId="55323732" w:rsidR="0097425E" w:rsidRPr="003D3AFE" w:rsidRDefault="0097425E" w:rsidP="0097425E">
            <w:pPr>
              <w:pStyle w:val="TableText"/>
              <w:jc w:val="both"/>
              <w:rPr>
                <w:rFonts w:eastAsia="Calibri"/>
                <w:szCs w:val="20"/>
                <w:lang w:val="en-NZ"/>
              </w:rPr>
            </w:pPr>
            <w:r w:rsidRPr="003D3AFE">
              <w:rPr>
                <w:rFonts w:eastAsia="Calibri"/>
                <w:szCs w:val="20"/>
                <w:lang w:val="en-NZ"/>
              </w:rPr>
              <w:t>Low</w:t>
            </w:r>
          </w:p>
        </w:tc>
      </w:tr>
      <w:tr w:rsidR="0097425E" w:rsidRPr="00A864A5" w14:paraId="05587945" w14:textId="77777777" w:rsidTr="00E401FD">
        <w:trPr>
          <w:trHeight w:val="381"/>
        </w:trPr>
        <w:tc>
          <w:tcPr>
            <w:tcW w:w="1838" w:type="dxa"/>
            <w:shd w:val="clear" w:color="auto" w:fill="auto"/>
          </w:tcPr>
          <w:p w14:paraId="0AC970EA" w14:textId="2451ADBE" w:rsidR="0097425E" w:rsidRPr="003D3AFE" w:rsidRDefault="0097425E" w:rsidP="0097425E">
            <w:pPr>
              <w:pStyle w:val="TableText"/>
              <w:jc w:val="both"/>
              <w:rPr>
                <w:rFonts w:eastAsia="Calibri"/>
                <w:szCs w:val="20"/>
                <w:lang w:val="en-NZ"/>
              </w:rPr>
            </w:pPr>
            <w:r w:rsidRPr="003D3AFE">
              <w:rPr>
                <w:rFonts w:eastAsia="Calibri"/>
                <w:szCs w:val="20"/>
                <w:lang w:val="en-NZ"/>
              </w:rPr>
              <w:t xml:space="preserve">Regulators – </w:t>
            </w:r>
            <w:r w:rsidR="00B96164">
              <w:rPr>
                <w:rFonts w:eastAsia="Calibri"/>
                <w:szCs w:val="20"/>
                <w:lang w:val="en-NZ"/>
              </w:rPr>
              <w:t>w</w:t>
            </w:r>
            <w:r w:rsidR="00B96164" w:rsidRPr="003D3AFE">
              <w:rPr>
                <w:rFonts w:eastAsia="Calibri"/>
                <w:szCs w:val="20"/>
                <w:lang w:val="en-NZ"/>
              </w:rPr>
              <w:t xml:space="preserve">ider </w:t>
            </w:r>
            <w:r w:rsidRPr="003D3AFE">
              <w:rPr>
                <w:rFonts w:eastAsia="Calibri"/>
                <w:szCs w:val="20"/>
                <w:lang w:val="en-NZ"/>
              </w:rPr>
              <w:t>government</w:t>
            </w:r>
          </w:p>
        </w:tc>
        <w:tc>
          <w:tcPr>
            <w:tcW w:w="3969" w:type="dxa"/>
            <w:shd w:val="clear" w:color="auto" w:fill="auto"/>
          </w:tcPr>
          <w:p w14:paraId="6CFD7A23" w14:textId="55530082" w:rsidR="0097425E" w:rsidRPr="003D3AFE" w:rsidRDefault="0097425E" w:rsidP="00E401FD">
            <w:pPr>
              <w:pStyle w:val="TableText"/>
              <w:spacing w:before="0" w:after="120"/>
              <w:rPr>
                <w:rFonts w:eastAsia="Calibri"/>
                <w:szCs w:val="20"/>
                <w:lang w:val="en-NZ"/>
              </w:rPr>
            </w:pPr>
            <w:r w:rsidRPr="003D3AFE">
              <w:rPr>
                <w:rFonts w:eastAsia="Calibri"/>
                <w:szCs w:val="20"/>
                <w:lang w:val="en-NZ"/>
              </w:rPr>
              <w:t>Increased revenue would be collected from the denial of interest deductions to residential property investors.</w:t>
            </w:r>
          </w:p>
        </w:tc>
        <w:tc>
          <w:tcPr>
            <w:tcW w:w="2835" w:type="dxa"/>
            <w:shd w:val="clear" w:color="auto" w:fill="auto"/>
          </w:tcPr>
          <w:p w14:paraId="534390F4" w14:textId="01BEDDE7" w:rsidR="0097425E" w:rsidRPr="003D3AFE" w:rsidRDefault="0038193F" w:rsidP="00E401FD">
            <w:pPr>
              <w:pStyle w:val="TableText"/>
              <w:spacing w:before="0" w:after="120"/>
              <w:rPr>
                <w:rFonts w:eastAsia="Calibri"/>
                <w:szCs w:val="20"/>
                <w:lang w:val="en-NZ"/>
              </w:rPr>
            </w:pPr>
            <w:r w:rsidRPr="00A244B6">
              <w:t>The expected revenue from this option is expected to be $1.12</w:t>
            </w:r>
            <w:r w:rsidR="00E401FD">
              <w:t xml:space="preserve"> </w:t>
            </w:r>
            <w:r w:rsidRPr="00A244B6">
              <w:t>b</w:t>
            </w:r>
            <w:r w:rsidR="00E401FD">
              <w:t>illio</w:t>
            </w:r>
            <w:r w:rsidRPr="00A244B6">
              <w:t>n</w:t>
            </w:r>
            <w:r>
              <w:t xml:space="preserve"> over the forecast period</w:t>
            </w:r>
            <w:r w:rsidR="00447631">
              <w:t xml:space="preserve"> (2021/22 to 2024/25)</w:t>
            </w:r>
            <w:r w:rsidRPr="00A244B6">
              <w:t>.</w:t>
            </w:r>
            <w:r w:rsidRPr="003D3AFE" w:rsidDel="0038193F">
              <w:rPr>
                <w:rFonts w:eastAsia="Calibri"/>
                <w:szCs w:val="20"/>
                <w:lang w:val="en-NZ"/>
              </w:rPr>
              <w:t xml:space="preserve"> </w:t>
            </w:r>
          </w:p>
        </w:tc>
        <w:tc>
          <w:tcPr>
            <w:tcW w:w="1135" w:type="dxa"/>
          </w:tcPr>
          <w:p w14:paraId="621CC904" w14:textId="3B87E9F8" w:rsidR="0097425E" w:rsidRPr="003D3AFE" w:rsidRDefault="000605B9" w:rsidP="0097425E">
            <w:pPr>
              <w:pStyle w:val="TableText"/>
              <w:jc w:val="both"/>
              <w:rPr>
                <w:rFonts w:eastAsia="Calibri"/>
                <w:szCs w:val="20"/>
                <w:lang w:val="en-NZ"/>
              </w:rPr>
            </w:pPr>
            <w:r w:rsidRPr="000605B9">
              <w:rPr>
                <w:rFonts w:eastAsia="Calibri"/>
                <w:szCs w:val="20"/>
                <w:lang w:val="en-NZ"/>
              </w:rPr>
              <w:t>Low</w:t>
            </w:r>
          </w:p>
        </w:tc>
      </w:tr>
      <w:tr w:rsidR="00F51368" w:rsidRPr="00A864A5" w14:paraId="0F3F57AE" w14:textId="77777777" w:rsidTr="00E401FD">
        <w:trPr>
          <w:trHeight w:val="263"/>
        </w:trPr>
        <w:tc>
          <w:tcPr>
            <w:tcW w:w="1838" w:type="dxa"/>
            <w:shd w:val="clear" w:color="auto" w:fill="auto"/>
          </w:tcPr>
          <w:p w14:paraId="16387995" w14:textId="77777777" w:rsidR="00F51368" w:rsidRPr="003D3AFE" w:rsidRDefault="00F51368" w:rsidP="00F51368">
            <w:pPr>
              <w:pStyle w:val="TableText"/>
              <w:jc w:val="both"/>
              <w:rPr>
                <w:rFonts w:eastAsia="Calibri"/>
                <w:b/>
                <w:szCs w:val="20"/>
                <w:lang w:val="en-NZ"/>
              </w:rPr>
            </w:pPr>
            <w:r w:rsidRPr="003D3AFE">
              <w:rPr>
                <w:rFonts w:eastAsia="Calibri"/>
                <w:b/>
                <w:szCs w:val="20"/>
                <w:lang w:val="en-NZ"/>
              </w:rPr>
              <w:t>Total monetised benefits</w:t>
            </w:r>
          </w:p>
        </w:tc>
        <w:tc>
          <w:tcPr>
            <w:tcW w:w="3969" w:type="dxa"/>
            <w:shd w:val="clear" w:color="auto" w:fill="auto"/>
          </w:tcPr>
          <w:p w14:paraId="0F9CF890" w14:textId="717AFA87" w:rsidR="00F51368" w:rsidRPr="003D3AFE" w:rsidRDefault="00F51368" w:rsidP="00E401FD">
            <w:pPr>
              <w:pStyle w:val="TableText"/>
              <w:spacing w:before="0" w:after="120"/>
              <w:jc w:val="both"/>
              <w:rPr>
                <w:rFonts w:eastAsia="Calibri"/>
                <w:szCs w:val="20"/>
                <w:lang w:val="en-NZ"/>
              </w:rPr>
            </w:pPr>
          </w:p>
        </w:tc>
        <w:tc>
          <w:tcPr>
            <w:tcW w:w="2835" w:type="dxa"/>
            <w:shd w:val="clear" w:color="auto" w:fill="auto"/>
          </w:tcPr>
          <w:p w14:paraId="13F85EF8" w14:textId="1F994ADA" w:rsidR="00F51368" w:rsidRPr="003D3AFE" w:rsidRDefault="00F51368" w:rsidP="00E401FD">
            <w:pPr>
              <w:pStyle w:val="TableText"/>
              <w:spacing w:before="0" w:after="120"/>
              <w:rPr>
                <w:rFonts w:eastAsia="Calibri"/>
                <w:szCs w:val="20"/>
                <w:lang w:val="en-NZ"/>
              </w:rPr>
            </w:pPr>
            <w:r w:rsidRPr="00A244B6">
              <w:t>The expected revenue from this option is expected to be $1.12</w:t>
            </w:r>
            <w:r w:rsidR="00E401FD">
              <w:t xml:space="preserve"> </w:t>
            </w:r>
            <w:r w:rsidRPr="00A244B6">
              <w:t>b</w:t>
            </w:r>
            <w:r w:rsidR="00E401FD">
              <w:t>illio</w:t>
            </w:r>
            <w:r w:rsidRPr="00A244B6">
              <w:t>n</w:t>
            </w:r>
            <w:r>
              <w:t xml:space="preserve"> over the forecast period</w:t>
            </w:r>
            <w:r w:rsidR="00447631">
              <w:t xml:space="preserve"> (2021/22 to 2024/25)</w:t>
            </w:r>
            <w:r w:rsidR="00AD5B37">
              <w:t xml:space="preserve">. </w:t>
            </w:r>
          </w:p>
        </w:tc>
        <w:tc>
          <w:tcPr>
            <w:tcW w:w="1135" w:type="dxa"/>
          </w:tcPr>
          <w:p w14:paraId="3A5FFB7A" w14:textId="6A6A7048" w:rsidR="00F51368" w:rsidRPr="003D3AFE" w:rsidRDefault="000605B9" w:rsidP="00F51368">
            <w:pPr>
              <w:pStyle w:val="TableText"/>
              <w:jc w:val="both"/>
              <w:rPr>
                <w:rFonts w:eastAsia="Calibri"/>
                <w:szCs w:val="20"/>
                <w:lang w:val="en-NZ"/>
              </w:rPr>
            </w:pPr>
            <w:r w:rsidRPr="000605B9">
              <w:rPr>
                <w:rFonts w:eastAsia="Calibri"/>
                <w:szCs w:val="20"/>
                <w:lang w:val="en-NZ"/>
              </w:rPr>
              <w:t>Low</w:t>
            </w:r>
          </w:p>
        </w:tc>
      </w:tr>
      <w:tr w:rsidR="00F51368" w:rsidRPr="00A864A5" w14:paraId="2832F0D3" w14:textId="77777777" w:rsidTr="00E401FD">
        <w:trPr>
          <w:trHeight w:val="187"/>
        </w:trPr>
        <w:tc>
          <w:tcPr>
            <w:tcW w:w="1838" w:type="dxa"/>
            <w:shd w:val="clear" w:color="auto" w:fill="auto"/>
          </w:tcPr>
          <w:p w14:paraId="0C137852" w14:textId="77777777" w:rsidR="00F51368" w:rsidRPr="003D3AFE" w:rsidRDefault="00F51368" w:rsidP="00F51368">
            <w:pPr>
              <w:pStyle w:val="TableText"/>
              <w:jc w:val="both"/>
              <w:rPr>
                <w:rFonts w:eastAsia="Calibri"/>
                <w:b/>
                <w:szCs w:val="20"/>
                <w:lang w:val="en-NZ"/>
              </w:rPr>
            </w:pPr>
            <w:r w:rsidRPr="003D3AFE">
              <w:rPr>
                <w:rFonts w:eastAsia="Calibri"/>
                <w:b/>
                <w:szCs w:val="20"/>
                <w:lang w:val="en-NZ"/>
              </w:rPr>
              <w:t>Non-monetised benefits</w:t>
            </w:r>
          </w:p>
        </w:tc>
        <w:tc>
          <w:tcPr>
            <w:tcW w:w="3969" w:type="dxa"/>
            <w:shd w:val="clear" w:color="auto" w:fill="auto"/>
          </w:tcPr>
          <w:p w14:paraId="61FB878D" w14:textId="5E332EEF" w:rsidR="00F51368" w:rsidRPr="003D3AFE" w:rsidRDefault="00F51368" w:rsidP="00E401FD">
            <w:pPr>
              <w:pStyle w:val="TableText"/>
              <w:spacing w:before="0" w:after="120"/>
              <w:jc w:val="both"/>
              <w:rPr>
                <w:rFonts w:eastAsia="Calibri"/>
                <w:szCs w:val="20"/>
                <w:lang w:val="en-NZ"/>
              </w:rPr>
            </w:pPr>
            <w:r>
              <w:t>We do not have confidence in the ability to provide a total non-monetised cost.</w:t>
            </w:r>
          </w:p>
        </w:tc>
        <w:tc>
          <w:tcPr>
            <w:tcW w:w="2835" w:type="dxa"/>
            <w:shd w:val="clear" w:color="auto" w:fill="auto"/>
          </w:tcPr>
          <w:p w14:paraId="098C1B0C" w14:textId="59421BBA" w:rsidR="00F51368" w:rsidRPr="003D3AFE" w:rsidRDefault="00F51368" w:rsidP="00E401FD">
            <w:pPr>
              <w:pStyle w:val="TableText"/>
              <w:spacing w:before="0" w:after="120"/>
              <w:jc w:val="both"/>
              <w:rPr>
                <w:rFonts w:eastAsia="Calibri"/>
                <w:i/>
                <w:szCs w:val="20"/>
                <w:lang w:val="en-NZ"/>
              </w:rPr>
            </w:pPr>
            <w:r>
              <w:rPr>
                <w:rFonts w:eastAsia="Calibri"/>
                <w:iCs/>
                <w:szCs w:val="20"/>
                <w:lang w:val="en-NZ"/>
              </w:rPr>
              <w:t>Low</w:t>
            </w:r>
          </w:p>
        </w:tc>
        <w:tc>
          <w:tcPr>
            <w:tcW w:w="1135" w:type="dxa"/>
          </w:tcPr>
          <w:p w14:paraId="5EF64146" w14:textId="17C6C33D" w:rsidR="00F51368" w:rsidRPr="003E175D" w:rsidRDefault="00F51368" w:rsidP="00F51368">
            <w:pPr>
              <w:pStyle w:val="TableText"/>
              <w:jc w:val="both"/>
              <w:rPr>
                <w:rFonts w:eastAsia="Calibri"/>
                <w:iCs/>
                <w:szCs w:val="20"/>
                <w:lang w:val="en-NZ"/>
              </w:rPr>
            </w:pPr>
            <w:r>
              <w:rPr>
                <w:rFonts w:eastAsia="Calibri"/>
                <w:iCs/>
                <w:szCs w:val="20"/>
                <w:lang w:val="en-NZ"/>
              </w:rPr>
              <w:t>Low</w:t>
            </w:r>
          </w:p>
        </w:tc>
      </w:tr>
      <w:bookmarkEnd w:id="17"/>
    </w:tbl>
    <w:p w14:paraId="63B6B991" w14:textId="77777777" w:rsidR="00FD50EE" w:rsidRDefault="00FD50EE" w:rsidP="00273FD3">
      <w:pPr>
        <w:pStyle w:val="Heading2"/>
        <w:jc w:val="both"/>
        <w:rPr>
          <w:lang w:val="en-NZ"/>
        </w:rPr>
      </w:pPr>
    </w:p>
    <w:p w14:paraId="51D9D16F" w14:textId="77777777" w:rsidR="00FD50EE" w:rsidRDefault="00FD50EE">
      <w:pPr>
        <w:spacing w:after="0" w:line="240" w:lineRule="auto"/>
        <w:rPr>
          <w:rFonts w:ascii="Arial Bold" w:hAnsi="Arial Bold"/>
          <w:b/>
          <w:color w:val="0082AB"/>
          <w:spacing w:val="20"/>
          <w:w w:val="90"/>
          <w:sz w:val="32"/>
          <w:szCs w:val="24"/>
          <w:lang w:val="en-NZ"/>
        </w:rPr>
      </w:pPr>
      <w:r>
        <w:rPr>
          <w:lang w:val="en-NZ"/>
        </w:rPr>
        <w:br w:type="page"/>
      </w:r>
    </w:p>
    <w:p w14:paraId="75F637CC" w14:textId="73F9D128" w:rsidR="00A0728D" w:rsidRPr="00A864A5" w:rsidRDefault="00417B4A" w:rsidP="00273FD3">
      <w:pPr>
        <w:pStyle w:val="Heading2"/>
        <w:jc w:val="both"/>
        <w:rPr>
          <w:lang w:val="en-NZ"/>
        </w:rPr>
      </w:pPr>
      <w:r w:rsidRPr="00A864A5">
        <w:rPr>
          <w:lang w:val="en-NZ"/>
        </w:rPr>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21007A30" w14:textId="1F8DD62C" w:rsidR="00B5119F" w:rsidRPr="00502E93" w:rsidRDefault="00A16B89" w:rsidP="00502E93">
      <w:pPr>
        <w:pStyle w:val="Heading3"/>
        <w:jc w:val="both"/>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r w:rsidR="00A53F6E">
        <w:t xml:space="preserve"> </w:t>
      </w:r>
    </w:p>
    <w:p w14:paraId="21260B25" w14:textId="1F443195" w:rsidR="007C561F" w:rsidRPr="003E175D" w:rsidRDefault="007C561F" w:rsidP="00A73973">
      <w:pPr>
        <w:pStyle w:val="ListParagraph"/>
        <w:numPr>
          <w:ilvl w:val="0"/>
          <w:numId w:val="39"/>
        </w:numPr>
        <w:ind w:left="930" w:hanging="646"/>
        <w:jc w:val="both"/>
        <w:rPr>
          <w:lang w:val="en-NZ"/>
        </w:rPr>
      </w:pPr>
      <w:r>
        <w:t xml:space="preserve">The new rules will be </w:t>
      </w:r>
      <w:r w:rsidR="00B55F2B">
        <w:t xml:space="preserve">introduced through a Supplementary Order Paper before or at the Select Committee stage </w:t>
      </w:r>
      <w:r w:rsidR="005E5377">
        <w:t>of</w:t>
      </w:r>
      <w:r w:rsidR="00B55F2B">
        <w:t xml:space="preserve"> </w:t>
      </w:r>
      <w:r w:rsidR="00B23D00">
        <w:t xml:space="preserve">the </w:t>
      </w:r>
      <w:r w:rsidR="00B23D00" w:rsidRPr="00CD61B7">
        <w:t>Taxation (Annual Rates for 2021–22, GST, and Remedial</w:t>
      </w:r>
      <w:r w:rsidR="00B23D00">
        <w:t xml:space="preserve"> </w:t>
      </w:r>
      <w:r w:rsidR="00B23D00" w:rsidRPr="00CD61B7">
        <w:t>Matters) Bill</w:t>
      </w:r>
      <w:r w:rsidR="00B23D00">
        <w:t xml:space="preserve"> </w:t>
      </w:r>
      <w:r w:rsidR="00B55F2B">
        <w:t xml:space="preserve">expected to be </w:t>
      </w:r>
      <w:r w:rsidR="005E5377">
        <w:t xml:space="preserve">introduced in </w:t>
      </w:r>
      <w:r w:rsidR="0075679E">
        <w:t xml:space="preserve">September </w:t>
      </w:r>
      <w:r w:rsidR="005E5377">
        <w:t>2021.</w:t>
      </w:r>
      <w:r w:rsidR="002417CC">
        <w:t xml:space="preserve"> </w:t>
      </w:r>
    </w:p>
    <w:p w14:paraId="3799F272" w14:textId="41D876F2" w:rsidR="00BA369A" w:rsidRPr="003D3AFE" w:rsidRDefault="00FA2E15" w:rsidP="00A73973">
      <w:pPr>
        <w:pStyle w:val="ListParagraph"/>
        <w:numPr>
          <w:ilvl w:val="0"/>
          <w:numId w:val="39"/>
        </w:numPr>
        <w:ind w:left="930" w:hanging="646"/>
        <w:jc w:val="both"/>
        <w:rPr>
          <w:lang w:val="en-NZ"/>
        </w:rPr>
      </w:pPr>
      <w:r>
        <w:t>O</w:t>
      </w:r>
      <w:r w:rsidRPr="003E175D">
        <w:t>n 23 March 202</w:t>
      </w:r>
      <w:r>
        <w:t>1, t</w:t>
      </w:r>
      <w:r w:rsidR="00D8377E" w:rsidRPr="003E175D">
        <w:t xml:space="preserve">he Government announced </w:t>
      </w:r>
      <w:r w:rsidR="004513C6">
        <w:t>its</w:t>
      </w:r>
      <w:r w:rsidR="00D8377E" w:rsidRPr="003E175D">
        <w:t xml:space="preserve"> </w:t>
      </w:r>
      <w:r w:rsidR="006E07E5" w:rsidRPr="003B0147">
        <w:t xml:space="preserve">in-principle decision </w:t>
      </w:r>
      <w:r>
        <w:t>to deny</w:t>
      </w:r>
      <w:r w:rsidR="00D8377E" w:rsidRPr="003E175D">
        <w:t xml:space="preserve"> </w:t>
      </w:r>
      <w:r w:rsidR="006E07E5" w:rsidRPr="003B0147">
        <w:t xml:space="preserve">deductions </w:t>
      </w:r>
      <w:r w:rsidR="00D8377E" w:rsidRPr="003E175D">
        <w:t xml:space="preserve">for interest </w:t>
      </w:r>
      <w:r w:rsidR="000726C3">
        <w:t>expenditure</w:t>
      </w:r>
      <w:r w:rsidR="00D8377E" w:rsidRPr="003E175D">
        <w:t xml:space="preserve"> on </w:t>
      </w:r>
      <w:r>
        <w:t>residential properties</w:t>
      </w:r>
      <w:r w:rsidR="00D8377E" w:rsidRPr="003E175D">
        <w:t xml:space="preserve"> </w:t>
      </w:r>
      <w:r w:rsidR="006E07E5" w:rsidRPr="003B0147">
        <w:t>from 1 October 2021</w:t>
      </w:r>
      <w:r w:rsidR="00D8377E" w:rsidRPr="00D8377E">
        <w:t>.</w:t>
      </w:r>
      <w:r w:rsidR="006E07E5">
        <w:t xml:space="preserve"> </w:t>
      </w:r>
      <w:r w:rsidR="00BA369A">
        <w:t>While final policy decisions will only be released close to 1 October, the broad policy proposal has been consulted on in detail, both with the public and with advisors in the tax community.</w:t>
      </w:r>
    </w:p>
    <w:p w14:paraId="1F4698AB" w14:textId="55AC1DA5" w:rsidR="00ED68B2" w:rsidRPr="003D3AFE" w:rsidRDefault="00502E93" w:rsidP="00A73973">
      <w:pPr>
        <w:pStyle w:val="ListParagraph"/>
        <w:numPr>
          <w:ilvl w:val="0"/>
          <w:numId w:val="39"/>
        </w:numPr>
        <w:ind w:left="930" w:hanging="646"/>
        <w:jc w:val="both"/>
        <w:rPr>
          <w:lang w:val="en-NZ"/>
        </w:rPr>
      </w:pPr>
      <w:r>
        <w:t xml:space="preserve">Inland Revenue </w:t>
      </w:r>
      <w:r w:rsidRPr="00B5119F">
        <w:t xml:space="preserve">will be responsible for the </w:t>
      </w:r>
      <w:r w:rsidR="00505238">
        <w:t xml:space="preserve">implementation and </w:t>
      </w:r>
      <w:r w:rsidRPr="00B5119F">
        <w:t xml:space="preserve">ongoing </w:t>
      </w:r>
      <w:r w:rsidR="00505238">
        <w:t>administration</w:t>
      </w:r>
      <w:r w:rsidRPr="00B5119F">
        <w:t xml:space="preserve"> of the </w:t>
      </w:r>
      <w:r>
        <w:t xml:space="preserve">interest </w:t>
      </w:r>
      <w:r w:rsidR="00505238">
        <w:t>limitation</w:t>
      </w:r>
      <w:r>
        <w:t xml:space="preserve"> rules</w:t>
      </w:r>
      <w:r w:rsidR="008443F6">
        <w:t>.</w:t>
      </w:r>
      <w:r w:rsidR="00521D18">
        <w:t xml:space="preserve"> </w:t>
      </w:r>
      <w:r w:rsidR="00ED68B2">
        <w:t xml:space="preserve">The in-principle decisions and timeline provided by Cabinet have meant that this proposal to limit interest deductions has been progressed without comprehensive consideration of </w:t>
      </w:r>
      <w:r w:rsidR="00824F65">
        <w:t xml:space="preserve">how the policy will be </w:t>
      </w:r>
      <w:r w:rsidR="00ED68B2">
        <w:t>implement</w:t>
      </w:r>
      <w:r w:rsidR="00824F65">
        <w:t>ed</w:t>
      </w:r>
      <w:r w:rsidR="00ED68B2">
        <w:t>.</w:t>
      </w:r>
    </w:p>
    <w:p w14:paraId="2D4B959F" w14:textId="7346C938" w:rsidR="009D7BA5" w:rsidRPr="003D3AFE" w:rsidRDefault="008E2D1B" w:rsidP="00A73973">
      <w:pPr>
        <w:pStyle w:val="ListParagraph"/>
        <w:numPr>
          <w:ilvl w:val="0"/>
          <w:numId w:val="39"/>
        </w:numPr>
        <w:ind w:left="930" w:hanging="646"/>
        <w:jc w:val="both"/>
        <w:rPr>
          <w:lang w:val="en-NZ"/>
        </w:rPr>
      </w:pPr>
      <w:r>
        <w:t>L</w:t>
      </w:r>
      <w:r w:rsidR="4D8C5897">
        <w:t xml:space="preserve">imiting interest deductions will involve increased administration costs for Inland Revenue over an extended period of time </w:t>
      </w:r>
      <w:r w:rsidR="00C66B91">
        <w:t xml:space="preserve">(especially </w:t>
      </w:r>
      <w:r w:rsidR="4D8C5897">
        <w:t xml:space="preserve">while different rules </w:t>
      </w:r>
      <w:r w:rsidR="00E23354">
        <w:t>apply during the phase</w:t>
      </w:r>
      <w:r w:rsidR="00FE125F">
        <w:t>-</w:t>
      </w:r>
      <w:r w:rsidR="00E23354">
        <w:t>in period</w:t>
      </w:r>
      <w:r w:rsidR="00FB2900">
        <w:t>)</w:t>
      </w:r>
      <w:r w:rsidR="00E23354">
        <w:t>.</w:t>
      </w:r>
      <w:r w:rsidR="00FB2900">
        <w:t xml:space="preserve"> This</w:t>
      </w:r>
      <w:r w:rsidR="60208E4E">
        <w:t xml:space="preserve"> includ</w:t>
      </w:r>
      <w:r w:rsidR="00FB2900">
        <w:t>es</w:t>
      </w:r>
      <w:r w:rsidR="60208E4E">
        <w:t xml:space="preserve"> managing an increased number of customer contacts</w:t>
      </w:r>
      <w:r w:rsidR="0EF9B674">
        <w:t xml:space="preserve"> and supporting the integrity of the new rules</w:t>
      </w:r>
      <w:r w:rsidR="00E23354">
        <w:t>.</w:t>
      </w:r>
      <w:r w:rsidR="0EF9B674">
        <w:t xml:space="preserve"> </w:t>
      </w:r>
      <w:r w:rsidR="003547E0">
        <w:t xml:space="preserve">Inland Revenue will </w:t>
      </w:r>
      <w:r w:rsidR="00A662A4">
        <w:t xml:space="preserve">also undertake </w:t>
      </w:r>
      <w:r w:rsidR="4630FB16">
        <w:t>enforcement action where there is clear evidence of deliberate non-compliance.</w:t>
      </w:r>
    </w:p>
    <w:p w14:paraId="7432604C" w14:textId="18B7C72A" w:rsidR="008E2D1B" w:rsidRPr="00ED4091" w:rsidRDefault="00A662A4" w:rsidP="00A73973">
      <w:pPr>
        <w:pStyle w:val="ListParagraph"/>
        <w:numPr>
          <w:ilvl w:val="0"/>
          <w:numId w:val="39"/>
        </w:numPr>
        <w:ind w:left="930" w:hanging="646"/>
        <w:jc w:val="both"/>
        <w:rPr>
          <w:lang w:val="en-NZ"/>
        </w:rPr>
      </w:pPr>
      <w:r>
        <w:t>Inland Revenue’s</w:t>
      </w:r>
      <w:r w:rsidR="4630FB16">
        <w:t xml:space="preserve"> initial focus will be on communication and education. </w:t>
      </w:r>
      <w:r w:rsidR="00431769">
        <w:t>It will provide information to increase awareness and support customers in meeting their obligations right from the start</w:t>
      </w:r>
      <w:r w:rsidR="00FB0DCE">
        <w:t>. This will</w:t>
      </w:r>
      <w:r w:rsidR="007D2DEB">
        <w:t xml:space="preserve"> includ</w:t>
      </w:r>
      <w:r w:rsidR="00FB0DCE">
        <w:t>e producing</w:t>
      </w:r>
      <w:r w:rsidR="007D2DEB">
        <w:t xml:space="preserve"> a relevant </w:t>
      </w:r>
      <w:r w:rsidR="59AD838C">
        <w:t>T</w:t>
      </w:r>
      <w:r w:rsidR="4F2E3614">
        <w:t xml:space="preserve">ax </w:t>
      </w:r>
      <w:r w:rsidR="1A71EAA0">
        <w:t>I</w:t>
      </w:r>
      <w:r w:rsidR="4F2E3614">
        <w:t xml:space="preserve">nformation </w:t>
      </w:r>
      <w:r w:rsidR="5A3E61D6">
        <w:t>B</w:t>
      </w:r>
      <w:r w:rsidR="4F2E3614">
        <w:t xml:space="preserve">ulletin </w:t>
      </w:r>
      <w:r w:rsidR="6494A798">
        <w:t>item</w:t>
      </w:r>
      <w:r w:rsidR="659C0CDF">
        <w:t xml:space="preserve">, </w:t>
      </w:r>
      <w:r w:rsidR="46A3542E">
        <w:t xml:space="preserve">updating guidance </w:t>
      </w:r>
      <w:r w:rsidR="00D7549B">
        <w:t>o</w:t>
      </w:r>
      <w:r w:rsidR="46A3542E">
        <w:t xml:space="preserve">n Inland Revenue’s website, </w:t>
      </w:r>
      <w:r w:rsidR="00FB0DCE">
        <w:t xml:space="preserve">undertaking </w:t>
      </w:r>
      <w:r w:rsidR="659C0CDF">
        <w:t>ongoing proactive marketing and targeted education campaig</w:t>
      </w:r>
      <w:r w:rsidR="45647429">
        <w:t>n</w:t>
      </w:r>
      <w:r w:rsidR="659C0CDF">
        <w:t>s</w:t>
      </w:r>
      <w:r w:rsidR="3F3FF4E6">
        <w:t>,</w:t>
      </w:r>
      <w:r w:rsidR="3151B094">
        <w:t xml:space="preserve"> and </w:t>
      </w:r>
      <w:r w:rsidR="6975621B">
        <w:t>developing appropriate tools to assist customers to determine eligibility</w:t>
      </w:r>
      <w:r w:rsidR="4F6F8DE1">
        <w:t>.</w:t>
      </w:r>
      <w:r w:rsidR="008446A3">
        <w:t xml:space="preserve"> Any implementation or operational requirements </w:t>
      </w:r>
      <w:r w:rsidR="00030F18">
        <w:t>for specific policy decisions that have not yet been made at time of writing may need to be addressed in the future.</w:t>
      </w:r>
      <w:r w:rsidR="008E2D1B">
        <w:t xml:space="preserve"> </w:t>
      </w:r>
      <w:r w:rsidR="00ED4091">
        <w:t xml:space="preserve">Inland Revenue expects that relatively minor </w:t>
      </w:r>
      <w:r w:rsidR="008E2D1B">
        <w:t>alterations to systems and operations will be needed.</w:t>
      </w:r>
    </w:p>
    <w:p w14:paraId="5AA39C72" w14:textId="348D98A8" w:rsidR="006B5794" w:rsidRPr="00A864A5" w:rsidRDefault="0099086E" w:rsidP="00273FD3">
      <w:pPr>
        <w:pStyle w:val="Heading3"/>
        <w:jc w:val="both"/>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72A2B707" w14:textId="70193533" w:rsidR="003173E3" w:rsidRDefault="00291079" w:rsidP="00A73973">
      <w:pPr>
        <w:pStyle w:val="ListParagraph"/>
        <w:numPr>
          <w:ilvl w:val="0"/>
          <w:numId w:val="39"/>
        </w:numPr>
        <w:ind w:left="930" w:hanging="646"/>
        <w:jc w:val="both"/>
        <w:rPr>
          <w:lang w:val="en-NZ"/>
        </w:rPr>
      </w:pPr>
      <w:r>
        <w:rPr>
          <w:b/>
          <w:bCs/>
        </w:rPr>
        <w:t>Monitoring:</w:t>
      </w:r>
      <w:r w:rsidR="003173E3" w:rsidRPr="003173E3">
        <w:t xml:space="preserve"> </w:t>
      </w:r>
      <w:r w:rsidR="003173E3">
        <w:t xml:space="preserve">To assist work on compliance with property transactions, Inland Revenue </w:t>
      </w:r>
      <w:r w:rsidR="69F79544">
        <w:t>already</w:t>
      </w:r>
      <w:r w:rsidR="003173E3">
        <w:t xml:space="preserve"> includes property-related information in its Data Intelligence Platform (DIP). The DIP brings together data from different sources to provide an end-to-end view of property transactions throughout New Zealand. </w:t>
      </w:r>
      <w:r w:rsidR="390AE6D1">
        <w:t>T</w:t>
      </w:r>
      <w:r w:rsidR="611555D4">
        <w:t>he</w:t>
      </w:r>
      <w:r w:rsidR="003173E3">
        <w:t xml:space="preserve"> DIP is being used to identify suspected cases of property non-compliance and is a searchable record of customers’ past property transitions</w:t>
      </w:r>
      <w:r w:rsidR="2FFEA060">
        <w:t xml:space="preserve"> and will be further developed and enhanced to aide interest limi</w:t>
      </w:r>
      <w:r w:rsidR="2A7B3449">
        <w:t>tation compliance work.</w:t>
      </w:r>
      <w:r w:rsidR="001573DC">
        <w:t xml:space="preserve"> </w:t>
      </w:r>
      <w:r w:rsidR="00025686">
        <w:t xml:space="preserve">Further, </w:t>
      </w:r>
      <w:r w:rsidR="00A17F08" w:rsidRPr="00A17F08">
        <w:t xml:space="preserve">Inland Revenue will report </w:t>
      </w:r>
      <w:r w:rsidR="008F59B6">
        <w:t xml:space="preserve">annually </w:t>
      </w:r>
      <w:r w:rsidR="00A17F08" w:rsidRPr="00A17F08">
        <w:t>to Ministers on the effect of increased administration funding on taxpayers’ compliance with the interest limitation rules.</w:t>
      </w:r>
    </w:p>
    <w:p w14:paraId="169E89D4" w14:textId="6FEF0FC0" w:rsidR="00971606" w:rsidRDefault="003173E3" w:rsidP="00A73973">
      <w:pPr>
        <w:pStyle w:val="ListParagraph"/>
        <w:numPr>
          <w:ilvl w:val="0"/>
          <w:numId w:val="39"/>
        </w:numPr>
        <w:ind w:left="930" w:hanging="646"/>
        <w:jc w:val="both"/>
        <w:rPr>
          <w:lang w:val="en-NZ"/>
        </w:rPr>
      </w:pPr>
      <w:r>
        <w:t xml:space="preserve">Given the many competing influences on housing affordability, officials do not expect to be able to monitor the impact of this </w:t>
      </w:r>
      <w:r w:rsidR="002F6966">
        <w:t xml:space="preserve">policy </w:t>
      </w:r>
      <w:r>
        <w:t>on the housing market, house prices, or rents.</w:t>
      </w:r>
      <w:r w:rsidR="00B66E7D" w:rsidRPr="001E2CD2">
        <w:rPr>
          <w:lang w:val="en-NZ"/>
        </w:rPr>
        <w:t xml:space="preserve"> </w:t>
      </w:r>
    </w:p>
    <w:p w14:paraId="043565E0" w14:textId="77777777" w:rsidR="00971606" w:rsidRPr="00971606" w:rsidRDefault="00971606" w:rsidP="00A73973">
      <w:pPr>
        <w:pStyle w:val="ListParagraph"/>
        <w:numPr>
          <w:ilvl w:val="0"/>
          <w:numId w:val="39"/>
        </w:numPr>
        <w:ind w:left="930" w:hanging="646"/>
        <w:jc w:val="both"/>
        <w:rPr>
          <w:lang w:val="en-NZ"/>
        </w:rPr>
      </w:pPr>
      <w:r>
        <w:t>Te Tūāpapa Kura Kāinga – Ministry of Housing and Urban Development (HUD) is responsible for the monitoring of New Zealand’s housing and urban development system. As part of this role HUD collects and analyses data and research on New Zealand’s housing and urban development system, including measures of housing and rental affordability.</w:t>
      </w:r>
    </w:p>
    <w:p w14:paraId="66B655CE" w14:textId="493D0301" w:rsidR="00971606" w:rsidRPr="00971606" w:rsidRDefault="00971606" w:rsidP="00A73973">
      <w:pPr>
        <w:pStyle w:val="ListParagraph"/>
        <w:numPr>
          <w:ilvl w:val="0"/>
          <w:numId w:val="39"/>
        </w:numPr>
        <w:ind w:left="930" w:hanging="646"/>
        <w:jc w:val="both"/>
        <w:rPr>
          <w:lang w:val="en-NZ"/>
        </w:rPr>
      </w:pPr>
      <w:r>
        <w:t>Monitoring the precise impact of the interest deductibility rules on the housing and urban development system is likely to prove difficult owing to the many varied factors impacting upon the housing system. In particular, the introduction of the interest limitation rules at a similar time as the reinstatement of the Reserve Bank’s loan to value ratio restrictions and proposed introduction of debt</w:t>
      </w:r>
      <w:r w:rsidR="007966E4">
        <w:t>-</w:t>
      </w:r>
      <w:r>
        <w:t>to</w:t>
      </w:r>
      <w:r w:rsidR="007966E4">
        <w:t>-</w:t>
      </w:r>
      <w:r>
        <w:t>income ratio restrictions (as well as possible interest rate rises) will make it difficult to specifically attribute any housing market impacts to the interest limitation rules</w:t>
      </w:r>
      <w:r w:rsidR="007966E4">
        <w:t>.</w:t>
      </w:r>
    </w:p>
    <w:p w14:paraId="58CA6FE0" w14:textId="7E2D7400" w:rsidR="00291079" w:rsidRPr="0027679C" w:rsidRDefault="00291079" w:rsidP="00A73973">
      <w:pPr>
        <w:pStyle w:val="ListParagraph"/>
        <w:numPr>
          <w:ilvl w:val="0"/>
          <w:numId w:val="39"/>
        </w:numPr>
        <w:ind w:left="930" w:hanging="646"/>
        <w:jc w:val="both"/>
        <w:rPr>
          <w:lang w:val="en-NZ"/>
        </w:rPr>
      </w:pPr>
      <w:r w:rsidRPr="00E22454">
        <w:rPr>
          <w:b/>
          <w:bCs/>
          <w:lang w:val="en-NZ"/>
        </w:rPr>
        <w:t>Review</w:t>
      </w:r>
      <w:r w:rsidRPr="00E22454">
        <w:rPr>
          <w:lang w:val="en-NZ"/>
        </w:rPr>
        <w:t xml:space="preserve">: </w:t>
      </w:r>
      <w:r w:rsidR="0027679C" w:rsidRPr="00E22454">
        <w:rPr>
          <w:lang w:val="en-NZ"/>
        </w:rPr>
        <w:t>Inland Revenue regularly reviews tax settings on an ongoing basis and provides advice and updates to the Government accordingly.</w:t>
      </w:r>
      <w:r w:rsidR="00C954B5" w:rsidRPr="00E22454">
        <w:rPr>
          <w:lang w:val="en-NZ"/>
        </w:rPr>
        <w:t xml:space="preserve"> </w:t>
      </w:r>
      <w:r>
        <w:t>Policy officials maintain strong communication channels with stakeholders in the tax advisory community,</w:t>
      </w:r>
      <w:r w:rsidR="004F1FB2">
        <w:t xml:space="preserve"> including through the generic tax policy process,</w:t>
      </w:r>
      <w:r>
        <w:t xml:space="preserve"> and these stakeholders will be able to correspond with officials about the operation of the new rules at any time. If problems emerge, they will be dealt with either operationally, or by way of legislative amendment if agreed by Parliament.</w:t>
      </w:r>
      <w:bookmarkEnd w:id="0"/>
    </w:p>
    <w:sectPr w:rsidR="00291079" w:rsidRPr="0027679C" w:rsidSect="002159B9">
      <w:pgSz w:w="11906" w:h="16838" w:code="9"/>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9E14" w14:textId="77777777" w:rsidR="00CE76DD" w:rsidRDefault="00CE76DD">
      <w:pPr>
        <w:spacing w:after="0" w:line="240" w:lineRule="auto"/>
      </w:pPr>
      <w:r>
        <w:separator/>
      </w:r>
    </w:p>
    <w:p w14:paraId="7FF63642" w14:textId="77777777" w:rsidR="00CE76DD" w:rsidRDefault="00CE76DD"/>
  </w:endnote>
  <w:endnote w:type="continuationSeparator" w:id="0">
    <w:p w14:paraId="627338F9" w14:textId="77777777" w:rsidR="00CE76DD" w:rsidRDefault="00CE76DD">
      <w:pPr>
        <w:spacing w:after="0" w:line="240" w:lineRule="auto"/>
      </w:pPr>
      <w:r>
        <w:continuationSeparator/>
      </w:r>
    </w:p>
    <w:p w14:paraId="795D9733" w14:textId="77777777" w:rsidR="00CE76DD" w:rsidRDefault="00CE76DD"/>
  </w:endnote>
  <w:endnote w:type="continuationNotice" w:id="1">
    <w:p w14:paraId="0AE35E1F" w14:textId="77777777" w:rsidR="00CE76DD" w:rsidRDefault="00CE7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BD5FE4" w:rsidRDefault="00BD5FE4" w:rsidP="00743278">
    <w:pPr>
      <w:pStyle w:val="Footer"/>
    </w:pPr>
  </w:p>
  <w:p w14:paraId="6E40FA9B" w14:textId="77777777" w:rsidR="00BD5FE4" w:rsidRDefault="00BD5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386A" w14:textId="255318C8" w:rsidR="00BD5FE4" w:rsidRDefault="00BD5FE4" w:rsidP="00743278">
    <w:pPr>
      <w:pStyle w:val="Footer"/>
      <w:rPr>
        <w:sz w:val="14"/>
      </w:rPr>
    </w:pPr>
  </w:p>
  <w:p w14:paraId="3F4886C0" w14:textId="45CB59B0" w:rsidR="00BD5FE4" w:rsidRPr="00743278" w:rsidRDefault="00BD5FE4" w:rsidP="00743278">
    <w:pPr>
      <w:pStyle w:val="Footer"/>
    </w:pPr>
    <w:r>
      <w:rPr>
        <w:sz w:val="14"/>
      </w:rPr>
      <w:tab/>
    </w:r>
    <w:r>
      <w:t xml:space="preserve">Regulatory Impact Statement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p w14:paraId="25B99CB4" w14:textId="77777777" w:rsidR="00BD5FE4" w:rsidRDefault="00BD5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0FBE" w14:textId="77777777" w:rsidR="00CE76DD" w:rsidRDefault="00CE76DD">
      <w:pPr>
        <w:spacing w:after="0" w:line="240" w:lineRule="auto"/>
      </w:pPr>
      <w:r>
        <w:separator/>
      </w:r>
    </w:p>
    <w:p w14:paraId="39E8D6F2" w14:textId="77777777" w:rsidR="00CE76DD" w:rsidRDefault="00CE76DD"/>
  </w:footnote>
  <w:footnote w:type="continuationSeparator" w:id="0">
    <w:p w14:paraId="4F455F77" w14:textId="77777777" w:rsidR="00CE76DD" w:rsidRDefault="00CE76DD">
      <w:pPr>
        <w:spacing w:after="0" w:line="240" w:lineRule="auto"/>
      </w:pPr>
      <w:r>
        <w:continuationSeparator/>
      </w:r>
    </w:p>
    <w:p w14:paraId="336C2F26" w14:textId="77777777" w:rsidR="00CE76DD" w:rsidRDefault="00CE76DD"/>
  </w:footnote>
  <w:footnote w:type="continuationNotice" w:id="1">
    <w:p w14:paraId="7F730544" w14:textId="77777777" w:rsidR="00CE76DD" w:rsidRDefault="00CE76DD">
      <w:pPr>
        <w:spacing w:after="0" w:line="240" w:lineRule="auto"/>
      </w:pPr>
    </w:p>
  </w:footnote>
  <w:footnote w:id="2">
    <w:p w14:paraId="4C14AE29" w14:textId="68385BAA" w:rsidR="00BD5FE4" w:rsidRDefault="00BD5FE4" w:rsidP="004B49C2">
      <w:pPr>
        <w:pStyle w:val="FootnoteText"/>
      </w:pPr>
      <w:r>
        <w:rPr>
          <w:rStyle w:val="FootnoteReference"/>
        </w:rPr>
        <w:footnoteRef/>
      </w:r>
      <w:r>
        <w:t xml:space="preserve"> </w:t>
      </w:r>
      <w:r>
        <w:tab/>
      </w:r>
      <w:r w:rsidRPr="00D10B72">
        <w:t>Submissions closed on 12 July 2021 and 484 submissions were received. The majority of the submissions were from private landlords, although some were from tax advisors, property investors’ representative groups, real estate agents, iwi groups, property developers</w:t>
      </w:r>
      <w:r w:rsidR="006000AF">
        <w:t>,</w:t>
      </w:r>
      <w:r w:rsidRPr="00D10B72">
        <w:t xml:space="preserve"> and engineers.</w:t>
      </w:r>
    </w:p>
  </w:footnote>
  <w:footnote w:id="3">
    <w:p w14:paraId="4A50FD83" w14:textId="69E9AA4E" w:rsidR="00BD5FE4" w:rsidRDefault="00BD5FE4">
      <w:pPr>
        <w:pStyle w:val="FootnoteText"/>
      </w:pPr>
      <w:r>
        <w:rPr>
          <w:rStyle w:val="FootnoteReference"/>
        </w:rPr>
        <w:footnoteRef/>
      </w:r>
      <w:r>
        <w:t xml:space="preserve"> </w:t>
      </w:r>
      <w:r>
        <w:tab/>
        <w:t xml:space="preserve">Cabinet Minute CAB-21-MIN-0045 (Amended) (8 March 2021). </w:t>
      </w:r>
    </w:p>
  </w:footnote>
  <w:footnote w:id="4">
    <w:p w14:paraId="0B5CC1A6" w14:textId="21BF95D6" w:rsidR="00BD5FE4" w:rsidRDefault="00BD5FE4" w:rsidP="00A87329">
      <w:pPr>
        <w:pStyle w:val="FootnoteText"/>
        <w:tabs>
          <w:tab w:val="clear" w:pos="425"/>
          <w:tab w:val="left" w:pos="284"/>
        </w:tabs>
        <w:ind w:left="284" w:hanging="284"/>
      </w:pPr>
      <w:r>
        <w:rPr>
          <w:rStyle w:val="FootnoteReference"/>
        </w:rPr>
        <w:footnoteRef/>
      </w:r>
      <w:r>
        <w:t xml:space="preserve"> </w:t>
      </w:r>
      <w:r>
        <w:tab/>
      </w:r>
      <w:r w:rsidRPr="00EC1E96">
        <w:t xml:space="preserve">Stats NZ, Housing in Aotearoa: 2020, pp </w:t>
      </w:r>
      <w:r>
        <w:t>77, 78, 80, 89</w:t>
      </w:r>
      <w:r w:rsidRPr="00EC1E96">
        <w:t>.</w:t>
      </w:r>
      <w:r>
        <w:t xml:space="preserve"> </w:t>
      </w:r>
      <w:r w:rsidRPr="00EC1E96">
        <w:t>https://www.stats.govt.nz/assets/Uploads/Reports/</w:t>
      </w:r>
      <w:r w:rsidR="00A73973">
        <w:t xml:space="preserve"> </w:t>
      </w:r>
      <w:r w:rsidRPr="00EC1E96">
        <w:t>Housing-inAotearoa-2020/Download-data/housing-in-aotearoa-2020.pdf</w:t>
      </w:r>
      <w:r>
        <w:t>.</w:t>
      </w:r>
    </w:p>
  </w:footnote>
  <w:footnote w:id="5">
    <w:p w14:paraId="5698C2E5" w14:textId="7E498ADD" w:rsidR="00BD5FE4" w:rsidRDefault="00BD5FE4" w:rsidP="00EC1E96">
      <w:pPr>
        <w:pStyle w:val="FootnoteText"/>
        <w:tabs>
          <w:tab w:val="clear" w:pos="425"/>
          <w:tab w:val="left" w:pos="142"/>
        </w:tabs>
        <w:ind w:left="284" w:hanging="284"/>
      </w:pPr>
      <w:r>
        <w:rPr>
          <w:rStyle w:val="FootnoteReference"/>
        </w:rPr>
        <w:footnoteRef/>
      </w:r>
      <w:r>
        <w:t xml:space="preserve"> </w:t>
      </w:r>
      <w:r>
        <w:tab/>
      </w:r>
      <w:r>
        <w:tab/>
      </w:r>
      <w:r w:rsidRPr="00EC1E96">
        <w:t>Stats NZ, Housing in Aotearoa: 2020, pp 47. https://www.stats.govt.nz/assets/Uploads/Reports/Housing</w:t>
      </w:r>
      <w:r w:rsidR="007E279C">
        <w:t>-</w:t>
      </w:r>
      <w:r w:rsidRPr="00EC1E96">
        <w:t>inAotearoa-2020/Download-data/housing-in-aotearoa-2020.pdf</w:t>
      </w:r>
      <w:r>
        <w:t>.</w:t>
      </w:r>
    </w:p>
  </w:footnote>
  <w:footnote w:id="6">
    <w:p w14:paraId="654ACF01" w14:textId="1E17E1D6" w:rsidR="00BD5FE4" w:rsidRDefault="00BD5FE4" w:rsidP="00A87329">
      <w:pPr>
        <w:pStyle w:val="FootnoteText"/>
        <w:tabs>
          <w:tab w:val="clear" w:pos="425"/>
          <w:tab w:val="left" w:pos="284"/>
        </w:tabs>
      </w:pPr>
      <w:r>
        <w:rPr>
          <w:rStyle w:val="FootnoteReference"/>
        </w:rPr>
        <w:footnoteRef/>
      </w:r>
      <w:r>
        <w:t xml:space="preserve"> </w:t>
      </w:r>
      <w:r>
        <w:tab/>
        <w:t>OECD Better Life Index (2020). http://www.oecdbetterlifeindex.org/topics/housing/.</w:t>
      </w:r>
    </w:p>
  </w:footnote>
  <w:footnote w:id="7">
    <w:p w14:paraId="6A1A3C01" w14:textId="18F3F101" w:rsidR="00BD5FE4" w:rsidRDefault="00BD5FE4" w:rsidP="00A87329">
      <w:pPr>
        <w:pStyle w:val="FootnoteText"/>
        <w:tabs>
          <w:tab w:val="clear" w:pos="425"/>
        </w:tabs>
        <w:ind w:left="284" w:hanging="284"/>
      </w:pPr>
      <w:r>
        <w:rPr>
          <w:rStyle w:val="FootnoteReference"/>
        </w:rPr>
        <w:footnoteRef/>
      </w:r>
      <w:r>
        <w:t xml:space="preserve"> </w:t>
      </w:r>
      <w:r>
        <w:tab/>
        <w:t>Stats NZ, Housing in Aotearoa: 2020, pp 48, Figure 35. https://www.stats.govt.nz/assets/Uploads/Reports/</w:t>
      </w:r>
      <w:r w:rsidR="00A73973">
        <w:t xml:space="preserve"> </w:t>
      </w:r>
      <w:r>
        <w:t xml:space="preserve">Housing-in-Aotearoa-2020/Download-data/housing-in-aotearoa-2020.pdf. </w:t>
      </w:r>
    </w:p>
  </w:footnote>
  <w:footnote w:id="8">
    <w:p w14:paraId="60CC078F" w14:textId="67E3C5BD" w:rsidR="00BD5FE4" w:rsidRDefault="00BD5FE4" w:rsidP="00A87329">
      <w:pPr>
        <w:pStyle w:val="FootnoteText"/>
        <w:tabs>
          <w:tab w:val="clear" w:pos="425"/>
          <w:tab w:val="left" w:pos="284"/>
        </w:tabs>
      </w:pPr>
      <w:r>
        <w:rPr>
          <w:rStyle w:val="FootnoteReference"/>
        </w:rPr>
        <w:footnoteRef/>
      </w:r>
      <w:r>
        <w:t xml:space="preserve"> </w:t>
      </w:r>
      <w:r>
        <w:tab/>
        <w:t>REINZ Monthly Report October, pp 6. (Released 12 November 2020).</w:t>
      </w:r>
    </w:p>
  </w:footnote>
  <w:footnote w:id="9">
    <w:p w14:paraId="652C7C9E" w14:textId="7376E315" w:rsidR="00BD5FE4" w:rsidRDefault="00BD5FE4" w:rsidP="00006EA8">
      <w:pPr>
        <w:pStyle w:val="FootnoteText"/>
        <w:tabs>
          <w:tab w:val="clear" w:pos="425"/>
          <w:tab w:val="left" w:pos="284"/>
        </w:tabs>
        <w:ind w:left="284" w:hanging="284"/>
      </w:pPr>
      <w:r>
        <w:rPr>
          <w:rStyle w:val="FootnoteReference"/>
        </w:rPr>
        <w:footnoteRef/>
      </w:r>
      <w:r>
        <w:t xml:space="preserve"> </w:t>
      </w:r>
      <w:r>
        <w:tab/>
      </w:r>
      <w:r w:rsidRPr="002D56C8">
        <w:t>Stats NZ, Housing in Aotearoa: 2020</w:t>
      </w:r>
      <w:r>
        <w:t>, https://www.stats.govt.nz/assets/Uploads/Reports/Housing-in-Aotearoa-2020/Download-data/housing-in-aotearoa-2020.pdf.</w:t>
      </w:r>
    </w:p>
  </w:footnote>
  <w:footnote w:id="10">
    <w:p w14:paraId="48607CC8" w14:textId="32C6A601" w:rsidR="00BD5FE4" w:rsidRDefault="00BD5FE4" w:rsidP="00A73973">
      <w:pPr>
        <w:pStyle w:val="FootnoteText"/>
        <w:tabs>
          <w:tab w:val="clear" w:pos="425"/>
          <w:tab w:val="left" w:pos="426"/>
        </w:tabs>
        <w:ind w:left="426" w:hanging="426"/>
        <w:jc w:val="both"/>
      </w:pPr>
      <w:r>
        <w:rPr>
          <w:rStyle w:val="FootnoteReference"/>
        </w:rPr>
        <w:footnoteRef/>
      </w:r>
      <w:r>
        <w:t xml:space="preserve"> </w:t>
      </w:r>
      <w:r>
        <w:tab/>
        <w:t>Stats NZ, Housing in Aotearoa: 2020, Figure 16. https://www.stats.govt.nz/assets/Uploads/Reports/Housing-in-Aotearoa-2020/Download-data/housing-in-aotearoa-2020.pdf.</w:t>
      </w:r>
    </w:p>
  </w:footnote>
  <w:footnote w:id="11">
    <w:p w14:paraId="4D0FEDAB" w14:textId="0C803110" w:rsidR="00BD5FE4" w:rsidRDefault="00BD5FE4" w:rsidP="00A73973">
      <w:pPr>
        <w:pStyle w:val="FootnoteText"/>
        <w:tabs>
          <w:tab w:val="clear" w:pos="425"/>
          <w:tab w:val="left" w:pos="426"/>
        </w:tabs>
        <w:ind w:left="426" w:hanging="426"/>
        <w:jc w:val="both"/>
      </w:pPr>
      <w:r>
        <w:rPr>
          <w:rStyle w:val="FootnoteReference"/>
        </w:rPr>
        <w:footnoteRef/>
      </w:r>
      <w:r>
        <w:t xml:space="preserve"> </w:t>
      </w:r>
      <w:r>
        <w:tab/>
        <w:t xml:space="preserve">Stats NZ, data from 1916-2018 Censuses. </w:t>
      </w:r>
      <w:r w:rsidRPr="00B46FA9">
        <w:t>https://www.stats.govt.nz/news/homeownership-rate-lowest-in-almost-70-years</w:t>
      </w:r>
      <w:r>
        <w:t>.</w:t>
      </w:r>
    </w:p>
  </w:footnote>
  <w:footnote w:id="12">
    <w:p w14:paraId="62D50963" w14:textId="35B791A4" w:rsidR="00BD5FE4" w:rsidRDefault="00BD5FE4" w:rsidP="00A73973">
      <w:pPr>
        <w:pStyle w:val="FootnoteText"/>
        <w:jc w:val="both"/>
      </w:pPr>
      <w:r>
        <w:rPr>
          <w:rStyle w:val="FootnoteReference"/>
        </w:rPr>
        <w:footnoteRef/>
      </w:r>
      <w:r>
        <w:t xml:space="preserve"> </w:t>
      </w:r>
      <w:r w:rsidR="00A06A21">
        <w:tab/>
      </w:r>
      <w:r>
        <w:t>Stats NZ, Housing in Aotearoa: 2020, Figure 33. https://www.stats.govt.nz/assets/Uploads/Reports/Housing-in-Aotearoa-2020/Download-data/housing-in-aotearoa-2020.pdf.</w:t>
      </w:r>
    </w:p>
  </w:footnote>
  <w:footnote w:id="13">
    <w:p w14:paraId="4A398477" w14:textId="5E5B0775" w:rsidR="00BD5FE4" w:rsidRDefault="00BD5FE4" w:rsidP="00A73973">
      <w:pPr>
        <w:pStyle w:val="FootnoteText"/>
        <w:jc w:val="both"/>
      </w:pPr>
      <w:r>
        <w:rPr>
          <w:rStyle w:val="FootnoteReference"/>
        </w:rPr>
        <w:footnoteRef/>
      </w:r>
      <w:r>
        <w:t xml:space="preserve"> </w:t>
      </w:r>
      <w:r w:rsidR="00A06A21">
        <w:tab/>
      </w:r>
      <w:r>
        <w:t>Stats NZ, Housing in Aotearoa: 2020, p 36. https://www.stats.govt.nz/assets/Uploads/Reports/Housing-in-Aotearoa-2020/Download-data/housing-in-aotearoa-2020.pdf.</w:t>
      </w:r>
    </w:p>
  </w:footnote>
  <w:footnote w:id="14">
    <w:p w14:paraId="2CBD45ED" w14:textId="653A0D43" w:rsidR="00BD5FE4" w:rsidRDefault="00BD5FE4" w:rsidP="00A73973">
      <w:pPr>
        <w:pStyle w:val="FootnoteText"/>
        <w:jc w:val="both"/>
      </w:pPr>
      <w:r>
        <w:rPr>
          <w:rStyle w:val="FootnoteReference"/>
        </w:rPr>
        <w:footnoteRef/>
      </w:r>
      <w:r>
        <w:t xml:space="preserve"> </w:t>
      </w:r>
      <w:r w:rsidR="00A06A21">
        <w:tab/>
      </w:r>
      <w:r>
        <w:t>Stats NZ, Housing in Aotearoa: 2020, p 46. https://www.stats.govt.nz/assets/Uploads/Reports/Housing-in-Aotearoa-2020/Download-data/housing-in-aotearoa-2020.pdf.</w:t>
      </w:r>
    </w:p>
  </w:footnote>
  <w:footnote w:id="15">
    <w:p w14:paraId="1CFA2535" w14:textId="1C0E9DE8" w:rsidR="00BD5FE4" w:rsidRDefault="00BD5FE4" w:rsidP="00A73973">
      <w:pPr>
        <w:pStyle w:val="FootnoteText"/>
        <w:tabs>
          <w:tab w:val="clear" w:pos="425"/>
          <w:tab w:val="left" w:pos="426"/>
        </w:tabs>
        <w:ind w:left="426" w:hanging="426"/>
        <w:jc w:val="both"/>
      </w:pPr>
      <w:r>
        <w:rPr>
          <w:rStyle w:val="FootnoteReference"/>
        </w:rPr>
        <w:footnoteRef/>
      </w:r>
      <w:r>
        <w:t xml:space="preserve"> </w:t>
      </w:r>
      <w:r>
        <w:tab/>
        <w:t>Stats NZ, Housing in Aotearoa: 2020. https://www.stats.govt.nz/assets/Uploads/Reports/Housing-in-Aotearoa-2020/Download-data/housing-in-aotearoa-2020.pdf.</w:t>
      </w:r>
    </w:p>
  </w:footnote>
  <w:footnote w:id="16">
    <w:p w14:paraId="70D60746" w14:textId="61DEC7D7" w:rsidR="00BD5FE4" w:rsidRDefault="00BD5FE4" w:rsidP="00A73973">
      <w:pPr>
        <w:pStyle w:val="FootnoteText"/>
        <w:jc w:val="both"/>
      </w:pPr>
      <w:r>
        <w:rPr>
          <w:rStyle w:val="FootnoteReference"/>
        </w:rPr>
        <w:footnoteRef/>
      </w:r>
      <w:r>
        <w:t xml:space="preserve"> </w:t>
      </w:r>
      <w:r w:rsidR="00A06A21">
        <w:tab/>
      </w:r>
      <w:r>
        <w:t>Stats NZ, Housing in Aotearoa: 2020, p 46. https://www.stats.govt.nz/assets/Uploads/Reports/Housing-in-Aotearoa-2020/Download-data/housing-in-aotearoa-2020.pdf.</w:t>
      </w:r>
    </w:p>
  </w:footnote>
  <w:footnote w:id="17">
    <w:p w14:paraId="3FA0CB54" w14:textId="3AA5663C" w:rsidR="00BD5FE4" w:rsidRDefault="00BD5FE4" w:rsidP="00A73973">
      <w:pPr>
        <w:pStyle w:val="FootnoteText"/>
        <w:jc w:val="both"/>
      </w:pPr>
      <w:r>
        <w:rPr>
          <w:rStyle w:val="FootnoteReference"/>
        </w:rPr>
        <w:footnoteRef/>
      </w:r>
      <w:r>
        <w:t xml:space="preserve"> </w:t>
      </w:r>
      <w:r w:rsidR="00A06A21">
        <w:tab/>
      </w:r>
      <w:r>
        <w:t>Stats NZ, Housing in Aotearoa: 2020, Figure 34. https://www.stats.govt.nz/assets/Uploads/Reports/Housing-in-Aotearoa-2020/Download-data/housing-in-aotearoa-2020.pdf.</w:t>
      </w:r>
    </w:p>
  </w:footnote>
  <w:footnote w:id="18">
    <w:p w14:paraId="3FC1EB87" w14:textId="4CB95F25" w:rsidR="00805F87" w:rsidRDefault="00805F87" w:rsidP="00A06A21">
      <w:pPr>
        <w:pStyle w:val="FootnoteText"/>
        <w:tabs>
          <w:tab w:val="clear" w:pos="425"/>
          <w:tab w:val="left" w:pos="567"/>
        </w:tabs>
      </w:pPr>
      <w:r>
        <w:rPr>
          <w:rStyle w:val="FootnoteReference"/>
        </w:rPr>
        <w:footnoteRef/>
      </w:r>
      <w:r>
        <w:t xml:space="preserve"> </w:t>
      </w:r>
      <w:r>
        <w:tab/>
      </w:r>
      <w:r w:rsidR="00437CCB">
        <w:t xml:space="preserve">Though some </w:t>
      </w:r>
      <w:r w:rsidR="00BC76D9">
        <w:t xml:space="preserve">housing </w:t>
      </w:r>
      <w:r w:rsidR="00437CCB">
        <w:t xml:space="preserve">investments will </w:t>
      </w:r>
      <w:r w:rsidR="00BC76D9">
        <w:t>not</w:t>
      </w:r>
      <w:r w:rsidR="00863F56">
        <w:t xml:space="preserve"> necessarily</w:t>
      </w:r>
      <w:r w:rsidR="00BC76D9">
        <w:t xml:space="preserve"> be tax preferred, such as where the bright-line test</w:t>
      </w:r>
      <w:r w:rsidR="00957E9B">
        <w:t xml:space="preserve"> applies</w:t>
      </w:r>
      <w:r w:rsidR="00BC76D9">
        <w:t>.</w:t>
      </w:r>
    </w:p>
  </w:footnote>
  <w:footnote w:id="19">
    <w:p w14:paraId="4D880CC5" w14:textId="3056E953" w:rsidR="00BD5FE4" w:rsidRDefault="00BD5FE4">
      <w:pPr>
        <w:pStyle w:val="FootnoteText"/>
      </w:pPr>
      <w:r>
        <w:rPr>
          <w:rStyle w:val="FootnoteReference"/>
        </w:rPr>
        <w:footnoteRef/>
      </w:r>
      <w:r>
        <w:t xml:space="preserve">  </w:t>
      </w:r>
      <w:r w:rsidR="00A06A21">
        <w:tab/>
      </w:r>
      <w:r>
        <w:t>CAB-21-MIN-0045 Amended (8 March 2021). Most decisions are in-principle.</w:t>
      </w:r>
    </w:p>
  </w:footnote>
  <w:footnote w:id="20">
    <w:p w14:paraId="6AEF90AD" w14:textId="31494305" w:rsidR="00BD5FE4" w:rsidRDefault="00BD5FE4">
      <w:pPr>
        <w:pStyle w:val="FootnoteText"/>
      </w:pPr>
      <w:r>
        <w:rPr>
          <w:rStyle w:val="FootnoteReference"/>
        </w:rPr>
        <w:footnoteRef/>
      </w:r>
      <w:r>
        <w:t xml:space="preserve"> </w:t>
      </w:r>
      <w:r>
        <w:tab/>
      </w:r>
      <w:r w:rsidRPr="007C0824">
        <w:t xml:space="preserve">Census data indicates that 35% of households are not living in owner-occupied housing. We have assumed that a similar proportion of new builds are currently being bought by investors. Behavioural assumptions incorporated in the </w:t>
      </w:r>
      <w:r>
        <w:t>new build exemption</w:t>
      </w:r>
      <w:r w:rsidRPr="007C0824">
        <w:t xml:space="preserve"> costing see this increase to 75%.</w:t>
      </w:r>
    </w:p>
  </w:footnote>
  <w:footnote w:id="21">
    <w:p w14:paraId="3B609CF3" w14:textId="22497E92" w:rsidR="00BD5FE4" w:rsidRDefault="00BD5FE4">
      <w:pPr>
        <w:pStyle w:val="FootnoteText"/>
      </w:pPr>
      <w:r>
        <w:rPr>
          <w:rStyle w:val="FootnoteReference"/>
        </w:rPr>
        <w:footnoteRef/>
      </w:r>
      <w:r>
        <w:t xml:space="preserve"> </w:t>
      </w:r>
      <w:r>
        <w:tab/>
      </w:r>
      <w:r w:rsidRPr="007C0824">
        <w:t xml:space="preserve">In the absence of information on the average loan term for new residential property mortgages, </w:t>
      </w:r>
      <w:r>
        <w:t>a</w:t>
      </w:r>
      <w:r w:rsidRPr="007C0824">
        <w:t xml:space="preserve"> 25</w:t>
      </w:r>
      <w:r>
        <w:t>-</w:t>
      </w:r>
      <w:r w:rsidRPr="007C0824">
        <w:t>year term</w:t>
      </w:r>
      <w:r>
        <w:t xml:space="preserve"> was selected</w:t>
      </w:r>
      <w:r w:rsidRPr="007C0824">
        <w:t>.</w:t>
      </w:r>
    </w:p>
  </w:footnote>
  <w:footnote w:id="22">
    <w:p w14:paraId="2CF19C45" w14:textId="78897749" w:rsidR="00BD5FE4" w:rsidRDefault="00BD5FE4">
      <w:pPr>
        <w:pStyle w:val="FootnoteText"/>
      </w:pPr>
      <w:r>
        <w:rPr>
          <w:rStyle w:val="FootnoteReference"/>
        </w:rPr>
        <w:footnoteRef/>
      </w:r>
      <w:r>
        <w:t xml:space="preserve"> </w:t>
      </w:r>
      <w:r>
        <w:tab/>
        <w:t xml:space="preserve">24.55% is the average marginal tax rate </w:t>
      </w:r>
      <w:r w:rsidRPr="00B871D2">
        <w:t xml:space="preserve">of those </w:t>
      </w:r>
      <w:r>
        <w:t>Inland Revenue</w:t>
      </w:r>
      <w:r w:rsidRPr="00B871D2">
        <w:t xml:space="preserve"> could identify as </w:t>
      </w:r>
      <w:r>
        <w:t xml:space="preserve">owners of </w:t>
      </w:r>
      <w:r w:rsidRPr="00B871D2">
        <w:t xml:space="preserve">residential rental </w:t>
      </w:r>
      <w:r>
        <w:t xml:space="preserve">properties </w:t>
      </w:r>
      <w:r w:rsidRPr="00B871D2">
        <w:t>with interest expenditure.</w:t>
      </w:r>
    </w:p>
  </w:footnote>
  <w:footnote w:id="23">
    <w:p w14:paraId="3DEC2054" w14:textId="26DEB9EC" w:rsidR="00BD5FE4" w:rsidRDefault="00BD5FE4">
      <w:pPr>
        <w:pStyle w:val="FootnoteText"/>
      </w:pPr>
      <w:r>
        <w:rPr>
          <w:rStyle w:val="FootnoteReference"/>
        </w:rPr>
        <w:footnoteRef/>
      </w:r>
      <w:r>
        <w:t xml:space="preserve"> </w:t>
      </w:r>
      <w:r w:rsidR="00BD41EA">
        <w:tab/>
      </w:r>
      <w:r>
        <w:t xml:space="preserve">24.55% is the average marginal tax rate </w:t>
      </w:r>
      <w:r w:rsidRPr="00B871D2">
        <w:t xml:space="preserve">of those </w:t>
      </w:r>
      <w:r>
        <w:t>Inland Revenue</w:t>
      </w:r>
      <w:r w:rsidRPr="00B871D2">
        <w:t xml:space="preserve"> could identify as </w:t>
      </w:r>
      <w:r>
        <w:t xml:space="preserve">owners of </w:t>
      </w:r>
      <w:r w:rsidRPr="00B871D2">
        <w:t xml:space="preserve">residential rental </w:t>
      </w:r>
      <w:r>
        <w:t xml:space="preserve">properties </w:t>
      </w:r>
      <w:r w:rsidRPr="00B871D2">
        <w:t>with interest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BD5FE4" w:rsidRDefault="00BD5FE4">
    <w:pPr>
      <w:pStyle w:val="Header"/>
    </w:pPr>
  </w:p>
  <w:p w14:paraId="5B68D6FF" w14:textId="77777777" w:rsidR="00BD5FE4" w:rsidRDefault="00BD5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15B" w14:textId="1F90EB23" w:rsidR="00BD5FE4" w:rsidRPr="00EB1B21" w:rsidRDefault="00805F87" w:rsidP="004B6F7D">
    <w:pPr>
      <w:tabs>
        <w:tab w:val="center" w:pos="4253"/>
      </w:tabs>
      <w:rPr>
        <w:b/>
      </w:rPr>
    </w:pPr>
    <w:r>
      <w:rPr>
        <w:noProof/>
      </w:rPr>
      <mc:AlternateContent>
        <mc:Choice Requires="wps">
          <w:drawing>
            <wp:anchor distT="0" distB="0" distL="114300" distR="114300" simplePos="0" relativeHeight="251658240" behindDoc="0" locked="0" layoutInCell="0" allowOverlap="1" wp14:anchorId="15996CB1" wp14:editId="6628E745">
              <wp:simplePos x="0" y="0"/>
              <wp:positionH relativeFrom="page">
                <wp:align>center</wp:align>
              </wp:positionH>
              <wp:positionV relativeFrom="page">
                <wp:align>top</wp:align>
              </wp:positionV>
              <wp:extent cx="7772400" cy="463550"/>
              <wp:effectExtent l="0" t="0" r="0" b="12700"/>
              <wp:wrapNone/>
              <wp:docPr id="1" name="MSIPCM4caa4de0bbbbbedbd0c2efb1" descr="{&quot;HashCode&quot;:130510670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74739" w14:textId="319F504C" w:rsidR="00805F87" w:rsidRPr="005023FE" w:rsidRDefault="005023FE" w:rsidP="005023FE">
                          <w:pPr>
                            <w:spacing w:after="0"/>
                            <w:jc w:val="center"/>
                            <w:rPr>
                              <w:rFonts w:ascii="Verdana" w:hAnsi="Verdana" w:cs="Calibri"/>
                              <w:color w:val="000000"/>
                              <w:sz w:val="20"/>
                            </w:rPr>
                          </w:pPr>
                          <w:r w:rsidRPr="005023FE">
                            <w:rPr>
                              <w:rFonts w:ascii="Verdana" w:hAnsi="Verdana" w:cs="Calibri"/>
                              <w:color w:val="000000"/>
                              <w:sz w:val="20"/>
                            </w:rPr>
                            <w:t xml:space="preserve">[IN CONFIDENCE]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996CB1" id="_x0000_t202" coordsize="21600,21600" o:spt="202" path="m,l,21600r21600,l21600,xe">
              <v:stroke joinstyle="miter"/>
              <v:path gradientshapeok="t" o:connecttype="rect"/>
            </v:shapetype>
            <v:shape id="MSIPCM4caa4de0bbbbbedbd0c2efb1" o:spid="_x0000_s1027" type="#_x0000_t202" alt="{&quot;HashCode&quot;:1305106702,&quot;Height&quot;:9999999.0,&quot;Width&quot;:9999999.0,&quot;Placement&quot;:&quot;Head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QyXvOqUCAABQBQAADgAAAAAAAAAAAAAAAAAuAgAA&#10;ZHJzL2Uyb0RvYy54bWxQSwECLQAUAAYACAAAACEAvh8Kt9oAAAAFAQAADwAAAAAAAAAAAAAAAAD/&#10;BAAAZHJzL2Rvd25yZXYueG1sUEsFBgAAAAAEAAQA8wAAAAYGAAAAAA==&#10;" o:allowincell="f" filled="f" stroked="f" strokeweight=".5pt">
              <v:textbox inset=",0,,0">
                <w:txbxContent>
                  <w:p w14:paraId="1BA74739" w14:textId="319F504C" w:rsidR="00805F87" w:rsidRPr="005023FE" w:rsidRDefault="005023FE" w:rsidP="005023FE">
                    <w:pPr>
                      <w:spacing w:after="0"/>
                      <w:jc w:val="center"/>
                      <w:rPr>
                        <w:rFonts w:ascii="Verdana" w:hAnsi="Verdana" w:cs="Calibri"/>
                        <w:color w:val="000000"/>
                        <w:sz w:val="20"/>
                      </w:rPr>
                    </w:pPr>
                    <w:r w:rsidRPr="005023FE">
                      <w:rPr>
                        <w:rFonts w:ascii="Verdana" w:hAnsi="Verdana" w:cs="Calibri"/>
                        <w:color w:val="000000"/>
                        <w:sz w:val="20"/>
                      </w:rPr>
                      <w:t xml:space="preserve">[IN CONFIDENCE] </w:t>
                    </w:r>
                  </w:p>
                </w:txbxContent>
              </v:textbox>
              <w10:wrap anchorx="page" anchory="page"/>
            </v:shape>
          </w:pict>
        </mc:Fallback>
      </mc:AlternateContent>
    </w:r>
    <w:r w:rsidR="00BD5FE4">
      <w:tab/>
    </w:r>
  </w:p>
  <w:p w14:paraId="60EA4F3F" w14:textId="77777777" w:rsidR="00BD5FE4" w:rsidRDefault="00BD5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171605"/>
    <w:multiLevelType w:val="hybridMultilevel"/>
    <w:tmpl w:val="A38CB7B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FA20F1"/>
    <w:multiLevelType w:val="hybridMultilevel"/>
    <w:tmpl w:val="E77044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E62F65"/>
    <w:multiLevelType w:val="hybridMultilevel"/>
    <w:tmpl w:val="EDD46DC8"/>
    <w:lvl w:ilvl="0" w:tplc="0E2ADCE2">
      <w:start w:val="1"/>
      <w:numFmt w:val="decimal"/>
      <w:lvlText w:val="%1."/>
      <w:lvlJc w:val="left"/>
      <w:pPr>
        <w:ind w:left="928" w:hanging="360"/>
      </w:pPr>
      <w:rPr>
        <w:i w:val="0"/>
        <w:i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9D190F"/>
    <w:multiLevelType w:val="hybridMultilevel"/>
    <w:tmpl w:val="FDA2E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FD2618A"/>
    <w:multiLevelType w:val="hybridMultilevel"/>
    <w:tmpl w:val="60D07D9A"/>
    <w:lvl w:ilvl="0" w:tplc="100E4A1C">
      <w:start w:val="1"/>
      <w:numFmt w:val="decimal"/>
      <w:lvlText w:val="%1."/>
      <w:lvlJc w:val="left"/>
      <w:pPr>
        <w:ind w:left="928" w:hanging="360"/>
      </w:pPr>
      <w:rPr>
        <w:rFonts w:ascii="Arial" w:hAnsi="Arial" w:cs="Arial" w:hint="default"/>
        <w:b w:val="0"/>
        <w:bCs/>
        <w:i w:val="0"/>
        <w:i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744CA"/>
    <w:multiLevelType w:val="hybridMultilevel"/>
    <w:tmpl w:val="FFFFFFFF"/>
    <w:lvl w:ilvl="0" w:tplc="783ABB26">
      <w:start w:val="1"/>
      <w:numFmt w:val="bullet"/>
      <w:lvlText w:val="·"/>
      <w:lvlJc w:val="left"/>
      <w:pPr>
        <w:ind w:left="720" w:hanging="360"/>
      </w:pPr>
      <w:rPr>
        <w:rFonts w:ascii="Symbol" w:hAnsi="Symbol" w:hint="default"/>
      </w:rPr>
    </w:lvl>
    <w:lvl w:ilvl="1" w:tplc="5B7CF9EE">
      <w:start w:val="1"/>
      <w:numFmt w:val="bullet"/>
      <w:lvlText w:val="o"/>
      <w:lvlJc w:val="left"/>
      <w:pPr>
        <w:ind w:left="1440" w:hanging="360"/>
      </w:pPr>
      <w:rPr>
        <w:rFonts w:ascii="Courier New" w:hAnsi="Courier New" w:hint="default"/>
      </w:rPr>
    </w:lvl>
    <w:lvl w:ilvl="2" w:tplc="D2C8E7C2">
      <w:start w:val="1"/>
      <w:numFmt w:val="bullet"/>
      <w:lvlText w:val=""/>
      <w:lvlJc w:val="left"/>
      <w:pPr>
        <w:ind w:left="2160" w:hanging="360"/>
      </w:pPr>
      <w:rPr>
        <w:rFonts w:ascii="Wingdings" w:hAnsi="Wingdings" w:hint="default"/>
      </w:rPr>
    </w:lvl>
    <w:lvl w:ilvl="3" w:tplc="A5C2B488">
      <w:start w:val="1"/>
      <w:numFmt w:val="bullet"/>
      <w:lvlText w:val=""/>
      <w:lvlJc w:val="left"/>
      <w:pPr>
        <w:ind w:left="2880" w:hanging="360"/>
      </w:pPr>
      <w:rPr>
        <w:rFonts w:ascii="Symbol" w:hAnsi="Symbol" w:hint="default"/>
      </w:rPr>
    </w:lvl>
    <w:lvl w:ilvl="4" w:tplc="727C92E6">
      <w:start w:val="1"/>
      <w:numFmt w:val="bullet"/>
      <w:lvlText w:val="o"/>
      <w:lvlJc w:val="left"/>
      <w:pPr>
        <w:ind w:left="3600" w:hanging="360"/>
      </w:pPr>
      <w:rPr>
        <w:rFonts w:ascii="Courier New" w:hAnsi="Courier New" w:hint="default"/>
      </w:rPr>
    </w:lvl>
    <w:lvl w:ilvl="5" w:tplc="003EBCEE">
      <w:start w:val="1"/>
      <w:numFmt w:val="bullet"/>
      <w:lvlText w:val=""/>
      <w:lvlJc w:val="left"/>
      <w:pPr>
        <w:ind w:left="4320" w:hanging="360"/>
      </w:pPr>
      <w:rPr>
        <w:rFonts w:ascii="Wingdings" w:hAnsi="Wingdings" w:hint="default"/>
      </w:rPr>
    </w:lvl>
    <w:lvl w:ilvl="6" w:tplc="98A2EC7A">
      <w:start w:val="1"/>
      <w:numFmt w:val="bullet"/>
      <w:lvlText w:val=""/>
      <w:lvlJc w:val="left"/>
      <w:pPr>
        <w:ind w:left="5040" w:hanging="360"/>
      </w:pPr>
      <w:rPr>
        <w:rFonts w:ascii="Symbol" w:hAnsi="Symbol" w:hint="default"/>
      </w:rPr>
    </w:lvl>
    <w:lvl w:ilvl="7" w:tplc="C87A748E">
      <w:start w:val="1"/>
      <w:numFmt w:val="bullet"/>
      <w:lvlText w:val="o"/>
      <w:lvlJc w:val="left"/>
      <w:pPr>
        <w:ind w:left="5760" w:hanging="360"/>
      </w:pPr>
      <w:rPr>
        <w:rFonts w:ascii="Courier New" w:hAnsi="Courier New" w:hint="default"/>
      </w:rPr>
    </w:lvl>
    <w:lvl w:ilvl="8" w:tplc="EB20C30A">
      <w:start w:val="1"/>
      <w:numFmt w:val="bullet"/>
      <w:lvlText w:val=""/>
      <w:lvlJc w:val="left"/>
      <w:pPr>
        <w:ind w:left="6480" w:hanging="360"/>
      </w:pPr>
      <w:rPr>
        <w:rFonts w:ascii="Wingdings" w:hAnsi="Wingdings" w:hint="default"/>
      </w:rPr>
    </w:lvl>
  </w:abstractNum>
  <w:abstractNum w:abstractNumId="19"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FDD7E64"/>
    <w:multiLevelType w:val="hybridMultilevel"/>
    <w:tmpl w:val="7F22D250"/>
    <w:lvl w:ilvl="0" w:tplc="FC2A6B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BE376B"/>
    <w:multiLevelType w:val="hybridMultilevel"/>
    <w:tmpl w:val="C14AEF76"/>
    <w:lvl w:ilvl="0" w:tplc="610A30C0">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2" w15:restartNumberingAfterBreak="0">
    <w:nsid w:val="60D05F57"/>
    <w:multiLevelType w:val="hybridMultilevel"/>
    <w:tmpl w:val="6BB8E90A"/>
    <w:lvl w:ilvl="0" w:tplc="EBF22DA6">
      <w:start w:val="1"/>
      <w:numFmt w:val="decimal"/>
      <w:lvlText w:val="%1."/>
      <w:lvlJc w:val="left"/>
      <w:pPr>
        <w:ind w:left="928" w:hanging="360"/>
      </w:pPr>
      <w:rPr>
        <w:rFonts w:ascii="Arial" w:hAnsi="Arial" w:cs="Arial" w:hint="default"/>
        <w:b w:val="0"/>
        <w:bCs/>
        <w:i w:val="0"/>
        <w:i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285490A"/>
    <w:multiLevelType w:val="hybridMultilevel"/>
    <w:tmpl w:val="6FAA3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993153"/>
    <w:multiLevelType w:val="multilevel"/>
    <w:tmpl w:val="1FB6F3CA"/>
    <w:lvl w:ilvl="0">
      <w:start w:val="1"/>
      <w:numFmt w:val="decimal"/>
      <w:pStyle w:val="NumberedParagraph"/>
      <w:lvlText w:val="%1."/>
      <w:lvlJc w:val="left"/>
      <w:pPr>
        <w:tabs>
          <w:tab w:val="num" w:pos="709"/>
        </w:tabs>
        <w:ind w:left="709" w:hanging="709"/>
      </w:pPr>
      <w:rPr>
        <w:rFonts w:hint="default"/>
        <w:b w:val="0"/>
        <w:i w:val="0"/>
        <w:sz w:val="22"/>
        <w:szCs w:val="22"/>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5" w15:restartNumberingAfterBreak="0">
    <w:nsid w:val="66146993"/>
    <w:multiLevelType w:val="hybridMultilevel"/>
    <w:tmpl w:val="AD148676"/>
    <w:lvl w:ilvl="0" w:tplc="1409000F">
      <w:start w:val="1"/>
      <w:numFmt w:val="decimal"/>
      <w:lvlText w:val="%1."/>
      <w:lvlJc w:val="left"/>
      <w:pPr>
        <w:ind w:left="928"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9A53D13"/>
    <w:multiLevelType w:val="hybridMultilevel"/>
    <w:tmpl w:val="FFFFFFFF"/>
    <w:lvl w:ilvl="0" w:tplc="A4804148">
      <w:start w:val="1"/>
      <w:numFmt w:val="bullet"/>
      <w:lvlText w:val="·"/>
      <w:lvlJc w:val="left"/>
      <w:pPr>
        <w:ind w:left="720" w:hanging="360"/>
      </w:pPr>
      <w:rPr>
        <w:rFonts w:ascii="Symbol" w:hAnsi="Symbol" w:hint="default"/>
      </w:rPr>
    </w:lvl>
    <w:lvl w:ilvl="1" w:tplc="B9DA65B4">
      <w:start w:val="1"/>
      <w:numFmt w:val="bullet"/>
      <w:lvlText w:val="o"/>
      <w:lvlJc w:val="left"/>
      <w:pPr>
        <w:ind w:left="1440" w:hanging="360"/>
      </w:pPr>
      <w:rPr>
        <w:rFonts w:ascii="Courier New" w:hAnsi="Courier New" w:hint="default"/>
      </w:rPr>
    </w:lvl>
    <w:lvl w:ilvl="2" w:tplc="44E21BAC">
      <w:start w:val="1"/>
      <w:numFmt w:val="bullet"/>
      <w:lvlText w:val=""/>
      <w:lvlJc w:val="left"/>
      <w:pPr>
        <w:ind w:left="2160" w:hanging="360"/>
      </w:pPr>
      <w:rPr>
        <w:rFonts w:ascii="Wingdings" w:hAnsi="Wingdings" w:hint="default"/>
      </w:rPr>
    </w:lvl>
    <w:lvl w:ilvl="3" w:tplc="1DB2A3E6">
      <w:start w:val="1"/>
      <w:numFmt w:val="bullet"/>
      <w:lvlText w:val=""/>
      <w:lvlJc w:val="left"/>
      <w:pPr>
        <w:ind w:left="2880" w:hanging="360"/>
      </w:pPr>
      <w:rPr>
        <w:rFonts w:ascii="Symbol" w:hAnsi="Symbol" w:hint="default"/>
      </w:rPr>
    </w:lvl>
    <w:lvl w:ilvl="4" w:tplc="45A64672">
      <w:start w:val="1"/>
      <w:numFmt w:val="bullet"/>
      <w:lvlText w:val="o"/>
      <w:lvlJc w:val="left"/>
      <w:pPr>
        <w:ind w:left="3600" w:hanging="360"/>
      </w:pPr>
      <w:rPr>
        <w:rFonts w:ascii="Courier New" w:hAnsi="Courier New" w:hint="default"/>
      </w:rPr>
    </w:lvl>
    <w:lvl w:ilvl="5" w:tplc="E44CCF36">
      <w:start w:val="1"/>
      <w:numFmt w:val="bullet"/>
      <w:lvlText w:val=""/>
      <w:lvlJc w:val="left"/>
      <w:pPr>
        <w:ind w:left="4320" w:hanging="360"/>
      </w:pPr>
      <w:rPr>
        <w:rFonts w:ascii="Wingdings" w:hAnsi="Wingdings" w:hint="default"/>
      </w:rPr>
    </w:lvl>
    <w:lvl w:ilvl="6" w:tplc="F356C8EA">
      <w:start w:val="1"/>
      <w:numFmt w:val="bullet"/>
      <w:lvlText w:val=""/>
      <w:lvlJc w:val="left"/>
      <w:pPr>
        <w:ind w:left="5040" w:hanging="360"/>
      </w:pPr>
      <w:rPr>
        <w:rFonts w:ascii="Symbol" w:hAnsi="Symbol" w:hint="default"/>
      </w:rPr>
    </w:lvl>
    <w:lvl w:ilvl="7" w:tplc="5D0E43B4">
      <w:start w:val="1"/>
      <w:numFmt w:val="bullet"/>
      <w:lvlText w:val="o"/>
      <w:lvlJc w:val="left"/>
      <w:pPr>
        <w:ind w:left="5760" w:hanging="360"/>
      </w:pPr>
      <w:rPr>
        <w:rFonts w:ascii="Courier New" w:hAnsi="Courier New" w:hint="default"/>
      </w:rPr>
    </w:lvl>
    <w:lvl w:ilvl="8" w:tplc="BC547730">
      <w:start w:val="1"/>
      <w:numFmt w:val="bullet"/>
      <w:lvlText w:val=""/>
      <w:lvlJc w:val="left"/>
      <w:pPr>
        <w:ind w:left="6480" w:hanging="360"/>
      </w:pPr>
      <w:rPr>
        <w:rFonts w:ascii="Wingdings" w:hAnsi="Wingdings" w:hint="default"/>
      </w:rPr>
    </w:lvl>
  </w:abstractNum>
  <w:abstractNum w:abstractNumId="28"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6753EB4"/>
    <w:multiLevelType w:val="hybridMultilevel"/>
    <w:tmpl w:val="33360198"/>
    <w:lvl w:ilvl="0" w:tplc="F356CA2A">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FC87C65"/>
    <w:multiLevelType w:val="hybridMultilevel"/>
    <w:tmpl w:val="F878E0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9"/>
  </w:num>
  <w:num w:numId="5">
    <w:abstractNumId w:val="0"/>
  </w:num>
  <w:num w:numId="6">
    <w:abstractNumId w:val="5"/>
  </w:num>
  <w:num w:numId="7">
    <w:abstractNumId w:val="6"/>
  </w:num>
  <w:num w:numId="8">
    <w:abstractNumId w:val="28"/>
  </w:num>
  <w:num w:numId="9">
    <w:abstractNumId w:val="14"/>
  </w:num>
  <w:num w:numId="10">
    <w:abstractNumId w:val="26"/>
  </w:num>
  <w:num w:numId="11">
    <w:abstractNumId w:val="2"/>
  </w:num>
  <w:num w:numId="12">
    <w:abstractNumId w:val="12"/>
  </w:num>
  <w:num w:numId="13">
    <w:abstractNumId w:val="10"/>
  </w:num>
  <w:num w:numId="14">
    <w:abstractNumId w:val="19"/>
  </w:num>
  <w:num w:numId="15">
    <w:abstractNumId w:val="10"/>
  </w:num>
  <w:num w:numId="16">
    <w:abstractNumId w:val="2"/>
  </w:num>
  <w:num w:numId="17">
    <w:abstractNumId w:val="4"/>
  </w:num>
  <w:num w:numId="18">
    <w:abstractNumId w:val="15"/>
  </w:num>
  <w:num w:numId="19">
    <w:abstractNumId w:val="10"/>
  </w:num>
  <w:num w:numId="20">
    <w:abstractNumId w:val="10"/>
  </w:num>
  <w:num w:numId="21">
    <w:abstractNumId w:val="10"/>
  </w:num>
  <w:num w:numId="22">
    <w:abstractNumId w:val="10"/>
  </w:num>
  <w:num w:numId="23">
    <w:abstractNumId w:val="1"/>
  </w:num>
  <w:num w:numId="24">
    <w:abstractNumId w:val="8"/>
  </w:num>
  <w:num w:numId="25">
    <w:abstractNumId w:val="7"/>
  </w:num>
  <w:num w:numId="26">
    <w:abstractNumId w:val="23"/>
  </w:num>
  <w:num w:numId="27">
    <w:abstractNumId w:val="29"/>
  </w:num>
  <w:num w:numId="28">
    <w:abstractNumId w:val="20"/>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30"/>
  </w:num>
  <w:num w:numId="36">
    <w:abstractNumId w:val="24"/>
  </w:num>
  <w:num w:numId="37">
    <w:abstractNumId w:val="25"/>
  </w:num>
  <w:num w:numId="38">
    <w:abstractNumId w:val="21"/>
  </w:num>
  <w:num w:numId="39">
    <w:abstractNumId w:val="22"/>
  </w:num>
  <w:num w:numId="40">
    <w:abstractNumId w:val="27"/>
  </w:num>
  <w:num w:numId="41">
    <w:abstractNumId w:val="1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1CB"/>
    <w:rsid w:val="00000246"/>
    <w:rsid w:val="000004BE"/>
    <w:rsid w:val="00000A05"/>
    <w:rsid w:val="00000A71"/>
    <w:rsid w:val="00000B94"/>
    <w:rsid w:val="00000DAA"/>
    <w:rsid w:val="0000122D"/>
    <w:rsid w:val="000015E3"/>
    <w:rsid w:val="00001804"/>
    <w:rsid w:val="0000197C"/>
    <w:rsid w:val="00001CE6"/>
    <w:rsid w:val="00001F42"/>
    <w:rsid w:val="0000201A"/>
    <w:rsid w:val="00002295"/>
    <w:rsid w:val="00002FCF"/>
    <w:rsid w:val="00002FE1"/>
    <w:rsid w:val="0000328A"/>
    <w:rsid w:val="000033DC"/>
    <w:rsid w:val="000036EC"/>
    <w:rsid w:val="000039D5"/>
    <w:rsid w:val="00003AA8"/>
    <w:rsid w:val="000040F0"/>
    <w:rsid w:val="00004590"/>
    <w:rsid w:val="00004B01"/>
    <w:rsid w:val="00004EE8"/>
    <w:rsid w:val="00005C5B"/>
    <w:rsid w:val="00006107"/>
    <w:rsid w:val="000068AB"/>
    <w:rsid w:val="0000693A"/>
    <w:rsid w:val="00006E2B"/>
    <w:rsid w:val="00006EA8"/>
    <w:rsid w:val="00006F13"/>
    <w:rsid w:val="0000724E"/>
    <w:rsid w:val="000072AB"/>
    <w:rsid w:val="000075D1"/>
    <w:rsid w:val="00007A53"/>
    <w:rsid w:val="00007B1B"/>
    <w:rsid w:val="00007E37"/>
    <w:rsid w:val="00007E4F"/>
    <w:rsid w:val="00007FAA"/>
    <w:rsid w:val="00007FD3"/>
    <w:rsid w:val="000108E4"/>
    <w:rsid w:val="00010995"/>
    <w:rsid w:val="00010A6A"/>
    <w:rsid w:val="00010A9E"/>
    <w:rsid w:val="00010C08"/>
    <w:rsid w:val="000112EA"/>
    <w:rsid w:val="00011550"/>
    <w:rsid w:val="000116E3"/>
    <w:rsid w:val="000117E5"/>
    <w:rsid w:val="00011D2C"/>
    <w:rsid w:val="00011DC2"/>
    <w:rsid w:val="00012016"/>
    <w:rsid w:val="00012157"/>
    <w:rsid w:val="0001253C"/>
    <w:rsid w:val="00012745"/>
    <w:rsid w:val="00012998"/>
    <w:rsid w:val="000132F6"/>
    <w:rsid w:val="000136A4"/>
    <w:rsid w:val="00013AA3"/>
    <w:rsid w:val="00014296"/>
    <w:rsid w:val="00014596"/>
    <w:rsid w:val="00014B45"/>
    <w:rsid w:val="00014FB7"/>
    <w:rsid w:val="000152EB"/>
    <w:rsid w:val="00015524"/>
    <w:rsid w:val="0001583E"/>
    <w:rsid w:val="00015CCE"/>
    <w:rsid w:val="00015FDC"/>
    <w:rsid w:val="0001608B"/>
    <w:rsid w:val="000161D1"/>
    <w:rsid w:val="00016AC5"/>
    <w:rsid w:val="000176E3"/>
    <w:rsid w:val="000176F8"/>
    <w:rsid w:val="00017773"/>
    <w:rsid w:val="00020228"/>
    <w:rsid w:val="00020356"/>
    <w:rsid w:val="00020A84"/>
    <w:rsid w:val="00020BEC"/>
    <w:rsid w:val="00020D21"/>
    <w:rsid w:val="00020F75"/>
    <w:rsid w:val="000210ED"/>
    <w:rsid w:val="00021A2E"/>
    <w:rsid w:val="00021EA8"/>
    <w:rsid w:val="00021F25"/>
    <w:rsid w:val="00022014"/>
    <w:rsid w:val="0002217D"/>
    <w:rsid w:val="000228DF"/>
    <w:rsid w:val="000229F4"/>
    <w:rsid w:val="00022CA9"/>
    <w:rsid w:val="00023530"/>
    <w:rsid w:val="0002389E"/>
    <w:rsid w:val="00024303"/>
    <w:rsid w:val="000247C3"/>
    <w:rsid w:val="00024979"/>
    <w:rsid w:val="00024E8A"/>
    <w:rsid w:val="000251A0"/>
    <w:rsid w:val="000253E0"/>
    <w:rsid w:val="00025686"/>
    <w:rsid w:val="0002571E"/>
    <w:rsid w:val="0002641C"/>
    <w:rsid w:val="0002674C"/>
    <w:rsid w:val="000267A5"/>
    <w:rsid w:val="00026985"/>
    <w:rsid w:val="00027347"/>
    <w:rsid w:val="00027845"/>
    <w:rsid w:val="00027B29"/>
    <w:rsid w:val="00030190"/>
    <w:rsid w:val="00030245"/>
    <w:rsid w:val="000304C1"/>
    <w:rsid w:val="000305BC"/>
    <w:rsid w:val="00030F18"/>
    <w:rsid w:val="00031676"/>
    <w:rsid w:val="0003178C"/>
    <w:rsid w:val="00031964"/>
    <w:rsid w:val="00032A86"/>
    <w:rsid w:val="00032A95"/>
    <w:rsid w:val="00032B19"/>
    <w:rsid w:val="00032EB1"/>
    <w:rsid w:val="00033070"/>
    <w:rsid w:val="00033D93"/>
    <w:rsid w:val="00034615"/>
    <w:rsid w:val="000346B6"/>
    <w:rsid w:val="000348CA"/>
    <w:rsid w:val="000352CB"/>
    <w:rsid w:val="000356B6"/>
    <w:rsid w:val="000359ED"/>
    <w:rsid w:val="00035D7D"/>
    <w:rsid w:val="00036503"/>
    <w:rsid w:val="000367D5"/>
    <w:rsid w:val="00036983"/>
    <w:rsid w:val="00036AB0"/>
    <w:rsid w:val="00036B71"/>
    <w:rsid w:val="00036B96"/>
    <w:rsid w:val="00036C06"/>
    <w:rsid w:val="00036C91"/>
    <w:rsid w:val="00036EA2"/>
    <w:rsid w:val="00036FEE"/>
    <w:rsid w:val="00037A0A"/>
    <w:rsid w:val="00037B0E"/>
    <w:rsid w:val="00037F29"/>
    <w:rsid w:val="00040120"/>
    <w:rsid w:val="0004069F"/>
    <w:rsid w:val="00040B33"/>
    <w:rsid w:val="00040CCF"/>
    <w:rsid w:val="00040F82"/>
    <w:rsid w:val="0004102A"/>
    <w:rsid w:val="000410E7"/>
    <w:rsid w:val="00041369"/>
    <w:rsid w:val="000414A5"/>
    <w:rsid w:val="00041918"/>
    <w:rsid w:val="00041C8A"/>
    <w:rsid w:val="00041FC0"/>
    <w:rsid w:val="00042049"/>
    <w:rsid w:val="000422EE"/>
    <w:rsid w:val="00042422"/>
    <w:rsid w:val="000424B7"/>
    <w:rsid w:val="00042590"/>
    <w:rsid w:val="000426F7"/>
    <w:rsid w:val="000427E2"/>
    <w:rsid w:val="00042A4B"/>
    <w:rsid w:val="00042EE8"/>
    <w:rsid w:val="00042FF6"/>
    <w:rsid w:val="000433A5"/>
    <w:rsid w:val="000433F9"/>
    <w:rsid w:val="000437D2"/>
    <w:rsid w:val="00043A9B"/>
    <w:rsid w:val="00043B49"/>
    <w:rsid w:val="0004465F"/>
    <w:rsid w:val="00045034"/>
    <w:rsid w:val="000456C0"/>
    <w:rsid w:val="00045833"/>
    <w:rsid w:val="00045899"/>
    <w:rsid w:val="00045908"/>
    <w:rsid w:val="00046054"/>
    <w:rsid w:val="00046420"/>
    <w:rsid w:val="000464CF"/>
    <w:rsid w:val="00046A04"/>
    <w:rsid w:val="00046CC9"/>
    <w:rsid w:val="00047510"/>
    <w:rsid w:val="00050320"/>
    <w:rsid w:val="000503C5"/>
    <w:rsid w:val="000504E2"/>
    <w:rsid w:val="00050C89"/>
    <w:rsid w:val="00050E12"/>
    <w:rsid w:val="00051041"/>
    <w:rsid w:val="00051193"/>
    <w:rsid w:val="000511A3"/>
    <w:rsid w:val="000512C7"/>
    <w:rsid w:val="000514EB"/>
    <w:rsid w:val="00051510"/>
    <w:rsid w:val="00051D7B"/>
    <w:rsid w:val="00051E48"/>
    <w:rsid w:val="00051EE5"/>
    <w:rsid w:val="00051EE8"/>
    <w:rsid w:val="00051F43"/>
    <w:rsid w:val="000524A6"/>
    <w:rsid w:val="0005296B"/>
    <w:rsid w:val="000530CF"/>
    <w:rsid w:val="000531C5"/>
    <w:rsid w:val="00053431"/>
    <w:rsid w:val="0005374E"/>
    <w:rsid w:val="000537E0"/>
    <w:rsid w:val="00053B24"/>
    <w:rsid w:val="00053FEA"/>
    <w:rsid w:val="0005412D"/>
    <w:rsid w:val="0005435E"/>
    <w:rsid w:val="000543AC"/>
    <w:rsid w:val="0005470F"/>
    <w:rsid w:val="000548CE"/>
    <w:rsid w:val="00054D6C"/>
    <w:rsid w:val="000551D2"/>
    <w:rsid w:val="00055664"/>
    <w:rsid w:val="00055B66"/>
    <w:rsid w:val="00055EF5"/>
    <w:rsid w:val="000560AA"/>
    <w:rsid w:val="00056473"/>
    <w:rsid w:val="00056645"/>
    <w:rsid w:val="0005691A"/>
    <w:rsid w:val="000569C3"/>
    <w:rsid w:val="00056AD5"/>
    <w:rsid w:val="00057138"/>
    <w:rsid w:val="00057190"/>
    <w:rsid w:val="000575F3"/>
    <w:rsid w:val="00057F8E"/>
    <w:rsid w:val="0006034C"/>
    <w:rsid w:val="000605B9"/>
    <w:rsid w:val="00060732"/>
    <w:rsid w:val="00060847"/>
    <w:rsid w:val="00061372"/>
    <w:rsid w:val="0006184A"/>
    <w:rsid w:val="0006190B"/>
    <w:rsid w:val="00061E6F"/>
    <w:rsid w:val="00061FFB"/>
    <w:rsid w:val="00062267"/>
    <w:rsid w:val="000622B4"/>
    <w:rsid w:val="000623A4"/>
    <w:rsid w:val="000626D7"/>
    <w:rsid w:val="000627E7"/>
    <w:rsid w:val="00062808"/>
    <w:rsid w:val="00062F76"/>
    <w:rsid w:val="000633CA"/>
    <w:rsid w:val="0006344A"/>
    <w:rsid w:val="000636AD"/>
    <w:rsid w:val="00063943"/>
    <w:rsid w:val="00063E62"/>
    <w:rsid w:val="00064320"/>
    <w:rsid w:val="0006432C"/>
    <w:rsid w:val="00064695"/>
    <w:rsid w:val="0006485D"/>
    <w:rsid w:val="00064A4A"/>
    <w:rsid w:val="00064B83"/>
    <w:rsid w:val="00064D27"/>
    <w:rsid w:val="00064D87"/>
    <w:rsid w:val="00064FAA"/>
    <w:rsid w:val="00064FC1"/>
    <w:rsid w:val="0006561A"/>
    <w:rsid w:val="0006563A"/>
    <w:rsid w:val="00065DFE"/>
    <w:rsid w:val="00065F2B"/>
    <w:rsid w:val="0006634C"/>
    <w:rsid w:val="000666D4"/>
    <w:rsid w:val="00066851"/>
    <w:rsid w:val="0006696C"/>
    <w:rsid w:val="0006699C"/>
    <w:rsid w:val="000669C0"/>
    <w:rsid w:val="000669C3"/>
    <w:rsid w:val="000669DC"/>
    <w:rsid w:val="00066B71"/>
    <w:rsid w:val="00066D58"/>
    <w:rsid w:val="00066DF9"/>
    <w:rsid w:val="0006705E"/>
    <w:rsid w:val="00067179"/>
    <w:rsid w:val="000672C6"/>
    <w:rsid w:val="00067BC8"/>
    <w:rsid w:val="00067BCB"/>
    <w:rsid w:val="00070382"/>
    <w:rsid w:val="000703FA"/>
    <w:rsid w:val="00070B35"/>
    <w:rsid w:val="00070C01"/>
    <w:rsid w:val="00071075"/>
    <w:rsid w:val="0007139B"/>
    <w:rsid w:val="0007168A"/>
    <w:rsid w:val="0007173B"/>
    <w:rsid w:val="000718DE"/>
    <w:rsid w:val="00071A4B"/>
    <w:rsid w:val="00071EDF"/>
    <w:rsid w:val="00072162"/>
    <w:rsid w:val="0007224B"/>
    <w:rsid w:val="000722E1"/>
    <w:rsid w:val="000726C3"/>
    <w:rsid w:val="00072C3E"/>
    <w:rsid w:val="00072F81"/>
    <w:rsid w:val="000731EF"/>
    <w:rsid w:val="000734A8"/>
    <w:rsid w:val="0007354C"/>
    <w:rsid w:val="00073685"/>
    <w:rsid w:val="00073BE0"/>
    <w:rsid w:val="00073F14"/>
    <w:rsid w:val="0007411B"/>
    <w:rsid w:val="000744A9"/>
    <w:rsid w:val="000746D4"/>
    <w:rsid w:val="0007474B"/>
    <w:rsid w:val="00074988"/>
    <w:rsid w:val="000750DD"/>
    <w:rsid w:val="000750F3"/>
    <w:rsid w:val="0007576F"/>
    <w:rsid w:val="000758F4"/>
    <w:rsid w:val="00075AE5"/>
    <w:rsid w:val="00075B64"/>
    <w:rsid w:val="00075BB8"/>
    <w:rsid w:val="00075D5A"/>
    <w:rsid w:val="00076090"/>
    <w:rsid w:val="0007629F"/>
    <w:rsid w:val="00076368"/>
    <w:rsid w:val="000763C8"/>
    <w:rsid w:val="00076776"/>
    <w:rsid w:val="00077704"/>
    <w:rsid w:val="000805E5"/>
    <w:rsid w:val="00080BB7"/>
    <w:rsid w:val="00080E6D"/>
    <w:rsid w:val="00080FED"/>
    <w:rsid w:val="000813A9"/>
    <w:rsid w:val="00081431"/>
    <w:rsid w:val="00081995"/>
    <w:rsid w:val="00081AAB"/>
    <w:rsid w:val="00081D08"/>
    <w:rsid w:val="000824CD"/>
    <w:rsid w:val="00082520"/>
    <w:rsid w:val="0008332C"/>
    <w:rsid w:val="000838A3"/>
    <w:rsid w:val="00083919"/>
    <w:rsid w:val="0008397A"/>
    <w:rsid w:val="00083ADB"/>
    <w:rsid w:val="00083B17"/>
    <w:rsid w:val="00084EAB"/>
    <w:rsid w:val="00084F57"/>
    <w:rsid w:val="00084F71"/>
    <w:rsid w:val="0008511A"/>
    <w:rsid w:val="000859BD"/>
    <w:rsid w:val="00085A82"/>
    <w:rsid w:val="00085E71"/>
    <w:rsid w:val="0008624F"/>
    <w:rsid w:val="000866C2"/>
    <w:rsid w:val="00086888"/>
    <w:rsid w:val="0008693D"/>
    <w:rsid w:val="000872A6"/>
    <w:rsid w:val="0008799A"/>
    <w:rsid w:val="00087F3D"/>
    <w:rsid w:val="0008E4BC"/>
    <w:rsid w:val="00090447"/>
    <w:rsid w:val="000907AF"/>
    <w:rsid w:val="000909D8"/>
    <w:rsid w:val="00090A7E"/>
    <w:rsid w:val="000911D7"/>
    <w:rsid w:val="00091327"/>
    <w:rsid w:val="000918DB"/>
    <w:rsid w:val="00091BC9"/>
    <w:rsid w:val="0009204B"/>
    <w:rsid w:val="00092377"/>
    <w:rsid w:val="000923FE"/>
    <w:rsid w:val="0009265A"/>
    <w:rsid w:val="000928B7"/>
    <w:rsid w:val="00092F80"/>
    <w:rsid w:val="00093490"/>
    <w:rsid w:val="000937FC"/>
    <w:rsid w:val="0009386C"/>
    <w:rsid w:val="00093E9C"/>
    <w:rsid w:val="000940D1"/>
    <w:rsid w:val="00094486"/>
    <w:rsid w:val="00094713"/>
    <w:rsid w:val="000947AA"/>
    <w:rsid w:val="00094D75"/>
    <w:rsid w:val="00094DAA"/>
    <w:rsid w:val="000952F2"/>
    <w:rsid w:val="00095568"/>
    <w:rsid w:val="00095CFF"/>
    <w:rsid w:val="00095D6B"/>
    <w:rsid w:val="000967AC"/>
    <w:rsid w:val="00097119"/>
    <w:rsid w:val="00097522"/>
    <w:rsid w:val="00097676"/>
    <w:rsid w:val="000976C9"/>
    <w:rsid w:val="000976E6"/>
    <w:rsid w:val="00097767"/>
    <w:rsid w:val="00097901"/>
    <w:rsid w:val="00097A79"/>
    <w:rsid w:val="00097C8F"/>
    <w:rsid w:val="000A003B"/>
    <w:rsid w:val="000A0197"/>
    <w:rsid w:val="000A0690"/>
    <w:rsid w:val="000A0F41"/>
    <w:rsid w:val="000A0FEF"/>
    <w:rsid w:val="000A1063"/>
    <w:rsid w:val="000A12DA"/>
    <w:rsid w:val="000A157D"/>
    <w:rsid w:val="000A2B04"/>
    <w:rsid w:val="000A2EF1"/>
    <w:rsid w:val="000A2F03"/>
    <w:rsid w:val="000A2F47"/>
    <w:rsid w:val="000A3415"/>
    <w:rsid w:val="000A3DDC"/>
    <w:rsid w:val="000A3F1C"/>
    <w:rsid w:val="000A4039"/>
    <w:rsid w:val="000A426C"/>
    <w:rsid w:val="000A45D7"/>
    <w:rsid w:val="000A49BF"/>
    <w:rsid w:val="000A4A10"/>
    <w:rsid w:val="000A4FC1"/>
    <w:rsid w:val="000A52B0"/>
    <w:rsid w:val="000A5877"/>
    <w:rsid w:val="000A5CFA"/>
    <w:rsid w:val="000A6344"/>
    <w:rsid w:val="000A671A"/>
    <w:rsid w:val="000A6845"/>
    <w:rsid w:val="000A7E66"/>
    <w:rsid w:val="000A7F78"/>
    <w:rsid w:val="000B041F"/>
    <w:rsid w:val="000B07D2"/>
    <w:rsid w:val="000B0929"/>
    <w:rsid w:val="000B0D4D"/>
    <w:rsid w:val="000B1498"/>
    <w:rsid w:val="000B15B7"/>
    <w:rsid w:val="000B1D10"/>
    <w:rsid w:val="000B1E0F"/>
    <w:rsid w:val="000B1E4E"/>
    <w:rsid w:val="000B1F20"/>
    <w:rsid w:val="000B1F2E"/>
    <w:rsid w:val="000B2131"/>
    <w:rsid w:val="000B2320"/>
    <w:rsid w:val="000B23D1"/>
    <w:rsid w:val="000B24BA"/>
    <w:rsid w:val="000B25F6"/>
    <w:rsid w:val="000B26B2"/>
    <w:rsid w:val="000B28FD"/>
    <w:rsid w:val="000B2E1B"/>
    <w:rsid w:val="000B33A9"/>
    <w:rsid w:val="000B35B9"/>
    <w:rsid w:val="000B3955"/>
    <w:rsid w:val="000B3CFF"/>
    <w:rsid w:val="000B3DB0"/>
    <w:rsid w:val="000B3DED"/>
    <w:rsid w:val="000B498F"/>
    <w:rsid w:val="000B5AB4"/>
    <w:rsid w:val="000B5F3E"/>
    <w:rsid w:val="000B6198"/>
    <w:rsid w:val="000B6424"/>
    <w:rsid w:val="000B69C2"/>
    <w:rsid w:val="000B6A70"/>
    <w:rsid w:val="000B6E9E"/>
    <w:rsid w:val="000B7491"/>
    <w:rsid w:val="000B7930"/>
    <w:rsid w:val="000B7AB6"/>
    <w:rsid w:val="000B7D13"/>
    <w:rsid w:val="000C04F8"/>
    <w:rsid w:val="000C0670"/>
    <w:rsid w:val="000C0AF6"/>
    <w:rsid w:val="000C0BF0"/>
    <w:rsid w:val="000C0D7C"/>
    <w:rsid w:val="000C16F8"/>
    <w:rsid w:val="000C17EF"/>
    <w:rsid w:val="000C18C8"/>
    <w:rsid w:val="000C1CB1"/>
    <w:rsid w:val="000C1F58"/>
    <w:rsid w:val="000C22C4"/>
    <w:rsid w:val="000C232D"/>
    <w:rsid w:val="000C268D"/>
    <w:rsid w:val="000C299F"/>
    <w:rsid w:val="000C29FA"/>
    <w:rsid w:val="000C356C"/>
    <w:rsid w:val="000C35DA"/>
    <w:rsid w:val="000C39AD"/>
    <w:rsid w:val="000C39E7"/>
    <w:rsid w:val="000C3A51"/>
    <w:rsid w:val="000C3CB1"/>
    <w:rsid w:val="000C3F87"/>
    <w:rsid w:val="000C436A"/>
    <w:rsid w:val="000C4659"/>
    <w:rsid w:val="000C4797"/>
    <w:rsid w:val="000C4D55"/>
    <w:rsid w:val="000C500B"/>
    <w:rsid w:val="000C5735"/>
    <w:rsid w:val="000C5973"/>
    <w:rsid w:val="000C68C0"/>
    <w:rsid w:val="000C6D1B"/>
    <w:rsid w:val="000C7053"/>
    <w:rsid w:val="000C7960"/>
    <w:rsid w:val="000C7F60"/>
    <w:rsid w:val="000D0421"/>
    <w:rsid w:val="000D0E2B"/>
    <w:rsid w:val="000D129D"/>
    <w:rsid w:val="000D13EE"/>
    <w:rsid w:val="000D1755"/>
    <w:rsid w:val="000D179E"/>
    <w:rsid w:val="000D1903"/>
    <w:rsid w:val="000D1D60"/>
    <w:rsid w:val="000D1DA0"/>
    <w:rsid w:val="000D1EE4"/>
    <w:rsid w:val="000D1F4A"/>
    <w:rsid w:val="000D2142"/>
    <w:rsid w:val="000D22E8"/>
    <w:rsid w:val="000D263B"/>
    <w:rsid w:val="000D2679"/>
    <w:rsid w:val="000D275D"/>
    <w:rsid w:val="000D2842"/>
    <w:rsid w:val="000D2E1A"/>
    <w:rsid w:val="000D2F8F"/>
    <w:rsid w:val="000D3135"/>
    <w:rsid w:val="000D3191"/>
    <w:rsid w:val="000D34D3"/>
    <w:rsid w:val="000D3BA5"/>
    <w:rsid w:val="000D479C"/>
    <w:rsid w:val="000D4B8E"/>
    <w:rsid w:val="000D4C21"/>
    <w:rsid w:val="000D4F73"/>
    <w:rsid w:val="000D4FA3"/>
    <w:rsid w:val="000D5067"/>
    <w:rsid w:val="000D54F2"/>
    <w:rsid w:val="000D5BFC"/>
    <w:rsid w:val="000D5C23"/>
    <w:rsid w:val="000D5D4C"/>
    <w:rsid w:val="000D5D73"/>
    <w:rsid w:val="000D6042"/>
    <w:rsid w:val="000D6296"/>
    <w:rsid w:val="000D6524"/>
    <w:rsid w:val="000D6725"/>
    <w:rsid w:val="000D6AE6"/>
    <w:rsid w:val="000D6B44"/>
    <w:rsid w:val="000D6DE1"/>
    <w:rsid w:val="000D716F"/>
    <w:rsid w:val="000D71F3"/>
    <w:rsid w:val="000D7759"/>
    <w:rsid w:val="000D79F7"/>
    <w:rsid w:val="000E00AF"/>
    <w:rsid w:val="000E0498"/>
    <w:rsid w:val="000E0863"/>
    <w:rsid w:val="000E0E8A"/>
    <w:rsid w:val="000E0FFD"/>
    <w:rsid w:val="000E12DC"/>
    <w:rsid w:val="000E1346"/>
    <w:rsid w:val="000E1436"/>
    <w:rsid w:val="000E1844"/>
    <w:rsid w:val="000E194B"/>
    <w:rsid w:val="000E254B"/>
    <w:rsid w:val="000E2801"/>
    <w:rsid w:val="000E2AE9"/>
    <w:rsid w:val="000E2D23"/>
    <w:rsid w:val="000E35FF"/>
    <w:rsid w:val="000E3B11"/>
    <w:rsid w:val="000E4EBC"/>
    <w:rsid w:val="000E5334"/>
    <w:rsid w:val="000E53A7"/>
    <w:rsid w:val="000E56E8"/>
    <w:rsid w:val="000E59D2"/>
    <w:rsid w:val="000E62BE"/>
    <w:rsid w:val="000E6C7E"/>
    <w:rsid w:val="000E7547"/>
    <w:rsid w:val="000E7B4C"/>
    <w:rsid w:val="000F00DD"/>
    <w:rsid w:val="000F06D6"/>
    <w:rsid w:val="000F16DF"/>
    <w:rsid w:val="000F17EF"/>
    <w:rsid w:val="000F1AB1"/>
    <w:rsid w:val="000F2388"/>
    <w:rsid w:val="000F296B"/>
    <w:rsid w:val="000F2DEA"/>
    <w:rsid w:val="000F3853"/>
    <w:rsid w:val="000F3CFF"/>
    <w:rsid w:val="000F42E5"/>
    <w:rsid w:val="000F452C"/>
    <w:rsid w:val="000F4E39"/>
    <w:rsid w:val="000F5229"/>
    <w:rsid w:val="000F5B35"/>
    <w:rsid w:val="000F5D1D"/>
    <w:rsid w:val="000F5EC0"/>
    <w:rsid w:val="000F603D"/>
    <w:rsid w:val="000F6090"/>
    <w:rsid w:val="000F6139"/>
    <w:rsid w:val="000F62E0"/>
    <w:rsid w:val="000F6334"/>
    <w:rsid w:val="000F64AE"/>
    <w:rsid w:val="000F6B2E"/>
    <w:rsid w:val="000F7031"/>
    <w:rsid w:val="000F704A"/>
    <w:rsid w:val="000F7168"/>
    <w:rsid w:val="000F720E"/>
    <w:rsid w:val="000F739D"/>
    <w:rsid w:val="000F740F"/>
    <w:rsid w:val="000F7ECE"/>
    <w:rsid w:val="000F7F76"/>
    <w:rsid w:val="001007FE"/>
    <w:rsid w:val="001008BE"/>
    <w:rsid w:val="00100DEC"/>
    <w:rsid w:val="00100F09"/>
    <w:rsid w:val="0010151C"/>
    <w:rsid w:val="00101633"/>
    <w:rsid w:val="00101714"/>
    <w:rsid w:val="001017F2"/>
    <w:rsid w:val="00101B0A"/>
    <w:rsid w:val="00101F4F"/>
    <w:rsid w:val="00101FE6"/>
    <w:rsid w:val="001021FC"/>
    <w:rsid w:val="00102221"/>
    <w:rsid w:val="00103D7C"/>
    <w:rsid w:val="00103E8A"/>
    <w:rsid w:val="0010420F"/>
    <w:rsid w:val="001042D0"/>
    <w:rsid w:val="00104416"/>
    <w:rsid w:val="00104458"/>
    <w:rsid w:val="00104478"/>
    <w:rsid w:val="001044BC"/>
    <w:rsid w:val="0010467F"/>
    <w:rsid w:val="001046D8"/>
    <w:rsid w:val="001049D4"/>
    <w:rsid w:val="00104DCA"/>
    <w:rsid w:val="0010555B"/>
    <w:rsid w:val="0010598C"/>
    <w:rsid w:val="00105D25"/>
    <w:rsid w:val="00105D66"/>
    <w:rsid w:val="00106D91"/>
    <w:rsid w:val="001075B9"/>
    <w:rsid w:val="00107842"/>
    <w:rsid w:val="001079AB"/>
    <w:rsid w:val="00110E41"/>
    <w:rsid w:val="00110E43"/>
    <w:rsid w:val="0011184E"/>
    <w:rsid w:val="00111A58"/>
    <w:rsid w:val="00112142"/>
    <w:rsid w:val="001121AE"/>
    <w:rsid w:val="00112391"/>
    <w:rsid w:val="001123F3"/>
    <w:rsid w:val="0011267D"/>
    <w:rsid w:val="00112C8E"/>
    <w:rsid w:val="0011305A"/>
    <w:rsid w:val="00113373"/>
    <w:rsid w:val="0011338E"/>
    <w:rsid w:val="001135D6"/>
    <w:rsid w:val="00113B12"/>
    <w:rsid w:val="00113C62"/>
    <w:rsid w:val="00113DA0"/>
    <w:rsid w:val="00113FA8"/>
    <w:rsid w:val="001146F1"/>
    <w:rsid w:val="001147E4"/>
    <w:rsid w:val="00114B90"/>
    <w:rsid w:val="00114E28"/>
    <w:rsid w:val="001150E3"/>
    <w:rsid w:val="001154FE"/>
    <w:rsid w:val="001158A0"/>
    <w:rsid w:val="00115908"/>
    <w:rsid w:val="00115A99"/>
    <w:rsid w:val="001161CB"/>
    <w:rsid w:val="001163EB"/>
    <w:rsid w:val="00116792"/>
    <w:rsid w:val="0011730D"/>
    <w:rsid w:val="00117512"/>
    <w:rsid w:val="00117A23"/>
    <w:rsid w:val="00117C6D"/>
    <w:rsid w:val="001201B2"/>
    <w:rsid w:val="001203EA"/>
    <w:rsid w:val="001204FB"/>
    <w:rsid w:val="00120628"/>
    <w:rsid w:val="001206AD"/>
    <w:rsid w:val="00120921"/>
    <w:rsid w:val="00120AC4"/>
    <w:rsid w:val="00120C2E"/>
    <w:rsid w:val="001216BF"/>
    <w:rsid w:val="00121778"/>
    <w:rsid w:val="0012185F"/>
    <w:rsid w:val="00121F5E"/>
    <w:rsid w:val="00121FA9"/>
    <w:rsid w:val="001220BD"/>
    <w:rsid w:val="00122170"/>
    <w:rsid w:val="00122238"/>
    <w:rsid w:val="001227CB"/>
    <w:rsid w:val="001228FF"/>
    <w:rsid w:val="00123228"/>
    <w:rsid w:val="001239CA"/>
    <w:rsid w:val="00123DED"/>
    <w:rsid w:val="00123FA6"/>
    <w:rsid w:val="00124696"/>
    <w:rsid w:val="0012495C"/>
    <w:rsid w:val="00124D4C"/>
    <w:rsid w:val="00124FA4"/>
    <w:rsid w:val="00124FAC"/>
    <w:rsid w:val="001251B0"/>
    <w:rsid w:val="001254E7"/>
    <w:rsid w:val="001257D5"/>
    <w:rsid w:val="0012585C"/>
    <w:rsid w:val="00125889"/>
    <w:rsid w:val="00125A4B"/>
    <w:rsid w:val="00125E9D"/>
    <w:rsid w:val="001260AF"/>
    <w:rsid w:val="001263EA"/>
    <w:rsid w:val="0012664B"/>
    <w:rsid w:val="001269C4"/>
    <w:rsid w:val="00126FBB"/>
    <w:rsid w:val="0012712C"/>
    <w:rsid w:val="0012765B"/>
    <w:rsid w:val="001279FD"/>
    <w:rsid w:val="00127E65"/>
    <w:rsid w:val="00130495"/>
    <w:rsid w:val="001307FA"/>
    <w:rsid w:val="00130CFC"/>
    <w:rsid w:val="00130DC0"/>
    <w:rsid w:val="00130FB2"/>
    <w:rsid w:val="001313B6"/>
    <w:rsid w:val="00131D6B"/>
    <w:rsid w:val="001322A1"/>
    <w:rsid w:val="00132393"/>
    <w:rsid w:val="0013264B"/>
    <w:rsid w:val="00132853"/>
    <w:rsid w:val="00132DE1"/>
    <w:rsid w:val="00132F6D"/>
    <w:rsid w:val="00133F27"/>
    <w:rsid w:val="001349A0"/>
    <w:rsid w:val="001356D1"/>
    <w:rsid w:val="0013599E"/>
    <w:rsid w:val="00135B24"/>
    <w:rsid w:val="00135B93"/>
    <w:rsid w:val="00135C5D"/>
    <w:rsid w:val="00135C6D"/>
    <w:rsid w:val="00136004"/>
    <w:rsid w:val="00136616"/>
    <w:rsid w:val="00136700"/>
    <w:rsid w:val="00136946"/>
    <w:rsid w:val="00136C32"/>
    <w:rsid w:val="00136D77"/>
    <w:rsid w:val="00136DE5"/>
    <w:rsid w:val="00136FAE"/>
    <w:rsid w:val="00137414"/>
    <w:rsid w:val="001378A0"/>
    <w:rsid w:val="00137B80"/>
    <w:rsid w:val="00140051"/>
    <w:rsid w:val="001402E8"/>
    <w:rsid w:val="001415CE"/>
    <w:rsid w:val="00141D07"/>
    <w:rsid w:val="00141D82"/>
    <w:rsid w:val="00141EDD"/>
    <w:rsid w:val="00142013"/>
    <w:rsid w:val="0014216D"/>
    <w:rsid w:val="001423C2"/>
    <w:rsid w:val="0014258D"/>
    <w:rsid w:val="0014263E"/>
    <w:rsid w:val="001428FB"/>
    <w:rsid w:val="00142DB1"/>
    <w:rsid w:val="00142F0A"/>
    <w:rsid w:val="0014348A"/>
    <w:rsid w:val="00143BB4"/>
    <w:rsid w:val="00143F2D"/>
    <w:rsid w:val="0014452D"/>
    <w:rsid w:val="00144A2E"/>
    <w:rsid w:val="00144AE2"/>
    <w:rsid w:val="00144E97"/>
    <w:rsid w:val="00144E9B"/>
    <w:rsid w:val="00145251"/>
    <w:rsid w:val="0014529D"/>
    <w:rsid w:val="001452F0"/>
    <w:rsid w:val="00145832"/>
    <w:rsid w:val="00145952"/>
    <w:rsid w:val="00145F9B"/>
    <w:rsid w:val="00146449"/>
    <w:rsid w:val="00146719"/>
    <w:rsid w:val="00146DEC"/>
    <w:rsid w:val="00146FFD"/>
    <w:rsid w:val="00147001"/>
    <w:rsid w:val="00147089"/>
    <w:rsid w:val="00147252"/>
    <w:rsid w:val="001472F8"/>
    <w:rsid w:val="001473BE"/>
    <w:rsid w:val="001473C3"/>
    <w:rsid w:val="001477C2"/>
    <w:rsid w:val="00147B08"/>
    <w:rsid w:val="00147DB2"/>
    <w:rsid w:val="00147E03"/>
    <w:rsid w:val="00150387"/>
    <w:rsid w:val="00150C40"/>
    <w:rsid w:val="001511A6"/>
    <w:rsid w:val="00151490"/>
    <w:rsid w:val="0015184C"/>
    <w:rsid w:val="00151935"/>
    <w:rsid w:val="00152152"/>
    <w:rsid w:val="0015217A"/>
    <w:rsid w:val="001525EC"/>
    <w:rsid w:val="00152BDD"/>
    <w:rsid w:val="00152CF6"/>
    <w:rsid w:val="001532C2"/>
    <w:rsid w:val="001534F2"/>
    <w:rsid w:val="00153A92"/>
    <w:rsid w:val="00153F17"/>
    <w:rsid w:val="00153F48"/>
    <w:rsid w:val="00154A85"/>
    <w:rsid w:val="00154E17"/>
    <w:rsid w:val="0015540D"/>
    <w:rsid w:val="001555CF"/>
    <w:rsid w:val="00155C45"/>
    <w:rsid w:val="00155F57"/>
    <w:rsid w:val="00156169"/>
    <w:rsid w:val="00156461"/>
    <w:rsid w:val="001564E4"/>
    <w:rsid w:val="001568CA"/>
    <w:rsid w:val="00156B14"/>
    <w:rsid w:val="00156E34"/>
    <w:rsid w:val="00156E56"/>
    <w:rsid w:val="00156E5F"/>
    <w:rsid w:val="001573DC"/>
    <w:rsid w:val="00160478"/>
    <w:rsid w:val="00160872"/>
    <w:rsid w:val="00160EE2"/>
    <w:rsid w:val="00161157"/>
    <w:rsid w:val="0016150A"/>
    <w:rsid w:val="0016170D"/>
    <w:rsid w:val="001622AA"/>
    <w:rsid w:val="0016235F"/>
    <w:rsid w:val="00163118"/>
    <w:rsid w:val="00163453"/>
    <w:rsid w:val="0016382A"/>
    <w:rsid w:val="00163B1B"/>
    <w:rsid w:val="00164138"/>
    <w:rsid w:val="00164445"/>
    <w:rsid w:val="0016467B"/>
    <w:rsid w:val="00164C00"/>
    <w:rsid w:val="00164C4F"/>
    <w:rsid w:val="00164D97"/>
    <w:rsid w:val="001650E3"/>
    <w:rsid w:val="001656EB"/>
    <w:rsid w:val="00165982"/>
    <w:rsid w:val="00165A9D"/>
    <w:rsid w:val="00165AC4"/>
    <w:rsid w:val="00165D24"/>
    <w:rsid w:val="00165E1C"/>
    <w:rsid w:val="00165E4E"/>
    <w:rsid w:val="00166166"/>
    <w:rsid w:val="0016673D"/>
    <w:rsid w:val="00166866"/>
    <w:rsid w:val="00166A20"/>
    <w:rsid w:val="00166E31"/>
    <w:rsid w:val="00166E3D"/>
    <w:rsid w:val="00167308"/>
    <w:rsid w:val="00167786"/>
    <w:rsid w:val="001677C2"/>
    <w:rsid w:val="00167871"/>
    <w:rsid w:val="001679E8"/>
    <w:rsid w:val="00167C9C"/>
    <w:rsid w:val="00167F7C"/>
    <w:rsid w:val="001708BA"/>
    <w:rsid w:val="00170E9E"/>
    <w:rsid w:val="00170F90"/>
    <w:rsid w:val="0017116F"/>
    <w:rsid w:val="001711A9"/>
    <w:rsid w:val="001714EA"/>
    <w:rsid w:val="001719C2"/>
    <w:rsid w:val="00171B0D"/>
    <w:rsid w:val="00171B21"/>
    <w:rsid w:val="00171D90"/>
    <w:rsid w:val="00172BB0"/>
    <w:rsid w:val="00172C2C"/>
    <w:rsid w:val="00172C44"/>
    <w:rsid w:val="0017322D"/>
    <w:rsid w:val="00173276"/>
    <w:rsid w:val="00174768"/>
    <w:rsid w:val="001747C8"/>
    <w:rsid w:val="00174C5F"/>
    <w:rsid w:val="00174E1C"/>
    <w:rsid w:val="00175778"/>
    <w:rsid w:val="00175A71"/>
    <w:rsid w:val="00175B52"/>
    <w:rsid w:val="00176155"/>
    <w:rsid w:val="001761E9"/>
    <w:rsid w:val="001762A6"/>
    <w:rsid w:val="001765CA"/>
    <w:rsid w:val="00176B09"/>
    <w:rsid w:val="00177040"/>
    <w:rsid w:val="001773F8"/>
    <w:rsid w:val="00177509"/>
    <w:rsid w:val="001802E8"/>
    <w:rsid w:val="001804AD"/>
    <w:rsid w:val="00180922"/>
    <w:rsid w:val="00180E7C"/>
    <w:rsid w:val="00180F72"/>
    <w:rsid w:val="0018136C"/>
    <w:rsid w:val="001817F4"/>
    <w:rsid w:val="00181D7E"/>
    <w:rsid w:val="001821D2"/>
    <w:rsid w:val="001822CE"/>
    <w:rsid w:val="00182338"/>
    <w:rsid w:val="001827E4"/>
    <w:rsid w:val="00182A32"/>
    <w:rsid w:val="00182B88"/>
    <w:rsid w:val="00182CA2"/>
    <w:rsid w:val="00182FAD"/>
    <w:rsid w:val="00183363"/>
    <w:rsid w:val="001837C1"/>
    <w:rsid w:val="00183924"/>
    <w:rsid w:val="00184A36"/>
    <w:rsid w:val="00184CC0"/>
    <w:rsid w:val="0018510F"/>
    <w:rsid w:val="00185165"/>
    <w:rsid w:val="001854E8"/>
    <w:rsid w:val="00185599"/>
    <w:rsid w:val="001857DF"/>
    <w:rsid w:val="00185A12"/>
    <w:rsid w:val="00185D28"/>
    <w:rsid w:val="00186592"/>
    <w:rsid w:val="001865FA"/>
    <w:rsid w:val="00186762"/>
    <w:rsid w:val="00186AC7"/>
    <w:rsid w:val="00187762"/>
    <w:rsid w:val="00187A71"/>
    <w:rsid w:val="00187EE6"/>
    <w:rsid w:val="0019021F"/>
    <w:rsid w:val="00190AD9"/>
    <w:rsid w:val="00190F24"/>
    <w:rsid w:val="00190F33"/>
    <w:rsid w:val="00191455"/>
    <w:rsid w:val="0019184C"/>
    <w:rsid w:val="0019272B"/>
    <w:rsid w:val="0019307D"/>
    <w:rsid w:val="001930BB"/>
    <w:rsid w:val="001934CC"/>
    <w:rsid w:val="00193691"/>
    <w:rsid w:val="00193917"/>
    <w:rsid w:val="00193D69"/>
    <w:rsid w:val="00193EB1"/>
    <w:rsid w:val="00194075"/>
    <w:rsid w:val="00194E85"/>
    <w:rsid w:val="00194E88"/>
    <w:rsid w:val="00194F4F"/>
    <w:rsid w:val="00194F88"/>
    <w:rsid w:val="00195A96"/>
    <w:rsid w:val="00195B28"/>
    <w:rsid w:val="001960CB"/>
    <w:rsid w:val="001967D5"/>
    <w:rsid w:val="0019690C"/>
    <w:rsid w:val="00196A07"/>
    <w:rsid w:val="001971EE"/>
    <w:rsid w:val="0019772D"/>
    <w:rsid w:val="0019797E"/>
    <w:rsid w:val="00197D5F"/>
    <w:rsid w:val="00197E4C"/>
    <w:rsid w:val="00197F97"/>
    <w:rsid w:val="001A0384"/>
    <w:rsid w:val="001A0765"/>
    <w:rsid w:val="001A07B8"/>
    <w:rsid w:val="001A0A2D"/>
    <w:rsid w:val="001A0A5A"/>
    <w:rsid w:val="001A0DE0"/>
    <w:rsid w:val="001A0E8B"/>
    <w:rsid w:val="001A12C3"/>
    <w:rsid w:val="001A18BD"/>
    <w:rsid w:val="001A2326"/>
    <w:rsid w:val="001A23ED"/>
    <w:rsid w:val="001A29E7"/>
    <w:rsid w:val="001A2B79"/>
    <w:rsid w:val="001A2BE8"/>
    <w:rsid w:val="001A3190"/>
    <w:rsid w:val="001A3447"/>
    <w:rsid w:val="001A3699"/>
    <w:rsid w:val="001A39FA"/>
    <w:rsid w:val="001A3A80"/>
    <w:rsid w:val="001A3B48"/>
    <w:rsid w:val="001A3D0B"/>
    <w:rsid w:val="001A3D97"/>
    <w:rsid w:val="001A401E"/>
    <w:rsid w:val="001A45F4"/>
    <w:rsid w:val="001A473B"/>
    <w:rsid w:val="001A4776"/>
    <w:rsid w:val="001A4B31"/>
    <w:rsid w:val="001A4BB3"/>
    <w:rsid w:val="001A5A1F"/>
    <w:rsid w:val="001A5C39"/>
    <w:rsid w:val="001A6141"/>
    <w:rsid w:val="001A6500"/>
    <w:rsid w:val="001A6552"/>
    <w:rsid w:val="001A65E3"/>
    <w:rsid w:val="001A69BB"/>
    <w:rsid w:val="001A6A26"/>
    <w:rsid w:val="001A6B5F"/>
    <w:rsid w:val="001A6D58"/>
    <w:rsid w:val="001A6E97"/>
    <w:rsid w:val="001A7F82"/>
    <w:rsid w:val="001B170F"/>
    <w:rsid w:val="001B1B41"/>
    <w:rsid w:val="001B1FCF"/>
    <w:rsid w:val="001B20A2"/>
    <w:rsid w:val="001B2856"/>
    <w:rsid w:val="001B2A8D"/>
    <w:rsid w:val="001B2D62"/>
    <w:rsid w:val="001B2EB1"/>
    <w:rsid w:val="001B356B"/>
    <w:rsid w:val="001B3E14"/>
    <w:rsid w:val="001B3EDF"/>
    <w:rsid w:val="001B4097"/>
    <w:rsid w:val="001B40EB"/>
    <w:rsid w:val="001B41CA"/>
    <w:rsid w:val="001B42A1"/>
    <w:rsid w:val="001B49D1"/>
    <w:rsid w:val="001B538E"/>
    <w:rsid w:val="001B53F8"/>
    <w:rsid w:val="001B586F"/>
    <w:rsid w:val="001B5962"/>
    <w:rsid w:val="001B5CD8"/>
    <w:rsid w:val="001B6A26"/>
    <w:rsid w:val="001B6A4B"/>
    <w:rsid w:val="001B7181"/>
    <w:rsid w:val="001B7445"/>
    <w:rsid w:val="001B7849"/>
    <w:rsid w:val="001B78B3"/>
    <w:rsid w:val="001B7AF4"/>
    <w:rsid w:val="001B7BA4"/>
    <w:rsid w:val="001C0357"/>
    <w:rsid w:val="001C041F"/>
    <w:rsid w:val="001C0932"/>
    <w:rsid w:val="001C0BAB"/>
    <w:rsid w:val="001C0BF4"/>
    <w:rsid w:val="001C1218"/>
    <w:rsid w:val="001C1310"/>
    <w:rsid w:val="001C14F2"/>
    <w:rsid w:val="001C187E"/>
    <w:rsid w:val="001C1A46"/>
    <w:rsid w:val="001C1C14"/>
    <w:rsid w:val="001C1D1A"/>
    <w:rsid w:val="001C26BA"/>
    <w:rsid w:val="001C26BD"/>
    <w:rsid w:val="001C2A93"/>
    <w:rsid w:val="001C2B7D"/>
    <w:rsid w:val="001C2BDC"/>
    <w:rsid w:val="001C2DED"/>
    <w:rsid w:val="001C36C1"/>
    <w:rsid w:val="001C4137"/>
    <w:rsid w:val="001C428B"/>
    <w:rsid w:val="001C4644"/>
    <w:rsid w:val="001C4A82"/>
    <w:rsid w:val="001C4E63"/>
    <w:rsid w:val="001C5078"/>
    <w:rsid w:val="001C5727"/>
    <w:rsid w:val="001C57C1"/>
    <w:rsid w:val="001C5A3F"/>
    <w:rsid w:val="001C5AEE"/>
    <w:rsid w:val="001C5CC6"/>
    <w:rsid w:val="001C6348"/>
    <w:rsid w:val="001C6453"/>
    <w:rsid w:val="001C66CD"/>
    <w:rsid w:val="001C6DDA"/>
    <w:rsid w:val="001C758E"/>
    <w:rsid w:val="001C767D"/>
    <w:rsid w:val="001C7B7F"/>
    <w:rsid w:val="001D07BC"/>
    <w:rsid w:val="001D088D"/>
    <w:rsid w:val="001D0AA6"/>
    <w:rsid w:val="001D1522"/>
    <w:rsid w:val="001D1874"/>
    <w:rsid w:val="001D2197"/>
    <w:rsid w:val="001D21EE"/>
    <w:rsid w:val="001D2576"/>
    <w:rsid w:val="001D262C"/>
    <w:rsid w:val="001D28D8"/>
    <w:rsid w:val="001D2A80"/>
    <w:rsid w:val="001D2F84"/>
    <w:rsid w:val="001D32CE"/>
    <w:rsid w:val="001D3390"/>
    <w:rsid w:val="001D3762"/>
    <w:rsid w:val="001D3AA9"/>
    <w:rsid w:val="001D3CEE"/>
    <w:rsid w:val="001D3D0C"/>
    <w:rsid w:val="001D3D48"/>
    <w:rsid w:val="001D3FBA"/>
    <w:rsid w:val="001D422F"/>
    <w:rsid w:val="001D4252"/>
    <w:rsid w:val="001D42D8"/>
    <w:rsid w:val="001D4ACF"/>
    <w:rsid w:val="001D4DEC"/>
    <w:rsid w:val="001D52EE"/>
    <w:rsid w:val="001D545F"/>
    <w:rsid w:val="001D547F"/>
    <w:rsid w:val="001D5730"/>
    <w:rsid w:val="001D599D"/>
    <w:rsid w:val="001D59D8"/>
    <w:rsid w:val="001D6010"/>
    <w:rsid w:val="001D6275"/>
    <w:rsid w:val="001D65A7"/>
    <w:rsid w:val="001D6DC6"/>
    <w:rsid w:val="001D6FF1"/>
    <w:rsid w:val="001D70CC"/>
    <w:rsid w:val="001D74C0"/>
    <w:rsid w:val="001D7570"/>
    <w:rsid w:val="001D7B50"/>
    <w:rsid w:val="001D7B9B"/>
    <w:rsid w:val="001E012F"/>
    <w:rsid w:val="001E01DF"/>
    <w:rsid w:val="001E031F"/>
    <w:rsid w:val="001E07F8"/>
    <w:rsid w:val="001E11F9"/>
    <w:rsid w:val="001E1301"/>
    <w:rsid w:val="001E1370"/>
    <w:rsid w:val="001E166B"/>
    <w:rsid w:val="001E1B0F"/>
    <w:rsid w:val="001E1D36"/>
    <w:rsid w:val="001E1EE1"/>
    <w:rsid w:val="001E2182"/>
    <w:rsid w:val="001E2407"/>
    <w:rsid w:val="001E2A5D"/>
    <w:rsid w:val="001E2A6B"/>
    <w:rsid w:val="001E2CD2"/>
    <w:rsid w:val="001E2FFC"/>
    <w:rsid w:val="001E32C4"/>
    <w:rsid w:val="001E34C4"/>
    <w:rsid w:val="001E3569"/>
    <w:rsid w:val="001E405E"/>
    <w:rsid w:val="001E4458"/>
    <w:rsid w:val="001E44CA"/>
    <w:rsid w:val="001E49A9"/>
    <w:rsid w:val="001E4C46"/>
    <w:rsid w:val="001E5036"/>
    <w:rsid w:val="001E5177"/>
    <w:rsid w:val="001E56E0"/>
    <w:rsid w:val="001E599D"/>
    <w:rsid w:val="001E5C6E"/>
    <w:rsid w:val="001E5CF3"/>
    <w:rsid w:val="001E5FB8"/>
    <w:rsid w:val="001E5FFA"/>
    <w:rsid w:val="001E62EF"/>
    <w:rsid w:val="001E6B1F"/>
    <w:rsid w:val="001E6E53"/>
    <w:rsid w:val="001E6F0D"/>
    <w:rsid w:val="001E6FED"/>
    <w:rsid w:val="001E760B"/>
    <w:rsid w:val="001E7D01"/>
    <w:rsid w:val="001E7F31"/>
    <w:rsid w:val="001F038D"/>
    <w:rsid w:val="001F06B5"/>
    <w:rsid w:val="001F10CA"/>
    <w:rsid w:val="001F1868"/>
    <w:rsid w:val="001F1ADE"/>
    <w:rsid w:val="001F2037"/>
    <w:rsid w:val="001F2142"/>
    <w:rsid w:val="001F215C"/>
    <w:rsid w:val="001F2360"/>
    <w:rsid w:val="001F29E6"/>
    <w:rsid w:val="001F2BA0"/>
    <w:rsid w:val="001F2E4C"/>
    <w:rsid w:val="001F2FA3"/>
    <w:rsid w:val="001F3501"/>
    <w:rsid w:val="001F3938"/>
    <w:rsid w:val="001F3C5C"/>
    <w:rsid w:val="001F40E0"/>
    <w:rsid w:val="001F5065"/>
    <w:rsid w:val="001F5528"/>
    <w:rsid w:val="001F555E"/>
    <w:rsid w:val="001F5956"/>
    <w:rsid w:val="001F5AE2"/>
    <w:rsid w:val="001F6A31"/>
    <w:rsid w:val="001F6AC5"/>
    <w:rsid w:val="001F6CFF"/>
    <w:rsid w:val="001F6F59"/>
    <w:rsid w:val="001F6FBD"/>
    <w:rsid w:val="001F6FC9"/>
    <w:rsid w:val="001F71A6"/>
    <w:rsid w:val="001F71D5"/>
    <w:rsid w:val="00200C5E"/>
    <w:rsid w:val="00200DA1"/>
    <w:rsid w:val="00201029"/>
    <w:rsid w:val="00201326"/>
    <w:rsid w:val="00201398"/>
    <w:rsid w:val="002013F8"/>
    <w:rsid w:val="00201437"/>
    <w:rsid w:val="00201B70"/>
    <w:rsid w:val="00201DA6"/>
    <w:rsid w:val="002020DF"/>
    <w:rsid w:val="0020223A"/>
    <w:rsid w:val="002025D6"/>
    <w:rsid w:val="002025EB"/>
    <w:rsid w:val="002030D3"/>
    <w:rsid w:val="002035D6"/>
    <w:rsid w:val="0020371C"/>
    <w:rsid w:val="00203937"/>
    <w:rsid w:val="00203DB2"/>
    <w:rsid w:val="00203FCE"/>
    <w:rsid w:val="0020414D"/>
    <w:rsid w:val="00204223"/>
    <w:rsid w:val="00204692"/>
    <w:rsid w:val="002046F8"/>
    <w:rsid w:val="002055E8"/>
    <w:rsid w:val="002060EC"/>
    <w:rsid w:val="002066AA"/>
    <w:rsid w:val="00206D06"/>
    <w:rsid w:val="00207C80"/>
    <w:rsid w:val="00207EBB"/>
    <w:rsid w:val="00210260"/>
    <w:rsid w:val="00210383"/>
    <w:rsid w:val="0021054D"/>
    <w:rsid w:val="00210AE9"/>
    <w:rsid w:val="00210C3D"/>
    <w:rsid w:val="00210DCB"/>
    <w:rsid w:val="002112CC"/>
    <w:rsid w:val="002112EA"/>
    <w:rsid w:val="00211B30"/>
    <w:rsid w:val="00212395"/>
    <w:rsid w:val="0021247E"/>
    <w:rsid w:val="00212A84"/>
    <w:rsid w:val="00212CAC"/>
    <w:rsid w:val="0021328F"/>
    <w:rsid w:val="002133C3"/>
    <w:rsid w:val="00213C44"/>
    <w:rsid w:val="00213C5F"/>
    <w:rsid w:val="00213F45"/>
    <w:rsid w:val="0021489B"/>
    <w:rsid w:val="00215233"/>
    <w:rsid w:val="002153B4"/>
    <w:rsid w:val="0021559D"/>
    <w:rsid w:val="002159B9"/>
    <w:rsid w:val="00215D2B"/>
    <w:rsid w:val="002161C7"/>
    <w:rsid w:val="002161C9"/>
    <w:rsid w:val="0021677E"/>
    <w:rsid w:val="002167FC"/>
    <w:rsid w:val="00216981"/>
    <w:rsid w:val="00217629"/>
    <w:rsid w:val="002176D6"/>
    <w:rsid w:val="00217DF8"/>
    <w:rsid w:val="00217F98"/>
    <w:rsid w:val="002202D8"/>
    <w:rsid w:val="00220478"/>
    <w:rsid w:val="002207F1"/>
    <w:rsid w:val="00220A1E"/>
    <w:rsid w:val="002210D0"/>
    <w:rsid w:val="0022114C"/>
    <w:rsid w:val="002211B8"/>
    <w:rsid w:val="00221235"/>
    <w:rsid w:val="002213BA"/>
    <w:rsid w:val="00221818"/>
    <w:rsid w:val="00221881"/>
    <w:rsid w:val="00221C0F"/>
    <w:rsid w:val="00221C85"/>
    <w:rsid w:val="00221F3A"/>
    <w:rsid w:val="0022201B"/>
    <w:rsid w:val="00222441"/>
    <w:rsid w:val="0022353D"/>
    <w:rsid w:val="002235F9"/>
    <w:rsid w:val="00223645"/>
    <w:rsid w:val="002239EC"/>
    <w:rsid w:val="00223EC5"/>
    <w:rsid w:val="002243E9"/>
    <w:rsid w:val="002246E7"/>
    <w:rsid w:val="00224B92"/>
    <w:rsid w:val="00224F5C"/>
    <w:rsid w:val="002254E4"/>
    <w:rsid w:val="0022557C"/>
    <w:rsid w:val="0022656C"/>
    <w:rsid w:val="00226CD3"/>
    <w:rsid w:val="00226DC4"/>
    <w:rsid w:val="00226EDB"/>
    <w:rsid w:val="002275EC"/>
    <w:rsid w:val="00227642"/>
    <w:rsid w:val="00227E40"/>
    <w:rsid w:val="00230255"/>
    <w:rsid w:val="0023034C"/>
    <w:rsid w:val="00231457"/>
    <w:rsid w:val="002315A8"/>
    <w:rsid w:val="00231673"/>
    <w:rsid w:val="002316E5"/>
    <w:rsid w:val="00231D12"/>
    <w:rsid w:val="0023241A"/>
    <w:rsid w:val="002328E0"/>
    <w:rsid w:val="00232C7F"/>
    <w:rsid w:val="00232EEA"/>
    <w:rsid w:val="0023315F"/>
    <w:rsid w:val="002336E3"/>
    <w:rsid w:val="00233799"/>
    <w:rsid w:val="0023385A"/>
    <w:rsid w:val="00233AEE"/>
    <w:rsid w:val="00233B09"/>
    <w:rsid w:val="002342E6"/>
    <w:rsid w:val="002347F2"/>
    <w:rsid w:val="00234E5B"/>
    <w:rsid w:val="00234E80"/>
    <w:rsid w:val="002350D6"/>
    <w:rsid w:val="00235198"/>
    <w:rsid w:val="00235239"/>
    <w:rsid w:val="002352C4"/>
    <w:rsid w:val="0023545D"/>
    <w:rsid w:val="00235C58"/>
    <w:rsid w:val="002363F0"/>
    <w:rsid w:val="00236666"/>
    <w:rsid w:val="00236C8F"/>
    <w:rsid w:val="002373E8"/>
    <w:rsid w:val="002377D7"/>
    <w:rsid w:val="00237A97"/>
    <w:rsid w:val="00237F37"/>
    <w:rsid w:val="00237FD9"/>
    <w:rsid w:val="002400B7"/>
    <w:rsid w:val="0024061C"/>
    <w:rsid w:val="00240C0A"/>
    <w:rsid w:val="00240CB3"/>
    <w:rsid w:val="00240EA8"/>
    <w:rsid w:val="0024111C"/>
    <w:rsid w:val="002415DF"/>
    <w:rsid w:val="002417CC"/>
    <w:rsid w:val="00242232"/>
    <w:rsid w:val="00242370"/>
    <w:rsid w:val="002423DD"/>
    <w:rsid w:val="002426DB"/>
    <w:rsid w:val="002428A4"/>
    <w:rsid w:val="00242B3C"/>
    <w:rsid w:val="00242C50"/>
    <w:rsid w:val="00242DA0"/>
    <w:rsid w:val="0024339C"/>
    <w:rsid w:val="00243491"/>
    <w:rsid w:val="0024388B"/>
    <w:rsid w:val="00243AF8"/>
    <w:rsid w:val="00243C96"/>
    <w:rsid w:val="002443DB"/>
    <w:rsid w:val="00244679"/>
    <w:rsid w:val="002447E5"/>
    <w:rsid w:val="002447EF"/>
    <w:rsid w:val="002449E8"/>
    <w:rsid w:val="00245033"/>
    <w:rsid w:val="0024512E"/>
    <w:rsid w:val="0024521F"/>
    <w:rsid w:val="00245505"/>
    <w:rsid w:val="00245978"/>
    <w:rsid w:val="00245C88"/>
    <w:rsid w:val="0024621A"/>
    <w:rsid w:val="0024657D"/>
    <w:rsid w:val="00246673"/>
    <w:rsid w:val="0024683B"/>
    <w:rsid w:val="00246A29"/>
    <w:rsid w:val="00246CCB"/>
    <w:rsid w:val="00246E27"/>
    <w:rsid w:val="002472C9"/>
    <w:rsid w:val="00247AD8"/>
    <w:rsid w:val="00250A27"/>
    <w:rsid w:val="00250EC6"/>
    <w:rsid w:val="00250F16"/>
    <w:rsid w:val="00250F97"/>
    <w:rsid w:val="002512B8"/>
    <w:rsid w:val="002513E8"/>
    <w:rsid w:val="0025182D"/>
    <w:rsid w:val="00251C76"/>
    <w:rsid w:val="002523AA"/>
    <w:rsid w:val="002528B2"/>
    <w:rsid w:val="00252B0F"/>
    <w:rsid w:val="002532E9"/>
    <w:rsid w:val="002534CF"/>
    <w:rsid w:val="0025380E"/>
    <w:rsid w:val="00253A6C"/>
    <w:rsid w:val="00253B13"/>
    <w:rsid w:val="00253B38"/>
    <w:rsid w:val="00253C88"/>
    <w:rsid w:val="00253EB7"/>
    <w:rsid w:val="002546A9"/>
    <w:rsid w:val="00254C72"/>
    <w:rsid w:val="00254EBF"/>
    <w:rsid w:val="00255896"/>
    <w:rsid w:val="002558F4"/>
    <w:rsid w:val="002558FE"/>
    <w:rsid w:val="0025735B"/>
    <w:rsid w:val="00257991"/>
    <w:rsid w:val="00257B0C"/>
    <w:rsid w:val="00257B47"/>
    <w:rsid w:val="0026002C"/>
    <w:rsid w:val="0026035E"/>
    <w:rsid w:val="002603A1"/>
    <w:rsid w:val="002606D8"/>
    <w:rsid w:val="0026072F"/>
    <w:rsid w:val="00260AC7"/>
    <w:rsid w:val="00260CA2"/>
    <w:rsid w:val="00260CC3"/>
    <w:rsid w:val="00260CCC"/>
    <w:rsid w:val="0026139D"/>
    <w:rsid w:val="00261B0E"/>
    <w:rsid w:val="002624BC"/>
    <w:rsid w:val="0026379C"/>
    <w:rsid w:val="0026379E"/>
    <w:rsid w:val="00263A37"/>
    <w:rsid w:val="00263A77"/>
    <w:rsid w:val="00263AC3"/>
    <w:rsid w:val="00263D08"/>
    <w:rsid w:val="00264022"/>
    <w:rsid w:val="00264247"/>
    <w:rsid w:val="00264933"/>
    <w:rsid w:val="00264AE0"/>
    <w:rsid w:val="00264C63"/>
    <w:rsid w:val="002653F3"/>
    <w:rsid w:val="002655E3"/>
    <w:rsid w:val="0026565E"/>
    <w:rsid w:val="0026569F"/>
    <w:rsid w:val="00265CDC"/>
    <w:rsid w:val="00265FE4"/>
    <w:rsid w:val="002663AC"/>
    <w:rsid w:val="002663F5"/>
    <w:rsid w:val="002664C8"/>
    <w:rsid w:val="00266883"/>
    <w:rsid w:val="00266CD3"/>
    <w:rsid w:val="00267706"/>
    <w:rsid w:val="00267753"/>
    <w:rsid w:val="002677F4"/>
    <w:rsid w:val="002702B8"/>
    <w:rsid w:val="00270B9D"/>
    <w:rsid w:val="0027153E"/>
    <w:rsid w:val="00271581"/>
    <w:rsid w:val="00271823"/>
    <w:rsid w:val="00271EA6"/>
    <w:rsid w:val="00271F44"/>
    <w:rsid w:val="00272405"/>
    <w:rsid w:val="0027255F"/>
    <w:rsid w:val="002726AC"/>
    <w:rsid w:val="00272853"/>
    <w:rsid w:val="00272A9E"/>
    <w:rsid w:val="00272ECC"/>
    <w:rsid w:val="00272EF2"/>
    <w:rsid w:val="00273014"/>
    <w:rsid w:val="00273151"/>
    <w:rsid w:val="00273318"/>
    <w:rsid w:val="00273345"/>
    <w:rsid w:val="0027351A"/>
    <w:rsid w:val="00273780"/>
    <w:rsid w:val="00273AF7"/>
    <w:rsid w:val="00273FD3"/>
    <w:rsid w:val="00274683"/>
    <w:rsid w:val="00274C5C"/>
    <w:rsid w:val="00274FAB"/>
    <w:rsid w:val="00275103"/>
    <w:rsid w:val="0027513B"/>
    <w:rsid w:val="002754D8"/>
    <w:rsid w:val="00276080"/>
    <w:rsid w:val="0027622D"/>
    <w:rsid w:val="002762F0"/>
    <w:rsid w:val="00276640"/>
    <w:rsid w:val="0027679C"/>
    <w:rsid w:val="0027756B"/>
    <w:rsid w:val="0027796B"/>
    <w:rsid w:val="002800D6"/>
    <w:rsid w:val="00280219"/>
    <w:rsid w:val="0028096E"/>
    <w:rsid w:val="00280A36"/>
    <w:rsid w:val="00280B89"/>
    <w:rsid w:val="002812C0"/>
    <w:rsid w:val="0028138A"/>
    <w:rsid w:val="002813B8"/>
    <w:rsid w:val="00281606"/>
    <w:rsid w:val="00281DA7"/>
    <w:rsid w:val="00282154"/>
    <w:rsid w:val="00282608"/>
    <w:rsid w:val="00282F8D"/>
    <w:rsid w:val="00282FF8"/>
    <w:rsid w:val="0028309C"/>
    <w:rsid w:val="0028392A"/>
    <w:rsid w:val="002839FA"/>
    <w:rsid w:val="00283F69"/>
    <w:rsid w:val="002840F6"/>
    <w:rsid w:val="0028465B"/>
    <w:rsid w:val="00284A42"/>
    <w:rsid w:val="002851C8"/>
    <w:rsid w:val="002852F0"/>
    <w:rsid w:val="00285341"/>
    <w:rsid w:val="0028538B"/>
    <w:rsid w:val="002856F7"/>
    <w:rsid w:val="00285734"/>
    <w:rsid w:val="0028583D"/>
    <w:rsid w:val="00286261"/>
    <w:rsid w:val="00286379"/>
    <w:rsid w:val="0028663E"/>
    <w:rsid w:val="002866AE"/>
    <w:rsid w:val="00286DC7"/>
    <w:rsid w:val="00286DDE"/>
    <w:rsid w:val="0028701F"/>
    <w:rsid w:val="00287033"/>
    <w:rsid w:val="0028740F"/>
    <w:rsid w:val="00287511"/>
    <w:rsid w:val="002877B1"/>
    <w:rsid w:val="00287864"/>
    <w:rsid w:val="00287D89"/>
    <w:rsid w:val="00290926"/>
    <w:rsid w:val="00291079"/>
    <w:rsid w:val="00291243"/>
    <w:rsid w:val="00291616"/>
    <w:rsid w:val="00291A42"/>
    <w:rsid w:val="00291F87"/>
    <w:rsid w:val="00292829"/>
    <w:rsid w:val="00292A15"/>
    <w:rsid w:val="00292BF7"/>
    <w:rsid w:val="00292F1F"/>
    <w:rsid w:val="00292FC8"/>
    <w:rsid w:val="002930AA"/>
    <w:rsid w:val="00293339"/>
    <w:rsid w:val="00293589"/>
    <w:rsid w:val="00293D8D"/>
    <w:rsid w:val="0029421E"/>
    <w:rsid w:val="00294289"/>
    <w:rsid w:val="00294646"/>
    <w:rsid w:val="00294FD2"/>
    <w:rsid w:val="002951DD"/>
    <w:rsid w:val="00295393"/>
    <w:rsid w:val="00295718"/>
    <w:rsid w:val="002958E5"/>
    <w:rsid w:val="00295E3F"/>
    <w:rsid w:val="0029614B"/>
    <w:rsid w:val="0029653F"/>
    <w:rsid w:val="0029656E"/>
    <w:rsid w:val="002967EF"/>
    <w:rsid w:val="002972C0"/>
    <w:rsid w:val="00297354"/>
    <w:rsid w:val="0029741E"/>
    <w:rsid w:val="00297735"/>
    <w:rsid w:val="002A0777"/>
    <w:rsid w:val="002A09C1"/>
    <w:rsid w:val="002A0BD2"/>
    <w:rsid w:val="002A0D04"/>
    <w:rsid w:val="002A0DA7"/>
    <w:rsid w:val="002A0DC3"/>
    <w:rsid w:val="002A1430"/>
    <w:rsid w:val="002A173C"/>
    <w:rsid w:val="002A1A80"/>
    <w:rsid w:val="002A1E94"/>
    <w:rsid w:val="002A1E96"/>
    <w:rsid w:val="002A2044"/>
    <w:rsid w:val="002A2098"/>
    <w:rsid w:val="002A2598"/>
    <w:rsid w:val="002A26ED"/>
    <w:rsid w:val="002A2A20"/>
    <w:rsid w:val="002A2B1F"/>
    <w:rsid w:val="002A2C34"/>
    <w:rsid w:val="002A2C43"/>
    <w:rsid w:val="002A3022"/>
    <w:rsid w:val="002A3340"/>
    <w:rsid w:val="002A3AED"/>
    <w:rsid w:val="002A3CBD"/>
    <w:rsid w:val="002A41F5"/>
    <w:rsid w:val="002A47A6"/>
    <w:rsid w:val="002A4FD3"/>
    <w:rsid w:val="002A5643"/>
    <w:rsid w:val="002A5CEC"/>
    <w:rsid w:val="002A6334"/>
    <w:rsid w:val="002A64C4"/>
    <w:rsid w:val="002A6CB2"/>
    <w:rsid w:val="002A6DB9"/>
    <w:rsid w:val="002A70B1"/>
    <w:rsid w:val="002A73A9"/>
    <w:rsid w:val="002A74F3"/>
    <w:rsid w:val="002A75DA"/>
    <w:rsid w:val="002A7820"/>
    <w:rsid w:val="002A797F"/>
    <w:rsid w:val="002A7A07"/>
    <w:rsid w:val="002A7F13"/>
    <w:rsid w:val="002B0167"/>
    <w:rsid w:val="002B01D8"/>
    <w:rsid w:val="002B06E1"/>
    <w:rsid w:val="002B1385"/>
    <w:rsid w:val="002B1423"/>
    <w:rsid w:val="002B1665"/>
    <w:rsid w:val="002B1798"/>
    <w:rsid w:val="002B269D"/>
    <w:rsid w:val="002B27D8"/>
    <w:rsid w:val="002B2AD4"/>
    <w:rsid w:val="002B2B17"/>
    <w:rsid w:val="002B2BD4"/>
    <w:rsid w:val="002B2C10"/>
    <w:rsid w:val="002B30B0"/>
    <w:rsid w:val="002B3259"/>
    <w:rsid w:val="002B3870"/>
    <w:rsid w:val="002B39EA"/>
    <w:rsid w:val="002B3AB0"/>
    <w:rsid w:val="002B3C19"/>
    <w:rsid w:val="002B426E"/>
    <w:rsid w:val="002B48F1"/>
    <w:rsid w:val="002B4936"/>
    <w:rsid w:val="002B4AB7"/>
    <w:rsid w:val="002B4E17"/>
    <w:rsid w:val="002B4EB1"/>
    <w:rsid w:val="002B5085"/>
    <w:rsid w:val="002B53CF"/>
    <w:rsid w:val="002B53F7"/>
    <w:rsid w:val="002B5739"/>
    <w:rsid w:val="002B5829"/>
    <w:rsid w:val="002B64F2"/>
    <w:rsid w:val="002B68C0"/>
    <w:rsid w:val="002B6CAC"/>
    <w:rsid w:val="002B6D8D"/>
    <w:rsid w:val="002B6EC2"/>
    <w:rsid w:val="002B6EE3"/>
    <w:rsid w:val="002B727A"/>
    <w:rsid w:val="002B75BA"/>
    <w:rsid w:val="002B7A77"/>
    <w:rsid w:val="002C01CA"/>
    <w:rsid w:val="002C046C"/>
    <w:rsid w:val="002C04BE"/>
    <w:rsid w:val="002C0AF0"/>
    <w:rsid w:val="002C0C05"/>
    <w:rsid w:val="002C0DD3"/>
    <w:rsid w:val="002C0E77"/>
    <w:rsid w:val="002C10DC"/>
    <w:rsid w:val="002C11AC"/>
    <w:rsid w:val="002C1724"/>
    <w:rsid w:val="002C1F49"/>
    <w:rsid w:val="002C245F"/>
    <w:rsid w:val="002C24D3"/>
    <w:rsid w:val="002C24E0"/>
    <w:rsid w:val="002C2785"/>
    <w:rsid w:val="002C28B8"/>
    <w:rsid w:val="002C2AE0"/>
    <w:rsid w:val="002C2EF7"/>
    <w:rsid w:val="002C325C"/>
    <w:rsid w:val="002C333E"/>
    <w:rsid w:val="002C33E1"/>
    <w:rsid w:val="002C346F"/>
    <w:rsid w:val="002C3926"/>
    <w:rsid w:val="002C3BA2"/>
    <w:rsid w:val="002C3E93"/>
    <w:rsid w:val="002C4404"/>
    <w:rsid w:val="002C4D62"/>
    <w:rsid w:val="002C4E86"/>
    <w:rsid w:val="002C4F34"/>
    <w:rsid w:val="002C4FF1"/>
    <w:rsid w:val="002C5062"/>
    <w:rsid w:val="002C51AD"/>
    <w:rsid w:val="002C52D6"/>
    <w:rsid w:val="002C5815"/>
    <w:rsid w:val="002C5B6F"/>
    <w:rsid w:val="002C6FAE"/>
    <w:rsid w:val="002C6FDC"/>
    <w:rsid w:val="002C71D1"/>
    <w:rsid w:val="002C72F0"/>
    <w:rsid w:val="002C73D1"/>
    <w:rsid w:val="002C75E2"/>
    <w:rsid w:val="002C7699"/>
    <w:rsid w:val="002C7C74"/>
    <w:rsid w:val="002C7D58"/>
    <w:rsid w:val="002C7D65"/>
    <w:rsid w:val="002C7E4D"/>
    <w:rsid w:val="002D0271"/>
    <w:rsid w:val="002D05FE"/>
    <w:rsid w:val="002D068B"/>
    <w:rsid w:val="002D06C4"/>
    <w:rsid w:val="002D164F"/>
    <w:rsid w:val="002D1B90"/>
    <w:rsid w:val="002D256B"/>
    <w:rsid w:val="002D2932"/>
    <w:rsid w:val="002D2A00"/>
    <w:rsid w:val="002D2CF7"/>
    <w:rsid w:val="002D2F89"/>
    <w:rsid w:val="002D354E"/>
    <w:rsid w:val="002D3615"/>
    <w:rsid w:val="002D3C40"/>
    <w:rsid w:val="002D3E5C"/>
    <w:rsid w:val="002D3F12"/>
    <w:rsid w:val="002D4384"/>
    <w:rsid w:val="002D442D"/>
    <w:rsid w:val="002D4F6E"/>
    <w:rsid w:val="002D4F81"/>
    <w:rsid w:val="002D5018"/>
    <w:rsid w:val="002D50AA"/>
    <w:rsid w:val="002D51EA"/>
    <w:rsid w:val="002D52C3"/>
    <w:rsid w:val="002D53DF"/>
    <w:rsid w:val="002D56C3"/>
    <w:rsid w:val="002D56C8"/>
    <w:rsid w:val="002D57F4"/>
    <w:rsid w:val="002D5866"/>
    <w:rsid w:val="002D58DC"/>
    <w:rsid w:val="002D6190"/>
    <w:rsid w:val="002D6D92"/>
    <w:rsid w:val="002D6E07"/>
    <w:rsid w:val="002D6F7F"/>
    <w:rsid w:val="002D7180"/>
    <w:rsid w:val="002D72B6"/>
    <w:rsid w:val="002D76EB"/>
    <w:rsid w:val="002D77A9"/>
    <w:rsid w:val="002D7A42"/>
    <w:rsid w:val="002E0011"/>
    <w:rsid w:val="002E00D4"/>
    <w:rsid w:val="002E00EA"/>
    <w:rsid w:val="002E02B0"/>
    <w:rsid w:val="002E06CC"/>
    <w:rsid w:val="002E0B68"/>
    <w:rsid w:val="002E140F"/>
    <w:rsid w:val="002E1522"/>
    <w:rsid w:val="002E154C"/>
    <w:rsid w:val="002E1635"/>
    <w:rsid w:val="002E1E42"/>
    <w:rsid w:val="002E20CE"/>
    <w:rsid w:val="002E23D1"/>
    <w:rsid w:val="002E2730"/>
    <w:rsid w:val="002E2D16"/>
    <w:rsid w:val="002E2DC9"/>
    <w:rsid w:val="002E30FA"/>
    <w:rsid w:val="002E35D3"/>
    <w:rsid w:val="002E3773"/>
    <w:rsid w:val="002E3860"/>
    <w:rsid w:val="002E415F"/>
    <w:rsid w:val="002E42CF"/>
    <w:rsid w:val="002E4521"/>
    <w:rsid w:val="002E4662"/>
    <w:rsid w:val="002E485A"/>
    <w:rsid w:val="002E487F"/>
    <w:rsid w:val="002E4DBE"/>
    <w:rsid w:val="002E5294"/>
    <w:rsid w:val="002E59B0"/>
    <w:rsid w:val="002E5C12"/>
    <w:rsid w:val="002E5ED9"/>
    <w:rsid w:val="002E64AC"/>
    <w:rsid w:val="002E6620"/>
    <w:rsid w:val="002E6834"/>
    <w:rsid w:val="002E68AB"/>
    <w:rsid w:val="002E68E8"/>
    <w:rsid w:val="002E6C69"/>
    <w:rsid w:val="002E7334"/>
    <w:rsid w:val="002E7776"/>
    <w:rsid w:val="002E7C8C"/>
    <w:rsid w:val="002F059E"/>
    <w:rsid w:val="002F14ED"/>
    <w:rsid w:val="002F2101"/>
    <w:rsid w:val="002F238B"/>
    <w:rsid w:val="002F2556"/>
    <w:rsid w:val="002F2CB3"/>
    <w:rsid w:val="002F2D4A"/>
    <w:rsid w:val="002F3885"/>
    <w:rsid w:val="002F3DA5"/>
    <w:rsid w:val="002F3EB8"/>
    <w:rsid w:val="002F3EE7"/>
    <w:rsid w:val="002F456E"/>
    <w:rsid w:val="002F4CE4"/>
    <w:rsid w:val="002F536C"/>
    <w:rsid w:val="002F59DB"/>
    <w:rsid w:val="002F5E0A"/>
    <w:rsid w:val="002F6307"/>
    <w:rsid w:val="002F6966"/>
    <w:rsid w:val="002F69A5"/>
    <w:rsid w:val="002F6D59"/>
    <w:rsid w:val="002F6E52"/>
    <w:rsid w:val="002F6EEA"/>
    <w:rsid w:val="002F7240"/>
    <w:rsid w:val="002F78B2"/>
    <w:rsid w:val="002F7B32"/>
    <w:rsid w:val="002F7B9B"/>
    <w:rsid w:val="003000B3"/>
    <w:rsid w:val="003007F2"/>
    <w:rsid w:val="0030086B"/>
    <w:rsid w:val="00300A4F"/>
    <w:rsid w:val="00301A4A"/>
    <w:rsid w:val="00301F9B"/>
    <w:rsid w:val="0030231C"/>
    <w:rsid w:val="00302565"/>
    <w:rsid w:val="00302785"/>
    <w:rsid w:val="003027CE"/>
    <w:rsid w:val="00302846"/>
    <w:rsid w:val="00302880"/>
    <w:rsid w:val="00302D36"/>
    <w:rsid w:val="003031DB"/>
    <w:rsid w:val="0030351D"/>
    <w:rsid w:val="00303CCB"/>
    <w:rsid w:val="00303FAB"/>
    <w:rsid w:val="00304172"/>
    <w:rsid w:val="0030464E"/>
    <w:rsid w:val="003046EE"/>
    <w:rsid w:val="00304B30"/>
    <w:rsid w:val="00304C22"/>
    <w:rsid w:val="00304E66"/>
    <w:rsid w:val="003054E9"/>
    <w:rsid w:val="003055AA"/>
    <w:rsid w:val="00305868"/>
    <w:rsid w:val="00305880"/>
    <w:rsid w:val="003058C3"/>
    <w:rsid w:val="003059DC"/>
    <w:rsid w:val="00305A0C"/>
    <w:rsid w:val="00305A3A"/>
    <w:rsid w:val="00306132"/>
    <w:rsid w:val="00306226"/>
    <w:rsid w:val="003062A6"/>
    <w:rsid w:val="00306360"/>
    <w:rsid w:val="00306435"/>
    <w:rsid w:val="00306442"/>
    <w:rsid w:val="003067B7"/>
    <w:rsid w:val="0030770D"/>
    <w:rsid w:val="00307959"/>
    <w:rsid w:val="00307A17"/>
    <w:rsid w:val="00307E28"/>
    <w:rsid w:val="00310035"/>
    <w:rsid w:val="003104EE"/>
    <w:rsid w:val="00310513"/>
    <w:rsid w:val="00310839"/>
    <w:rsid w:val="00310E05"/>
    <w:rsid w:val="00311373"/>
    <w:rsid w:val="00312B06"/>
    <w:rsid w:val="003138A9"/>
    <w:rsid w:val="00313E22"/>
    <w:rsid w:val="00313F17"/>
    <w:rsid w:val="00313F3B"/>
    <w:rsid w:val="0031417D"/>
    <w:rsid w:val="0031420A"/>
    <w:rsid w:val="00314476"/>
    <w:rsid w:val="0031495B"/>
    <w:rsid w:val="00314C99"/>
    <w:rsid w:val="00314F70"/>
    <w:rsid w:val="00315582"/>
    <w:rsid w:val="00315698"/>
    <w:rsid w:val="00315A06"/>
    <w:rsid w:val="00315BFC"/>
    <w:rsid w:val="00315C6E"/>
    <w:rsid w:val="00315FFE"/>
    <w:rsid w:val="003160DE"/>
    <w:rsid w:val="00316175"/>
    <w:rsid w:val="003162F1"/>
    <w:rsid w:val="0031637D"/>
    <w:rsid w:val="003167F7"/>
    <w:rsid w:val="0031721D"/>
    <w:rsid w:val="00317230"/>
    <w:rsid w:val="003173E3"/>
    <w:rsid w:val="00317B00"/>
    <w:rsid w:val="00317F29"/>
    <w:rsid w:val="00320456"/>
    <w:rsid w:val="003208D7"/>
    <w:rsid w:val="00320A7C"/>
    <w:rsid w:val="0032132E"/>
    <w:rsid w:val="00321BE7"/>
    <w:rsid w:val="00321E3E"/>
    <w:rsid w:val="0032237F"/>
    <w:rsid w:val="0032252F"/>
    <w:rsid w:val="00322BE2"/>
    <w:rsid w:val="00322C7D"/>
    <w:rsid w:val="00323419"/>
    <w:rsid w:val="003236FE"/>
    <w:rsid w:val="0032392C"/>
    <w:rsid w:val="0032495B"/>
    <w:rsid w:val="00324D19"/>
    <w:rsid w:val="00324DB0"/>
    <w:rsid w:val="00324E1E"/>
    <w:rsid w:val="00324E8E"/>
    <w:rsid w:val="00325070"/>
    <w:rsid w:val="00325194"/>
    <w:rsid w:val="00325646"/>
    <w:rsid w:val="00325727"/>
    <w:rsid w:val="003257B2"/>
    <w:rsid w:val="00326316"/>
    <w:rsid w:val="00326416"/>
    <w:rsid w:val="00326847"/>
    <w:rsid w:val="00326BD6"/>
    <w:rsid w:val="00326C28"/>
    <w:rsid w:val="0032700E"/>
    <w:rsid w:val="003300A6"/>
    <w:rsid w:val="003305E6"/>
    <w:rsid w:val="00330697"/>
    <w:rsid w:val="003307CC"/>
    <w:rsid w:val="00330C3B"/>
    <w:rsid w:val="00330F80"/>
    <w:rsid w:val="003312D6"/>
    <w:rsid w:val="00331419"/>
    <w:rsid w:val="00331779"/>
    <w:rsid w:val="00331B00"/>
    <w:rsid w:val="00331F3F"/>
    <w:rsid w:val="00331FD6"/>
    <w:rsid w:val="0033231A"/>
    <w:rsid w:val="00332384"/>
    <w:rsid w:val="00332629"/>
    <w:rsid w:val="003328C3"/>
    <w:rsid w:val="0033297B"/>
    <w:rsid w:val="003330C0"/>
    <w:rsid w:val="003335DC"/>
    <w:rsid w:val="003338C9"/>
    <w:rsid w:val="00333C02"/>
    <w:rsid w:val="00333C73"/>
    <w:rsid w:val="00334944"/>
    <w:rsid w:val="00334950"/>
    <w:rsid w:val="00334D65"/>
    <w:rsid w:val="003351C5"/>
    <w:rsid w:val="003353CC"/>
    <w:rsid w:val="003356D9"/>
    <w:rsid w:val="00335E23"/>
    <w:rsid w:val="00335ED9"/>
    <w:rsid w:val="00335FD2"/>
    <w:rsid w:val="00336293"/>
    <w:rsid w:val="00336904"/>
    <w:rsid w:val="00336F63"/>
    <w:rsid w:val="00337125"/>
    <w:rsid w:val="00337201"/>
    <w:rsid w:val="00337768"/>
    <w:rsid w:val="00337B8B"/>
    <w:rsid w:val="00340265"/>
    <w:rsid w:val="00340500"/>
    <w:rsid w:val="00340C57"/>
    <w:rsid w:val="0034117F"/>
    <w:rsid w:val="003414D7"/>
    <w:rsid w:val="00341836"/>
    <w:rsid w:val="003422DE"/>
    <w:rsid w:val="00342694"/>
    <w:rsid w:val="003428CB"/>
    <w:rsid w:val="0034297D"/>
    <w:rsid w:val="00342A9E"/>
    <w:rsid w:val="00342D25"/>
    <w:rsid w:val="00343086"/>
    <w:rsid w:val="00343106"/>
    <w:rsid w:val="00343DC0"/>
    <w:rsid w:val="0034413A"/>
    <w:rsid w:val="0034414B"/>
    <w:rsid w:val="003446AB"/>
    <w:rsid w:val="0034482D"/>
    <w:rsid w:val="003449A9"/>
    <w:rsid w:val="00344AF3"/>
    <w:rsid w:val="00344B56"/>
    <w:rsid w:val="003451A5"/>
    <w:rsid w:val="0034521C"/>
    <w:rsid w:val="00345481"/>
    <w:rsid w:val="003454CC"/>
    <w:rsid w:val="0034596F"/>
    <w:rsid w:val="00345B47"/>
    <w:rsid w:val="00345E60"/>
    <w:rsid w:val="00346116"/>
    <w:rsid w:val="003464D7"/>
    <w:rsid w:val="00346608"/>
    <w:rsid w:val="003469A5"/>
    <w:rsid w:val="00346A8E"/>
    <w:rsid w:val="00346B30"/>
    <w:rsid w:val="00346C99"/>
    <w:rsid w:val="00346E42"/>
    <w:rsid w:val="00347208"/>
    <w:rsid w:val="003478B3"/>
    <w:rsid w:val="00347A45"/>
    <w:rsid w:val="00347B45"/>
    <w:rsid w:val="00347BA1"/>
    <w:rsid w:val="00347DB6"/>
    <w:rsid w:val="00350201"/>
    <w:rsid w:val="00350616"/>
    <w:rsid w:val="00350806"/>
    <w:rsid w:val="00350CA2"/>
    <w:rsid w:val="00351098"/>
    <w:rsid w:val="00351B08"/>
    <w:rsid w:val="00351EC1"/>
    <w:rsid w:val="003521EC"/>
    <w:rsid w:val="0035298D"/>
    <w:rsid w:val="00352DFA"/>
    <w:rsid w:val="00352F53"/>
    <w:rsid w:val="003532C4"/>
    <w:rsid w:val="00354139"/>
    <w:rsid w:val="003541EB"/>
    <w:rsid w:val="003542C4"/>
    <w:rsid w:val="0035478E"/>
    <w:rsid w:val="003547E0"/>
    <w:rsid w:val="00354DF1"/>
    <w:rsid w:val="00354F55"/>
    <w:rsid w:val="00355371"/>
    <w:rsid w:val="003558F9"/>
    <w:rsid w:val="00355B8C"/>
    <w:rsid w:val="0035603F"/>
    <w:rsid w:val="0035604B"/>
    <w:rsid w:val="0035687C"/>
    <w:rsid w:val="00356C6D"/>
    <w:rsid w:val="00356D9F"/>
    <w:rsid w:val="00356E1B"/>
    <w:rsid w:val="003571F8"/>
    <w:rsid w:val="003576F8"/>
    <w:rsid w:val="0035787B"/>
    <w:rsid w:val="003604B4"/>
    <w:rsid w:val="00360582"/>
    <w:rsid w:val="003607E3"/>
    <w:rsid w:val="00361016"/>
    <w:rsid w:val="003612B5"/>
    <w:rsid w:val="0036212F"/>
    <w:rsid w:val="00362864"/>
    <w:rsid w:val="0036288A"/>
    <w:rsid w:val="00362C82"/>
    <w:rsid w:val="00363078"/>
    <w:rsid w:val="0036325D"/>
    <w:rsid w:val="003633B8"/>
    <w:rsid w:val="00363487"/>
    <w:rsid w:val="00363955"/>
    <w:rsid w:val="00363974"/>
    <w:rsid w:val="00363B37"/>
    <w:rsid w:val="00363B61"/>
    <w:rsid w:val="00363E60"/>
    <w:rsid w:val="00364C4C"/>
    <w:rsid w:val="00364D5A"/>
    <w:rsid w:val="00364ED0"/>
    <w:rsid w:val="003653A1"/>
    <w:rsid w:val="00365902"/>
    <w:rsid w:val="0036615C"/>
    <w:rsid w:val="00366361"/>
    <w:rsid w:val="0036646F"/>
    <w:rsid w:val="003666E5"/>
    <w:rsid w:val="003667BB"/>
    <w:rsid w:val="00366A37"/>
    <w:rsid w:val="00366F41"/>
    <w:rsid w:val="003670F3"/>
    <w:rsid w:val="003671A6"/>
    <w:rsid w:val="0036762D"/>
    <w:rsid w:val="00367A39"/>
    <w:rsid w:val="00367CF2"/>
    <w:rsid w:val="003701E9"/>
    <w:rsid w:val="003703A3"/>
    <w:rsid w:val="00370422"/>
    <w:rsid w:val="0037047A"/>
    <w:rsid w:val="0037062A"/>
    <w:rsid w:val="00370651"/>
    <w:rsid w:val="003706B8"/>
    <w:rsid w:val="0037087F"/>
    <w:rsid w:val="003708B0"/>
    <w:rsid w:val="00370EC2"/>
    <w:rsid w:val="00370F06"/>
    <w:rsid w:val="00370FA2"/>
    <w:rsid w:val="00371235"/>
    <w:rsid w:val="003717F0"/>
    <w:rsid w:val="003718A8"/>
    <w:rsid w:val="00371F18"/>
    <w:rsid w:val="003723BD"/>
    <w:rsid w:val="003726E3"/>
    <w:rsid w:val="00372AE8"/>
    <w:rsid w:val="00372B02"/>
    <w:rsid w:val="00373002"/>
    <w:rsid w:val="003730E4"/>
    <w:rsid w:val="00373851"/>
    <w:rsid w:val="003738C1"/>
    <w:rsid w:val="003739D9"/>
    <w:rsid w:val="00373A18"/>
    <w:rsid w:val="00373B5A"/>
    <w:rsid w:val="00373BF5"/>
    <w:rsid w:val="00373CD5"/>
    <w:rsid w:val="00373E83"/>
    <w:rsid w:val="003746BB"/>
    <w:rsid w:val="0037483E"/>
    <w:rsid w:val="00374964"/>
    <w:rsid w:val="003753BA"/>
    <w:rsid w:val="00375448"/>
    <w:rsid w:val="00375CC6"/>
    <w:rsid w:val="00376562"/>
    <w:rsid w:val="00376787"/>
    <w:rsid w:val="0037686E"/>
    <w:rsid w:val="00376EE9"/>
    <w:rsid w:val="00377303"/>
    <w:rsid w:val="0037734B"/>
    <w:rsid w:val="003773D9"/>
    <w:rsid w:val="003775FA"/>
    <w:rsid w:val="00377E99"/>
    <w:rsid w:val="00377F3B"/>
    <w:rsid w:val="00380823"/>
    <w:rsid w:val="0038193F"/>
    <w:rsid w:val="00381B95"/>
    <w:rsid w:val="00381BDF"/>
    <w:rsid w:val="00382601"/>
    <w:rsid w:val="00382885"/>
    <w:rsid w:val="00382C16"/>
    <w:rsid w:val="00382F77"/>
    <w:rsid w:val="00383EE6"/>
    <w:rsid w:val="00383EF7"/>
    <w:rsid w:val="00383FA0"/>
    <w:rsid w:val="003842B5"/>
    <w:rsid w:val="00384397"/>
    <w:rsid w:val="0038476D"/>
    <w:rsid w:val="00384C95"/>
    <w:rsid w:val="00384E29"/>
    <w:rsid w:val="00384E9B"/>
    <w:rsid w:val="003856EB"/>
    <w:rsid w:val="00385A07"/>
    <w:rsid w:val="00385A82"/>
    <w:rsid w:val="00385AB7"/>
    <w:rsid w:val="00385FA0"/>
    <w:rsid w:val="003860CA"/>
    <w:rsid w:val="00386243"/>
    <w:rsid w:val="00386295"/>
    <w:rsid w:val="003863F9"/>
    <w:rsid w:val="00386CC0"/>
    <w:rsid w:val="00387032"/>
    <w:rsid w:val="003902F2"/>
    <w:rsid w:val="00390727"/>
    <w:rsid w:val="00390B4C"/>
    <w:rsid w:val="00390B7F"/>
    <w:rsid w:val="00390C63"/>
    <w:rsid w:val="00390D14"/>
    <w:rsid w:val="00390DC2"/>
    <w:rsid w:val="00390F88"/>
    <w:rsid w:val="00391030"/>
    <w:rsid w:val="00391430"/>
    <w:rsid w:val="003919C2"/>
    <w:rsid w:val="00391CF7"/>
    <w:rsid w:val="00392A65"/>
    <w:rsid w:val="00392FF8"/>
    <w:rsid w:val="00393103"/>
    <w:rsid w:val="003936BE"/>
    <w:rsid w:val="00393766"/>
    <w:rsid w:val="0039399C"/>
    <w:rsid w:val="0039428B"/>
    <w:rsid w:val="00394506"/>
    <w:rsid w:val="003945FA"/>
    <w:rsid w:val="00394693"/>
    <w:rsid w:val="0039479D"/>
    <w:rsid w:val="0039486B"/>
    <w:rsid w:val="00394ACB"/>
    <w:rsid w:val="00394B7F"/>
    <w:rsid w:val="00394BE1"/>
    <w:rsid w:val="00394C32"/>
    <w:rsid w:val="00394C62"/>
    <w:rsid w:val="0039577B"/>
    <w:rsid w:val="00396826"/>
    <w:rsid w:val="00396EFC"/>
    <w:rsid w:val="00397318"/>
    <w:rsid w:val="003973EB"/>
    <w:rsid w:val="00397771"/>
    <w:rsid w:val="00397C8D"/>
    <w:rsid w:val="003A01AD"/>
    <w:rsid w:val="003A0435"/>
    <w:rsid w:val="003A05C6"/>
    <w:rsid w:val="003A0C8D"/>
    <w:rsid w:val="003A0EC6"/>
    <w:rsid w:val="003A188D"/>
    <w:rsid w:val="003A2127"/>
    <w:rsid w:val="003A21DC"/>
    <w:rsid w:val="003A21FC"/>
    <w:rsid w:val="003A2328"/>
    <w:rsid w:val="003A264C"/>
    <w:rsid w:val="003A2809"/>
    <w:rsid w:val="003A2BB1"/>
    <w:rsid w:val="003A2FAE"/>
    <w:rsid w:val="003A394D"/>
    <w:rsid w:val="003A49D2"/>
    <w:rsid w:val="003A4B07"/>
    <w:rsid w:val="003A52B0"/>
    <w:rsid w:val="003A58C1"/>
    <w:rsid w:val="003A5DDA"/>
    <w:rsid w:val="003A5DF2"/>
    <w:rsid w:val="003A5EF2"/>
    <w:rsid w:val="003A5FA8"/>
    <w:rsid w:val="003A5FC0"/>
    <w:rsid w:val="003A61A1"/>
    <w:rsid w:val="003A622F"/>
    <w:rsid w:val="003A6757"/>
    <w:rsid w:val="003A685B"/>
    <w:rsid w:val="003A68B8"/>
    <w:rsid w:val="003A693F"/>
    <w:rsid w:val="003A6DC5"/>
    <w:rsid w:val="003A712E"/>
    <w:rsid w:val="003A755B"/>
    <w:rsid w:val="003A75F0"/>
    <w:rsid w:val="003A78BC"/>
    <w:rsid w:val="003A7BCB"/>
    <w:rsid w:val="003A7C60"/>
    <w:rsid w:val="003B0147"/>
    <w:rsid w:val="003B0612"/>
    <w:rsid w:val="003B0700"/>
    <w:rsid w:val="003B084A"/>
    <w:rsid w:val="003B0AB2"/>
    <w:rsid w:val="003B0B81"/>
    <w:rsid w:val="003B0CBD"/>
    <w:rsid w:val="003B0F74"/>
    <w:rsid w:val="003B1488"/>
    <w:rsid w:val="003B1714"/>
    <w:rsid w:val="003B1893"/>
    <w:rsid w:val="003B1ED9"/>
    <w:rsid w:val="003B2018"/>
    <w:rsid w:val="003B2A6E"/>
    <w:rsid w:val="003B2D5C"/>
    <w:rsid w:val="003B319E"/>
    <w:rsid w:val="003B3412"/>
    <w:rsid w:val="003B41D9"/>
    <w:rsid w:val="003B453D"/>
    <w:rsid w:val="003B4782"/>
    <w:rsid w:val="003B5180"/>
    <w:rsid w:val="003B5759"/>
    <w:rsid w:val="003B5D9D"/>
    <w:rsid w:val="003B5E45"/>
    <w:rsid w:val="003B5EA8"/>
    <w:rsid w:val="003B6098"/>
    <w:rsid w:val="003B6367"/>
    <w:rsid w:val="003B718F"/>
    <w:rsid w:val="003B7370"/>
    <w:rsid w:val="003B7467"/>
    <w:rsid w:val="003B77EA"/>
    <w:rsid w:val="003B7822"/>
    <w:rsid w:val="003B7835"/>
    <w:rsid w:val="003B7CE3"/>
    <w:rsid w:val="003C018C"/>
    <w:rsid w:val="003C0639"/>
    <w:rsid w:val="003C0910"/>
    <w:rsid w:val="003C0B20"/>
    <w:rsid w:val="003C0B74"/>
    <w:rsid w:val="003C124A"/>
    <w:rsid w:val="003C12EB"/>
    <w:rsid w:val="003C17A9"/>
    <w:rsid w:val="003C1ADF"/>
    <w:rsid w:val="003C1EBE"/>
    <w:rsid w:val="003C1F37"/>
    <w:rsid w:val="003C2259"/>
    <w:rsid w:val="003C247C"/>
    <w:rsid w:val="003C2571"/>
    <w:rsid w:val="003C2667"/>
    <w:rsid w:val="003C269F"/>
    <w:rsid w:val="003C29D5"/>
    <w:rsid w:val="003C2D19"/>
    <w:rsid w:val="003C2DD6"/>
    <w:rsid w:val="003C3183"/>
    <w:rsid w:val="003C3251"/>
    <w:rsid w:val="003C358F"/>
    <w:rsid w:val="003C3863"/>
    <w:rsid w:val="003C3A43"/>
    <w:rsid w:val="003C3ABB"/>
    <w:rsid w:val="003C3E24"/>
    <w:rsid w:val="003C3FA4"/>
    <w:rsid w:val="003C411F"/>
    <w:rsid w:val="003C4791"/>
    <w:rsid w:val="003C48E9"/>
    <w:rsid w:val="003C4B45"/>
    <w:rsid w:val="003C4EA1"/>
    <w:rsid w:val="003C4EC1"/>
    <w:rsid w:val="003C5267"/>
    <w:rsid w:val="003C5436"/>
    <w:rsid w:val="003C5853"/>
    <w:rsid w:val="003C596E"/>
    <w:rsid w:val="003C61B5"/>
    <w:rsid w:val="003C62AC"/>
    <w:rsid w:val="003C66E4"/>
    <w:rsid w:val="003C69E7"/>
    <w:rsid w:val="003C6CB5"/>
    <w:rsid w:val="003C6EAF"/>
    <w:rsid w:val="003C7672"/>
    <w:rsid w:val="003C7A2B"/>
    <w:rsid w:val="003C7A72"/>
    <w:rsid w:val="003C7D74"/>
    <w:rsid w:val="003C7D93"/>
    <w:rsid w:val="003C7FCE"/>
    <w:rsid w:val="003D0171"/>
    <w:rsid w:val="003D01D5"/>
    <w:rsid w:val="003D0733"/>
    <w:rsid w:val="003D10C1"/>
    <w:rsid w:val="003D12E6"/>
    <w:rsid w:val="003D1551"/>
    <w:rsid w:val="003D1969"/>
    <w:rsid w:val="003D207E"/>
    <w:rsid w:val="003D260E"/>
    <w:rsid w:val="003D2D20"/>
    <w:rsid w:val="003D30AF"/>
    <w:rsid w:val="003D30C5"/>
    <w:rsid w:val="003D356A"/>
    <w:rsid w:val="003D3593"/>
    <w:rsid w:val="003D3AFE"/>
    <w:rsid w:val="003D3E6D"/>
    <w:rsid w:val="003D40C5"/>
    <w:rsid w:val="003D41A7"/>
    <w:rsid w:val="003D4235"/>
    <w:rsid w:val="003D4833"/>
    <w:rsid w:val="003D48B6"/>
    <w:rsid w:val="003D4DA7"/>
    <w:rsid w:val="003D500E"/>
    <w:rsid w:val="003D53C1"/>
    <w:rsid w:val="003D5709"/>
    <w:rsid w:val="003D5AAE"/>
    <w:rsid w:val="003D5C5D"/>
    <w:rsid w:val="003D5DF5"/>
    <w:rsid w:val="003D6235"/>
    <w:rsid w:val="003D632E"/>
    <w:rsid w:val="003D6975"/>
    <w:rsid w:val="003D6D1C"/>
    <w:rsid w:val="003D77FB"/>
    <w:rsid w:val="003D7815"/>
    <w:rsid w:val="003D7C9C"/>
    <w:rsid w:val="003D7FB7"/>
    <w:rsid w:val="003E0139"/>
    <w:rsid w:val="003E0258"/>
    <w:rsid w:val="003E175D"/>
    <w:rsid w:val="003E1836"/>
    <w:rsid w:val="003E1AC7"/>
    <w:rsid w:val="003E1DEB"/>
    <w:rsid w:val="003E1E08"/>
    <w:rsid w:val="003E1F48"/>
    <w:rsid w:val="003E20E0"/>
    <w:rsid w:val="003E2128"/>
    <w:rsid w:val="003E221D"/>
    <w:rsid w:val="003E2639"/>
    <w:rsid w:val="003E280F"/>
    <w:rsid w:val="003E2CAB"/>
    <w:rsid w:val="003E2CCF"/>
    <w:rsid w:val="003E3ABC"/>
    <w:rsid w:val="003E3F5F"/>
    <w:rsid w:val="003E44C8"/>
    <w:rsid w:val="003E48AE"/>
    <w:rsid w:val="003E4A6D"/>
    <w:rsid w:val="003E583D"/>
    <w:rsid w:val="003E6181"/>
    <w:rsid w:val="003E6A71"/>
    <w:rsid w:val="003E6EB8"/>
    <w:rsid w:val="003E7607"/>
    <w:rsid w:val="003E76E5"/>
    <w:rsid w:val="003E7B7B"/>
    <w:rsid w:val="003E7F07"/>
    <w:rsid w:val="003F07DE"/>
    <w:rsid w:val="003F082D"/>
    <w:rsid w:val="003F0955"/>
    <w:rsid w:val="003F1097"/>
    <w:rsid w:val="003F14C8"/>
    <w:rsid w:val="003F16D3"/>
    <w:rsid w:val="003F1C16"/>
    <w:rsid w:val="003F1EC0"/>
    <w:rsid w:val="003F23A2"/>
    <w:rsid w:val="003F23E9"/>
    <w:rsid w:val="003F2433"/>
    <w:rsid w:val="003F2438"/>
    <w:rsid w:val="003F24B3"/>
    <w:rsid w:val="003F2783"/>
    <w:rsid w:val="003F2D3B"/>
    <w:rsid w:val="003F2DC5"/>
    <w:rsid w:val="003F2F6F"/>
    <w:rsid w:val="003F3813"/>
    <w:rsid w:val="003F3AA3"/>
    <w:rsid w:val="003F3D1B"/>
    <w:rsid w:val="003F43AC"/>
    <w:rsid w:val="003F44F7"/>
    <w:rsid w:val="003F4969"/>
    <w:rsid w:val="003F4C12"/>
    <w:rsid w:val="003F4DC0"/>
    <w:rsid w:val="003F4DCD"/>
    <w:rsid w:val="003F4EE0"/>
    <w:rsid w:val="003F4F4F"/>
    <w:rsid w:val="003F51BE"/>
    <w:rsid w:val="003F5338"/>
    <w:rsid w:val="003F5C97"/>
    <w:rsid w:val="003F5E1F"/>
    <w:rsid w:val="003F6BC7"/>
    <w:rsid w:val="003F71E2"/>
    <w:rsid w:val="003F75C5"/>
    <w:rsid w:val="003F775E"/>
    <w:rsid w:val="003F78DD"/>
    <w:rsid w:val="003F7EFE"/>
    <w:rsid w:val="003F7F54"/>
    <w:rsid w:val="004000A8"/>
    <w:rsid w:val="00400959"/>
    <w:rsid w:val="00400BA1"/>
    <w:rsid w:val="00400C19"/>
    <w:rsid w:val="00400D01"/>
    <w:rsid w:val="00400D20"/>
    <w:rsid w:val="00400E95"/>
    <w:rsid w:val="00401219"/>
    <w:rsid w:val="00401686"/>
    <w:rsid w:val="00401882"/>
    <w:rsid w:val="00401D02"/>
    <w:rsid w:val="00401E3C"/>
    <w:rsid w:val="00401FD1"/>
    <w:rsid w:val="00402852"/>
    <w:rsid w:val="004028C3"/>
    <w:rsid w:val="0040297B"/>
    <w:rsid w:val="0040298F"/>
    <w:rsid w:val="00402B55"/>
    <w:rsid w:val="00403183"/>
    <w:rsid w:val="0040320D"/>
    <w:rsid w:val="00403550"/>
    <w:rsid w:val="00403D95"/>
    <w:rsid w:val="00404335"/>
    <w:rsid w:val="00404400"/>
    <w:rsid w:val="00404731"/>
    <w:rsid w:val="0040497A"/>
    <w:rsid w:val="00404B78"/>
    <w:rsid w:val="00404D9C"/>
    <w:rsid w:val="00404E3A"/>
    <w:rsid w:val="00404F56"/>
    <w:rsid w:val="00404F6F"/>
    <w:rsid w:val="004054E3"/>
    <w:rsid w:val="00405C4F"/>
    <w:rsid w:val="00405E5B"/>
    <w:rsid w:val="00406286"/>
    <w:rsid w:val="00406409"/>
    <w:rsid w:val="00406425"/>
    <w:rsid w:val="004064E1"/>
    <w:rsid w:val="004069CF"/>
    <w:rsid w:val="00406C31"/>
    <w:rsid w:val="00406EC7"/>
    <w:rsid w:val="004070DC"/>
    <w:rsid w:val="00407204"/>
    <w:rsid w:val="00407397"/>
    <w:rsid w:val="004075C5"/>
    <w:rsid w:val="0040792E"/>
    <w:rsid w:val="0041056D"/>
    <w:rsid w:val="00410B16"/>
    <w:rsid w:val="0041101D"/>
    <w:rsid w:val="004111B8"/>
    <w:rsid w:val="004116B8"/>
    <w:rsid w:val="004119CD"/>
    <w:rsid w:val="00411CE8"/>
    <w:rsid w:val="00411FEC"/>
    <w:rsid w:val="004126F2"/>
    <w:rsid w:val="0041278D"/>
    <w:rsid w:val="004127A9"/>
    <w:rsid w:val="004127D2"/>
    <w:rsid w:val="00412E87"/>
    <w:rsid w:val="00412FDC"/>
    <w:rsid w:val="004132B7"/>
    <w:rsid w:val="00413323"/>
    <w:rsid w:val="00413A79"/>
    <w:rsid w:val="00413F1A"/>
    <w:rsid w:val="00413FD8"/>
    <w:rsid w:val="00414052"/>
    <w:rsid w:val="004141C2"/>
    <w:rsid w:val="00414619"/>
    <w:rsid w:val="0041499C"/>
    <w:rsid w:val="00414BC4"/>
    <w:rsid w:val="0041502D"/>
    <w:rsid w:val="00415968"/>
    <w:rsid w:val="00415F83"/>
    <w:rsid w:val="004164C9"/>
    <w:rsid w:val="004167BA"/>
    <w:rsid w:val="00416976"/>
    <w:rsid w:val="00416C22"/>
    <w:rsid w:val="00416C75"/>
    <w:rsid w:val="00416D53"/>
    <w:rsid w:val="0041737E"/>
    <w:rsid w:val="0041767C"/>
    <w:rsid w:val="0041768C"/>
    <w:rsid w:val="00417802"/>
    <w:rsid w:val="0041785C"/>
    <w:rsid w:val="004179F5"/>
    <w:rsid w:val="00417B4A"/>
    <w:rsid w:val="004205AB"/>
    <w:rsid w:val="0042096C"/>
    <w:rsid w:val="00420D29"/>
    <w:rsid w:val="00420DDA"/>
    <w:rsid w:val="00421419"/>
    <w:rsid w:val="00421447"/>
    <w:rsid w:val="004214D9"/>
    <w:rsid w:val="00421565"/>
    <w:rsid w:val="00421C1E"/>
    <w:rsid w:val="00421D38"/>
    <w:rsid w:val="00422150"/>
    <w:rsid w:val="00422730"/>
    <w:rsid w:val="004227AF"/>
    <w:rsid w:val="00422992"/>
    <w:rsid w:val="00422C20"/>
    <w:rsid w:val="00422D43"/>
    <w:rsid w:val="00422F05"/>
    <w:rsid w:val="004232DE"/>
    <w:rsid w:val="00423909"/>
    <w:rsid w:val="00423A3D"/>
    <w:rsid w:val="00423AA1"/>
    <w:rsid w:val="00423C98"/>
    <w:rsid w:val="00424448"/>
    <w:rsid w:val="0042454E"/>
    <w:rsid w:val="0042472F"/>
    <w:rsid w:val="00424B86"/>
    <w:rsid w:val="00424BD9"/>
    <w:rsid w:val="0042505C"/>
    <w:rsid w:val="004250D4"/>
    <w:rsid w:val="004253C1"/>
    <w:rsid w:val="0042576E"/>
    <w:rsid w:val="00425B4D"/>
    <w:rsid w:val="00425CFC"/>
    <w:rsid w:val="00425EEE"/>
    <w:rsid w:val="0042613E"/>
    <w:rsid w:val="004261E0"/>
    <w:rsid w:val="00426207"/>
    <w:rsid w:val="004262DB"/>
    <w:rsid w:val="004265D2"/>
    <w:rsid w:val="0042690E"/>
    <w:rsid w:val="00426E2B"/>
    <w:rsid w:val="004278E2"/>
    <w:rsid w:val="00427BCE"/>
    <w:rsid w:val="00427C6C"/>
    <w:rsid w:val="00430246"/>
    <w:rsid w:val="00430662"/>
    <w:rsid w:val="00430797"/>
    <w:rsid w:val="00430835"/>
    <w:rsid w:val="00430897"/>
    <w:rsid w:val="00430C93"/>
    <w:rsid w:val="00430D7B"/>
    <w:rsid w:val="00430EB8"/>
    <w:rsid w:val="00431503"/>
    <w:rsid w:val="00431769"/>
    <w:rsid w:val="00431CA7"/>
    <w:rsid w:val="00432329"/>
    <w:rsid w:val="00432515"/>
    <w:rsid w:val="0043258E"/>
    <w:rsid w:val="00432F02"/>
    <w:rsid w:val="0043361C"/>
    <w:rsid w:val="00433760"/>
    <w:rsid w:val="00433ABF"/>
    <w:rsid w:val="00433B4C"/>
    <w:rsid w:val="004341A8"/>
    <w:rsid w:val="00434211"/>
    <w:rsid w:val="00434ABC"/>
    <w:rsid w:val="00434B45"/>
    <w:rsid w:val="004352E3"/>
    <w:rsid w:val="00435606"/>
    <w:rsid w:val="00435B94"/>
    <w:rsid w:val="00436254"/>
    <w:rsid w:val="00436A84"/>
    <w:rsid w:val="00436B40"/>
    <w:rsid w:val="00436BC5"/>
    <w:rsid w:val="00437087"/>
    <w:rsid w:val="004370C7"/>
    <w:rsid w:val="00437CCB"/>
    <w:rsid w:val="004402CE"/>
    <w:rsid w:val="00440AB4"/>
    <w:rsid w:val="00440E37"/>
    <w:rsid w:val="0044159A"/>
    <w:rsid w:val="00441DA9"/>
    <w:rsid w:val="00441FE1"/>
    <w:rsid w:val="0044261A"/>
    <w:rsid w:val="00442701"/>
    <w:rsid w:val="004428EC"/>
    <w:rsid w:val="00442959"/>
    <w:rsid w:val="00442CF0"/>
    <w:rsid w:val="00442D12"/>
    <w:rsid w:val="0044324F"/>
    <w:rsid w:val="004434D0"/>
    <w:rsid w:val="00443898"/>
    <w:rsid w:val="004439D0"/>
    <w:rsid w:val="00443D50"/>
    <w:rsid w:val="00443E22"/>
    <w:rsid w:val="00444513"/>
    <w:rsid w:val="00444FFF"/>
    <w:rsid w:val="00445A61"/>
    <w:rsid w:val="00445B67"/>
    <w:rsid w:val="004469BA"/>
    <w:rsid w:val="00446C69"/>
    <w:rsid w:val="00446DE8"/>
    <w:rsid w:val="004470DA"/>
    <w:rsid w:val="00447453"/>
    <w:rsid w:val="00447631"/>
    <w:rsid w:val="0044785E"/>
    <w:rsid w:val="00447D3B"/>
    <w:rsid w:val="00450771"/>
    <w:rsid w:val="004507DA"/>
    <w:rsid w:val="004508AC"/>
    <w:rsid w:val="00450DB9"/>
    <w:rsid w:val="00450FEC"/>
    <w:rsid w:val="004513C6"/>
    <w:rsid w:val="00451A07"/>
    <w:rsid w:val="0045227A"/>
    <w:rsid w:val="0045289C"/>
    <w:rsid w:val="00452C3D"/>
    <w:rsid w:val="004530A0"/>
    <w:rsid w:val="00453192"/>
    <w:rsid w:val="004536F4"/>
    <w:rsid w:val="00453748"/>
    <w:rsid w:val="004539B9"/>
    <w:rsid w:val="00453E1D"/>
    <w:rsid w:val="004541F4"/>
    <w:rsid w:val="00454523"/>
    <w:rsid w:val="004546F3"/>
    <w:rsid w:val="0045490F"/>
    <w:rsid w:val="00454961"/>
    <w:rsid w:val="004554C5"/>
    <w:rsid w:val="004554FF"/>
    <w:rsid w:val="004556AF"/>
    <w:rsid w:val="00455A47"/>
    <w:rsid w:val="00455AF8"/>
    <w:rsid w:val="00455B7F"/>
    <w:rsid w:val="00455C4B"/>
    <w:rsid w:val="004567D6"/>
    <w:rsid w:val="00456C77"/>
    <w:rsid w:val="00456ED3"/>
    <w:rsid w:val="00457726"/>
    <w:rsid w:val="00457BB6"/>
    <w:rsid w:val="004601CC"/>
    <w:rsid w:val="00460467"/>
    <w:rsid w:val="00460CD2"/>
    <w:rsid w:val="00461225"/>
    <w:rsid w:val="00461382"/>
    <w:rsid w:val="0046184F"/>
    <w:rsid w:val="00462105"/>
    <w:rsid w:val="0046232A"/>
    <w:rsid w:val="004625C9"/>
    <w:rsid w:val="004628FF"/>
    <w:rsid w:val="00462D55"/>
    <w:rsid w:val="00462D83"/>
    <w:rsid w:val="00462E58"/>
    <w:rsid w:val="00463535"/>
    <w:rsid w:val="00463793"/>
    <w:rsid w:val="00463B65"/>
    <w:rsid w:val="00463C69"/>
    <w:rsid w:val="00463ED6"/>
    <w:rsid w:val="0046408E"/>
    <w:rsid w:val="004640A4"/>
    <w:rsid w:val="00464497"/>
    <w:rsid w:val="00464735"/>
    <w:rsid w:val="004648D7"/>
    <w:rsid w:val="00464E2E"/>
    <w:rsid w:val="00464F1A"/>
    <w:rsid w:val="004651A3"/>
    <w:rsid w:val="004653CB"/>
    <w:rsid w:val="00465709"/>
    <w:rsid w:val="00465B89"/>
    <w:rsid w:val="00465C67"/>
    <w:rsid w:val="0046661C"/>
    <w:rsid w:val="00466B69"/>
    <w:rsid w:val="00466CCD"/>
    <w:rsid w:val="00466EF8"/>
    <w:rsid w:val="00467221"/>
    <w:rsid w:val="00467532"/>
    <w:rsid w:val="0046786E"/>
    <w:rsid w:val="00467AB7"/>
    <w:rsid w:val="00467F34"/>
    <w:rsid w:val="00467FC4"/>
    <w:rsid w:val="00470090"/>
    <w:rsid w:val="00470214"/>
    <w:rsid w:val="004704C8"/>
    <w:rsid w:val="004709EF"/>
    <w:rsid w:val="00470C28"/>
    <w:rsid w:val="00470F78"/>
    <w:rsid w:val="0047119D"/>
    <w:rsid w:val="00471875"/>
    <w:rsid w:val="00471F6A"/>
    <w:rsid w:val="004723B9"/>
    <w:rsid w:val="00472531"/>
    <w:rsid w:val="00472602"/>
    <w:rsid w:val="00472CD9"/>
    <w:rsid w:val="00472DF7"/>
    <w:rsid w:val="00472E0C"/>
    <w:rsid w:val="00472F46"/>
    <w:rsid w:val="00473760"/>
    <w:rsid w:val="00473947"/>
    <w:rsid w:val="00473F43"/>
    <w:rsid w:val="0047410F"/>
    <w:rsid w:val="00474272"/>
    <w:rsid w:val="00474325"/>
    <w:rsid w:val="0047433C"/>
    <w:rsid w:val="00474433"/>
    <w:rsid w:val="0047455F"/>
    <w:rsid w:val="00474819"/>
    <w:rsid w:val="00474B48"/>
    <w:rsid w:val="00475008"/>
    <w:rsid w:val="00475974"/>
    <w:rsid w:val="004760A4"/>
    <w:rsid w:val="0047613B"/>
    <w:rsid w:val="004761DA"/>
    <w:rsid w:val="004761F2"/>
    <w:rsid w:val="004765E7"/>
    <w:rsid w:val="00477661"/>
    <w:rsid w:val="00477876"/>
    <w:rsid w:val="00477A56"/>
    <w:rsid w:val="00477D5E"/>
    <w:rsid w:val="00477DB8"/>
    <w:rsid w:val="00477E82"/>
    <w:rsid w:val="00480F04"/>
    <w:rsid w:val="00481B3F"/>
    <w:rsid w:val="00481B7C"/>
    <w:rsid w:val="00481F03"/>
    <w:rsid w:val="004829B8"/>
    <w:rsid w:val="00482ED8"/>
    <w:rsid w:val="00483363"/>
    <w:rsid w:val="00483777"/>
    <w:rsid w:val="00483A92"/>
    <w:rsid w:val="00483BFB"/>
    <w:rsid w:val="00483C36"/>
    <w:rsid w:val="00483F02"/>
    <w:rsid w:val="0048481E"/>
    <w:rsid w:val="00484A6C"/>
    <w:rsid w:val="00484C56"/>
    <w:rsid w:val="00484D5F"/>
    <w:rsid w:val="0048501F"/>
    <w:rsid w:val="004851B1"/>
    <w:rsid w:val="00485A33"/>
    <w:rsid w:val="00486BA0"/>
    <w:rsid w:val="00486E79"/>
    <w:rsid w:val="004873D9"/>
    <w:rsid w:val="004878E3"/>
    <w:rsid w:val="00487C25"/>
    <w:rsid w:val="00487F4E"/>
    <w:rsid w:val="00487FAD"/>
    <w:rsid w:val="00490126"/>
    <w:rsid w:val="0049036C"/>
    <w:rsid w:val="0049049E"/>
    <w:rsid w:val="00490696"/>
    <w:rsid w:val="00490891"/>
    <w:rsid w:val="00490EFF"/>
    <w:rsid w:val="00491205"/>
    <w:rsid w:val="00491285"/>
    <w:rsid w:val="004915A1"/>
    <w:rsid w:val="0049163C"/>
    <w:rsid w:val="004917C0"/>
    <w:rsid w:val="00491FAD"/>
    <w:rsid w:val="00492198"/>
    <w:rsid w:val="0049234F"/>
    <w:rsid w:val="00492403"/>
    <w:rsid w:val="004927B2"/>
    <w:rsid w:val="00492AF4"/>
    <w:rsid w:val="00493796"/>
    <w:rsid w:val="00493DFB"/>
    <w:rsid w:val="0049465B"/>
    <w:rsid w:val="0049467D"/>
    <w:rsid w:val="0049488B"/>
    <w:rsid w:val="00494A5F"/>
    <w:rsid w:val="00494F06"/>
    <w:rsid w:val="00495823"/>
    <w:rsid w:val="0049628F"/>
    <w:rsid w:val="004962C8"/>
    <w:rsid w:val="0049661A"/>
    <w:rsid w:val="0049677E"/>
    <w:rsid w:val="0049681D"/>
    <w:rsid w:val="00496ACE"/>
    <w:rsid w:val="00496B0A"/>
    <w:rsid w:val="00496EF4"/>
    <w:rsid w:val="00496FF8"/>
    <w:rsid w:val="00497260"/>
    <w:rsid w:val="00497569"/>
    <w:rsid w:val="00497810"/>
    <w:rsid w:val="004A0223"/>
    <w:rsid w:val="004A02DC"/>
    <w:rsid w:val="004A04F6"/>
    <w:rsid w:val="004A0507"/>
    <w:rsid w:val="004A0765"/>
    <w:rsid w:val="004A0768"/>
    <w:rsid w:val="004A08B2"/>
    <w:rsid w:val="004A08D4"/>
    <w:rsid w:val="004A0E2E"/>
    <w:rsid w:val="004A0F50"/>
    <w:rsid w:val="004A0FFB"/>
    <w:rsid w:val="004A101E"/>
    <w:rsid w:val="004A11EC"/>
    <w:rsid w:val="004A11FC"/>
    <w:rsid w:val="004A137E"/>
    <w:rsid w:val="004A13BC"/>
    <w:rsid w:val="004A1865"/>
    <w:rsid w:val="004A18A5"/>
    <w:rsid w:val="004A18BD"/>
    <w:rsid w:val="004A1AE3"/>
    <w:rsid w:val="004A1F10"/>
    <w:rsid w:val="004A1F9D"/>
    <w:rsid w:val="004A1FD1"/>
    <w:rsid w:val="004A20CF"/>
    <w:rsid w:val="004A212C"/>
    <w:rsid w:val="004A2171"/>
    <w:rsid w:val="004A26FF"/>
    <w:rsid w:val="004A2714"/>
    <w:rsid w:val="004A29DB"/>
    <w:rsid w:val="004A2BD9"/>
    <w:rsid w:val="004A32E8"/>
    <w:rsid w:val="004A38F8"/>
    <w:rsid w:val="004A3B93"/>
    <w:rsid w:val="004A3EFD"/>
    <w:rsid w:val="004A4084"/>
    <w:rsid w:val="004A4201"/>
    <w:rsid w:val="004A42CC"/>
    <w:rsid w:val="004A42F6"/>
    <w:rsid w:val="004A443B"/>
    <w:rsid w:val="004A4475"/>
    <w:rsid w:val="004A539B"/>
    <w:rsid w:val="004A5409"/>
    <w:rsid w:val="004A55F0"/>
    <w:rsid w:val="004A5AB1"/>
    <w:rsid w:val="004A5CAA"/>
    <w:rsid w:val="004A5DC2"/>
    <w:rsid w:val="004A656B"/>
    <w:rsid w:val="004A6C04"/>
    <w:rsid w:val="004A6D55"/>
    <w:rsid w:val="004A6E33"/>
    <w:rsid w:val="004A76DE"/>
    <w:rsid w:val="004A7A5F"/>
    <w:rsid w:val="004A7AEF"/>
    <w:rsid w:val="004B006E"/>
    <w:rsid w:val="004B0803"/>
    <w:rsid w:val="004B0853"/>
    <w:rsid w:val="004B0926"/>
    <w:rsid w:val="004B0953"/>
    <w:rsid w:val="004B0A19"/>
    <w:rsid w:val="004B0BD6"/>
    <w:rsid w:val="004B12B8"/>
    <w:rsid w:val="004B1737"/>
    <w:rsid w:val="004B1844"/>
    <w:rsid w:val="004B1B81"/>
    <w:rsid w:val="004B1F0E"/>
    <w:rsid w:val="004B1FAB"/>
    <w:rsid w:val="004B2277"/>
    <w:rsid w:val="004B2BF1"/>
    <w:rsid w:val="004B2E9A"/>
    <w:rsid w:val="004B3380"/>
    <w:rsid w:val="004B3431"/>
    <w:rsid w:val="004B3464"/>
    <w:rsid w:val="004B3935"/>
    <w:rsid w:val="004B3DFF"/>
    <w:rsid w:val="004B448C"/>
    <w:rsid w:val="004B45BF"/>
    <w:rsid w:val="004B46C8"/>
    <w:rsid w:val="004B49C2"/>
    <w:rsid w:val="004B4C9E"/>
    <w:rsid w:val="004B50DA"/>
    <w:rsid w:val="004B52D2"/>
    <w:rsid w:val="004B5D4D"/>
    <w:rsid w:val="004B60E1"/>
    <w:rsid w:val="004B6220"/>
    <w:rsid w:val="004B66AD"/>
    <w:rsid w:val="004B6EB9"/>
    <w:rsid w:val="004B6EE4"/>
    <w:rsid w:val="004B6F7D"/>
    <w:rsid w:val="004B7751"/>
    <w:rsid w:val="004B7BD3"/>
    <w:rsid w:val="004B7D32"/>
    <w:rsid w:val="004C0046"/>
    <w:rsid w:val="004C027C"/>
    <w:rsid w:val="004C0420"/>
    <w:rsid w:val="004C04ED"/>
    <w:rsid w:val="004C056B"/>
    <w:rsid w:val="004C09FF"/>
    <w:rsid w:val="004C0DC1"/>
    <w:rsid w:val="004C121E"/>
    <w:rsid w:val="004C12A7"/>
    <w:rsid w:val="004C12D0"/>
    <w:rsid w:val="004C147B"/>
    <w:rsid w:val="004C2851"/>
    <w:rsid w:val="004C2D52"/>
    <w:rsid w:val="004C321A"/>
    <w:rsid w:val="004C33B4"/>
    <w:rsid w:val="004C3C01"/>
    <w:rsid w:val="004C3EA7"/>
    <w:rsid w:val="004C4193"/>
    <w:rsid w:val="004C4603"/>
    <w:rsid w:val="004C47FE"/>
    <w:rsid w:val="004C4965"/>
    <w:rsid w:val="004C4AB5"/>
    <w:rsid w:val="004C4E28"/>
    <w:rsid w:val="004C6060"/>
    <w:rsid w:val="004C61F7"/>
    <w:rsid w:val="004C64AB"/>
    <w:rsid w:val="004C673A"/>
    <w:rsid w:val="004C6925"/>
    <w:rsid w:val="004C6E43"/>
    <w:rsid w:val="004C6FAC"/>
    <w:rsid w:val="004C731A"/>
    <w:rsid w:val="004C7405"/>
    <w:rsid w:val="004D000C"/>
    <w:rsid w:val="004D0089"/>
    <w:rsid w:val="004D01DD"/>
    <w:rsid w:val="004D0C2D"/>
    <w:rsid w:val="004D125D"/>
    <w:rsid w:val="004D1722"/>
    <w:rsid w:val="004D1782"/>
    <w:rsid w:val="004D1889"/>
    <w:rsid w:val="004D1902"/>
    <w:rsid w:val="004D1F7B"/>
    <w:rsid w:val="004D2DA0"/>
    <w:rsid w:val="004D313C"/>
    <w:rsid w:val="004D31CA"/>
    <w:rsid w:val="004D3475"/>
    <w:rsid w:val="004D35B8"/>
    <w:rsid w:val="004D3852"/>
    <w:rsid w:val="004D3ACC"/>
    <w:rsid w:val="004D3D37"/>
    <w:rsid w:val="004D4542"/>
    <w:rsid w:val="004D4B72"/>
    <w:rsid w:val="004D4E9D"/>
    <w:rsid w:val="004D5980"/>
    <w:rsid w:val="004D5AF6"/>
    <w:rsid w:val="004D5CC3"/>
    <w:rsid w:val="004D5D3D"/>
    <w:rsid w:val="004D5EE7"/>
    <w:rsid w:val="004D6850"/>
    <w:rsid w:val="004D6960"/>
    <w:rsid w:val="004D6B1A"/>
    <w:rsid w:val="004D6C1B"/>
    <w:rsid w:val="004D7338"/>
    <w:rsid w:val="004D78FE"/>
    <w:rsid w:val="004D7C9D"/>
    <w:rsid w:val="004E01F8"/>
    <w:rsid w:val="004E0555"/>
    <w:rsid w:val="004E08E0"/>
    <w:rsid w:val="004E0A4E"/>
    <w:rsid w:val="004E0B26"/>
    <w:rsid w:val="004E0F47"/>
    <w:rsid w:val="004E13ED"/>
    <w:rsid w:val="004E18BD"/>
    <w:rsid w:val="004E1A06"/>
    <w:rsid w:val="004E1B00"/>
    <w:rsid w:val="004E23AB"/>
    <w:rsid w:val="004E2564"/>
    <w:rsid w:val="004E25FE"/>
    <w:rsid w:val="004E299F"/>
    <w:rsid w:val="004E2A4D"/>
    <w:rsid w:val="004E2DBC"/>
    <w:rsid w:val="004E2E7F"/>
    <w:rsid w:val="004E3025"/>
    <w:rsid w:val="004E38EF"/>
    <w:rsid w:val="004E393F"/>
    <w:rsid w:val="004E3997"/>
    <w:rsid w:val="004E3B28"/>
    <w:rsid w:val="004E42B7"/>
    <w:rsid w:val="004E456F"/>
    <w:rsid w:val="004E49D4"/>
    <w:rsid w:val="004E4E9F"/>
    <w:rsid w:val="004E520B"/>
    <w:rsid w:val="004E55E2"/>
    <w:rsid w:val="004E5871"/>
    <w:rsid w:val="004E6646"/>
    <w:rsid w:val="004E6B10"/>
    <w:rsid w:val="004E6E46"/>
    <w:rsid w:val="004E7420"/>
    <w:rsid w:val="004E7598"/>
    <w:rsid w:val="004E7842"/>
    <w:rsid w:val="004E7D90"/>
    <w:rsid w:val="004E7E09"/>
    <w:rsid w:val="004E7F3F"/>
    <w:rsid w:val="004F0602"/>
    <w:rsid w:val="004F0BF1"/>
    <w:rsid w:val="004F0D22"/>
    <w:rsid w:val="004F0D5F"/>
    <w:rsid w:val="004F1125"/>
    <w:rsid w:val="004F14F0"/>
    <w:rsid w:val="004F170B"/>
    <w:rsid w:val="004F1A21"/>
    <w:rsid w:val="004F1E83"/>
    <w:rsid w:val="004F1FB2"/>
    <w:rsid w:val="004F2104"/>
    <w:rsid w:val="004F24C2"/>
    <w:rsid w:val="004F28FE"/>
    <w:rsid w:val="004F2A78"/>
    <w:rsid w:val="004F2DE6"/>
    <w:rsid w:val="004F2EBC"/>
    <w:rsid w:val="004F338E"/>
    <w:rsid w:val="004F3455"/>
    <w:rsid w:val="004F3478"/>
    <w:rsid w:val="004F3DA8"/>
    <w:rsid w:val="004F3DCD"/>
    <w:rsid w:val="004F3E6C"/>
    <w:rsid w:val="004F4111"/>
    <w:rsid w:val="004F4128"/>
    <w:rsid w:val="004F524E"/>
    <w:rsid w:val="004F5430"/>
    <w:rsid w:val="004F54E4"/>
    <w:rsid w:val="004F57D0"/>
    <w:rsid w:val="004F5B65"/>
    <w:rsid w:val="004F5CDE"/>
    <w:rsid w:val="004F6184"/>
    <w:rsid w:val="004F651F"/>
    <w:rsid w:val="004F65CF"/>
    <w:rsid w:val="004F679E"/>
    <w:rsid w:val="004F67BA"/>
    <w:rsid w:val="004F6DCF"/>
    <w:rsid w:val="004F6EBB"/>
    <w:rsid w:val="004F75F3"/>
    <w:rsid w:val="004F7F3E"/>
    <w:rsid w:val="00500290"/>
    <w:rsid w:val="0050085E"/>
    <w:rsid w:val="005009F2"/>
    <w:rsid w:val="00500C3A"/>
    <w:rsid w:val="00501046"/>
    <w:rsid w:val="00501053"/>
    <w:rsid w:val="005014C7"/>
    <w:rsid w:val="005019B6"/>
    <w:rsid w:val="00501B9E"/>
    <w:rsid w:val="005021CE"/>
    <w:rsid w:val="005023FE"/>
    <w:rsid w:val="00502D38"/>
    <w:rsid w:val="00502DC2"/>
    <w:rsid w:val="00502E2D"/>
    <w:rsid w:val="00502E93"/>
    <w:rsid w:val="00503993"/>
    <w:rsid w:val="005039FC"/>
    <w:rsid w:val="00503DDF"/>
    <w:rsid w:val="0050418B"/>
    <w:rsid w:val="005050EA"/>
    <w:rsid w:val="0050521A"/>
    <w:rsid w:val="00505238"/>
    <w:rsid w:val="0050546C"/>
    <w:rsid w:val="00505479"/>
    <w:rsid w:val="00505902"/>
    <w:rsid w:val="00505ADD"/>
    <w:rsid w:val="00505B2B"/>
    <w:rsid w:val="005062EF"/>
    <w:rsid w:val="0050687F"/>
    <w:rsid w:val="005069DF"/>
    <w:rsid w:val="00506DA1"/>
    <w:rsid w:val="00506DA8"/>
    <w:rsid w:val="00506FB5"/>
    <w:rsid w:val="005071DF"/>
    <w:rsid w:val="00507269"/>
    <w:rsid w:val="005072BF"/>
    <w:rsid w:val="005072F7"/>
    <w:rsid w:val="005074AE"/>
    <w:rsid w:val="00507589"/>
    <w:rsid w:val="0050765C"/>
    <w:rsid w:val="00507D2A"/>
    <w:rsid w:val="00507D6D"/>
    <w:rsid w:val="0051013A"/>
    <w:rsid w:val="005101D5"/>
    <w:rsid w:val="005104B5"/>
    <w:rsid w:val="00510827"/>
    <w:rsid w:val="00510C2A"/>
    <w:rsid w:val="00510EF6"/>
    <w:rsid w:val="00511077"/>
    <w:rsid w:val="00511F64"/>
    <w:rsid w:val="005126AB"/>
    <w:rsid w:val="0051300E"/>
    <w:rsid w:val="00513566"/>
    <w:rsid w:val="005137A3"/>
    <w:rsid w:val="00513A03"/>
    <w:rsid w:val="00513D17"/>
    <w:rsid w:val="0051431F"/>
    <w:rsid w:val="00514770"/>
    <w:rsid w:val="00514C1B"/>
    <w:rsid w:val="00515236"/>
    <w:rsid w:val="00515521"/>
    <w:rsid w:val="00515570"/>
    <w:rsid w:val="005156AC"/>
    <w:rsid w:val="005158B4"/>
    <w:rsid w:val="00515A62"/>
    <w:rsid w:val="0051634B"/>
    <w:rsid w:val="0051663D"/>
    <w:rsid w:val="0051666E"/>
    <w:rsid w:val="005167FA"/>
    <w:rsid w:val="00516C61"/>
    <w:rsid w:val="00516D57"/>
    <w:rsid w:val="00516E53"/>
    <w:rsid w:val="00516FA7"/>
    <w:rsid w:val="0051775B"/>
    <w:rsid w:val="00517B47"/>
    <w:rsid w:val="00517BA2"/>
    <w:rsid w:val="00520273"/>
    <w:rsid w:val="00520329"/>
    <w:rsid w:val="00520721"/>
    <w:rsid w:val="00520BEF"/>
    <w:rsid w:val="005213B5"/>
    <w:rsid w:val="00521403"/>
    <w:rsid w:val="00521A4D"/>
    <w:rsid w:val="00521D18"/>
    <w:rsid w:val="00521FDC"/>
    <w:rsid w:val="0052218C"/>
    <w:rsid w:val="00522211"/>
    <w:rsid w:val="0052258D"/>
    <w:rsid w:val="005227B9"/>
    <w:rsid w:val="00522D8F"/>
    <w:rsid w:val="00523037"/>
    <w:rsid w:val="00523173"/>
    <w:rsid w:val="005231DC"/>
    <w:rsid w:val="00523324"/>
    <w:rsid w:val="0052335B"/>
    <w:rsid w:val="005239AC"/>
    <w:rsid w:val="00523D6A"/>
    <w:rsid w:val="00523DFB"/>
    <w:rsid w:val="00523F90"/>
    <w:rsid w:val="0052460E"/>
    <w:rsid w:val="0052488E"/>
    <w:rsid w:val="00524909"/>
    <w:rsid w:val="00524931"/>
    <w:rsid w:val="00524FF0"/>
    <w:rsid w:val="00525693"/>
    <w:rsid w:val="005258E4"/>
    <w:rsid w:val="00525EA3"/>
    <w:rsid w:val="00525F4C"/>
    <w:rsid w:val="00526159"/>
    <w:rsid w:val="0052615E"/>
    <w:rsid w:val="005261C2"/>
    <w:rsid w:val="0052670F"/>
    <w:rsid w:val="005269EF"/>
    <w:rsid w:val="00526BDD"/>
    <w:rsid w:val="00526D7E"/>
    <w:rsid w:val="0052748B"/>
    <w:rsid w:val="005275ED"/>
    <w:rsid w:val="00527C27"/>
    <w:rsid w:val="00527E13"/>
    <w:rsid w:val="00527EB1"/>
    <w:rsid w:val="00530151"/>
    <w:rsid w:val="00530479"/>
    <w:rsid w:val="00530722"/>
    <w:rsid w:val="005307B9"/>
    <w:rsid w:val="00530917"/>
    <w:rsid w:val="005310E1"/>
    <w:rsid w:val="00531C20"/>
    <w:rsid w:val="0053275D"/>
    <w:rsid w:val="005328DB"/>
    <w:rsid w:val="00532A1F"/>
    <w:rsid w:val="005330DC"/>
    <w:rsid w:val="00533713"/>
    <w:rsid w:val="00534272"/>
    <w:rsid w:val="005347EB"/>
    <w:rsid w:val="00534DA7"/>
    <w:rsid w:val="00535038"/>
    <w:rsid w:val="0053582A"/>
    <w:rsid w:val="005358FA"/>
    <w:rsid w:val="00535A8C"/>
    <w:rsid w:val="00535AF3"/>
    <w:rsid w:val="005363EC"/>
    <w:rsid w:val="005369BB"/>
    <w:rsid w:val="005371E0"/>
    <w:rsid w:val="005373A1"/>
    <w:rsid w:val="0053756F"/>
    <w:rsid w:val="00537B28"/>
    <w:rsid w:val="00537EFE"/>
    <w:rsid w:val="00537FCC"/>
    <w:rsid w:val="005401A8"/>
    <w:rsid w:val="005405B0"/>
    <w:rsid w:val="00540730"/>
    <w:rsid w:val="00540760"/>
    <w:rsid w:val="00540832"/>
    <w:rsid w:val="00540E0A"/>
    <w:rsid w:val="00541194"/>
    <w:rsid w:val="005414C2"/>
    <w:rsid w:val="00541580"/>
    <w:rsid w:val="00541611"/>
    <w:rsid w:val="0054170F"/>
    <w:rsid w:val="00541B60"/>
    <w:rsid w:val="00541C3D"/>
    <w:rsid w:val="00541DC4"/>
    <w:rsid w:val="00542135"/>
    <w:rsid w:val="0054254C"/>
    <w:rsid w:val="00542843"/>
    <w:rsid w:val="00543012"/>
    <w:rsid w:val="00543026"/>
    <w:rsid w:val="00543648"/>
    <w:rsid w:val="005437F7"/>
    <w:rsid w:val="00543B50"/>
    <w:rsid w:val="00543C85"/>
    <w:rsid w:val="005441AE"/>
    <w:rsid w:val="00544642"/>
    <w:rsid w:val="00544C34"/>
    <w:rsid w:val="00544CAB"/>
    <w:rsid w:val="00544D6E"/>
    <w:rsid w:val="0054512D"/>
    <w:rsid w:val="0054533C"/>
    <w:rsid w:val="00545701"/>
    <w:rsid w:val="00546076"/>
    <w:rsid w:val="00546B08"/>
    <w:rsid w:val="00546F45"/>
    <w:rsid w:val="0054735C"/>
    <w:rsid w:val="00547C4B"/>
    <w:rsid w:val="00547D80"/>
    <w:rsid w:val="00547FB7"/>
    <w:rsid w:val="005507B6"/>
    <w:rsid w:val="00550CEB"/>
    <w:rsid w:val="00550F53"/>
    <w:rsid w:val="005514D2"/>
    <w:rsid w:val="005514F1"/>
    <w:rsid w:val="00551742"/>
    <w:rsid w:val="00551779"/>
    <w:rsid w:val="00551A18"/>
    <w:rsid w:val="00551B22"/>
    <w:rsid w:val="00551B64"/>
    <w:rsid w:val="00551C70"/>
    <w:rsid w:val="00551F74"/>
    <w:rsid w:val="00552C15"/>
    <w:rsid w:val="005532D2"/>
    <w:rsid w:val="0055350A"/>
    <w:rsid w:val="005535BD"/>
    <w:rsid w:val="00553AC4"/>
    <w:rsid w:val="00553B2C"/>
    <w:rsid w:val="00553C18"/>
    <w:rsid w:val="00554046"/>
    <w:rsid w:val="00554AFF"/>
    <w:rsid w:val="00554E9E"/>
    <w:rsid w:val="00554FD0"/>
    <w:rsid w:val="00555234"/>
    <w:rsid w:val="0055531B"/>
    <w:rsid w:val="0055553D"/>
    <w:rsid w:val="0055590F"/>
    <w:rsid w:val="00555982"/>
    <w:rsid w:val="00555B10"/>
    <w:rsid w:val="005560EA"/>
    <w:rsid w:val="005561A2"/>
    <w:rsid w:val="005564AD"/>
    <w:rsid w:val="00556893"/>
    <w:rsid w:val="00557B2C"/>
    <w:rsid w:val="005602E9"/>
    <w:rsid w:val="0056035E"/>
    <w:rsid w:val="005604B1"/>
    <w:rsid w:val="0056069A"/>
    <w:rsid w:val="005607E2"/>
    <w:rsid w:val="00560A3F"/>
    <w:rsid w:val="00560AF6"/>
    <w:rsid w:val="00560B42"/>
    <w:rsid w:val="00560B8C"/>
    <w:rsid w:val="00560BD0"/>
    <w:rsid w:val="00560CEB"/>
    <w:rsid w:val="00560FED"/>
    <w:rsid w:val="0056114D"/>
    <w:rsid w:val="005614FC"/>
    <w:rsid w:val="005617E9"/>
    <w:rsid w:val="00561C08"/>
    <w:rsid w:val="00562585"/>
    <w:rsid w:val="0056285A"/>
    <w:rsid w:val="00562CEF"/>
    <w:rsid w:val="0056317B"/>
    <w:rsid w:val="00563394"/>
    <w:rsid w:val="005634B1"/>
    <w:rsid w:val="005639B6"/>
    <w:rsid w:val="00563E3B"/>
    <w:rsid w:val="00563EAC"/>
    <w:rsid w:val="00563EEB"/>
    <w:rsid w:val="00564321"/>
    <w:rsid w:val="00564590"/>
    <w:rsid w:val="0056480E"/>
    <w:rsid w:val="00564865"/>
    <w:rsid w:val="00564C65"/>
    <w:rsid w:val="00564C81"/>
    <w:rsid w:val="00564FB4"/>
    <w:rsid w:val="0056545E"/>
    <w:rsid w:val="00565883"/>
    <w:rsid w:val="005659AF"/>
    <w:rsid w:val="00565FA5"/>
    <w:rsid w:val="00565FBC"/>
    <w:rsid w:val="005664F0"/>
    <w:rsid w:val="00566886"/>
    <w:rsid w:val="00566944"/>
    <w:rsid w:val="00566BD1"/>
    <w:rsid w:val="00566E76"/>
    <w:rsid w:val="00566ECB"/>
    <w:rsid w:val="0056728E"/>
    <w:rsid w:val="005673DC"/>
    <w:rsid w:val="0056772B"/>
    <w:rsid w:val="00567740"/>
    <w:rsid w:val="00567804"/>
    <w:rsid w:val="005678B3"/>
    <w:rsid w:val="00567942"/>
    <w:rsid w:val="00567D90"/>
    <w:rsid w:val="00567FD1"/>
    <w:rsid w:val="00570089"/>
    <w:rsid w:val="0057040B"/>
    <w:rsid w:val="0057075E"/>
    <w:rsid w:val="005708AF"/>
    <w:rsid w:val="00570E3F"/>
    <w:rsid w:val="005713A3"/>
    <w:rsid w:val="00571555"/>
    <w:rsid w:val="005718D4"/>
    <w:rsid w:val="00571995"/>
    <w:rsid w:val="00571ABC"/>
    <w:rsid w:val="00572063"/>
    <w:rsid w:val="00572499"/>
    <w:rsid w:val="00572519"/>
    <w:rsid w:val="00572B74"/>
    <w:rsid w:val="00572E12"/>
    <w:rsid w:val="00572E32"/>
    <w:rsid w:val="00572E7C"/>
    <w:rsid w:val="00573E10"/>
    <w:rsid w:val="00573F97"/>
    <w:rsid w:val="005748F1"/>
    <w:rsid w:val="00574BFE"/>
    <w:rsid w:val="00574C11"/>
    <w:rsid w:val="00575684"/>
    <w:rsid w:val="00575820"/>
    <w:rsid w:val="00575DB0"/>
    <w:rsid w:val="00575F12"/>
    <w:rsid w:val="00575FCD"/>
    <w:rsid w:val="00575FF9"/>
    <w:rsid w:val="00576648"/>
    <w:rsid w:val="00576E1A"/>
    <w:rsid w:val="00576F2C"/>
    <w:rsid w:val="005773FE"/>
    <w:rsid w:val="005777FA"/>
    <w:rsid w:val="005779E7"/>
    <w:rsid w:val="00577B26"/>
    <w:rsid w:val="00577C07"/>
    <w:rsid w:val="00577F08"/>
    <w:rsid w:val="00577F0C"/>
    <w:rsid w:val="00577F3D"/>
    <w:rsid w:val="005803EC"/>
    <w:rsid w:val="0058071E"/>
    <w:rsid w:val="00580867"/>
    <w:rsid w:val="005808BE"/>
    <w:rsid w:val="00580B72"/>
    <w:rsid w:val="00580C72"/>
    <w:rsid w:val="00580C79"/>
    <w:rsid w:val="00580E36"/>
    <w:rsid w:val="005812A6"/>
    <w:rsid w:val="005813A1"/>
    <w:rsid w:val="00581442"/>
    <w:rsid w:val="005815AD"/>
    <w:rsid w:val="00581AED"/>
    <w:rsid w:val="005820BD"/>
    <w:rsid w:val="005823E6"/>
    <w:rsid w:val="005823F8"/>
    <w:rsid w:val="0058243C"/>
    <w:rsid w:val="00582652"/>
    <w:rsid w:val="00582952"/>
    <w:rsid w:val="00583266"/>
    <w:rsid w:val="005833FD"/>
    <w:rsid w:val="0058366A"/>
    <w:rsid w:val="005836E9"/>
    <w:rsid w:val="0058394B"/>
    <w:rsid w:val="005843AC"/>
    <w:rsid w:val="00584551"/>
    <w:rsid w:val="005848C8"/>
    <w:rsid w:val="00584A27"/>
    <w:rsid w:val="00584AF9"/>
    <w:rsid w:val="00584F2F"/>
    <w:rsid w:val="005855FE"/>
    <w:rsid w:val="00585A3A"/>
    <w:rsid w:val="00585BE1"/>
    <w:rsid w:val="00586069"/>
    <w:rsid w:val="005866B4"/>
    <w:rsid w:val="0058672E"/>
    <w:rsid w:val="005868F3"/>
    <w:rsid w:val="0058697F"/>
    <w:rsid w:val="0058713C"/>
    <w:rsid w:val="005874DF"/>
    <w:rsid w:val="00587C91"/>
    <w:rsid w:val="00587FB1"/>
    <w:rsid w:val="00590253"/>
    <w:rsid w:val="00590358"/>
    <w:rsid w:val="005903F5"/>
    <w:rsid w:val="00590A50"/>
    <w:rsid w:val="00590AB3"/>
    <w:rsid w:val="00590C15"/>
    <w:rsid w:val="00590E40"/>
    <w:rsid w:val="00590EC7"/>
    <w:rsid w:val="0059120F"/>
    <w:rsid w:val="00591228"/>
    <w:rsid w:val="0059148B"/>
    <w:rsid w:val="0059157F"/>
    <w:rsid w:val="00591840"/>
    <w:rsid w:val="005919BA"/>
    <w:rsid w:val="00591B4E"/>
    <w:rsid w:val="00591DD9"/>
    <w:rsid w:val="005925E4"/>
    <w:rsid w:val="005929CB"/>
    <w:rsid w:val="00592A46"/>
    <w:rsid w:val="00592B84"/>
    <w:rsid w:val="00592C2B"/>
    <w:rsid w:val="00592D9F"/>
    <w:rsid w:val="005935F6"/>
    <w:rsid w:val="00593714"/>
    <w:rsid w:val="00593B1F"/>
    <w:rsid w:val="00593B97"/>
    <w:rsid w:val="00593BC9"/>
    <w:rsid w:val="00593ED2"/>
    <w:rsid w:val="0059479A"/>
    <w:rsid w:val="00594969"/>
    <w:rsid w:val="005951EA"/>
    <w:rsid w:val="005957C5"/>
    <w:rsid w:val="00595E35"/>
    <w:rsid w:val="005963E2"/>
    <w:rsid w:val="0059643F"/>
    <w:rsid w:val="0059661C"/>
    <w:rsid w:val="00596722"/>
    <w:rsid w:val="00596DAA"/>
    <w:rsid w:val="00597F65"/>
    <w:rsid w:val="005A03DF"/>
    <w:rsid w:val="005A0706"/>
    <w:rsid w:val="005A0777"/>
    <w:rsid w:val="005A0834"/>
    <w:rsid w:val="005A0837"/>
    <w:rsid w:val="005A08C7"/>
    <w:rsid w:val="005A090C"/>
    <w:rsid w:val="005A0A69"/>
    <w:rsid w:val="005A0B65"/>
    <w:rsid w:val="005A0DF2"/>
    <w:rsid w:val="005A0FA4"/>
    <w:rsid w:val="005A103A"/>
    <w:rsid w:val="005A12C5"/>
    <w:rsid w:val="005A19BE"/>
    <w:rsid w:val="005A19FB"/>
    <w:rsid w:val="005A1A4E"/>
    <w:rsid w:val="005A2D47"/>
    <w:rsid w:val="005A2E71"/>
    <w:rsid w:val="005A34A0"/>
    <w:rsid w:val="005A3522"/>
    <w:rsid w:val="005A39D2"/>
    <w:rsid w:val="005A3C02"/>
    <w:rsid w:val="005A4341"/>
    <w:rsid w:val="005A4A16"/>
    <w:rsid w:val="005A4C96"/>
    <w:rsid w:val="005A5107"/>
    <w:rsid w:val="005A538D"/>
    <w:rsid w:val="005A5398"/>
    <w:rsid w:val="005A572E"/>
    <w:rsid w:val="005A574F"/>
    <w:rsid w:val="005A584D"/>
    <w:rsid w:val="005A5AD5"/>
    <w:rsid w:val="005A654E"/>
    <w:rsid w:val="005A7388"/>
    <w:rsid w:val="005A74BD"/>
    <w:rsid w:val="005A7973"/>
    <w:rsid w:val="005A7A5C"/>
    <w:rsid w:val="005B137E"/>
    <w:rsid w:val="005B1D94"/>
    <w:rsid w:val="005B1E93"/>
    <w:rsid w:val="005B21FE"/>
    <w:rsid w:val="005B26DA"/>
    <w:rsid w:val="005B2748"/>
    <w:rsid w:val="005B27FB"/>
    <w:rsid w:val="005B2B85"/>
    <w:rsid w:val="005B32AF"/>
    <w:rsid w:val="005B3329"/>
    <w:rsid w:val="005B3840"/>
    <w:rsid w:val="005B3D9B"/>
    <w:rsid w:val="005B47E6"/>
    <w:rsid w:val="005B4C6D"/>
    <w:rsid w:val="005B4DCA"/>
    <w:rsid w:val="005B4DDF"/>
    <w:rsid w:val="005B4E60"/>
    <w:rsid w:val="005B4F7F"/>
    <w:rsid w:val="005B505A"/>
    <w:rsid w:val="005B549C"/>
    <w:rsid w:val="005B5865"/>
    <w:rsid w:val="005B5D3B"/>
    <w:rsid w:val="005B5FC4"/>
    <w:rsid w:val="005B6558"/>
    <w:rsid w:val="005B66DD"/>
    <w:rsid w:val="005B6DE0"/>
    <w:rsid w:val="005B6EE1"/>
    <w:rsid w:val="005B6EEC"/>
    <w:rsid w:val="005B7149"/>
    <w:rsid w:val="005B7524"/>
    <w:rsid w:val="005B7893"/>
    <w:rsid w:val="005B7948"/>
    <w:rsid w:val="005B7B20"/>
    <w:rsid w:val="005B7CEF"/>
    <w:rsid w:val="005C0192"/>
    <w:rsid w:val="005C028F"/>
    <w:rsid w:val="005C04F9"/>
    <w:rsid w:val="005C052A"/>
    <w:rsid w:val="005C08D1"/>
    <w:rsid w:val="005C0D72"/>
    <w:rsid w:val="005C0EC5"/>
    <w:rsid w:val="005C1A55"/>
    <w:rsid w:val="005C1D93"/>
    <w:rsid w:val="005C1ED9"/>
    <w:rsid w:val="005C20DF"/>
    <w:rsid w:val="005C2236"/>
    <w:rsid w:val="005C253C"/>
    <w:rsid w:val="005C257B"/>
    <w:rsid w:val="005C30D0"/>
    <w:rsid w:val="005C38A2"/>
    <w:rsid w:val="005C3AD5"/>
    <w:rsid w:val="005C3B10"/>
    <w:rsid w:val="005C3C25"/>
    <w:rsid w:val="005C3DCB"/>
    <w:rsid w:val="005C425D"/>
    <w:rsid w:val="005C4486"/>
    <w:rsid w:val="005C47AF"/>
    <w:rsid w:val="005C4802"/>
    <w:rsid w:val="005C4A57"/>
    <w:rsid w:val="005C4DCB"/>
    <w:rsid w:val="005C5484"/>
    <w:rsid w:val="005C563E"/>
    <w:rsid w:val="005C5663"/>
    <w:rsid w:val="005C62FC"/>
    <w:rsid w:val="005C636D"/>
    <w:rsid w:val="005C656E"/>
    <w:rsid w:val="005C69EA"/>
    <w:rsid w:val="005C6CA1"/>
    <w:rsid w:val="005C7407"/>
    <w:rsid w:val="005C76D8"/>
    <w:rsid w:val="005D0310"/>
    <w:rsid w:val="005D04E1"/>
    <w:rsid w:val="005D05AC"/>
    <w:rsid w:val="005D05C0"/>
    <w:rsid w:val="005D05EA"/>
    <w:rsid w:val="005D065A"/>
    <w:rsid w:val="005D0BDC"/>
    <w:rsid w:val="005D14FF"/>
    <w:rsid w:val="005D15E0"/>
    <w:rsid w:val="005D1ACE"/>
    <w:rsid w:val="005D1B36"/>
    <w:rsid w:val="005D1C72"/>
    <w:rsid w:val="005D1D5B"/>
    <w:rsid w:val="005D2280"/>
    <w:rsid w:val="005D2927"/>
    <w:rsid w:val="005D2E50"/>
    <w:rsid w:val="005D2F81"/>
    <w:rsid w:val="005D38F4"/>
    <w:rsid w:val="005D3C34"/>
    <w:rsid w:val="005D3D12"/>
    <w:rsid w:val="005D3D5E"/>
    <w:rsid w:val="005D47DF"/>
    <w:rsid w:val="005D4815"/>
    <w:rsid w:val="005D4EDE"/>
    <w:rsid w:val="005D5731"/>
    <w:rsid w:val="005D587F"/>
    <w:rsid w:val="005D5AAB"/>
    <w:rsid w:val="005D6602"/>
    <w:rsid w:val="005D7583"/>
    <w:rsid w:val="005D789A"/>
    <w:rsid w:val="005D795B"/>
    <w:rsid w:val="005D7AEC"/>
    <w:rsid w:val="005D7D07"/>
    <w:rsid w:val="005D7E87"/>
    <w:rsid w:val="005E0333"/>
    <w:rsid w:val="005E060F"/>
    <w:rsid w:val="005E0B1E"/>
    <w:rsid w:val="005E0B91"/>
    <w:rsid w:val="005E0C6C"/>
    <w:rsid w:val="005E0D50"/>
    <w:rsid w:val="005E1000"/>
    <w:rsid w:val="005E11EC"/>
    <w:rsid w:val="005E12A7"/>
    <w:rsid w:val="005E1492"/>
    <w:rsid w:val="005E1772"/>
    <w:rsid w:val="005E1A05"/>
    <w:rsid w:val="005E1BF6"/>
    <w:rsid w:val="005E1EBE"/>
    <w:rsid w:val="005E24C2"/>
    <w:rsid w:val="005E272F"/>
    <w:rsid w:val="005E2A95"/>
    <w:rsid w:val="005E2AD0"/>
    <w:rsid w:val="005E2D29"/>
    <w:rsid w:val="005E2EB7"/>
    <w:rsid w:val="005E3058"/>
    <w:rsid w:val="005E311C"/>
    <w:rsid w:val="005E36B5"/>
    <w:rsid w:val="005E3C31"/>
    <w:rsid w:val="005E3CB2"/>
    <w:rsid w:val="005E3F62"/>
    <w:rsid w:val="005E4394"/>
    <w:rsid w:val="005E4501"/>
    <w:rsid w:val="005E4524"/>
    <w:rsid w:val="005E486D"/>
    <w:rsid w:val="005E4B80"/>
    <w:rsid w:val="005E520F"/>
    <w:rsid w:val="005E5377"/>
    <w:rsid w:val="005E53D9"/>
    <w:rsid w:val="005E5742"/>
    <w:rsid w:val="005E577F"/>
    <w:rsid w:val="005E59A3"/>
    <w:rsid w:val="005E5C48"/>
    <w:rsid w:val="005E5E74"/>
    <w:rsid w:val="005E612E"/>
    <w:rsid w:val="005E6596"/>
    <w:rsid w:val="005E6702"/>
    <w:rsid w:val="005E6A0F"/>
    <w:rsid w:val="005E6C96"/>
    <w:rsid w:val="005E7E9E"/>
    <w:rsid w:val="005F057E"/>
    <w:rsid w:val="005F11C9"/>
    <w:rsid w:val="005F1336"/>
    <w:rsid w:val="005F1353"/>
    <w:rsid w:val="005F15D3"/>
    <w:rsid w:val="005F1F54"/>
    <w:rsid w:val="005F206E"/>
    <w:rsid w:val="005F206F"/>
    <w:rsid w:val="005F2078"/>
    <w:rsid w:val="005F28F5"/>
    <w:rsid w:val="005F2B16"/>
    <w:rsid w:val="005F2C5E"/>
    <w:rsid w:val="005F2F0E"/>
    <w:rsid w:val="005F302E"/>
    <w:rsid w:val="005F30F1"/>
    <w:rsid w:val="005F3389"/>
    <w:rsid w:val="005F34DB"/>
    <w:rsid w:val="005F3571"/>
    <w:rsid w:val="005F3CD5"/>
    <w:rsid w:val="005F41A2"/>
    <w:rsid w:val="005F44CE"/>
    <w:rsid w:val="005F456B"/>
    <w:rsid w:val="005F4665"/>
    <w:rsid w:val="005F4942"/>
    <w:rsid w:val="005F4AFD"/>
    <w:rsid w:val="005F4E4B"/>
    <w:rsid w:val="005F4F69"/>
    <w:rsid w:val="005F51DE"/>
    <w:rsid w:val="005F5560"/>
    <w:rsid w:val="005F5A3E"/>
    <w:rsid w:val="005F60FD"/>
    <w:rsid w:val="005F6154"/>
    <w:rsid w:val="005F665C"/>
    <w:rsid w:val="005F691F"/>
    <w:rsid w:val="005F6B22"/>
    <w:rsid w:val="005F6FAC"/>
    <w:rsid w:val="005F7649"/>
    <w:rsid w:val="005F771B"/>
    <w:rsid w:val="005F7AEF"/>
    <w:rsid w:val="005F7DD2"/>
    <w:rsid w:val="006000AF"/>
    <w:rsid w:val="00600213"/>
    <w:rsid w:val="0060022A"/>
    <w:rsid w:val="006002C3"/>
    <w:rsid w:val="00600516"/>
    <w:rsid w:val="00600608"/>
    <w:rsid w:val="006006A7"/>
    <w:rsid w:val="0060071B"/>
    <w:rsid w:val="00600893"/>
    <w:rsid w:val="006008C9"/>
    <w:rsid w:val="00600B75"/>
    <w:rsid w:val="00601143"/>
    <w:rsid w:val="00601167"/>
    <w:rsid w:val="00601183"/>
    <w:rsid w:val="006012CA"/>
    <w:rsid w:val="00601664"/>
    <w:rsid w:val="00601A86"/>
    <w:rsid w:val="00601D07"/>
    <w:rsid w:val="00601E14"/>
    <w:rsid w:val="00601F23"/>
    <w:rsid w:val="00601FF8"/>
    <w:rsid w:val="00602274"/>
    <w:rsid w:val="00602D2D"/>
    <w:rsid w:val="00603738"/>
    <w:rsid w:val="00604024"/>
    <w:rsid w:val="006040C5"/>
    <w:rsid w:val="00604281"/>
    <w:rsid w:val="00604413"/>
    <w:rsid w:val="00604531"/>
    <w:rsid w:val="00604A50"/>
    <w:rsid w:val="00605092"/>
    <w:rsid w:val="0060536B"/>
    <w:rsid w:val="006053CF"/>
    <w:rsid w:val="00605A30"/>
    <w:rsid w:val="00605AED"/>
    <w:rsid w:val="00605B2C"/>
    <w:rsid w:val="00605E26"/>
    <w:rsid w:val="00605FE0"/>
    <w:rsid w:val="006063D4"/>
    <w:rsid w:val="006064AC"/>
    <w:rsid w:val="0060663D"/>
    <w:rsid w:val="0060672D"/>
    <w:rsid w:val="006068EF"/>
    <w:rsid w:val="00606CA2"/>
    <w:rsid w:val="00607366"/>
    <w:rsid w:val="006074A8"/>
    <w:rsid w:val="00607BE0"/>
    <w:rsid w:val="0061033A"/>
    <w:rsid w:val="00610B19"/>
    <w:rsid w:val="00610B7C"/>
    <w:rsid w:val="00611238"/>
    <w:rsid w:val="0061137A"/>
    <w:rsid w:val="00611672"/>
    <w:rsid w:val="00611DD2"/>
    <w:rsid w:val="00611E09"/>
    <w:rsid w:val="006121C2"/>
    <w:rsid w:val="006124E8"/>
    <w:rsid w:val="0061316B"/>
    <w:rsid w:val="00613D2F"/>
    <w:rsid w:val="006145C1"/>
    <w:rsid w:val="006149FF"/>
    <w:rsid w:val="00614C7A"/>
    <w:rsid w:val="00614D76"/>
    <w:rsid w:val="00614FAA"/>
    <w:rsid w:val="00615464"/>
    <w:rsid w:val="00615DD8"/>
    <w:rsid w:val="00615E7E"/>
    <w:rsid w:val="00615E97"/>
    <w:rsid w:val="00616039"/>
    <w:rsid w:val="006165A2"/>
    <w:rsid w:val="006169B4"/>
    <w:rsid w:val="006172F1"/>
    <w:rsid w:val="006179FC"/>
    <w:rsid w:val="00617BED"/>
    <w:rsid w:val="00620228"/>
    <w:rsid w:val="0062050D"/>
    <w:rsid w:val="00620773"/>
    <w:rsid w:val="00621634"/>
    <w:rsid w:val="00622043"/>
    <w:rsid w:val="00622549"/>
    <w:rsid w:val="006227EE"/>
    <w:rsid w:val="00622CEA"/>
    <w:rsid w:val="00623463"/>
    <w:rsid w:val="006238A4"/>
    <w:rsid w:val="006238F2"/>
    <w:rsid w:val="00623901"/>
    <w:rsid w:val="0062398D"/>
    <w:rsid w:val="00624223"/>
    <w:rsid w:val="0062434F"/>
    <w:rsid w:val="006249CF"/>
    <w:rsid w:val="00624CAF"/>
    <w:rsid w:val="00625F50"/>
    <w:rsid w:val="0062623B"/>
    <w:rsid w:val="006263D8"/>
    <w:rsid w:val="0062657E"/>
    <w:rsid w:val="0062674E"/>
    <w:rsid w:val="00626808"/>
    <w:rsid w:val="00626D97"/>
    <w:rsid w:val="006276AF"/>
    <w:rsid w:val="006278DF"/>
    <w:rsid w:val="006279B0"/>
    <w:rsid w:val="00627E04"/>
    <w:rsid w:val="006300A8"/>
    <w:rsid w:val="00630238"/>
    <w:rsid w:val="00630A4F"/>
    <w:rsid w:val="00630D17"/>
    <w:rsid w:val="00630E65"/>
    <w:rsid w:val="006310C1"/>
    <w:rsid w:val="00631560"/>
    <w:rsid w:val="00631586"/>
    <w:rsid w:val="0063167F"/>
    <w:rsid w:val="0063180F"/>
    <w:rsid w:val="006319A1"/>
    <w:rsid w:val="00631B93"/>
    <w:rsid w:val="00631E67"/>
    <w:rsid w:val="006323CC"/>
    <w:rsid w:val="00632C85"/>
    <w:rsid w:val="006331CD"/>
    <w:rsid w:val="00633E49"/>
    <w:rsid w:val="0063409D"/>
    <w:rsid w:val="0063426C"/>
    <w:rsid w:val="00634278"/>
    <w:rsid w:val="0063483E"/>
    <w:rsid w:val="00634AC9"/>
    <w:rsid w:val="00634EE7"/>
    <w:rsid w:val="006354F8"/>
    <w:rsid w:val="006356D0"/>
    <w:rsid w:val="00635FF1"/>
    <w:rsid w:val="00636019"/>
    <w:rsid w:val="00636933"/>
    <w:rsid w:val="006374E7"/>
    <w:rsid w:val="006376B5"/>
    <w:rsid w:val="00637874"/>
    <w:rsid w:val="006379B6"/>
    <w:rsid w:val="006379EE"/>
    <w:rsid w:val="00637B4A"/>
    <w:rsid w:val="00640B70"/>
    <w:rsid w:val="00640D14"/>
    <w:rsid w:val="00641544"/>
    <w:rsid w:val="00641F15"/>
    <w:rsid w:val="00641F30"/>
    <w:rsid w:val="00641FF4"/>
    <w:rsid w:val="006421A6"/>
    <w:rsid w:val="00642209"/>
    <w:rsid w:val="006425E1"/>
    <w:rsid w:val="00642616"/>
    <w:rsid w:val="006426C2"/>
    <w:rsid w:val="00642B91"/>
    <w:rsid w:val="00642C37"/>
    <w:rsid w:val="006430B8"/>
    <w:rsid w:val="00643F3B"/>
    <w:rsid w:val="00643FBE"/>
    <w:rsid w:val="0064405E"/>
    <w:rsid w:val="00644538"/>
    <w:rsid w:val="006446A0"/>
    <w:rsid w:val="00644B49"/>
    <w:rsid w:val="00644DDE"/>
    <w:rsid w:val="00644E4D"/>
    <w:rsid w:val="00644FA4"/>
    <w:rsid w:val="0064511E"/>
    <w:rsid w:val="0064515C"/>
    <w:rsid w:val="0064586C"/>
    <w:rsid w:val="0064591B"/>
    <w:rsid w:val="00645D4C"/>
    <w:rsid w:val="006464DE"/>
    <w:rsid w:val="0064678A"/>
    <w:rsid w:val="006467F3"/>
    <w:rsid w:val="0064680C"/>
    <w:rsid w:val="00646A81"/>
    <w:rsid w:val="00646B82"/>
    <w:rsid w:val="006470C9"/>
    <w:rsid w:val="00647987"/>
    <w:rsid w:val="00647C3E"/>
    <w:rsid w:val="0065017D"/>
    <w:rsid w:val="006506A6"/>
    <w:rsid w:val="00650CCB"/>
    <w:rsid w:val="00651232"/>
    <w:rsid w:val="00651B1E"/>
    <w:rsid w:val="00651C6D"/>
    <w:rsid w:val="006520D6"/>
    <w:rsid w:val="006527C9"/>
    <w:rsid w:val="00653298"/>
    <w:rsid w:val="006535FF"/>
    <w:rsid w:val="00653683"/>
    <w:rsid w:val="00653C9F"/>
    <w:rsid w:val="006543E0"/>
    <w:rsid w:val="00654616"/>
    <w:rsid w:val="00654763"/>
    <w:rsid w:val="00654839"/>
    <w:rsid w:val="00654C55"/>
    <w:rsid w:val="00654C92"/>
    <w:rsid w:val="00654CEA"/>
    <w:rsid w:val="0065561D"/>
    <w:rsid w:val="006557F1"/>
    <w:rsid w:val="006559E3"/>
    <w:rsid w:val="00655A6B"/>
    <w:rsid w:val="00655EE5"/>
    <w:rsid w:val="006560DE"/>
    <w:rsid w:val="006568BC"/>
    <w:rsid w:val="00656924"/>
    <w:rsid w:val="00656925"/>
    <w:rsid w:val="00657256"/>
    <w:rsid w:val="0066047E"/>
    <w:rsid w:val="006608FB"/>
    <w:rsid w:val="00660B2A"/>
    <w:rsid w:val="0066124F"/>
    <w:rsid w:val="0066141B"/>
    <w:rsid w:val="00661BC1"/>
    <w:rsid w:val="00661C10"/>
    <w:rsid w:val="00661D59"/>
    <w:rsid w:val="00661E3F"/>
    <w:rsid w:val="00661E62"/>
    <w:rsid w:val="00662659"/>
    <w:rsid w:val="00662C10"/>
    <w:rsid w:val="006638EB"/>
    <w:rsid w:val="00663BAA"/>
    <w:rsid w:val="00663D24"/>
    <w:rsid w:val="0066479E"/>
    <w:rsid w:val="00664B47"/>
    <w:rsid w:val="00664F50"/>
    <w:rsid w:val="00664FB6"/>
    <w:rsid w:val="0066516F"/>
    <w:rsid w:val="00666320"/>
    <w:rsid w:val="00666B7B"/>
    <w:rsid w:val="00666C3B"/>
    <w:rsid w:val="00666C7F"/>
    <w:rsid w:val="00667156"/>
    <w:rsid w:val="006675FB"/>
    <w:rsid w:val="00667A1D"/>
    <w:rsid w:val="00667CDD"/>
    <w:rsid w:val="0066CB5A"/>
    <w:rsid w:val="006700F4"/>
    <w:rsid w:val="006700F8"/>
    <w:rsid w:val="006704B5"/>
    <w:rsid w:val="006704E7"/>
    <w:rsid w:val="00670579"/>
    <w:rsid w:val="006705EF"/>
    <w:rsid w:val="00670A07"/>
    <w:rsid w:val="006713B8"/>
    <w:rsid w:val="00671451"/>
    <w:rsid w:val="006715C7"/>
    <w:rsid w:val="00671865"/>
    <w:rsid w:val="00671877"/>
    <w:rsid w:val="006718EA"/>
    <w:rsid w:val="00671AE4"/>
    <w:rsid w:val="00672761"/>
    <w:rsid w:val="00672B2A"/>
    <w:rsid w:val="00672BB7"/>
    <w:rsid w:val="00672C0B"/>
    <w:rsid w:val="0067321A"/>
    <w:rsid w:val="0067345A"/>
    <w:rsid w:val="006739C3"/>
    <w:rsid w:val="00673CD9"/>
    <w:rsid w:val="00674302"/>
    <w:rsid w:val="00674B90"/>
    <w:rsid w:val="00674E74"/>
    <w:rsid w:val="00675196"/>
    <w:rsid w:val="006752DA"/>
    <w:rsid w:val="006752FE"/>
    <w:rsid w:val="0067547F"/>
    <w:rsid w:val="00675711"/>
    <w:rsid w:val="00675808"/>
    <w:rsid w:val="00675AAB"/>
    <w:rsid w:val="00675E85"/>
    <w:rsid w:val="00675F22"/>
    <w:rsid w:val="00676365"/>
    <w:rsid w:val="00676458"/>
    <w:rsid w:val="00676548"/>
    <w:rsid w:val="00676730"/>
    <w:rsid w:val="006767B7"/>
    <w:rsid w:val="0067682C"/>
    <w:rsid w:val="006769C8"/>
    <w:rsid w:val="00676A55"/>
    <w:rsid w:val="006777C4"/>
    <w:rsid w:val="00677E3C"/>
    <w:rsid w:val="00680138"/>
    <w:rsid w:val="00680263"/>
    <w:rsid w:val="0068049B"/>
    <w:rsid w:val="0068053B"/>
    <w:rsid w:val="006807F8"/>
    <w:rsid w:val="00680C6E"/>
    <w:rsid w:val="00681228"/>
    <w:rsid w:val="006813E8"/>
    <w:rsid w:val="00681DBF"/>
    <w:rsid w:val="00681EA1"/>
    <w:rsid w:val="006825AD"/>
    <w:rsid w:val="00682669"/>
    <w:rsid w:val="00682732"/>
    <w:rsid w:val="00682C09"/>
    <w:rsid w:val="0068365C"/>
    <w:rsid w:val="006837A2"/>
    <w:rsid w:val="00683966"/>
    <w:rsid w:val="006841BA"/>
    <w:rsid w:val="0068443A"/>
    <w:rsid w:val="00684463"/>
    <w:rsid w:val="006844F4"/>
    <w:rsid w:val="006847D7"/>
    <w:rsid w:val="0068500E"/>
    <w:rsid w:val="00685257"/>
    <w:rsid w:val="00685812"/>
    <w:rsid w:val="00685834"/>
    <w:rsid w:val="00685836"/>
    <w:rsid w:val="00686045"/>
    <w:rsid w:val="00687118"/>
    <w:rsid w:val="00690141"/>
    <w:rsid w:val="0069091D"/>
    <w:rsid w:val="00690B92"/>
    <w:rsid w:val="00690F66"/>
    <w:rsid w:val="0069112A"/>
    <w:rsid w:val="0069152E"/>
    <w:rsid w:val="0069169E"/>
    <w:rsid w:val="006919EB"/>
    <w:rsid w:val="00691B1E"/>
    <w:rsid w:val="00691C0A"/>
    <w:rsid w:val="00691D66"/>
    <w:rsid w:val="00691DAE"/>
    <w:rsid w:val="006920D4"/>
    <w:rsid w:val="0069236D"/>
    <w:rsid w:val="006923F8"/>
    <w:rsid w:val="00692D06"/>
    <w:rsid w:val="00692ED8"/>
    <w:rsid w:val="006930CF"/>
    <w:rsid w:val="00693232"/>
    <w:rsid w:val="006932BE"/>
    <w:rsid w:val="00694112"/>
    <w:rsid w:val="006947A8"/>
    <w:rsid w:val="00694FCA"/>
    <w:rsid w:val="00695AB3"/>
    <w:rsid w:val="00695D9B"/>
    <w:rsid w:val="00695E11"/>
    <w:rsid w:val="00695F3D"/>
    <w:rsid w:val="00696129"/>
    <w:rsid w:val="006964AF"/>
    <w:rsid w:val="00696565"/>
    <w:rsid w:val="00696A5E"/>
    <w:rsid w:val="00696B02"/>
    <w:rsid w:val="006978AC"/>
    <w:rsid w:val="00697C7A"/>
    <w:rsid w:val="00697D1A"/>
    <w:rsid w:val="006A017E"/>
    <w:rsid w:val="006A04A3"/>
    <w:rsid w:val="006A1362"/>
    <w:rsid w:val="006A1817"/>
    <w:rsid w:val="006A1D73"/>
    <w:rsid w:val="006A23D5"/>
    <w:rsid w:val="006A3156"/>
    <w:rsid w:val="006A331F"/>
    <w:rsid w:val="006A3420"/>
    <w:rsid w:val="006A36C7"/>
    <w:rsid w:val="006A4170"/>
    <w:rsid w:val="006A46A7"/>
    <w:rsid w:val="006A4FB6"/>
    <w:rsid w:val="006A51AD"/>
    <w:rsid w:val="006A51C0"/>
    <w:rsid w:val="006A52F1"/>
    <w:rsid w:val="006A558F"/>
    <w:rsid w:val="006A55EB"/>
    <w:rsid w:val="006A568B"/>
    <w:rsid w:val="006A5A95"/>
    <w:rsid w:val="006A5CC7"/>
    <w:rsid w:val="006A5E6D"/>
    <w:rsid w:val="006A5FA1"/>
    <w:rsid w:val="006A63D6"/>
    <w:rsid w:val="006A64CD"/>
    <w:rsid w:val="006A67B1"/>
    <w:rsid w:val="006A6827"/>
    <w:rsid w:val="006A6B3A"/>
    <w:rsid w:val="006A6EEC"/>
    <w:rsid w:val="006A7534"/>
    <w:rsid w:val="006A75EC"/>
    <w:rsid w:val="006A7A6A"/>
    <w:rsid w:val="006A7B1B"/>
    <w:rsid w:val="006B01D0"/>
    <w:rsid w:val="006B05BF"/>
    <w:rsid w:val="006B0BE7"/>
    <w:rsid w:val="006B0C53"/>
    <w:rsid w:val="006B10F4"/>
    <w:rsid w:val="006B1684"/>
    <w:rsid w:val="006B180C"/>
    <w:rsid w:val="006B1AE5"/>
    <w:rsid w:val="006B1EE1"/>
    <w:rsid w:val="006B2645"/>
    <w:rsid w:val="006B28D1"/>
    <w:rsid w:val="006B2DB5"/>
    <w:rsid w:val="006B3AAC"/>
    <w:rsid w:val="006B43AC"/>
    <w:rsid w:val="006B45A8"/>
    <w:rsid w:val="006B46A3"/>
    <w:rsid w:val="006B4E68"/>
    <w:rsid w:val="006B50E1"/>
    <w:rsid w:val="006B5794"/>
    <w:rsid w:val="006B5CC5"/>
    <w:rsid w:val="006B5E94"/>
    <w:rsid w:val="006B6377"/>
    <w:rsid w:val="006B67CE"/>
    <w:rsid w:val="006B78DE"/>
    <w:rsid w:val="006C107A"/>
    <w:rsid w:val="006C1313"/>
    <w:rsid w:val="006C137D"/>
    <w:rsid w:val="006C155C"/>
    <w:rsid w:val="006C1888"/>
    <w:rsid w:val="006C1DE0"/>
    <w:rsid w:val="006C22AC"/>
    <w:rsid w:val="006C257D"/>
    <w:rsid w:val="006C259E"/>
    <w:rsid w:val="006C278E"/>
    <w:rsid w:val="006C2ABA"/>
    <w:rsid w:val="006C2CDB"/>
    <w:rsid w:val="006C3107"/>
    <w:rsid w:val="006C3420"/>
    <w:rsid w:val="006C35D0"/>
    <w:rsid w:val="006C37C8"/>
    <w:rsid w:val="006C3950"/>
    <w:rsid w:val="006C3C77"/>
    <w:rsid w:val="006C3D56"/>
    <w:rsid w:val="006C3E13"/>
    <w:rsid w:val="006C4044"/>
    <w:rsid w:val="006C41BF"/>
    <w:rsid w:val="006C4225"/>
    <w:rsid w:val="006C46E7"/>
    <w:rsid w:val="006C4733"/>
    <w:rsid w:val="006C4ED7"/>
    <w:rsid w:val="006C545A"/>
    <w:rsid w:val="006C5786"/>
    <w:rsid w:val="006C5912"/>
    <w:rsid w:val="006C606E"/>
    <w:rsid w:val="006C64F3"/>
    <w:rsid w:val="006C684F"/>
    <w:rsid w:val="006C6E69"/>
    <w:rsid w:val="006C70A8"/>
    <w:rsid w:val="006C7397"/>
    <w:rsid w:val="006C7D81"/>
    <w:rsid w:val="006D05B2"/>
    <w:rsid w:val="006D065D"/>
    <w:rsid w:val="006D0A1B"/>
    <w:rsid w:val="006D10C7"/>
    <w:rsid w:val="006D12A5"/>
    <w:rsid w:val="006D12D1"/>
    <w:rsid w:val="006D14C3"/>
    <w:rsid w:val="006D1515"/>
    <w:rsid w:val="006D17FA"/>
    <w:rsid w:val="006D1873"/>
    <w:rsid w:val="006D1E03"/>
    <w:rsid w:val="006D2177"/>
    <w:rsid w:val="006D2309"/>
    <w:rsid w:val="006D239B"/>
    <w:rsid w:val="006D23B7"/>
    <w:rsid w:val="006D24BE"/>
    <w:rsid w:val="006D251D"/>
    <w:rsid w:val="006D294E"/>
    <w:rsid w:val="006D2AE3"/>
    <w:rsid w:val="006D325C"/>
    <w:rsid w:val="006D366F"/>
    <w:rsid w:val="006D386F"/>
    <w:rsid w:val="006D3C22"/>
    <w:rsid w:val="006D3C31"/>
    <w:rsid w:val="006D4B0E"/>
    <w:rsid w:val="006D4B62"/>
    <w:rsid w:val="006D4BBF"/>
    <w:rsid w:val="006D4F0D"/>
    <w:rsid w:val="006D4F6B"/>
    <w:rsid w:val="006D54E8"/>
    <w:rsid w:val="006D560E"/>
    <w:rsid w:val="006D563B"/>
    <w:rsid w:val="006D58D1"/>
    <w:rsid w:val="006D5A2E"/>
    <w:rsid w:val="006D5E2B"/>
    <w:rsid w:val="006D6560"/>
    <w:rsid w:val="006D6A45"/>
    <w:rsid w:val="006D6A71"/>
    <w:rsid w:val="006D701C"/>
    <w:rsid w:val="006D71C4"/>
    <w:rsid w:val="006D76AD"/>
    <w:rsid w:val="006D7777"/>
    <w:rsid w:val="006D77F0"/>
    <w:rsid w:val="006D782F"/>
    <w:rsid w:val="006D7AA6"/>
    <w:rsid w:val="006E02D9"/>
    <w:rsid w:val="006E0352"/>
    <w:rsid w:val="006E07E5"/>
    <w:rsid w:val="006E0996"/>
    <w:rsid w:val="006E0E3C"/>
    <w:rsid w:val="006E145F"/>
    <w:rsid w:val="006E1600"/>
    <w:rsid w:val="006E17E1"/>
    <w:rsid w:val="006E1F3D"/>
    <w:rsid w:val="006E2E44"/>
    <w:rsid w:val="006E33BF"/>
    <w:rsid w:val="006E36E7"/>
    <w:rsid w:val="006E38DC"/>
    <w:rsid w:val="006E3A2C"/>
    <w:rsid w:val="006E3DEA"/>
    <w:rsid w:val="006E430E"/>
    <w:rsid w:val="006E4497"/>
    <w:rsid w:val="006E44C3"/>
    <w:rsid w:val="006E45FF"/>
    <w:rsid w:val="006E4607"/>
    <w:rsid w:val="006E4885"/>
    <w:rsid w:val="006E4E44"/>
    <w:rsid w:val="006E507E"/>
    <w:rsid w:val="006E50A1"/>
    <w:rsid w:val="006E5CC7"/>
    <w:rsid w:val="006E6A3C"/>
    <w:rsid w:val="006E6AE0"/>
    <w:rsid w:val="006E6B5B"/>
    <w:rsid w:val="006E70B7"/>
    <w:rsid w:val="006E75A6"/>
    <w:rsid w:val="006E790D"/>
    <w:rsid w:val="006E7E34"/>
    <w:rsid w:val="006F0029"/>
    <w:rsid w:val="006F0495"/>
    <w:rsid w:val="006F04BE"/>
    <w:rsid w:val="006F07F9"/>
    <w:rsid w:val="006F09F6"/>
    <w:rsid w:val="006F0CB5"/>
    <w:rsid w:val="006F0ED5"/>
    <w:rsid w:val="006F0FA8"/>
    <w:rsid w:val="006F0FBA"/>
    <w:rsid w:val="006F1054"/>
    <w:rsid w:val="006F1514"/>
    <w:rsid w:val="006F173E"/>
    <w:rsid w:val="006F17E5"/>
    <w:rsid w:val="006F19A8"/>
    <w:rsid w:val="006F1A67"/>
    <w:rsid w:val="006F1CBA"/>
    <w:rsid w:val="006F1D80"/>
    <w:rsid w:val="006F1F06"/>
    <w:rsid w:val="006F244A"/>
    <w:rsid w:val="006F2EE4"/>
    <w:rsid w:val="006F325E"/>
    <w:rsid w:val="006F334F"/>
    <w:rsid w:val="006F34DB"/>
    <w:rsid w:val="006F39D2"/>
    <w:rsid w:val="006F3E62"/>
    <w:rsid w:val="006F3F6F"/>
    <w:rsid w:val="006F41EB"/>
    <w:rsid w:val="006F4332"/>
    <w:rsid w:val="006F47F2"/>
    <w:rsid w:val="006F4A79"/>
    <w:rsid w:val="006F4CA9"/>
    <w:rsid w:val="006F4D88"/>
    <w:rsid w:val="006F4EDB"/>
    <w:rsid w:val="006F5231"/>
    <w:rsid w:val="006F58A8"/>
    <w:rsid w:val="006F627B"/>
    <w:rsid w:val="006F64E8"/>
    <w:rsid w:val="006F674E"/>
    <w:rsid w:val="006F693A"/>
    <w:rsid w:val="006F7516"/>
    <w:rsid w:val="006F7879"/>
    <w:rsid w:val="006F7924"/>
    <w:rsid w:val="006F7A54"/>
    <w:rsid w:val="006F7DE1"/>
    <w:rsid w:val="006F7DEB"/>
    <w:rsid w:val="006F7E67"/>
    <w:rsid w:val="00700057"/>
    <w:rsid w:val="007002AA"/>
    <w:rsid w:val="00700BDF"/>
    <w:rsid w:val="007011A3"/>
    <w:rsid w:val="00701394"/>
    <w:rsid w:val="00701751"/>
    <w:rsid w:val="00701AAC"/>
    <w:rsid w:val="00702E85"/>
    <w:rsid w:val="00703761"/>
    <w:rsid w:val="007037C4"/>
    <w:rsid w:val="00704248"/>
    <w:rsid w:val="0070452D"/>
    <w:rsid w:val="00704C47"/>
    <w:rsid w:val="00704F3D"/>
    <w:rsid w:val="00705662"/>
    <w:rsid w:val="00705D8A"/>
    <w:rsid w:val="00705FEB"/>
    <w:rsid w:val="007065BA"/>
    <w:rsid w:val="00707479"/>
    <w:rsid w:val="007074A3"/>
    <w:rsid w:val="00707534"/>
    <w:rsid w:val="00707B1E"/>
    <w:rsid w:val="0071086C"/>
    <w:rsid w:val="0071098D"/>
    <w:rsid w:val="00710BD0"/>
    <w:rsid w:val="00711560"/>
    <w:rsid w:val="00711DF4"/>
    <w:rsid w:val="00711E70"/>
    <w:rsid w:val="007123A1"/>
    <w:rsid w:val="00712464"/>
    <w:rsid w:val="00712541"/>
    <w:rsid w:val="007127F6"/>
    <w:rsid w:val="00712DAC"/>
    <w:rsid w:val="00712E20"/>
    <w:rsid w:val="007131D5"/>
    <w:rsid w:val="0071325C"/>
    <w:rsid w:val="0071339E"/>
    <w:rsid w:val="007133F0"/>
    <w:rsid w:val="00713400"/>
    <w:rsid w:val="00713AD3"/>
    <w:rsid w:val="00713B3A"/>
    <w:rsid w:val="007142FC"/>
    <w:rsid w:val="00714378"/>
    <w:rsid w:val="00714799"/>
    <w:rsid w:val="00714D2D"/>
    <w:rsid w:val="00714E94"/>
    <w:rsid w:val="007150D1"/>
    <w:rsid w:val="007155C8"/>
    <w:rsid w:val="007165DF"/>
    <w:rsid w:val="007166C4"/>
    <w:rsid w:val="007168D4"/>
    <w:rsid w:val="007168F6"/>
    <w:rsid w:val="00716942"/>
    <w:rsid w:val="00717012"/>
    <w:rsid w:val="0071728F"/>
    <w:rsid w:val="007174FC"/>
    <w:rsid w:val="00717918"/>
    <w:rsid w:val="00717C02"/>
    <w:rsid w:val="007206A6"/>
    <w:rsid w:val="0072094F"/>
    <w:rsid w:val="00720CDC"/>
    <w:rsid w:val="0072125A"/>
    <w:rsid w:val="00721584"/>
    <w:rsid w:val="007215A5"/>
    <w:rsid w:val="007217E6"/>
    <w:rsid w:val="00721B88"/>
    <w:rsid w:val="00721C28"/>
    <w:rsid w:val="00721CE1"/>
    <w:rsid w:val="00721DF6"/>
    <w:rsid w:val="00721E6F"/>
    <w:rsid w:val="0072266C"/>
    <w:rsid w:val="00722D87"/>
    <w:rsid w:val="0072305A"/>
    <w:rsid w:val="00723145"/>
    <w:rsid w:val="00723239"/>
    <w:rsid w:val="007235E9"/>
    <w:rsid w:val="00723A8D"/>
    <w:rsid w:val="00723C46"/>
    <w:rsid w:val="00723CD3"/>
    <w:rsid w:val="00723DF3"/>
    <w:rsid w:val="00723F16"/>
    <w:rsid w:val="00723F1A"/>
    <w:rsid w:val="0072413A"/>
    <w:rsid w:val="007245C5"/>
    <w:rsid w:val="00725CEA"/>
    <w:rsid w:val="00725FC6"/>
    <w:rsid w:val="00726406"/>
    <w:rsid w:val="00726462"/>
    <w:rsid w:val="00726731"/>
    <w:rsid w:val="00726DB2"/>
    <w:rsid w:val="007271F7"/>
    <w:rsid w:val="007277CD"/>
    <w:rsid w:val="0072799F"/>
    <w:rsid w:val="00727C40"/>
    <w:rsid w:val="00727F32"/>
    <w:rsid w:val="00730034"/>
    <w:rsid w:val="0073020F"/>
    <w:rsid w:val="00730501"/>
    <w:rsid w:val="0073086E"/>
    <w:rsid w:val="00730D3C"/>
    <w:rsid w:val="00731109"/>
    <w:rsid w:val="007316BC"/>
    <w:rsid w:val="00731FAE"/>
    <w:rsid w:val="00732140"/>
    <w:rsid w:val="007325A8"/>
    <w:rsid w:val="00732666"/>
    <w:rsid w:val="00732B4E"/>
    <w:rsid w:val="00732DF1"/>
    <w:rsid w:val="0073311A"/>
    <w:rsid w:val="007336C9"/>
    <w:rsid w:val="00733744"/>
    <w:rsid w:val="00733A3A"/>
    <w:rsid w:val="00733A56"/>
    <w:rsid w:val="00733C0A"/>
    <w:rsid w:val="00733C4B"/>
    <w:rsid w:val="00733EB5"/>
    <w:rsid w:val="00734E7F"/>
    <w:rsid w:val="00735843"/>
    <w:rsid w:val="00735FB1"/>
    <w:rsid w:val="00736976"/>
    <w:rsid w:val="0073765C"/>
    <w:rsid w:val="007377BF"/>
    <w:rsid w:val="00737ADF"/>
    <w:rsid w:val="00740287"/>
    <w:rsid w:val="0074058D"/>
    <w:rsid w:val="00740A8C"/>
    <w:rsid w:val="00740F8C"/>
    <w:rsid w:val="0074109D"/>
    <w:rsid w:val="0074132F"/>
    <w:rsid w:val="007416F7"/>
    <w:rsid w:val="00741F5D"/>
    <w:rsid w:val="007424B2"/>
    <w:rsid w:val="0074277F"/>
    <w:rsid w:val="007427A4"/>
    <w:rsid w:val="0074295E"/>
    <w:rsid w:val="00742BF0"/>
    <w:rsid w:val="00742DDC"/>
    <w:rsid w:val="00742E57"/>
    <w:rsid w:val="00742F61"/>
    <w:rsid w:val="00743278"/>
    <w:rsid w:val="00743B1F"/>
    <w:rsid w:val="00744054"/>
    <w:rsid w:val="007441E0"/>
    <w:rsid w:val="0074433A"/>
    <w:rsid w:val="007448F8"/>
    <w:rsid w:val="00744A08"/>
    <w:rsid w:val="00744C99"/>
    <w:rsid w:val="00744E22"/>
    <w:rsid w:val="00745AC6"/>
    <w:rsid w:val="00745EBE"/>
    <w:rsid w:val="00747AEF"/>
    <w:rsid w:val="00747BAA"/>
    <w:rsid w:val="007503F5"/>
    <w:rsid w:val="007504D4"/>
    <w:rsid w:val="00750A9C"/>
    <w:rsid w:val="00750BF0"/>
    <w:rsid w:val="00750C08"/>
    <w:rsid w:val="00750D5C"/>
    <w:rsid w:val="00750E05"/>
    <w:rsid w:val="00750F13"/>
    <w:rsid w:val="00750FFD"/>
    <w:rsid w:val="007511BE"/>
    <w:rsid w:val="007515A8"/>
    <w:rsid w:val="007516EB"/>
    <w:rsid w:val="0075183B"/>
    <w:rsid w:val="007518D9"/>
    <w:rsid w:val="00751CC6"/>
    <w:rsid w:val="00752021"/>
    <w:rsid w:val="007523B8"/>
    <w:rsid w:val="007534AF"/>
    <w:rsid w:val="00753605"/>
    <w:rsid w:val="00753737"/>
    <w:rsid w:val="007538B9"/>
    <w:rsid w:val="00753CBA"/>
    <w:rsid w:val="0075402B"/>
    <w:rsid w:val="0075437C"/>
    <w:rsid w:val="007544DF"/>
    <w:rsid w:val="00754F50"/>
    <w:rsid w:val="00755099"/>
    <w:rsid w:val="007552EF"/>
    <w:rsid w:val="0075550A"/>
    <w:rsid w:val="00755764"/>
    <w:rsid w:val="0075634C"/>
    <w:rsid w:val="0075679E"/>
    <w:rsid w:val="007570A4"/>
    <w:rsid w:val="0075727A"/>
    <w:rsid w:val="007573CA"/>
    <w:rsid w:val="007573D2"/>
    <w:rsid w:val="00757986"/>
    <w:rsid w:val="00760231"/>
    <w:rsid w:val="00760814"/>
    <w:rsid w:val="00760935"/>
    <w:rsid w:val="00760A40"/>
    <w:rsid w:val="00760B27"/>
    <w:rsid w:val="00760BF7"/>
    <w:rsid w:val="00760E1F"/>
    <w:rsid w:val="007610B5"/>
    <w:rsid w:val="007612F3"/>
    <w:rsid w:val="00761331"/>
    <w:rsid w:val="0076139B"/>
    <w:rsid w:val="00761786"/>
    <w:rsid w:val="00761820"/>
    <w:rsid w:val="007621C8"/>
    <w:rsid w:val="007622A0"/>
    <w:rsid w:val="00762A6A"/>
    <w:rsid w:val="00762C54"/>
    <w:rsid w:val="00762D56"/>
    <w:rsid w:val="0076312C"/>
    <w:rsid w:val="007637C7"/>
    <w:rsid w:val="00763870"/>
    <w:rsid w:val="00763B9C"/>
    <w:rsid w:val="00763E0B"/>
    <w:rsid w:val="00764295"/>
    <w:rsid w:val="007644EA"/>
    <w:rsid w:val="00764858"/>
    <w:rsid w:val="0076561E"/>
    <w:rsid w:val="00765C55"/>
    <w:rsid w:val="00766336"/>
    <w:rsid w:val="00766598"/>
    <w:rsid w:val="0076668B"/>
    <w:rsid w:val="0076692A"/>
    <w:rsid w:val="00766983"/>
    <w:rsid w:val="00767001"/>
    <w:rsid w:val="00767073"/>
    <w:rsid w:val="00767D56"/>
    <w:rsid w:val="007702D2"/>
    <w:rsid w:val="007709D9"/>
    <w:rsid w:val="00770D51"/>
    <w:rsid w:val="00770FC3"/>
    <w:rsid w:val="007712C3"/>
    <w:rsid w:val="0077171E"/>
    <w:rsid w:val="007722B8"/>
    <w:rsid w:val="007725AA"/>
    <w:rsid w:val="00772892"/>
    <w:rsid w:val="00772A6A"/>
    <w:rsid w:val="007733A2"/>
    <w:rsid w:val="007734F3"/>
    <w:rsid w:val="00773638"/>
    <w:rsid w:val="00773939"/>
    <w:rsid w:val="00773A84"/>
    <w:rsid w:val="00773C10"/>
    <w:rsid w:val="00773C2C"/>
    <w:rsid w:val="00774370"/>
    <w:rsid w:val="007744B8"/>
    <w:rsid w:val="00774BA3"/>
    <w:rsid w:val="00775524"/>
    <w:rsid w:val="0077571D"/>
    <w:rsid w:val="00775902"/>
    <w:rsid w:val="00775AAC"/>
    <w:rsid w:val="00776E61"/>
    <w:rsid w:val="00777385"/>
    <w:rsid w:val="007777B2"/>
    <w:rsid w:val="007779F2"/>
    <w:rsid w:val="00780863"/>
    <w:rsid w:val="00780D96"/>
    <w:rsid w:val="00780FA7"/>
    <w:rsid w:val="007812CA"/>
    <w:rsid w:val="0078143F"/>
    <w:rsid w:val="007814F0"/>
    <w:rsid w:val="007818B3"/>
    <w:rsid w:val="007818FC"/>
    <w:rsid w:val="00781D66"/>
    <w:rsid w:val="007820A1"/>
    <w:rsid w:val="00782506"/>
    <w:rsid w:val="00782848"/>
    <w:rsid w:val="00782A0F"/>
    <w:rsid w:val="00782B12"/>
    <w:rsid w:val="00782DB9"/>
    <w:rsid w:val="0078314E"/>
    <w:rsid w:val="007835F8"/>
    <w:rsid w:val="007846AA"/>
    <w:rsid w:val="00784738"/>
    <w:rsid w:val="00784A4B"/>
    <w:rsid w:val="00785019"/>
    <w:rsid w:val="00785BBD"/>
    <w:rsid w:val="007864A6"/>
    <w:rsid w:val="007865BB"/>
    <w:rsid w:val="00786900"/>
    <w:rsid w:val="00786AAB"/>
    <w:rsid w:val="00786C4A"/>
    <w:rsid w:val="00786C71"/>
    <w:rsid w:val="00786F7F"/>
    <w:rsid w:val="00787A54"/>
    <w:rsid w:val="00787C1F"/>
    <w:rsid w:val="00787D59"/>
    <w:rsid w:val="007902A7"/>
    <w:rsid w:val="0079053E"/>
    <w:rsid w:val="00790611"/>
    <w:rsid w:val="0079068D"/>
    <w:rsid w:val="00790C1E"/>
    <w:rsid w:val="00791187"/>
    <w:rsid w:val="007916A6"/>
    <w:rsid w:val="00791A83"/>
    <w:rsid w:val="00791EE0"/>
    <w:rsid w:val="00791F5A"/>
    <w:rsid w:val="00792525"/>
    <w:rsid w:val="00793210"/>
    <w:rsid w:val="00793ACF"/>
    <w:rsid w:val="0079435C"/>
    <w:rsid w:val="007943DE"/>
    <w:rsid w:val="00794485"/>
    <w:rsid w:val="00794994"/>
    <w:rsid w:val="007951FF"/>
    <w:rsid w:val="007953C2"/>
    <w:rsid w:val="007954CD"/>
    <w:rsid w:val="0079560C"/>
    <w:rsid w:val="007956F4"/>
    <w:rsid w:val="00795A95"/>
    <w:rsid w:val="00795C11"/>
    <w:rsid w:val="00795EEE"/>
    <w:rsid w:val="007966E4"/>
    <w:rsid w:val="00796A2B"/>
    <w:rsid w:val="00796C89"/>
    <w:rsid w:val="0079751A"/>
    <w:rsid w:val="00797F04"/>
    <w:rsid w:val="007A04C2"/>
    <w:rsid w:val="007A1217"/>
    <w:rsid w:val="007A178C"/>
    <w:rsid w:val="007A1D89"/>
    <w:rsid w:val="007A20B1"/>
    <w:rsid w:val="007A20DD"/>
    <w:rsid w:val="007A2192"/>
    <w:rsid w:val="007A288D"/>
    <w:rsid w:val="007A2B0A"/>
    <w:rsid w:val="007A2B7D"/>
    <w:rsid w:val="007A2C99"/>
    <w:rsid w:val="007A2E7F"/>
    <w:rsid w:val="007A389C"/>
    <w:rsid w:val="007A390D"/>
    <w:rsid w:val="007A3981"/>
    <w:rsid w:val="007A3BF5"/>
    <w:rsid w:val="007A4461"/>
    <w:rsid w:val="007A45E4"/>
    <w:rsid w:val="007A4901"/>
    <w:rsid w:val="007A498E"/>
    <w:rsid w:val="007A49AE"/>
    <w:rsid w:val="007A49C5"/>
    <w:rsid w:val="007A4FC6"/>
    <w:rsid w:val="007A5481"/>
    <w:rsid w:val="007A5485"/>
    <w:rsid w:val="007A54DC"/>
    <w:rsid w:val="007A54E6"/>
    <w:rsid w:val="007A550B"/>
    <w:rsid w:val="007A585D"/>
    <w:rsid w:val="007A586C"/>
    <w:rsid w:val="007A5AC4"/>
    <w:rsid w:val="007A5BE3"/>
    <w:rsid w:val="007A5F0D"/>
    <w:rsid w:val="007A5F1D"/>
    <w:rsid w:val="007A631F"/>
    <w:rsid w:val="007A7736"/>
    <w:rsid w:val="007A7C47"/>
    <w:rsid w:val="007A7CC2"/>
    <w:rsid w:val="007B01BE"/>
    <w:rsid w:val="007B024A"/>
    <w:rsid w:val="007B0503"/>
    <w:rsid w:val="007B0612"/>
    <w:rsid w:val="007B0686"/>
    <w:rsid w:val="007B090A"/>
    <w:rsid w:val="007B0B50"/>
    <w:rsid w:val="007B1235"/>
    <w:rsid w:val="007B1245"/>
    <w:rsid w:val="007B1C97"/>
    <w:rsid w:val="007B1E67"/>
    <w:rsid w:val="007B1FA8"/>
    <w:rsid w:val="007B25ED"/>
    <w:rsid w:val="007B2C23"/>
    <w:rsid w:val="007B2EFF"/>
    <w:rsid w:val="007B3152"/>
    <w:rsid w:val="007B3421"/>
    <w:rsid w:val="007B3A2B"/>
    <w:rsid w:val="007B3D09"/>
    <w:rsid w:val="007B3D2D"/>
    <w:rsid w:val="007B3E69"/>
    <w:rsid w:val="007B4388"/>
    <w:rsid w:val="007B4406"/>
    <w:rsid w:val="007B457C"/>
    <w:rsid w:val="007B4BF2"/>
    <w:rsid w:val="007B4CEA"/>
    <w:rsid w:val="007B50C1"/>
    <w:rsid w:val="007B5131"/>
    <w:rsid w:val="007B515B"/>
    <w:rsid w:val="007B51D7"/>
    <w:rsid w:val="007B5356"/>
    <w:rsid w:val="007B5777"/>
    <w:rsid w:val="007B5961"/>
    <w:rsid w:val="007B5B8A"/>
    <w:rsid w:val="007B68CA"/>
    <w:rsid w:val="007B6C6D"/>
    <w:rsid w:val="007B737B"/>
    <w:rsid w:val="007B778A"/>
    <w:rsid w:val="007B7B4A"/>
    <w:rsid w:val="007C005F"/>
    <w:rsid w:val="007C060D"/>
    <w:rsid w:val="007C0824"/>
    <w:rsid w:val="007C090E"/>
    <w:rsid w:val="007C0D39"/>
    <w:rsid w:val="007C0F48"/>
    <w:rsid w:val="007C1089"/>
    <w:rsid w:val="007C17F4"/>
    <w:rsid w:val="007C1E1A"/>
    <w:rsid w:val="007C1FC0"/>
    <w:rsid w:val="007C2436"/>
    <w:rsid w:val="007C295A"/>
    <w:rsid w:val="007C2DC4"/>
    <w:rsid w:val="007C3318"/>
    <w:rsid w:val="007C35A7"/>
    <w:rsid w:val="007C39BC"/>
    <w:rsid w:val="007C3BE9"/>
    <w:rsid w:val="007C3EBF"/>
    <w:rsid w:val="007C429E"/>
    <w:rsid w:val="007C42EF"/>
    <w:rsid w:val="007C4491"/>
    <w:rsid w:val="007C45C9"/>
    <w:rsid w:val="007C4700"/>
    <w:rsid w:val="007C4727"/>
    <w:rsid w:val="007C561F"/>
    <w:rsid w:val="007C60EB"/>
    <w:rsid w:val="007C62E9"/>
    <w:rsid w:val="007C6348"/>
    <w:rsid w:val="007C67BF"/>
    <w:rsid w:val="007C680B"/>
    <w:rsid w:val="007C69E1"/>
    <w:rsid w:val="007C6A97"/>
    <w:rsid w:val="007C6D23"/>
    <w:rsid w:val="007C6E56"/>
    <w:rsid w:val="007C7178"/>
    <w:rsid w:val="007C7283"/>
    <w:rsid w:val="007C7AF5"/>
    <w:rsid w:val="007C7EED"/>
    <w:rsid w:val="007C7F07"/>
    <w:rsid w:val="007D0039"/>
    <w:rsid w:val="007D0475"/>
    <w:rsid w:val="007D0569"/>
    <w:rsid w:val="007D05F7"/>
    <w:rsid w:val="007D0662"/>
    <w:rsid w:val="007D0886"/>
    <w:rsid w:val="007D0B07"/>
    <w:rsid w:val="007D0B17"/>
    <w:rsid w:val="007D0CB7"/>
    <w:rsid w:val="007D0D10"/>
    <w:rsid w:val="007D0D85"/>
    <w:rsid w:val="007D15F8"/>
    <w:rsid w:val="007D1DBA"/>
    <w:rsid w:val="007D1F82"/>
    <w:rsid w:val="007D1FFE"/>
    <w:rsid w:val="007D20CF"/>
    <w:rsid w:val="007D2191"/>
    <w:rsid w:val="007D2413"/>
    <w:rsid w:val="007D2424"/>
    <w:rsid w:val="007D2441"/>
    <w:rsid w:val="007D27AC"/>
    <w:rsid w:val="007D2AE7"/>
    <w:rsid w:val="007D2B34"/>
    <w:rsid w:val="007D2DEB"/>
    <w:rsid w:val="007D2F7F"/>
    <w:rsid w:val="007D308E"/>
    <w:rsid w:val="007D3371"/>
    <w:rsid w:val="007D3778"/>
    <w:rsid w:val="007D39F6"/>
    <w:rsid w:val="007D445F"/>
    <w:rsid w:val="007D466C"/>
    <w:rsid w:val="007D46AF"/>
    <w:rsid w:val="007D4A52"/>
    <w:rsid w:val="007D4B1F"/>
    <w:rsid w:val="007D4E47"/>
    <w:rsid w:val="007D54B5"/>
    <w:rsid w:val="007D571B"/>
    <w:rsid w:val="007D6612"/>
    <w:rsid w:val="007D66FE"/>
    <w:rsid w:val="007D6B12"/>
    <w:rsid w:val="007D6DD0"/>
    <w:rsid w:val="007D6E61"/>
    <w:rsid w:val="007D74E9"/>
    <w:rsid w:val="007D759A"/>
    <w:rsid w:val="007D78A1"/>
    <w:rsid w:val="007D7A5C"/>
    <w:rsid w:val="007D7CA9"/>
    <w:rsid w:val="007D7EDC"/>
    <w:rsid w:val="007E0140"/>
    <w:rsid w:val="007E0291"/>
    <w:rsid w:val="007E05F2"/>
    <w:rsid w:val="007E0923"/>
    <w:rsid w:val="007E15D2"/>
    <w:rsid w:val="007E1707"/>
    <w:rsid w:val="007E1AEC"/>
    <w:rsid w:val="007E1D4A"/>
    <w:rsid w:val="007E1E61"/>
    <w:rsid w:val="007E22DA"/>
    <w:rsid w:val="007E279C"/>
    <w:rsid w:val="007E2E9F"/>
    <w:rsid w:val="007E3794"/>
    <w:rsid w:val="007E37AA"/>
    <w:rsid w:val="007E3842"/>
    <w:rsid w:val="007E4031"/>
    <w:rsid w:val="007E418C"/>
    <w:rsid w:val="007E41C7"/>
    <w:rsid w:val="007E4DC2"/>
    <w:rsid w:val="007E4F5A"/>
    <w:rsid w:val="007E532D"/>
    <w:rsid w:val="007E5767"/>
    <w:rsid w:val="007E5E6D"/>
    <w:rsid w:val="007E6060"/>
    <w:rsid w:val="007E60C9"/>
    <w:rsid w:val="007E676E"/>
    <w:rsid w:val="007E69A0"/>
    <w:rsid w:val="007E6A27"/>
    <w:rsid w:val="007E6BC4"/>
    <w:rsid w:val="007E6E87"/>
    <w:rsid w:val="007E74FC"/>
    <w:rsid w:val="007E7A48"/>
    <w:rsid w:val="007F047E"/>
    <w:rsid w:val="007F0661"/>
    <w:rsid w:val="007F0CA8"/>
    <w:rsid w:val="007F0D81"/>
    <w:rsid w:val="007F0DE3"/>
    <w:rsid w:val="007F127B"/>
    <w:rsid w:val="007F14BF"/>
    <w:rsid w:val="007F1F46"/>
    <w:rsid w:val="007F1FC7"/>
    <w:rsid w:val="007F21F3"/>
    <w:rsid w:val="007F2441"/>
    <w:rsid w:val="007F2628"/>
    <w:rsid w:val="007F2FE2"/>
    <w:rsid w:val="007F3782"/>
    <w:rsid w:val="007F3B1C"/>
    <w:rsid w:val="007F3C79"/>
    <w:rsid w:val="007F3E50"/>
    <w:rsid w:val="007F3FBA"/>
    <w:rsid w:val="007F41D2"/>
    <w:rsid w:val="007F46E4"/>
    <w:rsid w:val="007F47AC"/>
    <w:rsid w:val="007F4B09"/>
    <w:rsid w:val="007F4E65"/>
    <w:rsid w:val="007F5A6F"/>
    <w:rsid w:val="007F6004"/>
    <w:rsid w:val="007F6194"/>
    <w:rsid w:val="007F63A6"/>
    <w:rsid w:val="007F6435"/>
    <w:rsid w:val="007F6633"/>
    <w:rsid w:val="007F7231"/>
    <w:rsid w:val="007F7A59"/>
    <w:rsid w:val="007F7AD3"/>
    <w:rsid w:val="007F7AFD"/>
    <w:rsid w:val="007F7B5A"/>
    <w:rsid w:val="007F7CFC"/>
    <w:rsid w:val="0080006D"/>
    <w:rsid w:val="008001B7"/>
    <w:rsid w:val="00800893"/>
    <w:rsid w:val="008008F5"/>
    <w:rsid w:val="00800911"/>
    <w:rsid w:val="00800C77"/>
    <w:rsid w:val="00800D9E"/>
    <w:rsid w:val="00800E2B"/>
    <w:rsid w:val="00800F3B"/>
    <w:rsid w:val="00801175"/>
    <w:rsid w:val="0080117C"/>
    <w:rsid w:val="00801367"/>
    <w:rsid w:val="0080161B"/>
    <w:rsid w:val="00801650"/>
    <w:rsid w:val="00801BED"/>
    <w:rsid w:val="00802096"/>
    <w:rsid w:val="0080209F"/>
    <w:rsid w:val="0080219C"/>
    <w:rsid w:val="00802353"/>
    <w:rsid w:val="00802729"/>
    <w:rsid w:val="00802AEE"/>
    <w:rsid w:val="00802EEE"/>
    <w:rsid w:val="008033C6"/>
    <w:rsid w:val="00803EEE"/>
    <w:rsid w:val="00804E26"/>
    <w:rsid w:val="00804EA2"/>
    <w:rsid w:val="00804FF9"/>
    <w:rsid w:val="008057CC"/>
    <w:rsid w:val="00805DB4"/>
    <w:rsid w:val="00805F87"/>
    <w:rsid w:val="00806063"/>
    <w:rsid w:val="008064C0"/>
    <w:rsid w:val="00806F77"/>
    <w:rsid w:val="00806FA6"/>
    <w:rsid w:val="008070DA"/>
    <w:rsid w:val="0080744F"/>
    <w:rsid w:val="0080791E"/>
    <w:rsid w:val="00807F0A"/>
    <w:rsid w:val="00807F63"/>
    <w:rsid w:val="00810459"/>
    <w:rsid w:val="00810C93"/>
    <w:rsid w:val="00810C9C"/>
    <w:rsid w:val="00810D59"/>
    <w:rsid w:val="008111E7"/>
    <w:rsid w:val="00811956"/>
    <w:rsid w:val="008119D0"/>
    <w:rsid w:val="00811C18"/>
    <w:rsid w:val="00811D90"/>
    <w:rsid w:val="00811F36"/>
    <w:rsid w:val="00812559"/>
    <w:rsid w:val="00812CAB"/>
    <w:rsid w:val="00812DB2"/>
    <w:rsid w:val="00812DFD"/>
    <w:rsid w:val="008131C0"/>
    <w:rsid w:val="00813364"/>
    <w:rsid w:val="0081356C"/>
    <w:rsid w:val="00813658"/>
    <w:rsid w:val="008138DC"/>
    <w:rsid w:val="00813CA5"/>
    <w:rsid w:val="00813D4E"/>
    <w:rsid w:val="0081473E"/>
    <w:rsid w:val="0081489F"/>
    <w:rsid w:val="00814919"/>
    <w:rsid w:val="00814930"/>
    <w:rsid w:val="00814985"/>
    <w:rsid w:val="00814B2F"/>
    <w:rsid w:val="00814C7A"/>
    <w:rsid w:val="00814F13"/>
    <w:rsid w:val="0081519F"/>
    <w:rsid w:val="00815286"/>
    <w:rsid w:val="008155BF"/>
    <w:rsid w:val="008157A1"/>
    <w:rsid w:val="008158AE"/>
    <w:rsid w:val="00815EB5"/>
    <w:rsid w:val="00816332"/>
    <w:rsid w:val="00816674"/>
    <w:rsid w:val="0081675A"/>
    <w:rsid w:val="0081708B"/>
    <w:rsid w:val="008171E5"/>
    <w:rsid w:val="0081799F"/>
    <w:rsid w:val="00817D48"/>
    <w:rsid w:val="00817E0C"/>
    <w:rsid w:val="00817EF6"/>
    <w:rsid w:val="008201DA"/>
    <w:rsid w:val="0082062B"/>
    <w:rsid w:val="00820BB7"/>
    <w:rsid w:val="00820C30"/>
    <w:rsid w:val="0082119D"/>
    <w:rsid w:val="00821628"/>
    <w:rsid w:val="008216DE"/>
    <w:rsid w:val="00821749"/>
    <w:rsid w:val="00821B52"/>
    <w:rsid w:val="00821B81"/>
    <w:rsid w:val="00821E05"/>
    <w:rsid w:val="0082256E"/>
    <w:rsid w:val="00822676"/>
    <w:rsid w:val="00822AD7"/>
    <w:rsid w:val="00823036"/>
    <w:rsid w:val="00823D94"/>
    <w:rsid w:val="00823DA0"/>
    <w:rsid w:val="0082413D"/>
    <w:rsid w:val="00824289"/>
    <w:rsid w:val="008246BA"/>
    <w:rsid w:val="008246E9"/>
    <w:rsid w:val="00824D58"/>
    <w:rsid w:val="00824E41"/>
    <w:rsid w:val="00824F65"/>
    <w:rsid w:val="0082528B"/>
    <w:rsid w:val="00825347"/>
    <w:rsid w:val="00825C37"/>
    <w:rsid w:val="0082645C"/>
    <w:rsid w:val="008266E5"/>
    <w:rsid w:val="00826EF8"/>
    <w:rsid w:val="008270D9"/>
    <w:rsid w:val="00827558"/>
    <w:rsid w:val="00827A25"/>
    <w:rsid w:val="00830360"/>
    <w:rsid w:val="008304E4"/>
    <w:rsid w:val="0083059C"/>
    <w:rsid w:val="0083060A"/>
    <w:rsid w:val="00830BC5"/>
    <w:rsid w:val="00830E9A"/>
    <w:rsid w:val="00831B34"/>
    <w:rsid w:val="00831DBA"/>
    <w:rsid w:val="00831F80"/>
    <w:rsid w:val="008321F8"/>
    <w:rsid w:val="0083251C"/>
    <w:rsid w:val="00832767"/>
    <w:rsid w:val="0083315C"/>
    <w:rsid w:val="008336E8"/>
    <w:rsid w:val="00833C79"/>
    <w:rsid w:val="00833C7E"/>
    <w:rsid w:val="00833FF9"/>
    <w:rsid w:val="008340FD"/>
    <w:rsid w:val="00834538"/>
    <w:rsid w:val="008345D7"/>
    <w:rsid w:val="00834CFC"/>
    <w:rsid w:val="00834F59"/>
    <w:rsid w:val="0083508A"/>
    <w:rsid w:val="008350E0"/>
    <w:rsid w:val="00835325"/>
    <w:rsid w:val="0083545B"/>
    <w:rsid w:val="008354A4"/>
    <w:rsid w:val="00835726"/>
    <w:rsid w:val="00835ADD"/>
    <w:rsid w:val="00835F53"/>
    <w:rsid w:val="008360AE"/>
    <w:rsid w:val="008361E5"/>
    <w:rsid w:val="00836306"/>
    <w:rsid w:val="00836567"/>
    <w:rsid w:val="00836E58"/>
    <w:rsid w:val="00836FEE"/>
    <w:rsid w:val="008375A8"/>
    <w:rsid w:val="00837A57"/>
    <w:rsid w:val="00837CD8"/>
    <w:rsid w:val="00837DB6"/>
    <w:rsid w:val="00840312"/>
    <w:rsid w:val="0084052F"/>
    <w:rsid w:val="00840946"/>
    <w:rsid w:val="00840975"/>
    <w:rsid w:val="00840978"/>
    <w:rsid w:val="00840AB8"/>
    <w:rsid w:val="00840BA9"/>
    <w:rsid w:val="00840DFD"/>
    <w:rsid w:val="00840ECA"/>
    <w:rsid w:val="008416D2"/>
    <w:rsid w:val="00841D54"/>
    <w:rsid w:val="00842140"/>
    <w:rsid w:val="00842150"/>
    <w:rsid w:val="00842339"/>
    <w:rsid w:val="00842AE7"/>
    <w:rsid w:val="00842DD3"/>
    <w:rsid w:val="0084328B"/>
    <w:rsid w:val="0084378B"/>
    <w:rsid w:val="00843B6C"/>
    <w:rsid w:val="0084400B"/>
    <w:rsid w:val="00844074"/>
    <w:rsid w:val="008443F6"/>
    <w:rsid w:val="008446A3"/>
    <w:rsid w:val="00844701"/>
    <w:rsid w:val="00844B58"/>
    <w:rsid w:val="00844EF3"/>
    <w:rsid w:val="00845196"/>
    <w:rsid w:val="008456A2"/>
    <w:rsid w:val="00845A16"/>
    <w:rsid w:val="00845E51"/>
    <w:rsid w:val="00845EFB"/>
    <w:rsid w:val="00845F64"/>
    <w:rsid w:val="008460E8"/>
    <w:rsid w:val="00846C56"/>
    <w:rsid w:val="00847509"/>
    <w:rsid w:val="0084775B"/>
    <w:rsid w:val="00847DD5"/>
    <w:rsid w:val="00847E6E"/>
    <w:rsid w:val="00847F9A"/>
    <w:rsid w:val="00850193"/>
    <w:rsid w:val="008503D2"/>
    <w:rsid w:val="00850595"/>
    <w:rsid w:val="0085066B"/>
    <w:rsid w:val="00850A15"/>
    <w:rsid w:val="00850C64"/>
    <w:rsid w:val="00850EC8"/>
    <w:rsid w:val="00850EFB"/>
    <w:rsid w:val="008512A6"/>
    <w:rsid w:val="00851C68"/>
    <w:rsid w:val="00851C76"/>
    <w:rsid w:val="00851C8C"/>
    <w:rsid w:val="008520AB"/>
    <w:rsid w:val="0085212E"/>
    <w:rsid w:val="00852356"/>
    <w:rsid w:val="00853169"/>
    <w:rsid w:val="008534A6"/>
    <w:rsid w:val="008536FE"/>
    <w:rsid w:val="00853B66"/>
    <w:rsid w:val="00853B6E"/>
    <w:rsid w:val="00853C92"/>
    <w:rsid w:val="00853E6C"/>
    <w:rsid w:val="0085441F"/>
    <w:rsid w:val="00854B81"/>
    <w:rsid w:val="00854C14"/>
    <w:rsid w:val="00855197"/>
    <w:rsid w:val="008557D5"/>
    <w:rsid w:val="00855A46"/>
    <w:rsid w:val="00855BBA"/>
    <w:rsid w:val="00856011"/>
    <w:rsid w:val="00856340"/>
    <w:rsid w:val="008563B6"/>
    <w:rsid w:val="00856CDB"/>
    <w:rsid w:val="00856F6B"/>
    <w:rsid w:val="008572BD"/>
    <w:rsid w:val="00857AE2"/>
    <w:rsid w:val="008603C7"/>
    <w:rsid w:val="008605BA"/>
    <w:rsid w:val="00860829"/>
    <w:rsid w:val="00860A2C"/>
    <w:rsid w:val="00860E6F"/>
    <w:rsid w:val="0086188F"/>
    <w:rsid w:val="00861CB3"/>
    <w:rsid w:val="0086203E"/>
    <w:rsid w:val="00862047"/>
    <w:rsid w:val="0086237E"/>
    <w:rsid w:val="00862431"/>
    <w:rsid w:val="00862535"/>
    <w:rsid w:val="0086254E"/>
    <w:rsid w:val="00862754"/>
    <w:rsid w:val="00862A23"/>
    <w:rsid w:val="00862B86"/>
    <w:rsid w:val="00862F71"/>
    <w:rsid w:val="0086315C"/>
    <w:rsid w:val="00863806"/>
    <w:rsid w:val="00863DE4"/>
    <w:rsid w:val="00863E7B"/>
    <w:rsid w:val="00863F56"/>
    <w:rsid w:val="0086480B"/>
    <w:rsid w:val="00864A9C"/>
    <w:rsid w:val="00864D58"/>
    <w:rsid w:val="008650FD"/>
    <w:rsid w:val="00865768"/>
    <w:rsid w:val="00865D93"/>
    <w:rsid w:val="00865E65"/>
    <w:rsid w:val="00865FD5"/>
    <w:rsid w:val="00866482"/>
    <w:rsid w:val="00866638"/>
    <w:rsid w:val="00866DC8"/>
    <w:rsid w:val="00866E11"/>
    <w:rsid w:val="0086707E"/>
    <w:rsid w:val="00867571"/>
    <w:rsid w:val="008678A5"/>
    <w:rsid w:val="00867969"/>
    <w:rsid w:val="00867A1D"/>
    <w:rsid w:val="00867C44"/>
    <w:rsid w:val="00867D1F"/>
    <w:rsid w:val="00870106"/>
    <w:rsid w:val="0087024F"/>
    <w:rsid w:val="0087040C"/>
    <w:rsid w:val="008704DC"/>
    <w:rsid w:val="00871266"/>
    <w:rsid w:val="00871343"/>
    <w:rsid w:val="00871958"/>
    <w:rsid w:val="008719C9"/>
    <w:rsid w:val="00871FDA"/>
    <w:rsid w:val="008723B0"/>
    <w:rsid w:val="00872490"/>
    <w:rsid w:val="008729D5"/>
    <w:rsid w:val="00872EF8"/>
    <w:rsid w:val="0087319C"/>
    <w:rsid w:val="0087352D"/>
    <w:rsid w:val="0087354C"/>
    <w:rsid w:val="0087358B"/>
    <w:rsid w:val="008741C1"/>
    <w:rsid w:val="008742C7"/>
    <w:rsid w:val="008751A5"/>
    <w:rsid w:val="0087609E"/>
    <w:rsid w:val="008761B8"/>
    <w:rsid w:val="008762FF"/>
    <w:rsid w:val="008768F4"/>
    <w:rsid w:val="00876E46"/>
    <w:rsid w:val="00876FF4"/>
    <w:rsid w:val="00877254"/>
    <w:rsid w:val="008778C9"/>
    <w:rsid w:val="00877B7A"/>
    <w:rsid w:val="00877D33"/>
    <w:rsid w:val="00877EA8"/>
    <w:rsid w:val="008804CF"/>
    <w:rsid w:val="00880730"/>
    <w:rsid w:val="00880B34"/>
    <w:rsid w:val="00880B52"/>
    <w:rsid w:val="008810DD"/>
    <w:rsid w:val="008811A5"/>
    <w:rsid w:val="0088128C"/>
    <w:rsid w:val="00881A01"/>
    <w:rsid w:val="00881BB0"/>
    <w:rsid w:val="00881C97"/>
    <w:rsid w:val="00881CA9"/>
    <w:rsid w:val="00881D24"/>
    <w:rsid w:val="00881DF1"/>
    <w:rsid w:val="00882849"/>
    <w:rsid w:val="00882A34"/>
    <w:rsid w:val="00883187"/>
    <w:rsid w:val="008831AF"/>
    <w:rsid w:val="00883791"/>
    <w:rsid w:val="00883A80"/>
    <w:rsid w:val="00883C58"/>
    <w:rsid w:val="00884584"/>
    <w:rsid w:val="008848FB"/>
    <w:rsid w:val="00886181"/>
    <w:rsid w:val="008864AA"/>
    <w:rsid w:val="008864C9"/>
    <w:rsid w:val="0088666C"/>
    <w:rsid w:val="00886B80"/>
    <w:rsid w:val="0088796E"/>
    <w:rsid w:val="00887F6A"/>
    <w:rsid w:val="00887FB7"/>
    <w:rsid w:val="00890436"/>
    <w:rsid w:val="008907C2"/>
    <w:rsid w:val="00891781"/>
    <w:rsid w:val="00891CAC"/>
    <w:rsid w:val="00891D6F"/>
    <w:rsid w:val="008926BE"/>
    <w:rsid w:val="008927EC"/>
    <w:rsid w:val="008927FE"/>
    <w:rsid w:val="0089305B"/>
    <w:rsid w:val="00893727"/>
    <w:rsid w:val="00893F41"/>
    <w:rsid w:val="0089406C"/>
    <w:rsid w:val="00894352"/>
    <w:rsid w:val="00894370"/>
    <w:rsid w:val="008950A9"/>
    <w:rsid w:val="0089512D"/>
    <w:rsid w:val="008952EA"/>
    <w:rsid w:val="00895735"/>
    <w:rsid w:val="008961F5"/>
    <w:rsid w:val="0089735D"/>
    <w:rsid w:val="008975F5"/>
    <w:rsid w:val="008976E2"/>
    <w:rsid w:val="008A05D9"/>
    <w:rsid w:val="008A099C"/>
    <w:rsid w:val="008A0D1E"/>
    <w:rsid w:val="008A1008"/>
    <w:rsid w:val="008A11A8"/>
    <w:rsid w:val="008A1629"/>
    <w:rsid w:val="008A1872"/>
    <w:rsid w:val="008A1FFA"/>
    <w:rsid w:val="008A21A6"/>
    <w:rsid w:val="008A2BAE"/>
    <w:rsid w:val="008A3297"/>
    <w:rsid w:val="008A3324"/>
    <w:rsid w:val="008A3D14"/>
    <w:rsid w:val="008A3D73"/>
    <w:rsid w:val="008A4533"/>
    <w:rsid w:val="008A476F"/>
    <w:rsid w:val="008A4A04"/>
    <w:rsid w:val="008A504D"/>
    <w:rsid w:val="008A648E"/>
    <w:rsid w:val="008A691C"/>
    <w:rsid w:val="008A69D1"/>
    <w:rsid w:val="008A7067"/>
    <w:rsid w:val="008A716F"/>
    <w:rsid w:val="008A73CB"/>
    <w:rsid w:val="008A7936"/>
    <w:rsid w:val="008A7E7B"/>
    <w:rsid w:val="008B0084"/>
    <w:rsid w:val="008B05B9"/>
    <w:rsid w:val="008B06F0"/>
    <w:rsid w:val="008B0BBE"/>
    <w:rsid w:val="008B14CF"/>
    <w:rsid w:val="008B1BD5"/>
    <w:rsid w:val="008B201A"/>
    <w:rsid w:val="008B217B"/>
    <w:rsid w:val="008B2A43"/>
    <w:rsid w:val="008B2D1F"/>
    <w:rsid w:val="008B33A9"/>
    <w:rsid w:val="008B39A9"/>
    <w:rsid w:val="008B3C7E"/>
    <w:rsid w:val="008B3CBF"/>
    <w:rsid w:val="008B43EE"/>
    <w:rsid w:val="008B4429"/>
    <w:rsid w:val="008B4672"/>
    <w:rsid w:val="008B46A5"/>
    <w:rsid w:val="008B4824"/>
    <w:rsid w:val="008B4E60"/>
    <w:rsid w:val="008B538F"/>
    <w:rsid w:val="008B572B"/>
    <w:rsid w:val="008B5ADC"/>
    <w:rsid w:val="008B5D49"/>
    <w:rsid w:val="008B6196"/>
    <w:rsid w:val="008B6949"/>
    <w:rsid w:val="008B6E81"/>
    <w:rsid w:val="008B6EB2"/>
    <w:rsid w:val="008B6F4C"/>
    <w:rsid w:val="008B73B9"/>
    <w:rsid w:val="008B76AD"/>
    <w:rsid w:val="008B7E2A"/>
    <w:rsid w:val="008B7FCC"/>
    <w:rsid w:val="008C0133"/>
    <w:rsid w:val="008C015C"/>
    <w:rsid w:val="008C09C8"/>
    <w:rsid w:val="008C0FFD"/>
    <w:rsid w:val="008C1862"/>
    <w:rsid w:val="008C1879"/>
    <w:rsid w:val="008C20E3"/>
    <w:rsid w:val="008C2163"/>
    <w:rsid w:val="008C2269"/>
    <w:rsid w:val="008C23B1"/>
    <w:rsid w:val="008C23D5"/>
    <w:rsid w:val="008C27FE"/>
    <w:rsid w:val="008C3F9D"/>
    <w:rsid w:val="008C4077"/>
    <w:rsid w:val="008C40F4"/>
    <w:rsid w:val="008C4700"/>
    <w:rsid w:val="008C482D"/>
    <w:rsid w:val="008C49EA"/>
    <w:rsid w:val="008C4B27"/>
    <w:rsid w:val="008C4EAC"/>
    <w:rsid w:val="008C50E8"/>
    <w:rsid w:val="008C53FE"/>
    <w:rsid w:val="008C55C4"/>
    <w:rsid w:val="008C5647"/>
    <w:rsid w:val="008C5DAF"/>
    <w:rsid w:val="008C62B9"/>
    <w:rsid w:val="008C6412"/>
    <w:rsid w:val="008C6488"/>
    <w:rsid w:val="008C6803"/>
    <w:rsid w:val="008C6872"/>
    <w:rsid w:val="008C69EC"/>
    <w:rsid w:val="008C75AB"/>
    <w:rsid w:val="008C7631"/>
    <w:rsid w:val="008C76F6"/>
    <w:rsid w:val="008C7B37"/>
    <w:rsid w:val="008C7E48"/>
    <w:rsid w:val="008D019E"/>
    <w:rsid w:val="008D03C9"/>
    <w:rsid w:val="008D051A"/>
    <w:rsid w:val="008D0A1B"/>
    <w:rsid w:val="008D0DDD"/>
    <w:rsid w:val="008D0FA0"/>
    <w:rsid w:val="008D1586"/>
    <w:rsid w:val="008D1BAE"/>
    <w:rsid w:val="008D1CE8"/>
    <w:rsid w:val="008D1DB5"/>
    <w:rsid w:val="008D1EAD"/>
    <w:rsid w:val="008D22EF"/>
    <w:rsid w:val="008D245F"/>
    <w:rsid w:val="008D265C"/>
    <w:rsid w:val="008D2CEE"/>
    <w:rsid w:val="008D2FBA"/>
    <w:rsid w:val="008D31EA"/>
    <w:rsid w:val="008D3729"/>
    <w:rsid w:val="008D4160"/>
    <w:rsid w:val="008D4215"/>
    <w:rsid w:val="008D4257"/>
    <w:rsid w:val="008D442B"/>
    <w:rsid w:val="008D462C"/>
    <w:rsid w:val="008D497D"/>
    <w:rsid w:val="008D4A88"/>
    <w:rsid w:val="008D4BC1"/>
    <w:rsid w:val="008D4BEA"/>
    <w:rsid w:val="008D4DEA"/>
    <w:rsid w:val="008D5057"/>
    <w:rsid w:val="008D5488"/>
    <w:rsid w:val="008D5A92"/>
    <w:rsid w:val="008D5EDF"/>
    <w:rsid w:val="008D6064"/>
    <w:rsid w:val="008D63B9"/>
    <w:rsid w:val="008D65E3"/>
    <w:rsid w:val="008D66A0"/>
    <w:rsid w:val="008D6B1C"/>
    <w:rsid w:val="008D6F81"/>
    <w:rsid w:val="008D72F6"/>
    <w:rsid w:val="008D765A"/>
    <w:rsid w:val="008D781D"/>
    <w:rsid w:val="008D7BEC"/>
    <w:rsid w:val="008E079A"/>
    <w:rsid w:val="008E0DA5"/>
    <w:rsid w:val="008E0FA6"/>
    <w:rsid w:val="008E13BC"/>
    <w:rsid w:val="008E1506"/>
    <w:rsid w:val="008E20C3"/>
    <w:rsid w:val="008E2504"/>
    <w:rsid w:val="008E2BA0"/>
    <w:rsid w:val="008E2D1B"/>
    <w:rsid w:val="008E2FCC"/>
    <w:rsid w:val="008E3319"/>
    <w:rsid w:val="008E3328"/>
    <w:rsid w:val="008E34FE"/>
    <w:rsid w:val="008E358B"/>
    <w:rsid w:val="008E3798"/>
    <w:rsid w:val="008E3A7B"/>
    <w:rsid w:val="008E4014"/>
    <w:rsid w:val="008E41F5"/>
    <w:rsid w:val="008E4679"/>
    <w:rsid w:val="008E4A1B"/>
    <w:rsid w:val="008E4C09"/>
    <w:rsid w:val="008E4E13"/>
    <w:rsid w:val="008E4E16"/>
    <w:rsid w:val="008E532A"/>
    <w:rsid w:val="008E5690"/>
    <w:rsid w:val="008E5A86"/>
    <w:rsid w:val="008E6488"/>
    <w:rsid w:val="008E64DF"/>
    <w:rsid w:val="008E69C4"/>
    <w:rsid w:val="008E6E6D"/>
    <w:rsid w:val="008E79AF"/>
    <w:rsid w:val="008F00A8"/>
    <w:rsid w:val="008F02B0"/>
    <w:rsid w:val="008F0B52"/>
    <w:rsid w:val="008F0CD6"/>
    <w:rsid w:val="008F0E45"/>
    <w:rsid w:val="008F1111"/>
    <w:rsid w:val="008F156B"/>
    <w:rsid w:val="008F15A9"/>
    <w:rsid w:val="008F1747"/>
    <w:rsid w:val="008F2042"/>
    <w:rsid w:val="008F3D7F"/>
    <w:rsid w:val="008F3EA3"/>
    <w:rsid w:val="008F441E"/>
    <w:rsid w:val="008F46AE"/>
    <w:rsid w:val="008F4916"/>
    <w:rsid w:val="008F4BF1"/>
    <w:rsid w:val="008F4C7C"/>
    <w:rsid w:val="008F556A"/>
    <w:rsid w:val="008F55AB"/>
    <w:rsid w:val="008F59B6"/>
    <w:rsid w:val="008F5A07"/>
    <w:rsid w:val="008F5F90"/>
    <w:rsid w:val="008F60EF"/>
    <w:rsid w:val="008F6E88"/>
    <w:rsid w:val="008F7037"/>
    <w:rsid w:val="008F7309"/>
    <w:rsid w:val="008F77CF"/>
    <w:rsid w:val="008F7A3A"/>
    <w:rsid w:val="00900381"/>
    <w:rsid w:val="009008A0"/>
    <w:rsid w:val="00900A22"/>
    <w:rsid w:val="00900D54"/>
    <w:rsid w:val="009011AA"/>
    <w:rsid w:val="0090143E"/>
    <w:rsid w:val="009016A2"/>
    <w:rsid w:val="009016FF"/>
    <w:rsid w:val="00901814"/>
    <w:rsid w:val="009018E6"/>
    <w:rsid w:val="0090194A"/>
    <w:rsid w:val="00901A75"/>
    <w:rsid w:val="00902017"/>
    <w:rsid w:val="00902943"/>
    <w:rsid w:val="00902D7C"/>
    <w:rsid w:val="00902FF2"/>
    <w:rsid w:val="00903033"/>
    <w:rsid w:val="0090312D"/>
    <w:rsid w:val="009034A6"/>
    <w:rsid w:val="009037CB"/>
    <w:rsid w:val="009037EA"/>
    <w:rsid w:val="0090386B"/>
    <w:rsid w:val="00903E2E"/>
    <w:rsid w:val="00904031"/>
    <w:rsid w:val="00904133"/>
    <w:rsid w:val="00904939"/>
    <w:rsid w:val="00904BDE"/>
    <w:rsid w:val="00905335"/>
    <w:rsid w:val="009056C2"/>
    <w:rsid w:val="00905857"/>
    <w:rsid w:val="00905F8E"/>
    <w:rsid w:val="009066C1"/>
    <w:rsid w:val="009066E0"/>
    <w:rsid w:val="0090696D"/>
    <w:rsid w:val="0090709D"/>
    <w:rsid w:val="0090779F"/>
    <w:rsid w:val="009077F6"/>
    <w:rsid w:val="00907ADB"/>
    <w:rsid w:val="00907E5A"/>
    <w:rsid w:val="009100AC"/>
    <w:rsid w:val="00910324"/>
    <w:rsid w:val="0091046F"/>
    <w:rsid w:val="00910C09"/>
    <w:rsid w:val="00911085"/>
    <w:rsid w:val="009112CF"/>
    <w:rsid w:val="0091197B"/>
    <w:rsid w:val="00911AEC"/>
    <w:rsid w:val="009122A2"/>
    <w:rsid w:val="009125FB"/>
    <w:rsid w:val="00912604"/>
    <w:rsid w:val="009127A5"/>
    <w:rsid w:val="00912D9B"/>
    <w:rsid w:val="00912FEC"/>
    <w:rsid w:val="009132DF"/>
    <w:rsid w:val="00913334"/>
    <w:rsid w:val="009133C7"/>
    <w:rsid w:val="00913604"/>
    <w:rsid w:val="009139E5"/>
    <w:rsid w:val="00914082"/>
    <w:rsid w:val="009140EC"/>
    <w:rsid w:val="0091410E"/>
    <w:rsid w:val="009141B0"/>
    <w:rsid w:val="00914679"/>
    <w:rsid w:val="009147EE"/>
    <w:rsid w:val="00914B70"/>
    <w:rsid w:val="00914BBE"/>
    <w:rsid w:val="00914C83"/>
    <w:rsid w:val="00914CC2"/>
    <w:rsid w:val="00914DBD"/>
    <w:rsid w:val="00914E7A"/>
    <w:rsid w:val="00915377"/>
    <w:rsid w:val="00915913"/>
    <w:rsid w:val="00915A89"/>
    <w:rsid w:val="00915BAB"/>
    <w:rsid w:val="00915DC7"/>
    <w:rsid w:val="00916375"/>
    <w:rsid w:val="009165FA"/>
    <w:rsid w:val="0091680A"/>
    <w:rsid w:val="00916CA9"/>
    <w:rsid w:val="00916D0A"/>
    <w:rsid w:val="00916ED8"/>
    <w:rsid w:val="00916FBA"/>
    <w:rsid w:val="0091798E"/>
    <w:rsid w:val="00917B45"/>
    <w:rsid w:val="00917D00"/>
    <w:rsid w:val="0092044D"/>
    <w:rsid w:val="00920842"/>
    <w:rsid w:val="00920B40"/>
    <w:rsid w:val="009211BB"/>
    <w:rsid w:val="009215BF"/>
    <w:rsid w:val="0092176D"/>
    <w:rsid w:val="0092177A"/>
    <w:rsid w:val="00921842"/>
    <w:rsid w:val="009218CD"/>
    <w:rsid w:val="00921AEC"/>
    <w:rsid w:val="0092223B"/>
    <w:rsid w:val="009224D7"/>
    <w:rsid w:val="0092296F"/>
    <w:rsid w:val="00922F8A"/>
    <w:rsid w:val="00922FBD"/>
    <w:rsid w:val="00923645"/>
    <w:rsid w:val="00923A6A"/>
    <w:rsid w:val="00923C3A"/>
    <w:rsid w:val="0092422A"/>
    <w:rsid w:val="0092456C"/>
    <w:rsid w:val="009249AC"/>
    <w:rsid w:val="00925396"/>
    <w:rsid w:val="00925C67"/>
    <w:rsid w:val="00925E51"/>
    <w:rsid w:val="00925FC9"/>
    <w:rsid w:val="00926D01"/>
    <w:rsid w:val="00926E66"/>
    <w:rsid w:val="00927059"/>
    <w:rsid w:val="0092737F"/>
    <w:rsid w:val="00927404"/>
    <w:rsid w:val="00927594"/>
    <w:rsid w:val="0092784E"/>
    <w:rsid w:val="00927B34"/>
    <w:rsid w:val="00927D0E"/>
    <w:rsid w:val="00927EA2"/>
    <w:rsid w:val="00927ECD"/>
    <w:rsid w:val="0093051D"/>
    <w:rsid w:val="00930665"/>
    <w:rsid w:val="00930FC1"/>
    <w:rsid w:val="00931546"/>
    <w:rsid w:val="0093182E"/>
    <w:rsid w:val="00931EA1"/>
    <w:rsid w:val="00932544"/>
    <w:rsid w:val="0093269B"/>
    <w:rsid w:val="009328C4"/>
    <w:rsid w:val="00932A5E"/>
    <w:rsid w:val="00932ADA"/>
    <w:rsid w:val="009333D7"/>
    <w:rsid w:val="009336ED"/>
    <w:rsid w:val="009337BA"/>
    <w:rsid w:val="009339DF"/>
    <w:rsid w:val="00933BD2"/>
    <w:rsid w:val="00933C6A"/>
    <w:rsid w:val="00934243"/>
    <w:rsid w:val="009343F3"/>
    <w:rsid w:val="009347AA"/>
    <w:rsid w:val="00934AE6"/>
    <w:rsid w:val="00934B2C"/>
    <w:rsid w:val="00934C47"/>
    <w:rsid w:val="00934FC9"/>
    <w:rsid w:val="009353FF"/>
    <w:rsid w:val="00935DCD"/>
    <w:rsid w:val="00936277"/>
    <w:rsid w:val="00936743"/>
    <w:rsid w:val="00936919"/>
    <w:rsid w:val="00936BB2"/>
    <w:rsid w:val="00936F9D"/>
    <w:rsid w:val="009372E4"/>
    <w:rsid w:val="009400C3"/>
    <w:rsid w:val="00940406"/>
    <w:rsid w:val="00940538"/>
    <w:rsid w:val="0094071E"/>
    <w:rsid w:val="00940D31"/>
    <w:rsid w:val="009410E3"/>
    <w:rsid w:val="009411F5"/>
    <w:rsid w:val="00941791"/>
    <w:rsid w:val="009423BE"/>
    <w:rsid w:val="00942C80"/>
    <w:rsid w:val="009434C8"/>
    <w:rsid w:val="009435C4"/>
    <w:rsid w:val="00943850"/>
    <w:rsid w:val="009438E4"/>
    <w:rsid w:val="00943EC6"/>
    <w:rsid w:val="00943F5E"/>
    <w:rsid w:val="00944130"/>
    <w:rsid w:val="00944133"/>
    <w:rsid w:val="00944618"/>
    <w:rsid w:val="00944B33"/>
    <w:rsid w:val="00944D2B"/>
    <w:rsid w:val="0094584C"/>
    <w:rsid w:val="00945F41"/>
    <w:rsid w:val="00945F9E"/>
    <w:rsid w:val="009466DA"/>
    <w:rsid w:val="00946711"/>
    <w:rsid w:val="009468CC"/>
    <w:rsid w:val="00946B06"/>
    <w:rsid w:val="00947409"/>
    <w:rsid w:val="009476AF"/>
    <w:rsid w:val="00947888"/>
    <w:rsid w:val="0095086C"/>
    <w:rsid w:val="00950966"/>
    <w:rsid w:val="00951553"/>
    <w:rsid w:val="00951A92"/>
    <w:rsid w:val="00951C25"/>
    <w:rsid w:val="0095221F"/>
    <w:rsid w:val="0095235A"/>
    <w:rsid w:val="009526DF"/>
    <w:rsid w:val="009527EF"/>
    <w:rsid w:val="00952868"/>
    <w:rsid w:val="00953041"/>
    <w:rsid w:val="00953048"/>
    <w:rsid w:val="00953376"/>
    <w:rsid w:val="00953482"/>
    <w:rsid w:val="009535D6"/>
    <w:rsid w:val="00953737"/>
    <w:rsid w:val="00953746"/>
    <w:rsid w:val="00953789"/>
    <w:rsid w:val="00953888"/>
    <w:rsid w:val="00953B28"/>
    <w:rsid w:val="00954259"/>
    <w:rsid w:val="00954391"/>
    <w:rsid w:val="00954450"/>
    <w:rsid w:val="0095454C"/>
    <w:rsid w:val="009547DB"/>
    <w:rsid w:val="00955184"/>
    <w:rsid w:val="00955632"/>
    <w:rsid w:val="00955D1D"/>
    <w:rsid w:val="009560E3"/>
    <w:rsid w:val="00956217"/>
    <w:rsid w:val="0095649E"/>
    <w:rsid w:val="00956684"/>
    <w:rsid w:val="00956AB9"/>
    <w:rsid w:val="00956B34"/>
    <w:rsid w:val="00956BB6"/>
    <w:rsid w:val="00956C76"/>
    <w:rsid w:val="00957053"/>
    <w:rsid w:val="00957328"/>
    <w:rsid w:val="00957653"/>
    <w:rsid w:val="009579A1"/>
    <w:rsid w:val="00957A1D"/>
    <w:rsid w:val="00957ABF"/>
    <w:rsid w:val="00957BF1"/>
    <w:rsid w:val="00957D46"/>
    <w:rsid w:val="00957E9B"/>
    <w:rsid w:val="00957F79"/>
    <w:rsid w:val="0096026C"/>
    <w:rsid w:val="009608EE"/>
    <w:rsid w:val="009609C7"/>
    <w:rsid w:val="00961575"/>
    <w:rsid w:val="0096181B"/>
    <w:rsid w:val="009619C1"/>
    <w:rsid w:val="0096247D"/>
    <w:rsid w:val="009625B1"/>
    <w:rsid w:val="0096264E"/>
    <w:rsid w:val="00962762"/>
    <w:rsid w:val="00962946"/>
    <w:rsid w:val="00962AA3"/>
    <w:rsid w:val="00962ADD"/>
    <w:rsid w:val="00963095"/>
    <w:rsid w:val="00963ADE"/>
    <w:rsid w:val="00963B9B"/>
    <w:rsid w:val="00963D3A"/>
    <w:rsid w:val="00963F9E"/>
    <w:rsid w:val="009640E2"/>
    <w:rsid w:val="009643E3"/>
    <w:rsid w:val="00964912"/>
    <w:rsid w:val="00964DC8"/>
    <w:rsid w:val="00964E59"/>
    <w:rsid w:val="00965494"/>
    <w:rsid w:val="00965A39"/>
    <w:rsid w:val="0096614E"/>
    <w:rsid w:val="00966A80"/>
    <w:rsid w:val="00966B36"/>
    <w:rsid w:val="00966E77"/>
    <w:rsid w:val="00966F0A"/>
    <w:rsid w:val="0096700A"/>
    <w:rsid w:val="00967572"/>
    <w:rsid w:val="0096762E"/>
    <w:rsid w:val="00967690"/>
    <w:rsid w:val="009678E9"/>
    <w:rsid w:val="00967A61"/>
    <w:rsid w:val="00967BDC"/>
    <w:rsid w:val="00970004"/>
    <w:rsid w:val="0097018B"/>
    <w:rsid w:val="00970321"/>
    <w:rsid w:val="0097033E"/>
    <w:rsid w:val="00970B59"/>
    <w:rsid w:val="00970F96"/>
    <w:rsid w:val="00971284"/>
    <w:rsid w:val="00971606"/>
    <w:rsid w:val="009719D0"/>
    <w:rsid w:val="00971A61"/>
    <w:rsid w:val="00971AFB"/>
    <w:rsid w:val="00972060"/>
    <w:rsid w:val="009721E8"/>
    <w:rsid w:val="00972362"/>
    <w:rsid w:val="0097236D"/>
    <w:rsid w:val="009724BD"/>
    <w:rsid w:val="009725DA"/>
    <w:rsid w:val="00973474"/>
    <w:rsid w:val="009735F9"/>
    <w:rsid w:val="00973823"/>
    <w:rsid w:val="00973E62"/>
    <w:rsid w:val="0097425E"/>
    <w:rsid w:val="00974E00"/>
    <w:rsid w:val="00975221"/>
    <w:rsid w:val="00975509"/>
    <w:rsid w:val="0097552F"/>
    <w:rsid w:val="0097586D"/>
    <w:rsid w:val="00975CB8"/>
    <w:rsid w:val="00975D61"/>
    <w:rsid w:val="00975D6C"/>
    <w:rsid w:val="009763AF"/>
    <w:rsid w:val="009764E6"/>
    <w:rsid w:val="0097669C"/>
    <w:rsid w:val="00976C6F"/>
    <w:rsid w:val="00977064"/>
    <w:rsid w:val="009774B3"/>
    <w:rsid w:val="0097752B"/>
    <w:rsid w:val="00977805"/>
    <w:rsid w:val="00977A40"/>
    <w:rsid w:val="00977B48"/>
    <w:rsid w:val="00977EC4"/>
    <w:rsid w:val="00977FD3"/>
    <w:rsid w:val="00977FFC"/>
    <w:rsid w:val="0098045C"/>
    <w:rsid w:val="00980660"/>
    <w:rsid w:val="00980799"/>
    <w:rsid w:val="00980F84"/>
    <w:rsid w:val="0098108C"/>
    <w:rsid w:val="00981475"/>
    <w:rsid w:val="00981826"/>
    <w:rsid w:val="0098201B"/>
    <w:rsid w:val="00982134"/>
    <w:rsid w:val="00982139"/>
    <w:rsid w:val="00982177"/>
    <w:rsid w:val="00982518"/>
    <w:rsid w:val="0098254D"/>
    <w:rsid w:val="00982CB6"/>
    <w:rsid w:val="00982DF6"/>
    <w:rsid w:val="00983004"/>
    <w:rsid w:val="0098306A"/>
    <w:rsid w:val="00983A9E"/>
    <w:rsid w:val="0098409A"/>
    <w:rsid w:val="00984692"/>
    <w:rsid w:val="009846B9"/>
    <w:rsid w:val="0098489F"/>
    <w:rsid w:val="00984A4A"/>
    <w:rsid w:val="00984B87"/>
    <w:rsid w:val="00985409"/>
    <w:rsid w:val="00985E58"/>
    <w:rsid w:val="0098600B"/>
    <w:rsid w:val="009870FA"/>
    <w:rsid w:val="0098713F"/>
    <w:rsid w:val="009872B2"/>
    <w:rsid w:val="00987D8A"/>
    <w:rsid w:val="00990845"/>
    <w:rsid w:val="0099086E"/>
    <w:rsid w:val="00990959"/>
    <w:rsid w:val="00990E1C"/>
    <w:rsid w:val="00991494"/>
    <w:rsid w:val="00991946"/>
    <w:rsid w:val="00991ADE"/>
    <w:rsid w:val="00991B51"/>
    <w:rsid w:val="00991E5D"/>
    <w:rsid w:val="00991F3E"/>
    <w:rsid w:val="00991FF7"/>
    <w:rsid w:val="00992106"/>
    <w:rsid w:val="009921B5"/>
    <w:rsid w:val="00992287"/>
    <w:rsid w:val="009926FD"/>
    <w:rsid w:val="009927C0"/>
    <w:rsid w:val="00992923"/>
    <w:rsid w:val="00992AC9"/>
    <w:rsid w:val="00992CE8"/>
    <w:rsid w:val="009930CC"/>
    <w:rsid w:val="0099324C"/>
    <w:rsid w:val="0099382F"/>
    <w:rsid w:val="0099389F"/>
    <w:rsid w:val="00993DD9"/>
    <w:rsid w:val="009940D7"/>
    <w:rsid w:val="009943DA"/>
    <w:rsid w:val="009944E4"/>
    <w:rsid w:val="00994901"/>
    <w:rsid w:val="00994936"/>
    <w:rsid w:val="00995594"/>
    <w:rsid w:val="00995B79"/>
    <w:rsid w:val="00995E11"/>
    <w:rsid w:val="00996148"/>
    <w:rsid w:val="00996453"/>
    <w:rsid w:val="00996479"/>
    <w:rsid w:val="0099647E"/>
    <w:rsid w:val="00996A28"/>
    <w:rsid w:val="00996BC7"/>
    <w:rsid w:val="00996EC4"/>
    <w:rsid w:val="00996F9F"/>
    <w:rsid w:val="009974C2"/>
    <w:rsid w:val="00997542"/>
    <w:rsid w:val="00997657"/>
    <w:rsid w:val="00997FA1"/>
    <w:rsid w:val="009A01CB"/>
    <w:rsid w:val="009A051F"/>
    <w:rsid w:val="009A0648"/>
    <w:rsid w:val="009A06DA"/>
    <w:rsid w:val="009A09F7"/>
    <w:rsid w:val="009A1251"/>
    <w:rsid w:val="009A1323"/>
    <w:rsid w:val="009A1391"/>
    <w:rsid w:val="009A1494"/>
    <w:rsid w:val="009A1A43"/>
    <w:rsid w:val="009A1C2E"/>
    <w:rsid w:val="009A1C76"/>
    <w:rsid w:val="009A2540"/>
    <w:rsid w:val="009A256B"/>
    <w:rsid w:val="009A2C99"/>
    <w:rsid w:val="009A2F6F"/>
    <w:rsid w:val="009A32E9"/>
    <w:rsid w:val="009A331F"/>
    <w:rsid w:val="009A403F"/>
    <w:rsid w:val="009A4996"/>
    <w:rsid w:val="009A548D"/>
    <w:rsid w:val="009A54F8"/>
    <w:rsid w:val="009A56E4"/>
    <w:rsid w:val="009A5B25"/>
    <w:rsid w:val="009A5D4D"/>
    <w:rsid w:val="009A5EDB"/>
    <w:rsid w:val="009A698D"/>
    <w:rsid w:val="009A6C9F"/>
    <w:rsid w:val="009A70AC"/>
    <w:rsid w:val="009A79B8"/>
    <w:rsid w:val="009A7F58"/>
    <w:rsid w:val="009B021A"/>
    <w:rsid w:val="009B03FD"/>
    <w:rsid w:val="009B06F0"/>
    <w:rsid w:val="009B0796"/>
    <w:rsid w:val="009B0933"/>
    <w:rsid w:val="009B0A0F"/>
    <w:rsid w:val="009B10E0"/>
    <w:rsid w:val="009B121C"/>
    <w:rsid w:val="009B12F1"/>
    <w:rsid w:val="009B1380"/>
    <w:rsid w:val="009B152E"/>
    <w:rsid w:val="009B1639"/>
    <w:rsid w:val="009B1782"/>
    <w:rsid w:val="009B1909"/>
    <w:rsid w:val="009B191F"/>
    <w:rsid w:val="009B1CC4"/>
    <w:rsid w:val="009B1CEF"/>
    <w:rsid w:val="009B1E75"/>
    <w:rsid w:val="009B2103"/>
    <w:rsid w:val="009B2156"/>
    <w:rsid w:val="009B27AF"/>
    <w:rsid w:val="009B28D8"/>
    <w:rsid w:val="009B29ED"/>
    <w:rsid w:val="009B2DE3"/>
    <w:rsid w:val="009B3390"/>
    <w:rsid w:val="009B35C7"/>
    <w:rsid w:val="009B35D4"/>
    <w:rsid w:val="009B3822"/>
    <w:rsid w:val="009B399B"/>
    <w:rsid w:val="009B3A4F"/>
    <w:rsid w:val="009B3CD4"/>
    <w:rsid w:val="009B4352"/>
    <w:rsid w:val="009B4635"/>
    <w:rsid w:val="009B474F"/>
    <w:rsid w:val="009B47F9"/>
    <w:rsid w:val="009B496A"/>
    <w:rsid w:val="009B4BCC"/>
    <w:rsid w:val="009B4C50"/>
    <w:rsid w:val="009B4C8C"/>
    <w:rsid w:val="009B51F5"/>
    <w:rsid w:val="009B547B"/>
    <w:rsid w:val="009B55E4"/>
    <w:rsid w:val="009B6014"/>
    <w:rsid w:val="009B612B"/>
    <w:rsid w:val="009B6447"/>
    <w:rsid w:val="009B66E0"/>
    <w:rsid w:val="009B683E"/>
    <w:rsid w:val="009B6B27"/>
    <w:rsid w:val="009B6CB2"/>
    <w:rsid w:val="009B730B"/>
    <w:rsid w:val="009B78BA"/>
    <w:rsid w:val="009C04AD"/>
    <w:rsid w:val="009C057F"/>
    <w:rsid w:val="009C076B"/>
    <w:rsid w:val="009C0B60"/>
    <w:rsid w:val="009C1145"/>
    <w:rsid w:val="009C1710"/>
    <w:rsid w:val="009C1934"/>
    <w:rsid w:val="009C1BD3"/>
    <w:rsid w:val="009C1C95"/>
    <w:rsid w:val="009C22EA"/>
    <w:rsid w:val="009C2397"/>
    <w:rsid w:val="009C23E7"/>
    <w:rsid w:val="009C247B"/>
    <w:rsid w:val="009C2626"/>
    <w:rsid w:val="009C2C0B"/>
    <w:rsid w:val="009C2F5B"/>
    <w:rsid w:val="009C3461"/>
    <w:rsid w:val="009C35C4"/>
    <w:rsid w:val="009C3BB1"/>
    <w:rsid w:val="009C4129"/>
    <w:rsid w:val="009C454E"/>
    <w:rsid w:val="009C478D"/>
    <w:rsid w:val="009C4790"/>
    <w:rsid w:val="009C49CA"/>
    <w:rsid w:val="009C4B3D"/>
    <w:rsid w:val="009C4EC7"/>
    <w:rsid w:val="009C4F77"/>
    <w:rsid w:val="009C5561"/>
    <w:rsid w:val="009C5B15"/>
    <w:rsid w:val="009C5E01"/>
    <w:rsid w:val="009C5EE3"/>
    <w:rsid w:val="009C61C3"/>
    <w:rsid w:val="009C6223"/>
    <w:rsid w:val="009C6276"/>
    <w:rsid w:val="009C6423"/>
    <w:rsid w:val="009C6559"/>
    <w:rsid w:val="009C688A"/>
    <w:rsid w:val="009C70F5"/>
    <w:rsid w:val="009C72BD"/>
    <w:rsid w:val="009C75EC"/>
    <w:rsid w:val="009C78D8"/>
    <w:rsid w:val="009C79AE"/>
    <w:rsid w:val="009D0347"/>
    <w:rsid w:val="009D048E"/>
    <w:rsid w:val="009D087F"/>
    <w:rsid w:val="009D0B82"/>
    <w:rsid w:val="009D0C2F"/>
    <w:rsid w:val="009D1B0C"/>
    <w:rsid w:val="009D1C90"/>
    <w:rsid w:val="009D1EDB"/>
    <w:rsid w:val="009D2A83"/>
    <w:rsid w:val="009D3044"/>
    <w:rsid w:val="009D3DFB"/>
    <w:rsid w:val="009D48CF"/>
    <w:rsid w:val="009D4F4F"/>
    <w:rsid w:val="009D517E"/>
    <w:rsid w:val="009D52FE"/>
    <w:rsid w:val="009D57E0"/>
    <w:rsid w:val="009D589E"/>
    <w:rsid w:val="009D5B3F"/>
    <w:rsid w:val="009D5CE0"/>
    <w:rsid w:val="009D5E6A"/>
    <w:rsid w:val="009D674C"/>
    <w:rsid w:val="009D67A0"/>
    <w:rsid w:val="009D6A0C"/>
    <w:rsid w:val="009D6CA2"/>
    <w:rsid w:val="009D765C"/>
    <w:rsid w:val="009D7BA5"/>
    <w:rsid w:val="009D7CF2"/>
    <w:rsid w:val="009E0634"/>
    <w:rsid w:val="009E06BB"/>
    <w:rsid w:val="009E06F3"/>
    <w:rsid w:val="009E0DD7"/>
    <w:rsid w:val="009E0FE3"/>
    <w:rsid w:val="009E13D3"/>
    <w:rsid w:val="009E1944"/>
    <w:rsid w:val="009E1B1B"/>
    <w:rsid w:val="009E25D9"/>
    <w:rsid w:val="009E2C29"/>
    <w:rsid w:val="009E2CEA"/>
    <w:rsid w:val="009E2D17"/>
    <w:rsid w:val="009E2E83"/>
    <w:rsid w:val="009E2FA2"/>
    <w:rsid w:val="009E312A"/>
    <w:rsid w:val="009E34FC"/>
    <w:rsid w:val="009E4119"/>
    <w:rsid w:val="009E43E4"/>
    <w:rsid w:val="009E4CFF"/>
    <w:rsid w:val="009E4EA7"/>
    <w:rsid w:val="009E5100"/>
    <w:rsid w:val="009E5713"/>
    <w:rsid w:val="009E6303"/>
    <w:rsid w:val="009E639B"/>
    <w:rsid w:val="009E65AB"/>
    <w:rsid w:val="009E6D44"/>
    <w:rsid w:val="009E6EDB"/>
    <w:rsid w:val="009E7235"/>
    <w:rsid w:val="009E7DD7"/>
    <w:rsid w:val="009F080F"/>
    <w:rsid w:val="009F0ECA"/>
    <w:rsid w:val="009F1672"/>
    <w:rsid w:val="009F1853"/>
    <w:rsid w:val="009F2073"/>
    <w:rsid w:val="009F25C7"/>
    <w:rsid w:val="009F290C"/>
    <w:rsid w:val="009F2AD2"/>
    <w:rsid w:val="009F305E"/>
    <w:rsid w:val="009F36BA"/>
    <w:rsid w:val="009F3DFA"/>
    <w:rsid w:val="009F4F28"/>
    <w:rsid w:val="009F58CD"/>
    <w:rsid w:val="009F5A42"/>
    <w:rsid w:val="009F5BB2"/>
    <w:rsid w:val="009F5DC6"/>
    <w:rsid w:val="009F638A"/>
    <w:rsid w:val="009F6501"/>
    <w:rsid w:val="009F68F8"/>
    <w:rsid w:val="009F69B3"/>
    <w:rsid w:val="009F6A69"/>
    <w:rsid w:val="009F6C6E"/>
    <w:rsid w:val="009F6C8F"/>
    <w:rsid w:val="009F71E9"/>
    <w:rsid w:val="009F72FA"/>
    <w:rsid w:val="009F737D"/>
    <w:rsid w:val="009F7463"/>
    <w:rsid w:val="009F74AD"/>
    <w:rsid w:val="009F74CC"/>
    <w:rsid w:val="009F7C09"/>
    <w:rsid w:val="009F7DCA"/>
    <w:rsid w:val="00A00BCB"/>
    <w:rsid w:val="00A00CAC"/>
    <w:rsid w:val="00A0133B"/>
    <w:rsid w:val="00A01545"/>
    <w:rsid w:val="00A017EF"/>
    <w:rsid w:val="00A01A4E"/>
    <w:rsid w:val="00A01D69"/>
    <w:rsid w:val="00A0206D"/>
    <w:rsid w:val="00A0226B"/>
    <w:rsid w:val="00A02270"/>
    <w:rsid w:val="00A0256F"/>
    <w:rsid w:val="00A02A1E"/>
    <w:rsid w:val="00A02FA7"/>
    <w:rsid w:val="00A034F3"/>
    <w:rsid w:val="00A03AE8"/>
    <w:rsid w:val="00A03BC3"/>
    <w:rsid w:val="00A03CE3"/>
    <w:rsid w:val="00A03D2E"/>
    <w:rsid w:val="00A03DF8"/>
    <w:rsid w:val="00A03E72"/>
    <w:rsid w:val="00A0414F"/>
    <w:rsid w:val="00A0417C"/>
    <w:rsid w:val="00A043E4"/>
    <w:rsid w:val="00A044C8"/>
    <w:rsid w:val="00A04ECF"/>
    <w:rsid w:val="00A04FA4"/>
    <w:rsid w:val="00A05736"/>
    <w:rsid w:val="00A05B5A"/>
    <w:rsid w:val="00A061D4"/>
    <w:rsid w:val="00A06A21"/>
    <w:rsid w:val="00A06C71"/>
    <w:rsid w:val="00A06EF2"/>
    <w:rsid w:val="00A0728D"/>
    <w:rsid w:val="00A07957"/>
    <w:rsid w:val="00A07A52"/>
    <w:rsid w:val="00A07A59"/>
    <w:rsid w:val="00A07B66"/>
    <w:rsid w:val="00A07BE3"/>
    <w:rsid w:val="00A0AAFC"/>
    <w:rsid w:val="00A10312"/>
    <w:rsid w:val="00A10513"/>
    <w:rsid w:val="00A1087D"/>
    <w:rsid w:val="00A10B3E"/>
    <w:rsid w:val="00A10E0B"/>
    <w:rsid w:val="00A10E77"/>
    <w:rsid w:val="00A10F4B"/>
    <w:rsid w:val="00A1124B"/>
    <w:rsid w:val="00A11341"/>
    <w:rsid w:val="00A113D7"/>
    <w:rsid w:val="00A1141B"/>
    <w:rsid w:val="00A1148D"/>
    <w:rsid w:val="00A12253"/>
    <w:rsid w:val="00A124B8"/>
    <w:rsid w:val="00A1267C"/>
    <w:rsid w:val="00A12732"/>
    <w:rsid w:val="00A12AA4"/>
    <w:rsid w:val="00A132E9"/>
    <w:rsid w:val="00A137FB"/>
    <w:rsid w:val="00A13CE3"/>
    <w:rsid w:val="00A13FC5"/>
    <w:rsid w:val="00A14342"/>
    <w:rsid w:val="00A14763"/>
    <w:rsid w:val="00A150B9"/>
    <w:rsid w:val="00A15B55"/>
    <w:rsid w:val="00A161D6"/>
    <w:rsid w:val="00A16307"/>
    <w:rsid w:val="00A16654"/>
    <w:rsid w:val="00A169C3"/>
    <w:rsid w:val="00A16B89"/>
    <w:rsid w:val="00A16D01"/>
    <w:rsid w:val="00A16F39"/>
    <w:rsid w:val="00A17263"/>
    <w:rsid w:val="00A1790C"/>
    <w:rsid w:val="00A17A11"/>
    <w:rsid w:val="00A17E05"/>
    <w:rsid w:val="00A17F08"/>
    <w:rsid w:val="00A20785"/>
    <w:rsid w:val="00A20BA4"/>
    <w:rsid w:val="00A211D4"/>
    <w:rsid w:val="00A212DA"/>
    <w:rsid w:val="00A21330"/>
    <w:rsid w:val="00A21586"/>
    <w:rsid w:val="00A21F4E"/>
    <w:rsid w:val="00A21FE3"/>
    <w:rsid w:val="00A22059"/>
    <w:rsid w:val="00A2240F"/>
    <w:rsid w:val="00A22456"/>
    <w:rsid w:val="00A22885"/>
    <w:rsid w:val="00A22ACB"/>
    <w:rsid w:val="00A235A1"/>
    <w:rsid w:val="00A23783"/>
    <w:rsid w:val="00A23CC0"/>
    <w:rsid w:val="00A23FCD"/>
    <w:rsid w:val="00A2449E"/>
    <w:rsid w:val="00A244B6"/>
    <w:rsid w:val="00A24AE3"/>
    <w:rsid w:val="00A24AF6"/>
    <w:rsid w:val="00A24B22"/>
    <w:rsid w:val="00A24CC3"/>
    <w:rsid w:val="00A253F3"/>
    <w:rsid w:val="00A25807"/>
    <w:rsid w:val="00A25D81"/>
    <w:rsid w:val="00A25DE5"/>
    <w:rsid w:val="00A25E46"/>
    <w:rsid w:val="00A25FA0"/>
    <w:rsid w:val="00A2631F"/>
    <w:rsid w:val="00A263E2"/>
    <w:rsid w:val="00A268F9"/>
    <w:rsid w:val="00A2734A"/>
    <w:rsid w:val="00A27611"/>
    <w:rsid w:val="00A27EE8"/>
    <w:rsid w:val="00A30047"/>
    <w:rsid w:val="00A30238"/>
    <w:rsid w:val="00A306BB"/>
    <w:rsid w:val="00A30A0F"/>
    <w:rsid w:val="00A30A99"/>
    <w:rsid w:val="00A30AC1"/>
    <w:rsid w:val="00A30DA0"/>
    <w:rsid w:val="00A30FFC"/>
    <w:rsid w:val="00A31216"/>
    <w:rsid w:val="00A316F4"/>
    <w:rsid w:val="00A3206F"/>
    <w:rsid w:val="00A321F7"/>
    <w:rsid w:val="00A3222D"/>
    <w:rsid w:val="00A323A6"/>
    <w:rsid w:val="00A3240F"/>
    <w:rsid w:val="00A32782"/>
    <w:rsid w:val="00A32BD2"/>
    <w:rsid w:val="00A33304"/>
    <w:rsid w:val="00A33315"/>
    <w:rsid w:val="00A337EB"/>
    <w:rsid w:val="00A339F3"/>
    <w:rsid w:val="00A33AAD"/>
    <w:rsid w:val="00A34032"/>
    <w:rsid w:val="00A344FF"/>
    <w:rsid w:val="00A34501"/>
    <w:rsid w:val="00A349E3"/>
    <w:rsid w:val="00A34DFE"/>
    <w:rsid w:val="00A34DFF"/>
    <w:rsid w:val="00A34F46"/>
    <w:rsid w:val="00A3527C"/>
    <w:rsid w:val="00A355C6"/>
    <w:rsid w:val="00A35663"/>
    <w:rsid w:val="00A35AF3"/>
    <w:rsid w:val="00A36232"/>
    <w:rsid w:val="00A36337"/>
    <w:rsid w:val="00A363F5"/>
    <w:rsid w:val="00A36765"/>
    <w:rsid w:val="00A36767"/>
    <w:rsid w:val="00A36BCB"/>
    <w:rsid w:val="00A36E44"/>
    <w:rsid w:val="00A37112"/>
    <w:rsid w:val="00A371AE"/>
    <w:rsid w:val="00A371DC"/>
    <w:rsid w:val="00A37929"/>
    <w:rsid w:val="00A37E87"/>
    <w:rsid w:val="00A40C45"/>
    <w:rsid w:val="00A4102F"/>
    <w:rsid w:val="00A4136B"/>
    <w:rsid w:val="00A41489"/>
    <w:rsid w:val="00A41D5D"/>
    <w:rsid w:val="00A41DAA"/>
    <w:rsid w:val="00A42018"/>
    <w:rsid w:val="00A4221D"/>
    <w:rsid w:val="00A42884"/>
    <w:rsid w:val="00A428E6"/>
    <w:rsid w:val="00A43157"/>
    <w:rsid w:val="00A433CD"/>
    <w:rsid w:val="00A43B43"/>
    <w:rsid w:val="00A44649"/>
    <w:rsid w:val="00A44788"/>
    <w:rsid w:val="00A44B01"/>
    <w:rsid w:val="00A44C75"/>
    <w:rsid w:val="00A4508A"/>
    <w:rsid w:val="00A45968"/>
    <w:rsid w:val="00A459F4"/>
    <w:rsid w:val="00A460AD"/>
    <w:rsid w:val="00A467CF"/>
    <w:rsid w:val="00A468D3"/>
    <w:rsid w:val="00A46A20"/>
    <w:rsid w:val="00A46C68"/>
    <w:rsid w:val="00A46D73"/>
    <w:rsid w:val="00A46E6A"/>
    <w:rsid w:val="00A47295"/>
    <w:rsid w:val="00A47701"/>
    <w:rsid w:val="00A47834"/>
    <w:rsid w:val="00A5020A"/>
    <w:rsid w:val="00A503F9"/>
    <w:rsid w:val="00A50944"/>
    <w:rsid w:val="00A50958"/>
    <w:rsid w:val="00A50B1E"/>
    <w:rsid w:val="00A50B4A"/>
    <w:rsid w:val="00A50CCC"/>
    <w:rsid w:val="00A50D05"/>
    <w:rsid w:val="00A50DED"/>
    <w:rsid w:val="00A50EC3"/>
    <w:rsid w:val="00A5149E"/>
    <w:rsid w:val="00A51759"/>
    <w:rsid w:val="00A53829"/>
    <w:rsid w:val="00A53917"/>
    <w:rsid w:val="00A53E1A"/>
    <w:rsid w:val="00A53F6E"/>
    <w:rsid w:val="00A544BB"/>
    <w:rsid w:val="00A54FBD"/>
    <w:rsid w:val="00A5502E"/>
    <w:rsid w:val="00A5535A"/>
    <w:rsid w:val="00A553D8"/>
    <w:rsid w:val="00A554E6"/>
    <w:rsid w:val="00A55A42"/>
    <w:rsid w:val="00A563C0"/>
    <w:rsid w:val="00A5669B"/>
    <w:rsid w:val="00A56B48"/>
    <w:rsid w:val="00A56D49"/>
    <w:rsid w:val="00A56D64"/>
    <w:rsid w:val="00A57540"/>
    <w:rsid w:val="00A5799D"/>
    <w:rsid w:val="00A57ADD"/>
    <w:rsid w:val="00A57B98"/>
    <w:rsid w:val="00A57C5D"/>
    <w:rsid w:val="00A603F1"/>
    <w:rsid w:val="00A609B7"/>
    <w:rsid w:val="00A60BD8"/>
    <w:rsid w:val="00A60EDD"/>
    <w:rsid w:val="00A60F36"/>
    <w:rsid w:val="00A60FE7"/>
    <w:rsid w:val="00A6100C"/>
    <w:rsid w:val="00A61124"/>
    <w:rsid w:val="00A612D6"/>
    <w:rsid w:val="00A61552"/>
    <w:rsid w:val="00A61732"/>
    <w:rsid w:val="00A61735"/>
    <w:rsid w:val="00A617BB"/>
    <w:rsid w:val="00A61959"/>
    <w:rsid w:val="00A62058"/>
    <w:rsid w:val="00A629A5"/>
    <w:rsid w:val="00A62A28"/>
    <w:rsid w:val="00A62AE6"/>
    <w:rsid w:val="00A62B84"/>
    <w:rsid w:val="00A62CFB"/>
    <w:rsid w:val="00A62FDC"/>
    <w:rsid w:val="00A6311D"/>
    <w:rsid w:val="00A63244"/>
    <w:rsid w:val="00A633ED"/>
    <w:rsid w:val="00A636AB"/>
    <w:rsid w:val="00A63A01"/>
    <w:rsid w:val="00A63EAA"/>
    <w:rsid w:val="00A64085"/>
    <w:rsid w:val="00A64343"/>
    <w:rsid w:val="00A6454D"/>
    <w:rsid w:val="00A64A18"/>
    <w:rsid w:val="00A64B02"/>
    <w:rsid w:val="00A64D23"/>
    <w:rsid w:val="00A64FF9"/>
    <w:rsid w:val="00A65149"/>
    <w:rsid w:val="00A656DB"/>
    <w:rsid w:val="00A659D9"/>
    <w:rsid w:val="00A65FDE"/>
    <w:rsid w:val="00A66120"/>
    <w:rsid w:val="00A662A4"/>
    <w:rsid w:val="00A666E1"/>
    <w:rsid w:val="00A668B0"/>
    <w:rsid w:val="00A66CC9"/>
    <w:rsid w:val="00A67934"/>
    <w:rsid w:val="00A67987"/>
    <w:rsid w:val="00A67A7F"/>
    <w:rsid w:val="00A67C57"/>
    <w:rsid w:val="00A70E16"/>
    <w:rsid w:val="00A713B4"/>
    <w:rsid w:val="00A7171E"/>
    <w:rsid w:val="00A72167"/>
    <w:rsid w:val="00A72260"/>
    <w:rsid w:val="00A724A9"/>
    <w:rsid w:val="00A725ED"/>
    <w:rsid w:val="00A726CF"/>
    <w:rsid w:val="00A7298A"/>
    <w:rsid w:val="00A72A95"/>
    <w:rsid w:val="00A72BFE"/>
    <w:rsid w:val="00A73326"/>
    <w:rsid w:val="00A73973"/>
    <w:rsid w:val="00A739FF"/>
    <w:rsid w:val="00A73E78"/>
    <w:rsid w:val="00A74CB2"/>
    <w:rsid w:val="00A753A5"/>
    <w:rsid w:val="00A7574D"/>
    <w:rsid w:val="00A7596F"/>
    <w:rsid w:val="00A75BB7"/>
    <w:rsid w:val="00A75F21"/>
    <w:rsid w:val="00A7612F"/>
    <w:rsid w:val="00A76920"/>
    <w:rsid w:val="00A76ECB"/>
    <w:rsid w:val="00A770AE"/>
    <w:rsid w:val="00A7771C"/>
    <w:rsid w:val="00A77941"/>
    <w:rsid w:val="00A77B0A"/>
    <w:rsid w:val="00A77BAC"/>
    <w:rsid w:val="00A77CF8"/>
    <w:rsid w:val="00A80093"/>
    <w:rsid w:val="00A808EA"/>
    <w:rsid w:val="00A80EDF"/>
    <w:rsid w:val="00A81251"/>
    <w:rsid w:val="00A815AD"/>
    <w:rsid w:val="00A815BA"/>
    <w:rsid w:val="00A8168B"/>
    <w:rsid w:val="00A81D49"/>
    <w:rsid w:val="00A82073"/>
    <w:rsid w:val="00A820D3"/>
    <w:rsid w:val="00A821B7"/>
    <w:rsid w:val="00A822C9"/>
    <w:rsid w:val="00A825C8"/>
    <w:rsid w:val="00A82B73"/>
    <w:rsid w:val="00A82F01"/>
    <w:rsid w:val="00A8310C"/>
    <w:rsid w:val="00A83219"/>
    <w:rsid w:val="00A8334C"/>
    <w:rsid w:val="00A833A0"/>
    <w:rsid w:val="00A83425"/>
    <w:rsid w:val="00A8398E"/>
    <w:rsid w:val="00A839AB"/>
    <w:rsid w:val="00A83B12"/>
    <w:rsid w:val="00A83B73"/>
    <w:rsid w:val="00A840BC"/>
    <w:rsid w:val="00A840D0"/>
    <w:rsid w:val="00A8421D"/>
    <w:rsid w:val="00A846EE"/>
    <w:rsid w:val="00A847A1"/>
    <w:rsid w:val="00A84EE5"/>
    <w:rsid w:val="00A852CA"/>
    <w:rsid w:val="00A85319"/>
    <w:rsid w:val="00A8573F"/>
    <w:rsid w:val="00A8608E"/>
    <w:rsid w:val="00A864A5"/>
    <w:rsid w:val="00A866BA"/>
    <w:rsid w:val="00A86A1D"/>
    <w:rsid w:val="00A86C3D"/>
    <w:rsid w:val="00A87329"/>
    <w:rsid w:val="00A875EA"/>
    <w:rsid w:val="00A87703"/>
    <w:rsid w:val="00A87949"/>
    <w:rsid w:val="00A87C42"/>
    <w:rsid w:val="00A903E7"/>
    <w:rsid w:val="00A90C08"/>
    <w:rsid w:val="00A90C65"/>
    <w:rsid w:val="00A91104"/>
    <w:rsid w:val="00A91815"/>
    <w:rsid w:val="00A9187F"/>
    <w:rsid w:val="00A91BDF"/>
    <w:rsid w:val="00A91F9F"/>
    <w:rsid w:val="00A92757"/>
    <w:rsid w:val="00A92D5F"/>
    <w:rsid w:val="00A9303C"/>
    <w:rsid w:val="00A931AA"/>
    <w:rsid w:val="00A932D3"/>
    <w:rsid w:val="00A93ADE"/>
    <w:rsid w:val="00A93E38"/>
    <w:rsid w:val="00A94030"/>
    <w:rsid w:val="00A942EA"/>
    <w:rsid w:val="00A94C1D"/>
    <w:rsid w:val="00A94F52"/>
    <w:rsid w:val="00A95254"/>
    <w:rsid w:val="00A95674"/>
    <w:rsid w:val="00A960EA"/>
    <w:rsid w:val="00A968E5"/>
    <w:rsid w:val="00A969BA"/>
    <w:rsid w:val="00A96C7B"/>
    <w:rsid w:val="00A97184"/>
    <w:rsid w:val="00A972AE"/>
    <w:rsid w:val="00A972D6"/>
    <w:rsid w:val="00A9755D"/>
    <w:rsid w:val="00A97E53"/>
    <w:rsid w:val="00AA0001"/>
    <w:rsid w:val="00AA0043"/>
    <w:rsid w:val="00AA06E9"/>
    <w:rsid w:val="00AA0F7D"/>
    <w:rsid w:val="00AA11B1"/>
    <w:rsid w:val="00AA1504"/>
    <w:rsid w:val="00AA1BB5"/>
    <w:rsid w:val="00AA1E44"/>
    <w:rsid w:val="00AA1F04"/>
    <w:rsid w:val="00AA1FAE"/>
    <w:rsid w:val="00AA2334"/>
    <w:rsid w:val="00AA2A14"/>
    <w:rsid w:val="00AA2C96"/>
    <w:rsid w:val="00AA3234"/>
    <w:rsid w:val="00AA39BD"/>
    <w:rsid w:val="00AA3C1B"/>
    <w:rsid w:val="00AA4121"/>
    <w:rsid w:val="00AA4193"/>
    <w:rsid w:val="00AA474B"/>
    <w:rsid w:val="00AA4979"/>
    <w:rsid w:val="00AA4A28"/>
    <w:rsid w:val="00AA4F35"/>
    <w:rsid w:val="00AA521F"/>
    <w:rsid w:val="00AA5A3C"/>
    <w:rsid w:val="00AA5A78"/>
    <w:rsid w:val="00AA5D30"/>
    <w:rsid w:val="00AA6003"/>
    <w:rsid w:val="00AA68DA"/>
    <w:rsid w:val="00AA6A54"/>
    <w:rsid w:val="00AA7109"/>
    <w:rsid w:val="00AA71B7"/>
    <w:rsid w:val="00AA74F9"/>
    <w:rsid w:val="00AA7725"/>
    <w:rsid w:val="00AA7A58"/>
    <w:rsid w:val="00AB066F"/>
    <w:rsid w:val="00AB0A28"/>
    <w:rsid w:val="00AB0DB6"/>
    <w:rsid w:val="00AB108D"/>
    <w:rsid w:val="00AB14E8"/>
    <w:rsid w:val="00AB1CC0"/>
    <w:rsid w:val="00AB24E3"/>
    <w:rsid w:val="00AB2CBF"/>
    <w:rsid w:val="00AB2EF2"/>
    <w:rsid w:val="00AB3AC7"/>
    <w:rsid w:val="00AB3C2B"/>
    <w:rsid w:val="00AB3E66"/>
    <w:rsid w:val="00AB4107"/>
    <w:rsid w:val="00AB45A6"/>
    <w:rsid w:val="00AB482D"/>
    <w:rsid w:val="00AB4D3C"/>
    <w:rsid w:val="00AB4D86"/>
    <w:rsid w:val="00AB56CF"/>
    <w:rsid w:val="00AB586B"/>
    <w:rsid w:val="00AB5A09"/>
    <w:rsid w:val="00AB5E55"/>
    <w:rsid w:val="00AB6178"/>
    <w:rsid w:val="00AB62C9"/>
    <w:rsid w:val="00AB63CB"/>
    <w:rsid w:val="00AB6543"/>
    <w:rsid w:val="00AB6712"/>
    <w:rsid w:val="00AB680D"/>
    <w:rsid w:val="00AB6B1B"/>
    <w:rsid w:val="00AB6F06"/>
    <w:rsid w:val="00AB6F82"/>
    <w:rsid w:val="00AB7474"/>
    <w:rsid w:val="00AB75B9"/>
    <w:rsid w:val="00AB78B8"/>
    <w:rsid w:val="00AB7A60"/>
    <w:rsid w:val="00AB7B56"/>
    <w:rsid w:val="00AC00BC"/>
    <w:rsid w:val="00AC00F5"/>
    <w:rsid w:val="00AC0201"/>
    <w:rsid w:val="00AC029B"/>
    <w:rsid w:val="00AC0354"/>
    <w:rsid w:val="00AC03DC"/>
    <w:rsid w:val="00AC0772"/>
    <w:rsid w:val="00AC0811"/>
    <w:rsid w:val="00AC1B60"/>
    <w:rsid w:val="00AC1CA8"/>
    <w:rsid w:val="00AC1FA6"/>
    <w:rsid w:val="00AC20AC"/>
    <w:rsid w:val="00AC21FD"/>
    <w:rsid w:val="00AC284E"/>
    <w:rsid w:val="00AC340E"/>
    <w:rsid w:val="00AC34A6"/>
    <w:rsid w:val="00AC3D65"/>
    <w:rsid w:val="00AC4782"/>
    <w:rsid w:val="00AC5116"/>
    <w:rsid w:val="00AC51F6"/>
    <w:rsid w:val="00AC54C2"/>
    <w:rsid w:val="00AC54EE"/>
    <w:rsid w:val="00AC55F1"/>
    <w:rsid w:val="00AC5BB6"/>
    <w:rsid w:val="00AC5C56"/>
    <w:rsid w:val="00AC5C82"/>
    <w:rsid w:val="00AC5D90"/>
    <w:rsid w:val="00AC5E23"/>
    <w:rsid w:val="00AC645F"/>
    <w:rsid w:val="00AC646E"/>
    <w:rsid w:val="00AC66C8"/>
    <w:rsid w:val="00AC678C"/>
    <w:rsid w:val="00AC6958"/>
    <w:rsid w:val="00AC6BF8"/>
    <w:rsid w:val="00AC6E2D"/>
    <w:rsid w:val="00AC7132"/>
    <w:rsid w:val="00AD0140"/>
    <w:rsid w:val="00AD0973"/>
    <w:rsid w:val="00AD0BAC"/>
    <w:rsid w:val="00AD0F7A"/>
    <w:rsid w:val="00AD103D"/>
    <w:rsid w:val="00AD10B9"/>
    <w:rsid w:val="00AD11D8"/>
    <w:rsid w:val="00AD1490"/>
    <w:rsid w:val="00AD1B23"/>
    <w:rsid w:val="00AD1DC1"/>
    <w:rsid w:val="00AD1F0A"/>
    <w:rsid w:val="00AD2036"/>
    <w:rsid w:val="00AD2218"/>
    <w:rsid w:val="00AD2237"/>
    <w:rsid w:val="00AD2AB0"/>
    <w:rsid w:val="00AD2B54"/>
    <w:rsid w:val="00AD2D8E"/>
    <w:rsid w:val="00AD2F6D"/>
    <w:rsid w:val="00AD2FED"/>
    <w:rsid w:val="00AD3095"/>
    <w:rsid w:val="00AD32A5"/>
    <w:rsid w:val="00AD34B8"/>
    <w:rsid w:val="00AD38D9"/>
    <w:rsid w:val="00AD3B8D"/>
    <w:rsid w:val="00AD3BFD"/>
    <w:rsid w:val="00AD3C12"/>
    <w:rsid w:val="00AD3F3B"/>
    <w:rsid w:val="00AD4078"/>
    <w:rsid w:val="00AD4328"/>
    <w:rsid w:val="00AD4B7D"/>
    <w:rsid w:val="00AD4E98"/>
    <w:rsid w:val="00AD4FED"/>
    <w:rsid w:val="00AD5033"/>
    <w:rsid w:val="00AD52D5"/>
    <w:rsid w:val="00AD574C"/>
    <w:rsid w:val="00AD5B37"/>
    <w:rsid w:val="00AD5EC8"/>
    <w:rsid w:val="00AD5F88"/>
    <w:rsid w:val="00AD61B7"/>
    <w:rsid w:val="00AD61ED"/>
    <w:rsid w:val="00AD64EF"/>
    <w:rsid w:val="00AD6788"/>
    <w:rsid w:val="00AD6873"/>
    <w:rsid w:val="00AD6CB1"/>
    <w:rsid w:val="00AD7A81"/>
    <w:rsid w:val="00AE02FA"/>
    <w:rsid w:val="00AE07E2"/>
    <w:rsid w:val="00AE0D61"/>
    <w:rsid w:val="00AE0FBC"/>
    <w:rsid w:val="00AE3015"/>
    <w:rsid w:val="00AE345E"/>
    <w:rsid w:val="00AE3B2F"/>
    <w:rsid w:val="00AE4101"/>
    <w:rsid w:val="00AE44B3"/>
    <w:rsid w:val="00AE45AE"/>
    <w:rsid w:val="00AE4694"/>
    <w:rsid w:val="00AE499C"/>
    <w:rsid w:val="00AE4AE0"/>
    <w:rsid w:val="00AE5312"/>
    <w:rsid w:val="00AE53F8"/>
    <w:rsid w:val="00AE5CE0"/>
    <w:rsid w:val="00AE5E36"/>
    <w:rsid w:val="00AE601E"/>
    <w:rsid w:val="00AE6223"/>
    <w:rsid w:val="00AE6881"/>
    <w:rsid w:val="00AE6B26"/>
    <w:rsid w:val="00AE6EAA"/>
    <w:rsid w:val="00AE7036"/>
    <w:rsid w:val="00AE73A9"/>
    <w:rsid w:val="00AE77AF"/>
    <w:rsid w:val="00AE7A4D"/>
    <w:rsid w:val="00AE7DF3"/>
    <w:rsid w:val="00AE7E83"/>
    <w:rsid w:val="00AF0143"/>
    <w:rsid w:val="00AF04FD"/>
    <w:rsid w:val="00AF078B"/>
    <w:rsid w:val="00AF1A01"/>
    <w:rsid w:val="00AF1A94"/>
    <w:rsid w:val="00AF1AB8"/>
    <w:rsid w:val="00AF202E"/>
    <w:rsid w:val="00AF2098"/>
    <w:rsid w:val="00AF25EA"/>
    <w:rsid w:val="00AF2BB9"/>
    <w:rsid w:val="00AF2E3A"/>
    <w:rsid w:val="00AF2E51"/>
    <w:rsid w:val="00AF2F65"/>
    <w:rsid w:val="00AF3064"/>
    <w:rsid w:val="00AF331B"/>
    <w:rsid w:val="00AF34B8"/>
    <w:rsid w:val="00AF38F4"/>
    <w:rsid w:val="00AF43B0"/>
    <w:rsid w:val="00AF4400"/>
    <w:rsid w:val="00AF4496"/>
    <w:rsid w:val="00AF44F9"/>
    <w:rsid w:val="00AF4F74"/>
    <w:rsid w:val="00AF5290"/>
    <w:rsid w:val="00AF5607"/>
    <w:rsid w:val="00AF5BE6"/>
    <w:rsid w:val="00AF6302"/>
    <w:rsid w:val="00AF6338"/>
    <w:rsid w:val="00AF6E79"/>
    <w:rsid w:val="00AF70A5"/>
    <w:rsid w:val="00AF71CA"/>
    <w:rsid w:val="00AF7321"/>
    <w:rsid w:val="00AF73F6"/>
    <w:rsid w:val="00AF74EC"/>
    <w:rsid w:val="00AF79BD"/>
    <w:rsid w:val="00AF79E9"/>
    <w:rsid w:val="00B00F2B"/>
    <w:rsid w:val="00B012D0"/>
    <w:rsid w:val="00B013E1"/>
    <w:rsid w:val="00B01848"/>
    <w:rsid w:val="00B018A1"/>
    <w:rsid w:val="00B01994"/>
    <w:rsid w:val="00B01C63"/>
    <w:rsid w:val="00B01D3D"/>
    <w:rsid w:val="00B01F71"/>
    <w:rsid w:val="00B02423"/>
    <w:rsid w:val="00B02847"/>
    <w:rsid w:val="00B02FFF"/>
    <w:rsid w:val="00B03153"/>
    <w:rsid w:val="00B03C38"/>
    <w:rsid w:val="00B03F6A"/>
    <w:rsid w:val="00B04578"/>
    <w:rsid w:val="00B04D8A"/>
    <w:rsid w:val="00B05253"/>
    <w:rsid w:val="00B052BE"/>
    <w:rsid w:val="00B05FDA"/>
    <w:rsid w:val="00B060CE"/>
    <w:rsid w:val="00B061CF"/>
    <w:rsid w:val="00B068AA"/>
    <w:rsid w:val="00B06ADC"/>
    <w:rsid w:val="00B06BBB"/>
    <w:rsid w:val="00B06D24"/>
    <w:rsid w:val="00B06FF7"/>
    <w:rsid w:val="00B0703A"/>
    <w:rsid w:val="00B0720C"/>
    <w:rsid w:val="00B07D04"/>
    <w:rsid w:val="00B07D5D"/>
    <w:rsid w:val="00B1029C"/>
    <w:rsid w:val="00B105E6"/>
    <w:rsid w:val="00B10BB6"/>
    <w:rsid w:val="00B11249"/>
    <w:rsid w:val="00B1143C"/>
    <w:rsid w:val="00B11830"/>
    <w:rsid w:val="00B120BC"/>
    <w:rsid w:val="00B121E3"/>
    <w:rsid w:val="00B12554"/>
    <w:rsid w:val="00B12568"/>
    <w:rsid w:val="00B12B24"/>
    <w:rsid w:val="00B12D09"/>
    <w:rsid w:val="00B1304E"/>
    <w:rsid w:val="00B13776"/>
    <w:rsid w:val="00B13933"/>
    <w:rsid w:val="00B139D2"/>
    <w:rsid w:val="00B144A5"/>
    <w:rsid w:val="00B14CDF"/>
    <w:rsid w:val="00B15D50"/>
    <w:rsid w:val="00B16179"/>
    <w:rsid w:val="00B161F8"/>
    <w:rsid w:val="00B1630C"/>
    <w:rsid w:val="00B16420"/>
    <w:rsid w:val="00B1687F"/>
    <w:rsid w:val="00B16CF0"/>
    <w:rsid w:val="00B1768C"/>
    <w:rsid w:val="00B17719"/>
    <w:rsid w:val="00B17948"/>
    <w:rsid w:val="00B17A55"/>
    <w:rsid w:val="00B17E73"/>
    <w:rsid w:val="00B17E7B"/>
    <w:rsid w:val="00B2008E"/>
    <w:rsid w:val="00B2072A"/>
    <w:rsid w:val="00B2148D"/>
    <w:rsid w:val="00B21A1E"/>
    <w:rsid w:val="00B21D08"/>
    <w:rsid w:val="00B21F92"/>
    <w:rsid w:val="00B21FCC"/>
    <w:rsid w:val="00B220F8"/>
    <w:rsid w:val="00B22343"/>
    <w:rsid w:val="00B2239E"/>
    <w:rsid w:val="00B22679"/>
    <w:rsid w:val="00B22BC3"/>
    <w:rsid w:val="00B22FD1"/>
    <w:rsid w:val="00B2339B"/>
    <w:rsid w:val="00B2341B"/>
    <w:rsid w:val="00B2355D"/>
    <w:rsid w:val="00B23585"/>
    <w:rsid w:val="00B23A53"/>
    <w:rsid w:val="00B23BB7"/>
    <w:rsid w:val="00B23D00"/>
    <w:rsid w:val="00B23D61"/>
    <w:rsid w:val="00B24196"/>
    <w:rsid w:val="00B242F2"/>
    <w:rsid w:val="00B24383"/>
    <w:rsid w:val="00B24591"/>
    <w:rsid w:val="00B246A1"/>
    <w:rsid w:val="00B2476E"/>
    <w:rsid w:val="00B24919"/>
    <w:rsid w:val="00B24F5E"/>
    <w:rsid w:val="00B2532A"/>
    <w:rsid w:val="00B2558C"/>
    <w:rsid w:val="00B2578C"/>
    <w:rsid w:val="00B25850"/>
    <w:rsid w:val="00B25CA4"/>
    <w:rsid w:val="00B25D5A"/>
    <w:rsid w:val="00B263D1"/>
    <w:rsid w:val="00B26416"/>
    <w:rsid w:val="00B26450"/>
    <w:rsid w:val="00B26520"/>
    <w:rsid w:val="00B26DEB"/>
    <w:rsid w:val="00B27096"/>
    <w:rsid w:val="00B276FF"/>
    <w:rsid w:val="00B277A3"/>
    <w:rsid w:val="00B279E9"/>
    <w:rsid w:val="00B27B94"/>
    <w:rsid w:val="00B27F87"/>
    <w:rsid w:val="00B302FE"/>
    <w:rsid w:val="00B3077E"/>
    <w:rsid w:val="00B30A80"/>
    <w:rsid w:val="00B30B2B"/>
    <w:rsid w:val="00B30F6B"/>
    <w:rsid w:val="00B31254"/>
    <w:rsid w:val="00B312DC"/>
    <w:rsid w:val="00B31B6A"/>
    <w:rsid w:val="00B3205F"/>
    <w:rsid w:val="00B320D0"/>
    <w:rsid w:val="00B320DC"/>
    <w:rsid w:val="00B32560"/>
    <w:rsid w:val="00B32B74"/>
    <w:rsid w:val="00B33072"/>
    <w:rsid w:val="00B3336F"/>
    <w:rsid w:val="00B3352E"/>
    <w:rsid w:val="00B33837"/>
    <w:rsid w:val="00B33BE1"/>
    <w:rsid w:val="00B33C45"/>
    <w:rsid w:val="00B3410D"/>
    <w:rsid w:val="00B3432C"/>
    <w:rsid w:val="00B34AC5"/>
    <w:rsid w:val="00B34C55"/>
    <w:rsid w:val="00B34D14"/>
    <w:rsid w:val="00B34E0E"/>
    <w:rsid w:val="00B34E15"/>
    <w:rsid w:val="00B350A5"/>
    <w:rsid w:val="00B353C9"/>
    <w:rsid w:val="00B354CC"/>
    <w:rsid w:val="00B358ED"/>
    <w:rsid w:val="00B35A4E"/>
    <w:rsid w:val="00B36103"/>
    <w:rsid w:val="00B362E1"/>
    <w:rsid w:val="00B363B6"/>
    <w:rsid w:val="00B36406"/>
    <w:rsid w:val="00B36F9E"/>
    <w:rsid w:val="00B372AC"/>
    <w:rsid w:val="00B37447"/>
    <w:rsid w:val="00B37465"/>
    <w:rsid w:val="00B37545"/>
    <w:rsid w:val="00B37DB8"/>
    <w:rsid w:val="00B37E04"/>
    <w:rsid w:val="00B400D6"/>
    <w:rsid w:val="00B4024C"/>
    <w:rsid w:val="00B4047F"/>
    <w:rsid w:val="00B4051C"/>
    <w:rsid w:val="00B4064E"/>
    <w:rsid w:val="00B412DC"/>
    <w:rsid w:val="00B41426"/>
    <w:rsid w:val="00B41A6A"/>
    <w:rsid w:val="00B41DDB"/>
    <w:rsid w:val="00B41E6D"/>
    <w:rsid w:val="00B421EE"/>
    <w:rsid w:val="00B42C61"/>
    <w:rsid w:val="00B42CA9"/>
    <w:rsid w:val="00B42F7B"/>
    <w:rsid w:val="00B4317E"/>
    <w:rsid w:val="00B43D18"/>
    <w:rsid w:val="00B44EB6"/>
    <w:rsid w:val="00B45294"/>
    <w:rsid w:val="00B453EB"/>
    <w:rsid w:val="00B454EC"/>
    <w:rsid w:val="00B4552A"/>
    <w:rsid w:val="00B46147"/>
    <w:rsid w:val="00B46250"/>
    <w:rsid w:val="00B463F3"/>
    <w:rsid w:val="00B46578"/>
    <w:rsid w:val="00B46ABE"/>
    <w:rsid w:val="00B46FA9"/>
    <w:rsid w:val="00B47348"/>
    <w:rsid w:val="00B5005B"/>
    <w:rsid w:val="00B50A12"/>
    <w:rsid w:val="00B50A95"/>
    <w:rsid w:val="00B50D44"/>
    <w:rsid w:val="00B50DD0"/>
    <w:rsid w:val="00B5119F"/>
    <w:rsid w:val="00B51481"/>
    <w:rsid w:val="00B51988"/>
    <w:rsid w:val="00B51AFA"/>
    <w:rsid w:val="00B51B10"/>
    <w:rsid w:val="00B52027"/>
    <w:rsid w:val="00B52040"/>
    <w:rsid w:val="00B5230A"/>
    <w:rsid w:val="00B52CE8"/>
    <w:rsid w:val="00B5309A"/>
    <w:rsid w:val="00B53653"/>
    <w:rsid w:val="00B53D0C"/>
    <w:rsid w:val="00B5401F"/>
    <w:rsid w:val="00B54574"/>
    <w:rsid w:val="00B5596C"/>
    <w:rsid w:val="00B55A58"/>
    <w:rsid w:val="00B55D8D"/>
    <w:rsid w:val="00B55E16"/>
    <w:rsid w:val="00B55F2B"/>
    <w:rsid w:val="00B55F5E"/>
    <w:rsid w:val="00B5619C"/>
    <w:rsid w:val="00B56273"/>
    <w:rsid w:val="00B566F4"/>
    <w:rsid w:val="00B56C0C"/>
    <w:rsid w:val="00B56D6B"/>
    <w:rsid w:val="00B57121"/>
    <w:rsid w:val="00B57834"/>
    <w:rsid w:val="00B579F4"/>
    <w:rsid w:val="00B57A0B"/>
    <w:rsid w:val="00B57D10"/>
    <w:rsid w:val="00B6049F"/>
    <w:rsid w:val="00B60F14"/>
    <w:rsid w:val="00B6124B"/>
    <w:rsid w:val="00B61778"/>
    <w:rsid w:val="00B62BEC"/>
    <w:rsid w:val="00B62C61"/>
    <w:rsid w:val="00B62C65"/>
    <w:rsid w:val="00B62CF7"/>
    <w:rsid w:val="00B630D6"/>
    <w:rsid w:val="00B6318B"/>
    <w:rsid w:val="00B631FE"/>
    <w:rsid w:val="00B633AA"/>
    <w:rsid w:val="00B63BE8"/>
    <w:rsid w:val="00B63DE7"/>
    <w:rsid w:val="00B64126"/>
    <w:rsid w:val="00B6447E"/>
    <w:rsid w:val="00B6466D"/>
    <w:rsid w:val="00B6467D"/>
    <w:rsid w:val="00B64709"/>
    <w:rsid w:val="00B64A03"/>
    <w:rsid w:val="00B662E5"/>
    <w:rsid w:val="00B66413"/>
    <w:rsid w:val="00B6651E"/>
    <w:rsid w:val="00B6693F"/>
    <w:rsid w:val="00B66DEE"/>
    <w:rsid w:val="00B66E7D"/>
    <w:rsid w:val="00B66F5C"/>
    <w:rsid w:val="00B6752E"/>
    <w:rsid w:val="00B67DCF"/>
    <w:rsid w:val="00B700C8"/>
    <w:rsid w:val="00B701C3"/>
    <w:rsid w:val="00B70CBC"/>
    <w:rsid w:val="00B70D6E"/>
    <w:rsid w:val="00B70FAE"/>
    <w:rsid w:val="00B7112B"/>
    <w:rsid w:val="00B718A8"/>
    <w:rsid w:val="00B71B32"/>
    <w:rsid w:val="00B721A5"/>
    <w:rsid w:val="00B723EC"/>
    <w:rsid w:val="00B72858"/>
    <w:rsid w:val="00B73053"/>
    <w:rsid w:val="00B73B43"/>
    <w:rsid w:val="00B73B9D"/>
    <w:rsid w:val="00B748BF"/>
    <w:rsid w:val="00B74BD4"/>
    <w:rsid w:val="00B74FDA"/>
    <w:rsid w:val="00B7553B"/>
    <w:rsid w:val="00B75853"/>
    <w:rsid w:val="00B75FE3"/>
    <w:rsid w:val="00B76123"/>
    <w:rsid w:val="00B76172"/>
    <w:rsid w:val="00B763C5"/>
    <w:rsid w:val="00B7656A"/>
    <w:rsid w:val="00B76B0A"/>
    <w:rsid w:val="00B776E9"/>
    <w:rsid w:val="00B778D8"/>
    <w:rsid w:val="00B7798A"/>
    <w:rsid w:val="00B77B21"/>
    <w:rsid w:val="00B77DA1"/>
    <w:rsid w:val="00B77EA0"/>
    <w:rsid w:val="00B8005B"/>
    <w:rsid w:val="00B80582"/>
    <w:rsid w:val="00B80B20"/>
    <w:rsid w:val="00B81484"/>
    <w:rsid w:val="00B81C76"/>
    <w:rsid w:val="00B81D4C"/>
    <w:rsid w:val="00B82323"/>
    <w:rsid w:val="00B8252E"/>
    <w:rsid w:val="00B82544"/>
    <w:rsid w:val="00B82691"/>
    <w:rsid w:val="00B82732"/>
    <w:rsid w:val="00B827B7"/>
    <w:rsid w:val="00B82A6A"/>
    <w:rsid w:val="00B82E12"/>
    <w:rsid w:val="00B82F64"/>
    <w:rsid w:val="00B83560"/>
    <w:rsid w:val="00B8361B"/>
    <w:rsid w:val="00B83CC3"/>
    <w:rsid w:val="00B846F7"/>
    <w:rsid w:val="00B84773"/>
    <w:rsid w:val="00B8492F"/>
    <w:rsid w:val="00B84CAC"/>
    <w:rsid w:val="00B84E15"/>
    <w:rsid w:val="00B85013"/>
    <w:rsid w:val="00B853A7"/>
    <w:rsid w:val="00B853C5"/>
    <w:rsid w:val="00B8568C"/>
    <w:rsid w:val="00B856A6"/>
    <w:rsid w:val="00B85FEA"/>
    <w:rsid w:val="00B86059"/>
    <w:rsid w:val="00B867BC"/>
    <w:rsid w:val="00B8688C"/>
    <w:rsid w:val="00B86B15"/>
    <w:rsid w:val="00B86CB7"/>
    <w:rsid w:val="00B86E4C"/>
    <w:rsid w:val="00B86E96"/>
    <w:rsid w:val="00B871D2"/>
    <w:rsid w:val="00B875A1"/>
    <w:rsid w:val="00B87AED"/>
    <w:rsid w:val="00B90122"/>
    <w:rsid w:val="00B90B79"/>
    <w:rsid w:val="00B90BF0"/>
    <w:rsid w:val="00B90BFF"/>
    <w:rsid w:val="00B90F1D"/>
    <w:rsid w:val="00B910A9"/>
    <w:rsid w:val="00B913B5"/>
    <w:rsid w:val="00B9155C"/>
    <w:rsid w:val="00B916B8"/>
    <w:rsid w:val="00B91A96"/>
    <w:rsid w:val="00B91E68"/>
    <w:rsid w:val="00B9201B"/>
    <w:rsid w:val="00B9202F"/>
    <w:rsid w:val="00B92671"/>
    <w:rsid w:val="00B926B2"/>
    <w:rsid w:val="00B92D3C"/>
    <w:rsid w:val="00B92D47"/>
    <w:rsid w:val="00B93304"/>
    <w:rsid w:val="00B93603"/>
    <w:rsid w:val="00B9388D"/>
    <w:rsid w:val="00B93A6E"/>
    <w:rsid w:val="00B942C3"/>
    <w:rsid w:val="00B94316"/>
    <w:rsid w:val="00B94A04"/>
    <w:rsid w:val="00B94ABB"/>
    <w:rsid w:val="00B94D58"/>
    <w:rsid w:val="00B953C1"/>
    <w:rsid w:val="00B958A2"/>
    <w:rsid w:val="00B95973"/>
    <w:rsid w:val="00B95CD7"/>
    <w:rsid w:val="00B95FDB"/>
    <w:rsid w:val="00B96164"/>
    <w:rsid w:val="00B96523"/>
    <w:rsid w:val="00B967AE"/>
    <w:rsid w:val="00B96A89"/>
    <w:rsid w:val="00B96B43"/>
    <w:rsid w:val="00B96DFA"/>
    <w:rsid w:val="00B96EA1"/>
    <w:rsid w:val="00B970CE"/>
    <w:rsid w:val="00BA036E"/>
    <w:rsid w:val="00BA092B"/>
    <w:rsid w:val="00BA0C42"/>
    <w:rsid w:val="00BA102D"/>
    <w:rsid w:val="00BA1395"/>
    <w:rsid w:val="00BA15A2"/>
    <w:rsid w:val="00BA18EE"/>
    <w:rsid w:val="00BA19DC"/>
    <w:rsid w:val="00BA1D87"/>
    <w:rsid w:val="00BA1F1F"/>
    <w:rsid w:val="00BA2072"/>
    <w:rsid w:val="00BA22CB"/>
    <w:rsid w:val="00BA29E7"/>
    <w:rsid w:val="00BA2E54"/>
    <w:rsid w:val="00BA30EA"/>
    <w:rsid w:val="00BA369A"/>
    <w:rsid w:val="00BA38B6"/>
    <w:rsid w:val="00BA3A55"/>
    <w:rsid w:val="00BA43F6"/>
    <w:rsid w:val="00BA4511"/>
    <w:rsid w:val="00BA49C7"/>
    <w:rsid w:val="00BA4EE4"/>
    <w:rsid w:val="00BA5608"/>
    <w:rsid w:val="00BA59B0"/>
    <w:rsid w:val="00BA664C"/>
    <w:rsid w:val="00BA682B"/>
    <w:rsid w:val="00BA69B5"/>
    <w:rsid w:val="00BA6B4F"/>
    <w:rsid w:val="00BA6BCC"/>
    <w:rsid w:val="00BA7505"/>
    <w:rsid w:val="00BA7788"/>
    <w:rsid w:val="00BA77E7"/>
    <w:rsid w:val="00BA7837"/>
    <w:rsid w:val="00BA7BA6"/>
    <w:rsid w:val="00BA7DFF"/>
    <w:rsid w:val="00BA7E39"/>
    <w:rsid w:val="00BB04B4"/>
    <w:rsid w:val="00BB06FC"/>
    <w:rsid w:val="00BB0813"/>
    <w:rsid w:val="00BB0ABD"/>
    <w:rsid w:val="00BB0EC2"/>
    <w:rsid w:val="00BB11A4"/>
    <w:rsid w:val="00BB1369"/>
    <w:rsid w:val="00BB18BB"/>
    <w:rsid w:val="00BB1C32"/>
    <w:rsid w:val="00BB2680"/>
    <w:rsid w:val="00BB343B"/>
    <w:rsid w:val="00BB3D00"/>
    <w:rsid w:val="00BB45B7"/>
    <w:rsid w:val="00BB4869"/>
    <w:rsid w:val="00BB4D39"/>
    <w:rsid w:val="00BB4E2D"/>
    <w:rsid w:val="00BB4F84"/>
    <w:rsid w:val="00BB4FC1"/>
    <w:rsid w:val="00BB515A"/>
    <w:rsid w:val="00BB5182"/>
    <w:rsid w:val="00BB58A7"/>
    <w:rsid w:val="00BB5A15"/>
    <w:rsid w:val="00BB6571"/>
    <w:rsid w:val="00BB6723"/>
    <w:rsid w:val="00BB6B65"/>
    <w:rsid w:val="00BB70E2"/>
    <w:rsid w:val="00BB73BF"/>
    <w:rsid w:val="00BB7957"/>
    <w:rsid w:val="00BB7FB5"/>
    <w:rsid w:val="00BC0697"/>
    <w:rsid w:val="00BC12D5"/>
    <w:rsid w:val="00BC1537"/>
    <w:rsid w:val="00BC192A"/>
    <w:rsid w:val="00BC1FFA"/>
    <w:rsid w:val="00BC25AE"/>
    <w:rsid w:val="00BC284F"/>
    <w:rsid w:val="00BC286C"/>
    <w:rsid w:val="00BC2B64"/>
    <w:rsid w:val="00BC349F"/>
    <w:rsid w:val="00BC36C4"/>
    <w:rsid w:val="00BC3736"/>
    <w:rsid w:val="00BC3EA0"/>
    <w:rsid w:val="00BC48E0"/>
    <w:rsid w:val="00BC4A0D"/>
    <w:rsid w:val="00BC4A8A"/>
    <w:rsid w:val="00BC4BAC"/>
    <w:rsid w:val="00BC5073"/>
    <w:rsid w:val="00BC5149"/>
    <w:rsid w:val="00BC5646"/>
    <w:rsid w:val="00BC5B20"/>
    <w:rsid w:val="00BC5DF7"/>
    <w:rsid w:val="00BC5F7D"/>
    <w:rsid w:val="00BC6089"/>
    <w:rsid w:val="00BC62A0"/>
    <w:rsid w:val="00BC70DE"/>
    <w:rsid w:val="00BC721F"/>
    <w:rsid w:val="00BC72E7"/>
    <w:rsid w:val="00BC7433"/>
    <w:rsid w:val="00BC76D9"/>
    <w:rsid w:val="00BC791D"/>
    <w:rsid w:val="00BD04E4"/>
    <w:rsid w:val="00BD09B3"/>
    <w:rsid w:val="00BD0EA6"/>
    <w:rsid w:val="00BD0FAE"/>
    <w:rsid w:val="00BD128F"/>
    <w:rsid w:val="00BD13A2"/>
    <w:rsid w:val="00BD13D9"/>
    <w:rsid w:val="00BD1557"/>
    <w:rsid w:val="00BD1987"/>
    <w:rsid w:val="00BD207E"/>
    <w:rsid w:val="00BD2082"/>
    <w:rsid w:val="00BD20C6"/>
    <w:rsid w:val="00BD2737"/>
    <w:rsid w:val="00BD3029"/>
    <w:rsid w:val="00BD33C4"/>
    <w:rsid w:val="00BD3A76"/>
    <w:rsid w:val="00BD3B54"/>
    <w:rsid w:val="00BD41EA"/>
    <w:rsid w:val="00BD41FB"/>
    <w:rsid w:val="00BD4391"/>
    <w:rsid w:val="00BD465D"/>
    <w:rsid w:val="00BD4752"/>
    <w:rsid w:val="00BD47A6"/>
    <w:rsid w:val="00BD496E"/>
    <w:rsid w:val="00BD4BFC"/>
    <w:rsid w:val="00BD5067"/>
    <w:rsid w:val="00BD5944"/>
    <w:rsid w:val="00BD5987"/>
    <w:rsid w:val="00BD5AD4"/>
    <w:rsid w:val="00BD5F22"/>
    <w:rsid w:val="00BD5FE4"/>
    <w:rsid w:val="00BD6140"/>
    <w:rsid w:val="00BD733F"/>
    <w:rsid w:val="00BD771A"/>
    <w:rsid w:val="00BE06DB"/>
    <w:rsid w:val="00BE0853"/>
    <w:rsid w:val="00BE087E"/>
    <w:rsid w:val="00BE0885"/>
    <w:rsid w:val="00BE0CE4"/>
    <w:rsid w:val="00BE0D8F"/>
    <w:rsid w:val="00BE1062"/>
    <w:rsid w:val="00BE12A0"/>
    <w:rsid w:val="00BE1304"/>
    <w:rsid w:val="00BE1EF4"/>
    <w:rsid w:val="00BE25E7"/>
    <w:rsid w:val="00BE262F"/>
    <w:rsid w:val="00BE2D88"/>
    <w:rsid w:val="00BE2F2D"/>
    <w:rsid w:val="00BE3133"/>
    <w:rsid w:val="00BE36E3"/>
    <w:rsid w:val="00BE3D1B"/>
    <w:rsid w:val="00BE41D4"/>
    <w:rsid w:val="00BE449D"/>
    <w:rsid w:val="00BE44E0"/>
    <w:rsid w:val="00BE4759"/>
    <w:rsid w:val="00BE5200"/>
    <w:rsid w:val="00BE543B"/>
    <w:rsid w:val="00BE5FA7"/>
    <w:rsid w:val="00BE66E1"/>
    <w:rsid w:val="00BE6783"/>
    <w:rsid w:val="00BE6A1B"/>
    <w:rsid w:val="00BE75EF"/>
    <w:rsid w:val="00BE7BB4"/>
    <w:rsid w:val="00BF0274"/>
    <w:rsid w:val="00BF1286"/>
    <w:rsid w:val="00BF1461"/>
    <w:rsid w:val="00BF15F5"/>
    <w:rsid w:val="00BF18C4"/>
    <w:rsid w:val="00BF19B2"/>
    <w:rsid w:val="00BF238A"/>
    <w:rsid w:val="00BF2DB0"/>
    <w:rsid w:val="00BF2EEF"/>
    <w:rsid w:val="00BF351B"/>
    <w:rsid w:val="00BF3ACB"/>
    <w:rsid w:val="00BF3B9B"/>
    <w:rsid w:val="00BF3D1C"/>
    <w:rsid w:val="00BF3EDB"/>
    <w:rsid w:val="00BF3F02"/>
    <w:rsid w:val="00BF44DF"/>
    <w:rsid w:val="00BF45EE"/>
    <w:rsid w:val="00BF45FE"/>
    <w:rsid w:val="00BF48E7"/>
    <w:rsid w:val="00BF4DAE"/>
    <w:rsid w:val="00BF5205"/>
    <w:rsid w:val="00BF58EC"/>
    <w:rsid w:val="00BF5BCB"/>
    <w:rsid w:val="00BF5C8D"/>
    <w:rsid w:val="00BF5CF2"/>
    <w:rsid w:val="00BF5F05"/>
    <w:rsid w:val="00BF673A"/>
    <w:rsid w:val="00BF6922"/>
    <w:rsid w:val="00BF6A33"/>
    <w:rsid w:val="00BF6AFD"/>
    <w:rsid w:val="00BF6C24"/>
    <w:rsid w:val="00BF6E0D"/>
    <w:rsid w:val="00BF70DC"/>
    <w:rsid w:val="00BF72F9"/>
    <w:rsid w:val="00BF7672"/>
    <w:rsid w:val="00BF77BD"/>
    <w:rsid w:val="00BF7933"/>
    <w:rsid w:val="00C00065"/>
    <w:rsid w:val="00C00072"/>
    <w:rsid w:val="00C000B2"/>
    <w:rsid w:val="00C003D6"/>
    <w:rsid w:val="00C004B4"/>
    <w:rsid w:val="00C0072C"/>
    <w:rsid w:val="00C00897"/>
    <w:rsid w:val="00C008FB"/>
    <w:rsid w:val="00C01077"/>
    <w:rsid w:val="00C019C2"/>
    <w:rsid w:val="00C01E90"/>
    <w:rsid w:val="00C02203"/>
    <w:rsid w:val="00C023AD"/>
    <w:rsid w:val="00C023BD"/>
    <w:rsid w:val="00C024CF"/>
    <w:rsid w:val="00C024D6"/>
    <w:rsid w:val="00C02EB1"/>
    <w:rsid w:val="00C03271"/>
    <w:rsid w:val="00C036E1"/>
    <w:rsid w:val="00C03A74"/>
    <w:rsid w:val="00C047E7"/>
    <w:rsid w:val="00C04840"/>
    <w:rsid w:val="00C04A69"/>
    <w:rsid w:val="00C04A9A"/>
    <w:rsid w:val="00C05560"/>
    <w:rsid w:val="00C05585"/>
    <w:rsid w:val="00C0570D"/>
    <w:rsid w:val="00C05FD6"/>
    <w:rsid w:val="00C0605F"/>
    <w:rsid w:val="00C069C1"/>
    <w:rsid w:val="00C06BE8"/>
    <w:rsid w:val="00C06EC0"/>
    <w:rsid w:val="00C06F11"/>
    <w:rsid w:val="00C07B01"/>
    <w:rsid w:val="00C07C5D"/>
    <w:rsid w:val="00C07FA5"/>
    <w:rsid w:val="00C10020"/>
    <w:rsid w:val="00C10080"/>
    <w:rsid w:val="00C1077E"/>
    <w:rsid w:val="00C10C0D"/>
    <w:rsid w:val="00C10FEE"/>
    <w:rsid w:val="00C11097"/>
    <w:rsid w:val="00C119AE"/>
    <w:rsid w:val="00C11B3B"/>
    <w:rsid w:val="00C11C38"/>
    <w:rsid w:val="00C11F21"/>
    <w:rsid w:val="00C11F22"/>
    <w:rsid w:val="00C1249C"/>
    <w:rsid w:val="00C12A42"/>
    <w:rsid w:val="00C12C84"/>
    <w:rsid w:val="00C134CD"/>
    <w:rsid w:val="00C1378D"/>
    <w:rsid w:val="00C13DB7"/>
    <w:rsid w:val="00C14940"/>
    <w:rsid w:val="00C14A48"/>
    <w:rsid w:val="00C14B10"/>
    <w:rsid w:val="00C14C7A"/>
    <w:rsid w:val="00C14D86"/>
    <w:rsid w:val="00C14DED"/>
    <w:rsid w:val="00C14F4E"/>
    <w:rsid w:val="00C15AE3"/>
    <w:rsid w:val="00C15B95"/>
    <w:rsid w:val="00C15B96"/>
    <w:rsid w:val="00C1643E"/>
    <w:rsid w:val="00C16C1E"/>
    <w:rsid w:val="00C16D84"/>
    <w:rsid w:val="00C171E3"/>
    <w:rsid w:val="00C1729D"/>
    <w:rsid w:val="00C17661"/>
    <w:rsid w:val="00C176BD"/>
    <w:rsid w:val="00C17725"/>
    <w:rsid w:val="00C17BC3"/>
    <w:rsid w:val="00C20089"/>
    <w:rsid w:val="00C2034F"/>
    <w:rsid w:val="00C207FA"/>
    <w:rsid w:val="00C208B1"/>
    <w:rsid w:val="00C20CED"/>
    <w:rsid w:val="00C20EA7"/>
    <w:rsid w:val="00C212E8"/>
    <w:rsid w:val="00C21C10"/>
    <w:rsid w:val="00C224DD"/>
    <w:rsid w:val="00C226C1"/>
    <w:rsid w:val="00C2278E"/>
    <w:rsid w:val="00C2291D"/>
    <w:rsid w:val="00C22B7A"/>
    <w:rsid w:val="00C22F78"/>
    <w:rsid w:val="00C231CB"/>
    <w:rsid w:val="00C23250"/>
    <w:rsid w:val="00C23C74"/>
    <w:rsid w:val="00C24204"/>
    <w:rsid w:val="00C24C39"/>
    <w:rsid w:val="00C25354"/>
    <w:rsid w:val="00C256BF"/>
    <w:rsid w:val="00C25B9C"/>
    <w:rsid w:val="00C267C2"/>
    <w:rsid w:val="00C267E4"/>
    <w:rsid w:val="00C26B45"/>
    <w:rsid w:val="00C26F9A"/>
    <w:rsid w:val="00C27170"/>
    <w:rsid w:val="00C277F1"/>
    <w:rsid w:val="00C278B2"/>
    <w:rsid w:val="00C279F5"/>
    <w:rsid w:val="00C27B49"/>
    <w:rsid w:val="00C27F2E"/>
    <w:rsid w:val="00C27FC8"/>
    <w:rsid w:val="00C3004C"/>
    <w:rsid w:val="00C303DC"/>
    <w:rsid w:val="00C30850"/>
    <w:rsid w:val="00C30A2A"/>
    <w:rsid w:val="00C3135E"/>
    <w:rsid w:val="00C317B4"/>
    <w:rsid w:val="00C318CB"/>
    <w:rsid w:val="00C31924"/>
    <w:rsid w:val="00C31978"/>
    <w:rsid w:val="00C31AEE"/>
    <w:rsid w:val="00C31BD3"/>
    <w:rsid w:val="00C31C5C"/>
    <w:rsid w:val="00C3263C"/>
    <w:rsid w:val="00C3270E"/>
    <w:rsid w:val="00C32CFC"/>
    <w:rsid w:val="00C339F4"/>
    <w:rsid w:val="00C33B05"/>
    <w:rsid w:val="00C341DB"/>
    <w:rsid w:val="00C34562"/>
    <w:rsid w:val="00C345A1"/>
    <w:rsid w:val="00C345F8"/>
    <w:rsid w:val="00C34784"/>
    <w:rsid w:val="00C349EF"/>
    <w:rsid w:val="00C34C21"/>
    <w:rsid w:val="00C34CB9"/>
    <w:rsid w:val="00C3532F"/>
    <w:rsid w:val="00C35C32"/>
    <w:rsid w:val="00C35DDB"/>
    <w:rsid w:val="00C36123"/>
    <w:rsid w:val="00C36507"/>
    <w:rsid w:val="00C36AC0"/>
    <w:rsid w:val="00C36B2A"/>
    <w:rsid w:val="00C36D97"/>
    <w:rsid w:val="00C37286"/>
    <w:rsid w:val="00C3790A"/>
    <w:rsid w:val="00C401AE"/>
    <w:rsid w:val="00C401BF"/>
    <w:rsid w:val="00C402C2"/>
    <w:rsid w:val="00C40723"/>
    <w:rsid w:val="00C4134A"/>
    <w:rsid w:val="00C413DC"/>
    <w:rsid w:val="00C41845"/>
    <w:rsid w:val="00C4187C"/>
    <w:rsid w:val="00C41A77"/>
    <w:rsid w:val="00C41FAE"/>
    <w:rsid w:val="00C420D0"/>
    <w:rsid w:val="00C425A2"/>
    <w:rsid w:val="00C42CAD"/>
    <w:rsid w:val="00C43013"/>
    <w:rsid w:val="00C4305B"/>
    <w:rsid w:val="00C43136"/>
    <w:rsid w:val="00C4319D"/>
    <w:rsid w:val="00C43285"/>
    <w:rsid w:val="00C43A1F"/>
    <w:rsid w:val="00C43AAD"/>
    <w:rsid w:val="00C43AE2"/>
    <w:rsid w:val="00C43E8A"/>
    <w:rsid w:val="00C4448D"/>
    <w:rsid w:val="00C452F4"/>
    <w:rsid w:val="00C4592E"/>
    <w:rsid w:val="00C45EDF"/>
    <w:rsid w:val="00C467A6"/>
    <w:rsid w:val="00C469EC"/>
    <w:rsid w:val="00C470A5"/>
    <w:rsid w:val="00C4745A"/>
    <w:rsid w:val="00C47465"/>
    <w:rsid w:val="00C476FA"/>
    <w:rsid w:val="00C50055"/>
    <w:rsid w:val="00C50214"/>
    <w:rsid w:val="00C50572"/>
    <w:rsid w:val="00C50A43"/>
    <w:rsid w:val="00C50A6F"/>
    <w:rsid w:val="00C50DA5"/>
    <w:rsid w:val="00C51087"/>
    <w:rsid w:val="00C51702"/>
    <w:rsid w:val="00C5193B"/>
    <w:rsid w:val="00C51A4A"/>
    <w:rsid w:val="00C52225"/>
    <w:rsid w:val="00C527AB"/>
    <w:rsid w:val="00C5282B"/>
    <w:rsid w:val="00C52945"/>
    <w:rsid w:val="00C5299A"/>
    <w:rsid w:val="00C529B8"/>
    <w:rsid w:val="00C52D29"/>
    <w:rsid w:val="00C5336F"/>
    <w:rsid w:val="00C53A2C"/>
    <w:rsid w:val="00C53C84"/>
    <w:rsid w:val="00C53DAC"/>
    <w:rsid w:val="00C54EA4"/>
    <w:rsid w:val="00C550C1"/>
    <w:rsid w:val="00C5556D"/>
    <w:rsid w:val="00C55574"/>
    <w:rsid w:val="00C55B21"/>
    <w:rsid w:val="00C5611E"/>
    <w:rsid w:val="00C564CE"/>
    <w:rsid w:val="00C565A6"/>
    <w:rsid w:val="00C56C84"/>
    <w:rsid w:val="00C56ECB"/>
    <w:rsid w:val="00C57404"/>
    <w:rsid w:val="00C57455"/>
    <w:rsid w:val="00C57639"/>
    <w:rsid w:val="00C57773"/>
    <w:rsid w:val="00C57793"/>
    <w:rsid w:val="00C57911"/>
    <w:rsid w:val="00C57951"/>
    <w:rsid w:val="00C57A72"/>
    <w:rsid w:val="00C57C03"/>
    <w:rsid w:val="00C57C95"/>
    <w:rsid w:val="00C57CBE"/>
    <w:rsid w:val="00C57CFE"/>
    <w:rsid w:val="00C57FD6"/>
    <w:rsid w:val="00C60148"/>
    <w:rsid w:val="00C60777"/>
    <w:rsid w:val="00C607AE"/>
    <w:rsid w:val="00C607CC"/>
    <w:rsid w:val="00C60BA2"/>
    <w:rsid w:val="00C60D83"/>
    <w:rsid w:val="00C61ABC"/>
    <w:rsid w:val="00C6208E"/>
    <w:rsid w:val="00C620BA"/>
    <w:rsid w:val="00C62158"/>
    <w:rsid w:val="00C6236F"/>
    <w:rsid w:val="00C62569"/>
    <w:rsid w:val="00C62E2D"/>
    <w:rsid w:val="00C63290"/>
    <w:rsid w:val="00C63AA8"/>
    <w:rsid w:val="00C6474A"/>
    <w:rsid w:val="00C64A36"/>
    <w:rsid w:val="00C64A8D"/>
    <w:rsid w:val="00C64D7D"/>
    <w:rsid w:val="00C64D7F"/>
    <w:rsid w:val="00C64D9D"/>
    <w:rsid w:val="00C64E04"/>
    <w:rsid w:val="00C650A7"/>
    <w:rsid w:val="00C65149"/>
    <w:rsid w:val="00C651D6"/>
    <w:rsid w:val="00C65AB6"/>
    <w:rsid w:val="00C65BDB"/>
    <w:rsid w:val="00C65C2B"/>
    <w:rsid w:val="00C66092"/>
    <w:rsid w:val="00C665CD"/>
    <w:rsid w:val="00C6676E"/>
    <w:rsid w:val="00C66865"/>
    <w:rsid w:val="00C66B91"/>
    <w:rsid w:val="00C66C9F"/>
    <w:rsid w:val="00C67070"/>
    <w:rsid w:val="00C671D1"/>
    <w:rsid w:val="00C6742D"/>
    <w:rsid w:val="00C67699"/>
    <w:rsid w:val="00C67ADB"/>
    <w:rsid w:val="00C67FA5"/>
    <w:rsid w:val="00C70645"/>
    <w:rsid w:val="00C707A9"/>
    <w:rsid w:val="00C70B99"/>
    <w:rsid w:val="00C70DB5"/>
    <w:rsid w:val="00C71268"/>
    <w:rsid w:val="00C712F0"/>
    <w:rsid w:val="00C71604"/>
    <w:rsid w:val="00C718F3"/>
    <w:rsid w:val="00C71DA7"/>
    <w:rsid w:val="00C71E12"/>
    <w:rsid w:val="00C72086"/>
    <w:rsid w:val="00C72803"/>
    <w:rsid w:val="00C72EE3"/>
    <w:rsid w:val="00C73574"/>
    <w:rsid w:val="00C7384F"/>
    <w:rsid w:val="00C73B9F"/>
    <w:rsid w:val="00C74254"/>
    <w:rsid w:val="00C7448D"/>
    <w:rsid w:val="00C74986"/>
    <w:rsid w:val="00C749CA"/>
    <w:rsid w:val="00C74B2C"/>
    <w:rsid w:val="00C752F8"/>
    <w:rsid w:val="00C752FA"/>
    <w:rsid w:val="00C755B4"/>
    <w:rsid w:val="00C7589E"/>
    <w:rsid w:val="00C75B68"/>
    <w:rsid w:val="00C7607E"/>
    <w:rsid w:val="00C76161"/>
    <w:rsid w:val="00C763BC"/>
    <w:rsid w:val="00C76611"/>
    <w:rsid w:val="00C769BA"/>
    <w:rsid w:val="00C76E8C"/>
    <w:rsid w:val="00C771A7"/>
    <w:rsid w:val="00C8044E"/>
    <w:rsid w:val="00C804C5"/>
    <w:rsid w:val="00C80D00"/>
    <w:rsid w:val="00C80EA5"/>
    <w:rsid w:val="00C810CE"/>
    <w:rsid w:val="00C81209"/>
    <w:rsid w:val="00C81446"/>
    <w:rsid w:val="00C8150A"/>
    <w:rsid w:val="00C81832"/>
    <w:rsid w:val="00C819E7"/>
    <w:rsid w:val="00C81B19"/>
    <w:rsid w:val="00C81EDE"/>
    <w:rsid w:val="00C8221C"/>
    <w:rsid w:val="00C82444"/>
    <w:rsid w:val="00C827FB"/>
    <w:rsid w:val="00C82838"/>
    <w:rsid w:val="00C82947"/>
    <w:rsid w:val="00C82962"/>
    <w:rsid w:val="00C82A3D"/>
    <w:rsid w:val="00C82DD7"/>
    <w:rsid w:val="00C831C9"/>
    <w:rsid w:val="00C834F7"/>
    <w:rsid w:val="00C8371A"/>
    <w:rsid w:val="00C839A6"/>
    <w:rsid w:val="00C842A5"/>
    <w:rsid w:val="00C84A88"/>
    <w:rsid w:val="00C84C70"/>
    <w:rsid w:val="00C84FEA"/>
    <w:rsid w:val="00C8502B"/>
    <w:rsid w:val="00C85142"/>
    <w:rsid w:val="00C85353"/>
    <w:rsid w:val="00C857F4"/>
    <w:rsid w:val="00C85BFA"/>
    <w:rsid w:val="00C85E1A"/>
    <w:rsid w:val="00C8611F"/>
    <w:rsid w:val="00C86409"/>
    <w:rsid w:val="00C86CE9"/>
    <w:rsid w:val="00C87AC9"/>
    <w:rsid w:val="00C87ACC"/>
    <w:rsid w:val="00C905DE"/>
    <w:rsid w:val="00C905E1"/>
    <w:rsid w:val="00C91151"/>
    <w:rsid w:val="00C91EFE"/>
    <w:rsid w:val="00C91FA2"/>
    <w:rsid w:val="00C92DB7"/>
    <w:rsid w:val="00C931B2"/>
    <w:rsid w:val="00C93549"/>
    <w:rsid w:val="00C93CD2"/>
    <w:rsid w:val="00C93E6B"/>
    <w:rsid w:val="00C93F19"/>
    <w:rsid w:val="00C9404B"/>
    <w:rsid w:val="00C942A5"/>
    <w:rsid w:val="00C94F34"/>
    <w:rsid w:val="00C954B5"/>
    <w:rsid w:val="00C95606"/>
    <w:rsid w:val="00C95765"/>
    <w:rsid w:val="00C957DE"/>
    <w:rsid w:val="00C95C00"/>
    <w:rsid w:val="00C95CA1"/>
    <w:rsid w:val="00C96006"/>
    <w:rsid w:val="00C966FA"/>
    <w:rsid w:val="00C96AA8"/>
    <w:rsid w:val="00C9725F"/>
    <w:rsid w:val="00CA0079"/>
    <w:rsid w:val="00CA0652"/>
    <w:rsid w:val="00CA06C0"/>
    <w:rsid w:val="00CA07B0"/>
    <w:rsid w:val="00CA13EC"/>
    <w:rsid w:val="00CA19E8"/>
    <w:rsid w:val="00CA1B87"/>
    <w:rsid w:val="00CA1C7D"/>
    <w:rsid w:val="00CA2462"/>
    <w:rsid w:val="00CA2EF7"/>
    <w:rsid w:val="00CA2F7F"/>
    <w:rsid w:val="00CA3634"/>
    <w:rsid w:val="00CA3A7F"/>
    <w:rsid w:val="00CA3B7A"/>
    <w:rsid w:val="00CA3E76"/>
    <w:rsid w:val="00CA497C"/>
    <w:rsid w:val="00CA4E90"/>
    <w:rsid w:val="00CA578F"/>
    <w:rsid w:val="00CA5834"/>
    <w:rsid w:val="00CA5955"/>
    <w:rsid w:val="00CA5CD0"/>
    <w:rsid w:val="00CA5D8D"/>
    <w:rsid w:val="00CA648C"/>
    <w:rsid w:val="00CA6496"/>
    <w:rsid w:val="00CA71C3"/>
    <w:rsid w:val="00CA7208"/>
    <w:rsid w:val="00CA7282"/>
    <w:rsid w:val="00CB08AA"/>
    <w:rsid w:val="00CB0AE9"/>
    <w:rsid w:val="00CB0AEA"/>
    <w:rsid w:val="00CB0B38"/>
    <w:rsid w:val="00CB1442"/>
    <w:rsid w:val="00CB16D1"/>
    <w:rsid w:val="00CB1D03"/>
    <w:rsid w:val="00CB1DE0"/>
    <w:rsid w:val="00CB2366"/>
    <w:rsid w:val="00CB2CEB"/>
    <w:rsid w:val="00CB321A"/>
    <w:rsid w:val="00CB3926"/>
    <w:rsid w:val="00CB3AC3"/>
    <w:rsid w:val="00CB3C99"/>
    <w:rsid w:val="00CB3D73"/>
    <w:rsid w:val="00CB3DE4"/>
    <w:rsid w:val="00CB3DF3"/>
    <w:rsid w:val="00CB4501"/>
    <w:rsid w:val="00CB47B6"/>
    <w:rsid w:val="00CB480C"/>
    <w:rsid w:val="00CB4E2D"/>
    <w:rsid w:val="00CB5754"/>
    <w:rsid w:val="00CB59A1"/>
    <w:rsid w:val="00CB5B69"/>
    <w:rsid w:val="00CB61FE"/>
    <w:rsid w:val="00CB640D"/>
    <w:rsid w:val="00CB64F4"/>
    <w:rsid w:val="00CB6773"/>
    <w:rsid w:val="00CB67A2"/>
    <w:rsid w:val="00CB6907"/>
    <w:rsid w:val="00CB69D6"/>
    <w:rsid w:val="00CB6B55"/>
    <w:rsid w:val="00CB6DB4"/>
    <w:rsid w:val="00CB6FC2"/>
    <w:rsid w:val="00CB7107"/>
    <w:rsid w:val="00CB7119"/>
    <w:rsid w:val="00CB7216"/>
    <w:rsid w:val="00CB72F6"/>
    <w:rsid w:val="00CB73AD"/>
    <w:rsid w:val="00CB7CA3"/>
    <w:rsid w:val="00CC01B3"/>
    <w:rsid w:val="00CC07D2"/>
    <w:rsid w:val="00CC0BC0"/>
    <w:rsid w:val="00CC0E55"/>
    <w:rsid w:val="00CC14E7"/>
    <w:rsid w:val="00CC16B6"/>
    <w:rsid w:val="00CC16FF"/>
    <w:rsid w:val="00CC1745"/>
    <w:rsid w:val="00CC1CF5"/>
    <w:rsid w:val="00CC1F37"/>
    <w:rsid w:val="00CC2104"/>
    <w:rsid w:val="00CC29A4"/>
    <w:rsid w:val="00CC2E5F"/>
    <w:rsid w:val="00CC2F41"/>
    <w:rsid w:val="00CC35F1"/>
    <w:rsid w:val="00CC3BB6"/>
    <w:rsid w:val="00CC405E"/>
    <w:rsid w:val="00CC40E3"/>
    <w:rsid w:val="00CC42D5"/>
    <w:rsid w:val="00CC434D"/>
    <w:rsid w:val="00CC4B6D"/>
    <w:rsid w:val="00CC4DC6"/>
    <w:rsid w:val="00CC4F2D"/>
    <w:rsid w:val="00CC529D"/>
    <w:rsid w:val="00CC534D"/>
    <w:rsid w:val="00CC5708"/>
    <w:rsid w:val="00CC5DF6"/>
    <w:rsid w:val="00CC5F35"/>
    <w:rsid w:val="00CC62DF"/>
    <w:rsid w:val="00CC6393"/>
    <w:rsid w:val="00CC6426"/>
    <w:rsid w:val="00CC66BD"/>
    <w:rsid w:val="00CC6831"/>
    <w:rsid w:val="00CC6B55"/>
    <w:rsid w:val="00CC6D28"/>
    <w:rsid w:val="00CC6FAE"/>
    <w:rsid w:val="00CC77A9"/>
    <w:rsid w:val="00CC7876"/>
    <w:rsid w:val="00CC7D0B"/>
    <w:rsid w:val="00CD0411"/>
    <w:rsid w:val="00CD0B8A"/>
    <w:rsid w:val="00CD0E64"/>
    <w:rsid w:val="00CD0E70"/>
    <w:rsid w:val="00CD1C69"/>
    <w:rsid w:val="00CD1C83"/>
    <w:rsid w:val="00CD27D5"/>
    <w:rsid w:val="00CD2B6C"/>
    <w:rsid w:val="00CD2CF1"/>
    <w:rsid w:val="00CD2E7C"/>
    <w:rsid w:val="00CD2EC2"/>
    <w:rsid w:val="00CD3276"/>
    <w:rsid w:val="00CD33AC"/>
    <w:rsid w:val="00CD3472"/>
    <w:rsid w:val="00CD363D"/>
    <w:rsid w:val="00CD364B"/>
    <w:rsid w:val="00CD3898"/>
    <w:rsid w:val="00CD3984"/>
    <w:rsid w:val="00CD476A"/>
    <w:rsid w:val="00CD4B62"/>
    <w:rsid w:val="00CD4E24"/>
    <w:rsid w:val="00CD4EC0"/>
    <w:rsid w:val="00CD5132"/>
    <w:rsid w:val="00CD51B3"/>
    <w:rsid w:val="00CD53B4"/>
    <w:rsid w:val="00CD5424"/>
    <w:rsid w:val="00CD6028"/>
    <w:rsid w:val="00CD61B7"/>
    <w:rsid w:val="00CD62CF"/>
    <w:rsid w:val="00CD645F"/>
    <w:rsid w:val="00CD66BA"/>
    <w:rsid w:val="00CD6BB6"/>
    <w:rsid w:val="00CD6F6F"/>
    <w:rsid w:val="00CD739E"/>
    <w:rsid w:val="00CD7418"/>
    <w:rsid w:val="00CD7770"/>
    <w:rsid w:val="00CD7970"/>
    <w:rsid w:val="00CD7E49"/>
    <w:rsid w:val="00CD7EBC"/>
    <w:rsid w:val="00CE03E5"/>
    <w:rsid w:val="00CE0756"/>
    <w:rsid w:val="00CE07ED"/>
    <w:rsid w:val="00CE0819"/>
    <w:rsid w:val="00CE0A68"/>
    <w:rsid w:val="00CE0B35"/>
    <w:rsid w:val="00CE1052"/>
    <w:rsid w:val="00CE1402"/>
    <w:rsid w:val="00CE14B9"/>
    <w:rsid w:val="00CE179E"/>
    <w:rsid w:val="00CE1A16"/>
    <w:rsid w:val="00CE1EA8"/>
    <w:rsid w:val="00CE317F"/>
    <w:rsid w:val="00CE3235"/>
    <w:rsid w:val="00CE32AE"/>
    <w:rsid w:val="00CE3426"/>
    <w:rsid w:val="00CE3721"/>
    <w:rsid w:val="00CE3781"/>
    <w:rsid w:val="00CE3900"/>
    <w:rsid w:val="00CE3DAA"/>
    <w:rsid w:val="00CE4293"/>
    <w:rsid w:val="00CE429C"/>
    <w:rsid w:val="00CE4772"/>
    <w:rsid w:val="00CE4773"/>
    <w:rsid w:val="00CE4BC5"/>
    <w:rsid w:val="00CE4DC7"/>
    <w:rsid w:val="00CE4DE6"/>
    <w:rsid w:val="00CE4EA3"/>
    <w:rsid w:val="00CE5033"/>
    <w:rsid w:val="00CE531A"/>
    <w:rsid w:val="00CE53AE"/>
    <w:rsid w:val="00CE5474"/>
    <w:rsid w:val="00CE5642"/>
    <w:rsid w:val="00CE56CF"/>
    <w:rsid w:val="00CE6423"/>
    <w:rsid w:val="00CE6A58"/>
    <w:rsid w:val="00CE7692"/>
    <w:rsid w:val="00CE76C4"/>
    <w:rsid w:val="00CE76DD"/>
    <w:rsid w:val="00CE7D7B"/>
    <w:rsid w:val="00CE7F25"/>
    <w:rsid w:val="00CF0111"/>
    <w:rsid w:val="00CF0450"/>
    <w:rsid w:val="00CF07C9"/>
    <w:rsid w:val="00CF0832"/>
    <w:rsid w:val="00CF0C63"/>
    <w:rsid w:val="00CF0FE6"/>
    <w:rsid w:val="00CF1156"/>
    <w:rsid w:val="00CF12E1"/>
    <w:rsid w:val="00CF14E7"/>
    <w:rsid w:val="00CF1529"/>
    <w:rsid w:val="00CF1683"/>
    <w:rsid w:val="00CF1EC7"/>
    <w:rsid w:val="00CF21D7"/>
    <w:rsid w:val="00CF22E7"/>
    <w:rsid w:val="00CF24C8"/>
    <w:rsid w:val="00CF24F4"/>
    <w:rsid w:val="00CF2F57"/>
    <w:rsid w:val="00CF2F78"/>
    <w:rsid w:val="00CF3188"/>
    <w:rsid w:val="00CF38DB"/>
    <w:rsid w:val="00CF3C68"/>
    <w:rsid w:val="00CF4356"/>
    <w:rsid w:val="00CF443F"/>
    <w:rsid w:val="00CF44E3"/>
    <w:rsid w:val="00CF45B9"/>
    <w:rsid w:val="00CF47C9"/>
    <w:rsid w:val="00CF5383"/>
    <w:rsid w:val="00CF5AE3"/>
    <w:rsid w:val="00CF6EA8"/>
    <w:rsid w:val="00CF6F51"/>
    <w:rsid w:val="00CF7BBA"/>
    <w:rsid w:val="00CF7E83"/>
    <w:rsid w:val="00D000BE"/>
    <w:rsid w:val="00D0061B"/>
    <w:rsid w:val="00D0072A"/>
    <w:rsid w:val="00D00833"/>
    <w:rsid w:val="00D00847"/>
    <w:rsid w:val="00D00BCE"/>
    <w:rsid w:val="00D00E0E"/>
    <w:rsid w:val="00D00E5F"/>
    <w:rsid w:val="00D00F7C"/>
    <w:rsid w:val="00D01816"/>
    <w:rsid w:val="00D01A62"/>
    <w:rsid w:val="00D01DAE"/>
    <w:rsid w:val="00D01E3A"/>
    <w:rsid w:val="00D02E8D"/>
    <w:rsid w:val="00D03135"/>
    <w:rsid w:val="00D034D1"/>
    <w:rsid w:val="00D043D3"/>
    <w:rsid w:val="00D044DF"/>
    <w:rsid w:val="00D046B8"/>
    <w:rsid w:val="00D04A6B"/>
    <w:rsid w:val="00D04D30"/>
    <w:rsid w:val="00D05089"/>
    <w:rsid w:val="00D052EF"/>
    <w:rsid w:val="00D05838"/>
    <w:rsid w:val="00D0659C"/>
    <w:rsid w:val="00D06963"/>
    <w:rsid w:val="00D06CF2"/>
    <w:rsid w:val="00D06F1B"/>
    <w:rsid w:val="00D071AA"/>
    <w:rsid w:val="00D0750C"/>
    <w:rsid w:val="00D07645"/>
    <w:rsid w:val="00D0779B"/>
    <w:rsid w:val="00D1051A"/>
    <w:rsid w:val="00D1099A"/>
    <w:rsid w:val="00D10A2B"/>
    <w:rsid w:val="00D10B72"/>
    <w:rsid w:val="00D10D45"/>
    <w:rsid w:val="00D10E38"/>
    <w:rsid w:val="00D11243"/>
    <w:rsid w:val="00D113EB"/>
    <w:rsid w:val="00D1147C"/>
    <w:rsid w:val="00D11748"/>
    <w:rsid w:val="00D11D39"/>
    <w:rsid w:val="00D11D3B"/>
    <w:rsid w:val="00D12042"/>
    <w:rsid w:val="00D12268"/>
    <w:rsid w:val="00D12A1B"/>
    <w:rsid w:val="00D12FF3"/>
    <w:rsid w:val="00D136C1"/>
    <w:rsid w:val="00D137AB"/>
    <w:rsid w:val="00D13817"/>
    <w:rsid w:val="00D13A8B"/>
    <w:rsid w:val="00D140C7"/>
    <w:rsid w:val="00D14A11"/>
    <w:rsid w:val="00D15293"/>
    <w:rsid w:val="00D15378"/>
    <w:rsid w:val="00D15392"/>
    <w:rsid w:val="00D15560"/>
    <w:rsid w:val="00D1561D"/>
    <w:rsid w:val="00D15C3A"/>
    <w:rsid w:val="00D161E4"/>
    <w:rsid w:val="00D163AA"/>
    <w:rsid w:val="00D16705"/>
    <w:rsid w:val="00D17AD0"/>
    <w:rsid w:val="00D20339"/>
    <w:rsid w:val="00D2067E"/>
    <w:rsid w:val="00D20699"/>
    <w:rsid w:val="00D20758"/>
    <w:rsid w:val="00D20B3D"/>
    <w:rsid w:val="00D20BAF"/>
    <w:rsid w:val="00D20F35"/>
    <w:rsid w:val="00D21407"/>
    <w:rsid w:val="00D218F1"/>
    <w:rsid w:val="00D2265A"/>
    <w:rsid w:val="00D226C3"/>
    <w:rsid w:val="00D2282D"/>
    <w:rsid w:val="00D22A2A"/>
    <w:rsid w:val="00D23213"/>
    <w:rsid w:val="00D2397C"/>
    <w:rsid w:val="00D23E80"/>
    <w:rsid w:val="00D241F1"/>
    <w:rsid w:val="00D24329"/>
    <w:rsid w:val="00D245EE"/>
    <w:rsid w:val="00D24826"/>
    <w:rsid w:val="00D24A45"/>
    <w:rsid w:val="00D25000"/>
    <w:rsid w:val="00D25099"/>
    <w:rsid w:val="00D25156"/>
    <w:rsid w:val="00D25571"/>
    <w:rsid w:val="00D256AD"/>
    <w:rsid w:val="00D25DCC"/>
    <w:rsid w:val="00D2600D"/>
    <w:rsid w:val="00D2609A"/>
    <w:rsid w:val="00D260F4"/>
    <w:rsid w:val="00D265B3"/>
    <w:rsid w:val="00D2670A"/>
    <w:rsid w:val="00D267B3"/>
    <w:rsid w:val="00D26DA3"/>
    <w:rsid w:val="00D27533"/>
    <w:rsid w:val="00D275EC"/>
    <w:rsid w:val="00D277BB"/>
    <w:rsid w:val="00D278AA"/>
    <w:rsid w:val="00D27B36"/>
    <w:rsid w:val="00D27EF0"/>
    <w:rsid w:val="00D27FB6"/>
    <w:rsid w:val="00D30470"/>
    <w:rsid w:val="00D30AB5"/>
    <w:rsid w:val="00D30B7B"/>
    <w:rsid w:val="00D30F50"/>
    <w:rsid w:val="00D31820"/>
    <w:rsid w:val="00D31831"/>
    <w:rsid w:val="00D31D8F"/>
    <w:rsid w:val="00D32153"/>
    <w:rsid w:val="00D3221B"/>
    <w:rsid w:val="00D32240"/>
    <w:rsid w:val="00D32779"/>
    <w:rsid w:val="00D328EF"/>
    <w:rsid w:val="00D32DC3"/>
    <w:rsid w:val="00D33B7E"/>
    <w:rsid w:val="00D33EC0"/>
    <w:rsid w:val="00D341F9"/>
    <w:rsid w:val="00D3421E"/>
    <w:rsid w:val="00D352CB"/>
    <w:rsid w:val="00D361FA"/>
    <w:rsid w:val="00D368D8"/>
    <w:rsid w:val="00D368DB"/>
    <w:rsid w:val="00D369E2"/>
    <w:rsid w:val="00D36CCB"/>
    <w:rsid w:val="00D37A83"/>
    <w:rsid w:val="00D37AA2"/>
    <w:rsid w:val="00D37E21"/>
    <w:rsid w:val="00D402A6"/>
    <w:rsid w:val="00D404E2"/>
    <w:rsid w:val="00D4064D"/>
    <w:rsid w:val="00D4080C"/>
    <w:rsid w:val="00D40EF0"/>
    <w:rsid w:val="00D40F0C"/>
    <w:rsid w:val="00D4161C"/>
    <w:rsid w:val="00D4165F"/>
    <w:rsid w:val="00D41B9E"/>
    <w:rsid w:val="00D41FC3"/>
    <w:rsid w:val="00D4258A"/>
    <w:rsid w:val="00D42670"/>
    <w:rsid w:val="00D428CC"/>
    <w:rsid w:val="00D43D7B"/>
    <w:rsid w:val="00D43E57"/>
    <w:rsid w:val="00D442E1"/>
    <w:rsid w:val="00D449A3"/>
    <w:rsid w:val="00D44C8D"/>
    <w:rsid w:val="00D44CE8"/>
    <w:rsid w:val="00D458CF"/>
    <w:rsid w:val="00D45CC2"/>
    <w:rsid w:val="00D45EB2"/>
    <w:rsid w:val="00D46513"/>
    <w:rsid w:val="00D4709A"/>
    <w:rsid w:val="00D471D5"/>
    <w:rsid w:val="00D479EF"/>
    <w:rsid w:val="00D47BD5"/>
    <w:rsid w:val="00D47CF9"/>
    <w:rsid w:val="00D47E19"/>
    <w:rsid w:val="00D508DF"/>
    <w:rsid w:val="00D5097E"/>
    <w:rsid w:val="00D50C11"/>
    <w:rsid w:val="00D51382"/>
    <w:rsid w:val="00D513D4"/>
    <w:rsid w:val="00D519B6"/>
    <w:rsid w:val="00D51A9C"/>
    <w:rsid w:val="00D520AB"/>
    <w:rsid w:val="00D52956"/>
    <w:rsid w:val="00D52B34"/>
    <w:rsid w:val="00D53045"/>
    <w:rsid w:val="00D53ADB"/>
    <w:rsid w:val="00D53F08"/>
    <w:rsid w:val="00D53FCA"/>
    <w:rsid w:val="00D541B5"/>
    <w:rsid w:val="00D5425A"/>
    <w:rsid w:val="00D542B1"/>
    <w:rsid w:val="00D548D1"/>
    <w:rsid w:val="00D5493B"/>
    <w:rsid w:val="00D54A28"/>
    <w:rsid w:val="00D55369"/>
    <w:rsid w:val="00D5555C"/>
    <w:rsid w:val="00D556E3"/>
    <w:rsid w:val="00D55700"/>
    <w:rsid w:val="00D55AA0"/>
    <w:rsid w:val="00D55F37"/>
    <w:rsid w:val="00D55F49"/>
    <w:rsid w:val="00D56727"/>
    <w:rsid w:val="00D56AAF"/>
    <w:rsid w:val="00D56BEC"/>
    <w:rsid w:val="00D57267"/>
    <w:rsid w:val="00D572C0"/>
    <w:rsid w:val="00D57B06"/>
    <w:rsid w:val="00D57B68"/>
    <w:rsid w:val="00D57C4A"/>
    <w:rsid w:val="00D57FA7"/>
    <w:rsid w:val="00D6011C"/>
    <w:rsid w:val="00D603D8"/>
    <w:rsid w:val="00D603F1"/>
    <w:rsid w:val="00D60D33"/>
    <w:rsid w:val="00D610B1"/>
    <w:rsid w:val="00D61224"/>
    <w:rsid w:val="00D61730"/>
    <w:rsid w:val="00D6180F"/>
    <w:rsid w:val="00D619CC"/>
    <w:rsid w:val="00D61CF3"/>
    <w:rsid w:val="00D61F93"/>
    <w:rsid w:val="00D6217B"/>
    <w:rsid w:val="00D62445"/>
    <w:rsid w:val="00D62B30"/>
    <w:rsid w:val="00D62BEC"/>
    <w:rsid w:val="00D62CCF"/>
    <w:rsid w:val="00D632AC"/>
    <w:rsid w:val="00D63320"/>
    <w:rsid w:val="00D6348B"/>
    <w:rsid w:val="00D63BBA"/>
    <w:rsid w:val="00D63CCE"/>
    <w:rsid w:val="00D63EA6"/>
    <w:rsid w:val="00D64609"/>
    <w:rsid w:val="00D6486F"/>
    <w:rsid w:val="00D64972"/>
    <w:rsid w:val="00D650D3"/>
    <w:rsid w:val="00D65144"/>
    <w:rsid w:val="00D655E8"/>
    <w:rsid w:val="00D65A35"/>
    <w:rsid w:val="00D65B4B"/>
    <w:rsid w:val="00D65B6A"/>
    <w:rsid w:val="00D66045"/>
    <w:rsid w:val="00D6670E"/>
    <w:rsid w:val="00D66F7F"/>
    <w:rsid w:val="00D6727C"/>
    <w:rsid w:val="00D67314"/>
    <w:rsid w:val="00D67865"/>
    <w:rsid w:val="00D67E55"/>
    <w:rsid w:val="00D701E1"/>
    <w:rsid w:val="00D70498"/>
    <w:rsid w:val="00D70C89"/>
    <w:rsid w:val="00D71264"/>
    <w:rsid w:val="00D7148F"/>
    <w:rsid w:val="00D71AE4"/>
    <w:rsid w:val="00D71C4B"/>
    <w:rsid w:val="00D71CE0"/>
    <w:rsid w:val="00D71E42"/>
    <w:rsid w:val="00D71EB4"/>
    <w:rsid w:val="00D720E0"/>
    <w:rsid w:val="00D729B3"/>
    <w:rsid w:val="00D72A78"/>
    <w:rsid w:val="00D72C8C"/>
    <w:rsid w:val="00D72DEB"/>
    <w:rsid w:val="00D734B2"/>
    <w:rsid w:val="00D735DD"/>
    <w:rsid w:val="00D738B3"/>
    <w:rsid w:val="00D73BD2"/>
    <w:rsid w:val="00D74B14"/>
    <w:rsid w:val="00D74BF4"/>
    <w:rsid w:val="00D74C64"/>
    <w:rsid w:val="00D751D6"/>
    <w:rsid w:val="00D752B7"/>
    <w:rsid w:val="00D7549B"/>
    <w:rsid w:val="00D75B39"/>
    <w:rsid w:val="00D75DC1"/>
    <w:rsid w:val="00D75E87"/>
    <w:rsid w:val="00D75EC6"/>
    <w:rsid w:val="00D76D2A"/>
    <w:rsid w:val="00D76F29"/>
    <w:rsid w:val="00D773E7"/>
    <w:rsid w:val="00D774E4"/>
    <w:rsid w:val="00D77580"/>
    <w:rsid w:val="00D77AFD"/>
    <w:rsid w:val="00D77DF1"/>
    <w:rsid w:val="00D77E8C"/>
    <w:rsid w:val="00D805E6"/>
    <w:rsid w:val="00D80D81"/>
    <w:rsid w:val="00D81061"/>
    <w:rsid w:val="00D811A0"/>
    <w:rsid w:val="00D81D52"/>
    <w:rsid w:val="00D821E3"/>
    <w:rsid w:val="00D8230B"/>
    <w:rsid w:val="00D82628"/>
    <w:rsid w:val="00D82A8E"/>
    <w:rsid w:val="00D82BED"/>
    <w:rsid w:val="00D82C02"/>
    <w:rsid w:val="00D82C49"/>
    <w:rsid w:val="00D830EE"/>
    <w:rsid w:val="00D835BC"/>
    <w:rsid w:val="00D836CF"/>
    <w:rsid w:val="00D8377E"/>
    <w:rsid w:val="00D838AF"/>
    <w:rsid w:val="00D8396E"/>
    <w:rsid w:val="00D83A38"/>
    <w:rsid w:val="00D84048"/>
    <w:rsid w:val="00D8430B"/>
    <w:rsid w:val="00D845E1"/>
    <w:rsid w:val="00D84FC8"/>
    <w:rsid w:val="00D8536C"/>
    <w:rsid w:val="00D855D0"/>
    <w:rsid w:val="00D861B7"/>
    <w:rsid w:val="00D86284"/>
    <w:rsid w:val="00D8661B"/>
    <w:rsid w:val="00D873A6"/>
    <w:rsid w:val="00D8781E"/>
    <w:rsid w:val="00D87CE1"/>
    <w:rsid w:val="00D87E0D"/>
    <w:rsid w:val="00D87E3C"/>
    <w:rsid w:val="00D90DE0"/>
    <w:rsid w:val="00D9178B"/>
    <w:rsid w:val="00D91990"/>
    <w:rsid w:val="00D91EB7"/>
    <w:rsid w:val="00D91F69"/>
    <w:rsid w:val="00D92028"/>
    <w:rsid w:val="00D92178"/>
    <w:rsid w:val="00D921DB"/>
    <w:rsid w:val="00D923B2"/>
    <w:rsid w:val="00D923F3"/>
    <w:rsid w:val="00D9259F"/>
    <w:rsid w:val="00D9292C"/>
    <w:rsid w:val="00D92C4E"/>
    <w:rsid w:val="00D92C90"/>
    <w:rsid w:val="00D9339A"/>
    <w:rsid w:val="00D93B56"/>
    <w:rsid w:val="00D944E6"/>
    <w:rsid w:val="00D94FFA"/>
    <w:rsid w:val="00D95F4D"/>
    <w:rsid w:val="00D9616B"/>
    <w:rsid w:val="00D962F5"/>
    <w:rsid w:val="00D963A0"/>
    <w:rsid w:val="00D9660A"/>
    <w:rsid w:val="00D9666D"/>
    <w:rsid w:val="00D967A0"/>
    <w:rsid w:val="00D969DA"/>
    <w:rsid w:val="00D96BEB"/>
    <w:rsid w:val="00D96EB2"/>
    <w:rsid w:val="00D975D4"/>
    <w:rsid w:val="00D97E4E"/>
    <w:rsid w:val="00DA0232"/>
    <w:rsid w:val="00DA03F3"/>
    <w:rsid w:val="00DA04AB"/>
    <w:rsid w:val="00DA0781"/>
    <w:rsid w:val="00DA0E8D"/>
    <w:rsid w:val="00DA0EE8"/>
    <w:rsid w:val="00DA11A7"/>
    <w:rsid w:val="00DA1945"/>
    <w:rsid w:val="00DA19B9"/>
    <w:rsid w:val="00DA1E2D"/>
    <w:rsid w:val="00DA1EC0"/>
    <w:rsid w:val="00DA1FCC"/>
    <w:rsid w:val="00DA2701"/>
    <w:rsid w:val="00DA2762"/>
    <w:rsid w:val="00DA2E12"/>
    <w:rsid w:val="00DA2E2B"/>
    <w:rsid w:val="00DA2F0D"/>
    <w:rsid w:val="00DA3212"/>
    <w:rsid w:val="00DA33A2"/>
    <w:rsid w:val="00DA36AA"/>
    <w:rsid w:val="00DA3CE5"/>
    <w:rsid w:val="00DA3DCC"/>
    <w:rsid w:val="00DA4436"/>
    <w:rsid w:val="00DA4629"/>
    <w:rsid w:val="00DA58C8"/>
    <w:rsid w:val="00DA5DB6"/>
    <w:rsid w:val="00DA5F9E"/>
    <w:rsid w:val="00DA6126"/>
    <w:rsid w:val="00DA62C6"/>
    <w:rsid w:val="00DA6690"/>
    <w:rsid w:val="00DA6850"/>
    <w:rsid w:val="00DA6B25"/>
    <w:rsid w:val="00DA73DD"/>
    <w:rsid w:val="00DA758D"/>
    <w:rsid w:val="00DA7707"/>
    <w:rsid w:val="00DA776B"/>
    <w:rsid w:val="00DA7944"/>
    <w:rsid w:val="00DA7D7D"/>
    <w:rsid w:val="00DB0187"/>
    <w:rsid w:val="00DB0E01"/>
    <w:rsid w:val="00DB11D2"/>
    <w:rsid w:val="00DB14ED"/>
    <w:rsid w:val="00DB1C29"/>
    <w:rsid w:val="00DB1CFA"/>
    <w:rsid w:val="00DB2506"/>
    <w:rsid w:val="00DB293E"/>
    <w:rsid w:val="00DB35DC"/>
    <w:rsid w:val="00DB3E1B"/>
    <w:rsid w:val="00DB40A1"/>
    <w:rsid w:val="00DB438C"/>
    <w:rsid w:val="00DB4413"/>
    <w:rsid w:val="00DB459D"/>
    <w:rsid w:val="00DB466F"/>
    <w:rsid w:val="00DB48AC"/>
    <w:rsid w:val="00DB51CD"/>
    <w:rsid w:val="00DB5B06"/>
    <w:rsid w:val="00DB5C69"/>
    <w:rsid w:val="00DB639F"/>
    <w:rsid w:val="00DB7657"/>
    <w:rsid w:val="00DB7CE9"/>
    <w:rsid w:val="00DC018D"/>
    <w:rsid w:val="00DC0884"/>
    <w:rsid w:val="00DC11D7"/>
    <w:rsid w:val="00DC1304"/>
    <w:rsid w:val="00DC175F"/>
    <w:rsid w:val="00DC1A5B"/>
    <w:rsid w:val="00DC1BC0"/>
    <w:rsid w:val="00DC208B"/>
    <w:rsid w:val="00DC2272"/>
    <w:rsid w:val="00DC25F8"/>
    <w:rsid w:val="00DC267D"/>
    <w:rsid w:val="00DC2764"/>
    <w:rsid w:val="00DC3033"/>
    <w:rsid w:val="00DC341E"/>
    <w:rsid w:val="00DC3522"/>
    <w:rsid w:val="00DC3849"/>
    <w:rsid w:val="00DC3CB2"/>
    <w:rsid w:val="00DC40C5"/>
    <w:rsid w:val="00DC415D"/>
    <w:rsid w:val="00DC496C"/>
    <w:rsid w:val="00DC49F3"/>
    <w:rsid w:val="00DC512B"/>
    <w:rsid w:val="00DC550A"/>
    <w:rsid w:val="00DC5741"/>
    <w:rsid w:val="00DC57A9"/>
    <w:rsid w:val="00DC5F3F"/>
    <w:rsid w:val="00DC62F9"/>
    <w:rsid w:val="00DC6376"/>
    <w:rsid w:val="00DC66F5"/>
    <w:rsid w:val="00DC691B"/>
    <w:rsid w:val="00DC6DB1"/>
    <w:rsid w:val="00DC6DFE"/>
    <w:rsid w:val="00DC6FC7"/>
    <w:rsid w:val="00DC7276"/>
    <w:rsid w:val="00DC7635"/>
    <w:rsid w:val="00DC7839"/>
    <w:rsid w:val="00DC78EC"/>
    <w:rsid w:val="00DC7DA6"/>
    <w:rsid w:val="00DD03EC"/>
    <w:rsid w:val="00DD0581"/>
    <w:rsid w:val="00DD1565"/>
    <w:rsid w:val="00DD157A"/>
    <w:rsid w:val="00DD1A8E"/>
    <w:rsid w:val="00DD1BFD"/>
    <w:rsid w:val="00DD247C"/>
    <w:rsid w:val="00DD2804"/>
    <w:rsid w:val="00DD2C30"/>
    <w:rsid w:val="00DD2D8A"/>
    <w:rsid w:val="00DD2DBF"/>
    <w:rsid w:val="00DD2DE9"/>
    <w:rsid w:val="00DD3242"/>
    <w:rsid w:val="00DD35D2"/>
    <w:rsid w:val="00DD3D8F"/>
    <w:rsid w:val="00DD407E"/>
    <w:rsid w:val="00DD4522"/>
    <w:rsid w:val="00DD4C89"/>
    <w:rsid w:val="00DD57AE"/>
    <w:rsid w:val="00DD5DA1"/>
    <w:rsid w:val="00DD5F15"/>
    <w:rsid w:val="00DD663D"/>
    <w:rsid w:val="00DD6971"/>
    <w:rsid w:val="00DD71A8"/>
    <w:rsid w:val="00DD75D6"/>
    <w:rsid w:val="00DD7964"/>
    <w:rsid w:val="00DD7C20"/>
    <w:rsid w:val="00DE00C4"/>
    <w:rsid w:val="00DE0102"/>
    <w:rsid w:val="00DE0707"/>
    <w:rsid w:val="00DE0913"/>
    <w:rsid w:val="00DE0A47"/>
    <w:rsid w:val="00DE0E4B"/>
    <w:rsid w:val="00DE16D2"/>
    <w:rsid w:val="00DE20FC"/>
    <w:rsid w:val="00DE2611"/>
    <w:rsid w:val="00DE3504"/>
    <w:rsid w:val="00DE444C"/>
    <w:rsid w:val="00DE4861"/>
    <w:rsid w:val="00DE4AB4"/>
    <w:rsid w:val="00DE4FD6"/>
    <w:rsid w:val="00DE5294"/>
    <w:rsid w:val="00DE551D"/>
    <w:rsid w:val="00DE5CD7"/>
    <w:rsid w:val="00DE63FC"/>
    <w:rsid w:val="00DE7015"/>
    <w:rsid w:val="00DE77A6"/>
    <w:rsid w:val="00DE7E95"/>
    <w:rsid w:val="00DE7EFC"/>
    <w:rsid w:val="00DF043E"/>
    <w:rsid w:val="00DF04DF"/>
    <w:rsid w:val="00DF076B"/>
    <w:rsid w:val="00DF0840"/>
    <w:rsid w:val="00DF0A72"/>
    <w:rsid w:val="00DF0B81"/>
    <w:rsid w:val="00DF0FC2"/>
    <w:rsid w:val="00DF123D"/>
    <w:rsid w:val="00DF13C7"/>
    <w:rsid w:val="00DF1DFF"/>
    <w:rsid w:val="00DF1FB6"/>
    <w:rsid w:val="00DF216D"/>
    <w:rsid w:val="00DF22C0"/>
    <w:rsid w:val="00DF2A46"/>
    <w:rsid w:val="00DF2AF7"/>
    <w:rsid w:val="00DF2D0B"/>
    <w:rsid w:val="00DF2D4A"/>
    <w:rsid w:val="00DF2E63"/>
    <w:rsid w:val="00DF2E7B"/>
    <w:rsid w:val="00DF36AD"/>
    <w:rsid w:val="00DF38BF"/>
    <w:rsid w:val="00DF392C"/>
    <w:rsid w:val="00DF3E12"/>
    <w:rsid w:val="00DF3F7C"/>
    <w:rsid w:val="00DF415D"/>
    <w:rsid w:val="00DF537C"/>
    <w:rsid w:val="00DF573E"/>
    <w:rsid w:val="00DF5A57"/>
    <w:rsid w:val="00DF5CEA"/>
    <w:rsid w:val="00DF602F"/>
    <w:rsid w:val="00DF6056"/>
    <w:rsid w:val="00DF644F"/>
    <w:rsid w:val="00DF6A6C"/>
    <w:rsid w:val="00DF6D11"/>
    <w:rsid w:val="00DF7333"/>
    <w:rsid w:val="00DF7378"/>
    <w:rsid w:val="00DF7931"/>
    <w:rsid w:val="00DF796D"/>
    <w:rsid w:val="00DF7BC9"/>
    <w:rsid w:val="00DF7EB5"/>
    <w:rsid w:val="00DF7F71"/>
    <w:rsid w:val="00E008C4"/>
    <w:rsid w:val="00E00ABB"/>
    <w:rsid w:val="00E00D7F"/>
    <w:rsid w:val="00E014C2"/>
    <w:rsid w:val="00E015CC"/>
    <w:rsid w:val="00E01811"/>
    <w:rsid w:val="00E01E19"/>
    <w:rsid w:val="00E0257A"/>
    <w:rsid w:val="00E02A68"/>
    <w:rsid w:val="00E03924"/>
    <w:rsid w:val="00E03A9D"/>
    <w:rsid w:val="00E03BC9"/>
    <w:rsid w:val="00E03C3A"/>
    <w:rsid w:val="00E03E96"/>
    <w:rsid w:val="00E04154"/>
    <w:rsid w:val="00E04769"/>
    <w:rsid w:val="00E04975"/>
    <w:rsid w:val="00E04A21"/>
    <w:rsid w:val="00E04B8C"/>
    <w:rsid w:val="00E04BDF"/>
    <w:rsid w:val="00E04CCC"/>
    <w:rsid w:val="00E05022"/>
    <w:rsid w:val="00E0511D"/>
    <w:rsid w:val="00E057A7"/>
    <w:rsid w:val="00E06563"/>
    <w:rsid w:val="00E0677C"/>
    <w:rsid w:val="00E067CA"/>
    <w:rsid w:val="00E06D21"/>
    <w:rsid w:val="00E07047"/>
    <w:rsid w:val="00E07086"/>
    <w:rsid w:val="00E07ACB"/>
    <w:rsid w:val="00E07CB8"/>
    <w:rsid w:val="00E07CDE"/>
    <w:rsid w:val="00E1034F"/>
    <w:rsid w:val="00E10432"/>
    <w:rsid w:val="00E10744"/>
    <w:rsid w:val="00E10919"/>
    <w:rsid w:val="00E10921"/>
    <w:rsid w:val="00E109F9"/>
    <w:rsid w:val="00E10C80"/>
    <w:rsid w:val="00E11521"/>
    <w:rsid w:val="00E1160F"/>
    <w:rsid w:val="00E11955"/>
    <w:rsid w:val="00E11AB1"/>
    <w:rsid w:val="00E11C27"/>
    <w:rsid w:val="00E11CD5"/>
    <w:rsid w:val="00E12281"/>
    <w:rsid w:val="00E12DA2"/>
    <w:rsid w:val="00E12F5D"/>
    <w:rsid w:val="00E133B7"/>
    <w:rsid w:val="00E13C09"/>
    <w:rsid w:val="00E14680"/>
    <w:rsid w:val="00E154C6"/>
    <w:rsid w:val="00E15978"/>
    <w:rsid w:val="00E15A4E"/>
    <w:rsid w:val="00E15AC1"/>
    <w:rsid w:val="00E15C16"/>
    <w:rsid w:val="00E15C17"/>
    <w:rsid w:val="00E15F72"/>
    <w:rsid w:val="00E161B2"/>
    <w:rsid w:val="00E16251"/>
    <w:rsid w:val="00E162DF"/>
    <w:rsid w:val="00E16325"/>
    <w:rsid w:val="00E16527"/>
    <w:rsid w:val="00E1657A"/>
    <w:rsid w:val="00E166FB"/>
    <w:rsid w:val="00E16B10"/>
    <w:rsid w:val="00E16BDB"/>
    <w:rsid w:val="00E16C93"/>
    <w:rsid w:val="00E16EDA"/>
    <w:rsid w:val="00E17042"/>
    <w:rsid w:val="00E1722A"/>
    <w:rsid w:val="00E17F0D"/>
    <w:rsid w:val="00E203A3"/>
    <w:rsid w:val="00E20E0F"/>
    <w:rsid w:val="00E2140E"/>
    <w:rsid w:val="00E2194A"/>
    <w:rsid w:val="00E21A8A"/>
    <w:rsid w:val="00E21DC2"/>
    <w:rsid w:val="00E21E69"/>
    <w:rsid w:val="00E21FFC"/>
    <w:rsid w:val="00E2237E"/>
    <w:rsid w:val="00E22454"/>
    <w:rsid w:val="00E228E7"/>
    <w:rsid w:val="00E22A1F"/>
    <w:rsid w:val="00E231A2"/>
    <w:rsid w:val="00E23354"/>
    <w:rsid w:val="00E234A3"/>
    <w:rsid w:val="00E23969"/>
    <w:rsid w:val="00E23D42"/>
    <w:rsid w:val="00E24240"/>
    <w:rsid w:val="00E244E3"/>
    <w:rsid w:val="00E24875"/>
    <w:rsid w:val="00E24C19"/>
    <w:rsid w:val="00E24F34"/>
    <w:rsid w:val="00E25546"/>
    <w:rsid w:val="00E25AC0"/>
    <w:rsid w:val="00E25E58"/>
    <w:rsid w:val="00E25FA6"/>
    <w:rsid w:val="00E26793"/>
    <w:rsid w:val="00E26F8A"/>
    <w:rsid w:val="00E272C4"/>
    <w:rsid w:val="00E27662"/>
    <w:rsid w:val="00E27C23"/>
    <w:rsid w:val="00E27E73"/>
    <w:rsid w:val="00E27F3C"/>
    <w:rsid w:val="00E300DF"/>
    <w:rsid w:val="00E30203"/>
    <w:rsid w:val="00E30732"/>
    <w:rsid w:val="00E30C15"/>
    <w:rsid w:val="00E30DBA"/>
    <w:rsid w:val="00E30E35"/>
    <w:rsid w:val="00E312A7"/>
    <w:rsid w:val="00E318DB"/>
    <w:rsid w:val="00E31923"/>
    <w:rsid w:val="00E31B78"/>
    <w:rsid w:val="00E31D21"/>
    <w:rsid w:val="00E31D5E"/>
    <w:rsid w:val="00E31FC1"/>
    <w:rsid w:val="00E32139"/>
    <w:rsid w:val="00E32A5A"/>
    <w:rsid w:val="00E3311B"/>
    <w:rsid w:val="00E3314F"/>
    <w:rsid w:val="00E331DE"/>
    <w:rsid w:val="00E33255"/>
    <w:rsid w:val="00E33366"/>
    <w:rsid w:val="00E3361F"/>
    <w:rsid w:val="00E33656"/>
    <w:rsid w:val="00E33B36"/>
    <w:rsid w:val="00E33E73"/>
    <w:rsid w:val="00E33E87"/>
    <w:rsid w:val="00E341FA"/>
    <w:rsid w:val="00E34655"/>
    <w:rsid w:val="00E34658"/>
    <w:rsid w:val="00E34749"/>
    <w:rsid w:val="00E34B47"/>
    <w:rsid w:val="00E34C65"/>
    <w:rsid w:val="00E3504C"/>
    <w:rsid w:val="00E350B2"/>
    <w:rsid w:val="00E356AC"/>
    <w:rsid w:val="00E3582A"/>
    <w:rsid w:val="00E35B7D"/>
    <w:rsid w:val="00E35CA4"/>
    <w:rsid w:val="00E36075"/>
    <w:rsid w:val="00E36176"/>
    <w:rsid w:val="00E36377"/>
    <w:rsid w:val="00E36524"/>
    <w:rsid w:val="00E368C8"/>
    <w:rsid w:val="00E371EA"/>
    <w:rsid w:val="00E37549"/>
    <w:rsid w:val="00E37695"/>
    <w:rsid w:val="00E37764"/>
    <w:rsid w:val="00E37C24"/>
    <w:rsid w:val="00E37E28"/>
    <w:rsid w:val="00E40168"/>
    <w:rsid w:val="00E401FD"/>
    <w:rsid w:val="00E40849"/>
    <w:rsid w:val="00E40A09"/>
    <w:rsid w:val="00E414EC"/>
    <w:rsid w:val="00E41B8B"/>
    <w:rsid w:val="00E41CB8"/>
    <w:rsid w:val="00E4205C"/>
    <w:rsid w:val="00E427A8"/>
    <w:rsid w:val="00E427F5"/>
    <w:rsid w:val="00E4292C"/>
    <w:rsid w:val="00E42E5E"/>
    <w:rsid w:val="00E42F69"/>
    <w:rsid w:val="00E434FB"/>
    <w:rsid w:val="00E4366B"/>
    <w:rsid w:val="00E43A7C"/>
    <w:rsid w:val="00E43B14"/>
    <w:rsid w:val="00E43D4B"/>
    <w:rsid w:val="00E43E40"/>
    <w:rsid w:val="00E4427D"/>
    <w:rsid w:val="00E4467B"/>
    <w:rsid w:val="00E448E6"/>
    <w:rsid w:val="00E44A4F"/>
    <w:rsid w:val="00E44ECE"/>
    <w:rsid w:val="00E44F69"/>
    <w:rsid w:val="00E45575"/>
    <w:rsid w:val="00E458DF"/>
    <w:rsid w:val="00E45B4B"/>
    <w:rsid w:val="00E45D9D"/>
    <w:rsid w:val="00E46069"/>
    <w:rsid w:val="00E46193"/>
    <w:rsid w:val="00E4730E"/>
    <w:rsid w:val="00E477B3"/>
    <w:rsid w:val="00E4789C"/>
    <w:rsid w:val="00E47E5A"/>
    <w:rsid w:val="00E5063A"/>
    <w:rsid w:val="00E508A5"/>
    <w:rsid w:val="00E50A8A"/>
    <w:rsid w:val="00E50C12"/>
    <w:rsid w:val="00E50DD0"/>
    <w:rsid w:val="00E50E4E"/>
    <w:rsid w:val="00E5131F"/>
    <w:rsid w:val="00E51D30"/>
    <w:rsid w:val="00E52095"/>
    <w:rsid w:val="00E524C8"/>
    <w:rsid w:val="00E52502"/>
    <w:rsid w:val="00E52609"/>
    <w:rsid w:val="00E526D6"/>
    <w:rsid w:val="00E52775"/>
    <w:rsid w:val="00E52B84"/>
    <w:rsid w:val="00E52CE8"/>
    <w:rsid w:val="00E530E8"/>
    <w:rsid w:val="00E534E6"/>
    <w:rsid w:val="00E5373E"/>
    <w:rsid w:val="00E53937"/>
    <w:rsid w:val="00E53BED"/>
    <w:rsid w:val="00E53D22"/>
    <w:rsid w:val="00E5441F"/>
    <w:rsid w:val="00E54782"/>
    <w:rsid w:val="00E54EAC"/>
    <w:rsid w:val="00E55A08"/>
    <w:rsid w:val="00E55FF6"/>
    <w:rsid w:val="00E56173"/>
    <w:rsid w:val="00E5685C"/>
    <w:rsid w:val="00E56C40"/>
    <w:rsid w:val="00E56D75"/>
    <w:rsid w:val="00E57272"/>
    <w:rsid w:val="00E57527"/>
    <w:rsid w:val="00E57703"/>
    <w:rsid w:val="00E57C5D"/>
    <w:rsid w:val="00E57CCE"/>
    <w:rsid w:val="00E57EC1"/>
    <w:rsid w:val="00E60284"/>
    <w:rsid w:val="00E60830"/>
    <w:rsid w:val="00E60E28"/>
    <w:rsid w:val="00E60E5A"/>
    <w:rsid w:val="00E60EFC"/>
    <w:rsid w:val="00E6100F"/>
    <w:rsid w:val="00E612F0"/>
    <w:rsid w:val="00E6158D"/>
    <w:rsid w:val="00E61F90"/>
    <w:rsid w:val="00E62768"/>
    <w:rsid w:val="00E62786"/>
    <w:rsid w:val="00E62E70"/>
    <w:rsid w:val="00E62EB7"/>
    <w:rsid w:val="00E637A5"/>
    <w:rsid w:val="00E64149"/>
    <w:rsid w:val="00E64A3E"/>
    <w:rsid w:val="00E64DDF"/>
    <w:rsid w:val="00E652BF"/>
    <w:rsid w:val="00E65451"/>
    <w:rsid w:val="00E655B8"/>
    <w:rsid w:val="00E65656"/>
    <w:rsid w:val="00E658E9"/>
    <w:rsid w:val="00E6617F"/>
    <w:rsid w:val="00E6629E"/>
    <w:rsid w:val="00E67B8E"/>
    <w:rsid w:val="00E67BD0"/>
    <w:rsid w:val="00E67F6A"/>
    <w:rsid w:val="00E704B5"/>
    <w:rsid w:val="00E70798"/>
    <w:rsid w:val="00E70DD5"/>
    <w:rsid w:val="00E70E57"/>
    <w:rsid w:val="00E70EEC"/>
    <w:rsid w:val="00E711A7"/>
    <w:rsid w:val="00E71205"/>
    <w:rsid w:val="00E71B32"/>
    <w:rsid w:val="00E72007"/>
    <w:rsid w:val="00E72569"/>
    <w:rsid w:val="00E72608"/>
    <w:rsid w:val="00E726BE"/>
    <w:rsid w:val="00E72717"/>
    <w:rsid w:val="00E7291B"/>
    <w:rsid w:val="00E7294C"/>
    <w:rsid w:val="00E73215"/>
    <w:rsid w:val="00E732EF"/>
    <w:rsid w:val="00E7367B"/>
    <w:rsid w:val="00E744CC"/>
    <w:rsid w:val="00E745AC"/>
    <w:rsid w:val="00E74AFA"/>
    <w:rsid w:val="00E74DA9"/>
    <w:rsid w:val="00E75117"/>
    <w:rsid w:val="00E752C0"/>
    <w:rsid w:val="00E752DE"/>
    <w:rsid w:val="00E75B7F"/>
    <w:rsid w:val="00E75D26"/>
    <w:rsid w:val="00E76852"/>
    <w:rsid w:val="00E76910"/>
    <w:rsid w:val="00E76982"/>
    <w:rsid w:val="00E76E63"/>
    <w:rsid w:val="00E7735A"/>
    <w:rsid w:val="00E77626"/>
    <w:rsid w:val="00E77870"/>
    <w:rsid w:val="00E77AF8"/>
    <w:rsid w:val="00E77B61"/>
    <w:rsid w:val="00E77FAA"/>
    <w:rsid w:val="00E800B0"/>
    <w:rsid w:val="00E803E3"/>
    <w:rsid w:val="00E8042D"/>
    <w:rsid w:val="00E809DA"/>
    <w:rsid w:val="00E80B6E"/>
    <w:rsid w:val="00E812DB"/>
    <w:rsid w:val="00E8143E"/>
    <w:rsid w:val="00E8147D"/>
    <w:rsid w:val="00E8197D"/>
    <w:rsid w:val="00E82459"/>
    <w:rsid w:val="00E829E2"/>
    <w:rsid w:val="00E82D07"/>
    <w:rsid w:val="00E82DDD"/>
    <w:rsid w:val="00E832FB"/>
    <w:rsid w:val="00E83448"/>
    <w:rsid w:val="00E8391D"/>
    <w:rsid w:val="00E83A91"/>
    <w:rsid w:val="00E83C41"/>
    <w:rsid w:val="00E841AD"/>
    <w:rsid w:val="00E84374"/>
    <w:rsid w:val="00E84397"/>
    <w:rsid w:val="00E8479D"/>
    <w:rsid w:val="00E847D3"/>
    <w:rsid w:val="00E84BFD"/>
    <w:rsid w:val="00E84E17"/>
    <w:rsid w:val="00E85521"/>
    <w:rsid w:val="00E855A5"/>
    <w:rsid w:val="00E86E18"/>
    <w:rsid w:val="00E8747B"/>
    <w:rsid w:val="00E876F6"/>
    <w:rsid w:val="00E8782C"/>
    <w:rsid w:val="00E901E5"/>
    <w:rsid w:val="00E909CB"/>
    <w:rsid w:val="00E90CEF"/>
    <w:rsid w:val="00E912D8"/>
    <w:rsid w:val="00E916B2"/>
    <w:rsid w:val="00E91745"/>
    <w:rsid w:val="00E920D3"/>
    <w:rsid w:val="00E9237A"/>
    <w:rsid w:val="00E92926"/>
    <w:rsid w:val="00E92B27"/>
    <w:rsid w:val="00E92C2E"/>
    <w:rsid w:val="00E93483"/>
    <w:rsid w:val="00E93642"/>
    <w:rsid w:val="00E93A3D"/>
    <w:rsid w:val="00E9499B"/>
    <w:rsid w:val="00E949C8"/>
    <w:rsid w:val="00E94F09"/>
    <w:rsid w:val="00E95392"/>
    <w:rsid w:val="00E95623"/>
    <w:rsid w:val="00E956B0"/>
    <w:rsid w:val="00E95DB3"/>
    <w:rsid w:val="00E95FEF"/>
    <w:rsid w:val="00E9634E"/>
    <w:rsid w:val="00E96651"/>
    <w:rsid w:val="00E96B3E"/>
    <w:rsid w:val="00E96EAD"/>
    <w:rsid w:val="00E97395"/>
    <w:rsid w:val="00E97552"/>
    <w:rsid w:val="00E975E5"/>
    <w:rsid w:val="00E97C12"/>
    <w:rsid w:val="00E97EFF"/>
    <w:rsid w:val="00EA0BA0"/>
    <w:rsid w:val="00EA0C1D"/>
    <w:rsid w:val="00EA0FE2"/>
    <w:rsid w:val="00EA1016"/>
    <w:rsid w:val="00EA1189"/>
    <w:rsid w:val="00EA179A"/>
    <w:rsid w:val="00EA18FA"/>
    <w:rsid w:val="00EA20F5"/>
    <w:rsid w:val="00EA23B3"/>
    <w:rsid w:val="00EA25FD"/>
    <w:rsid w:val="00EA29A7"/>
    <w:rsid w:val="00EA2C93"/>
    <w:rsid w:val="00EA2E0C"/>
    <w:rsid w:val="00EA3564"/>
    <w:rsid w:val="00EA3945"/>
    <w:rsid w:val="00EA3BEB"/>
    <w:rsid w:val="00EA3CEC"/>
    <w:rsid w:val="00EA3DE8"/>
    <w:rsid w:val="00EA3FD1"/>
    <w:rsid w:val="00EA43F4"/>
    <w:rsid w:val="00EA43FA"/>
    <w:rsid w:val="00EA48FA"/>
    <w:rsid w:val="00EA4C45"/>
    <w:rsid w:val="00EA4F10"/>
    <w:rsid w:val="00EA4F17"/>
    <w:rsid w:val="00EA54B3"/>
    <w:rsid w:val="00EA54FF"/>
    <w:rsid w:val="00EA58E4"/>
    <w:rsid w:val="00EA60FC"/>
    <w:rsid w:val="00EA61A9"/>
    <w:rsid w:val="00EA62B2"/>
    <w:rsid w:val="00EA6D5C"/>
    <w:rsid w:val="00EA6D7C"/>
    <w:rsid w:val="00EA6D82"/>
    <w:rsid w:val="00EA7495"/>
    <w:rsid w:val="00EA788B"/>
    <w:rsid w:val="00EA7C34"/>
    <w:rsid w:val="00EA7C92"/>
    <w:rsid w:val="00EA7D23"/>
    <w:rsid w:val="00EA7ED8"/>
    <w:rsid w:val="00EB018B"/>
    <w:rsid w:val="00EB079F"/>
    <w:rsid w:val="00EB0A23"/>
    <w:rsid w:val="00EB0ECD"/>
    <w:rsid w:val="00EB0F68"/>
    <w:rsid w:val="00EB1239"/>
    <w:rsid w:val="00EB16BA"/>
    <w:rsid w:val="00EB18ED"/>
    <w:rsid w:val="00EB1E1A"/>
    <w:rsid w:val="00EB1EB7"/>
    <w:rsid w:val="00EB2157"/>
    <w:rsid w:val="00EB2434"/>
    <w:rsid w:val="00EB2927"/>
    <w:rsid w:val="00EB301D"/>
    <w:rsid w:val="00EB3020"/>
    <w:rsid w:val="00EB3107"/>
    <w:rsid w:val="00EB337F"/>
    <w:rsid w:val="00EB3719"/>
    <w:rsid w:val="00EB3826"/>
    <w:rsid w:val="00EB3953"/>
    <w:rsid w:val="00EB39C5"/>
    <w:rsid w:val="00EB3BC6"/>
    <w:rsid w:val="00EB3C47"/>
    <w:rsid w:val="00EB43C0"/>
    <w:rsid w:val="00EB4EE0"/>
    <w:rsid w:val="00EB5179"/>
    <w:rsid w:val="00EB5275"/>
    <w:rsid w:val="00EB5AB1"/>
    <w:rsid w:val="00EB5F3C"/>
    <w:rsid w:val="00EB66EE"/>
    <w:rsid w:val="00EB6949"/>
    <w:rsid w:val="00EB7DFC"/>
    <w:rsid w:val="00EB7F19"/>
    <w:rsid w:val="00EC020D"/>
    <w:rsid w:val="00EC03B8"/>
    <w:rsid w:val="00EC06D0"/>
    <w:rsid w:val="00EC0944"/>
    <w:rsid w:val="00EC1044"/>
    <w:rsid w:val="00EC1C2B"/>
    <w:rsid w:val="00EC1D55"/>
    <w:rsid w:val="00EC1E0A"/>
    <w:rsid w:val="00EC1E96"/>
    <w:rsid w:val="00EC214F"/>
    <w:rsid w:val="00EC298A"/>
    <w:rsid w:val="00EC2C73"/>
    <w:rsid w:val="00EC38ED"/>
    <w:rsid w:val="00EC3994"/>
    <w:rsid w:val="00EC3DD2"/>
    <w:rsid w:val="00EC43E4"/>
    <w:rsid w:val="00EC49BC"/>
    <w:rsid w:val="00EC4C3F"/>
    <w:rsid w:val="00EC5695"/>
    <w:rsid w:val="00EC5BCC"/>
    <w:rsid w:val="00EC640D"/>
    <w:rsid w:val="00EC6657"/>
    <w:rsid w:val="00EC6957"/>
    <w:rsid w:val="00EC6965"/>
    <w:rsid w:val="00EC69D5"/>
    <w:rsid w:val="00EC6A73"/>
    <w:rsid w:val="00EC6D43"/>
    <w:rsid w:val="00EC6DA3"/>
    <w:rsid w:val="00EC70E0"/>
    <w:rsid w:val="00EC759B"/>
    <w:rsid w:val="00EC7AF2"/>
    <w:rsid w:val="00EC7B23"/>
    <w:rsid w:val="00EC7F17"/>
    <w:rsid w:val="00ED043B"/>
    <w:rsid w:val="00ED10DC"/>
    <w:rsid w:val="00ED133B"/>
    <w:rsid w:val="00ED18C4"/>
    <w:rsid w:val="00ED1A0D"/>
    <w:rsid w:val="00ED278D"/>
    <w:rsid w:val="00ED2E63"/>
    <w:rsid w:val="00ED372D"/>
    <w:rsid w:val="00ED39A5"/>
    <w:rsid w:val="00ED4091"/>
    <w:rsid w:val="00ED4561"/>
    <w:rsid w:val="00ED483E"/>
    <w:rsid w:val="00ED52DF"/>
    <w:rsid w:val="00ED6161"/>
    <w:rsid w:val="00ED644D"/>
    <w:rsid w:val="00ED68B2"/>
    <w:rsid w:val="00ED698D"/>
    <w:rsid w:val="00ED69FB"/>
    <w:rsid w:val="00ED6C05"/>
    <w:rsid w:val="00ED6F5C"/>
    <w:rsid w:val="00ED6FE6"/>
    <w:rsid w:val="00ED74B6"/>
    <w:rsid w:val="00ED767D"/>
    <w:rsid w:val="00ED79F2"/>
    <w:rsid w:val="00ED7C83"/>
    <w:rsid w:val="00EE03E6"/>
    <w:rsid w:val="00EE056B"/>
    <w:rsid w:val="00EE08F9"/>
    <w:rsid w:val="00EE0B9C"/>
    <w:rsid w:val="00EE0BE1"/>
    <w:rsid w:val="00EE0C39"/>
    <w:rsid w:val="00EE0CDB"/>
    <w:rsid w:val="00EE0D67"/>
    <w:rsid w:val="00EE1294"/>
    <w:rsid w:val="00EE1528"/>
    <w:rsid w:val="00EE1685"/>
    <w:rsid w:val="00EE1D82"/>
    <w:rsid w:val="00EE2160"/>
    <w:rsid w:val="00EE22B8"/>
    <w:rsid w:val="00EE22D1"/>
    <w:rsid w:val="00EE25A4"/>
    <w:rsid w:val="00EE2709"/>
    <w:rsid w:val="00EE2BF7"/>
    <w:rsid w:val="00EE2CC7"/>
    <w:rsid w:val="00EE31E3"/>
    <w:rsid w:val="00EE3214"/>
    <w:rsid w:val="00EE3A6B"/>
    <w:rsid w:val="00EE3CA1"/>
    <w:rsid w:val="00EE4265"/>
    <w:rsid w:val="00EE4783"/>
    <w:rsid w:val="00EE48AA"/>
    <w:rsid w:val="00EE60B9"/>
    <w:rsid w:val="00EE6DF7"/>
    <w:rsid w:val="00EE6E72"/>
    <w:rsid w:val="00EE6E87"/>
    <w:rsid w:val="00EE7216"/>
    <w:rsid w:val="00EE7A6B"/>
    <w:rsid w:val="00EE7C2E"/>
    <w:rsid w:val="00EF0E1B"/>
    <w:rsid w:val="00EF1A94"/>
    <w:rsid w:val="00EF1B73"/>
    <w:rsid w:val="00EF221F"/>
    <w:rsid w:val="00EF2282"/>
    <w:rsid w:val="00EF2443"/>
    <w:rsid w:val="00EF27BD"/>
    <w:rsid w:val="00EF28E4"/>
    <w:rsid w:val="00EF2B4D"/>
    <w:rsid w:val="00EF32C1"/>
    <w:rsid w:val="00EF3452"/>
    <w:rsid w:val="00EF3C23"/>
    <w:rsid w:val="00EF4847"/>
    <w:rsid w:val="00EF4995"/>
    <w:rsid w:val="00EF4BB2"/>
    <w:rsid w:val="00EF4BC7"/>
    <w:rsid w:val="00EF4FC9"/>
    <w:rsid w:val="00EF50FD"/>
    <w:rsid w:val="00EF5470"/>
    <w:rsid w:val="00EF5F3B"/>
    <w:rsid w:val="00EF6313"/>
    <w:rsid w:val="00EF6422"/>
    <w:rsid w:val="00EF64AA"/>
    <w:rsid w:val="00EF68EF"/>
    <w:rsid w:val="00EF6AA8"/>
    <w:rsid w:val="00EF6B66"/>
    <w:rsid w:val="00EF72D8"/>
    <w:rsid w:val="00EF7B07"/>
    <w:rsid w:val="00EF7EAF"/>
    <w:rsid w:val="00F00209"/>
    <w:rsid w:val="00F0050E"/>
    <w:rsid w:val="00F00A9D"/>
    <w:rsid w:val="00F00BDD"/>
    <w:rsid w:val="00F00C40"/>
    <w:rsid w:val="00F00FAB"/>
    <w:rsid w:val="00F01439"/>
    <w:rsid w:val="00F0192A"/>
    <w:rsid w:val="00F019AB"/>
    <w:rsid w:val="00F01D9F"/>
    <w:rsid w:val="00F01DEC"/>
    <w:rsid w:val="00F01ED1"/>
    <w:rsid w:val="00F02138"/>
    <w:rsid w:val="00F02712"/>
    <w:rsid w:val="00F02BCF"/>
    <w:rsid w:val="00F02D12"/>
    <w:rsid w:val="00F02E2E"/>
    <w:rsid w:val="00F034D0"/>
    <w:rsid w:val="00F03DE5"/>
    <w:rsid w:val="00F040A9"/>
    <w:rsid w:val="00F0421F"/>
    <w:rsid w:val="00F04362"/>
    <w:rsid w:val="00F04759"/>
    <w:rsid w:val="00F04768"/>
    <w:rsid w:val="00F0477F"/>
    <w:rsid w:val="00F04A6D"/>
    <w:rsid w:val="00F05017"/>
    <w:rsid w:val="00F057CA"/>
    <w:rsid w:val="00F05A65"/>
    <w:rsid w:val="00F05AD9"/>
    <w:rsid w:val="00F05B40"/>
    <w:rsid w:val="00F05DCA"/>
    <w:rsid w:val="00F05E1B"/>
    <w:rsid w:val="00F06076"/>
    <w:rsid w:val="00F06930"/>
    <w:rsid w:val="00F0704E"/>
    <w:rsid w:val="00F0721D"/>
    <w:rsid w:val="00F0755D"/>
    <w:rsid w:val="00F07F76"/>
    <w:rsid w:val="00F07FAE"/>
    <w:rsid w:val="00F1009D"/>
    <w:rsid w:val="00F10353"/>
    <w:rsid w:val="00F10438"/>
    <w:rsid w:val="00F1184B"/>
    <w:rsid w:val="00F11A05"/>
    <w:rsid w:val="00F11CA6"/>
    <w:rsid w:val="00F12BA1"/>
    <w:rsid w:val="00F130DE"/>
    <w:rsid w:val="00F13884"/>
    <w:rsid w:val="00F13890"/>
    <w:rsid w:val="00F13B10"/>
    <w:rsid w:val="00F14087"/>
    <w:rsid w:val="00F143C7"/>
    <w:rsid w:val="00F149BC"/>
    <w:rsid w:val="00F152E8"/>
    <w:rsid w:val="00F15365"/>
    <w:rsid w:val="00F15B58"/>
    <w:rsid w:val="00F15C88"/>
    <w:rsid w:val="00F15D12"/>
    <w:rsid w:val="00F15E93"/>
    <w:rsid w:val="00F1601A"/>
    <w:rsid w:val="00F162EE"/>
    <w:rsid w:val="00F16477"/>
    <w:rsid w:val="00F164F0"/>
    <w:rsid w:val="00F1652A"/>
    <w:rsid w:val="00F16C50"/>
    <w:rsid w:val="00F17801"/>
    <w:rsid w:val="00F17AC9"/>
    <w:rsid w:val="00F17CE7"/>
    <w:rsid w:val="00F17D37"/>
    <w:rsid w:val="00F20160"/>
    <w:rsid w:val="00F20818"/>
    <w:rsid w:val="00F20C68"/>
    <w:rsid w:val="00F211D4"/>
    <w:rsid w:val="00F2153A"/>
    <w:rsid w:val="00F216E2"/>
    <w:rsid w:val="00F218AB"/>
    <w:rsid w:val="00F2190A"/>
    <w:rsid w:val="00F21ABA"/>
    <w:rsid w:val="00F2205E"/>
    <w:rsid w:val="00F2261F"/>
    <w:rsid w:val="00F2296D"/>
    <w:rsid w:val="00F229BF"/>
    <w:rsid w:val="00F235DA"/>
    <w:rsid w:val="00F23703"/>
    <w:rsid w:val="00F23751"/>
    <w:rsid w:val="00F239DF"/>
    <w:rsid w:val="00F23C3D"/>
    <w:rsid w:val="00F241A5"/>
    <w:rsid w:val="00F24D7C"/>
    <w:rsid w:val="00F24E98"/>
    <w:rsid w:val="00F24F58"/>
    <w:rsid w:val="00F25305"/>
    <w:rsid w:val="00F25B99"/>
    <w:rsid w:val="00F25CBC"/>
    <w:rsid w:val="00F25EB5"/>
    <w:rsid w:val="00F265AA"/>
    <w:rsid w:val="00F2660A"/>
    <w:rsid w:val="00F267B1"/>
    <w:rsid w:val="00F269D9"/>
    <w:rsid w:val="00F26A99"/>
    <w:rsid w:val="00F26C74"/>
    <w:rsid w:val="00F27112"/>
    <w:rsid w:val="00F27130"/>
    <w:rsid w:val="00F27A6A"/>
    <w:rsid w:val="00F27AAA"/>
    <w:rsid w:val="00F27DC5"/>
    <w:rsid w:val="00F30248"/>
    <w:rsid w:val="00F30C4B"/>
    <w:rsid w:val="00F30CCC"/>
    <w:rsid w:val="00F3105A"/>
    <w:rsid w:val="00F31430"/>
    <w:rsid w:val="00F315FD"/>
    <w:rsid w:val="00F31751"/>
    <w:rsid w:val="00F3186B"/>
    <w:rsid w:val="00F32092"/>
    <w:rsid w:val="00F321A6"/>
    <w:rsid w:val="00F3274F"/>
    <w:rsid w:val="00F328D3"/>
    <w:rsid w:val="00F32968"/>
    <w:rsid w:val="00F3318E"/>
    <w:rsid w:val="00F3352D"/>
    <w:rsid w:val="00F337D1"/>
    <w:rsid w:val="00F33A2D"/>
    <w:rsid w:val="00F33F9F"/>
    <w:rsid w:val="00F33FFE"/>
    <w:rsid w:val="00F344AA"/>
    <w:rsid w:val="00F34AFC"/>
    <w:rsid w:val="00F34DBA"/>
    <w:rsid w:val="00F35076"/>
    <w:rsid w:val="00F35208"/>
    <w:rsid w:val="00F353D5"/>
    <w:rsid w:val="00F354E5"/>
    <w:rsid w:val="00F3551A"/>
    <w:rsid w:val="00F35BDE"/>
    <w:rsid w:val="00F35C9C"/>
    <w:rsid w:val="00F35DDB"/>
    <w:rsid w:val="00F35FDE"/>
    <w:rsid w:val="00F36016"/>
    <w:rsid w:val="00F361C5"/>
    <w:rsid w:val="00F36A62"/>
    <w:rsid w:val="00F36E9F"/>
    <w:rsid w:val="00F36F54"/>
    <w:rsid w:val="00F37083"/>
    <w:rsid w:val="00F37578"/>
    <w:rsid w:val="00F37779"/>
    <w:rsid w:val="00F37A13"/>
    <w:rsid w:val="00F402DF"/>
    <w:rsid w:val="00F409DC"/>
    <w:rsid w:val="00F40E6D"/>
    <w:rsid w:val="00F40E9F"/>
    <w:rsid w:val="00F419CE"/>
    <w:rsid w:val="00F41AEC"/>
    <w:rsid w:val="00F41BB8"/>
    <w:rsid w:val="00F41DD5"/>
    <w:rsid w:val="00F41F62"/>
    <w:rsid w:val="00F42051"/>
    <w:rsid w:val="00F42275"/>
    <w:rsid w:val="00F423AE"/>
    <w:rsid w:val="00F426FE"/>
    <w:rsid w:val="00F428F3"/>
    <w:rsid w:val="00F42A8C"/>
    <w:rsid w:val="00F42C44"/>
    <w:rsid w:val="00F42CE7"/>
    <w:rsid w:val="00F42D05"/>
    <w:rsid w:val="00F42D87"/>
    <w:rsid w:val="00F42DF7"/>
    <w:rsid w:val="00F43045"/>
    <w:rsid w:val="00F431C9"/>
    <w:rsid w:val="00F43381"/>
    <w:rsid w:val="00F43546"/>
    <w:rsid w:val="00F43646"/>
    <w:rsid w:val="00F43807"/>
    <w:rsid w:val="00F44429"/>
    <w:rsid w:val="00F445BD"/>
    <w:rsid w:val="00F44675"/>
    <w:rsid w:val="00F44983"/>
    <w:rsid w:val="00F44B29"/>
    <w:rsid w:val="00F44C0B"/>
    <w:rsid w:val="00F44E81"/>
    <w:rsid w:val="00F45695"/>
    <w:rsid w:val="00F461ED"/>
    <w:rsid w:val="00F47383"/>
    <w:rsid w:val="00F47499"/>
    <w:rsid w:val="00F47B05"/>
    <w:rsid w:val="00F47FCE"/>
    <w:rsid w:val="00F5134F"/>
    <w:rsid w:val="00F51368"/>
    <w:rsid w:val="00F51377"/>
    <w:rsid w:val="00F513D0"/>
    <w:rsid w:val="00F5152D"/>
    <w:rsid w:val="00F519CD"/>
    <w:rsid w:val="00F51DF1"/>
    <w:rsid w:val="00F52513"/>
    <w:rsid w:val="00F52672"/>
    <w:rsid w:val="00F5267E"/>
    <w:rsid w:val="00F52B31"/>
    <w:rsid w:val="00F52B77"/>
    <w:rsid w:val="00F52C97"/>
    <w:rsid w:val="00F5361E"/>
    <w:rsid w:val="00F53982"/>
    <w:rsid w:val="00F53D26"/>
    <w:rsid w:val="00F54016"/>
    <w:rsid w:val="00F54218"/>
    <w:rsid w:val="00F547ED"/>
    <w:rsid w:val="00F54A76"/>
    <w:rsid w:val="00F54B7D"/>
    <w:rsid w:val="00F54B8E"/>
    <w:rsid w:val="00F54F25"/>
    <w:rsid w:val="00F556CB"/>
    <w:rsid w:val="00F55B48"/>
    <w:rsid w:val="00F55D17"/>
    <w:rsid w:val="00F55E63"/>
    <w:rsid w:val="00F560A1"/>
    <w:rsid w:val="00F561CC"/>
    <w:rsid w:val="00F56740"/>
    <w:rsid w:val="00F56802"/>
    <w:rsid w:val="00F56954"/>
    <w:rsid w:val="00F56B64"/>
    <w:rsid w:val="00F56BDE"/>
    <w:rsid w:val="00F56C2A"/>
    <w:rsid w:val="00F57089"/>
    <w:rsid w:val="00F5746E"/>
    <w:rsid w:val="00F57F6F"/>
    <w:rsid w:val="00F600D0"/>
    <w:rsid w:val="00F601DB"/>
    <w:rsid w:val="00F60666"/>
    <w:rsid w:val="00F60684"/>
    <w:rsid w:val="00F607FC"/>
    <w:rsid w:val="00F60CD5"/>
    <w:rsid w:val="00F60E9F"/>
    <w:rsid w:val="00F60FB1"/>
    <w:rsid w:val="00F6138E"/>
    <w:rsid w:val="00F6179C"/>
    <w:rsid w:val="00F6185A"/>
    <w:rsid w:val="00F61A8B"/>
    <w:rsid w:val="00F6205F"/>
    <w:rsid w:val="00F62E0C"/>
    <w:rsid w:val="00F62EE9"/>
    <w:rsid w:val="00F62F8B"/>
    <w:rsid w:val="00F637B2"/>
    <w:rsid w:val="00F63F52"/>
    <w:rsid w:val="00F64C79"/>
    <w:rsid w:val="00F64C8B"/>
    <w:rsid w:val="00F64D56"/>
    <w:rsid w:val="00F64DC6"/>
    <w:rsid w:val="00F65273"/>
    <w:rsid w:val="00F652C4"/>
    <w:rsid w:val="00F654B5"/>
    <w:rsid w:val="00F6571B"/>
    <w:rsid w:val="00F65A37"/>
    <w:rsid w:val="00F65FFB"/>
    <w:rsid w:val="00F662E3"/>
    <w:rsid w:val="00F664DC"/>
    <w:rsid w:val="00F66859"/>
    <w:rsid w:val="00F66A39"/>
    <w:rsid w:val="00F66B7C"/>
    <w:rsid w:val="00F67A30"/>
    <w:rsid w:val="00F706D2"/>
    <w:rsid w:val="00F70F09"/>
    <w:rsid w:val="00F70F22"/>
    <w:rsid w:val="00F71124"/>
    <w:rsid w:val="00F712AC"/>
    <w:rsid w:val="00F7175C"/>
    <w:rsid w:val="00F72047"/>
    <w:rsid w:val="00F7291F"/>
    <w:rsid w:val="00F72B13"/>
    <w:rsid w:val="00F72B91"/>
    <w:rsid w:val="00F72CBA"/>
    <w:rsid w:val="00F72D7B"/>
    <w:rsid w:val="00F72E1C"/>
    <w:rsid w:val="00F73D7C"/>
    <w:rsid w:val="00F74344"/>
    <w:rsid w:val="00F743F4"/>
    <w:rsid w:val="00F747B5"/>
    <w:rsid w:val="00F751DF"/>
    <w:rsid w:val="00F75233"/>
    <w:rsid w:val="00F7561A"/>
    <w:rsid w:val="00F75C44"/>
    <w:rsid w:val="00F75DF5"/>
    <w:rsid w:val="00F75F88"/>
    <w:rsid w:val="00F760B3"/>
    <w:rsid w:val="00F761BB"/>
    <w:rsid w:val="00F76E98"/>
    <w:rsid w:val="00F77208"/>
    <w:rsid w:val="00F77734"/>
    <w:rsid w:val="00F778FC"/>
    <w:rsid w:val="00F77D19"/>
    <w:rsid w:val="00F77F9D"/>
    <w:rsid w:val="00F77FA8"/>
    <w:rsid w:val="00F8036F"/>
    <w:rsid w:val="00F803D2"/>
    <w:rsid w:val="00F805AE"/>
    <w:rsid w:val="00F80D3C"/>
    <w:rsid w:val="00F80EF6"/>
    <w:rsid w:val="00F80F10"/>
    <w:rsid w:val="00F811A7"/>
    <w:rsid w:val="00F811EF"/>
    <w:rsid w:val="00F81249"/>
    <w:rsid w:val="00F81936"/>
    <w:rsid w:val="00F81B08"/>
    <w:rsid w:val="00F82712"/>
    <w:rsid w:val="00F82860"/>
    <w:rsid w:val="00F82BCF"/>
    <w:rsid w:val="00F82CF3"/>
    <w:rsid w:val="00F82E4F"/>
    <w:rsid w:val="00F82F7A"/>
    <w:rsid w:val="00F834B5"/>
    <w:rsid w:val="00F834F1"/>
    <w:rsid w:val="00F834FC"/>
    <w:rsid w:val="00F8352D"/>
    <w:rsid w:val="00F83801"/>
    <w:rsid w:val="00F83B30"/>
    <w:rsid w:val="00F83C17"/>
    <w:rsid w:val="00F83C81"/>
    <w:rsid w:val="00F83F8A"/>
    <w:rsid w:val="00F8410D"/>
    <w:rsid w:val="00F84922"/>
    <w:rsid w:val="00F84928"/>
    <w:rsid w:val="00F84B86"/>
    <w:rsid w:val="00F84C9E"/>
    <w:rsid w:val="00F850EA"/>
    <w:rsid w:val="00F8524D"/>
    <w:rsid w:val="00F8530C"/>
    <w:rsid w:val="00F854C3"/>
    <w:rsid w:val="00F854F4"/>
    <w:rsid w:val="00F856EF"/>
    <w:rsid w:val="00F85BDF"/>
    <w:rsid w:val="00F860E8"/>
    <w:rsid w:val="00F861B1"/>
    <w:rsid w:val="00F861DC"/>
    <w:rsid w:val="00F8635A"/>
    <w:rsid w:val="00F865F6"/>
    <w:rsid w:val="00F86742"/>
    <w:rsid w:val="00F86BF8"/>
    <w:rsid w:val="00F86EAE"/>
    <w:rsid w:val="00F86F04"/>
    <w:rsid w:val="00F87076"/>
    <w:rsid w:val="00F8764A"/>
    <w:rsid w:val="00F8795F"/>
    <w:rsid w:val="00F87AEB"/>
    <w:rsid w:val="00F919B7"/>
    <w:rsid w:val="00F91B7F"/>
    <w:rsid w:val="00F91B9E"/>
    <w:rsid w:val="00F91E27"/>
    <w:rsid w:val="00F923B7"/>
    <w:rsid w:val="00F9247D"/>
    <w:rsid w:val="00F92771"/>
    <w:rsid w:val="00F92925"/>
    <w:rsid w:val="00F92965"/>
    <w:rsid w:val="00F92AEB"/>
    <w:rsid w:val="00F9302F"/>
    <w:rsid w:val="00F93077"/>
    <w:rsid w:val="00F9311E"/>
    <w:rsid w:val="00F93C00"/>
    <w:rsid w:val="00F93C75"/>
    <w:rsid w:val="00F94089"/>
    <w:rsid w:val="00F9423F"/>
    <w:rsid w:val="00F943B8"/>
    <w:rsid w:val="00F945D8"/>
    <w:rsid w:val="00F951C2"/>
    <w:rsid w:val="00F951F9"/>
    <w:rsid w:val="00F9548B"/>
    <w:rsid w:val="00F955B0"/>
    <w:rsid w:val="00F9560E"/>
    <w:rsid w:val="00F95B43"/>
    <w:rsid w:val="00F96092"/>
    <w:rsid w:val="00F9623D"/>
    <w:rsid w:val="00F96CB2"/>
    <w:rsid w:val="00F96D2B"/>
    <w:rsid w:val="00F96E2C"/>
    <w:rsid w:val="00F96FD1"/>
    <w:rsid w:val="00F9767B"/>
    <w:rsid w:val="00F979BE"/>
    <w:rsid w:val="00F97AA7"/>
    <w:rsid w:val="00FA0072"/>
    <w:rsid w:val="00FA05D1"/>
    <w:rsid w:val="00FA1394"/>
    <w:rsid w:val="00FA167A"/>
    <w:rsid w:val="00FA16E8"/>
    <w:rsid w:val="00FA195A"/>
    <w:rsid w:val="00FA1A5E"/>
    <w:rsid w:val="00FA1BAA"/>
    <w:rsid w:val="00FA209A"/>
    <w:rsid w:val="00FA237D"/>
    <w:rsid w:val="00FA23A7"/>
    <w:rsid w:val="00FA2433"/>
    <w:rsid w:val="00FA2681"/>
    <w:rsid w:val="00FA2E15"/>
    <w:rsid w:val="00FA339A"/>
    <w:rsid w:val="00FA33BA"/>
    <w:rsid w:val="00FA3733"/>
    <w:rsid w:val="00FA3D18"/>
    <w:rsid w:val="00FA40FD"/>
    <w:rsid w:val="00FA433B"/>
    <w:rsid w:val="00FA598B"/>
    <w:rsid w:val="00FA5B0D"/>
    <w:rsid w:val="00FA5FA4"/>
    <w:rsid w:val="00FA60B6"/>
    <w:rsid w:val="00FA612C"/>
    <w:rsid w:val="00FA6291"/>
    <w:rsid w:val="00FA69E1"/>
    <w:rsid w:val="00FA7038"/>
    <w:rsid w:val="00FA703F"/>
    <w:rsid w:val="00FA7242"/>
    <w:rsid w:val="00FA7662"/>
    <w:rsid w:val="00FA780E"/>
    <w:rsid w:val="00FA781E"/>
    <w:rsid w:val="00FA7D40"/>
    <w:rsid w:val="00FA7EFC"/>
    <w:rsid w:val="00FB02B6"/>
    <w:rsid w:val="00FB03FA"/>
    <w:rsid w:val="00FB0AFE"/>
    <w:rsid w:val="00FB0DB7"/>
    <w:rsid w:val="00FB0DCE"/>
    <w:rsid w:val="00FB1055"/>
    <w:rsid w:val="00FB10A8"/>
    <w:rsid w:val="00FB110D"/>
    <w:rsid w:val="00FB1871"/>
    <w:rsid w:val="00FB1A47"/>
    <w:rsid w:val="00FB1C0A"/>
    <w:rsid w:val="00FB1DE6"/>
    <w:rsid w:val="00FB21EF"/>
    <w:rsid w:val="00FB2332"/>
    <w:rsid w:val="00FB28E7"/>
    <w:rsid w:val="00FB2900"/>
    <w:rsid w:val="00FB2B93"/>
    <w:rsid w:val="00FB2C53"/>
    <w:rsid w:val="00FB2E3C"/>
    <w:rsid w:val="00FB2E67"/>
    <w:rsid w:val="00FB2F05"/>
    <w:rsid w:val="00FB3295"/>
    <w:rsid w:val="00FB367A"/>
    <w:rsid w:val="00FB38ED"/>
    <w:rsid w:val="00FB3B23"/>
    <w:rsid w:val="00FB3B28"/>
    <w:rsid w:val="00FB4121"/>
    <w:rsid w:val="00FB484D"/>
    <w:rsid w:val="00FB4964"/>
    <w:rsid w:val="00FB5046"/>
    <w:rsid w:val="00FB5486"/>
    <w:rsid w:val="00FB595D"/>
    <w:rsid w:val="00FB70BF"/>
    <w:rsid w:val="00FB72AF"/>
    <w:rsid w:val="00FB733C"/>
    <w:rsid w:val="00FB74C5"/>
    <w:rsid w:val="00FB7766"/>
    <w:rsid w:val="00FC042E"/>
    <w:rsid w:val="00FC05D6"/>
    <w:rsid w:val="00FC06A7"/>
    <w:rsid w:val="00FC06FF"/>
    <w:rsid w:val="00FC076F"/>
    <w:rsid w:val="00FC0954"/>
    <w:rsid w:val="00FC0A32"/>
    <w:rsid w:val="00FC0D95"/>
    <w:rsid w:val="00FC0DD6"/>
    <w:rsid w:val="00FC10CD"/>
    <w:rsid w:val="00FC11D5"/>
    <w:rsid w:val="00FC1325"/>
    <w:rsid w:val="00FC1736"/>
    <w:rsid w:val="00FC19ED"/>
    <w:rsid w:val="00FC1FB4"/>
    <w:rsid w:val="00FC2303"/>
    <w:rsid w:val="00FC27A3"/>
    <w:rsid w:val="00FC29CC"/>
    <w:rsid w:val="00FC2C3C"/>
    <w:rsid w:val="00FC3839"/>
    <w:rsid w:val="00FC3B84"/>
    <w:rsid w:val="00FC3E7B"/>
    <w:rsid w:val="00FC41DB"/>
    <w:rsid w:val="00FC4792"/>
    <w:rsid w:val="00FC49F1"/>
    <w:rsid w:val="00FC4BA7"/>
    <w:rsid w:val="00FC5CD5"/>
    <w:rsid w:val="00FC5CE5"/>
    <w:rsid w:val="00FC62A4"/>
    <w:rsid w:val="00FC65B2"/>
    <w:rsid w:val="00FC66D6"/>
    <w:rsid w:val="00FC6CB7"/>
    <w:rsid w:val="00FC7660"/>
    <w:rsid w:val="00FC7B48"/>
    <w:rsid w:val="00FC7C6F"/>
    <w:rsid w:val="00FC7C85"/>
    <w:rsid w:val="00FC7F61"/>
    <w:rsid w:val="00FD00CE"/>
    <w:rsid w:val="00FD01BF"/>
    <w:rsid w:val="00FD020E"/>
    <w:rsid w:val="00FD02E8"/>
    <w:rsid w:val="00FD071A"/>
    <w:rsid w:val="00FD1402"/>
    <w:rsid w:val="00FD197B"/>
    <w:rsid w:val="00FD19F4"/>
    <w:rsid w:val="00FD207A"/>
    <w:rsid w:val="00FD24B4"/>
    <w:rsid w:val="00FD2B1B"/>
    <w:rsid w:val="00FD2EB1"/>
    <w:rsid w:val="00FD2F44"/>
    <w:rsid w:val="00FD3522"/>
    <w:rsid w:val="00FD3976"/>
    <w:rsid w:val="00FD3CC2"/>
    <w:rsid w:val="00FD450F"/>
    <w:rsid w:val="00FD4540"/>
    <w:rsid w:val="00FD484F"/>
    <w:rsid w:val="00FD50EE"/>
    <w:rsid w:val="00FD546E"/>
    <w:rsid w:val="00FD5497"/>
    <w:rsid w:val="00FD55E0"/>
    <w:rsid w:val="00FD5751"/>
    <w:rsid w:val="00FD58BD"/>
    <w:rsid w:val="00FD5996"/>
    <w:rsid w:val="00FD5A0F"/>
    <w:rsid w:val="00FD5CDB"/>
    <w:rsid w:val="00FD5DE1"/>
    <w:rsid w:val="00FD64D0"/>
    <w:rsid w:val="00FD6619"/>
    <w:rsid w:val="00FD67CC"/>
    <w:rsid w:val="00FD7192"/>
    <w:rsid w:val="00FD782F"/>
    <w:rsid w:val="00FD7883"/>
    <w:rsid w:val="00FD79D6"/>
    <w:rsid w:val="00FD79F9"/>
    <w:rsid w:val="00FE065C"/>
    <w:rsid w:val="00FE0791"/>
    <w:rsid w:val="00FE1068"/>
    <w:rsid w:val="00FE125F"/>
    <w:rsid w:val="00FE13F2"/>
    <w:rsid w:val="00FE1832"/>
    <w:rsid w:val="00FE1E22"/>
    <w:rsid w:val="00FE21B2"/>
    <w:rsid w:val="00FE2754"/>
    <w:rsid w:val="00FE284D"/>
    <w:rsid w:val="00FE292F"/>
    <w:rsid w:val="00FE2D14"/>
    <w:rsid w:val="00FE3199"/>
    <w:rsid w:val="00FE345A"/>
    <w:rsid w:val="00FE34D7"/>
    <w:rsid w:val="00FE36E3"/>
    <w:rsid w:val="00FE376F"/>
    <w:rsid w:val="00FE3A71"/>
    <w:rsid w:val="00FE3E7F"/>
    <w:rsid w:val="00FE43B7"/>
    <w:rsid w:val="00FE4AFD"/>
    <w:rsid w:val="00FE4E60"/>
    <w:rsid w:val="00FE540D"/>
    <w:rsid w:val="00FE610A"/>
    <w:rsid w:val="00FE6391"/>
    <w:rsid w:val="00FE67DB"/>
    <w:rsid w:val="00FE69CF"/>
    <w:rsid w:val="00FE6B67"/>
    <w:rsid w:val="00FE735B"/>
    <w:rsid w:val="00FE78A3"/>
    <w:rsid w:val="00FE78F5"/>
    <w:rsid w:val="00FE7A12"/>
    <w:rsid w:val="00FE7CEA"/>
    <w:rsid w:val="00FF0072"/>
    <w:rsid w:val="00FF01F6"/>
    <w:rsid w:val="00FF0440"/>
    <w:rsid w:val="00FF0D8F"/>
    <w:rsid w:val="00FF0E56"/>
    <w:rsid w:val="00FF0FCC"/>
    <w:rsid w:val="00FF1343"/>
    <w:rsid w:val="00FF1A71"/>
    <w:rsid w:val="00FF1C4D"/>
    <w:rsid w:val="00FF1CAE"/>
    <w:rsid w:val="00FF1FC3"/>
    <w:rsid w:val="00FF228B"/>
    <w:rsid w:val="00FF2403"/>
    <w:rsid w:val="00FF28AC"/>
    <w:rsid w:val="00FF364A"/>
    <w:rsid w:val="00FF3C1F"/>
    <w:rsid w:val="00FF3E45"/>
    <w:rsid w:val="00FF4179"/>
    <w:rsid w:val="00FF4405"/>
    <w:rsid w:val="00FF457C"/>
    <w:rsid w:val="00FF458E"/>
    <w:rsid w:val="00FF481F"/>
    <w:rsid w:val="00FF51DD"/>
    <w:rsid w:val="00FF5C5C"/>
    <w:rsid w:val="00FF5F90"/>
    <w:rsid w:val="00FF63AD"/>
    <w:rsid w:val="00FF64B5"/>
    <w:rsid w:val="00FF6897"/>
    <w:rsid w:val="00FF6A9E"/>
    <w:rsid w:val="00FF6EE0"/>
    <w:rsid w:val="00FF710B"/>
    <w:rsid w:val="00FF71FB"/>
    <w:rsid w:val="00FF743C"/>
    <w:rsid w:val="00FF78BB"/>
    <w:rsid w:val="00FF7CAA"/>
    <w:rsid w:val="00FF7CC1"/>
    <w:rsid w:val="00FF7D6D"/>
    <w:rsid w:val="010C4546"/>
    <w:rsid w:val="01351A97"/>
    <w:rsid w:val="013DDC5A"/>
    <w:rsid w:val="01DB8EBA"/>
    <w:rsid w:val="0214DE04"/>
    <w:rsid w:val="023074D7"/>
    <w:rsid w:val="02363B21"/>
    <w:rsid w:val="0279513F"/>
    <w:rsid w:val="02B22C2E"/>
    <w:rsid w:val="032E5582"/>
    <w:rsid w:val="036FD737"/>
    <w:rsid w:val="03BDFA44"/>
    <w:rsid w:val="03C96D94"/>
    <w:rsid w:val="041E1AC9"/>
    <w:rsid w:val="04CC7320"/>
    <w:rsid w:val="053059DA"/>
    <w:rsid w:val="057550C9"/>
    <w:rsid w:val="06754BB9"/>
    <w:rsid w:val="06995BAE"/>
    <w:rsid w:val="06EA86B4"/>
    <w:rsid w:val="0717A56E"/>
    <w:rsid w:val="07420119"/>
    <w:rsid w:val="07AB8636"/>
    <w:rsid w:val="087EC22E"/>
    <w:rsid w:val="0885DBE9"/>
    <w:rsid w:val="08D8B65E"/>
    <w:rsid w:val="08F6D29C"/>
    <w:rsid w:val="090F74D6"/>
    <w:rsid w:val="094B408C"/>
    <w:rsid w:val="09E748BA"/>
    <w:rsid w:val="0A21FE2F"/>
    <w:rsid w:val="0A3A5CA2"/>
    <w:rsid w:val="0A480254"/>
    <w:rsid w:val="0A6429B7"/>
    <w:rsid w:val="0A829010"/>
    <w:rsid w:val="0A9C5D0F"/>
    <w:rsid w:val="0AFC1449"/>
    <w:rsid w:val="0C13B7BC"/>
    <w:rsid w:val="0C953A3E"/>
    <w:rsid w:val="0D221B42"/>
    <w:rsid w:val="0D24E87C"/>
    <w:rsid w:val="0D2554E6"/>
    <w:rsid w:val="0D4A0FF3"/>
    <w:rsid w:val="0D7F0B9E"/>
    <w:rsid w:val="0DD23EB0"/>
    <w:rsid w:val="0E0B13E8"/>
    <w:rsid w:val="0E99686E"/>
    <w:rsid w:val="0ED0328C"/>
    <w:rsid w:val="0EDE5F5D"/>
    <w:rsid w:val="0EEAACB7"/>
    <w:rsid w:val="0EF9B674"/>
    <w:rsid w:val="0F40E915"/>
    <w:rsid w:val="0F569640"/>
    <w:rsid w:val="0FB69C2C"/>
    <w:rsid w:val="0FE25A1B"/>
    <w:rsid w:val="0FFE7810"/>
    <w:rsid w:val="10318294"/>
    <w:rsid w:val="1090C987"/>
    <w:rsid w:val="1101B9CA"/>
    <w:rsid w:val="1109F0D6"/>
    <w:rsid w:val="111ABFF9"/>
    <w:rsid w:val="11334FE3"/>
    <w:rsid w:val="11592018"/>
    <w:rsid w:val="11C6C04B"/>
    <w:rsid w:val="12009076"/>
    <w:rsid w:val="1201648A"/>
    <w:rsid w:val="1206FA0D"/>
    <w:rsid w:val="125823B4"/>
    <w:rsid w:val="129D8A2B"/>
    <w:rsid w:val="131047EA"/>
    <w:rsid w:val="13179870"/>
    <w:rsid w:val="1346A45B"/>
    <w:rsid w:val="1359C6DF"/>
    <w:rsid w:val="135F49BA"/>
    <w:rsid w:val="136AEB09"/>
    <w:rsid w:val="13FB2F0F"/>
    <w:rsid w:val="1424CBC1"/>
    <w:rsid w:val="142E7EB4"/>
    <w:rsid w:val="1451C943"/>
    <w:rsid w:val="14598030"/>
    <w:rsid w:val="1465B8E5"/>
    <w:rsid w:val="14B704C6"/>
    <w:rsid w:val="14DFC4DC"/>
    <w:rsid w:val="14F35CC6"/>
    <w:rsid w:val="15090E68"/>
    <w:rsid w:val="150F2A3D"/>
    <w:rsid w:val="152709E5"/>
    <w:rsid w:val="15383138"/>
    <w:rsid w:val="15B8D0CA"/>
    <w:rsid w:val="15D63F6D"/>
    <w:rsid w:val="161BF10A"/>
    <w:rsid w:val="1646F27F"/>
    <w:rsid w:val="164CC075"/>
    <w:rsid w:val="1698D407"/>
    <w:rsid w:val="169D5E1D"/>
    <w:rsid w:val="169FE829"/>
    <w:rsid w:val="16D66F21"/>
    <w:rsid w:val="17552420"/>
    <w:rsid w:val="177497C6"/>
    <w:rsid w:val="1777AB8C"/>
    <w:rsid w:val="17C5795A"/>
    <w:rsid w:val="183899CD"/>
    <w:rsid w:val="183A1DA4"/>
    <w:rsid w:val="18D4F3C8"/>
    <w:rsid w:val="18D857A4"/>
    <w:rsid w:val="192DC046"/>
    <w:rsid w:val="193795EB"/>
    <w:rsid w:val="1982C13F"/>
    <w:rsid w:val="199A2093"/>
    <w:rsid w:val="19BA306A"/>
    <w:rsid w:val="19F4B5B0"/>
    <w:rsid w:val="19F642EF"/>
    <w:rsid w:val="1A3AC160"/>
    <w:rsid w:val="1A4C5960"/>
    <w:rsid w:val="1A5F23F2"/>
    <w:rsid w:val="1A71EAA0"/>
    <w:rsid w:val="1AA67611"/>
    <w:rsid w:val="1AD82499"/>
    <w:rsid w:val="1AF520D5"/>
    <w:rsid w:val="1B53729A"/>
    <w:rsid w:val="1B591B54"/>
    <w:rsid w:val="1B6A1454"/>
    <w:rsid w:val="1B9228AF"/>
    <w:rsid w:val="1C048B54"/>
    <w:rsid w:val="1C1B5646"/>
    <w:rsid w:val="1C925215"/>
    <w:rsid w:val="1CA236BE"/>
    <w:rsid w:val="1CF6CDE8"/>
    <w:rsid w:val="1CFA23BC"/>
    <w:rsid w:val="1D3FB9FC"/>
    <w:rsid w:val="1D58422F"/>
    <w:rsid w:val="1D94ED11"/>
    <w:rsid w:val="1DCAB0ED"/>
    <w:rsid w:val="1DDF862A"/>
    <w:rsid w:val="1DDFA55A"/>
    <w:rsid w:val="1DF01CD5"/>
    <w:rsid w:val="1E172FC0"/>
    <w:rsid w:val="1E549615"/>
    <w:rsid w:val="1E797259"/>
    <w:rsid w:val="1EB58C9F"/>
    <w:rsid w:val="1ECBE579"/>
    <w:rsid w:val="1EE2E622"/>
    <w:rsid w:val="1EFA7692"/>
    <w:rsid w:val="1F206F83"/>
    <w:rsid w:val="1F29CCA0"/>
    <w:rsid w:val="1F5D8E0C"/>
    <w:rsid w:val="2013EC8F"/>
    <w:rsid w:val="209E44D3"/>
    <w:rsid w:val="20D42ED1"/>
    <w:rsid w:val="21107D41"/>
    <w:rsid w:val="21209C9F"/>
    <w:rsid w:val="216E1FFD"/>
    <w:rsid w:val="218466D8"/>
    <w:rsid w:val="21CDD701"/>
    <w:rsid w:val="220F58F9"/>
    <w:rsid w:val="22396A82"/>
    <w:rsid w:val="224B5B72"/>
    <w:rsid w:val="227676CB"/>
    <w:rsid w:val="228AC63E"/>
    <w:rsid w:val="229FED48"/>
    <w:rsid w:val="22BF2169"/>
    <w:rsid w:val="22E63B1D"/>
    <w:rsid w:val="23458D24"/>
    <w:rsid w:val="2353CDDD"/>
    <w:rsid w:val="23B9B296"/>
    <w:rsid w:val="23F1FC8D"/>
    <w:rsid w:val="2405330F"/>
    <w:rsid w:val="2418D2F1"/>
    <w:rsid w:val="24471E3E"/>
    <w:rsid w:val="24556D1B"/>
    <w:rsid w:val="246E682F"/>
    <w:rsid w:val="248FF261"/>
    <w:rsid w:val="24DDC963"/>
    <w:rsid w:val="24F9FDE0"/>
    <w:rsid w:val="24FA1B8D"/>
    <w:rsid w:val="24FCBBD3"/>
    <w:rsid w:val="2523F1CE"/>
    <w:rsid w:val="2577E2B6"/>
    <w:rsid w:val="25CC996D"/>
    <w:rsid w:val="25D3C54D"/>
    <w:rsid w:val="2668F8F1"/>
    <w:rsid w:val="26764883"/>
    <w:rsid w:val="26815CF7"/>
    <w:rsid w:val="269B902E"/>
    <w:rsid w:val="26BDB240"/>
    <w:rsid w:val="26DF7C9A"/>
    <w:rsid w:val="26DF86F4"/>
    <w:rsid w:val="273B6270"/>
    <w:rsid w:val="274FDC3B"/>
    <w:rsid w:val="275244B3"/>
    <w:rsid w:val="275C6BF7"/>
    <w:rsid w:val="27E21E3B"/>
    <w:rsid w:val="281AFCFA"/>
    <w:rsid w:val="284041D2"/>
    <w:rsid w:val="284C87C2"/>
    <w:rsid w:val="28543F71"/>
    <w:rsid w:val="287F65B1"/>
    <w:rsid w:val="28826FE1"/>
    <w:rsid w:val="288692F2"/>
    <w:rsid w:val="28A05221"/>
    <w:rsid w:val="28A81163"/>
    <w:rsid w:val="28B2F071"/>
    <w:rsid w:val="28E475E3"/>
    <w:rsid w:val="29351D52"/>
    <w:rsid w:val="297396A9"/>
    <w:rsid w:val="29F24990"/>
    <w:rsid w:val="2A0BBA66"/>
    <w:rsid w:val="2A7B3449"/>
    <w:rsid w:val="2A83C830"/>
    <w:rsid w:val="2AC2BA51"/>
    <w:rsid w:val="2AEB5DC5"/>
    <w:rsid w:val="2B1F955C"/>
    <w:rsid w:val="2B52C083"/>
    <w:rsid w:val="2BA3E551"/>
    <w:rsid w:val="2BC91DC4"/>
    <w:rsid w:val="2BF60935"/>
    <w:rsid w:val="2C0CE883"/>
    <w:rsid w:val="2C4038EE"/>
    <w:rsid w:val="2C436B1A"/>
    <w:rsid w:val="2CA3866D"/>
    <w:rsid w:val="2CD40D54"/>
    <w:rsid w:val="2CDA66B2"/>
    <w:rsid w:val="2CEAD70D"/>
    <w:rsid w:val="2CF073A1"/>
    <w:rsid w:val="2D087550"/>
    <w:rsid w:val="2D368D18"/>
    <w:rsid w:val="2D52678B"/>
    <w:rsid w:val="2DAA139F"/>
    <w:rsid w:val="2DE4136B"/>
    <w:rsid w:val="2DEF2FF9"/>
    <w:rsid w:val="2E45AD6F"/>
    <w:rsid w:val="2E8408F3"/>
    <w:rsid w:val="2EA445B1"/>
    <w:rsid w:val="2EB0C0DA"/>
    <w:rsid w:val="2EB43419"/>
    <w:rsid w:val="2EDD00B3"/>
    <w:rsid w:val="2F42EA1B"/>
    <w:rsid w:val="2F477370"/>
    <w:rsid w:val="2FFEA060"/>
    <w:rsid w:val="3012AE61"/>
    <w:rsid w:val="303242EA"/>
    <w:rsid w:val="306449F8"/>
    <w:rsid w:val="309C25FA"/>
    <w:rsid w:val="309E3A6E"/>
    <w:rsid w:val="31034F6E"/>
    <w:rsid w:val="3143D5AE"/>
    <w:rsid w:val="3151B094"/>
    <w:rsid w:val="319BE9BF"/>
    <w:rsid w:val="31A621FD"/>
    <w:rsid w:val="32B063A9"/>
    <w:rsid w:val="32FB8430"/>
    <w:rsid w:val="33148646"/>
    <w:rsid w:val="3341BA7D"/>
    <w:rsid w:val="3378B200"/>
    <w:rsid w:val="33E96344"/>
    <w:rsid w:val="33F5C951"/>
    <w:rsid w:val="346CC2C0"/>
    <w:rsid w:val="347E4F36"/>
    <w:rsid w:val="349E9C11"/>
    <w:rsid w:val="34A00BBC"/>
    <w:rsid w:val="34B03DF9"/>
    <w:rsid w:val="34E74E74"/>
    <w:rsid w:val="353A74F4"/>
    <w:rsid w:val="3543A0B5"/>
    <w:rsid w:val="354F7DB5"/>
    <w:rsid w:val="3552A67D"/>
    <w:rsid w:val="356538BA"/>
    <w:rsid w:val="358ADC16"/>
    <w:rsid w:val="35B3ECE7"/>
    <w:rsid w:val="35FAC48E"/>
    <w:rsid w:val="360927A1"/>
    <w:rsid w:val="361ADFD8"/>
    <w:rsid w:val="365D0727"/>
    <w:rsid w:val="366AE1F4"/>
    <w:rsid w:val="36CD4611"/>
    <w:rsid w:val="36D5674D"/>
    <w:rsid w:val="36E30375"/>
    <w:rsid w:val="36F0A487"/>
    <w:rsid w:val="3700E5B5"/>
    <w:rsid w:val="379FA6D4"/>
    <w:rsid w:val="37FDA77D"/>
    <w:rsid w:val="380ED0D2"/>
    <w:rsid w:val="386FC5BC"/>
    <w:rsid w:val="38D89193"/>
    <w:rsid w:val="39089994"/>
    <w:rsid w:val="390AE6D1"/>
    <w:rsid w:val="391418D1"/>
    <w:rsid w:val="394AAF9F"/>
    <w:rsid w:val="39CD87FA"/>
    <w:rsid w:val="3A332F2A"/>
    <w:rsid w:val="3AAB8281"/>
    <w:rsid w:val="3AF83343"/>
    <w:rsid w:val="3B0E2E67"/>
    <w:rsid w:val="3B39771F"/>
    <w:rsid w:val="3BD97AF7"/>
    <w:rsid w:val="3C3901E9"/>
    <w:rsid w:val="3C5AFF66"/>
    <w:rsid w:val="3C61CA1D"/>
    <w:rsid w:val="3C697945"/>
    <w:rsid w:val="3CFB2A51"/>
    <w:rsid w:val="3D0C4671"/>
    <w:rsid w:val="3D2A27D4"/>
    <w:rsid w:val="3D57FED4"/>
    <w:rsid w:val="3D609B60"/>
    <w:rsid w:val="3D900046"/>
    <w:rsid w:val="3D9147B4"/>
    <w:rsid w:val="3DFE3380"/>
    <w:rsid w:val="3E180AC7"/>
    <w:rsid w:val="3E4AF9A0"/>
    <w:rsid w:val="3E6BA193"/>
    <w:rsid w:val="3E7B795A"/>
    <w:rsid w:val="3F3FF4E6"/>
    <w:rsid w:val="3F61DAE4"/>
    <w:rsid w:val="3F8D6C0D"/>
    <w:rsid w:val="3FCADB18"/>
    <w:rsid w:val="3FD8E8B6"/>
    <w:rsid w:val="3FE4681C"/>
    <w:rsid w:val="402DEC87"/>
    <w:rsid w:val="406DF3EA"/>
    <w:rsid w:val="40C5AB1F"/>
    <w:rsid w:val="40EE6BF5"/>
    <w:rsid w:val="410EFEAE"/>
    <w:rsid w:val="410FEA27"/>
    <w:rsid w:val="416945C7"/>
    <w:rsid w:val="4174FAF7"/>
    <w:rsid w:val="41847FD9"/>
    <w:rsid w:val="41C41CE4"/>
    <w:rsid w:val="41D16F42"/>
    <w:rsid w:val="421294E6"/>
    <w:rsid w:val="4238A4CD"/>
    <w:rsid w:val="42554BDF"/>
    <w:rsid w:val="42A2C3E7"/>
    <w:rsid w:val="42C082B1"/>
    <w:rsid w:val="434233C8"/>
    <w:rsid w:val="4369A4EE"/>
    <w:rsid w:val="4384DB7B"/>
    <w:rsid w:val="43A912DA"/>
    <w:rsid w:val="43CAE884"/>
    <w:rsid w:val="43F6FD83"/>
    <w:rsid w:val="44BFD062"/>
    <w:rsid w:val="44D55C47"/>
    <w:rsid w:val="450108AB"/>
    <w:rsid w:val="4501C843"/>
    <w:rsid w:val="45647429"/>
    <w:rsid w:val="458B18B7"/>
    <w:rsid w:val="45A12F16"/>
    <w:rsid w:val="45D9948B"/>
    <w:rsid w:val="460BC7DD"/>
    <w:rsid w:val="4630FB16"/>
    <w:rsid w:val="46352F06"/>
    <w:rsid w:val="464AF5EC"/>
    <w:rsid w:val="4675E729"/>
    <w:rsid w:val="4683E0A9"/>
    <w:rsid w:val="468F32D5"/>
    <w:rsid w:val="46A3542E"/>
    <w:rsid w:val="46F7D858"/>
    <w:rsid w:val="477335F4"/>
    <w:rsid w:val="47A06EEA"/>
    <w:rsid w:val="47AE3D74"/>
    <w:rsid w:val="47B4387A"/>
    <w:rsid w:val="47CCCB77"/>
    <w:rsid w:val="47F329DC"/>
    <w:rsid w:val="48A2B837"/>
    <w:rsid w:val="48AEC4BE"/>
    <w:rsid w:val="48BA24FC"/>
    <w:rsid w:val="490AE839"/>
    <w:rsid w:val="495E4461"/>
    <w:rsid w:val="49A6D431"/>
    <w:rsid w:val="49ADFF71"/>
    <w:rsid w:val="49B144F0"/>
    <w:rsid w:val="49B59804"/>
    <w:rsid w:val="49B8F835"/>
    <w:rsid w:val="49C25EA4"/>
    <w:rsid w:val="49DE2CC1"/>
    <w:rsid w:val="4A100C0F"/>
    <w:rsid w:val="4A1938FE"/>
    <w:rsid w:val="4A4A9287"/>
    <w:rsid w:val="4A5C5ECB"/>
    <w:rsid w:val="4A6AE876"/>
    <w:rsid w:val="4A99957D"/>
    <w:rsid w:val="4AB29B3E"/>
    <w:rsid w:val="4ADBDE45"/>
    <w:rsid w:val="4B1911B2"/>
    <w:rsid w:val="4B87B1AC"/>
    <w:rsid w:val="4BFBBB01"/>
    <w:rsid w:val="4C11520C"/>
    <w:rsid w:val="4C66DA41"/>
    <w:rsid w:val="4CC1F392"/>
    <w:rsid w:val="4D445F97"/>
    <w:rsid w:val="4D5B2732"/>
    <w:rsid w:val="4D8C5897"/>
    <w:rsid w:val="4DE28F6A"/>
    <w:rsid w:val="4E912982"/>
    <w:rsid w:val="4EC99751"/>
    <w:rsid w:val="4EEFB55D"/>
    <w:rsid w:val="4EFFA27B"/>
    <w:rsid w:val="4F1247C3"/>
    <w:rsid w:val="4F2E3614"/>
    <w:rsid w:val="4F6F8DE1"/>
    <w:rsid w:val="4F794A9B"/>
    <w:rsid w:val="4FABA928"/>
    <w:rsid w:val="508A9405"/>
    <w:rsid w:val="50BA830C"/>
    <w:rsid w:val="5145814B"/>
    <w:rsid w:val="517A11FF"/>
    <w:rsid w:val="52700251"/>
    <w:rsid w:val="529827F1"/>
    <w:rsid w:val="5327A961"/>
    <w:rsid w:val="5359D2E0"/>
    <w:rsid w:val="53D79E05"/>
    <w:rsid w:val="53D8D345"/>
    <w:rsid w:val="546A51D8"/>
    <w:rsid w:val="54717A35"/>
    <w:rsid w:val="54738B30"/>
    <w:rsid w:val="54798D81"/>
    <w:rsid w:val="5484BA94"/>
    <w:rsid w:val="5488B78A"/>
    <w:rsid w:val="548C89F1"/>
    <w:rsid w:val="54DAE04A"/>
    <w:rsid w:val="55201F58"/>
    <w:rsid w:val="5522FCE7"/>
    <w:rsid w:val="557B968C"/>
    <w:rsid w:val="5587DBEB"/>
    <w:rsid w:val="55BEC00C"/>
    <w:rsid w:val="55D0F73D"/>
    <w:rsid w:val="55FECBE4"/>
    <w:rsid w:val="561A0759"/>
    <w:rsid w:val="56327F72"/>
    <w:rsid w:val="569C2566"/>
    <w:rsid w:val="56AAFFA8"/>
    <w:rsid w:val="570FDC8F"/>
    <w:rsid w:val="5728FCCF"/>
    <w:rsid w:val="57440359"/>
    <w:rsid w:val="579CF6AB"/>
    <w:rsid w:val="57A62635"/>
    <w:rsid w:val="57B7FAA0"/>
    <w:rsid w:val="57D5464A"/>
    <w:rsid w:val="57E1ED9A"/>
    <w:rsid w:val="5823D88D"/>
    <w:rsid w:val="585957C6"/>
    <w:rsid w:val="5875878A"/>
    <w:rsid w:val="587E5B6A"/>
    <w:rsid w:val="58E13C36"/>
    <w:rsid w:val="59008B33"/>
    <w:rsid w:val="5901A118"/>
    <w:rsid w:val="594CDA95"/>
    <w:rsid w:val="5961D4F4"/>
    <w:rsid w:val="5980B353"/>
    <w:rsid w:val="59AD838C"/>
    <w:rsid w:val="59DE4913"/>
    <w:rsid w:val="59EAD069"/>
    <w:rsid w:val="5A3E61D6"/>
    <w:rsid w:val="5AF93E31"/>
    <w:rsid w:val="5B18F6E4"/>
    <w:rsid w:val="5B663E82"/>
    <w:rsid w:val="5B73F99A"/>
    <w:rsid w:val="5B8ABE0C"/>
    <w:rsid w:val="5B934DCE"/>
    <w:rsid w:val="5B98066D"/>
    <w:rsid w:val="5BAB6E4D"/>
    <w:rsid w:val="5BD8B0FE"/>
    <w:rsid w:val="5C11D782"/>
    <w:rsid w:val="5CB8E6A1"/>
    <w:rsid w:val="5CC714AE"/>
    <w:rsid w:val="5CDB76D9"/>
    <w:rsid w:val="5D75384F"/>
    <w:rsid w:val="5DA297A1"/>
    <w:rsid w:val="5DBC0649"/>
    <w:rsid w:val="5DEBC652"/>
    <w:rsid w:val="5E0EEE88"/>
    <w:rsid w:val="5E3583C4"/>
    <w:rsid w:val="5E714A80"/>
    <w:rsid w:val="5E9D80A8"/>
    <w:rsid w:val="5EBFC1EE"/>
    <w:rsid w:val="5ECE0852"/>
    <w:rsid w:val="5EDAF4AE"/>
    <w:rsid w:val="5F08358C"/>
    <w:rsid w:val="5F0B0FD6"/>
    <w:rsid w:val="5F2DDE75"/>
    <w:rsid w:val="5F45F9AA"/>
    <w:rsid w:val="60208E4E"/>
    <w:rsid w:val="603B194D"/>
    <w:rsid w:val="60628FAB"/>
    <w:rsid w:val="6084D9C8"/>
    <w:rsid w:val="611555D4"/>
    <w:rsid w:val="6121C2DA"/>
    <w:rsid w:val="61A3163B"/>
    <w:rsid w:val="61EB3785"/>
    <w:rsid w:val="624A7E6D"/>
    <w:rsid w:val="631CF11F"/>
    <w:rsid w:val="632D4AB1"/>
    <w:rsid w:val="63388528"/>
    <w:rsid w:val="634E1D81"/>
    <w:rsid w:val="63B56056"/>
    <w:rsid w:val="6424E444"/>
    <w:rsid w:val="64377158"/>
    <w:rsid w:val="6470C787"/>
    <w:rsid w:val="647290DC"/>
    <w:rsid w:val="6483D168"/>
    <w:rsid w:val="6494A798"/>
    <w:rsid w:val="649E4067"/>
    <w:rsid w:val="64BB5BCE"/>
    <w:rsid w:val="64EB72E9"/>
    <w:rsid w:val="659C0CDF"/>
    <w:rsid w:val="659F3AFA"/>
    <w:rsid w:val="664517D9"/>
    <w:rsid w:val="6659E613"/>
    <w:rsid w:val="667D9EE7"/>
    <w:rsid w:val="66EC8D5D"/>
    <w:rsid w:val="67055018"/>
    <w:rsid w:val="6708CD7B"/>
    <w:rsid w:val="6749138A"/>
    <w:rsid w:val="67D4B8E1"/>
    <w:rsid w:val="683DD71D"/>
    <w:rsid w:val="6853DE4A"/>
    <w:rsid w:val="6863DFB2"/>
    <w:rsid w:val="6876CA63"/>
    <w:rsid w:val="68925EEC"/>
    <w:rsid w:val="692225AD"/>
    <w:rsid w:val="6938BD59"/>
    <w:rsid w:val="6956F314"/>
    <w:rsid w:val="6975621B"/>
    <w:rsid w:val="69D60A7A"/>
    <w:rsid w:val="69F79544"/>
    <w:rsid w:val="6A2BA3ED"/>
    <w:rsid w:val="6A3BD6AB"/>
    <w:rsid w:val="6A7894F0"/>
    <w:rsid w:val="6A92421D"/>
    <w:rsid w:val="6A9E474B"/>
    <w:rsid w:val="6AD3DF2A"/>
    <w:rsid w:val="6B045E66"/>
    <w:rsid w:val="6C79B66A"/>
    <w:rsid w:val="6C7EA9A5"/>
    <w:rsid w:val="6C904413"/>
    <w:rsid w:val="6CB0B216"/>
    <w:rsid w:val="6CC084FF"/>
    <w:rsid w:val="6CF04DB1"/>
    <w:rsid w:val="6D156B9E"/>
    <w:rsid w:val="6D3402C3"/>
    <w:rsid w:val="6D4CC50B"/>
    <w:rsid w:val="6D655880"/>
    <w:rsid w:val="6D66AC57"/>
    <w:rsid w:val="6D91BBFA"/>
    <w:rsid w:val="6D9AD183"/>
    <w:rsid w:val="6DB8DC34"/>
    <w:rsid w:val="6DE139DB"/>
    <w:rsid w:val="6E068BAA"/>
    <w:rsid w:val="6E462490"/>
    <w:rsid w:val="6E63C4D3"/>
    <w:rsid w:val="6EAF11E6"/>
    <w:rsid w:val="6EF8E1B8"/>
    <w:rsid w:val="6F269BEF"/>
    <w:rsid w:val="6F457A4E"/>
    <w:rsid w:val="6F82566E"/>
    <w:rsid w:val="6F8BBB04"/>
    <w:rsid w:val="6F8FA0C9"/>
    <w:rsid w:val="6FE8CE6F"/>
    <w:rsid w:val="70066DA7"/>
    <w:rsid w:val="700A9D50"/>
    <w:rsid w:val="706CD120"/>
    <w:rsid w:val="7089BCB0"/>
    <w:rsid w:val="70946735"/>
    <w:rsid w:val="717D7FA3"/>
    <w:rsid w:val="7191FB9A"/>
    <w:rsid w:val="71A5FA41"/>
    <w:rsid w:val="71EC1596"/>
    <w:rsid w:val="7269545B"/>
    <w:rsid w:val="726B84EF"/>
    <w:rsid w:val="7298E3C1"/>
    <w:rsid w:val="72AB6D90"/>
    <w:rsid w:val="72AD1D0F"/>
    <w:rsid w:val="737EF77C"/>
    <w:rsid w:val="740200DF"/>
    <w:rsid w:val="742A30FB"/>
    <w:rsid w:val="74522E71"/>
    <w:rsid w:val="74B18BEF"/>
    <w:rsid w:val="7511A513"/>
    <w:rsid w:val="7512A265"/>
    <w:rsid w:val="755A5C15"/>
    <w:rsid w:val="7590E8AD"/>
    <w:rsid w:val="75C9DE15"/>
    <w:rsid w:val="75D4F06C"/>
    <w:rsid w:val="75E8436D"/>
    <w:rsid w:val="7603ADB5"/>
    <w:rsid w:val="761B15FA"/>
    <w:rsid w:val="76D02AD0"/>
    <w:rsid w:val="77B6F8C9"/>
    <w:rsid w:val="77F11745"/>
    <w:rsid w:val="7809912E"/>
    <w:rsid w:val="78AC3034"/>
    <w:rsid w:val="78D92884"/>
    <w:rsid w:val="78E0841A"/>
    <w:rsid w:val="78E0EECC"/>
    <w:rsid w:val="791F66D6"/>
    <w:rsid w:val="794F2497"/>
    <w:rsid w:val="796FD622"/>
    <w:rsid w:val="797A2A4F"/>
    <w:rsid w:val="79941B86"/>
    <w:rsid w:val="79CF77A7"/>
    <w:rsid w:val="79F3ECF8"/>
    <w:rsid w:val="7A135957"/>
    <w:rsid w:val="7A1CFBA7"/>
    <w:rsid w:val="7AFE2202"/>
    <w:rsid w:val="7B94D366"/>
    <w:rsid w:val="7BC95473"/>
    <w:rsid w:val="7BDD5BB2"/>
    <w:rsid w:val="7C19FB94"/>
    <w:rsid w:val="7C4136F2"/>
    <w:rsid w:val="7C51F133"/>
    <w:rsid w:val="7C79DCE6"/>
    <w:rsid w:val="7C7F70B3"/>
    <w:rsid w:val="7CC40CAB"/>
    <w:rsid w:val="7CDC2CD6"/>
    <w:rsid w:val="7D0FA57A"/>
    <w:rsid w:val="7D44A125"/>
    <w:rsid w:val="7D4EA1DE"/>
    <w:rsid w:val="7D6285E6"/>
    <w:rsid w:val="7DA99FD5"/>
    <w:rsid w:val="7E05B465"/>
    <w:rsid w:val="7E459CD5"/>
    <w:rsid w:val="7E6C9A4F"/>
    <w:rsid w:val="7E7EA4F5"/>
    <w:rsid w:val="7EE6ECA8"/>
    <w:rsid w:val="7F58E119"/>
    <w:rsid w:val="7F6B8DAF"/>
    <w:rsid w:val="7F9102F7"/>
    <w:rsid w:val="7FA0EB2F"/>
    <w:rsid w:val="7FAABBC8"/>
    <w:rsid w:val="7FD9C324"/>
    <w:rsid w:val="7FF2305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31FBA975-E909-4B4E-B263-88DF7312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5C"/>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FE2754"/>
    <w:pPr>
      <w:ind w:left="720"/>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unhideWhenUsed/>
    <w:rsid w:val="00447453"/>
    <w:rPr>
      <w:color w:val="605E5C"/>
      <w:shd w:val="clear" w:color="auto" w:fill="E1DFDD"/>
    </w:rPr>
  </w:style>
  <w:style w:type="paragraph" w:customStyle="1" w:styleId="NumberedParagraph">
    <w:name w:val="Numbered Paragraph"/>
    <w:basedOn w:val="Normal"/>
    <w:qFormat/>
    <w:rsid w:val="00600608"/>
    <w:pPr>
      <w:numPr>
        <w:numId w:val="36"/>
      </w:numPr>
      <w:spacing w:after="200" w:line="240" w:lineRule="auto"/>
      <w:jc w:val="both"/>
    </w:pPr>
    <w:rPr>
      <w:rFonts w:ascii="Verdana" w:eastAsia="Calibri" w:hAnsi="Verdana" w:cs="Arial"/>
      <w:sz w:val="20"/>
      <w:szCs w:val="23"/>
      <w:lang w:val="en-NZ" w:eastAsia="en-NZ"/>
    </w:rPr>
  </w:style>
  <w:style w:type="paragraph" w:customStyle="1" w:styleId="ReportCover-Heading">
    <w:name w:val="Report Cover - Heading"/>
    <w:basedOn w:val="Normal"/>
    <w:next w:val="Normal"/>
    <w:rsid w:val="003E1AC7"/>
    <w:pPr>
      <w:pBdr>
        <w:bottom w:val="single" w:sz="4" w:space="1" w:color="auto"/>
      </w:pBdr>
      <w:spacing w:before="720" w:after="360" w:line="276" w:lineRule="auto"/>
    </w:pPr>
    <w:rPr>
      <w:rFonts w:ascii="Verdana" w:hAnsi="Verdana"/>
      <w:b/>
      <w:bCs/>
      <w:sz w:val="20"/>
      <w:lang w:val="en-NZ" w:eastAsia="en-US"/>
    </w:rPr>
  </w:style>
  <w:style w:type="character" w:styleId="Mention">
    <w:name w:val="Mention"/>
    <w:basedOn w:val="DefaultParagraphFont"/>
    <w:uiPriority w:val="99"/>
    <w:unhideWhenUsed/>
    <w:rsid w:val="00C50214"/>
    <w:rPr>
      <w:color w:val="2B579A"/>
      <w:shd w:val="clear" w:color="auto" w:fill="E1DFDD"/>
    </w:rPr>
  </w:style>
  <w:style w:type="character" w:customStyle="1" w:styleId="UnresolvedMention2">
    <w:name w:val="Unresolved Mention2"/>
    <w:basedOn w:val="DefaultParagraphFont"/>
    <w:uiPriority w:val="99"/>
    <w:unhideWhenUsed/>
    <w:rsid w:val="00721C28"/>
    <w:rPr>
      <w:color w:val="605E5C"/>
      <w:shd w:val="clear" w:color="auto" w:fill="E1DFDD"/>
    </w:rPr>
  </w:style>
  <w:style w:type="character" w:customStyle="1" w:styleId="Mention1">
    <w:name w:val="Mention1"/>
    <w:basedOn w:val="DefaultParagraphFont"/>
    <w:uiPriority w:val="99"/>
    <w:unhideWhenUsed/>
    <w:rsid w:val="00721C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3770">
      <w:bodyDiv w:val="1"/>
      <w:marLeft w:val="0"/>
      <w:marRight w:val="0"/>
      <w:marTop w:val="0"/>
      <w:marBottom w:val="0"/>
      <w:divBdr>
        <w:top w:val="none" w:sz="0" w:space="0" w:color="auto"/>
        <w:left w:val="none" w:sz="0" w:space="0" w:color="auto"/>
        <w:bottom w:val="none" w:sz="0" w:space="0" w:color="auto"/>
        <w:right w:val="none" w:sz="0" w:space="0" w:color="auto"/>
      </w:divBdr>
    </w:div>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36916784">
      <w:bodyDiv w:val="1"/>
      <w:marLeft w:val="0"/>
      <w:marRight w:val="0"/>
      <w:marTop w:val="0"/>
      <w:marBottom w:val="0"/>
      <w:divBdr>
        <w:top w:val="none" w:sz="0" w:space="0" w:color="auto"/>
        <w:left w:val="none" w:sz="0" w:space="0" w:color="auto"/>
        <w:bottom w:val="none" w:sz="0" w:space="0" w:color="auto"/>
        <w:right w:val="none" w:sz="0" w:space="0" w:color="auto"/>
      </w:divBdr>
    </w:div>
    <w:div w:id="161969309">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281963576">
      <w:bodyDiv w:val="1"/>
      <w:marLeft w:val="0"/>
      <w:marRight w:val="0"/>
      <w:marTop w:val="0"/>
      <w:marBottom w:val="0"/>
      <w:divBdr>
        <w:top w:val="none" w:sz="0" w:space="0" w:color="auto"/>
        <w:left w:val="none" w:sz="0" w:space="0" w:color="auto"/>
        <w:bottom w:val="none" w:sz="0" w:space="0" w:color="auto"/>
        <w:right w:val="none" w:sz="0" w:space="0" w:color="auto"/>
      </w:divBdr>
    </w:div>
    <w:div w:id="291181105">
      <w:bodyDiv w:val="1"/>
      <w:marLeft w:val="0"/>
      <w:marRight w:val="0"/>
      <w:marTop w:val="0"/>
      <w:marBottom w:val="0"/>
      <w:divBdr>
        <w:top w:val="none" w:sz="0" w:space="0" w:color="auto"/>
        <w:left w:val="none" w:sz="0" w:space="0" w:color="auto"/>
        <w:bottom w:val="none" w:sz="0" w:space="0" w:color="auto"/>
        <w:right w:val="none" w:sz="0" w:space="0" w:color="auto"/>
      </w:divBdr>
    </w:div>
    <w:div w:id="311061889">
      <w:bodyDiv w:val="1"/>
      <w:marLeft w:val="0"/>
      <w:marRight w:val="0"/>
      <w:marTop w:val="0"/>
      <w:marBottom w:val="0"/>
      <w:divBdr>
        <w:top w:val="none" w:sz="0" w:space="0" w:color="auto"/>
        <w:left w:val="none" w:sz="0" w:space="0" w:color="auto"/>
        <w:bottom w:val="none" w:sz="0" w:space="0" w:color="auto"/>
        <w:right w:val="none" w:sz="0" w:space="0" w:color="auto"/>
      </w:divBdr>
      <w:divsChild>
        <w:div w:id="1527984095">
          <w:marLeft w:val="0"/>
          <w:marRight w:val="0"/>
          <w:marTop w:val="0"/>
          <w:marBottom w:val="0"/>
          <w:divBdr>
            <w:top w:val="none" w:sz="0" w:space="0" w:color="auto"/>
            <w:left w:val="none" w:sz="0" w:space="0" w:color="auto"/>
            <w:bottom w:val="none" w:sz="0" w:space="0" w:color="auto"/>
            <w:right w:val="none" w:sz="0" w:space="0" w:color="auto"/>
          </w:divBdr>
        </w:div>
      </w:divsChild>
    </w:div>
    <w:div w:id="376979108">
      <w:bodyDiv w:val="1"/>
      <w:marLeft w:val="0"/>
      <w:marRight w:val="0"/>
      <w:marTop w:val="0"/>
      <w:marBottom w:val="0"/>
      <w:divBdr>
        <w:top w:val="none" w:sz="0" w:space="0" w:color="auto"/>
        <w:left w:val="none" w:sz="0" w:space="0" w:color="auto"/>
        <w:bottom w:val="none" w:sz="0" w:space="0" w:color="auto"/>
        <w:right w:val="none" w:sz="0" w:space="0" w:color="auto"/>
      </w:divBdr>
    </w:div>
    <w:div w:id="775560253">
      <w:bodyDiv w:val="1"/>
      <w:marLeft w:val="0"/>
      <w:marRight w:val="0"/>
      <w:marTop w:val="0"/>
      <w:marBottom w:val="0"/>
      <w:divBdr>
        <w:top w:val="none" w:sz="0" w:space="0" w:color="auto"/>
        <w:left w:val="none" w:sz="0" w:space="0" w:color="auto"/>
        <w:bottom w:val="none" w:sz="0" w:space="0" w:color="auto"/>
        <w:right w:val="none" w:sz="0" w:space="0" w:color="auto"/>
      </w:divBdr>
    </w:div>
    <w:div w:id="795879103">
      <w:bodyDiv w:val="1"/>
      <w:marLeft w:val="0"/>
      <w:marRight w:val="0"/>
      <w:marTop w:val="0"/>
      <w:marBottom w:val="0"/>
      <w:divBdr>
        <w:top w:val="none" w:sz="0" w:space="0" w:color="auto"/>
        <w:left w:val="none" w:sz="0" w:space="0" w:color="auto"/>
        <w:bottom w:val="none" w:sz="0" w:space="0" w:color="auto"/>
        <w:right w:val="none" w:sz="0" w:space="0" w:color="auto"/>
      </w:divBdr>
    </w:div>
    <w:div w:id="1028143445">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437483233">
      <w:bodyDiv w:val="1"/>
      <w:marLeft w:val="0"/>
      <w:marRight w:val="0"/>
      <w:marTop w:val="0"/>
      <w:marBottom w:val="0"/>
      <w:divBdr>
        <w:top w:val="none" w:sz="0" w:space="0" w:color="auto"/>
        <w:left w:val="none" w:sz="0" w:space="0" w:color="auto"/>
        <w:bottom w:val="none" w:sz="0" w:space="0" w:color="auto"/>
        <w:right w:val="none" w:sz="0" w:space="0" w:color="auto"/>
      </w:divBdr>
    </w:div>
    <w:div w:id="1673991991">
      <w:bodyDiv w:val="1"/>
      <w:marLeft w:val="0"/>
      <w:marRight w:val="0"/>
      <w:marTop w:val="0"/>
      <w:marBottom w:val="0"/>
      <w:divBdr>
        <w:top w:val="none" w:sz="0" w:space="0" w:color="auto"/>
        <w:left w:val="none" w:sz="0" w:space="0" w:color="auto"/>
        <w:bottom w:val="none" w:sz="0" w:space="0" w:color="auto"/>
        <w:right w:val="none" w:sz="0" w:space="0" w:color="auto"/>
      </w:divBdr>
      <w:divsChild>
        <w:div w:id="559905663">
          <w:marLeft w:val="0"/>
          <w:marRight w:val="0"/>
          <w:marTop w:val="0"/>
          <w:marBottom w:val="0"/>
          <w:divBdr>
            <w:top w:val="none" w:sz="0" w:space="0" w:color="auto"/>
            <w:left w:val="none" w:sz="0" w:space="0" w:color="auto"/>
            <w:bottom w:val="none" w:sz="0" w:space="0" w:color="auto"/>
            <w:right w:val="none" w:sz="0" w:space="0" w:color="auto"/>
          </w:divBdr>
        </w:div>
      </w:divsChild>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68573179">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2003855437">
      <w:bodyDiv w:val="1"/>
      <w:marLeft w:val="0"/>
      <w:marRight w:val="0"/>
      <w:marTop w:val="0"/>
      <w:marBottom w:val="0"/>
      <w:divBdr>
        <w:top w:val="none" w:sz="0" w:space="0" w:color="auto"/>
        <w:left w:val="none" w:sz="0" w:space="0" w:color="auto"/>
        <w:bottom w:val="none" w:sz="0" w:space="0" w:color="auto"/>
        <w:right w:val="none" w:sz="0" w:space="0" w:color="auto"/>
      </w:divBdr>
    </w:div>
    <w:div w:id="2047293952">
      <w:bodyDiv w:val="1"/>
      <w:marLeft w:val="0"/>
      <w:marRight w:val="0"/>
      <w:marTop w:val="0"/>
      <w:marBottom w:val="0"/>
      <w:divBdr>
        <w:top w:val="none" w:sz="0" w:space="0" w:color="auto"/>
        <w:left w:val="none" w:sz="0" w:space="0" w:color="auto"/>
        <w:bottom w:val="none" w:sz="0" w:space="0" w:color="auto"/>
        <w:right w:val="none" w:sz="0" w:space="0" w:color="auto"/>
      </w:divBdr>
      <w:divsChild>
        <w:div w:id="197841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12792</Words>
  <Characters>72915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Regulatory impact statement: Limiting interest deductibility on residential investment property (8 September 2021)</vt:lpstr>
    </vt:vector>
  </TitlesOfParts>
  <Company>Inland Revenue</Company>
  <LinksUpToDate>false</LinksUpToDate>
  <CharactersWithSpaces>85536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Limiting interest deductibility on residential investment property (8 September 2021)</dc:title>
  <dc:subject/>
  <dc:creator>Policy and Regulatory Stewardship</dc:creator>
  <cp:keywords/>
  <dc:description/>
  <dcterms:created xsi:type="dcterms:W3CDTF">2021-09-21T02:14:00Z</dcterms:created>
  <dcterms:modified xsi:type="dcterms:W3CDTF">2021-09-21T02:14:00Z</dcterms:modified>
</cp:coreProperties>
</file>