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C32405" w14:textId="77777777" w:rsidR="00CA29BA" w:rsidRDefault="00CA29BA" w:rsidP="00431CA7">
      <w:pPr>
        <w:pStyle w:val="Heading1"/>
        <w:spacing w:before="0" w:after="120" w:line="276" w:lineRule="auto"/>
        <w:rPr>
          <w:color w:val="0082AB"/>
        </w:rPr>
      </w:pPr>
    </w:p>
    <w:p w14:paraId="1E5652D8" w14:textId="2B007632" w:rsidR="0062657E" w:rsidRDefault="0062657E" w:rsidP="00431CA7">
      <w:pPr>
        <w:pStyle w:val="Heading1"/>
        <w:spacing w:before="0" w:after="120" w:line="276" w:lineRule="auto"/>
        <w:rPr>
          <w:color w:val="0082AB"/>
        </w:rPr>
      </w:pPr>
      <w:r w:rsidRPr="0005691A">
        <w:rPr>
          <w:color w:val="0082AB"/>
        </w:rPr>
        <w:t>Coversheet</w:t>
      </w:r>
      <w:r w:rsidR="009435C4">
        <w:rPr>
          <w:color w:val="0082AB"/>
        </w:rPr>
        <w:t>:</w:t>
      </w:r>
      <w:r w:rsidRPr="0005691A">
        <w:rPr>
          <w:color w:val="0082AB"/>
        </w:rPr>
        <w:t xml:space="preserve"> </w:t>
      </w:r>
      <w:r w:rsidR="00B97203">
        <w:rPr>
          <w:color w:val="0082AB"/>
        </w:rPr>
        <w:t>Resurgence Support Payment Supplementary Analysis Report</w:t>
      </w:r>
    </w:p>
    <w:p w14:paraId="15EC292A" w14:textId="77777777" w:rsidR="009C4129" w:rsidRPr="007B090A" w:rsidRDefault="009C4129" w:rsidP="007B090A">
      <w:pPr>
        <w:pStyle w:val="spacer"/>
        <w:spacing w:line="276" w:lineRule="auto"/>
        <w:rPr>
          <w:rFonts w:cs="Arial"/>
          <w:sz w:val="22"/>
        </w:rPr>
      </w:pPr>
    </w:p>
    <w:tbl>
      <w:tblPr>
        <w:tblW w:w="9072" w:type="dxa"/>
        <w:tblInd w:w="10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A0" w:firstRow="1" w:lastRow="0" w:firstColumn="1" w:lastColumn="0" w:noHBand="0" w:noVBand="1"/>
      </w:tblPr>
      <w:tblGrid>
        <w:gridCol w:w="2240"/>
        <w:gridCol w:w="6832"/>
      </w:tblGrid>
      <w:tr w:rsidR="0062657E" w:rsidRPr="007B090A" w14:paraId="47ACB0C5" w14:textId="77777777" w:rsidTr="3CDCEEF1">
        <w:tc>
          <w:tcPr>
            <w:tcW w:w="2240" w:type="dxa"/>
            <w:shd w:val="clear" w:color="auto" w:fill="EBF5F8"/>
          </w:tcPr>
          <w:p w14:paraId="1FF3EB14" w14:textId="77777777" w:rsidR="0062657E" w:rsidRPr="007B090A" w:rsidRDefault="0062657E" w:rsidP="007B090A">
            <w:pPr>
              <w:pStyle w:val="TableText"/>
              <w:spacing w:line="276" w:lineRule="auto"/>
              <w:rPr>
                <w:rFonts w:cs="Arial"/>
                <w:sz w:val="22"/>
              </w:rPr>
            </w:pPr>
            <w:r w:rsidRPr="007B090A">
              <w:rPr>
                <w:rFonts w:cs="Arial"/>
                <w:sz w:val="22"/>
              </w:rPr>
              <w:t>Advising agencies</w:t>
            </w:r>
          </w:p>
        </w:tc>
        <w:tc>
          <w:tcPr>
            <w:tcW w:w="6832" w:type="dxa"/>
            <w:shd w:val="clear" w:color="auto" w:fill="auto"/>
          </w:tcPr>
          <w:p w14:paraId="6B8E284B" w14:textId="6BAB39F0" w:rsidR="0062657E" w:rsidRPr="00B97203" w:rsidRDefault="00B97203" w:rsidP="007B090A">
            <w:pPr>
              <w:spacing w:before="20" w:after="20" w:line="276" w:lineRule="auto"/>
              <w:rPr>
                <w:rFonts w:cs="Arial"/>
                <w:szCs w:val="22"/>
              </w:rPr>
            </w:pPr>
            <w:r>
              <w:rPr>
                <w:rFonts w:cs="Arial"/>
                <w:szCs w:val="22"/>
              </w:rPr>
              <w:t>The Treasury, Inland Revenue</w:t>
            </w:r>
          </w:p>
        </w:tc>
      </w:tr>
      <w:tr w:rsidR="0062657E" w:rsidRPr="007B090A" w14:paraId="3897E0C6" w14:textId="77777777" w:rsidTr="3CDCEEF1">
        <w:tc>
          <w:tcPr>
            <w:tcW w:w="2240" w:type="dxa"/>
            <w:shd w:val="clear" w:color="auto" w:fill="EBF5F8"/>
          </w:tcPr>
          <w:p w14:paraId="47064238" w14:textId="77777777" w:rsidR="0062657E" w:rsidRPr="007B090A" w:rsidRDefault="0062657E" w:rsidP="007B090A">
            <w:pPr>
              <w:pStyle w:val="TableText"/>
              <w:spacing w:line="276" w:lineRule="auto"/>
              <w:rPr>
                <w:rFonts w:cs="Arial"/>
                <w:sz w:val="22"/>
              </w:rPr>
            </w:pPr>
            <w:r w:rsidRPr="007B090A">
              <w:rPr>
                <w:rFonts w:cs="Arial"/>
                <w:sz w:val="22"/>
              </w:rPr>
              <w:t>Decision sought</w:t>
            </w:r>
          </w:p>
        </w:tc>
        <w:tc>
          <w:tcPr>
            <w:tcW w:w="6832" w:type="dxa"/>
            <w:shd w:val="clear" w:color="auto" w:fill="auto"/>
          </w:tcPr>
          <w:p w14:paraId="56273137" w14:textId="75F3CBF3" w:rsidR="0062657E" w:rsidRPr="007B090A" w:rsidRDefault="459056FC" w:rsidP="3CDCEEF1">
            <w:pPr>
              <w:spacing w:before="20" w:after="20" w:line="276" w:lineRule="auto"/>
              <w:rPr>
                <w:rFonts w:cs="Arial"/>
              </w:rPr>
            </w:pPr>
            <w:r w:rsidRPr="3CDCEEF1">
              <w:rPr>
                <w:rFonts w:cs="Arial"/>
                <w:i/>
                <w:iCs/>
              </w:rPr>
              <w:t>Note the analysis in this report.</w:t>
            </w:r>
          </w:p>
        </w:tc>
      </w:tr>
      <w:tr w:rsidR="0062657E" w:rsidRPr="007B090A" w14:paraId="5AE5D8C0" w14:textId="77777777" w:rsidTr="3CDCEEF1">
        <w:tc>
          <w:tcPr>
            <w:tcW w:w="2240" w:type="dxa"/>
            <w:shd w:val="clear" w:color="auto" w:fill="EBF5F8"/>
          </w:tcPr>
          <w:p w14:paraId="3596E4F2" w14:textId="77777777" w:rsidR="0062657E" w:rsidRPr="007B090A" w:rsidRDefault="0062657E" w:rsidP="007B090A">
            <w:pPr>
              <w:pStyle w:val="TableText"/>
              <w:spacing w:line="276" w:lineRule="auto"/>
              <w:rPr>
                <w:rFonts w:cs="Arial"/>
                <w:sz w:val="22"/>
              </w:rPr>
            </w:pPr>
            <w:r w:rsidRPr="007B090A">
              <w:rPr>
                <w:rFonts w:cs="Arial"/>
                <w:sz w:val="22"/>
              </w:rPr>
              <w:t>Proposing Ministers</w:t>
            </w:r>
          </w:p>
        </w:tc>
        <w:tc>
          <w:tcPr>
            <w:tcW w:w="6832" w:type="dxa"/>
            <w:shd w:val="clear" w:color="auto" w:fill="auto"/>
          </w:tcPr>
          <w:p w14:paraId="78D9E9A8" w14:textId="7B3A7C50" w:rsidR="0062657E" w:rsidRPr="00B97203" w:rsidRDefault="00B97203" w:rsidP="0CB4C0EC">
            <w:pPr>
              <w:spacing w:before="20" w:after="20" w:line="276" w:lineRule="auto"/>
              <w:rPr>
                <w:rFonts w:cs="Arial"/>
              </w:rPr>
            </w:pPr>
            <w:r w:rsidRPr="0CB4C0EC">
              <w:rPr>
                <w:rFonts w:cs="Arial"/>
              </w:rPr>
              <w:t>Minister of Finance, Minister of Revenue</w:t>
            </w:r>
          </w:p>
        </w:tc>
      </w:tr>
    </w:tbl>
    <w:p w14:paraId="6134A636" w14:textId="77777777" w:rsidR="009C4129" w:rsidRPr="007B090A" w:rsidRDefault="009C4129" w:rsidP="007B090A">
      <w:pPr>
        <w:pStyle w:val="spacer"/>
        <w:spacing w:line="276" w:lineRule="auto"/>
        <w:rPr>
          <w:rFonts w:cs="Arial"/>
          <w:sz w:val="22"/>
        </w:rPr>
      </w:pPr>
    </w:p>
    <w:p w14:paraId="3BD94C32" w14:textId="77777777" w:rsidR="0062657E" w:rsidRPr="0005691A" w:rsidRDefault="0062657E" w:rsidP="00AF2098">
      <w:pPr>
        <w:pStyle w:val="Heading2"/>
      </w:pPr>
      <w:r>
        <w:t xml:space="preserve">Summary:  Problem and Proposed Approach </w:t>
      </w:r>
    </w:p>
    <w:tbl>
      <w:tblPr>
        <w:tblW w:w="9072" w:type="dxa"/>
        <w:tblInd w:w="10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A0" w:firstRow="1" w:lastRow="0" w:firstColumn="1" w:lastColumn="0" w:noHBand="0" w:noVBand="1"/>
      </w:tblPr>
      <w:tblGrid>
        <w:gridCol w:w="9072"/>
      </w:tblGrid>
      <w:tr w:rsidR="0062657E" w:rsidRPr="007B090A" w14:paraId="351B235B" w14:textId="77777777" w:rsidTr="01C3232A">
        <w:trPr>
          <w:trHeight w:val="214"/>
        </w:trPr>
        <w:tc>
          <w:tcPr>
            <w:tcW w:w="9072" w:type="dxa"/>
            <w:shd w:val="clear" w:color="auto" w:fill="99CDDD"/>
          </w:tcPr>
          <w:p w14:paraId="1A4CE731" w14:textId="77777777" w:rsidR="0062657E" w:rsidRPr="007B090A" w:rsidRDefault="0062657E" w:rsidP="00FA7EFC">
            <w:pPr>
              <w:keepNext/>
              <w:spacing w:before="60" w:after="60" w:line="276" w:lineRule="auto"/>
              <w:rPr>
                <w:b/>
                <w:szCs w:val="22"/>
              </w:rPr>
            </w:pPr>
            <w:r w:rsidRPr="007B090A">
              <w:rPr>
                <w:b/>
                <w:szCs w:val="22"/>
              </w:rPr>
              <w:t>Problem Definition</w:t>
            </w:r>
          </w:p>
          <w:p w14:paraId="134E1227" w14:textId="7A7AD8B9" w:rsidR="0062657E" w:rsidRPr="007B090A" w:rsidRDefault="0062657E" w:rsidP="00DF2E7B">
            <w:pPr>
              <w:spacing w:before="60" w:after="60" w:line="240" w:lineRule="auto"/>
              <w:rPr>
                <w:b/>
                <w:szCs w:val="22"/>
              </w:rPr>
            </w:pPr>
            <w:r w:rsidRPr="007B090A">
              <w:rPr>
                <w:b/>
                <w:szCs w:val="22"/>
              </w:rPr>
              <w:t>What problem or opportunity does this proposal seek to address? Why is Government intervention required?</w:t>
            </w:r>
          </w:p>
        </w:tc>
      </w:tr>
      <w:tr w:rsidR="007B090A" w:rsidRPr="007B090A" w14:paraId="3A840E6B" w14:textId="77777777" w:rsidTr="01C3232A">
        <w:trPr>
          <w:trHeight w:val="127"/>
        </w:trPr>
        <w:tc>
          <w:tcPr>
            <w:tcW w:w="9072" w:type="dxa"/>
            <w:shd w:val="clear" w:color="auto" w:fill="EBF5F8"/>
          </w:tcPr>
          <w:p w14:paraId="6D2834F2" w14:textId="77777777" w:rsidR="0062657E" w:rsidRPr="007B090A" w:rsidRDefault="0062657E" w:rsidP="006356D0">
            <w:pPr>
              <w:keepNext/>
              <w:spacing w:before="60" w:after="60" w:line="276" w:lineRule="auto"/>
              <w:rPr>
                <w:b/>
                <w:i/>
                <w:szCs w:val="22"/>
              </w:rPr>
            </w:pPr>
            <w:r w:rsidRPr="007B090A">
              <w:rPr>
                <w:i/>
                <w:szCs w:val="22"/>
              </w:rPr>
              <w:t>Summarise in one or two sentences</w:t>
            </w:r>
          </w:p>
        </w:tc>
      </w:tr>
      <w:tr w:rsidR="0062657E" w:rsidRPr="007B090A" w14:paraId="4793FEC9" w14:textId="77777777" w:rsidTr="01C3232A">
        <w:trPr>
          <w:trHeight w:val="737"/>
        </w:trPr>
        <w:tc>
          <w:tcPr>
            <w:tcW w:w="9072" w:type="dxa"/>
            <w:shd w:val="clear" w:color="auto" w:fill="FFFFFF" w:themeFill="background1"/>
          </w:tcPr>
          <w:p w14:paraId="1D4051EF" w14:textId="03D80B5E" w:rsidR="0062657E" w:rsidRPr="007B090A" w:rsidRDefault="3F0F8323" w:rsidP="01C3232A">
            <w:pPr>
              <w:spacing w:after="120"/>
            </w:pPr>
            <w:r>
              <w:t xml:space="preserve">COVID-19 related </w:t>
            </w:r>
            <w:r w:rsidR="711239BF">
              <w:t>p</w:t>
            </w:r>
            <w:r w:rsidR="00B97203">
              <w:t>ublic health restrictions at Alert Level 2 or above can create short and severe economic shocks. Cumulative</w:t>
            </w:r>
            <w:r w:rsidR="66F01D50">
              <w:t xml:space="preserve">ly, they </w:t>
            </w:r>
            <w:r w:rsidR="00B97203">
              <w:t>stress firm balance sheets</w:t>
            </w:r>
            <w:r w:rsidR="269486D1">
              <w:t xml:space="preserve"> and risk delivering unequitable outcomes</w:t>
            </w:r>
            <w:r w:rsidR="00B97203">
              <w:t xml:space="preserve">. </w:t>
            </w:r>
            <w:r w:rsidR="175D94FB">
              <w:t>The effects of these shocks on firm revenue</w:t>
            </w:r>
            <w:r w:rsidR="00B97203">
              <w:t>, coupled with uncertainty of the nature of Government support in t</w:t>
            </w:r>
            <w:r w:rsidR="175D94FB">
              <w:t>he event of a virus resurgence,</w:t>
            </w:r>
            <w:r w:rsidR="00B97203">
              <w:t xml:space="preserve"> </w:t>
            </w:r>
            <w:r w:rsidR="175D94FB">
              <w:t>risks higher unemployment and firm failure as firms are disincentivi</w:t>
            </w:r>
            <w:r w:rsidR="269486D1">
              <w:t>s</w:t>
            </w:r>
            <w:r w:rsidR="175D94FB">
              <w:t xml:space="preserve">ed from or unable to employ people or invest. </w:t>
            </w:r>
          </w:p>
        </w:tc>
      </w:tr>
    </w:tbl>
    <w:p w14:paraId="13A2515E" w14:textId="77777777" w:rsidR="0062657E" w:rsidRPr="007B090A" w:rsidRDefault="0062657E" w:rsidP="00AA6A54">
      <w:pPr>
        <w:pStyle w:val="spacer"/>
      </w:pPr>
    </w:p>
    <w:tbl>
      <w:tblPr>
        <w:tblW w:w="9076" w:type="dxa"/>
        <w:tblInd w:w="10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A0" w:firstRow="1" w:lastRow="0" w:firstColumn="1" w:lastColumn="0" w:noHBand="0" w:noVBand="1"/>
      </w:tblPr>
      <w:tblGrid>
        <w:gridCol w:w="9076"/>
      </w:tblGrid>
      <w:tr w:rsidR="0062657E" w:rsidRPr="007B090A" w14:paraId="4769B7FB" w14:textId="77777777" w:rsidTr="01C3232A">
        <w:trPr>
          <w:trHeight w:val="585"/>
        </w:trPr>
        <w:tc>
          <w:tcPr>
            <w:tcW w:w="9076" w:type="dxa"/>
            <w:shd w:val="clear" w:color="auto" w:fill="99CDDD"/>
          </w:tcPr>
          <w:p w14:paraId="55184FA6" w14:textId="7A06237B" w:rsidR="0062657E" w:rsidRPr="007B090A" w:rsidRDefault="007B4CEA" w:rsidP="00743278">
            <w:pPr>
              <w:keepNext/>
              <w:keepLines/>
              <w:spacing w:before="60" w:after="60" w:line="276" w:lineRule="auto"/>
              <w:rPr>
                <w:b/>
                <w:szCs w:val="22"/>
              </w:rPr>
            </w:pPr>
            <w:r>
              <w:rPr>
                <w:b/>
                <w:szCs w:val="22"/>
              </w:rPr>
              <w:t>Summary of Preferred Option or Conclusion (if no preferred option)</w:t>
            </w:r>
          </w:p>
          <w:p w14:paraId="20B47E9B" w14:textId="3A85E66B" w:rsidR="0062657E" w:rsidRPr="007B090A" w:rsidRDefault="0062657E" w:rsidP="00743278">
            <w:pPr>
              <w:keepNext/>
              <w:keepLines/>
              <w:spacing w:before="60" w:after="60" w:line="240" w:lineRule="auto"/>
              <w:rPr>
                <w:b/>
                <w:szCs w:val="22"/>
              </w:rPr>
            </w:pPr>
            <w:r w:rsidRPr="007B090A">
              <w:rPr>
                <w:b/>
                <w:szCs w:val="22"/>
              </w:rPr>
              <w:t xml:space="preserve">How will </w:t>
            </w:r>
            <w:r w:rsidR="007B4CEA">
              <w:rPr>
                <w:b/>
                <w:szCs w:val="22"/>
              </w:rPr>
              <w:t>the agency’s preferred approach</w:t>
            </w:r>
            <w:r w:rsidRPr="007B090A">
              <w:rPr>
                <w:b/>
                <w:szCs w:val="22"/>
              </w:rPr>
              <w:t xml:space="preserve"> work to bring about the desired change? </w:t>
            </w:r>
            <w:r w:rsidR="00B96523">
              <w:rPr>
                <w:b/>
                <w:szCs w:val="22"/>
              </w:rPr>
              <w:t xml:space="preserve">Why is this the </w:t>
            </w:r>
            <w:r w:rsidR="00E33E87">
              <w:rPr>
                <w:b/>
                <w:szCs w:val="22"/>
              </w:rPr>
              <w:t>preferred</w:t>
            </w:r>
            <w:r w:rsidR="00B96523">
              <w:rPr>
                <w:b/>
                <w:szCs w:val="22"/>
              </w:rPr>
              <w:t xml:space="preserve"> option? Why is it feasible?</w:t>
            </w:r>
            <w:r w:rsidR="009C6559">
              <w:rPr>
                <w:b/>
                <w:szCs w:val="22"/>
              </w:rPr>
              <w:t xml:space="preserve"> Is the preferred approach likely to be reflected in the Cabinet paper?</w:t>
            </w:r>
          </w:p>
        </w:tc>
      </w:tr>
      <w:tr w:rsidR="0062657E" w:rsidRPr="007B090A" w14:paraId="20EC4492" w14:textId="77777777" w:rsidTr="01C3232A">
        <w:trPr>
          <w:trHeight w:val="56"/>
        </w:trPr>
        <w:tc>
          <w:tcPr>
            <w:tcW w:w="9076" w:type="dxa"/>
            <w:shd w:val="clear" w:color="auto" w:fill="EBF5F8"/>
          </w:tcPr>
          <w:p w14:paraId="3DC3F073" w14:textId="77777777" w:rsidR="0062657E" w:rsidRPr="007B090A" w:rsidRDefault="0062657E" w:rsidP="006356D0">
            <w:pPr>
              <w:keepNext/>
              <w:spacing w:before="60" w:after="60" w:line="276" w:lineRule="auto"/>
              <w:rPr>
                <w:i/>
                <w:szCs w:val="22"/>
              </w:rPr>
            </w:pPr>
            <w:r w:rsidRPr="007B090A">
              <w:rPr>
                <w:i/>
                <w:szCs w:val="22"/>
              </w:rPr>
              <w:t>Summarise in one or two sentences</w:t>
            </w:r>
          </w:p>
        </w:tc>
      </w:tr>
      <w:tr w:rsidR="0062657E" w:rsidRPr="007B090A" w14:paraId="2C3BA4D9" w14:textId="77777777" w:rsidTr="01C3232A">
        <w:trPr>
          <w:trHeight w:val="637"/>
        </w:trPr>
        <w:tc>
          <w:tcPr>
            <w:tcW w:w="9076" w:type="dxa"/>
            <w:shd w:val="clear" w:color="auto" w:fill="FFFFFF" w:themeFill="background1"/>
          </w:tcPr>
          <w:p w14:paraId="5BD8A9CD" w14:textId="04F506CA" w:rsidR="00850F6D" w:rsidRDefault="000D0795" w:rsidP="008032E3">
            <w:pPr>
              <w:spacing w:after="120" w:line="240" w:lineRule="auto"/>
            </w:pPr>
            <w:r>
              <w:t>The recommended approach was to introduce and pre-announce a new</w:t>
            </w:r>
            <w:r w:rsidR="1DC4D2FA">
              <w:t xml:space="preserve"> one-off</w:t>
            </w:r>
            <w:r>
              <w:t xml:space="preserve"> Resurgence Support Payment</w:t>
            </w:r>
            <w:r w:rsidR="13FA7493">
              <w:t xml:space="preserve"> (RSP)</w:t>
            </w:r>
            <w:r>
              <w:t xml:space="preserve"> available to all firms in the event of an increase from Alert Level 1 to Alert Level 2, 3, or 4.</w:t>
            </w:r>
            <w:r w:rsidR="004363DA">
              <w:t xml:space="preserve"> </w:t>
            </w:r>
            <w:r w:rsidR="18240627">
              <w:t>The</w:t>
            </w:r>
            <w:r w:rsidR="00850F6D">
              <w:t xml:space="preserve"> recommended </w:t>
            </w:r>
            <w:r w:rsidR="624C1C6D">
              <w:t xml:space="preserve">sub-options </w:t>
            </w:r>
            <w:r w:rsidR="7192592E">
              <w:t>were</w:t>
            </w:r>
            <w:r w:rsidR="00850F6D">
              <w:t>:</w:t>
            </w:r>
          </w:p>
          <w:p w14:paraId="52491DC6" w14:textId="40933AA6" w:rsidR="00850F6D" w:rsidRDefault="399C42E6" w:rsidP="00290F2E">
            <w:pPr>
              <w:pStyle w:val="TableText"/>
              <w:numPr>
                <w:ilvl w:val="0"/>
                <w:numId w:val="21"/>
              </w:numPr>
              <w:spacing w:before="0" w:after="120" w:line="240" w:lineRule="auto"/>
              <w:rPr>
                <w:rFonts w:eastAsia="Arial" w:cs="Arial"/>
                <w:sz w:val="22"/>
              </w:rPr>
            </w:pPr>
            <w:r w:rsidRPr="01C3232A">
              <w:rPr>
                <w:sz w:val="22"/>
              </w:rPr>
              <w:t xml:space="preserve">To make the </w:t>
            </w:r>
            <w:r w:rsidR="5373FD4F" w:rsidRPr="4E822463">
              <w:rPr>
                <w:sz w:val="22"/>
              </w:rPr>
              <w:t>RSP</w:t>
            </w:r>
            <w:r w:rsidRPr="01C3232A">
              <w:rPr>
                <w:sz w:val="22"/>
              </w:rPr>
              <w:t xml:space="preserve"> </w:t>
            </w:r>
            <w:r w:rsidR="2BDC92EC" w:rsidRPr="01C3232A">
              <w:rPr>
                <w:sz w:val="22"/>
              </w:rPr>
              <w:t xml:space="preserve">available to all firms that experience a drop in revenue of 30% or more </w:t>
            </w:r>
            <w:r w:rsidR="00C5C04F" w:rsidRPr="01C3232A">
              <w:rPr>
                <w:sz w:val="22"/>
              </w:rPr>
              <w:t xml:space="preserve">over a 14-day period </w:t>
            </w:r>
            <w:r w:rsidR="2BDC92EC" w:rsidRPr="01C3232A">
              <w:rPr>
                <w:sz w:val="22"/>
              </w:rPr>
              <w:t>as a result of higher Alert Level restrictions; and</w:t>
            </w:r>
          </w:p>
          <w:p w14:paraId="01BD0AAD" w14:textId="3B53B496" w:rsidR="00850F6D" w:rsidRDefault="6BBA148F" w:rsidP="00290F2E">
            <w:pPr>
              <w:pStyle w:val="TableText"/>
              <w:numPr>
                <w:ilvl w:val="0"/>
                <w:numId w:val="21"/>
              </w:numPr>
              <w:spacing w:before="0" w:after="120" w:line="240" w:lineRule="auto"/>
              <w:rPr>
                <w:sz w:val="22"/>
              </w:rPr>
            </w:pPr>
            <w:r w:rsidRPr="01C3232A">
              <w:rPr>
                <w:sz w:val="22"/>
              </w:rPr>
              <w:t>To</w:t>
            </w:r>
            <w:r w:rsidR="44C1185C" w:rsidRPr="01C3232A">
              <w:rPr>
                <w:sz w:val="22"/>
              </w:rPr>
              <w:t xml:space="preserve"> </w:t>
            </w:r>
            <w:r w:rsidR="4C5054C3" w:rsidRPr="01C3232A">
              <w:rPr>
                <w:sz w:val="22"/>
              </w:rPr>
              <w:t>pay</w:t>
            </w:r>
            <w:r w:rsidR="7F4AEFB1" w:rsidRPr="01C3232A">
              <w:rPr>
                <w:sz w:val="22"/>
              </w:rPr>
              <w:t xml:space="preserve"> the </w:t>
            </w:r>
            <w:r w:rsidR="4491B2B8" w:rsidRPr="01C3232A">
              <w:rPr>
                <w:sz w:val="22"/>
              </w:rPr>
              <w:t>l</w:t>
            </w:r>
            <w:r w:rsidR="2DEB9639" w:rsidRPr="01C3232A">
              <w:rPr>
                <w:sz w:val="22"/>
              </w:rPr>
              <w:t>ess</w:t>
            </w:r>
            <w:r w:rsidR="4491B2B8" w:rsidRPr="01C3232A">
              <w:rPr>
                <w:sz w:val="22"/>
              </w:rPr>
              <w:t>er</w:t>
            </w:r>
            <w:r w:rsidR="7F4AEFB1" w:rsidRPr="01C3232A">
              <w:rPr>
                <w:sz w:val="22"/>
              </w:rPr>
              <w:t xml:space="preserve"> of:</w:t>
            </w:r>
          </w:p>
          <w:p w14:paraId="4508FD52" w14:textId="6709D7B6" w:rsidR="00525F4D" w:rsidRDefault="00850F6D" w:rsidP="00290F2E">
            <w:pPr>
              <w:pStyle w:val="TableText"/>
              <w:numPr>
                <w:ilvl w:val="1"/>
                <w:numId w:val="20"/>
              </w:numPr>
              <w:spacing w:before="0" w:after="120" w:line="240" w:lineRule="auto"/>
              <w:rPr>
                <w:sz w:val="22"/>
              </w:rPr>
            </w:pPr>
            <w:r w:rsidRPr="01C3232A">
              <w:rPr>
                <w:sz w:val="22"/>
              </w:rPr>
              <w:t xml:space="preserve"> </w:t>
            </w:r>
            <w:r w:rsidR="2BDC92EC" w:rsidRPr="01C3232A">
              <w:rPr>
                <w:sz w:val="22"/>
              </w:rPr>
              <w:t>$1500</w:t>
            </w:r>
            <w:r w:rsidRPr="01C3232A">
              <w:rPr>
                <w:sz w:val="22"/>
              </w:rPr>
              <w:t xml:space="preserve"> </w:t>
            </w:r>
            <w:r w:rsidR="468351C8" w:rsidRPr="01C3232A">
              <w:rPr>
                <w:sz w:val="22"/>
              </w:rPr>
              <w:t>plus</w:t>
            </w:r>
            <w:r w:rsidR="2BDC92EC" w:rsidRPr="01C3232A">
              <w:rPr>
                <w:sz w:val="22"/>
              </w:rPr>
              <w:t xml:space="preserve"> $400</w:t>
            </w:r>
            <w:r w:rsidR="492B4E4B" w:rsidRPr="01C3232A">
              <w:rPr>
                <w:sz w:val="22"/>
              </w:rPr>
              <w:t xml:space="preserve"> per full-time employee (FTE)</w:t>
            </w:r>
            <w:r w:rsidR="00CB22FF" w:rsidRPr="01C3232A">
              <w:rPr>
                <w:sz w:val="22"/>
              </w:rPr>
              <w:t xml:space="preserve"> </w:t>
            </w:r>
            <w:r w:rsidR="509DAF0B" w:rsidRPr="01C3232A">
              <w:rPr>
                <w:sz w:val="22"/>
              </w:rPr>
              <w:t>(up to a cap of 50)</w:t>
            </w:r>
            <w:r w:rsidR="0C4FE9A9" w:rsidRPr="01C3232A">
              <w:rPr>
                <w:sz w:val="22"/>
              </w:rPr>
              <w:t>;</w:t>
            </w:r>
            <w:r w:rsidR="4DE44C77" w:rsidRPr="01C3232A">
              <w:rPr>
                <w:sz w:val="22"/>
              </w:rPr>
              <w:t xml:space="preserve"> or,</w:t>
            </w:r>
          </w:p>
          <w:p w14:paraId="174EA5D0" w14:textId="610B6B7C" w:rsidR="004363DA" w:rsidRPr="00525F4D" w:rsidRDefault="4DE44C77" w:rsidP="00290F2E">
            <w:pPr>
              <w:pStyle w:val="TableText"/>
              <w:numPr>
                <w:ilvl w:val="1"/>
                <w:numId w:val="20"/>
              </w:numPr>
              <w:spacing w:before="0" w:after="120" w:line="240" w:lineRule="auto"/>
              <w:rPr>
                <w:sz w:val="22"/>
              </w:rPr>
            </w:pPr>
            <w:r w:rsidRPr="00525F4D">
              <w:rPr>
                <w:sz w:val="22"/>
              </w:rPr>
              <w:t xml:space="preserve">Two times the </w:t>
            </w:r>
            <w:r w:rsidR="32167DEE" w:rsidRPr="00525F4D">
              <w:rPr>
                <w:sz w:val="22"/>
              </w:rPr>
              <w:t>experienced</w:t>
            </w:r>
            <w:r w:rsidR="00F94EA1" w:rsidRPr="00525F4D">
              <w:rPr>
                <w:sz w:val="22"/>
              </w:rPr>
              <w:t xml:space="preserve"> drop in revenue</w:t>
            </w:r>
            <w:r w:rsidR="00DC6E0F" w:rsidRPr="00525F4D">
              <w:rPr>
                <w:sz w:val="22"/>
              </w:rPr>
              <w:t xml:space="preserve"> over the 14-day period</w:t>
            </w:r>
            <w:r w:rsidR="00850F6D" w:rsidRPr="00525F4D">
              <w:rPr>
                <w:sz w:val="22"/>
              </w:rPr>
              <w:t>.</w:t>
            </w:r>
          </w:p>
          <w:p w14:paraId="611CE0E7" w14:textId="2D26DF8E" w:rsidR="004363DA" w:rsidRDefault="6A36A6C0" w:rsidP="008032E3">
            <w:pPr>
              <w:pStyle w:val="TableText"/>
              <w:spacing w:before="0" w:after="120" w:line="240" w:lineRule="auto"/>
              <w:rPr>
                <w:sz w:val="22"/>
              </w:rPr>
            </w:pPr>
            <w:r w:rsidRPr="01C3232A">
              <w:rPr>
                <w:sz w:val="22"/>
              </w:rPr>
              <w:t>Th</w:t>
            </w:r>
            <w:r w:rsidR="45F5D8EE" w:rsidRPr="01C3232A">
              <w:rPr>
                <w:sz w:val="22"/>
              </w:rPr>
              <w:t>ese</w:t>
            </w:r>
            <w:r w:rsidR="004363DA" w:rsidRPr="01C3232A">
              <w:rPr>
                <w:sz w:val="22"/>
              </w:rPr>
              <w:t xml:space="preserve"> option</w:t>
            </w:r>
            <w:r w:rsidR="53854245" w:rsidRPr="01C3232A">
              <w:rPr>
                <w:sz w:val="22"/>
              </w:rPr>
              <w:t>s</w:t>
            </w:r>
            <w:r w:rsidR="004363DA" w:rsidRPr="01C3232A">
              <w:rPr>
                <w:sz w:val="22"/>
              </w:rPr>
              <w:t xml:space="preserve"> </w:t>
            </w:r>
            <w:r w:rsidRPr="01C3232A">
              <w:rPr>
                <w:sz w:val="22"/>
              </w:rPr>
              <w:t>w</w:t>
            </w:r>
            <w:r w:rsidR="684B210B" w:rsidRPr="01C3232A">
              <w:rPr>
                <w:sz w:val="22"/>
              </w:rPr>
              <w:t>ere</w:t>
            </w:r>
            <w:r w:rsidR="004363DA" w:rsidRPr="01C3232A">
              <w:rPr>
                <w:sz w:val="22"/>
              </w:rPr>
              <w:t xml:space="preserve"> preferred because </w:t>
            </w:r>
            <w:r w:rsidR="19980900" w:rsidRPr="01C3232A">
              <w:rPr>
                <w:sz w:val="22"/>
              </w:rPr>
              <w:t>they</w:t>
            </w:r>
            <w:r w:rsidR="004363DA" w:rsidRPr="01C3232A">
              <w:rPr>
                <w:sz w:val="22"/>
              </w:rPr>
              <w:t>:</w:t>
            </w:r>
          </w:p>
          <w:p w14:paraId="2BECDCDB" w14:textId="29740E8D" w:rsidR="004363DA" w:rsidRDefault="6A36A6C0" w:rsidP="00290F2E">
            <w:pPr>
              <w:pStyle w:val="TableText"/>
              <w:numPr>
                <w:ilvl w:val="0"/>
                <w:numId w:val="22"/>
              </w:numPr>
              <w:spacing w:before="0" w:after="120" w:line="240" w:lineRule="auto"/>
              <w:rPr>
                <w:sz w:val="22"/>
              </w:rPr>
            </w:pPr>
            <w:r w:rsidRPr="01C3232A">
              <w:rPr>
                <w:sz w:val="22"/>
              </w:rPr>
              <w:t>allow</w:t>
            </w:r>
            <w:r w:rsidR="004363DA" w:rsidRPr="01C3232A">
              <w:rPr>
                <w:sz w:val="22"/>
              </w:rPr>
              <w:t xml:space="preserve"> businesses to better plan </w:t>
            </w:r>
            <w:proofErr w:type="gramStart"/>
            <w:r w:rsidR="004363DA" w:rsidRPr="01C3232A">
              <w:rPr>
                <w:sz w:val="22"/>
              </w:rPr>
              <w:t>ahead;</w:t>
            </w:r>
            <w:proofErr w:type="gramEnd"/>
            <w:r w:rsidR="004363DA" w:rsidRPr="01C3232A">
              <w:rPr>
                <w:sz w:val="22"/>
              </w:rPr>
              <w:t xml:space="preserve"> </w:t>
            </w:r>
          </w:p>
          <w:p w14:paraId="38E1765B" w14:textId="5503FA2B" w:rsidR="004363DA" w:rsidRDefault="340AE67D" w:rsidP="00290F2E">
            <w:pPr>
              <w:pStyle w:val="TableText"/>
              <w:numPr>
                <w:ilvl w:val="0"/>
                <w:numId w:val="8"/>
              </w:numPr>
              <w:spacing w:before="0" w:after="120" w:line="240" w:lineRule="auto"/>
              <w:rPr>
                <w:rFonts w:eastAsia="Arial" w:cs="Arial"/>
                <w:sz w:val="22"/>
              </w:rPr>
            </w:pPr>
            <w:r w:rsidRPr="01C3232A">
              <w:rPr>
                <w:sz w:val="22"/>
              </w:rPr>
              <w:t>meant</w:t>
            </w:r>
            <w:r w:rsidR="05E8D5B2" w:rsidRPr="01C3232A">
              <w:rPr>
                <w:sz w:val="22"/>
              </w:rPr>
              <w:t xml:space="preserve"> the </w:t>
            </w:r>
            <w:r w:rsidR="414083C3" w:rsidRPr="0C186BD2">
              <w:rPr>
                <w:sz w:val="22"/>
              </w:rPr>
              <w:t>RSP</w:t>
            </w:r>
            <w:r w:rsidR="001B2C55" w:rsidRPr="01C3232A">
              <w:rPr>
                <w:sz w:val="22"/>
              </w:rPr>
              <w:t xml:space="preserve"> </w:t>
            </w:r>
            <w:r w:rsidR="2B8002AD" w:rsidRPr="01C3232A">
              <w:rPr>
                <w:sz w:val="22"/>
              </w:rPr>
              <w:t>w</w:t>
            </w:r>
            <w:r w:rsidR="4CD145AA" w:rsidRPr="01C3232A">
              <w:rPr>
                <w:sz w:val="22"/>
              </w:rPr>
              <w:t>ould</w:t>
            </w:r>
            <w:r w:rsidR="001B2C55" w:rsidRPr="01C3232A">
              <w:rPr>
                <w:sz w:val="22"/>
              </w:rPr>
              <w:t xml:space="preserve"> be </w:t>
            </w:r>
            <w:r w:rsidR="004363DA" w:rsidRPr="01C3232A">
              <w:rPr>
                <w:sz w:val="22"/>
              </w:rPr>
              <w:t>readily deployable by Inland Revenue in the event it is needed</w:t>
            </w:r>
            <w:r w:rsidR="40728B86" w:rsidRPr="01C3232A">
              <w:rPr>
                <w:sz w:val="22"/>
              </w:rPr>
              <w:t xml:space="preserve"> (following the passing of legislation and building the system</w:t>
            </w:r>
            <w:proofErr w:type="gramStart"/>
            <w:r w:rsidR="40728B86" w:rsidRPr="01C3232A">
              <w:rPr>
                <w:sz w:val="22"/>
              </w:rPr>
              <w:t>)</w:t>
            </w:r>
            <w:r w:rsidR="004363DA" w:rsidRPr="01C3232A">
              <w:rPr>
                <w:sz w:val="22"/>
              </w:rPr>
              <w:t>;</w:t>
            </w:r>
            <w:proofErr w:type="gramEnd"/>
            <w:r w:rsidR="004363DA" w:rsidRPr="01C3232A">
              <w:rPr>
                <w:sz w:val="22"/>
              </w:rPr>
              <w:t xml:space="preserve"> </w:t>
            </w:r>
          </w:p>
          <w:p w14:paraId="3C864EC3" w14:textId="3121E009" w:rsidR="004363DA" w:rsidRDefault="49EB1A94" w:rsidP="00290F2E">
            <w:pPr>
              <w:pStyle w:val="TableText"/>
              <w:numPr>
                <w:ilvl w:val="0"/>
                <w:numId w:val="23"/>
              </w:numPr>
              <w:spacing w:before="0" w:after="120" w:line="240" w:lineRule="auto"/>
              <w:rPr>
                <w:sz w:val="22"/>
              </w:rPr>
            </w:pPr>
            <w:r w:rsidRPr="01C3232A">
              <w:rPr>
                <w:sz w:val="22"/>
              </w:rPr>
              <w:t>are</w:t>
            </w:r>
            <w:r w:rsidR="004363DA" w:rsidRPr="01C3232A">
              <w:rPr>
                <w:sz w:val="22"/>
              </w:rPr>
              <w:t xml:space="preserve"> fiscally </w:t>
            </w:r>
            <w:proofErr w:type="gramStart"/>
            <w:r w:rsidR="004363DA" w:rsidRPr="01C3232A">
              <w:rPr>
                <w:sz w:val="22"/>
              </w:rPr>
              <w:t>sustainable;</w:t>
            </w:r>
            <w:proofErr w:type="gramEnd"/>
            <w:r w:rsidR="004363DA" w:rsidRPr="01C3232A">
              <w:rPr>
                <w:sz w:val="22"/>
              </w:rPr>
              <w:t xml:space="preserve"> </w:t>
            </w:r>
          </w:p>
          <w:p w14:paraId="0788502E" w14:textId="7CF1B228" w:rsidR="004363DA" w:rsidRPr="000D0795" w:rsidRDefault="6A36A6C0" w:rsidP="00290F2E">
            <w:pPr>
              <w:pStyle w:val="TableText"/>
              <w:numPr>
                <w:ilvl w:val="0"/>
                <w:numId w:val="23"/>
              </w:numPr>
              <w:spacing w:before="0" w:after="120" w:line="240" w:lineRule="auto"/>
              <w:rPr>
                <w:sz w:val="22"/>
              </w:rPr>
            </w:pPr>
            <w:r w:rsidRPr="01C3232A">
              <w:rPr>
                <w:sz w:val="22"/>
              </w:rPr>
              <w:t>cushion</w:t>
            </w:r>
            <w:r w:rsidR="004363DA" w:rsidRPr="01C3232A">
              <w:rPr>
                <w:sz w:val="22"/>
              </w:rPr>
              <w:t xml:space="preserve"> the economic blow of higher Alert Levels to firms, limiting scarring </w:t>
            </w:r>
            <w:proofErr w:type="gramStart"/>
            <w:r w:rsidR="004363DA" w:rsidRPr="01C3232A">
              <w:rPr>
                <w:sz w:val="22"/>
              </w:rPr>
              <w:t>effects;</w:t>
            </w:r>
            <w:proofErr w:type="gramEnd"/>
            <w:r w:rsidR="004363DA" w:rsidRPr="01C3232A">
              <w:rPr>
                <w:sz w:val="22"/>
              </w:rPr>
              <w:t xml:space="preserve"> </w:t>
            </w:r>
          </w:p>
          <w:p w14:paraId="1378B72D" w14:textId="54E7A889" w:rsidR="004363DA" w:rsidRDefault="6A36A6C0" w:rsidP="00290F2E">
            <w:pPr>
              <w:pStyle w:val="TableText"/>
              <w:numPr>
                <w:ilvl w:val="0"/>
                <w:numId w:val="23"/>
              </w:numPr>
              <w:spacing w:before="0" w:after="120" w:line="276" w:lineRule="auto"/>
              <w:rPr>
                <w:sz w:val="22"/>
              </w:rPr>
            </w:pPr>
            <w:r w:rsidRPr="01C3232A">
              <w:rPr>
                <w:sz w:val="22"/>
              </w:rPr>
              <w:lastRenderedPageBreak/>
              <w:t>support</w:t>
            </w:r>
            <w:r w:rsidR="004363DA" w:rsidRPr="01C3232A">
              <w:rPr>
                <w:sz w:val="22"/>
              </w:rPr>
              <w:t xml:space="preserve"> the transition up Alert Levels, boosting social licence for public health </w:t>
            </w:r>
            <w:proofErr w:type="gramStart"/>
            <w:r w:rsidR="004363DA" w:rsidRPr="01C3232A">
              <w:rPr>
                <w:sz w:val="22"/>
              </w:rPr>
              <w:t>regulations;</w:t>
            </w:r>
            <w:proofErr w:type="gramEnd"/>
            <w:r w:rsidR="004363DA" w:rsidRPr="01C3232A">
              <w:rPr>
                <w:sz w:val="22"/>
              </w:rPr>
              <w:t xml:space="preserve"> </w:t>
            </w:r>
          </w:p>
          <w:p w14:paraId="25DB2CA1" w14:textId="2069CAE1" w:rsidR="004363DA" w:rsidRDefault="6A36A6C0" w:rsidP="00290F2E">
            <w:pPr>
              <w:pStyle w:val="TableText"/>
              <w:numPr>
                <w:ilvl w:val="0"/>
                <w:numId w:val="24"/>
              </w:numPr>
              <w:spacing w:before="0" w:after="120" w:line="276" w:lineRule="auto"/>
              <w:rPr>
                <w:sz w:val="22"/>
              </w:rPr>
            </w:pPr>
            <w:r w:rsidRPr="01C3232A">
              <w:rPr>
                <w:sz w:val="22"/>
              </w:rPr>
              <w:t>encourage</w:t>
            </w:r>
            <w:r w:rsidR="004363DA" w:rsidRPr="01C3232A">
              <w:rPr>
                <w:sz w:val="22"/>
              </w:rPr>
              <w:t xml:space="preserve"> the shift to a more COVID-19 resilient </w:t>
            </w:r>
            <w:proofErr w:type="gramStart"/>
            <w:r w:rsidR="004363DA" w:rsidRPr="01C3232A">
              <w:rPr>
                <w:sz w:val="22"/>
              </w:rPr>
              <w:t>economy;</w:t>
            </w:r>
            <w:proofErr w:type="gramEnd"/>
          </w:p>
          <w:p w14:paraId="1917F13F" w14:textId="07E58891" w:rsidR="004363DA" w:rsidRDefault="29F03117" w:rsidP="00290F2E">
            <w:pPr>
              <w:pStyle w:val="TableText"/>
              <w:numPr>
                <w:ilvl w:val="0"/>
                <w:numId w:val="24"/>
              </w:numPr>
              <w:spacing w:before="0" w:after="120" w:line="276" w:lineRule="auto"/>
              <w:rPr>
                <w:rFonts w:eastAsia="Arial" w:cs="Arial"/>
                <w:color w:val="000000" w:themeColor="text1"/>
                <w:sz w:val="22"/>
              </w:rPr>
            </w:pPr>
            <w:r w:rsidRPr="01C3232A">
              <w:rPr>
                <w:rFonts w:eastAsia="Verdana"/>
                <w:sz w:val="22"/>
                <w:lang w:val="en-NZ"/>
              </w:rPr>
              <w:t>e</w:t>
            </w:r>
            <w:r w:rsidR="576FE879" w:rsidRPr="01C3232A">
              <w:rPr>
                <w:rFonts w:eastAsia="Verdana"/>
                <w:sz w:val="22"/>
                <w:lang w:val="en-NZ"/>
              </w:rPr>
              <w:t>nsure</w:t>
            </w:r>
            <w:r w:rsidR="5A02FFD8" w:rsidRPr="01C3232A">
              <w:rPr>
                <w:rFonts w:eastAsia="Verdana"/>
                <w:sz w:val="22"/>
                <w:lang w:val="en-NZ"/>
              </w:rPr>
              <w:t xml:space="preserve"> that some low revenue firms do not gain disproportionately from the RSP, in excess of their needs to meet fixed costs and transition costs</w:t>
            </w:r>
            <w:r w:rsidR="0F2B39C1" w:rsidRPr="01C3232A">
              <w:rPr>
                <w:rFonts w:eastAsia="Verdana"/>
                <w:sz w:val="22"/>
                <w:lang w:val="en-NZ"/>
              </w:rPr>
              <w:t>; a</w:t>
            </w:r>
            <w:proofErr w:type="spellStart"/>
            <w:r w:rsidR="004363DA" w:rsidRPr="01C3232A">
              <w:rPr>
                <w:sz w:val="22"/>
              </w:rPr>
              <w:t>nd</w:t>
            </w:r>
            <w:proofErr w:type="spellEnd"/>
          </w:p>
          <w:p w14:paraId="1DC51176" w14:textId="2FB54B82" w:rsidR="004363DA" w:rsidRPr="007B090A" w:rsidRDefault="6A36A6C0" w:rsidP="00290F2E">
            <w:pPr>
              <w:pStyle w:val="TableText"/>
              <w:numPr>
                <w:ilvl w:val="0"/>
                <w:numId w:val="24"/>
              </w:numPr>
              <w:spacing w:before="0" w:after="120" w:line="276" w:lineRule="auto"/>
              <w:rPr>
                <w:color w:val="000000" w:themeColor="text1"/>
                <w:sz w:val="22"/>
              </w:rPr>
            </w:pPr>
            <w:r w:rsidRPr="01C3232A">
              <w:rPr>
                <w:sz w:val="22"/>
              </w:rPr>
              <w:t>target</w:t>
            </w:r>
            <w:r w:rsidR="004363DA" w:rsidRPr="01C3232A">
              <w:rPr>
                <w:sz w:val="22"/>
              </w:rPr>
              <w:t xml:space="preserve"> vulnerable but viable firms. </w:t>
            </w:r>
          </w:p>
        </w:tc>
      </w:tr>
    </w:tbl>
    <w:p w14:paraId="40ADE79B" w14:textId="4A0F6DC3" w:rsidR="0062657E" w:rsidRPr="00B2239E" w:rsidRDefault="0062657E" w:rsidP="00AF2098">
      <w:pPr>
        <w:pStyle w:val="Heading2"/>
      </w:pPr>
      <w:r w:rsidRPr="00B2239E">
        <w:lastRenderedPageBreak/>
        <w:t>Section B</w:t>
      </w:r>
      <w:r w:rsidR="00B2239E">
        <w:t xml:space="preserve">: </w:t>
      </w:r>
      <w:r w:rsidRPr="00B2239E">
        <w:t xml:space="preserve">Summary Impacts: Benefits and costs </w:t>
      </w:r>
    </w:p>
    <w:tbl>
      <w:tblPr>
        <w:tblW w:w="9072" w:type="dxa"/>
        <w:tblInd w:w="10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A0" w:firstRow="1" w:lastRow="0" w:firstColumn="1" w:lastColumn="0" w:noHBand="0" w:noVBand="1"/>
      </w:tblPr>
      <w:tblGrid>
        <w:gridCol w:w="9072"/>
      </w:tblGrid>
      <w:tr w:rsidR="00210C3D" w:rsidRPr="00210C3D" w14:paraId="5494C4FF" w14:textId="77777777" w:rsidTr="42A004F7">
        <w:trPr>
          <w:trHeight w:val="197"/>
        </w:trPr>
        <w:tc>
          <w:tcPr>
            <w:tcW w:w="9072" w:type="dxa"/>
            <w:shd w:val="clear" w:color="auto" w:fill="99CDDD"/>
          </w:tcPr>
          <w:p w14:paraId="6A9AED76" w14:textId="02E66F4B" w:rsidR="0062657E" w:rsidRPr="00210C3D" w:rsidRDefault="0062657E" w:rsidP="006356D0">
            <w:pPr>
              <w:keepNext/>
              <w:spacing w:before="60" w:after="60" w:line="240" w:lineRule="auto"/>
              <w:rPr>
                <w:rFonts w:ascii="Arial Narrow" w:hAnsi="Arial Narrow"/>
                <w:b/>
                <w:i/>
                <w:szCs w:val="22"/>
              </w:rPr>
            </w:pPr>
            <w:r w:rsidRPr="00210C3D">
              <w:rPr>
                <w:b/>
                <w:szCs w:val="22"/>
              </w:rPr>
              <w:t>Who are the main expected beneficiaries</w:t>
            </w:r>
            <w:r w:rsidR="006C684F">
              <w:rPr>
                <w:b/>
                <w:szCs w:val="22"/>
              </w:rPr>
              <w:t xml:space="preserve"> </w:t>
            </w:r>
            <w:r w:rsidRPr="00210C3D">
              <w:rPr>
                <w:b/>
                <w:szCs w:val="22"/>
              </w:rPr>
              <w:t>and what is the nature of the expected benefit?</w:t>
            </w:r>
          </w:p>
        </w:tc>
      </w:tr>
      <w:tr w:rsidR="00210C3D" w:rsidRPr="00210C3D" w14:paraId="0C81F77E" w14:textId="77777777" w:rsidTr="42A004F7">
        <w:tc>
          <w:tcPr>
            <w:tcW w:w="9072" w:type="dxa"/>
            <w:shd w:val="clear" w:color="auto" w:fill="EBF5F8"/>
          </w:tcPr>
          <w:p w14:paraId="6A565183" w14:textId="77777777" w:rsidR="0062657E" w:rsidRPr="00210C3D" w:rsidRDefault="0062657E" w:rsidP="006356D0">
            <w:pPr>
              <w:keepNext/>
              <w:spacing w:before="60" w:after="60" w:line="276" w:lineRule="auto"/>
              <w:rPr>
                <w:i/>
                <w:szCs w:val="22"/>
              </w:rPr>
            </w:pPr>
            <w:r w:rsidRPr="00210C3D">
              <w:rPr>
                <w:i/>
                <w:szCs w:val="22"/>
              </w:rPr>
              <w:t>Monetised and non-monetised benefit</w:t>
            </w:r>
            <w:r w:rsidRPr="00FA7EFC">
              <w:rPr>
                <w:i/>
                <w:szCs w:val="22"/>
                <w:shd w:val="clear" w:color="auto" w:fill="EBF5F8"/>
              </w:rPr>
              <w:t>s</w:t>
            </w:r>
          </w:p>
        </w:tc>
      </w:tr>
      <w:tr w:rsidR="00210C3D" w:rsidRPr="00210C3D" w14:paraId="63E1AEA7" w14:textId="77777777" w:rsidTr="42A004F7">
        <w:trPr>
          <w:trHeight w:val="699"/>
        </w:trPr>
        <w:tc>
          <w:tcPr>
            <w:tcW w:w="9072" w:type="dxa"/>
            <w:shd w:val="clear" w:color="auto" w:fill="FFFFFF" w:themeFill="background1"/>
          </w:tcPr>
          <w:p w14:paraId="0629668C" w14:textId="1227400B" w:rsidR="00E2597B" w:rsidRDefault="7A1A0EAD" w:rsidP="00525F4D">
            <w:pPr>
              <w:spacing w:after="120" w:line="240" w:lineRule="auto"/>
            </w:pPr>
            <w:r>
              <w:t xml:space="preserve">The RSP will support </w:t>
            </w:r>
            <w:r w:rsidR="0CACA646">
              <w:t xml:space="preserve">the </w:t>
            </w:r>
            <w:r>
              <w:t xml:space="preserve">national effort to eliminate COVID-19, for the benefit of all New Zealanders. </w:t>
            </w:r>
          </w:p>
          <w:p w14:paraId="1C05D96F" w14:textId="5F380A14" w:rsidR="00E2597B" w:rsidRDefault="00E2597B" w:rsidP="00525F4D">
            <w:pPr>
              <w:spacing w:after="120" w:line="240" w:lineRule="auto"/>
            </w:pPr>
            <w:r>
              <w:t xml:space="preserve">The RSP provides additional financial support to firms to allow them to continue to </w:t>
            </w:r>
            <w:r w:rsidR="00E30629">
              <w:t>meet fixed costs</w:t>
            </w:r>
            <w:r>
              <w:t xml:space="preserve"> and cover costs</w:t>
            </w:r>
            <w:r w:rsidR="00153EDB">
              <w:t xml:space="preserve"> associated with an escalation of</w:t>
            </w:r>
            <w:r w:rsidR="4F050833">
              <w:t xml:space="preserve"> Alert Levels</w:t>
            </w:r>
            <w:r>
              <w:t>, and quickly continue operations as soon as Alert Level restrictions allow. In turn, this benefits individuals employed by those firms.</w:t>
            </w:r>
          </w:p>
          <w:p w14:paraId="7DE43739" w14:textId="07AC49D1" w:rsidR="00E2597B" w:rsidRPr="0034352A" w:rsidRDefault="5DD25834" w:rsidP="00525F4D">
            <w:pPr>
              <w:spacing w:after="120" w:line="240" w:lineRule="auto"/>
            </w:pPr>
            <w:r>
              <w:t xml:space="preserve">Whilst the </w:t>
            </w:r>
            <w:r w:rsidR="6EF63FCA">
              <w:t>P</w:t>
            </w:r>
            <w:r>
              <w:t xml:space="preserve">ayment is available to all businesses, SMEs are the main financial beneficiaries. This recognises that the vast majority of businesses in New Zealand employ fewer than 50 people, and that smaller firms are less resilient to economic shocks than larger businesses. </w:t>
            </w:r>
          </w:p>
          <w:p w14:paraId="35C86544" w14:textId="611400AF" w:rsidR="00E2597B" w:rsidRPr="00210C3D" w:rsidRDefault="00E2597B" w:rsidP="00525F4D">
            <w:pPr>
              <w:pStyle w:val="TableText"/>
              <w:spacing w:before="0" w:after="120" w:line="240" w:lineRule="auto"/>
              <w:rPr>
                <w:sz w:val="22"/>
              </w:rPr>
            </w:pPr>
            <w:r w:rsidRPr="342C5B05">
              <w:rPr>
                <w:sz w:val="22"/>
              </w:rPr>
              <w:t xml:space="preserve">However, it is important to recognise that while larger firms are more resilient on average, larger firms can need support too. Not allowing large firms to access </w:t>
            </w:r>
            <w:r w:rsidR="1AE3C3FD" w:rsidRPr="342C5B05">
              <w:rPr>
                <w:sz w:val="22"/>
              </w:rPr>
              <w:t>this</w:t>
            </w:r>
            <w:r w:rsidRPr="342C5B05">
              <w:rPr>
                <w:sz w:val="22"/>
              </w:rPr>
              <w:t xml:space="preserve"> form of support would disadvantage firms just on the cut-off, such as firms with 51 employees. This could make it harder for these firms to </w:t>
            </w:r>
            <w:r w:rsidR="467FB8F2" w:rsidRPr="342C5B05">
              <w:rPr>
                <w:sz w:val="22"/>
              </w:rPr>
              <w:t>survive and</w:t>
            </w:r>
            <w:r w:rsidRPr="342C5B05">
              <w:rPr>
                <w:sz w:val="22"/>
              </w:rPr>
              <w:t xml:space="preserve"> </w:t>
            </w:r>
            <w:r w:rsidR="0600DD3E" w:rsidRPr="342C5B05">
              <w:rPr>
                <w:sz w:val="22"/>
              </w:rPr>
              <w:t xml:space="preserve">may </w:t>
            </w:r>
            <w:r w:rsidRPr="342C5B05">
              <w:rPr>
                <w:sz w:val="22"/>
              </w:rPr>
              <w:t>incentivise them to get rid of staff</w:t>
            </w:r>
            <w:r w:rsidR="71C17DD0" w:rsidRPr="342C5B05">
              <w:rPr>
                <w:sz w:val="22"/>
              </w:rPr>
              <w:t xml:space="preserve"> in order to become</w:t>
            </w:r>
            <w:r w:rsidRPr="342C5B05">
              <w:rPr>
                <w:sz w:val="22"/>
              </w:rPr>
              <w:t xml:space="preserve"> eligible, which we do not want to encourage.</w:t>
            </w:r>
            <w:r w:rsidR="00E30629">
              <w:rPr>
                <w:sz w:val="22"/>
              </w:rPr>
              <w:t xml:space="preserve"> For this reason, the RSP will be available to firms of all sizes. </w:t>
            </w:r>
          </w:p>
        </w:tc>
      </w:tr>
    </w:tbl>
    <w:p w14:paraId="63F62B69" w14:textId="77777777" w:rsidR="0062657E" w:rsidRPr="00AA6A54" w:rsidRDefault="0062657E" w:rsidP="00AA6A54">
      <w:pPr>
        <w:pStyle w:val="spacer"/>
      </w:pPr>
    </w:p>
    <w:tbl>
      <w:tblPr>
        <w:tblW w:w="9072" w:type="dxa"/>
        <w:tblInd w:w="10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A0" w:firstRow="1" w:lastRow="0" w:firstColumn="1" w:lastColumn="0" w:noHBand="0" w:noVBand="1"/>
      </w:tblPr>
      <w:tblGrid>
        <w:gridCol w:w="9072"/>
      </w:tblGrid>
      <w:tr w:rsidR="00210C3D" w:rsidRPr="00210C3D" w14:paraId="04659A71" w14:textId="77777777" w:rsidTr="342C5B05">
        <w:trPr>
          <w:trHeight w:val="224"/>
        </w:trPr>
        <w:tc>
          <w:tcPr>
            <w:tcW w:w="9072" w:type="dxa"/>
            <w:shd w:val="clear" w:color="auto" w:fill="99CDDD"/>
          </w:tcPr>
          <w:p w14:paraId="75EC46D0" w14:textId="77777777" w:rsidR="0062657E" w:rsidRPr="00210C3D" w:rsidRDefault="0062657E" w:rsidP="006356D0">
            <w:pPr>
              <w:keepNext/>
              <w:spacing w:before="60" w:after="60" w:line="240" w:lineRule="auto"/>
              <w:rPr>
                <w:b/>
                <w:szCs w:val="22"/>
              </w:rPr>
            </w:pPr>
            <w:r w:rsidRPr="00210C3D">
              <w:rPr>
                <w:b/>
                <w:szCs w:val="22"/>
              </w:rPr>
              <w:t xml:space="preserve">Where do the costs fall?  </w:t>
            </w:r>
          </w:p>
        </w:tc>
      </w:tr>
      <w:tr w:rsidR="00210C3D" w:rsidRPr="001220BD" w14:paraId="39D5B4C8" w14:textId="77777777" w:rsidTr="342C5B05">
        <w:tc>
          <w:tcPr>
            <w:tcW w:w="9072" w:type="dxa"/>
            <w:shd w:val="clear" w:color="auto" w:fill="EBF5F8"/>
          </w:tcPr>
          <w:p w14:paraId="48E2A4B6" w14:textId="417E3380" w:rsidR="0062657E" w:rsidRPr="001220BD" w:rsidRDefault="0062657E" w:rsidP="006356D0">
            <w:pPr>
              <w:keepNext/>
              <w:spacing w:before="60" w:after="60" w:line="276" w:lineRule="auto"/>
              <w:rPr>
                <w:i/>
                <w:szCs w:val="22"/>
              </w:rPr>
            </w:pPr>
            <w:r w:rsidRPr="001220BD">
              <w:rPr>
                <w:i/>
                <w:szCs w:val="22"/>
              </w:rPr>
              <w:t xml:space="preserve">Monetised and non-monetised costs; for </w:t>
            </w:r>
            <w:proofErr w:type="gramStart"/>
            <w:r w:rsidRPr="001220BD">
              <w:rPr>
                <w:i/>
                <w:szCs w:val="22"/>
              </w:rPr>
              <w:t>example</w:t>
            </w:r>
            <w:proofErr w:type="gramEnd"/>
            <w:r w:rsidRPr="001220BD">
              <w:rPr>
                <w:i/>
                <w:szCs w:val="22"/>
              </w:rPr>
              <w:t xml:space="preserve"> to local government</w:t>
            </w:r>
            <w:r w:rsidR="00B05FDA">
              <w:rPr>
                <w:i/>
                <w:szCs w:val="22"/>
              </w:rPr>
              <w:t xml:space="preserve"> or</w:t>
            </w:r>
            <w:r w:rsidRPr="001220BD">
              <w:rPr>
                <w:i/>
                <w:szCs w:val="22"/>
              </w:rPr>
              <w:t xml:space="preserve"> regulated parties</w:t>
            </w:r>
          </w:p>
        </w:tc>
      </w:tr>
      <w:tr w:rsidR="00210C3D" w:rsidRPr="00210C3D" w14:paraId="5F27999D" w14:textId="77777777" w:rsidTr="342C5B05">
        <w:tc>
          <w:tcPr>
            <w:tcW w:w="9072" w:type="dxa"/>
            <w:shd w:val="clear" w:color="auto" w:fill="FFFFFF" w:themeFill="background1"/>
          </w:tcPr>
          <w:p w14:paraId="4E4C4609" w14:textId="556B6F22" w:rsidR="0062657E" w:rsidRPr="00210C3D" w:rsidRDefault="00E2597B" w:rsidP="00525F4D">
            <w:pPr>
              <w:spacing w:after="120" w:line="240" w:lineRule="auto"/>
              <w:rPr>
                <w:rFonts w:eastAsia="Arial" w:cs="Arial"/>
                <w:color w:val="D13438"/>
                <w:szCs w:val="22"/>
                <w:u w:val="single"/>
              </w:rPr>
            </w:pPr>
            <w:r>
              <w:t xml:space="preserve">The fiscal costs fall to the </w:t>
            </w:r>
            <w:proofErr w:type="gramStart"/>
            <w:r>
              <w:t>Crown</w:t>
            </w:r>
            <w:r w:rsidR="6EA130E9">
              <w:t>,</w:t>
            </w:r>
            <w:proofErr w:type="gramEnd"/>
            <w:r w:rsidR="6EA130E9">
              <w:t xml:space="preserve"> however</w:t>
            </w:r>
            <w:r w:rsidR="606A6EA8">
              <w:t xml:space="preserve"> Treasury analysis suggests</w:t>
            </w:r>
            <w:r w:rsidR="6EA130E9">
              <w:t xml:space="preserve"> the long-term fiscal</w:t>
            </w:r>
            <w:r w:rsidR="0724AB79">
              <w:t>, economic and social</w:t>
            </w:r>
            <w:r w:rsidR="6EA130E9">
              <w:t xml:space="preserve"> impacts of no action would likely be greater</w:t>
            </w:r>
            <w:r>
              <w:t>.</w:t>
            </w:r>
          </w:p>
        </w:tc>
      </w:tr>
    </w:tbl>
    <w:p w14:paraId="0D3D0DC8" w14:textId="77777777" w:rsidR="0062657E" w:rsidRPr="00210C3D" w:rsidRDefault="0062657E" w:rsidP="00AA6A54">
      <w:pPr>
        <w:pStyle w:val="spacer"/>
      </w:pPr>
    </w:p>
    <w:tbl>
      <w:tblPr>
        <w:tblW w:w="9072" w:type="dxa"/>
        <w:tblInd w:w="10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A0" w:firstRow="1" w:lastRow="0" w:firstColumn="1" w:lastColumn="0" w:noHBand="0" w:noVBand="1"/>
      </w:tblPr>
      <w:tblGrid>
        <w:gridCol w:w="9072"/>
      </w:tblGrid>
      <w:tr w:rsidR="00210C3D" w:rsidRPr="00210C3D" w14:paraId="7815ECDE" w14:textId="77777777" w:rsidTr="371AF6ED">
        <w:tc>
          <w:tcPr>
            <w:tcW w:w="9072" w:type="dxa"/>
            <w:shd w:val="clear" w:color="auto" w:fill="99CDDD"/>
          </w:tcPr>
          <w:p w14:paraId="7A465ACA" w14:textId="732B5CA0" w:rsidR="0062657E" w:rsidRPr="00210C3D" w:rsidRDefault="0062657E" w:rsidP="006356D0">
            <w:pPr>
              <w:keepNext/>
              <w:spacing w:before="60" w:after="60" w:line="240" w:lineRule="auto"/>
              <w:rPr>
                <w:b/>
                <w:i/>
                <w:szCs w:val="22"/>
              </w:rPr>
            </w:pPr>
            <w:r w:rsidRPr="00210C3D">
              <w:rPr>
                <w:b/>
                <w:szCs w:val="22"/>
              </w:rPr>
              <w:t>What are the likely risks and unintended impacts</w:t>
            </w:r>
            <w:r w:rsidR="00D96EB2">
              <w:rPr>
                <w:b/>
                <w:szCs w:val="22"/>
              </w:rPr>
              <w:t>?</w:t>
            </w:r>
            <w:r w:rsidR="00E2597B">
              <w:rPr>
                <w:b/>
                <w:szCs w:val="22"/>
              </w:rPr>
              <w:t xml:space="preserve"> H</w:t>
            </w:r>
            <w:r w:rsidRPr="00210C3D">
              <w:rPr>
                <w:b/>
                <w:szCs w:val="22"/>
              </w:rPr>
              <w:t xml:space="preserve">ow significant are they and how will they be minimised or mitigated? </w:t>
            </w:r>
          </w:p>
        </w:tc>
      </w:tr>
      <w:tr w:rsidR="00210C3D" w:rsidRPr="00210C3D" w14:paraId="190C547C" w14:textId="77777777" w:rsidTr="371AF6ED">
        <w:tc>
          <w:tcPr>
            <w:tcW w:w="9072" w:type="dxa"/>
            <w:shd w:val="clear" w:color="auto" w:fill="FFFFFF" w:themeFill="background1"/>
          </w:tcPr>
          <w:p w14:paraId="21563EF4" w14:textId="39EA75E4" w:rsidR="00C46336" w:rsidRDefault="00A46E08" w:rsidP="00525F4D">
            <w:pPr>
              <w:spacing w:after="120" w:line="240" w:lineRule="auto"/>
            </w:pPr>
            <w:r>
              <w:t xml:space="preserve">Compressed timelines create </w:t>
            </w:r>
            <w:r w:rsidR="004363DA">
              <w:t xml:space="preserve">policy development, </w:t>
            </w:r>
            <w:r>
              <w:t>delivery</w:t>
            </w:r>
            <w:r w:rsidR="00FF1BA4">
              <w:t>,</w:t>
            </w:r>
            <w:r w:rsidR="00C46336">
              <w:t xml:space="preserve"> and communications</w:t>
            </w:r>
            <w:r>
              <w:t xml:space="preserve"> risks</w:t>
            </w:r>
            <w:r w:rsidR="00C46336">
              <w:t>, which could lead to:</w:t>
            </w:r>
          </w:p>
          <w:p w14:paraId="0A22D551" w14:textId="5E4FED6E" w:rsidR="00C46336" w:rsidRDefault="00E30629" w:rsidP="00290F2E">
            <w:pPr>
              <w:pStyle w:val="ListParagraph"/>
              <w:numPr>
                <w:ilvl w:val="0"/>
                <w:numId w:val="25"/>
              </w:numPr>
              <w:spacing w:after="120" w:line="240" w:lineRule="auto"/>
              <w:contextualSpacing w:val="0"/>
            </w:pPr>
            <w:r>
              <w:t xml:space="preserve">payments being more widely available than is efficient, or being paid to unviable firms, at unnecessary fiscal </w:t>
            </w:r>
            <w:proofErr w:type="gramStart"/>
            <w:r>
              <w:t>cost</w:t>
            </w:r>
            <w:r w:rsidR="00C46336">
              <w:t>;</w:t>
            </w:r>
            <w:proofErr w:type="gramEnd"/>
          </w:p>
          <w:p w14:paraId="507872CD" w14:textId="13E708E5" w:rsidR="00C46336" w:rsidRDefault="00A46E08" w:rsidP="00290F2E">
            <w:pPr>
              <w:pStyle w:val="ListParagraph"/>
              <w:numPr>
                <w:ilvl w:val="0"/>
                <w:numId w:val="25"/>
              </w:numPr>
              <w:spacing w:after="120" w:line="240" w:lineRule="auto"/>
              <w:contextualSpacing w:val="0"/>
            </w:pPr>
            <w:r>
              <w:t>damaging the social capital that is critical for the success of the COVID-19 public health strategy</w:t>
            </w:r>
            <w:r w:rsidR="00C46336">
              <w:t>;</w:t>
            </w:r>
            <w:r w:rsidR="004363DA">
              <w:t xml:space="preserve"> and</w:t>
            </w:r>
          </w:p>
          <w:p w14:paraId="08A0F837" w14:textId="4F71801A" w:rsidR="00C46336" w:rsidRDefault="0486049E" w:rsidP="00290F2E">
            <w:pPr>
              <w:pStyle w:val="ListParagraph"/>
              <w:numPr>
                <w:ilvl w:val="0"/>
                <w:numId w:val="25"/>
              </w:numPr>
              <w:spacing w:after="120" w:line="240" w:lineRule="auto"/>
              <w:contextualSpacing w:val="0"/>
            </w:pPr>
            <w:r>
              <w:t xml:space="preserve">business confusion around the access to the scheme, meaning firms may lose out on support they are entitled to. </w:t>
            </w:r>
            <w:r w:rsidR="655AB51E">
              <w:t xml:space="preserve"> </w:t>
            </w:r>
          </w:p>
          <w:p w14:paraId="5EA838D5" w14:textId="5A178E06" w:rsidR="00A46E08" w:rsidRDefault="00A46E08" w:rsidP="00525F4D">
            <w:pPr>
              <w:spacing w:after="120" w:line="240" w:lineRule="auto"/>
            </w:pPr>
            <w:r>
              <w:t xml:space="preserve">The main mitigations we have undertaken include: </w:t>
            </w:r>
          </w:p>
          <w:p w14:paraId="7C2CF9A7" w14:textId="1EDBC15D" w:rsidR="0062657E" w:rsidRDefault="655AB51E" w:rsidP="00290F2E">
            <w:pPr>
              <w:pStyle w:val="ListParagraph"/>
              <w:numPr>
                <w:ilvl w:val="0"/>
                <w:numId w:val="26"/>
              </w:numPr>
              <w:spacing w:after="120" w:line="240" w:lineRule="auto"/>
              <w:contextualSpacing w:val="0"/>
            </w:pPr>
            <w:r>
              <w:t xml:space="preserve">to agree, via Joint Ministers and Cabinet, detailed design rules in order to enable Inland Revenue to build the scheme </w:t>
            </w:r>
            <w:r w:rsidR="0486049E">
              <w:t xml:space="preserve">at pace </w:t>
            </w:r>
            <w:r>
              <w:t xml:space="preserve">with as much certainty as </w:t>
            </w:r>
            <w:proofErr w:type="gramStart"/>
            <w:r>
              <w:t>possible;</w:t>
            </w:r>
            <w:proofErr w:type="gramEnd"/>
          </w:p>
          <w:p w14:paraId="6FAB7B3C" w14:textId="201CF9B5" w:rsidR="00A46E08" w:rsidRDefault="00A46E08" w:rsidP="00290F2E">
            <w:pPr>
              <w:pStyle w:val="ListParagraph"/>
              <w:numPr>
                <w:ilvl w:val="0"/>
                <w:numId w:val="26"/>
              </w:numPr>
              <w:spacing w:after="120" w:line="240" w:lineRule="auto"/>
              <w:contextualSpacing w:val="0"/>
            </w:pPr>
            <w:r>
              <w:lastRenderedPageBreak/>
              <w:t xml:space="preserve">a series of measures to boost the integrity of the scheme and minimise gaming </w:t>
            </w:r>
            <w:proofErr w:type="gramStart"/>
            <w:r>
              <w:t>risks;</w:t>
            </w:r>
            <w:proofErr w:type="gramEnd"/>
          </w:p>
          <w:p w14:paraId="753E17AC" w14:textId="2380BA60" w:rsidR="0095664B" w:rsidRDefault="0095664B" w:rsidP="00290F2E">
            <w:pPr>
              <w:pStyle w:val="ListParagraph"/>
              <w:numPr>
                <w:ilvl w:val="0"/>
                <w:numId w:val="26"/>
              </w:numPr>
              <w:spacing w:after="120" w:line="240" w:lineRule="auto"/>
              <w:contextualSpacing w:val="0"/>
            </w:pPr>
            <w:r>
              <w:t xml:space="preserve">taking a co-ordinated cross-Government approach to </w:t>
            </w:r>
            <w:proofErr w:type="gramStart"/>
            <w:r>
              <w:t>communications;</w:t>
            </w:r>
            <w:proofErr w:type="gramEnd"/>
          </w:p>
          <w:p w14:paraId="6472895B" w14:textId="024C3916" w:rsidR="0062657E" w:rsidRPr="00210C3D" w:rsidRDefault="24571FB3" w:rsidP="00290F2E">
            <w:pPr>
              <w:pStyle w:val="ListParagraph"/>
              <w:numPr>
                <w:ilvl w:val="0"/>
                <w:numId w:val="26"/>
              </w:numPr>
              <w:spacing w:after="120" w:line="240" w:lineRule="auto"/>
              <w:contextualSpacing w:val="0"/>
            </w:pPr>
            <w:r>
              <w:t>engaging with external business stakeholders to inform the design of the scheme and promote its availability, ensuring the widest audiences are reached.</w:t>
            </w:r>
          </w:p>
        </w:tc>
      </w:tr>
    </w:tbl>
    <w:p w14:paraId="634EE3EF" w14:textId="1CA56C8F" w:rsidR="0062657E" w:rsidRPr="008603C7" w:rsidRDefault="0062657E" w:rsidP="00AF2098">
      <w:pPr>
        <w:pStyle w:val="Heading2"/>
      </w:pPr>
      <w:r w:rsidRPr="008603C7">
        <w:lastRenderedPageBreak/>
        <w:t>Section C</w:t>
      </w:r>
      <w:r w:rsidR="0005691A">
        <w:t xml:space="preserve">: </w:t>
      </w:r>
      <w:r w:rsidRPr="008603C7">
        <w:t xml:space="preserve">Evidence certainty and quality assurance </w:t>
      </w:r>
    </w:p>
    <w:tbl>
      <w:tblPr>
        <w:tblW w:w="9072" w:type="dxa"/>
        <w:tblInd w:w="10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A0" w:firstRow="1" w:lastRow="0" w:firstColumn="1" w:lastColumn="0" w:noHBand="0" w:noVBand="1"/>
      </w:tblPr>
      <w:tblGrid>
        <w:gridCol w:w="9072"/>
      </w:tblGrid>
      <w:tr w:rsidR="00210C3D" w:rsidRPr="00210C3D" w14:paraId="4985DDB2" w14:textId="77777777" w:rsidTr="42A004F7">
        <w:trPr>
          <w:trHeight w:val="339"/>
        </w:trPr>
        <w:tc>
          <w:tcPr>
            <w:tcW w:w="9072" w:type="dxa"/>
            <w:shd w:val="clear" w:color="auto" w:fill="99CDDD"/>
          </w:tcPr>
          <w:p w14:paraId="648B27E1" w14:textId="77777777" w:rsidR="0062657E" w:rsidRPr="00210C3D" w:rsidRDefault="0062657E" w:rsidP="006356D0">
            <w:pPr>
              <w:keepNext/>
              <w:spacing w:before="60" w:after="60" w:line="240" w:lineRule="auto"/>
              <w:rPr>
                <w:b/>
                <w:szCs w:val="22"/>
              </w:rPr>
            </w:pPr>
            <w:r w:rsidRPr="00210C3D">
              <w:rPr>
                <w:b/>
                <w:szCs w:val="22"/>
              </w:rPr>
              <w:t xml:space="preserve">Agency rating of evidence certainty?  </w:t>
            </w:r>
          </w:p>
        </w:tc>
      </w:tr>
      <w:tr w:rsidR="00210C3D" w:rsidRPr="001220BD" w14:paraId="480DB4C0" w14:textId="77777777" w:rsidTr="42A004F7">
        <w:tc>
          <w:tcPr>
            <w:tcW w:w="9072" w:type="dxa"/>
            <w:shd w:val="clear" w:color="auto" w:fill="EBF5F8"/>
          </w:tcPr>
          <w:p w14:paraId="2F96D247" w14:textId="77777777" w:rsidR="0062657E" w:rsidRPr="001220BD" w:rsidRDefault="0062657E" w:rsidP="006356D0">
            <w:pPr>
              <w:pStyle w:val="TableHeading2"/>
              <w:keepNext/>
            </w:pPr>
            <w:r w:rsidRPr="001220BD">
              <w:t>How confident are you of the evidence base?</w:t>
            </w:r>
          </w:p>
        </w:tc>
      </w:tr>
      <w:tr w:rsidR="00210C3D" w:rsidRPr="00210C3D" w14:paraId="65CFBEAA" w14:textId="77777777" w:rsidTr="42A004F7">
        <w:trPr>
          <w:trHeight w:val="2018"/>
        </w:trPr>
        <w:tc>
          <w:tcPr>
            <w:tcW w:w="9072" w:type="dxa"/>
            <w:shd w:val="clear" w:color="auto" w:fill="FFFFFF" w:themeFill="background1"/>
          </w:tcPr>
          <w:p w14:paraId="50DC041D" w14:textId="2886D87D" w:rsidR="0062657E" w:rsidRDefault="003F5B02" w:rsidP="00525F4D">
            <w:pPr>
              <w:spacing w:after="120" w:line="240" w:lineRule="auto"/>
            </w:pPr>
            <w:r>
              <w:t xml:space="preserve">Evidence drawn on to inform the design of the </w:t>
            </w:r>
            <w:r w:rsidR="6B0BA437">
              <w:t>RSP</w:t>
            </w:r>
            <w:r>
              <w:t xml:space="preserve"> include:</w:t>
            </w:r>
          </w:p>
          <w:p w14:paraId="2822378F" w14:textId="454026A8" w:rsidR="00B7297A" w:rsidRPr="00B7297A" w:rsidRDefault="3F2A3D71" w:rsidP="00525F4D">
            <w:pPr>
              <w:spacing w:after="120" w:line="240" w:lineRule="auto"/>
              <w:rPr>
                <w:b/>
                <w:bCs/>
              </w:rPr>
            </w:pPr>
            <w:r w:rsidRPr="371AF6ED">
              <w:rPr>
                <w:b/>
                <w:bCs/>
              </w:rPr>
              <w:t>Regular, detailed qualitative engagement with the business community</w:t>
            </w:r>
            <w:r w:rsidR="3C5F909D" w:rsidRPr="371AF6ED">
              <w:rPr>
                <w:b/>
                <w:bCs/>
              </w:rPr>
              <w:t xml:space="preserve"> and monitoring of the effectiveness of existing supports</w:t>
            </w:r>
          </w:p>
          <w:p w14:paraId="43BA3BBF" w14:textId="3B549025" w:rsidR="00B7297A" w:rsidRPr="00B7297A" w:rsidRDefault="60816F31" w:rsidP="00525F4D">
            <w:pPr>
              <w:spacing w:after="120" w:line="240" w:lineRule="auto"/>
              <w:rPr>
                <w:b/>
                <w:bCs/>
              </w:rPr>
            </w:pPr>
            <w:r>
              <w:t xml:space="preserve">Evidence was consistent from a diverse range of groups that: </w:t>
            </w:r>
          </w:p>
          <w:p w14:paraId="5A92DD36" w14:textId="7279805D" w:rsidR="00B7297A" w:rsidRPr="00B7297A" w:rsidRDefault="3F2A3D71" w:rsidP="00290F2E">
            <w:pPr>
              <w:numPr>
                <w:ilvl w:val="0"/>
                <w:numId w:val="27"/>
              </w:numPr>
              <w:spacing w:after="120" w:line="240" w:lineRule="auto"/>
              <w:rPr>
                <w:b/>
                <w:bCs/>
              </w:rPr>
            </w:pPr>
            <w:r>
              <w:t>greater certainty about the nature of government support in the event of a resurgence was critical</w:t>
            </w:r>
            <w:r w:rsidR="54A750CD">
              <w:t xml:space="preserve">, which led the decision to announce the support would be available in advance of any escalation of Alert </w:t>
            </w:r>
            <w:proofErr w:type="gramStart"/>
            <w:r w:rsidR="54A750CD">
              <w:t>Levels</w:t>
            </w:r>
            <w:r>
              <w:t>;</w:t>
            </w:r>
            <w:proofErr w:type="gramEnd"/>
            <w:r>
              <w:t xml:space="preserve"> </w:t>
            </w:r>
          </w:p>
          <w:p w14:paraId="4F3D3DC1" w14:textId="27925A03" w:rsidR="00B7297A" w:rsidRPr="00B7297A" w:rsidRDefault="11E7904F" w:rsidP="00290F2E">
            <w:pPr>
              <w:numPr>
                <w:ilvl w:val="0"/>
                <w:numId w:val="27"/>
              </w:numPr>
              <w:spacing w:after="120" w:line="240" w:lineRule="auto"/>
              <w:rPr>
                <w:b/>
                <w:bCs/>
              </w:rPr>
            </w:pPr>
            <w:r>
              <w:t>firm balance sheets in the most affected sectors were increasingly stressed;</w:t>
            </w:r>
            <w:r w:rsidR="43AC7F8D">
              <w:t xml:space="preserve"> and</w:t>
            </w:r>
          </w:p>
          <w:p w14:paraId="1BB31761" w14:textId="2FC84DBB" w:rsidR="00B7297A" w:rsidRPr="00B7297A" w:rsidRDefault="01A61BFB" w:rsidP="00290F2E">
            <w:pPr>
              <w:numPr>
                <w:ilvl w:val="0"/>
                <w:numId w:val="27"/>
              </w:numPr>
              <w:spacing w:after="120" w:line="240" w:lineRule="auto"/>
              <w:rPr>
                <w:b/>
                <w:bCs/>
              </w:rPr>
            </w:pPr>
            <w:r>
              <w:t>additional debt products were less appropriate</w:t>
            </w:r>
            <w:r w:rsidR="599FC5D2">
              <w:t>.</w:t>
            </w:r>
            <w:r w:rsidR="3F2A3D71">
              <w:br/>
            </w:r>
            <w:r>
              <w:t xml:space="preserve"> </w:t>
            </w:r>
          </w:p>
          <w:p w14:paraId="7B76E67B" w14:textId="511BE1C9" w:rsidR="00B7297A" w:rsidRPr="00B7297A" w:rsidRDefault="13D77329" w:rsidP="00525F4D">
            <w:pPr>
              <w:spacing w:after="120" w:line="240" w:lineRule="auto"/>
              <w:rPr>
                <w:b/>
                <w:bCs/>
              </w:rPr>
            </w:pPr>
            <w:r>
              <w:t>Evaluation of the uptake of the Small Business Cashf</w:t>
            </w:r>
            <w:r w:rsidR="6147EFDC">
              <w:t>l</w:t>
            </w:r>
            <w:r>
              <w:t>ow Scheme</w:t>
            </w:r>
            <w:r w:rsidR="0015704B">
              <w:t xml:space="preserve"> (SBCS)</w:t>
            </w:r>
            <w:r>
              <w:t xml:space="preserve"> </w:t>
            </w:r>
            <w:r w:rsidR="40136A0D">
              <w:t xml:space="preserve">also </w:t>
            </w:r>
            <w:r>
              <w:t>evidence</w:t>
            </w:r>
            <w:r w:rsidR="7DC4A378">
              <w:t>d</w:t>
            </w:r>
            <w:r>
              <w:t xml:space="preserve"> the waning appetite for debt.</w:t>
            </w:r>
            <w:r w:rsidR="4816C2A8">
              <w:t xml:space="preserve"> The </w:t>
            </w:r>
            <w:r w:rsidR="41AF3A12">
              <w:t>P</w:t>
            </w:r>
            <w:r w:rsidR="4816C2A8">
              <w:t>ayment was therefore designed as a grant.</w:t>
            </w:r>
            <w:r w:rsidR="01A61BFB">
              <w:br/>
            </w:r>
          </w:p>
          <w:p w14:paraId="1B7506EE" w14:textId="3C915A96" w:rsidR="00B7297A" w:rsidRPr="00B7297A" w:rsidRDefault="11E7904F" w:rsidP="00525F4D">
            <w:pPr>
              <w:spacing w:after="120" w:line="240" w:lineRule="auto"/>
              <w:rPr>
                <w:b/>
                <w:bCs/>
              </w:rPr>
            </w:pPr>
            <w:r w:rsidRPr="01C3232A">
              <w:rPr>
                <w:b/>
                <w:bCs/>
              </w:rPr>
              <w:t>Real-time transaction data, which showed the impacts of Alert Level on revenue</w:t>
            </w:r>
          </w:p>
          <w:p w14:paraId="739790E1" w14:textId="57534B6A" w:rsidR="00B7297A" w:rsidRPr="00375717" w:rsidRDefault="1912C4D3" w:rsidP="00375717">
            <w:pPr>
              <w:numPr>
                <w:ilvl w:val="0"/>
                <w:numId w:val="28"/>
              </w:numPr>
              <w:spacing w:after="120" w:line="240" w:lineRule="auto"/>
              <w:rPr>
                <w:rFonts w:ascii="Segoe UI" w:hAnsi="Segoe UI" w:cs="Segoe UI"/>
                <w:sz w:val="24"/>
                <w:szCs w:val="24"/>
                <w:lang w:val="en-NZ" w:eastAsia="en-NZ"/>
              </w:rPr>
            </w:pPr>
            <w:r>
              <w:t xml:space="preserve">Xero </w:t>
            </w:r>
            <w:r w:rsidR="59617B8D">
              <w:t>d</w:t>
            </w:r>
            <w:r w:rsidR="7479375B">
              <w:t>ata</w:t>
            </w:r>
            <w:r w:rsidR="11E7904F">
              <w:t xml:space="preserve"> on revenue drops experienced by </w:t>
            </w:r>
            <w:proofErr w:type="gramStart"/>
            <w:r w:rsidR="11E7904F">
              <w:t>firms</w:t>
            </w:r>
            <w:proofErr w:type="gramEnd"/>
            <w:r w:rsidR="11E7904F">
              <w:t xml:space="preserve"> month-to-month throughout 2020 informed our understanding of Alert Level impacts</w:t>
            </w:r>
            <w:r w:rsidR="51EF92C6">
              <w:t>.</w:t>
            </w:r>
            <w:r w:rsidR="00375717">
              <w:rPr>
                <w:rStyle w:val="FootnoteReference"/>
              </w:rPr>
              <w:footnoteReference w:id="2"/>
            </w:r>
            <w:r w:rsidR="00375717">
              <w:t xml:space="preserve"> </w:t>
            </w:r>
          </w:p>
          <w:p w14:paraId="189DFF54" w14:textId="2E00206E" w:rsidR="00B7297A" w:rsidRPr="00B7297A" w:rsidRDefault="3F2A3D71" w:rsidP="00290F2E">
            <w:pPr>
              <w:numPr>
                <w:ilvl w:val="0"/>
                <w:numId w:val="28"/>
              </w:numPr>
              <w:spacing w:after="120" w:line="240" w:lineRule="auto"/>
            </w:pPr>
            <w:r>
              <w:t>This, alongside information on uptake of the various wage subsidies,</w:t>
            </w:r>
            <w:r w:rsidR="60816F31" w:rsidDel="3F2A3D71">
              <w:t xml:space="preserve"> </w:t>
            </w:r>
            <w:r>
              <w:t>allowed us to estimate the number of firms facing significant revenue drops at different Alert Levels</w:t>
            </w:r>
            <w:r w:rsidR="4BF0B794">
              <w:t xml:space="preserve"> and led to the 30% revenue drop test</w:t>
            </w:r>
            <w:r>
              <w:t>.</w:t>
            </w:r>
          </w:p>
          <w:p w14:paraId="0058E919" w14:textId="0ED588B1" w:rsidR="00B7297A" w:rsidRPr="00B7297A" w:rsidRDefault="01A61BFB" w:rsidP="00525F4D">
            <w:pPr>
              <w:spacing w:after="120" w:line="240" w:lineRule="auto"/>
              <w:rPr>
                <w:b/>
                <w:bCs/>
              </w:rPr>
            </w:pPr>
            <w:r w:rsidRPr="01C3232A">
              <w:rPr>
                <w:b/>
                <w:bCs/>
              </w:rPr>
              <w:t>Survey data on firms’ cost structures and cash reserves</w:t>
            </w:r>
          </w:p>
          <w:p w14:paraId="6DF324AB" w14:textId="1E384DF4" w:rsidR="00B7297A" w:rsidRPr="00B7297A" w:rsidRDefault="3F2A3D71" w:rsidP="00290F2E">
            <w:pPr>
              <w:numPr>
                <w:ilvl w:val="0"/>
                <w:numId w:val="29"/>
              </w:numPr>
              <w:spacing w:after="120" w:line="240" w:lineRule="auto"/>
            </w:pPr>
            <w:r>
              <w:t>The Annual Enterprise Survey (AES)</w:t>
            </w:r>
            <w:r w:rsidR="60816F31" w:rsidRPr="371AF6ED">
              <w:rPr>
                <w:rStyle w:val="FootnoteReference"/>
              </w:rPr>
              <w:footnoteReference w:id="3"/>
            </w:r>
            <w:r>
              <w:t xml:space="preserve"> provided insight into the fixed, variable, and wage costs </w:t>
            </w:r>
            <w:r w:rsidR="0040D0D2">
              <w:t xml:space="preserve">usually </w:t>
            </w:r>
            <w:r>
              <w:t>faced by firms of varying size, allowing us to understand the scale of need when normal revenue streams are disrupted.</w:t>
            </w:r>
          </w:p>
          <w:p w14:paraId="23D2A3FE" w14:textId="1CDF931C" w:rsidR="00B7297A" w:rsidRPr="00B7297A" w:rsidRDefault="60816F31" w:rsidP="00290F2E">
            <w:pPr>
              <w:numPr>
                <w:ilvl w:val="0"/>
                <w:numId w:val="29"/>
              </w:numPr>
              <w:spacing w:after="120" w:line="240" w:lineRule="auto"/>
            </w:pPr>
            <w:r>
              <w:t>This gave quantitative support to insights gathered through stakeholder engagement about the difficulty in meeting fixed costs under</w:t>
            </w:r>
            <w:r w:rsidR="7E09FE51">
              <w:t xml:space="preserve"> higher</w:t>
            </w:r>
            <w:r>
              <w:t xml:space="preserve"> Alert Level restrictions.</w:t>
            </w:r>
          </w:p>
          <w:p w14:paraId="62EA107A" w14:textId="7D5B1ED1" w:rsidR="00B7297A" w:rsidRPr="00B7297A" w:rsidRDefault="3F2A3D71" w:rsidP="00290F2E">
            <w:pPr>
              <w:numPr>
                <w:ilvl w:val="0"/>
                <w:numId w:val="29"/>
              </w:numPr>
              <w:spacing w:after="120" w:line="240" w:lineRule="auto"/>
            </w:pPr>
            <w:r>
              <w:t>Better 4 Business (B4B)</w:t>
            </w:r>
            <w:r w:rsidR="60816F31" w:rsidRPr="371AF6ED">
              <w:rPr>
                <w:rStyle w:val="FootnoteReference"/>
              </w:rPr>
              <w:footnoteReference w:id="4"/>
            </w:r>
            <w:r>
              <w:t xml:space="preserve"> research into firms’ cash reserves also echoed messages from stakeholders concerning balance sheet stress and eroded financial resilience.</w:t>
            </w:r>
            <w:r w:rsidR="460E5352">
              <w:t xml:space="preserve"> </w:t>
            </w:r>
          </w:p>
          <w:p w14:paraId="4AEA1449" w14:textId="697CFFCF" w:rsidR="460E5352" w:rsidRDefault="460E5352" w:rsidP="00525F4D">
            <w:pPr>
              <w:spacing w:after="120" w:line="240" w:lineRule="auto"/>
            </w:pPr>
            <w:r>
              <w:t>This evidence supported the case for grant-based support.</w:t>
            </w:r>
          </w:p>
          <w:p w14:paraId="488703EB" w14:textId="7B6E9105" w:rsidR="00B7297A" w:rsidRPr="00B7297A" w:rsidRDefault="60816F31" w:rsidP="00525F4D">
            <w:pPr>
              <w:spacing w:after="120" w:line="240" w:lineRule="auto"/>
              <w:rPr>
                <w:b/>
                <w:bCs/>
              </w:rPr>
            </w:pPr>
            <w:r w:rsidRPr="342C5B05">
              <w:rPr>
                <w:b/>
                <w:bCs/>
              </w:rPr>
              <w:t>Modelling and analysis of the macro and microeconomic impacts of Alert Levels on the economy.</w:t>
            </w:r>
          </w:p>
          <w:p w14:paraId="1EEEBF5B" w14:textId="508590CB" w:rsidR="3244AE17" w:rsidRDefault="3244AE17" w:rsidP="00290F2E">
            <w:pPr>
              <w:numPr>
                <w:ilvl w:val="0"/>
                <w:numId w:val="8"/>
              </w:numPr>
              <w:spacing w:after="120" w:line="240" w:lineRule="auto"/>
            </w:pPr>
            <w:r>
              <w:lastRenderedPageBreak/>
              <w:t xml:space="preserve">The </w:t>
            </w:r>
            <w:r w:rsidR="60816F31">
              <w:t xml:space="preserve">Treasury prepared estimates of economic activity under </w:t>
            </w:r>
            <w:r w:rsidR="5943686A">
              <w:t xml:space="preserve">different </w:t>
            </w:r>
            <w:r w:rsidR="60816F31">
              <w:t>A</w:t>
            </w:r>
            <w:r w:rsidR="5DCD8A0C">
              <w:t xml:space="preserve">lert </w:t>
            </w:r>
            <w:r w:rsidR="60816F31">
              <w:t>L</w:t>
            </w:r>
            <w:r w:rsidR="7A0142A0">
              <w:t>evel</w:t>
            </w:r>
            <w:r w:rsidR="60816F31">
              <w:t>s for each industry</w:t>
            </w:r>
            <w:r w:rsidR="292BC8CE">
              <w:t xml:space="preserve"> at regular intervals during 2020</w:t>
            </w:r>
            <w:r w:rsidR="534E72E0">
              <w:t>, updating the analysis as new data became available</w:t>
            </w:r>
            <w:r w:rsidR="60816F31">
              <w:t xml:space="preserve">. </w:t>
            </w:r>
          </w:p>
          <w:p w14:paraId="55428E98" w14:textId="1D45F62E" w:rsidR="60816F31" w:rsidRDefault="60816F31" w:rsidP="00290F2E">
            <w:pPr>
              <w:numPr>
                <w:ilvl w:val="0"/>
                <w:numId w:val="30"/>
              </w:numPr>
              <w:spacing w:after="120" w:line="240" w:lineRule="auto"/>
              <w:rPr>
                <w:rFonts w:eastAsia="Arial" w:cs="Arial"/>
                <w:szCs w:val="22"/>
              </w:rPr>
            </w:pPr>
            <w:r>
              <w:t>These estimates</w:t>
            </w:r>
            <w:r w:rsidR="25525EBF">
              <w:t xml:space="preserve"> were initially</w:t>
            </w:r>
            <w:r>
              <w:t xml:space="preserve"> assumption-driven, based on macroeconomic data</w:t>
            </w:r>
            <w:r w:rsidR="0CEA830D">
              <w:t xml:space="preserve">, and </w:t>
            </w:r>
            <w:r w:rsidR="73BDD1E7">
              <w:t>we</w:t>
            </w:r>
            <w:r w:rsidR="0CEA830D">
              <w:t>re updated as</w:t>
            </w:r>
            <w:r>
              <w:t xml:space="preserve"> new data</w:t>
            </w:r>
            <w:r w:rsidR="785DF58B">
              <w:t xml:space="preserve"> (including high frequency indicators and information on the uptake of the Government’s financial support)</w:t>
            </w:r>
            <w:r>
              <w:t xml:space="preserve"> enable</w:t>
            </w:r>
            <w:r w:rsidR="684D7241">
              <w:t>d</w:t>
            </w:r>
            <w:r>
              <w:t xml:space="preserve"> re-examin</w:t>
            </w:r>
            <w:r w:rsidR="626C9010">
              <w:t>ation of</w:t>
            </w:r>
            <w:r>
              <w:t xml:space="preserve"> previous assumptions. </w:t>
            </w:r>
          </w:p>
          <w:p w14:paraId="2396A8A0" w14:textId="56DB0029" w:rsidR="0062657E" w:rsidRPr="00210C3D" w:rsidRDefault="3F2A3D71" w:rsidP="00290F2E">
            <w:pPr>
              <w:numPr>
                <w:ilvl w:val="0"/>
                <w:numId w:val="30"/>
              </w:numPr>
              <w:spacing w:after="120" w:line="240" w:lineRule="auto"/>
              <w:rPr>
                <w:rFonts w:eastAsia="Arial" w:cs="Arial"/>
                <w:b/>
                <w:bCs/>
              </w:rPr>
            </w:pPr>
            <w:r>
              <w:t>The Treasury also commissioned modelling of the impacts of border closure and Alert Level settings on sectors and regions of the economy, which was conclusive in demonstrating impacts across all sectors and particularly acute effects on tourism and hospitality firms.</w:t>
            </w:r>
            <w:r w:rsidR="623A020B">
              <w:t xml:space="preserve"> This analysis is not yet published.</w:t>
            </w:r>
          </w:p>
        </w:tc>
      </w:tr>
    </w:tbl>
    <w:p w14:paraId="6DD276F7" w14:textId="77777777" w:rsidR="0062657E" w:rsidRPr="00743278" w:rsidRDefault="0062657E" w:rsidP="00743278">
      <w:pPr>
        <w:pStyle w:val="spacer"/>
      </w:pPr>
    </w:p>
    <w:p w14:paraId="2D17A8DC" w14:textId="77777777" w:rsidR="004363DA" w:rsidRDefault="004363DA" w:rsidP="007B090A">
      <w:pPr>
        <w:spacing w:line="276" w:lineRule="auto"/>
        <w:rPr>
          <w:i/>
          <w:szCs w:val="22"/>
        </w:rPr>
      </w:pPr>
    </w:p>
    <w:p w14:paraId="3E2AE18F" w14:textId="2E41CB0E" w:rsidR="0062657E" w:rsidRPr="00210C3D" w:rsidRDefault="0062657E" w:rsidP="007B090A">
      <w:pPr>
        <w:spacing w:line="276" w:lineRule="auto"/>
        <w:rPr>
          <w:rFonts w:ascii="Arial Narrow" w:hAnsi="Arial Narrow"/>
          <w:i/>
          <w:szCs w:val="22"/>
        </w:rPr>
      </w:pPr>
      <w:r w:rsidRPr="00210C3D">
        <w:rPr>
          <w:i/>
          <w:szCs w:val="22"/>
        </w:rPr>
        <w:t>To be completed by quality assurers:</w:t>
      </w:r>
    </w:p>
    <w:tbl>
      <w:tblPr>
        <w:tblW w:w="9072" w:type="dxa"/>
        <w:tblInd w:w="10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A0" w:firstRow="1" w:lastRow="0" w:firstColumn="1" w:lastColumn="0" w:noHBand="0" w:noVBand="1"/>
      </w:tblPr>
      <w:tblGrid>
        <w:gridCol w:w="9072"/>
      </w:tblGrid>
      <w:tr w:rsidR="00210C3D" w:rsidRPr="00210C3D" w14:paraId="634412D0" w14:textId="77777777" w:rsidTr="42A004F7">
        <w:trPr>
          <w:trHeight w:val="77"/>
        </w:trPr>
        <w:tc>
          <w:tcPr>
            <w:tcW w:w="9072" w:type="dxa"/>
            <w:shd w:val="clear" w:color="auto" w:fill="99CDDD"/>
            <w:hideMark/>
          </w:tcPr>
          <w:p w14:paraId="0E1C004C" w14:textId="77777777" w:rsidR="0062657E" w:rsidRPr="00210C3D" w:rsidRDefault="0062657E" w:rsidP="006356D0">
            <w:pPr>
              <w:keepNext/>
              <w:spacing w:before="60" w:after="60" w:line="240" w:lineRule="auto"/>
              <w:rPr>
                <w:szCs w:val="22"/>
              </w:rPr>
            </w:pPr>
            <w:r w:rsidRPr="00210C3D">
              <w:rPr>
                <w:szCs w:val="22"/>
              </w:rPr>
              <w:t>Quality Assurance Reviewing Agency:</w:t>
            </w:r>
          </w:p>
        </w:tc>
      </w:tr>
      <w:tr w:rsidR="00210C3D" w:rsidRPr="00210C3D" w14:paraId="4BAF0379" w14:textId="77777777" w:rsidTr="42A004F7">
        <w:trPr>
          <w:trHeight w:val="635"/>
        </w:trPr>
        <w:tc>
          <w:tcPr>
            <w:tcW w:w="9072" w:type="dxa"/>
            <w:shd w:val="clear" w:color="auto" w:fill="FFFFFF" w:themeFill="background1"/>
          </w:tcPr>
          <w:p w14:paraId="4592A009" w14:textId="315B8565" w:rsidR="0062657E" w:rsidRDefault="6267F866" w:rsidP="42A004F7">
            <w:pPr>
              <w:jc w:val="both"/>
            </w:pPr>
            <w:r w:rsidRPr="42A004F7">
              <w:rPr>
                <w:rFonts w:eastAsia="Arial" w:cs="Arial"/>
                <w:szCs w:val="22"/>
              </w:rPr>
              <w:t>A joint Regulatory Impact Analysis quality assurance panel with representatives from the Treasury and Inland Revenue has reviewed the Supplementary Analysis Report</w:t>
            </w:r>
            <w:r w:rsidRPr="42A004F7">
              <w:rPr>
                <w:rFonts w:eastAsia="Arial" w:cs="Arial"/>
                <w:color w:val="FF0000"/>
                <w:szCs w:val="22"/>
              </w:rPr>
              <w:t xml:space="preserve"> </w:t>
            </w:r>
            <w:r w:rsidRPr="42A004F7">
              <w:rPr>
                <w:rFonts w:eastAsia="Arial" w:cs="Arial"/>
                <w:szCs w:val="22"/>
              </w:rPr>
              <w:t xml:space="preserve">for the above legislative/regulatory proposal in accordance with the quality assurance criteria set out in the </w:t>
            </w:r>
            <w:hyperlink r:id="rId8">
              <w:proofErr w:type="spellStart"/>
              <w:r w:rsidRPr="42A004F7">
                <w:rPr>
                  <w:rStyle w:val="Hyperlink"/>
                  <w:rFonts w:eastAsia="Arial" w:cs="Arial"/>
                  <w:szCs w:val="22"/>
                </w:rPr>
                <w:t>CabGuide</w:t>
              </w:r>
              <w:proofErr w:type="spellEnd"/>
            </w:hyperlink>
            <w:r w:rsidRPr="42A004F7">
              <w:rPr>
                <w:rFonts w:eastAsia="Arial" w:cs="Arial"/>
                <w:szCs w:val="22"/>
              </w:rPr>
              <w:t>.</w:t>
            </w:r>
          </w:p>
          <w:p w14:paraId="25125762" w14:textId="77777777" w:rsidR="001220BD" w:rsidRPr="00210C3D" w:rsidRDefault="001220BD" w:rsidP="00210C3D">
            <w:pPr>
              <w:pStyle w:val="spacer"/>
              <w:spacing w:line="276" w:lineRule="auto"/>
              <w:rPr>
                <w:sz w:val="22"/>
              </w:rPr>
            </w:pPr>
          </w:p>
        </w:tc>
      </w:tr>
      <w:tr w:rsidR="00210C3D" w:rsidRPr="00210C3D" w14:paraId="6C8896B4" w14:textId="77777777" w:rsidTr="42A004F7">
        <w:trPr>
          <w:trHeight w:val="109"/>
        </w:trPr>
        <w:tc>
          <w:tcPr>
            <w:tcW w:w="9072" w:type="dxa"/>
            <w:shd w:val="clear" w:color="auto" w:fill="99CDDD"/>
          </w:tcPr>
          <w:p w14:paraId="14250DA1" w14:textId="77777777" w:rsidR="0062657E" w:rsidRPr="00210C3D" w:rsidRDefault="0062657E" w:rsidP="006356D0">
            <w:pPr>
              <w:keepNext/>
              <w:spacing w:before="60" w:after="60" w:line="240" w:lineRule="auto"/>
              <w:rPr>
                <w:szCs w:val="22"/>
              </w:rPr>
            </w:pPr>
            <w:r w:rsidRPr="00210C3D">
              <w:rPr>
                <w:szCs w:val="22"/>
              </w:rPr>
              <w:t>Quality Assurance Assessment:</w:t>
            </w:r>
          </w:p>
        </w:tc>
      </w:tr>
      <w:tr w:rsidR="00210C3D" w:rsidRPr="00210C3D" w14:paraId="134EAEC9" w14:textId="77777777" w:rsidTr="42A004F7">
        <w:trPr>
          <w:trHeight w:val="681"/>
        </w:trPr>
        <w:tc>
          <w:tcPr>
            <w:tcW w:w="9072" w:type="dxa"/>
            <w:shd w:val="clear" w:color="auto" w:fill="FFFFFF" w:themeFill="background1"/>
          </w:tcPr>
          <w:p w14:paraId="5C285B98" w14:textId="49FF0A67" w:rsidR="001220BD" w:rsidRPr="00210C3D" w:rsidRDefault="03A873D1" w:rsidP="42A004F7">
            <w:pPr>
              <w:spacing w:line="276" w:lineRule="auto"/>
            </w:pPr>
            <w:r w:rsidRPr="42A004F7">
              <w:rPr>
                <w:rFonts w:eastAsia="Arial" w:cs="Arial"/>
                <w:color w:val="000000" w:themeColor="text1"/>
                <w:szCs w:val="22"/>
              </w:rPr>
              <w:t>A joint Regulatory Impact Analysis quality assurance panel with representatives from the Treasury and Inland Revenue</w:t>
            </w:r>
            <w:r w:rsidRPr="42A004F7">
              <w:rPr>
                <w:rFonts w:eastAsia="Arial" w:cs="Arial"/>
                <w:color w:val="FF0000"/>
                <w:szCs w:val="22"/>
              </w:rPr>
              <w:t xml:space="preserve"> </w:t>
            </w:r>
            <w:r w:rsidRPr="42A004F7">
              <w:rPr>
                <w:rFonts w:eastAsia="Arial" w:cs="Arial"/>
                <w:szCs w:val="22"/>
              </w:rPr>
              <w:t xml:space="preserve">has reviewed the Supplementary Analysis Report </w:t>
            </w:r>
            <w:r w:rsidRPr="42A004F7">
              <w:rPr>
                <w:rFonts w:eastAsia="Arial" w:cs="Arial"/>
                <w:color w:val="000000" w:themeColor="text1"/>
                <w:szCs w:val="22"/>
              </w:rPr>
              <w:t>“Resurgence Support Payment Supplementary Analysis Report”</w:t>
            </w:r>
            <w:r w:rsidRPr="42A004F7">
              <w:rPr>
                <w:rFonts w:eastAsia="Arial" w:cs="Arial"/>
                <w:szCs w:val="22"/>
              </w:rPr>
              <w:t xml:space="preserve"> produced by the Treasury and Inland Revenue, </w:t>
            </w:r>
            <w:r w:rsidRPr="42A004F7">
              <w:rPr>
                <w:rFonts w:eastAsia="Arial" w:cs="Arial"/>
                <w:color w:val="000000" w:themeColor="text1"/>
                <w:szCs w:val="22"/>
              </w:rPr>
              <w:t xml:space="preserve">dated 28 January 2021. The panel considers that it </w:t>
            </w:r>
            <w:r w:rsidRPr="42A004F7">
              <w:rPr>
                <w:rFonts w:eastAsia="Arial" w:cs="Arial"/>
                <w:b/>
                <w:bCs/>
                <w:color w:val="000000" w:themeColor="text1"/>
                <w:szCs w:val="22"/>
              </w:rPr>
              <w:t>meets</w:t>
            </w:r>
            <w:r w:rsidRPr="42A004F7">
              <w:rPr>
                <w:rFonts w:eastAsia="Arial" w:cs="Arial"/>
                <w:color w:val="000000" w:themeColor="text1"/>
                <w:szCs w:val="22"/>
              </w:rPr>
              <w:t xml:space="preserve"> the Cabinet requirements to support its decision.</w:t>
            </w:r>
          </w:p>
        </w:tc>
      </w:tr>
      <w:tr w:rsidR="00210C3D" w:rsidRPr="00210C3D" w14:paraId="6A1BD382" w14:textId="77777777" w:rsidTr="42A004F7">
        <w:trPr>
          <w:trHeight w:val="56"/>
        </w:trPr>
        <w:tc>
          <w:tcPr>
            <w:tcW w:w="9072" w:type="dxa"/>
            <w:shd w:val="clear" w:color="auto" w:fill="99CDDD"/>
          </w:tcPr>
          <w:p w14:paraId="4C942352" w14:textId="49B6E47E" w:rsidR="0062657E" w:rsidRPr="00210C3D" w:rsidRDefault="0062657E" w:rsidP="006356D0">
            <w:pPr>
              <w:keepNext/>
              <w:spacing w:before="60" w:after="60" w:line="240" w:lineRule="auto"/>
              <w:rPr>
                <w:szCs w:val="22"/>
              </w:rPr>
            </w:pPr>
            <w:r w:rsidRPr="00210C3D">
              <w:rPr>
                <w:szCs w:val="22"/>
              </w:rPr>
              <w:t>Reviewer Comments and Recommendations:</w:t>
            </w:r>
          </w:p>
        </w:tc>
      </w:tr>
      <w:tr w:rsidR="00210C3D" w:rsidRPr="00210C3D" w14:paraId="30E7857C" w14:textId="77777777" w:rsidTr="42A004F7">
        <w:trPr>
          <w:trHeight w:val="665"/>
        </w:trPr>
        <w:tc>
          <w:tcPr>
            <w:tcW w:w="9072" w:type="dxa"/>
            <w:shd w:val="clear" w:color="auto" w:fill="FFFFFF" w:themeFill="background1"/>
          </w:tcPr>
          <w:p w14:paraId="488E1072" w14:textId="65CCA4D3" w:rsidR="0062657E" w:rsidRDefault="00152291" w:rsidP="00431CA7">
            <w:r>
              <w:t>No further comments.</w:t>
            </w:r>
          </w:p>
          <w:p w14:paraId="03336B88" w14:textId="77777777" w:rsidR="00106F44" w:rsidRDefault="00106F44" w:rsidP="00431CA7"/>
          <w:p w14:paraId="0D19C6AD" w14:textId="77777777" w:rsidR="001220BD" w:rsidRPr="00210C3D" w:rsidRDefault="001220BD" w:rsidP="00210C3D">
            <w:pPr>
              <w:pStyle w:val="spacer"/>
              <w:spacing w:line="276" w:lineRule="auto"/>
              <w:rPr>
                <w:sz w:val="22"/>
              </w:rPr>
            </w:pPr>
          </w:p>
        </w:tc>
      </w:tr>
    </w:tbl>
    <w:p w14:paraId="3CF8A716" w14:textId="454ACA9F" w:rsidR="0062657E" w:rsidRPr="00210C3D" w:rsidRDefault="0062657E" w:rsidP="00AA6A54">
      <w:pPr>
        <w:pStyle w:val="spacer"/>
      </w:pPr>
    </w:p>
    <w:p w14:paraId="5F1FE34B" w14:textId="28612784" w:rsidR="00AA6A54" w:rsidRPr="009C4129" w:rsidRDefault="00D9349D" w:rsidP="00D9349D">
      <w:pPr>
        <w:pStyle w:val="Heading1"/>
        <w:pageBreakBefore/>
        <w:spacing w:after="120" w:line="276" w:lineRule="auto"/>
      </w:pPr>
      <w:r>
        <w:rPr>
          <w:color w:val="0082AB"/>
        </w:rPr>
        <w:lastRenderedPageBreak/>
        <w:t>Supplementary Analysis</w:t>
      </w:r>
      <w:r w:rsidR="00210C3D">
        <w:rPr>
          <w:color w:val="0082AB"/>
        </w:rPr>
        <w:t>:</w:t>
      </w:r>
      <w:r w:rsidR="0062657E" w:rsidRPr="0005691A">
        <w:rPr>
          <w:color w:val="0082AB"/>
        </w:rPr>
        <w:t xml:space="preserve"> </w:t>
      </w:r>
      <w:r>
        <w:rPr>
          <w:color w:val="0082AB"/>
        </w:rPr>
        <w:t xml:space="preserve">Resurgence Support Payment </w:t>
      </w:r>
    </w:p>
    <w:p w14:paraId="124B02E2" w14:textId="77777777" w:rsidR="0062657E" w:rsidRPr="0005691A" w:rsidRDefault="0062657E" w:rsidP="00362498">
      <w:pPr>
        <w:pStyle w:val="Heading2"/>
      </w:pPr>
      <w:r w:rsidRPr="0005691A">
        <w:t>Section 1: General information</w:t>
      </w:r>
    </w:p>
    <w:tbl>
      <w:tblPr>
        <w:tblW w:w="4885" w:type="pct"/>
        <w:tblInd w:w="10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A0" w:firstRow="1" w:lastRow="0" w:firstColumn="1" w:lastColumn="0" w:noHBand="0" w:noVBand="1"/>
      </w:tblPr>
      <w:tblGrid>
        <w:gridCol w:w="9186"/>
      </w:tblGrid>
      <w:tr w:rsidR="0062657E" w:rsidRPr="009C4129" w14:paraId="23A9B3A2" w14:textId="77777777" w:rsidTr="01C3232A">
        <w:tc>
          <w:tcPr>
            <w:tcW w:w="5000" w:type="pct"/>
            <w:shd w:val="clear" w:color="auto" w:fill="99CDDD"/>
            <w:hideMark/>
          </w:tcPr>
          <w:p w14:paraId="62BA6460" w14:textId="2102FBEE" w:rsidR="0062657E" w:rsidRPr="009C4129" w:rsidRDefault="00216981" w:rsidP="00290F2E">
            <w:pPr>
              <w:keepNext/>
              <w:numPr>
                <w:ilvl w:val="1"/>
                <w:numId w:val="6"/>
              </w:numPr>
              <w:spacing w:before="60" w:after="60" w:line="240" w:lineRule="auto"/>
              <w:ind w:left="357" w:hanging="357"/>
              <w:rPr>
                <w:rFonts w:cs="Arial"/>
                <w:b/>
                <w:szCs w:val="22"/>
              </w:rPr>
            </w:pPr>
            <w:r>
              <w:rPr>
                <w:rFonts w:cs="Arial"/>
                <w:b/>
                <w:szCs w:val="22"/>
              </w:rPr>
              <w:t xml:space="preserve">  </w:t>
            </w:r>
            <w:r w:rsidR="0062657E" w:rsidRPr="009C4129">
              <w:rPr>
                <w:rFonts w:cs="Arial"/>
                <w:b/>
                <w:szCs w:val="22"/>
              </w:rPr>
              <w:t>Purpose</w:t>
            </w:r>
          </w:p>
        </w:tc>
      </w:tr>
      <w:tr w:rsidR="0062657E" w:rsidRPr="009C4129" w14:paraId="7BCFA217" w14:textId="77777777" w:rsidTr="01C3232A">
        <w:trPr>
          <w:trHeight w:val="680"/>
        </w:trPr>
        <w:tc>
          <w:tcPr>
            <w:tcW w:w="5000" w:type="pct"/>
            <w:tcBorders>
              <w:bottom w:val="single" w:sz="4" w:space="0" w:color="DDDDDD"/>
            </w:tcBorders>
            <w:shd w:val="clear" w:color="auto" w:fill="EBF5F8"/>
          </w:tcPr>
          <w:p w14:paraId="05251CD4" w14:textId="319F56FB" w:rsidR="0062657E" w:rsidRPr="00FF1BA4" w:rsidRDefault="0062657E" w:rsidP="00FF1BA4">
            <w:pPr>
              <w:spacing w:after="120" w:line="276" w:lineRule="auto"/>
              <w:rPr>
                <w:rFonts w:cs="Arial"/>
                <w:szCs w:val="22"/>
              </w:rPr>
            </w:pPr>
          </w:p>
        </w:tc>
      </w:tr>
      <w:tr w:rsidR="006356D0" w:rsidRPr="009C4129" w14:paraId="62DA1CD0" w14:textId="77777777" w:rsidTr="01C3232A">
        <w:trPr>
          <w:trHeight w:val="680"/>
        </w:trPr>
        <w:tc>
          <w:tcPr>
            <w:tcW w:w="5000" w:type="pct"/>
            <w:shd w:val="clear" w:color="auto" w:fill="auto"/>
          </w:tcPr>
          <w:p w14:paraId="48D8A4C3" w14:textId="77777777" w:rsidR="00FF1BA4" w:rsidRPr="009C4129" w:rsidRDefault="422EBD63" w:rsidP="007D0E0B">
            <w:pPr>
              <w:spacing w:after="120" w:line="240" w:lineRule="auto"/>
              <w:rPr>
                <w:rFonts w:cs="Arial"/>
                <w:i/>
                <w:iCs/>
              </w:rPr>
            </w:pPr>
            <w:r w:rsidRPr="01C3232A">
              <w:rPr>
                <w:rFonts w:cs="Arial"/>
                <w:color w:val="000000" w:themeColor="text1"/>
              </w:rPr>
              <w:t>The Treasury and Inland Revenue are solely responsible for the analysis and advice set out in this Regulatory Impact Statement, except as otherwise explicitly indicated. This analysis and advice has been produced for the purpose of informing:</w:t>
            </w:r>
            <w:r w:rsidRPr="01C3232A">
              <w:rPr>
                <w:rFonts w:cs="Arial"/>
                <w:color w:val="F79646"/>
              </w:rPr>
              <w:t xml:space="preserve"> </w:t>
            </w:r>
          </w:p>
          <w:p w14:paraId="6E68F52C" w14:textId="77777777" w:rsidR="00FF1BA4" w:rsidRPr="00FF1BA4" w:rsidRDefault="00FF1BA4" w:rsidP="007D0E0B">
            <w:pPr>
              <w:pStyle w:val="ListParagraph"/>
              <w:numPr>
                <w:ilvl w:val="0"/>
                <w:numId w:val="48"/>
              </w:numPr>
              <w:spacing w:after="120" w:line="240" w:lineRule="auto"/>
              <w:contextualSpacing w:val="0"/>
            </w:pPr>
            <w:r w:rsidRPr="009C4129">
              <w:rPr>
                <w:rFonts w:cs="Arial"/>
                <w:szCs w:val="22"/>
              </w:rPr>
              <w:t>stakeholders to be consulted on a government exposure draft of planned legislation</w:t>
            </w:r>
            <w:r>
              <w:rPr>
                <w:rFonts w:cs="Arial"/>
                <w:szCs w:val="22"/>
              </w:rPr>
              <w:t xml:space="preserve"> (amendments to the Tax Administration Act 1994)</w:t>
            </w:r>
          </w:p>
          <w:p w14:paraId="7AC7ECF3" w14:textId="1709CF78" w:rsidR="006356D0" w:rsidRPr="00384E9B" w:rsidRDefault="00FF1BA4" w:rsidP="007D0E0B">
            <w:pPr>
              <w:pStyle w:val="ListParagraph"/>
              <w:numPr>
                <w:ilvl w:val="0"/>
                <w:numId w:val="48"/>
              </w:numPr>
              <w:spacing w:after="120" w:line="240" w:lineRule="auto"/>
              <w:contextualSpacing w:val="0"/>
            </w:pPr>
            <w:r w:rsidRPr="009C4129">
              <w:rPr>
                <w:rFonts w:cs="Arial"/>
                <w:szCs w:val="22"/>
              </w:rPr>
              <w:t>final decisions to proceed with a policy change to be t</w:t>
            </w:r>
            <w:r>
              <w:rPr>
                <w:rFonts w:cs="Arial"/>
                <w:szCs w:val="22"/>
              </w:rPr>
              <w:t>aken by or on behalf of Cabinet</w:t>
            </w:r>
          </w:p>
        </w:tc>
      </w:tr>
    </w:tbl>
    <w:p w14:paraId="678A4B95" w14:textId="4C718693" w:rsidR="009C4129" w:rsidRPr="009C4129" w:rsidRDefault="009C4129" w:rsidP="0049234F">
      <w:pPr>
        <w:pStyle w:val="spacer"/>
      </w:pPr>
    </w:p>
    <w:tbl>
      <w:tblPr>
        <w:tblW w:w="4885" w:type="pct"/>
        <w:tblInd w:w="10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A0" w:firstRow="1" w:lastRow="0" w:firstColumn="1" w:lastColumn="0" w:noHBand="0" w:noVBand="1"/>
      </w:tblPr>
      <w:tblGrid>
        <w:gridCol w:w="9186"/>
      </w:tblGrid>
      <w:tr w:rsidR="0062657E" w:rsidRPr="009C4129" w14:paraId="0C139B51" w14:textId="77777777" w:rsidTr="42A004F7">
        <w:tc>
          <w:tcPr>
            <w:tcW w:w="5000" w:type="pct"/>
            <w:shd w:val="clear" w:color="auto" w:fill="99CDDD"/>
            <w:hideMark/>
          </w:tcPr>
          <w:p w14:paraId="3F827D74" w14:textId="24EC6920" w:rsidR="0062657E" w:rsidRPr="009C4129" w:rsidRDefault="00216981" w:rsidP="00020F75">
            <w:pPr>
              <w:keepNext/>
              <w:spacing w:before="60" w:after="60" w:line="240" w:lineRule="auto"/>
              <w:rPr>
                <w:rFonts w:cs="Arial"/>
                <w:b/>
                <w:color w:val="002060"/>
                <w:szCs w:val="22"/>
              </w:rPr>
            </w:pPr>
            <w:r w:rsidRPr="371AF6ED">
              <w:rPr>
                <w:rFonts w:cs="Arial"/>
                <w:b/>
                <w:bCs/>
              </w:rPr>
              <w:lastRenderedPageBreak/>
              <w:t xml:space="preserve">1.2   </w:t>
            </w:r>
            <w:r w:rsidR="0062657E" w:rsidRPr="371AF6ED">
              <w:rPr>
                <w:rFonts w:cs="Arial"/>
                <w:b/>
                <w:bCs/>
              </w:rPr>
              <w:t>Key Limitations or Constraints on Analysis</w:t>
            </w:r>
          </w:p>
        </w:tc>
      </w:tr>
      <w:tr w:rsidR="0062657E" w:rsidRPr="009C4129" w14:paraId="6510C415" w14:textId="77777777" w:rsidTr="42A004F7">
        <w:trPr>
          <w:trHeight w:val="680"/>
        </w:trPr>
        <w:tc>
          <w:tcPr>
            <w:tcW w:w="5000" w:type="pct"/>
            <w:shd w:val="clear" w:color="auto" w:fill="EBF5F8"/>
          </w:tcPr>
          <w:p w14:paraId="324390A4" w14:textId="0355600D" w:rsidR="0062657E" w:rsidRPr="009C4129" w:rsidRDefault="0062657E" w:rsidP="004363DA">
            <w:pPr>
              <w:keepNext/>
              <w:spacing w:after="120" w:line="276" w:lineRule="auto"/>
              <w:contextualSpacing/>
              <w:rPr>
                <w:rFonts w:cs="Arial"/>
                <w:i/>
                <w:szCs w:val="22"/>
              </w:rPr>
            </w:pPr>
          </w:p>
        </w:tc>
      </w:tr>
      <w:tr w:rsidR="0062657E" w:rsidRPr="009C4129" w14:paraId="17FFDFE6" w14:textId="77777777" w:rsidTr="42A004F7">
        <w:trPr>
          <w:trHeight w:val="13273"/>
        </w:trPr>
        <w:tc>
          <w:tcPr>
            <w:tcW w:w="5000" w:type="pct"/>
            <w:shd w:val="clear" w:color="auto" w:fill="auto"/>
          </w:tcPr>
          <w:p w14:paraId="513FE804" w14:textId="1817DA5E" w:rsidR="00DF6257" w:rsidRDefault="75585BBF" w:rsidP="00290F2E">
            <w:pPr>
              <w:pStyle w:val="ListParagraph"/>
              <w:keepNext/>
              <w:numPr>
                <w:ilvl w:val="0"/>
                <w:numId w:val="14"/>
              </w:numPr>
              <w:spacing w:after="120" w:line="240" w:lineRule="auto"/>
              <w:contextualSpacing w:val="0"/>
              <w:rPr>
                <w:rFonts w:eastAsia="Arial" w:cs="Arial"/>
                <w:i/>
                <w:szCs w:val="22"/>
              </w:rPr>
            </w:pPr>
            <w:r w:rsidRPr="371AF6ED">
              <w:rPr>
                <w:rFonts w:cs="Arial"/>
                <w:i/>
                <w:iCs/>
              </w:rPr>
              <w:t xml:space="preserve">What issues are in or out of scope? </w:t>
            </w:r>
            <w:r w:rsidR="12E0EAE0" w:rsidRPr="371AF6ED">
              <w:rPr>
                <w:rFonts w:cs="Arial"/>
                <w:i/>
                <w:iCs/>
              </w:rPr>
              <w:t>e.g.</w:t>
            </w:r>
            <w:r w:rsidRPr="371AF6ED">
              <w:rPr>
                <w:rFonts w:cs="Arial"/>
                <w:i/>
                <w:iCs/>
              </w:rPr>
              <w:t>, Ministers may already have ruled out certain issues</w:t>
            </w:r>
            <w:r w:rsidR="07F17E93" w:rsidRPr="371AF6ED">
              <w:rPr>
                <w:rFonts w:cs="Arial"/>
                <w:i/>
                <w:iCs/>
              </w:rPr>
              <w:t>.</w:t>
            </w:r>
          </w:p>
          <w:p w14:paraId="13AAA524" w14:textId="250988C3" w:rsidR="00DF6257" w:rsidRPr="00290F2E" w:rsidRDefault="07F17E93" w:rsidP="00290F2E">
            <w:pPr>
              <w:numPr>
                <w:ilvl w:val="0"/>
                <w:numId w:val="14"/>
              </w:numPr>
              <w:spacing w:after="120" w:line="240" w:lineRule="auto"/>
              <w:rPr>
                <w:rFonts w:eastAsia="Arial" w:cs="Arial"/>
                <w:i/>
              </w:rPr>
            </w:pPr>
            <w:r w:rsidRPr="371AF6ED">
              <w:rPr>
                <w:rFonts w:cs="Arial"/>
                <w:i/>
                <w:iCs/>
              </w:rPr>
              <w:t xml:space="preserve">What are the limitations on the range of options considered and the criteria used to assess </w:t>
            </w:r>
            <w:r w:rsidR="71F2392B" w:rsidRPr="4C32BCAC">
              <w:rPr>
                <w:rFonts w:cs="Arial"/>
                <w:i/>
                <w:iCs/>
              </w:rPr>
              <w:t>options?</w:t>
            </w:r>
          </w:p>
          <w:p w14:paraId="6DAB9A1A" w14:textId="5EC4D8FB" w:rsidR="00DF6257" w:rsidRPr="00290F2E" w:rsidRDefault="3F5340CB" w:rsidP="00290F2E">
            <w:pPr>
              <w:keepNext/>
              <w:spacing w:before="120" w:after="120" w:line="240" w:lineRule="auto"/>
              <w:rPr>
                <w:rFonts w:cs="Arial"/>
              </w:rPr>
            </w:pPr>
            <w:r w:rsidRPr="371AF6ED">
              <w:rPr>
                <w:rFonts w:cs="Arial"/>
              </w:rPr>
              <w:t xml:space="preserve">The </w:t>
            </w:r>
            <w:r w:rsidR="00171A36">
              <w:rPr>
                <w:rFonts w:cs="Arial"/>
              </w:rPr>
              <w:t>RSP</w:t>
            </w:r>
            <w:r w:rsidRPr="371AF6ED">
              <w:rPr>
                <w:rFonts w:cs="Arial"/>
              </w:rPr>
              <w:t xml:space="preserve"> was recommended following direction from the Minister of Finance to deploy a new economic response </w:t>
            </w:r>
            <w:r w:rsidR="1AA21310" w:rsidRPr="371AF6ED">
              <w:rPr>
                <w:rFonts w:cs="Arial"/>
              </w:rPr>
              <w:t>initiative</w:t>
            </w:r>
            <w:r w:rsidRPr="371AF6ED">
              <w:rPr>
                <w:rFonts w:cs="Arial"/>
              </w:rPr>
              <w:t xml:space="preserve"> that </w:t>
            </w:r>
            <w:r w:rsidR="5A251083" w:rsidRPr="371AF6ED">
              <w:rPr>
                <w:rFonts w:cs="Arial"/>
              </w:rPr>
              <w:t xml:space="preserve">was limited in scope to </w:t>
            </w:r>
            <w:r w:rsidR="525E3BEE" w:rsidRPr="56B81B8F">
              <w:rPr>
                <w:rFonts w:cs="Arial"/>
              </w:rPr>
              <w:t>support</w:t>
            </w:r>
            <w:r w:rsidRPr="371AF6ED">
              <w:rPr>
                <w:rFonts w:cs="Arial"/>
              </w:rPr>
              <w:t xml:space="preserve"> the transition of viable firms</w:t>
            </w:r>
            <w:r w:rsidR="053A8D6D" w:rsidRPr="371AF6ED">
              <w:rPr>
                <w:rFonts w:cs="Arial"/>
              </w:rPr>
              <w:t xml:space="preserve"> to new economic settings</w:t>
            </w:r>
            <w:r w:rsidRPr="371AF6ED">
              <w:rPr>
                <w:rFonts w:cs="Arial"/>
              </w:rPr>
              <w:t xml:space="preserve">; </w:t>
            </w:r>
            <w:r w:rsidR="611F9760" w:rsidRPr="371AF6ED">
              <w:rPr>
                <w:rFonts w:cs="Arial"/>
              </w:rPr>
              <w:t xml:space="preserve">be </w:t>
            </w:r>
            <w:r w:rsidRPr="371AF6ED">
              <w:rPr>
                <w:rFonts w:cs="Arial"/>
              </w:rPr>
              <w:t>flexible to support f</w:t>
            </w:r>
            <w:r w:rsidR="4FC881D2" w:rsidRPr="371AF6ED">
              <w:rPr>
                <w:rFonts w:cs="Arial"/>
              </w:rPr>
              <w:t xml:space="preserve">irms in </w:t>
            </w:r>
            <w:r w:rsidR="5BFF774F" w:rsidRPr="371AF6ED">
              <w:rPr>
                <w:rFonts w:cs="Arial"/>
              </w:rPr>
              <w:t>higher</w:t>
            </w:r>
            <w:r w:rsidR="4FC881D2" w:rsidRPr="371AF6ED">
              <w:rPr>
                <w:rFonts w:cs="Arial"/>
              </w:rPr>
              <w:t xml:space="preserve"> Alert Level </w:t>
            </w:r>
            <w:r w:rsidRPr="371AF6ED">
              <w:rPr>
                <w:rFonts w:cs="Arial"/>
              </w:rPr>
              <w:t xml:space="preserve">settings, </w:t>
            </w:r>
            <w:r w:rsidR="3CB4DFEB" w:rsidRPr="56B81B8F">
              <w:rPr>
                <w:rFonts w:cs="Arial"/>
              </w:rPr>
              <w:t>be</w:t>
            </w:r>
            <w:r w:rsidRPr="371AF6ED">
              <w:rPr>
                <w:rFonts w:cs="Arial"/>
              </w:rPr>
              <w:t xml:space="preserve"> fiscally sustainable; and readily deployable. </w:t>
            </w:r>
            <w:r w:rsidR="6569C9C2" w:rsidRPr="371AF6ED">
              <w:rPr>
                <w:rFonts w:cs="Arial"/>
              </w:rPr>
              <w:t xml:space="preserve"> This </w:t>
            </w:r>
            <w:r w:rsidR="2EDDA6C7" w:rsidRPr="371AF6ED">
              <w:rPr>
                <w:rFonts w:cs="Arial"/>
              </w:rPr>
              <w:t xml:space="preserve">limited the options to forms of support that could reach affected businesses quickly, </w:t>
            </w:r>
            <w:r w:rsidR="04F9536D" w:rsidRPr="371AF6ED">
              <w:rPr>
                <w:rFonts w:cs="Arial"/>
              </w:rPr>
              <w:t>and therefore risk issuing payments to firms who may not always need it</w:t>
            </w:r>
            <w:r w:rsidR="3729337B" w:rsidRPr="371AF6ED">
              <w:rPr>
                <w:rFonts w:cs="Arial"/>
              </w:rPr>
              <w:t>. H</w:t>
            </w:r>
            <w:r w:rsidR="04F9536D" w:rsidRPr="371AF6ED">
              <w:rPr>
                <w:rFonts w:cs="Arial"/>
              </w:rPr>
              <w:t>owever</w:t>
            </w:r>
            <w:r w:rsidR="133B5E5D" w:rsidRPr="5BDE974A">
              <w:rPr>
                <w:rFonts w:cs="Arial"/>
              </w:rPr>
              <w:t>,</w:t>
            </w:r>
            <w:r w:rsidR="04F9536D" w:rsidRPr="371AF6ED">
              <w:rPr>
                <w:rFonts w:cs="Arial"/>
              </w:rPr>
              <w:t xml:space="preserve"> the criteria used to assess options indicated that in order to mitigate potential economic scarring effects, </w:t>
            </w:r>
            <w:r w:rsidR="64368FE0" w:rsidRPr="438B9EBC">
              <w:rPr>
                <w:rFonts w:cs="Arial"/>
              </w:rPr>
              <w:t>and with tight application criteria built in,</w:t>
            </w:r>
            <w:r w:rsidR="416F6EDE" w:rsidRPr="438B9EBC">
              <w:rPr>
                <w:rFonts w:cs="Arial"/>
              </w:rPr>
              <w:t xml:space="preserve"> </w:t>
            </w:r>
            <w:r w:rsidR="04F9536D" w:rsidRPr="371AF6ED">
              <w:rPr>
                <w:rFonts w:cs="Arial"/>
              </w:rPr>
              <w:t>thi</w:t>
            </w:r>
            <w:r w:rsidR="0B5FE9D1" w:rsidRPr="371AF6ED">
              <w:rPr>
                <w:rFonts w:cs="Arial"/>
              </w:rPr>
              <w:t xml:space="preserve">s was a </w:t>
            </w:r>
            <w:r w:rsidR="7263BE69" w:rsidRPr="56B81B8F">
              <w:rPr>
                <w:rFonts w:cs="Arial"/>
              </w:rPr>
              <w:t>worth</w:t>
            </w:r>
            <w:r w:rsidR="149D21D3" w:rsidRPr="56B81B8F">
              <w:rPr>
                <w:rFonts w:cs="Arial"/>
              </w:rPr>
              <w:t>while</w:t>
            </w:r>
            <w:r w:rsidR="0B5FE9D1" w:rsidRPr="371AF6ED">
              <w:rPr>
                <w:rFonts w:cs="Arial"/>
              </w:rPr>
              <w:t xml:space="preserve"> trade-off.</w:t>
            </w:r>
          </w:p>
          <w:p w14:paraId="1BB4BC7E" w14:textId="6ABBB86B" w:rsidR="00DF6257" w:rsidRDefault="75585BBF" w:rsidP="00290F2E">
            <w:pPr>
              <w:keepNext/>
              <w:numPr>
                <w:ilvl w:val="0"/>
                <w:numId w:val="31"/>
              </w:numPr>
              <w:spacing w:before="120" w:after="120" w:line="240" w:lineRule="auto"/>
              <w:rPr>
                <w:rFonts w:cs="Arial"/>
                <w:i/>
                <w:iCs/>
              </w:rPr>
            </w:pPr>
            <w:r w:rsidRPr="371AF6ED">
              <w:rPr>
                <w:rFonts w:cs="Arial"/>
                <w:i/>
                <w:iCs/>
              </w:rPr>
              <w:t xml:space="preserve">What </w:t>
            </w:r>
            <w:r w:rsidR="0CF3C322" w:rsidRPr="371AF6ED">
              <w:rPr>
                <w:rFonts w:cs="Arial"/>
                <w:i/>
                <w:iCs/>
              </w:rPr>
              <w:t xml:space="preserve">limitations exist in </w:t>
            </w:r>
            <w:r w:rsidR="0CF3C322" w:rsidRPr="2324AAA4">
              <w:rPr>
                <w:rFonts w:cs="Arial"/>
                <w:i/>
                <w:iCs/>
              </w:rPr>
              <w:t>relation</w:t>
            </w:r>
            <w:r w:rsidR="1CB8B9EE" w:rsidRPr="2324AAA4">
              <w:rPr>
                <w:rFonts w:cs="Arial"/>
                <w:i/>
                <w:iCs/>
              </w:rPr>
              <w:t xml:space="preserve"> </w:t>
            </w:r>
            <w:r w:rsidR="0D0948FF" w:rsidRPr="2324AAA4">
              <w:rPr>
                <w:rFonts w:cs="Arial"/>
                <w:i/>
                <w:iCs/>
              </w:rPr>
              <w:t>to</w:t>
            </w:r>
            <w:r w:rsidRPr="371AF6ED">
              <w:rPr>
                <w:rFonts w:cs="Arial"/>
                <w:i/>
                <w:iCs/>
              </w:rPr>
              <w:t xml:space="preserve"> the evidence of the problem?</w:t>
            </w:r>
          </w:p>
          <w:p w14:paraId="538C7566" w14:textId="19FC6811" w:rsidR="39D0AB72" w:rsidRDefault="39D0AB72" w:rsidP="00290F2E">
            <w:pPr>
              <w:numPr>
                <w:ilvl w:val="0"/>
                <w:numId w:val="31"/>
              </w:numPr>
              <w:spacing w:before="120" w:after="120" w:line="240" w:lineRule="auto"/>
              <w:rPr>
                <w:rFonts w:eastAsia="Arial" w:cs="Arial"/>
                <w:i/>
              </w:rPr>
            </w:pPr>
            <w:r w:rsidRPr="371AF6ED">
              <w:rPr>
                <w:rFonts w:cs="Arial"/>
                <w:i/>
                <w:iCs/>
              </w:rPr>
              <w:t>What is the quality of data used for impact analysis?</w:t>
            </w:r>
          </w:p>
          <w:p w14:paraId="43010F59" w14:textId="7B9B0EBD" w:rsidR="1B861567" w:rsidRDefault="1B861567" w:rsidP="00290F2E">
            <w:pPr>
              <w:numPr>
                <w:ilvl w:val="0"/>
                <w:numId w:val="31"/>
              </w:numPr>
              <w:spacing w:before="120" w:after="120" w:line="240" w:lineRule="auto"/>
              <w:rPr>
                <w:rFonts w:eastAsia="Arial" w:cs="Arial"/>
                <w:i/>
              </w:rPr>
            </w:pPr>
            <w:r w:rsidRPr="371AF6ED">
              <w:rPr>
                <w:i/>
                <w:iCs/>
              </w:rPr>
              <w:t>What limitations may there have been on consultation and testing?</w:t>
            </w:r>
          </w:p>
          <w:p w14:paraId="1651A942" w14:textId="0D01FAC7" w:rsidR="00152291" w:rsidRDefault="4FC881D2" w:rsidP="00290F2E">
            <w:pPr>
              <w:spacing w:before="120" w:after="120" w:line="240" w:lineRule="auto"/>
            </w:pPr>
            <w:r>
              <w:t xml:space="preserve">The Treasury engaged with a diverse range of business groups throughout 2020, </w:t>
            </w:r>
            <w:r w:rsidR="59D9C145">
              <w:t>including on</w:t>
            </w:r>
            <w:r>
              <w:t xml:space="preserve"> the specific design parameters of a new Payment in the run up to preparing the Cabinet Paper.</w:t>
            </w:r>
            <w:r w:rsidR="00152291">
              <w:t xml:space="preserve"> </w:t>
            </w:r>
          </w:p>
          <w:p w14:paraId="00793FCB" w14:textId="1257F30A" w:rsidR="00152291" w:rsidRDefault="00152291" w:rsidP="00152291">
            <w:pPr>
              <w:spacing w:before="120" w:after="120" w:line="240" w:lineRule="auto"/>
            </w:pPr>
            <w:r>
              <w:t xml:space="preserve">Those consulted </w:t>
            </w:r>
            <w:r w:rsidR="00940ACB">
              <w:t xml:space="preserve">on the RSP design included Business New Zealand, the Council of Trade Unions, the </w:t>
            </w:r>
            <w:r>
              <w:t xml:space="preserve">Auckland Chamber of Commerce, the Corporate Taxpayers Group, the Chartered Accountants Australia and New Zealand, and Māori and Pacific business leaders. </w:t>
            </w:r>
          </w:p>
          <w:p w14:paraId="55F9E37B" w14:textId="5D51F807" w:rsidR="004363DA" w:rsidRDefault="735AAEE2" w:rsidP="00290F2E">
            <w:pPr>
              <w:spacing w:before="120" w:after="120" w:line="240" w:lineRule="auto"/>
              <w:rPr>
                <w:rFonts w:eastAsia="Arial" w:cs="Arial"/>
              </w:rPr>
            </w:pPr>
            <w:r w:rsidRPr="371AF6ED">
              <w:rPr>
                <w:rFonts w:cs="Arial"/>
              </w:rPr>
              <w:t xml:space="preserve">In addition to the pace with which consultation was undertaken, </w:t>
            </w:r>
            <w:r w:rsidR="004363DA" w:rsidRPr="371AF6ED" w:rsidDel="004363DA">
              <w:rPr>
                <w:rFonts w:cs="Arial"/>
              </w:rPr>
              <w:t>a</w:t>
            </w:r>
            <w:r w:rsidR="004363DA" w:rsidRPr="371AF6ED">
              <w:rPr>
                <w:rFonts w:cs="Arial"/>
              </w:rPr>
              <w:t xml:space="preserve"> limitation of this evidence continues to be the significant uncertainty around global events and changing, potentially unpredictable domestic conditions.</w:t>
            </w:r>
          </w:p>
          <w:p w14:paraId="5759AA8B" w14:textId="004FC0D2" w:rsidR="00B7297A" w:rsidRDefault="07310BC6" w:rsidP="00290F2E">
            <w:pPr>
              <w:keepNext/>
              <w:spacing w:before="120" w:after="120" w:line="240" w:lineRule="auto"/>
              <w:rPr>
                <w:rFonts w:cs="Arial"/>
              </w:rPr>
            </w:pPr>
            <w:r w:rsidRPr="01C3232A">
              <w:rPr>
                <w:rFonts w:cs="Arial"/>
              </w:rPr>
              <w:t>Notwithstanding this uncertainty</w:t>
            </w:r>
            <w:r w:rsidR="180D5A8D" w:rsidRPr="01C3232A">
              <w:rPr>
                <w:rFonts w:cs="Arial"/>
              </w:rPr>
              <w:t xml:space="preserve"> (which is detailed in the Treasury’s </w:t>
            </w:r>
            <w:r w:rsidR="46419B32" w:rsidRPr="01C3232A">
              <w:rPr>
                <w:rFonts w:cs="Arial"/>
              </w:rPr>
              <w:t>Pre-election Economic and Fiscal Update</w:t>
            </w:r>
            <w:r w:rsidR="180D5A8D" w:rsidRPr="01C3232A">
              <w:rPr>
                <w:rFonts w:cs="Arial"/>
              </w:rPr>
              <w:t xml:space="preserve"> </w:t>
            </w:r>
            <w:r w:rsidR="180D5A8D" w:rsidRPr="01C3232A">
              <w:rPr>
                <w:rFonts w:cs="Arial"/>
                <w:lang w:eastAsia="en-AU"/>
              </w:rPr>
              <w:t xml:space="preserve">and </w:t>
            </w:r>
            <w:r w:rsidR="00207DA0" w:rsidRPr="01C3232A">
              <w:rPr>
                <w:rFonts w:cs="Arial"/>
                <w:lang w:eastAsia="en-AU"/>
              </w:rPr>
              <w:t>Half-Year Economic Update</w:t>
            </w:r>
            <w:r w:rsidR="180D5A8D" w:rsidRPr="01C3232A">
              <w:rPr>
                <w:rFonts w:cs="Arial"/>
              </w:rPr>
              <w:t xml:space="preserve"> publications)</w:t>
            </w:r>
            <w:r w:rsidRPr="01C3232A">
              <w:rPr>
                <w:rFonts w:cs="Arial"/>
              </w:rPr>
              <w:t xml:space="preserve">, </w:t>
            </w:r>
            <w:r w:rsidR="3C6390CC" w:rsidRPr="01C3232A">
              <w:rPr>
                <w:rFonts w:cs="Arial"/>
              </w:rPr>
              <w:t>t</w:t>
            </w:r>
            <w:r w:rsidR="01A61BFB" w:rsidRPr="01C3232A">
              <w:rPr>
                <w:rFonts w:cs="Arial"/>
              </w:rPr>
              <w:t>he Treasury’s assessment of the impacts of Alert Level</w:t>
            </w:r>
            <w:r w:rsidR="0E1B91E8" w:rsidRPr="01C3232A">
              <w:rPr>
                <w:rFonts w:cs="Arial"/>
              </w:rPr>
              <w:t xml:space="preserve"> restriction</w:t>
            </w:r>
            <w:r w:rsidR="01A61BFB" w:rsidRPr="01C3232A">
              <w:rPr>
                <w:rFonts w:cs="Arial"/>
              </w:rPr>
              <w:t xml:space="preserve">s on economic activity and the </w:t>
            </w:r>
            <w:r w:rsidR="357FAD50" w:rsidRPr="01C3232A">
              <w:rPr>
                <w:rFonts w:cs="Arial"/>
              </w:rPr>
              <w:t xml:space="preserve">related </w:t>
            </w:r>
            <w:r w:rsidR="01A61BFB" w:rsidRPr="01C3232A">
              <w:rPr>
                <w:rFonts w:cs="Arial"/>
              </w:rPr>
              <w:t xml:space="preserve">risks to </w:t>
            </w:r>
            <w:r w:rsidR="0582AD30" w:rsidRPr="01C3232A">
              <w:rPr>
                <w:rFonts w:cs="Arial"/>
              </w:rPr>
              <w:t xml:space="preserve">aggregate </w:t>
            </w:r>
            <w:r w:rsidR="01A61BFB" w:rsidRPr="01C3232A">
              <w:rPr>
                <w:rFonts w:cs="Arial"/>
              </w:rPr>
              <w:t>firm solvency</w:t>
            </w:r>
            <w:r w:rsidR="2A968173" w:rsidRPr="01C3232A">
              <w:rPr>
                <w:rFonts w:cs="Arial"/>
              </w:rPr>
              <w:t xml:space="preserve"> </w:t>
            </w:r>
            <w:r w:rsidR="761E244C" w:rsidRPr="01C3232A">
              <w:rPr>
                <w:rFonts w:cs="Arial"/>
              </w:rPr>
              <w:t>over potential s</w:t>
            </w:r>
            <w:r w:rsidR="57A80900" w:rsidRPr="01C3232A">
              <w:rPr>
                <w:rFonts w:cs="Arial"/>
              </w:rPr>
              <w:t>eries</w:t>
            </w:r>
            <w:r w:rsidR="761E244C" w:rsidRPr="01C3232A">
              <w:rPr>
                <w:rFonts w:cs="Arial"/>
              </w:rPr>
              <w:t xml:space="preserve"> of virus outbreaks </w:t>
            </w:r>
            <w:r w:rsidR="2A968173" w:rsidRPr="01C3232A">
              <w:rPr>
                <w:rFonts w:cs="Arial"/>
              </w:rPr>
              <w:t>led to the conclusion</w:t>
            </w:r>
            <w:r w:rsidR="5DC74DE6" w:rsidRPr="01C3232A">
              <w:rPr>
                <w:rFonts w:cs="Arial"/>
              </w:rPr>
              <w:t xml:space="preserve"> that</w:t>
            </w:r>
            <w:r w:rsidR="2A968173" w:rsidRPr="01C3232A">
              <w:rPr>
                <w:rFonts w:cs="Arial"/>
              </w:rPr>
              <w:t xml:space="preserve"> there was </w:t>
            </w:r>
            <w:r w:rsidR="01A61BFB" w:rsidRPr="01C3232A">
              <w:rPr>
                <w:rFonts w:cs="Arial"/>
              </w:rPr>
              <w:t xml:space="preserve">a gap in the </w:t>
            </w:r>
            <w:r w:rsidR="44615302" w:rsidRPr="01C3232A">
              <w:rPr>
                <w:rFonts w:cs="Arial"/>
              </w:rPr>
              <w:t>support available.</w:t>
            </w:r>
          </w:p>
          <w:p w14:paraId="787EA6B0" w14:textId="2B927559" w:rsidR="00B7297A" w:rsidRDefault="61EC0E78" w:rsidP="00290F2E">
            <w:pPr>
              <w:keepNext/>
              <w:spacing w:before="120" w:after="120" w:line="240" w:lineRule="auto"/>
              <w:rPr>
                <w:rFonts w:cs="Arial"/>
              </w:rPr>
            </w:pPr>
            <w:r w:rsidRPr="371AF6ED">
              <w:rPr>
                <w:rFonts w:cs="Arial"/>
              </w:rPr>
              <w:t>This assessment was informed by data from sources including the aforementioned AES, B2B surveys, Xero, and other modelling. The Treasury judges the quality of this data to be</w:t>
            </w:r>
            <w:r w:rsidR="004C79AF" w:rsidRPr="371AF6ED">
              <w:rPr>
                <w:rFonts w:cs="Arial"/>
              </w:rPr>
              <w:t xml:space="preserve"> both high and comprehensive.</w:t>
            </w:r>
          </w:p>
          <w:p w14:paraId="00A3159E" w14:textId="21FFE64C" w:rsidR="00AE3AA4" w:rsidRDefault="75585BBF" w:rsidP="00290F2E">
            <w:pPr>
              <w:pStyle w:val="ListParagraph"/>
              <w:keepNext/>
              <w:numPr>
                <w:ilvl w:val="0"/>
                <w:numId w:val="14"/>
              </w:numPr>
              <w:spacing w:before="120" w:after="120" w:line="240" w:lineRule="auto"/>
              <w:contextualSpacing w:val="0"/>
              <w:rPr>
                <w:rFonts w:eastAsia="Arial" w:cs="Arial"/>
                <w:i/>
                <w:szCs w:val="22"/>
              </w:rPr>
            </w:pPr>
            <w:r w:rsidRPr="371AF6ED">
              <w:rPr>
                <w:rFonts w:cs="Arial"/>
                <w:i/>
                <w:iCs/>
              </w:rPr>
              <w:t xml:space="preserve">What are the </w:t>
            </w:r>
            <w:r w:rsidR="218C855F" w:rsidRPr="371AF6ED">
              <w:rPr>
                <w:rFonts w:cs="Arial"/>
                <w:i/>
                <w:iCs/>
              </w:rPr>
              <w:t xml:space="preserve">limitations on the </w:t>
            </w:r>
            <w:r w:rsidRPr="371AF6ED">
              <w:rPr>
                <w:rFonts w:cs="Arial"/>
                <w:i/>
                <w:iCs/>
              </w:rPr>
              <w:t>assumptions underpinning the impact analysis?</w:t>
            </w:r>
            <w:r w:rsidR="71EA43CA" w:rsidRPr="371AF6ED">
              <w:rPr>
                <w:rFonts w:cs="Arial"/>
                <w:i/>
                <w:iCs/>
              </w:rPr>
              <w:t xml:space="preserve"> </w:t>
            </w:r>
          </w:p>
          <w:p w14:paraId="2C3568BD" w14:textId="09E57F73" w:rsidR="00AE3AA4" w:rsidRPr="00032EF4" w:rsidRDefault="13D77329" w:rsidP="00152291">
            <w:pPr>
              <w:keepNext/>
              <w:spacing w:before="120" w:after="120" w:line="240" w:lineRule="auto"/>
              <w:rPr>
                <w:rFonts w:cs="Arial"/>
              </w:rPr>
            </w:pPr>
            <w:r w:rsidRPr="42A004F7">
              <w:rPr>
                <w:rFonts w:cs="Arial"/>
              </w:rPr>
              <w:t xml:space="preserve">We assume that patterns of revenue impact experienced by firms are broadly consistent with those seen in periods of elevated Alert Levels throughout 2020. As such, we assume that the take up of the </w:t>
            </w:r>
            <w:r w:rsidR="039570C5" w:rsidRPr="42A004F7">
              <w:rPr>
                <w:rFonts w:cs="Arial"/>
              </w:rPr>
              <w:t>P</w:t>
            </w:r>
            <w:r w:rsidRPr="42A004F7">
              <w:rPr>
                <w:rFonts w:cs="Arial"/>
              </w:rPr>
              <w:t>ayment would be broadly in line with that of other forms of COVID-19 financial support tools to date, including the Wage Subsidy</w:t>
            </w:r>
            <w:r w:rsidR="003A1477">
              <w:rPr>
                <w:rFonts w:cs="Arial"/>
              </w:rPr>
              <w:t xml:space="preserve"> (WSS)</w:t>
            </w:r>
            <w:r w:rsidRPr="42A004F7">
              <w:rPr>
                <w:rFonts w:cs="Arial"/>
              </w:rPr>
              <w:t xml:space="preserve"> and </w:t>
            </w:r>
            <w:r w:rsidR="008F7B31">
              <w:rPr>
                <w:rFonts w:cs="Arial"/>
              </w:rPr>
              <w:t>SBCS</w:t>
            </w:r>
            <w:r w:rsidR="02DB2ECD" w:rsidRPr="42A004F7">
              <w:rPr>
                <w:rFonts w:cs="Arial"/>
              </w:rPr>
              <w:t>.</w:t>
            </w:r>
            <w:r w:rsidR="030ADA12" w:rsidRPr="42A004F7">
              <w:rPr>
                <w:rFonts w:cs="Arial"/>
              </w:rPr>
              <w:t xml:space="preserve"> </w:t>
            </w:r>
            <w:r w:rsidR="7FC4896D" w:rsidRPr="42A004F7">
              <w:rPr>
                <w:rFonts w:cs="Arial"/>
              </w:rPr>
              <w:t xml:space="preserve">Whilst the design of the </w:t>
            </w:r>
            <w:r w:rsidR="660E7BB9" w:rsidRPr="42A004F7">
              <w:rPr>
                <w:rFonts w:cs="Arial"/>
              </w:rPr>
              <w:t>P</w:t>
            </w:r>
            <w:r w:rsidR="7FC4896D" w:rsidRPr="42A004F7">
              <w:rPr>
                <w:rFonts w:cs="Arial"/>
              </w:rPr>
              <w:t>ayment reflect</w:t>
            </w:r>
            <w:r w:rsidR="0EABA7DB" w:rsidRPr="42A004F7">
              <w:rPr>
                <w:rFonts w:cs="Arial"/>
              </w:rPr>
              <w:t>s</w:t>
            </w:r>
            <w:r w:rsidR="7FC4896D" w:rsidRPr="42A004F7">
              <w:rPr>
                <w:rFonts w:cs="Arial"/>
              </w:rPr>
              <w:t xml:space="preserve"> the greater information available than when the pandemic first began, t</w:t>
            </w:r>
            <w:r w:rsidR="030ADA12" w:rsidRPr="42A004F7">
              <w:rPr>
                <w:rFonts w:cs="Arial"/>
              </w:rPr>
              <w:t>he uncertainty related to the nature of any future COVID-19 outbrea</w:t>
            </w:r>
            <w:r w:rsidR="170317EE" w:rsidRPr="42A004F7">
              <w:rPr>
                <w:rFonts w:cs="Arial"/>
              </w:rPr>
              <w:t>k means the impacts may be different</w:t>
            </w:r>
            <w:r w:rsidR="34A1D643" w:rsidRPr="42A004F7">
              <w:rPr>
                <w:rFonts w:cs="Arial"/>
              </w:rPr>
              <w:t xml:space="preserve"> each time. </w:t>
            </w:r>
          </w:p>
        </w:tc>
      </w:tr>
      <w:tr w:rsidR="0062657E" w:rsidRPr="009C4129" w14:paraId="1B2A4572" w14:textId="77777777" w:rsidTr="42A004F7">
        <w:tc>
          <w:tcPr>
            <w:tcW w:w="5000" w:type="pct"/>
            <w:shd w:val="clear" w:color="auto" w:fill="99CDDD"/>
            <w:hideMark/>
          </w:tcPr>
          <w:p w14:paraId="4E3D27BC" w14:textId="77777777" w:rsidR="0062657E" w:rsidRPr="009C4129" w:rsidRDefault="00020F75" w:rsidP="006356D0">
            <w:pPr>
              <w:keepNext/>
              <w:spacing w:before="60" w:after="60" w:line="240" w:lineRule="auto"/>
              <w:rPr>
                <w:rFonts w:cs="Arial"/>
                <w:b/>
                <w:szCs w:val="22"/>
              </w:rPr>
            </w:pPr>
            <w:bookmarkStart w:id="0" w:name="_Toc363047038"/>
            <w:bookmarkStart w:id="1" w:name="_Toc362940530"/>
            <w:bookmarkStart w:id="2" w:name="_Toc362618966"/>
            <w:bookmarkStart w:id="3" w:name="_Toc362434720"/>
            <w:bookmarkStart w:id="4" w:name="_Toc362368098"/>
            <w:r>
              <w:rPr>
                <w:rFonts w:cs="Arial"/>
                <w:b/>
                <w:szCs w:val="22"/>
              </w:rPr>
              <w:lastRenderedPageBreak/>
              <w:t xml:space="preserve">1.3   </w:t>
            </w:r>
            <w:r w:rsidR="0062657E" w:rsidRPr="009C4129">
              <w:rPr>
                <w:rFonts w:cs="Arial"/>
                <w:b/>
                <w:szCs w:val="22"/>
              </w:rPr>
              <w:t>Responsible Manager (signature and date):</w:t>
            </w:r>
          </w:p>
        </w:tc>
      </w:tr>
      <w:tr w:rsidR="0062657E" w:rsidRPr="009C4129" w14:paraId="6C8BFA33" w14:textId="77777777" w:rsidTr="42A004F7">
        <w:trPr>
          <w:trHeight w:val="3404"/>
        </w:trPr>
        <w:tc>
          <w:tcPr>
            <w:tcW w:w="5000" w:type="pct"/>
            <w:shd w:val="clear" w:color="auto" w:fill="FFFFFF" w:themeFill="background1"/>
          </w:tcPr>
          <w:p w14:paraId="12B8915C" w14:textId="77777777" w:rsidR="0085781F" w:rsidRDefault="0085781F" w:rsidP="3CDCEEF1">
            <w:pPr>
              <w:spacing w:before="60" w:after="0" w:line="276" w:lineRule="auto"/>
              <w:ind w:left="284" w:hanging="284"/>
              <w:jc w:val="both"/>
              <w:rPr>
                <w:rFonts w:cs="Arial"/>
              </w:rPr>
            </w:pPr>
          </w:p>
          <w:p w14:paraId="610BFAA3" w14:textId="6DF5F014" w:rsidR="00BA34DB" w:rsidRDefault="00BA34DB" w:rsidP="00BA34DB">
            <w:pPr>
              <w:shd w:val="clear" w:color="auto" w:fill="BFBFBF" w:themeFill="background1" w:themeFillShade="BF"/>
              <w:spacing w:before="60" w:after="0" w:line="276" w:lineRule="auto"/>
              <w:ind w:right="3951"/>
              <w:rPr>
                <w:noProof/>
                <w:lang w:val="en-NZ" w:eastAsia="en-NZ"/>
              </w:rPr>
            </w:pPr>
            <w:r>
              <w:rPr>
                <w:noProof/>
                <w:lang w:val="en-NZ" w:eastAsia="en-NZ"/>
              </w:rPr>
              <w:t>s 9(2)(a)</w:t>
            </w:r>
            <w:r w:rsidRPr="00BA34DB">
              <w:rPr>
                <w:noProof/>
                <w:color w:val="BFBFBF" w:themeColor="background1" w:themeShade="BF"/>
                <w:lang w:val="en-NZ" w:eastAsia="en-NZ"/>
              </w:rPr>
              <w:t>……………………..…………………………</w:t>
            </w:r>
            <w:r w:rsidRPr="00BA34DB">
              <w:rPr>
                <w:noProof/>
                <w:color w:val="BFBFBF" w:themeColor="background1" w:themeShade="BF"/>
                <w:lang w:val="en-NZ" w:eastAsia="en-NZ"/>
              </w:rPr>
              <w:br/>
              <w:t>…………………………………………………………..</w:t>
            </w:r>
            <w:r w:rsidRPr="00BA34DB">
              <w:rPr>
                <w:noProof/>
                <w:color w:val="BFBFBF" w:themeColor="background1" w:themeShade="BF"/>
                <w:lang w:val="en-NZ" w:eastAsia="en-NZ"/>
              </w:rPr>
              <w:br/>
              <w:t>…………………………………………………………..</w:t>
            </w:r>
            <w:r w:rsidRPr="00BA34DB">
              <w:rPr>
                <w:noProof/>
                <w:color w:val="BFBFBF" w:themeColor="background1" w:themeShade="BF"/>
                <w:lang w:val="en-NZ" w:eastAsia="en-NZ"/>
              </w:rPr>
              <w:br/>
            </w:r>
            <w:r w:rsidRPr="00BA34DB">
              <w:rPr>
                <w:noProof/>
                <w:color w:val="BFBFBF" w:themeColor="background1" w:themeShade="BF"/>
                <w:lang w:val="en-NZ" w:eastAsia="en-NZ"/>
              </w:rPr>
              <w:t>…………………………………………………………..</w:t>
            </w:r>
            <w:r w:rsidRPr="00BA34DB">
              <w:rPr>
                <w:noProof/>
                <w:color w:val="BFBFBF" w:themeColor="background1" w:themeShade="BF"/>
                <w:lang w:val="en-NZ" w:eastAsia="en-NZ"/>
              </w:rPr>
              <w:br/>
            </w:r>
            <w:r w:rsidRPr="00BA34DB">
              <w:rPr>
                <w:noProof/>
                <w:color w:val="BFBFBF" w:themeColor="background1" w:themeShade="BF"/>
                <w:lang w:val="en-NZ" w:eastAsia="en-NZ"/>
              </w:rPr>
              <w:t>…………………………………………………………..</w:t>
            </w:r>
            <w:r w:rsidRPr="00BA34DB">
              <w:rPr>
                <w:noProof/>
                <w:color w:val="BFBFBF" w:themeColor="background1" w:themeShade="BF"/>
                <w:lang w:val="en-NZ" w:eastAsia="en-NZ"/>
              </w:rPr>
              <w:br/>
            </w:r>
            <w:r w:rsidRPr="00BA34DB">
              <w:rPr>
                <w:noProof/>
                <w:color w:val="BFBFBF" w:themeColor="background1" w:themeShade="BF"/>
                <w:lang w:val="en-NZ" w:eastAsia="en-NZ"/>
              </w:rPr>
              <w:t>…………………………………………………………..</w:t>
            </w:r>
          </w:p>
          <w:p w14:paraId="0273EE06" w14:textId="77777777" w:rsidR="00BA34DB" w:rsidRDefault="00BA34DB" w:rsidP="3CDCEEF1">
            <w:pPr>
              <w:spacing w:before="60" w:after="0" w:line="276" w:lineRule="auto"/>
              <w:ind w:left="284" w:hanging="284"/>
              <w:jc w:val="both"/>
              <w:rPr>
                <w:rFonts w:cs="Arial"/>
              </w:rPr>
            </w:pPr>
          </w:p>
          <w:p w14:paraId="3FB6DA57" w14:textId="61024980" w:rsidR="0062657E" w:rsidRPr="009C4129" w:rsidRDefault="00AE3AA4" w:rsidP="44DFE17A">
            <w:pPr>
              <w:spacing w:before="60" w:after="0" w:line="276" w:lineRule="auto"/>
              <w:ind w:left="284" w:hanging="284"/>
              <w:jc w:val="both"/>
              <w:rPr>
                <w:rFonts w:cs="Arial"/>
              </w:rPr>
            </w:pPr>
            <w:r w:rsidRPr="44DFE17A">
              <w:rPr>
                <w:rFonts w:cs="Arial"/>
              </w:rPr>
              <w:t>Jean Le Roux</w:t>
            </w:r>
          </w:p>
          <w:p w14:paraId="64E310B9" w14:textId="61024980" w:rsidR="0062657E" w:rsidRPr="009C4129" w:rsidRDefault="00AE3AA4" w:rsidP="44DFE17A">
            <w:pPr>
              <w:spacing w:before="60" w:after="0" w:line="276" w:lineRule="auto"/>
              <w:ind w:left="284" w:hanging="284"/>
              <w:jc w:val="both"/>
              <w:rPr>
                <w:rFonts w:cs="Arial"/>
              </w:rPr>
            </w:pPr>
            <w:r w:rsidRPr="44DFE17A">
              <w:rPr>
                <w:rFonts w:cs="Arial"/>
              </w:rPr>
              <w:t>Transitions, Regions and Economic Development</w:t>
            </w:r>
          </w:p>
          <w:p w14:paraId="7605703B" w14:textId="61024980" w:rsidR="0062657E" w:rsidRPr="009C4129" w:rsidRDefault="00AE3AA4" w:rsidP="44DFE17A">
            <w:pPr>
              <w:spacing w:before="60" w:after="0" w:line="276" w:lineRule="auto"/>
              <w:jc w:val="both"/>
              <w:rPr>
                <w:rFonts w:cs="Arial"/>
              </w:rPr>
            </w:pPr>
            <w:r w:rsidRPr="44DFE17A">
              <w:rPr>
                <w:rFonts w:cs="Arial"/>
              </w:rPr>
              <w:t>Growth, Productivity and Services Directorate</w:t>
            </w:r>
          </w:p>
          <w:p w14:paraId="71B55F19" w14:textId="61024980" w:rsidR="0062657E" w:rsidRDefault="00AE3AA4" w:rsidP="44DFE17A">
            <w:pPr>
              <w:spacing w:before="60" w:after="0" w:line="276" w:lineRule="auto"/>
              <w:ind w:left="284" w:hanging="284"/>
              <w:jc w:val="both"/>
              <w:rPr>
                <w:rFonts w:cs="Arial"/>
              </w:rPr>
            </w:pPr>
            <w:r w:rsidRPr="44DFE17A">
              <w:rPr>
                <w:rFonts w:cs="Arial"/>
              </w:rPr>
              <w:t>The Treasury</w:t>
            </w:r>
          </w:p>
          <w:p w14:paraId="49AF7E45" w14:textId="6143F4E1" w:rsidR="00B56273" w:rsidRPr="009C4129" w:rsidRDefault="00152291" w:rsidP="44DFE17A">
            <w:pPr>
              <w:spacing w:before="60" w:after="0" w:line="276" w:lineRule="auto"/>
              <w:ind w:left="284" w:hanging="284"/>
              <w:jc w:val="both"/>
              <w:rPr>
                <w:rFonts w:cs="Arial"/>
              </w:rPr>
            </w:pPr>
            <w:r>
              <w:rPr>
                <w:rFonts w:cs="Arial"/>
              </w:rPr>
              <w:t>28 January 2021</w:t>
            </w:r>
          </w:p>
        </w:tc>
      </w:tr>
    </w:tbl>
    <w:p w14:paraId="510A6E43" w14:textId="5781F95F" w:rsidR="0062657E" w:rsidRPr="0005691A" w:rsidRDefault="0062657E" w:rsidP="00362498">
      <w:pPr>
        <w:pStyle w:val="Heading2"/>
      </w:pPr>
      <w:r w:rsidRPr="009C4129">
        <w:rPr>
          <w:szCs w:val="22"/>
        </w:rPr>
        <w:br w:type="page"/>
      </w:r>
      <w:r w:rsidRPr="0005691A">
        <w:lastRenderedPageBreak/>
        <w:t>Section 2:</w:t>
      </w:r>
      <w:bookmarkEnd w:id="0"/>
      <w:bookmarkEnd w:id="1"/>
      <w:bookmarkEnd w:id="2"/>
      <w:bookmarkEnd w:id="3"/>
      <w:bookmarkEnd w:id="4"/>
      <w:r w:rsidR="0005691A" w:rsidRPr="0005691A">
        <w:t xml:space="preserve"> </w:t>
      </w:r>
      <w:r w:rsidRPr="0005691A">
        <w:t>Problem definition and objectives</w:t>
      </w:r>
    </w:p>
    <w:tbl>
      <w:tblPr>
        <w:tblW w:w="4885" w:type="pct"/>
        <w:tblInd w:w="10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A0" w:firstRow="1" w:lastRow="0" w:firstColumn="1" w:lastColumn="0" w:noHBand="0" w:noVBand="1"/>
      </w:tblPr>
      <w:tblGrid>
        <w:gridCol w:w="9186"/>
      </w:tblGrid>
      <w:tr w:rsidR="009C4129" w:rsidRPr="009C4129" w14:paraId="4029D6CB" w14:textId="77777777" w:rsidTr="00346B30">
        <w:trPr>
          <w:trHeight w:val="77"/>
        </w:trPr>
        <w:tc>
          <w:tcPr>
            <w:tcW w:w="5000" w:type="pct"/>
            <w:shd w:val="clear" w:color="auto" w:fill="99CDDD"/>
          </w:tcPr>
          <w:p w14:paraId="1834E45F" w14:textId="45D02DC5" w:rsidR="0062657E" w:rsidRPr="009C4129" w:rsidRDefault="00216981" w:rsidP="006356D0">
            <w:pPr>
              <w:keepNext/>
              <w:spacing w:before="60" w:after="60" w:line="240" w:lineRule="auto"/>
              <w:rPr>
                <w:rFonts w:cs="Arial"/>
                <w:b/>
                <w:szCs w:val="22"/>
              </w:rPr>
            </w:pPr>
            <w:r>
              <w:rPr>
                <w:rFonts w:cs="Arial"/>
                <w:b/>
                <w:szCs w:val="22"/>
              </w:rPr>
              <w:t xml:space="preserve">2.1   </w:t>
            </w:r>
            <w:r w:rsidR="0062657E" w:rsidRPr="009C4129">
              <w:rPr>
                <w:rFonts w:cs="Arial"/>
                <w:b/>
                <w:szCs w:val="22"/>
              </w:rPr>
              <w:t xml:space="preserve">What is the </w:t>
            </w:r>
            <w:r w:rsidR="00B96523">
              <w:rPr>
                <w:rFonts w:cs="Arial"/>
                <w:b/>
                <w:szCs w:val="22"/>
              </w:rPr>
              <w:t xml:space="preserve">current state </w:t>
            </w:r>
            <w:r w:rsidR="0062657E" w:rsidRPr="009C4129">
              <w:rPr>
                <w:rFonts w:cs="Arial"/>
                <w:b/>
                <w:szCs w:val="22"/>
              </w:rPr>
              <w:t>within which action is proposed?</w:t>
            </w:r>
          </w:p>
        </w:tc>
      </w:tr>
      <w:tr w:rsidR="009C4129" w:rsidRPr="009C4129" w14:paraId="1CB6DFDC" w14:textId="77777777" w:rsidTr="00346B30">
        <w:trPr>
          <w:trHeight w:val="510"/>
        </w:trPr>
        <w:tc>
          <w:tcPr>
            <w:tcW w:w="5000" w:type="pct"/>
            <w:shd w:val="clear" w:color="auto" w:fill="EBF5F8"/>
          </w:tcPr>
          <w:p w14:paraId="20221220" w14:textId="0AE3E3EF" w:rsidR="0062657E" w:rsidRPr="009C4129" w:rsidRDefault="0062657E" w:rsidP="006356D0">
            <w:pPr>
              <w:keepNext/>
              <w:spacing w:before="60" w:after="120" w:line="276" w:lineRule="auto"/>
              <w:ind w:left="284" w:hanging="284"/>
              <w:jc w:val="both"/>
              <w:rPr>
                <w:rFonts w:cs="Arial"/>
                <w:b/>
                <w:i/>
                <w:szCs w:val="22"/>
                <w:lang w:eastAsia="en-AU"/>
              </w:rPr>
            </w:pPr>
            <w:r w:rsidRPr="009C4129">
              <w:rPr>
                <w:rFonts w:cs="Arial"/>
                <w:i/>
                <w:szCs w:val="22"/>
                <w:lang w:eastAsia="en-AU"/>
              </w:rPr>
              <w:t xml:space="preserve">Set out the </w:t>
            </w:r>
            <w:r w:rsidR="00B96523" w:rsidRPr="009C4129">
              <w:rPr>
                <w:rFonts w:cs="Arial"/>
                <w:i/>
                <w:szCs w:val="22"/>
                <w:lang w:eastAsia="en-AU"/>
              </w:rPr>
              <w:t>c</w:t>
            </w:r>
            <w:r w:rsidR="00B96523">
              <w:rPr>
                <w:rFonts w:cs="Arial"/>
                <w:i/>
                <w:szCs w:val="22"/>
                <w:lang w:eastAsia="en-AU"/>
              </w:rPr>
              <w:t>urrent state</w:t>
            </w:r>
            <w:r w:rsidRPr="009C4129">
              <w:rPr>
                <w:rFonts w:cs="Arial"/>
                <w:i/>
                <w:szCs w:val="22"/>
                <w:lang w:eastAsia="en-AU"/>
              </w:rPr>
              <w:t xml:space="preserve">, </w:t>
            </w:r>
            <w:r w:rsidR="00032EF4" w:rsidRPr="009C4129">
              <w:rPr>
                <w:rFonts w:cs="Arial"/>
                <w:i/>
                <w:szCs w:val="22"/>
                <w:lang w:eastAsia="en-AU"/>
              </w:rPr>
              <w:t>e.g.</w:t>
            </w:r>
            <w:r w:rsidR="00431CA7">
              <w:rPr>
                <w:rFonts w:cs="Arial"/>
                <w:i/>
                <w:szCs w:val="22"/>
                <w:lang w:eastAsia="en-AU"/>
              </w:rPr>
              <w:t>,</w:t>
            </w:r>
          </w:p>
          <w:p w14:paraId="7AEE22B8" w14:textId="6B33BD25" w:rsidR="0062657E" w:rsidRPr="002428A4" w:rsidRDefault="0062657E" w:rsidP="009D4A6C">
            <w:pPr>
              <w:spacing w:after="40" w:line="276" w:lineRule="auto"/>
              <w:rPr>
                <w:rFonts w:cs="Arial"/>
                <w:b/>
                <w:i/>
                <w:szCs w:val="22"/>
                <w:lang w:eastAsia="en-AU"/>
              </w:rPr>
            </w:pPr>
            <w:r w:rsidRPr="009D4A6C">
              <w:rPr>
                <w:rFonts w:cs="Arial"/>
                <w:i/>
                <w:szCs w:val="22"/>
                <w:lang w:eastAsia="en-AU"/>
              </w:rPr>
              <w:t>Nature of the market</w:t>
            </w:r>
            <w:r w:rsidR="009D4A6C">
              <w:rPr>
                <w:rFonts w:cs="Arial"/>
                <w:i/>
                <w:szCs w:val="22"/>
                <w:lang w:eastAsia="en-AU"/>
              </w:rPr>
              <w:t xml:space="preserve">; </w:t>
            </w:r>
            <w:r w:rsidRPr="009C4129">
              <w:rPr>
                <w:rFonts w:cs="Arial"/>
                <w:i/>
                <w:szCs w:val="22"/>
                <w:lang w:eastAsia="en-AU"/>
              </w:rPr>
              <w:t>Industry structure</w:t>
            </w:r>
            <w:r w:rsidR="009D4A6C">
              <w:rPr>
                <w:rFonts w:cs="Arial"/>
                <w:i/>
                <w:szCs w:val="22"/>
                <w:lang w:eastAsia="en-AU"/>
              </w:rPr>
              <w:t xml:space="preserve">; </w:t>
            </w:r>
            <w:r w:rsidRPr="009C4129">
              <w:rPr>
                <w:rFonts w:cs="Arial"/>
                <w:i/>
                <w:szCs w:val="22"/>
                <w:lang w:eastAsia="en-AU"/>
              </w:rPr>
              <w:t>Social context</w:t>
            </w:r>
            <w:r w:rsidR="009D4A6C">
              <w:rPr>
                <w:rFonts w:cs="Arial"/>
                <w:i/>
                <w:szCs w:val="22"/>
                <w:lang w:eastAsia="en-AU"/>
              </w:rPr>
              <w:t>; Environmental state.</w:t>
            </w:r>
          </w:p>
        </w:tc>
      </w:tr>
      <w:tr w:rsidR="009C4129" w:rsidRPr="009C4129" w14:paraId="69A48309" w14:textId="77777777" w:rsidTr="00346B30">
        <w:trPr>
          <w:trHeight w:val="3346"/>
        </w:trPr>
        <w:tc>
          <w:tcPr>
            <w:tcW w:w="5000" w:type="pct"/>
            <w:shd w:val="clear" w:color="auto" w:fill="FFFFFF"/>
          </w:tcPr>
          <w:p w14:paraId="2CBBCCB2" w14:textId="3E98BEA1" w:rsidR="006443B5" w:rsidRDefault="006443B5" w:rsidP="00290F2E">
            <w:pPr>
              <w:spacing w:after="120" w:line="240" w:lineRule="auto"/>
              <w:jc w:val="both"/>
              <w:rPr>
                <w:rFonts w:cs="Arial"/>
                <w:szCs w:val="22"/>
                <w:lang w:eastAsia="en-AU"/>
              </w:rPr>
            </w:pPr>
            <w:r>
              <w:rPr>
                <w:rFonts w:cs="Arial"/>
                <w:szCs w:val="22"/>
                <w:lang w:eastAsia="en-AU"/>
              </w:rPr>
              <w:t>The</w:t>
            </w:r>
            <w:r w:rsidR="003D770C">
              <w:rPr>
                <w:rFonts w:cs="Arial"/>
                <w:szCs w:val="22"/>
                <w:lang w:eastAsia="en-AU"/>
              </w:rPr>
              <w:t xml:space="preserve"> Treasury’s </w:t>
            </w:r>
            <w:hyperlink r:id="rId9" w:history="1">
              <w:r w:rsidR="003D770C" w:rsidRPr="00CD2472">
                <w:rPr>
                  <w:rStyle w:val="Hyperlink"/>
                  <w:rFonts w:cs="Arial"/>
                  <w:szCs w:val="22"/>
                  <w:lang w:eastAsia="en-AU"/>
                </w:rPr>
                <w:t>Pre-election Economic and Fiscal Update</w:t>
              </w:r>
            </w:hyperlink>
            <w:r w:rsidR="003D770C">
              <w:rPr>
                <w:rFonts w:cs="Arial"/>
                <w:szCs w:val="22"/>
                <w:lang w:eastAsia="en-AU"/>
              </w:rPr>
              <w:t xml:space="preserve"> </w:t>
            </w:r>
            <w:r>
              <w:rPr>
                <w:rFonts w:cs="Arial"/>
                <w:szCs w:val="22"/>
                <w:lang w:eastAsia="en-AU"/>
              </w:rPr>
              <w:t xml:space="preserve">provided the context in which the advice on the RSP was developed. The subsequent </w:t>
            </w:r>
            <w:hyperlink r:id="rId10" w:history="1">
              <w:r w:rsidRPr="009D4A6C">
                <w:rPr>
                  <w:rStyle w:val="Hyperlink"/>
                  <w:rFonts w:cs="Arial"/>
                  <w:szCs w:val="22"/>
                  <w:lang w:eastAsia="en-AU"/>
                </w:rPr>
                <w:t>Half-Year Economic Update</w:t>
              </w:r>
            </w:hyperlink>
            <w:r>
              <w:rPr>
                <w:rFonts w:cs="Arial"/>
                <w:szCs w:val="22"/>
                <w:lang w:eastAsia="en-AU"/>
              </w:rPr>
              <w:t xml:space="preserve"> was published on 17 December 2020.</w:t>
            </w:r>
          </w:p>
          <w:p w14:paraId="4D39B72B" w14:textId="1EBB8BE6" w:rsidR="0062657E" w:rsidRDefault="006443B5" w:rsidP="00290F2E">
            <w:pPr>
              <w:spacing w:after="120" w:line="240" w:lineRule="auto"/>
              <w:jc w:val="both"/>
              <w:rPr>
                <w:rFonts w:cs="Arial"/>
                <w:szCs w:val="22"/>
                <w:lang w:eastAsia="en-AU"/>
              </w:rPr>
            </w:pPr>
            <w:r>
              <w:rPr>
                <w:rFonts w:cs="Arial"/>
                <w:szCs w:val="22"/>
                <w:lang w:eastAsia="en-AU"/>
              </w:rPr>
              <w:t>Both documents underline that the COVID-19 pandemic continues to cause widespread economic and social disruption around the world, and the</w:t>
            </w:r>
            <w:r w:rsidR="009D4A6C">
              <w:rPr>
                <w:rFonts w:cs="Arial"/>
                <w:szCs w:val="22"/>
                <w:lang w:eastAsia="en-AU"/>
              </w:rPr>
              <w:t xml:space="preserve"> </w:t>
            </w:r>
            <w:r w:rsidR="009D4A6C">
              <w:t>effectiveness and timing of the distribution of vaccines were still unclear at the time of writing</w:t>
            </w:r>
            <w:r>
              <w:rPr>
                <w:rFonts w:cs="Arial"/>
                <w:szCs w:val="22"/>
                <w:lang w:eastAsia="en-AU"/>
              </w:rPr>
              <w:t xml:space="preserve">. </w:t>
            </w:r>
          </w:p>
          <w:p w14:paraId="36049A69" w14:textId="1BF2C276" w:rsidR="006443B5" w:rsidRPr="009C4129" w:rsidRDefault="001B2C55" w:rsidP="00290F2E">
            <w:pPr>
              <w:spacing w:after="120" w:line="240" w:lineRule="auto"/>
              <w:jc w:val="both"/>
              <w:rPr>
                <w:rFonts w:cs="Arial"/>
                <w:szCs w:val="22"/>
                <w:lang w:eastAsia="en-AU"/>
              </w:rPr>
            </w:pPr>
            <w:r>
              <w:t xml:space="preserve">Both reports present a central scenario wherein </w:t>
            </w:r>
            <w:r>
              <w:rPr>
                <w:rFonts w:cs="Arial"/>
                <w:szCs w:val="22"/>
                <w:lang w:eastAsia="en-AU"/>
              </w:rPr>
              <w:t xml:space="preserve">New Zealand’s </w:t>
            </w:r>
            <w:r>
              <w:t>border restrictions ease from 1 July 2021 and will lift from 1 January 2022, alongside alternative scenarios attempting to benchmark possible downside scenarios</w:t>
            </w:r>
            <w:r w:rsidR="009D4A6C">
              <w:t>.</w:t>
            </w:r>
            <w:r w:rsidR="006443B5">
              <w:rPr>
                <w:rFonts w:cs="Arial"/>
                <w:szCs w:val="22"/>
                <w:lang w:eastAsia="en-AU"/>
              </w:rPr>
              <w:t xml:space="preserve"> </w:t>
            </w:r>
            <w:r w:rsidR="009D4A6C">
              <w:rPr>
                <w:rFonts w:cs="Arial"/>
                <w:szCs w:val="22"/>
                <w:lang w:eastAsia="en-AU"/>
              </w:rPr>
              <w:t>I</w:t>
            </w:r>
            <w:r w:rsidR="006443B5">
              <w:rPr>
                <w:rFonts w:cs="Arial"/>
                <w:szCs w:val="22"/>
                <w:lang w:eastAsia="en-AU"/>
              </w:rPr>
              <w:t>n the meantime</w:t>
            </w:r>
            <w:r w:rsidR="00290F2E">
              <w:rPr>
                <w:rFonts w:cs="Arial"/>
                <w:szCs w:val="22"/>
                <w:lang w:eastAsia="en-AU"/>
              </w:rPr>
              <w:t>,</w:t>
            </w:r>
            <w:r w:rsidR="008264C0">
              <w:rPr>
                <w:rFonts w:cs="Arial"/>
                <w:szCs w:val="22"/>
                <w:lang w:eastAsia="en-AU"/>
              </w:rPr>
              <w:t xml:space="preserve"> New Zealanders should be prepared for the potential that whilst most of the economy will </w:t>
            </w:r>
            <w:proofErr w:type="gramStart"/>
            <w:r w:rsidR="008264C0">
              <w:rPr>
                <w:rFonts w:cs="Arial"/>
                <w:szCs w:val="22"/>
                <w:lang w:eastAsia="en-AU"/>
              </w:rPr>
              <w:t>operate normally</w:t>
            </w:r>
            <w:proofErr w:type="gramEnd"/>
            <w:r w:rsidR="008264C0">
              <w:rPr>
                <w:rFonts w:cs="Arial"/>
                <w:szCs w:val="22"/>
                <w:lang w:eastAsia="en-AU"/>
              </w:rPr>
              <w:t xml:space="preserve"> the majority of the time, Alert Levels may temporarily escalate. </w:t>
            </w:r>
          </w:p>
        </w:tc>
      </w:tr>
    </w:tbl>
    <w:p w14:paraId="6743E8C1" w14:textId="77777777" w:rsidR="0062657E" w:rsidRPr="009C4129" w:rsidRDefault="0062657E" w:rsidP="007B090A">
      <w:pPr>
        <w:pStyle w:val="spacer"/>
        <w:spacing w:line="276" w:lineRule="auto"/>
        <w:rPr>
          <w:rFonts w:cs="Arial"/>
          <w:sz w:val="22"/>
        </w:rPr>
      </w:pPr>
    </w:p>
    <w:tbl>
      <w:tblPr>
        <w:tblW w:w="0" w:type="auto"/>
        <w:tblInd w:w="10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A0" w:firstRow="1" w:lastRow="0" w:firstColumn="1" w:lastColumn="0" w:noHBand="0" w:noVBand="1"/>
      </w:tblPr>
      <w:tblGrid>
        <w:gridCol w:w="9072"/>
      </w:tblGrid>
      <w:tr w:rsidR="009C4129" w:rsidRPr="009C4129" w14:paraId="7BA81623" w14:textId="77777777" w:rsidTr="42A004F7">
        <w:tc>
          <w:tcPr>
            <w:tcW w:w="9072" w:type="dxa"/>
            <w:shd w:val="clear" w:color="auto" w:fill="99CDDD"/>
          </w:tcPr>
          <w:p w14:paraId="334510F3" w14:textId="58A39051" w:rsidR="0062657E" w:rsidRPr="00384E9B" w:rsidRDefault="00216981" w:rsidP="00970321">
            <w:pPr>
              <w:pStyle w:val="Heading5"/>
              <w:spacing w:before="60" w:after="60" w:line="240" w:lineRule="atLeast"/>
              <w:jc w:val="both"/>
              <w:rPr>
                <w:rFonts w:eastAsia="Calibri" w:cs="Arial"/>
                <w:b/>
                <w:color w:val="auto"/>
              </w:rPr>
            </w:pPr>
            <w:r>
              <w:rPr>
                <w:rFonts w:cs="Arial"/>
                <w:b/>
                <w:color w:val="auto"/>
              </w:rPr>
              <w:t xml:space="preserve">2.2   </w:t>
            </w:r>
            <w:r w:rsidR="0062657E" w:rsidRPr="00384E9B">
              <w:rPr>
                <w:rFonts w:cs="Arial"/>
                <w:b/>
                <w:color w:val="auto"/>
              </w:rPr>
              <w:t>What regulatory system</w:t>
            </w:r>
            <w:r w:rsidR="00D96EB2">
              <w:rPr>
                <w:rFonts w:cs="Arial"/>
                <w:b/>
                <w:color w:val="auto"/>
              </w:rPr>
              <w:t>(s)</w:t>
            </w:r>
            <w:r w:rsidR="0062657E" w:rsidRPr="00384E9B">
              <w:rPr>
                <w:rFonts w:cs="Arial"/>
                <w:b/>
                <w:color w:val="auto"/>
              </w:rPr>
              <w:t xml:space="preserve"> are already in place?</w:t>
            </w:r>
          </w:p>
        </w:tc>
      </w:tr>
      <w:tr w:rsidR="009C4129" w:rsidRPr="009C4129" w14:paraId="3048CAEB" w14:textId="77777777" w:rsidTr="42A004F7">
        <w:tc>
          <w:tcPr>
            <w:tcW w:w="9072" w:type="dxa"/>
            <w:shd w:val="clear" w:color="auto" w:fill="EBF5F8"/>
          </w:tcPr>
          <w:p w14:paraId="257C6559" w14:textId="6DC22F3F" w:rsidR="0062657E" w:rsidRPr="00384E9B" w:rsidRDefault="0062657E" w:rsidP="00DF06EE">
            <w:pPr>
              <w:pStyle w:val="Bullet-list"/>
              <w:numPr>
                <w:ilvl w:val="0"/>
                <w:numId w:val="0"/>
              </w:numPr>
              <w:spacing w:before="60" w:after="120" w:line="276" w:lineRule="auto"/>
              <w:ind w:left="720" w:hanging="360"/>
              <w:rPr>
                <w:rFonts w:cs="Arial"/>
                <w:i/>
                <w:szCs w:val="22"/>
                <w:lang w:eastAsia="en-AU"/>
              </w:rPr>
            </w:pPr>
          </w:p>
        </w:tc>
      </w:tr>
      <w:tr w:rsidR="009C4129" w:rsidRPr="009C4129" w14:paraId="0B3EF53E" w14:textId="77777777" w:rsidTr="42A004F7">
        <w:trPr>
          <w:trHeight w:val="3711"/>
        </w:trPr>
        <w:tc>
          <w:tcPr>
            <w:tcW w:w="9072" w:type="dxa"/>
            <w:shd w:val="clear" w:color="auto" w:fill="FFFFFF" w:themeFill="background1"/>
          </w:tcPr>
          <w:p w14:paraId="56EA2014" w14:textId="77777777" w:rsidR="00CD2472" w:rsidRPr="00816BA9" w:rsidRDefault="00CD2472" w:rsidP="00816BA9">
            <w:pPr>
              <w:pStyle w:val="Bullet-list"/>
              <w:rPr>
                <w:rFonts w:cs="Arial"/>
                <w:i/>
                <w:szCs w:val="22"/>
                <w:lang w:eastAsia="en-NZ"/>
              </w:rPr>
            </w:pPr>
            <w:r w:rsidRPr="00816BA9">
              <w:rPr>
                <w:rFonts w:cs="Arial"/>
                <w:i/>
                <w:szCs w:val="22"/>
                <w:lang w:eastAsia="en-NZ"/>
              </w:rPr>
              <w:t>What are the key features of the regulatory system(s), including any existing regulation or government interventions/programmes? What are its objectives?</w:t>
            </w:r>
          </w:p>
          <w:p w14:paraId="739D6D10" w14:textId="27FD1945" w:rsidR="0062657E" w:rsidRPr="00384E9B" w:rsidRDefault="64C313B4" w:rsidP="00816BA9">
            <w:pPr>
              <w:spacing w:after="120" w:line="240" w:lineRule="auto"/>
              <w:rPr>
                <w:lang w:eastAsia="en-AU"/>
              </w:rPr>
            </w:pPr>
            <w:r w:rsidRPr="42A004F7">
              <w:rPr>
                <w:lang w:eastAsia="en-AU"/>
              </w:rPr>
              <w:t>The below diagram summarises the economic support landscape</w:t>
            </w:r>
            <w:r w:rsidR="00152291">
              <w:rPr>
                <w:lang w:eastAsia="en-AU"/>
              </w:rPr>
              <w:t xml:space="preserve"> as of January 2021</w:t>
            </w:r>
            <w:r w:rsidRPr="42A004F7">
              <w:rPr>
                <w:lang w:eastAsia="en-AU"/>
              </w:rPr>
              <w:t>, including with the addition</w:t>
            </w:r>
            <w:r w:rsidR="1D5DC3FA" w:rsidRPr="42A004F7">
              <w:rPr>
                <w:lang w:eastAsia="en-AU"/>
              </w:rPr>
              <w:t xml:space="preserve"> of</w:t>
            </w:r>
            <w:r w:rsidRPr="42A004F7">
              <w:rPr>
                <w:lang w:eastAsia="en-AU"/>
              </w:rPr>
              <w:t xml:space="preserve"> the RSP, at different Alert Levels</w:t>
            </w:r>
            <w:r w:rsidR="1D5DC3FA" w:rsidRPr="42A004F7">
              <w:rPr>
                <w:lang w:eastAsia="en-AU"/>
              </w:rPr>
              <w:t xml:space="preserve">. </w:t>
            </w:r>
            <w:r w:rsidR="1D5DC3FA">
              <w:t>The suite of interventions support the Government’s first overarching objective to keep New Zealanders safe from COVID-19, including by protecting jobs and livelihoods, and strengthening the economy. It does so by ensuring a package of financial support is in place for businesses and individuals in the event of Alert Level escalations following future resurgences of COVID-19 in the community, with the aim of limiting the economic and social impacts if outbreaks occur. It also seeks to reduce the risk of resurgences by supporting workers to stay home when sick. These goals are complementary, as protecting New Zealanders from the virus will also support economic activity resuming quickly after any outbreaks</w:t>
            </w:r>
            <w:r w:rsidR="02DB2ECD">
              <w:t>.</w:t>
            </w:r>
            <w:r w:rsidR="7FAA70B7">
              <w:br/>
            </w:r>
            <w:r w:rsidR="7FAA70B7">
              <w:br/>
            </w:r>
            <w:r>
              <w:rPr>
                <w:noProof/>
                <w:lang w:val="en-NZ" w:eastAsia="en-NZ"/>
              </w:rPr>
              <w:drawing>
                <wp:inline distT="0" distB="0" distL="0" distR="0" wp14:anchorId="02D02466" wp14:editId="29A434B2">
                  <wp:extent cx="5581648" cy="2833693"/>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5581648" cy="2833693"/>
                          </a:xfrm>
                          <a:prstGeom prst="rect">
                            <a:avLst/>
                          </a:prstGeom>
                        </pic:spPr>
                      </pic:pic>
                    </a:graphicData>
                  </a:graphic>
                </wp:inline>
              </w:drawing>
            </w:r>
          </w:p>
          <w:p w14:paraId="5E754B08" w14:textId="77777777" w:rsidR="00CD2472" w:rsidRPr="00816BA9" w:rsidRDefault="00CD2472" w:rsidP="00816BA9">
            <w:pPr>
              <w:pStyle w:val="Bullet-list"/>
              <w:numPr>
                <w:ilvl w:val="0"/>
                <w:numId w:val="32"/>
              </w:numPr>
              <w:spacing w:after="120" w:line="240" w:lineRule="auto"/>
              <w:rPr>
                <w:rFonts w:cs="Arial"/>
                <w:i/>
                <w:szCs w:val="22"/>
                <w:lang w:eastAsia="en-NZ"/>
              </w:rPr>
            </w:pPr>
            <w:r w:rsidRPr="00816BA9">
              <w:rPr>
                <w:rFonts w:cs="Arial"/>
                <w:i/>
                <w:szCs w:val="22"/>
                <w:lang w:eastAsia="en-NZ"/>
              </w:rPr>
              <w:t xml:space="preserve">Why is Government regulation preferable to private arrangements in this area? </w:t>
            </w:r>
          </w:p>
          <w:p w14:paraId="486575DB" w14:textId="6F57C6E1" w:rsidR="0086176E" w:rsidRDefault="0086176E" w:rsidP="00816BA9">
            <w:pPr>
              <w:spacing w:after="120" w:line="240" w:lineRule="auto"/>
              <w:rPr>
                <w:lang w:eastAsia="en-AU"/>
              </w:rPr>
            </w:pPr>
            <w:r>
              <w:rPr>
                <w:lang w:eastAsia="en-AU"/>
              </w:rPr>
              <w:t xml:space="preserve">Public health restrictions attempt to </w:t>
            </w:r>
            <w:r w:rsidR="00521664">
              <w:rPr>
                <w:lang w:eastAsia="en-AU"/>
              </w:rPr>
              <w:t>provide protection from COVD-19;</w:t>
            </w:r>
            <w:r>
              <w:rPr>
                <w:lang w:eastAsia="en-AU"/>
              </w:rPr>
              <w:t xml:space="preserve"> firmly an intervention that should and could only be undertaken by government. However, the economic costs of the public health restrictions (such as Alert Level changes), land upon individuals and businesses. It is appropriate for government to share some of these costs, consistent with the provision of public goods.</w:t>
            </w:r>
          </w:p>
          <w:p w14:paraId="796DFAE4" w14:textId="7364482C" w:rsidR="002428A4" w:rsidRDefault="00CD2472" w:rsidP="00816BA9">
            <w:pPr>
              <w:spacing w:after="120" w:line="240" w:lineRule="auto"/>
              <w:rPr>
                <w:lang w:eastAsia="en-AU"/>
              </w:rPr>
            </w:pPr>
            <w:r w:rsidRPr="371AF6ED">
              <w:rPr>
                <w:lang w:eastAsia="en-AU"/>
              </w:rPr>
              <w:t>The Treasury</w:t>
            </w:r>
            <w:r w:rsidR="449D3931" w:rsidRPr="371AF6ED">
              <w:rPr>
                <w:lang w:eastAsia="en-AU"/>
              </w:rPr>
              <w:t>’s latest</w:t>
            </w:r>
            <w:r w:rsidRPr="371AF6ED">
              <w:rPr>
                <w:lang w:eastAsia="en-AU"/>
              </w:rPr>
              <w:t xml:space="preserve"> estimates </w:t>
            </w:r>
            <w:r w:rsidR="00127C30" w:rsidRPr="371AF6ED">
              <w:rPr>
                <w:lang w:eastAsia="en-AU"/>
              </w:rPr>
              <w:t xml:space="preserve">that the negative impacts </w:t>
            </w:r>
            <w:r w:rsidR="794D04A2" w:rsidRPr="1850D9AA">
              <w:rPr>
                <w:lang w:eastAsia="en-AU"/>
              </w:rPr>
              <w:t xml:space="preserve">to </w:t>
            </w:r>
            <w:r w:rsidR="794D04A2" w:rsidRPr="1B457CB6">
              <w:rPr>
                <w:lang w:eastAsia="en-AU"/>
              </w:rPr>
              <w:t xml:space="preserve">GDP </w:t>
            </w:r>
            <w:r w:rsidR="00127C30" w:rsidRPr="371AF6ED">
              <w:rPr>
                <w:lang w:eastAsia="en-AU"/>
              </w:rPr>
              <w:t>from Alert Level restrictions (relative to pre-pandemic levels) are:</w:t>
            </w:r>
          </w:p>
          <w:p w14:paraId="45BA014A" w14:textId="16C1BD42" w:rsidR="00127C30" w:rsidRDefault="00127C30" w:rsidP="00816BA9">
            <w:pPr>
              <w:pStyle w:val="ListParagraph"/>
              <w:numPr>
                <w:ilvl w:val="0"/>
                <w:numId w:val="34"/>
              </w:numPr>
              <w:spacing w:after="120" w:line="240" w:lineRule="auto"/>
              <w:contextualSpacing w:val="0"/>
            </w:pPr>
            <w:r>
              <w:t xml:space="preserve">-25% to -30% at Alert Level 4 </w:t>
            </w:r>
          </w:p>
          <w:p w14:paraId="38350200" w14:textId="707908DE" w:rsidR="00127C30" w:rsidRDefault="00127C30" w:rsidP="00816BA9">
            <w:pPr>
              <w:pStyle w:val="ListParagraph"/>
              <w:numPr>
                <w:ilvl w:val="0"/>
                <w:numId w:val="34"/>
              </w:numPr>
              <w:spacing w:after="120" w:line="240" w:lineRule="auto"/>
              <w:contextualSpacing w:val="0"/>
            </w:pPr>
            <w:r>
              <w:t xml:space="preserve">-15% to -20% at Alert Level 3  </w:t>
            </w:r>
          </w:p>
          <w:p w14:paraId="215E9B2E" w14:textId="7DB31351" w:rsidR="00127C30" w:rsidRDefault="00127C30" w:rsidP="00816BA9">
            <w:pPr>
              <w:pStyle w:val="ListParagraph"/>
              <w:numPr>
                <w:ilvl w:val="0"/>
                <w:numId w:val="34"/>
              </w:numPr>
              <w:spacing w:after="120" w:line="240" w:lineRule="auto"/>
              <w:contextualSpacing w:val="0"/>
            </w:pPr>
            <w:r>
              <w:t xml:space="preserve">-6% to -10% at Alert Level 2  </w:t>
            </w:r>
          </w:p>
          <w:p w14:paraId="3614D9EC" w14:textId="0791CFBC" w:rsidR="00127C30" w:rsidRDefault="65EDF04F" w:rsidP="00816BA9">
            <w:pPr>
              <w:pStyle w:val="ListParagraph"/>
              <w:numPr>
                <w:ilvl w:val="0"/>
                <w:numId w:val="34"/>
              </w:numPr>
              <w:spacing w:after="120" w:line="240" w:lineRule="auto"/>
              <w:contextualSpacing w:val="0"/>
              <w:rPr>
                <w:lang w:eastAsia="en-AU"/>
              </w:rPr>
            </w:pPr>
            <w:r>
              <w:t>-3% to -5% at Alert Level 1</w:t>
            </w:r>
            <w:r w:rsidR="01482F66">
              <w:t>.</w:t>
            </w:r>
          </w:p>
          <w:p w14:paraId="3CC849AC" w14:textId="444F0118" w:rsidR="00127C30" w:rsidRDefault="00127C30" w:rsidP="00816BA9">
            <w:pPr>
              <w:spacing w:after="120" w:line="240" w:lineRule="auto"/>
              <w:rPr>
                <w:rFonts w:eastAsia="Arial" w:cs="Arial"/>
                <w:color w:val="D13438"/>
                <w:szCs w:val="22"/>
              </w:rPr>
            </w:pPr>
            <w:r w:rsidRPr="342C5B05">
              <w:rPr>
                <w:lang w:eastAsia="en-AU"/>
              </w:rPr>
              <w:t xml:space="preserve">These are significant impacts with distributional consequences and scarring effects that </w:t>
            </w:r>
            <w:r w:rsidRPr="00DD4B6E">
              <w:rPr>
                <w:lang w:eastAsia="en-AU"/>
              </w:rPr>
              <w:t>require interventions at a scale only the Government can provide</w:t>
            </w:r>
            <w:r w:rsidR="00DD4B6E" w:rsidRPr="00DD4B6E">
              <w:rPr>
                <w:lang w:eastAsia="en-AU"/>
              </w:rPr>
              <w:t xml:space="preserve"> via broad-based </w:t>
            </w:r>
            <w:r w:rsidR="13E9DAC5" w:rsidRPr="00DD4B6E">
              <w:rPr>
                <w:rFonts w:eastAsia="Arial" w:cs="Arial"/>
                <w:szCs w:val="22"/>
              </w:rPr>
              <w:t>support.</w:t>
            </w:r>
          </w:p>
          <w:p w14:paraId="3589A2A2" w14:textId="09E66441" w:rsidR="00127C30" w:rsidRDefault="00127C30" w:rsidP="00816BA9">
            <w:pPr>
              <w:pStyle w:val="Bullet-list"/>
              <w:spacing w:after="120" w:line="240" w:lineRule="auto"/>
              <w:ind w:left="626" w:hanging="626"/>
              <w:rPr>
                <w:rFonts w:cs="Arial"/>
                <w:i/>
                <w:szCs w:val="22"/>
                <w:lang w:eastAsia="en-AU"/>
              </w:rPr>
            </w:pPr>
            <w:r w:rsidRPr="00384E9B">
              <w:rPr>
                <w:rFonts w:cs="Arial"/>
                <w:i/>
                <w:szCs w:val="22"/>
                <w:lang w:eastAsia="en-AU"/>
              </w:rPr>
              <w:t xml:space="preserve">Has the overall fitness-for-purpose of the system </w:t>
            </w:r>
            <w:proofErr w:type="gramStart"/>
            <w:r w:rsidRPr="00384E9B">
              <w:rPr>
                <w:rFonts w:cs="Arial"/>
                <w:i/>
                <w:szCs w:val="22"/>
                <w:lang w:eastAsia="en-AU"/>
              </w:rPr>
              <w:t>as a whole been</w:t>
            </w:r>
            <w:proofErr w:type="gramEnd"/>
            <w:r w:rsidRPr="00384E9B">
              <w:rPr>
                <w:rFonts w:cs="Arial"/>
                <w:i/>
                <w:szCs w:val="22"/>
                <w:lang w:eastAsia="en-AU"/>
              </w:rPr>
              <w:t xml:space="preserve"> assessed?  When</w:t>
            </w:r>
            <w:r>
              <w:rPr>
                <w:rFonts w:cs="Arial"/>
                <w:i/>
                <w:szCs w:val="22"/>
                <w:lang w:eastAsia="en-AU"/>
              </w:rPr>
              <w:t xml:space="preserve"> </w:t>
            </w:r>
            <w:r w:rsidRPr="00384E9B">
              <w:rPr>
                <w:rFonts w:cs="Arial"/>
                <w:i/>
                <w:szCs w:val="22"/>
                <w:lang w:eastAsia="en-AU"/>
              </w:rPr>
              <w:t>and with what result?</w:t>
            </w:r>
            <w:r w:rsidR="005E6942">
              <w:rPr>
                <w:rFonts w:cs="Arial"/>
                <w:i/>
                <w:szCs w:val="22"/>
                <w:lang w:eastAsia="en-AU"/>
              </w:rPr>
              <w:t xml:space="preserve"> What interdependencies or connections are there to other existing issues or on-going work?</w:t>
            </w:r>
            <w:r w:rsidR="005E6942" w:rsidRPr="00384E9B">
              <w:rPr>
                <w:rFonts w:cs="Arial"/>
                <w:i/>
                <w:szCs w:val="22"/>
                <w:lang w:eastAsia="en-AU"/>
              </w:rPr>
              <w:t xml:space="preserve">  </w:t>
            </w:r>
          </w:p>
          <w:p w14:paraId="3DCFD0EE" w14:textId="71457F10" w:rsidR="002428A4" w:rsidRDefault="00127C30" w:rsidP="00816BA9">
            <w:pPr>
              <w:spacing w:after="120" w:line="240" w:lineRule="auto"/>
              <w:rPr>
                <w:rFonts w:cs="Arial"/>
                <w:szCs w:val="22"/>
                <w:lang w:eastAsia="en-AU"/>
              </w:rPr>
            </w:pPr>
            <w:r>
              <w:rPr>
                <w:rFonts w:cs="Arial"/>
                <w:szCs w:val="22"/>
                <w:lang w:eastAsia="en-AU"/>
              </w:rPr>
              <w:t xml:space="preserve">Part of the rationale for the introduction of a new RSP at Alert Level 2 was to fill a gap in the support available to businesses as the cumulative impacts of higher public health restrictions added additional stress to balance sheets. </w:t>
            </w:r>
          </w:p>
          <w:p w14:paraId="7D3AD9C4" w14:textId="6235711B" w:rsidR="00127C30" w:rsidRDefault="00127C30" w:rsidP="00816BA9">
            <w:pPr>
              <w:spacing w:after="120" w:line="240" w:lineRule="auto"/>
            </w:pPr>
            <w:r>
              <w:t xml:space="preserve">In designing the intervention, officials attempted to achieve consistency between the RSP, </w:t>
            </w:r>
            <w:r w:rsidR="003A1477">
              <w:t>WSS</w:t>
            </w:r>
            <w:r>
              <w:t xml:space="preserve"> and the </w:t>
            </w:r>
            <w:r w:rsidR="0015704B">
              <w:t>SBCS</w:t>
            </w:r>
            <w:r>
              <w:t xml:space="preserve">, where sensible, so as to reduce business confusion. </w:t>
            </w:r>
          </w:p>
          <w:p w14:paraId="21B3E542" w14:textId="77777777" w:rsidR="00127C30" w:rsidRDefault="00127C30" w:rsidP="00816BA9">
            <w:pPr>
              <w:spacing w:after="120" w:line="240" w:lineRule="auto"/>
            </w:pPr>
            <w:r>
              <w:t xml:space="preserve">This is reflected in a number of the settings proposed above for the RSP, including many of the settings relating to business declarations and business eligibility. </w:t>
            </w:r>
          </w:p>
          <w:p w14:paraId="7D0EE539" w14:textId="50A291C6" w:rsidR="0062657E" w:rsidRPr="002428A4" w:rsidRDefault="00127C30" w:rsidP="00816BA9">
            <w:pPr>
              <w:spacing w:after="120" w:line="240" w:lineRule="auto"/>
              <w:rPr>
                <w:rFonts w:cs="Arial"/>
                <w:lang w:eastAsia="en-AU"/>
              </w:rPr>
            </w:pPr>
            <w:r>
              <w:t xml:space="preserve">There are other settings that are not in alignment. Some are based on policy grounds, such as the differing revenue drop thresholds under the RSP and </w:t>
            </w:r>
            <w:r w:rsidR="003A1477">
              <w:t>WSS</w:t>
            </w:r>
            <w:r>
              <w:t xml:space="preserve"> reflecting the schemes’ different purposes</w:t>
            </w:r>
            <w:r w:rsidR="005E6942">
              <w:t xml:space="preserve"> at different Alert Levels</w:t>
            </w:r>
            <w:r>
              <w:t xml:space="preserve">. Others are based on the fact that there will be different agencies implementing the schemes, with different system capabilities and different approaches to achieving necessary scheme integrity. </w:t>
            </w:r>
            <w:r w:rsidR="002428A4">
              <w:tab/>
            </w:r>
          </w:p>
        </w:tc>
      </w:tr>
    </w:tbl>
    <w:p w14:paraId="0952FB1B" w14:textId="77777777" w:rsidR="0062657E" w:rsidRDefault="0062657E" w:rsidP="007B090A">
      <w:pPr>
        <w:pStyle w:val="spacer"/>
        <w:spacing w:line="276" w:lineRule="auto"/>
        <w:rPr>
          <w:rFonts w:cs="Arial"/>
          <w:sz w:val="22"/>
        </w:rPr>
      </w:pPr>
    </w:p>
    <w:p w14:paraId="7F59CCC9" w14:textId="77777777" w:rsidR="00106F44" w:rsidRPr="009C4129" w:rsidRDefault="00106F44" w:rsidP="007B090A">
      <w:pPr>
        <w:pStyle w:val="spacer"/>
        <w:spacing w:line="276" w:lineRule="auto"/>
        <w:rPr>
          <w:rFonts w:cs="Arial"/>
          <w:sz w:val="22"/>
        </w:rPr>
      </w:pPr>
    </w:p>
    <w:tbl>
      <w:tblPr>
        <w:tblW w:w="487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1"/>
      </w:tblGrid>
      <w:tr w:rsidR="009C4129" w:rsidRPr="009C4129" w14:paraId="48F4418F" w14:textId="77777777" w:rsidTr="00106F44">
        <w:trPr>
          <w:trHeight w:val="76"/>
        </w:trPr>
        <w:tc>
          <w:tcPr>
            <w:tcW w:w="5000" w:type="pct"/>
            <w:tcBorders>
              <w:top w:val="single" w:sz="4" w:space="0" w:color="DDDDDD"/>
              <w:left w:val="single" w:sz="4" w:space="0" w:color="DDDDDD"/>
              <w:bottom w:val="single" w:sz="4" w:space="0" w:color="DDDDDD"/>
              <w:right w:val="single" w:sz="4" w:space="0" w:color="DDDDDD"/>
            </w:tcBorders>
            <w:shd w:val="clear" w:color="auto" w:fill="99CDDD"/>
            <w:hideMark/>
          </w:tcPr>
          <w:p w14:paraId="4F77FB65" w14:textId="5241A81D" w:rsidR="0062657E" w:rsidRPr="009C4129" w:rsidRDefault="00B87AED" w:rsidP="00DF2E7B">
            <w:pPr>
              <w:pStyle w:val="Heading5"/>
              <w:spacing w:before="60" w:after="60" w:line="240" w:lineRule="auto"/>
              <w:jc w:val="both"/>
              <w:rPr>
                <w:rFonts w:cs="Arial"/>
                <w:b/>
                <w:color w:val="auto"/>
              </w:rPr>
            </w:pPr>
            <w:r>
              <w:rPr>
                <w:rFonts w:cs="Arial"/>
                <w:b/>
                <w:color w:val="auto"/>
              </w:rPr>
              <w:t xml:space="preserve">2.3   </w:t>
            </w:r>
            <w:r w:rsidR="0062657E" w:rsidRPr="009C4129">
              <w:rPr>
                <w:rFonts w:cs="Arial"/>
                <w:b/>
                <w:color w:val="auto"/>
              </w:rPr>
              <w:t xml:space="preserve">What is the policy problem or opportunity? </w:t>
            </w:r>
          </w:p>
        </w:tc>
      </w:tr>
      <w:tr w:rsidR="009C4129" w:rsidRPr="009C4129" w14:paraId="7B40F867" w14:textId="77777777" w:rsidTr="00106F44">
        <w:trPr>
          <w:trHeight w:val="505"/>
        </w:trPr>
        <w:tc>
          <w:tcPr>
            <w:tcW w:w="5000" w:type="pct"/>
            <w:tcBorders>
              <w:top w:val="single" w:sz="4" w:space="0" w:color="DDDDDD"/>
              <w:left w:val="single" w:sz="4" w:space="0" w:color="DDDDDD"/>
              <w:bottom w:val="single" w:sz="4" w:space="0" w:color="DDDDDD"/>
              <w:right w:val="single" w:sz="4" w:space="0" w:color="DDDDDD"/>
            </w:tcBorders>
            <w:shd w:val="clear" w:color="auto" w:fill="EBF5F8"/>
          </w:tcPr>
          <w:p w14:paraId="5D83EC0E" w14:textId="38E24B3A" w:rsidR="0062657E" w:rsidRPr="00816BA9" w:rsidRDefault="00D821E3" w:rsidP="00816BA9">
            <w:pPr>
              <w:pStyle w:val="Bullet-list"/>
              <w:rPr>
                <w:rFonts w:cs="Arial"/>
                <w:i/>
                <w:szCs w:val="22"/>
                <w:lang w:eastAsia="en-NZ"/>
              </w:rPr>
            </w:pPr>
            <w:r w:rsidRPr="00816BA9">
              <w:rPr>
                <w:rFonts w:cs="Arial"/>
                <w:i/>
                <w:szCs w:val="22"/>
                <w:lang w:eastAsia="en-NZ"/>
              </w:rPr>
              <w:t xml:space="preserve">How is the situation expected to develop if no further action is taken, and why is this a problem? </w:t>
            </w:r>
            <w:r w:rsidR="009F3DFA" w:rsidRPr="00816BA9">
              <w:rPr>
                <w:rFonts w:cs="Arial"/>
                <w:i/>
                <w:szCs w:val="22"/>
                <w:lang w:eastAsia="en-NZ"/>
              </w:rPr>
              <w:t>(</w:t>
            </w:r>
            <w:r w:rsidRPr="00816BA9">
              <w:rPr>
                <w:rFonts w:cs="Arial"/>
                <w:i/>
                <w:szCs w:val="22"/>
                <w:lang w:eastAsia="en-NZ"/>
              </w:rPr>
              <w:t>This is the basis for comparing options against each other</w:t>
            </w:r>
            <w:r w:rsidR="00D96EB2" w:rsidRPr="00816BA9">
              <w:rPr>
                <w:rFonts w:cs="Arial"/>
                <w:i/>
                <w:szCs w:val="22"/>
                <w:lang w:eastAsia="en-NZ"/>
              </w:rPr>
              <w:t>)</w:t>
            </w:r>
            <w:r w:rsidRPr="00816BA9">
              <w:rPr>
                <w:rFonts w:cs="Arial"/>
                <w:i/>
                <w:szCs w:val="22"/>
                <w:lang w:eastAsia="en-NZ"/>
              </w:rPr>
              <w:t>.</w:t>
            </w:r>
          </w:p>
          <w:p w14:paraId="2903BE83" w14:textId="52855898" w:rsidR="0062657E" w:rsidRPr="00816BA9" w:rsidRDefault="0062657E" w:rsidP="00816BA9">
            <w:pPr>
              <w:pStyle w:val="Bullet-list"/>
              <w:rPr>
                <w:rFonts w:cs="Arial"/>
                <w:i/>
                <w:szCs w:val="22"/>
                <w:lang w:eastAsia="en-NZ"/>
              </w:rPr>
            </w:pPr>
            <w:r w:rsidRPr="00816BA9">
              <w:rPr>
                <w:rFonts w:cs="Arial"/>
                <w:i/>
                <w:szCs w:val="22"/>
                <w:lang w:eastAsia="en-NZ"/>
              </w:rPr>
              <w:t>What is the nature, scope and scale of the loss or harm being experienced</w:t>
            </w:r>
            <w:r w:rsidR="00D96EB2" w:rsidRPr="00816BA9">
              <w:rPr>
                <w:rFonts w:cs="Arial"/>
                <w:i/>
                <w:szCs w:val="22"/>
                <w:lang w:eastAsia="en-NZ"/>
              </w:rPr>
              <w:t>,</w:t>
            </w:r>
            <w:r w:rsidRPr="00816BA9">
              <w:rPr>
                <w:rFonts w:cs="Arial"/>
                <w:i/>
                <w:szCs w:val="22"/>
                <w:lang w:eastAsia="en-NZ"/>
              </w:rPr>
              <w:t xml:space="preserve"> or the opportunity for improvement? How important is this to the achievement (or not) of the overall system objectives?</w:t>
            </w:r>
          </w:p>
          <w:p w14:paraId="0FB070DF" w14:textId="77777777" w:rsidR="0062657E" w:rsidRPr="00816BA9" w:rsidRDefault="0062657E" w:rsidP="00816BA9">
            <w:pPr>
              <w:pStyle w:val="Bullet-list"/>
              <w:rPr>
                <w:rFonts w:cs="Arial"/>
                <w:i/>
                <w:szCs w:val="22"/>
                <w:lang w:eastAsia="en-NZ"/>
              </w:rPr>
            </w:pPr>
            <w:r w:rsidRPr="00816BA9">
              <w:rPr>
                <w:rFonts w:cs="Arial"/>
                <w:i/>
                <w:szCs w:val="22"/>
                <w:lang w:eastAsia="en-NZ"/>
              </w:rPr>
              <w:t xml:space="preserve">What is the underlying cause of the problem? Why cannot individuals or firms be expected to sort it out themselves under existing arrangements? </w:t>
            </w:r>
          </w:p>
          <w:p w14:paraId="7EE6E736" w14:textId="53FF3D56" w:rsidR="00940ACB" w:rsidRDefault="0062657E" w:rsidP="00816BA9">
            <w:pPr>
              <w:pStyle w:val="Bullet-list"/>
            </w:pPr>
            <w:r w:rsidRPr="00816BA9">
              <w:rPr>
                <w:rFonts w:cs="Arial"/>
                <w:i/>
                <w:szCs w:val="22"/>
                <w:lang w:eastAsia="en-NZ"/>
              </w:rPr>
              <w:t>How robust is the evidence supporting this assessment?</w:t>
            </w:r>
          </w:p>
          <w:p w14:paraId="6F13F036" w14:textId="77777777" w:rsidR="00940ACB" w:rsidRPr="00940ACB" w:rsidRDefault="00940ACB" w:rsidP="00940ACB">
            <w:pPr>
              <w:rPr>
                <w:lang w:val="en-AU" w:eastAsia="en-US"/>
              </w:rPr>
            </w:pPr>
          </w:p>
          <w:p w14:paraId="10AA0563" w14:textId="77777777" w:rsidR="00940ACB" w:rsidRPr="00940ACB" w:rsidRDefault="00940ACB" w:rsidP="00940ACB">
            <w:pPr>
              <w:rPr>
                <w:lang w:val="en-AU" w:eastAsia="en-US"/>
              </w:rPr>
            </w:pPr>
          </w:p>
          <w:p w14:paraId="01E0FC44" w14:textId="6AF33E4D" w:rsidR="0062657E" w:rsidRPr="00940ACB" w:rsidRDefault="0062657E" w:rsidP="00940ACB">
            <w:pPr>
              <w:jc w:val="center"/>
              <w:rPr>
                <w:lang w:val="en-AU" w:eastAsia="en-US"/>
              </w:rPr>
            </w:pPr>
          </w:p>
        </w:tc>
      </w:tr>
      <w:tr w:rsidR="009C4129" w:rsidRPr="009C4129" w14:paraId="694FAD63" w14:textId="77777777" w:rsidTr="00106F44">
        <w:trPr>
          <w:trHeight w:val="4022"/>
        </w:trPr>
        <w:tc>
          <w:tcPr>
            <w:tcW w:w="5000" w:type="pct"/>
            <w:tcBorders>
              <w:top w:val="single" w:sz="4" w:space="0" w:color="DDDDDD"/>
              <w:left w:val="single" w:sz="4" w:space="0" w:color="DDDDDD"/>
              <w:bottom w:val="single" w:sz="4" w:space="0" w:color="DDDDDD"/>
              <w:right w:val="single" w:sz="4" w:space="0" w:color="DDDDDD"/>
            </w:tcBorders>
            <w:shd w:val="clear" w:color="auto" w:fill="FFFFFF" w:themeFill="background1"/>
          </w:tcPr>
          <w:p w14:paraId="1095B9CF" w14:textId="41B2DFD7" w:rsidR="00C31AD7" w:rsidRDefault="1B5B5A92" w:rsidP="00816BA9">
            <w:pPr>
              <w:spacing w:after="120" w:line="240" w:lineRule="auto"/>
              <w:rPr>
                <w:lang w:eastAsia="en-AU"/>
              </w:rPr>
            </w:pPr>
            <w:r w:rsidRPr="26432309">
              <w:rPr>
                <w:lang w:eastAsia="en-AU"/>
              </w:rPr>
              <w:t>T</w:t>
            </w:r>
            <w:r w:rsidR="0DB892C9" w:rsidRPr="26432309">
              <w:rPr>
                <w:lang w:eastAsia="en-AU"/>
              </w:rPr>
              <w:t>he</w:t>
            </w:r>
            <w:r w:rsidR="0A7CA79F" w:rsidRPr="371AF6ED">
              <w:rPr>
                <w:lang w:eastAsia="en-AU"/>
              </w:rPr>
              <w:t xml:space="preserve"> </w:t>
            </w:r>
            <w:r w:rsidR="47982A67" w:rsidRPr="371AF6ED">
              <w:rPr>
                <w:lang w:eastAsia="en-AU"/>
              </w:rPr>
              <w:t xml:space="preserve">estimated </w:t>
            </w:r>
            <w:r w:rsidR="0A7CA79F" w:rsidRPr="371AF6ED">
              <w:rPr>
                <w:lang w:eastAsia="en-AU"/>
              </w:rPr>
              <w:t xml:space="preserve">negative impacts from Alert Level restrictions (relative to pre-pandemic levels) </w:t>
            </w:r>
            <w:r w:rsidR="0B2E8D6C" w:rsidRPr="371AF6ED">
              <w:rPr>
                <w:lang w:eastAsia="en-AU"/>
              </w:rPr>
              <w:t xml:space="preserve">described in box 2.2 </w:t>
            </w:r>
            <w:r w:rsidR="5F89BFED" w:rsidRPr="3EF30BF3">
              <w:rPr>
                <w:lang w:eastAsia="en-AU"/>
              </w:rPr>
              <w:t>are</w:t>
            </w:r>
            <w:r w:rsidR="437D19AE">
              <w:t xml:space="preserve"> significant</w:t>
            </w:r>
            <w:r w:rsidR="7871B786">
              <w:t>,</w:t>
            </w:r>
            <w:r w:rsidR="7A169BF1" w:rsidDel="437D19AE">
              <w:t xml:space="preserve"> </w:t>
            </w:r>
            <w:r w:rsidR="437D19AE">
              <w:t>with distributional consequences and scarring effects that require interventions at a scale only the Government can provide</w:t>
            </w:r>
            <w:r w:rsidR="353CFE86">
              <w:t xml:space="preserve"> through broad-based support</w:t>
            </w:r>
            <w:r w:rsidR="437D19AE">
              <w:t xml:space="preserve">. </w:t>
            </w:r>
          </w:p>
          <w:p w14:paraId="470DD37C" w14:textId="61527DB2" w:rsidR="00C65E07" w:rsidRDefault="17990DD8" w:rsidP="00816BA9">
            <w:pPr>
              <w:spacing w:after="120" w:line="240" w:lineRule="auto"/>
              <w:rPr>
                <w:lang w:eastAsia="en-AU"/>
              </w:rPr>
            </w:pPr>
            <w:r w:rsidRPr="01C3232A">
              <w:rPr>
                <w:lang w:eastAsia="en-AU"/>
              </w:rPr>
              <w:t>We know that Alert Level restrictions have an uneven impact across industries.</w:t>
            </w:r>
            <w:r w:rsidR="4D941024" w:rsidRPr="01C3232A">
              <w:rPr>
                <w:lang w:eastAsia="en-AU"/>
              </w:rPr>
              <w:t xml:space="preserve"> Industries that find it costly to adapt operations for delivery under Alert Level settings, given the general necessity of in-person, on-site service provision, are under significant pressure. “Essential </w:t>
            </w:r>
            <w:r w:rsidR="4C37CC56" w:rsidRPr="01C3232A">
              <w:rPr>
                <w:lang w:eastAsia="en-AU"/>
              </w:rPr>
              <w:t>Service</w:t>
            </w:r>
            <w:r w:rsidR="4D941024" w:rsidRPr="01C3232A">
              <w:rPr>
                <w:lang w:eastAsia="en-AU"/>
              </w:rPr>
              <w:t xml:space="preserve">s” definitions were used to form a view of which firms were able to operate at the higher </w:t>
            </w:r>
            <w:r w:rsidR="00521664">
              <w:rPr>
                <w:lang w:eastAsia="en-AU"/>
              </w:rPr>
              <w:t>Alert L</w:t>
            </w:r>
            <w:r w:rsidR="4D941024" w:rsidRPr="01C3232A">
              <w:rPr>
                <w:lang w:eastAsia="en-AU"/>
              </w:rPr>
              <w:t xml:space="preserve">evels. This assessment leveraged off work that was being undertaken by MBIE during the early stages of the COVID response to assess demand for Personal Protection Equipment (PPE) across essential industries, as well as work that was done between Treasury and MBIE on assessing uptake of the </w:t>
            </w:r>
            <w:r w:rsidR="003A1477">
              <w:rPr>
                <w:lang w:eastAsia="en-AU"/>
              </w:rPr>
              <w:t>WSS</w:t>
            </w:r>
            <w:r w:rsidR="4D941024" w:rsidRPr="01C3232A">
              <w:rPr>
                <w:lang w:eastAsia="en-AU"/>
              </w:rPr>
              <w:t>.</w:t>
            </w:r>
          </w:p>
          <w:p w14:paraId="39C2E2EE" w14:textId="56212E7D" w:rsidR="00D35F4D" w:rsidRDefault="3B6F9C80" w:rsidP="00816BA9">
            <w:pPr>
              <w:spacing w:after="120" w:line="240" w:lineRule="auto"/>
              <w:rPr>
                <w:lang w:eastAsia="en-AU"/>
              </w:rPr>
            </w:pPr>
            <w:r w:rsidRPr="342C5B05">
              <w:rPr>
                <w:lang w:eastAsia="en-AU"/>
              </w:rPr>
              <w:t xml:space="preserve">On top of this, firms suffer from the wider demand-side shocks due to reduced tourism activity, the decline in people movement, and economic conditions. </w:t>
            </w:r>
            <w:r w:rsidR="4728462A" w:rsidRPr="342C5B05">
              <w:rPr>
                <w:lang w:eastAsia="en-AU"/>
              </w:rPr>
              <w:t>Aggregate demand impacts from border closure</w:t>
            </w:r>
            <w:r w:rsidRPr="342C5B05">
              <w:rPr>
                <w:lang w:eastAsia="en-AU"/>
              </w:rPr>
              <w:t xml:space="preserve"> particularly</w:t>
            </w:r>
            <w:r w:rsidR="4728462A" w:rsidRPr="342C5B05">
              <w:rPr>
                <w:lang w:eastAsia="en-AU"/>
              </w:rPr>
              <w:t xml:space="preserve"> reduc</w:t>
            </w:r>
            <w:r w:rsidRPr="342C5B05">
              <w:rPr>
                <w:lang w:eastAsia="en-AU"/>
              </w:rPr>
              <w:t>e</w:t>
            </w:r>
            <w:r w:rsidR="4728462A" w:rsidRPr="342C5B05">
              <w:rPr>
                <w:lang w:eastAsia="en-AU"/>
              </w:rPr>
              <w:t xml:space="preserve"> demand for tourism-related industries such as accommodation, recreational activities etc. Statistics NZ Tourism Satellite Account information was used to inform a view on which industries were most impacted and the relative importance of international vs domestic tourism.</w:t>
            </w:r>
          </w:p>
          <w:p w14:paraId="20A71A6D" w14:textId="74C854DC" w:rsidR="00106F44" w:rsidRDefault="624A1796" w:rsidP="00816BA9">
            <w:pPr>
              <w:spacing w:after="120" w:line="240" w:lineRule="auto"/>
              <w:rPr>
                <w:lang w:eastAsia="en-AU"/>
              </w:rPr>
            </w:pPr>
            <w:r w:rsidRPr="01C3232A">
              <w:rPr>
                <w:lang w:eastAsia="en-AU"/>
              </w:rPr>
              <w:t>The Treasury also commissioned modelling of the impacts of border closure and Alert Level settings on sectors and regions of the economy, which was conclusive in demonstrating impacts across all sectors and particularly acute effects on tourism and hospitality firms.</w:t>
            </w:r>
          </w:p>
          <w:p w14:paraId="6F674F07" w14:textId="0F560772" w:rsidR="00106F44" w:rsidRPr="009C4129" w:rsidRDefault="00106F44" w:rsidP="00152291">
            <w:pPr>
              <w:spacing w:after="120" w:line="240" w:lineRule="auto"/>
              <w:rPr>
                <w:lang w:eastAsia="en-AU"/>
              </w:rPr>
            </w:pPr>
          </w:p>
        </w:tc>
      </w:tr>
      <w:tr w:rsidR="009C4129" w:rsidRPr="009C4129" w14:paraId="16D8C4A9" w14:textId="77777777" w:rsidTr="00106F44">
        <w:trPr>
          <w:trHeight w:val="76"/>
        </w:trPr>
        <w:tc>
          <w:tcPr>
            <w:tcW w:w="5000" w:type="pct"/>
            <w:tcBorders>
              <w:top w:val="single" w:sz="4" w:space="0" w:color="DDDDDD"/>
              <w:left w:val="single" w:sz="4" w:space="0" w:color="DDDDDD"/>
              <w:bottom w:val="single" w:sz="4" w:space="0" w:color="DDDDDD"/>
              <w:right w:val="single" w:sz="4" w:space="0" w:color="DDDDDD"/>
            </w:tcBorders>
            <w:shd w:val="clear" w:color="auto" w:fill="99CDDD"/>
          </w:tcPr>
          <w:p w14:paraId="76EDAB7D" w14:textId="6C5A5991" w:rsidR="0062657E" w:rsidRPr="009C4129" w:rsidRDefault="00554046" w:rsidP="006356D0">
            <w:pPr>
              <w:keepNext/>
              <w:spacing w:before="60" w:after="60" w:line="240" w:lineRule="auto"/>
              <w:rPr>
                <w:rFonts w:cs="Arial"/>
                <w:b/>
                <w:szCs w:val="22"/>
              </w:rPr>
            </w:pPr>
            <w:r>
              <w:rPr>
                <w:rFonts w:cs="Arial"/>
                <w:b/>
                <w:szCs w:val="22"/>
              </w:rPr>
              <w:t>2.4</w:t>
            </w:r>
            <w:r w:rsidR="00B87AED">
              <w:rPr>
                <w:rFonts w:cs="Arial"/>
                <w:b/>
                <w:szCs w:val="22"/>
              </w:rPr>
              <w:t xml:space="preserve">   </w:t>
            </w:r>
            <w:r w:rsidR="0062657E" w:rsidRPr="009C4129">
              <w:rPr>
                <w:rFonts w:cs="Arial"/>
                <w:b/>
                <w:szCs w:val="22"/>
              </w:rPr>
              <w:t>What do stakeholders think</w:t>
            </w:r>
            <w:r w:rsidR="00EA7ED8">
              <w:rPr>
                <w:rFonts w:cs="Arial"/>
                <w:b/>
                <w:szCs w:val="22"/>
              </w:rPr>
              <w:t xml:space="preserve"> about the problem</w:t>
            </w:r>
            <w:r w:rsidR="0062657E" w:rsidRPr="009C4129">
              <w:rPr>
                <w:rFonts w:cs="Arial"/>
                <w:b/>
                <w:szCs w:val="22"/>
              </w:rPr>
              <w:t>?</w:t>
            </w:r>
          </w:p>
        </w:tc>
      </w:tr>
      <w:tr w:rsidR="009C4129" w:rsidRPr="009C4129" w14:paraId="25E92520" w14:textId="77777777" w:rsidTr="00106F44">
        <w:trPr>
          <w:trHeight w:val="561"/>
        </w:trPr>
        <w:tc>
          <w:tcPr>
            <w:tcW w:w="5000" w:type="pct"/>
            <w:tcBorders>
              <w:top w:val="single" w:sz="4" w:space="0" w:color="DDDDDD"/>
              <w:left w:val="single" w:sz="4" w:space="0" w:color="DDDDDD"/>
              <w:bottom w:val="single" w:sz="4" w:space="0" w:color="DDDDDD"/>
              <w:right w:val="single" w:sz="4" w:space="0" w:color="DDDDDD"/>
            </w:tcBorders>
            <w:shd w:val="clear" w:color="auto" w:fill="EBF5F8"/>
          </w:tcPr>
          <w:p w14:paraId="14FD50C1" w14:textId="77777777" w:rsidR="0062657E" w:rsidRPr="00816BA9" w:rsidRDefault="0062657E" w:rsidP="00816BA9">
            <w:pPr>
              <w:pStyle w:val="Bullet-list"/>
              <w:rPr>
                <w:rFonts w:cs="Arial"/>
                <w:i/>
                <w:szCs w:val="22"/>
                <w:lang w:eastAsia="en-NZ"/>
              </w:rPr>
            </w:pPr>
            <w:r w:rsidRPr="00816BA9">
              <w:rPr>
                <w:rFonts w:cs="Arial"/>
                <w:i/>
                <w:szCs w:val="22"/>
                <w:lang w:eastAsia="en-NZ"/>
              </w:rPr>
              <w:t xml:space="preserve">Who are the stakeholders? What is the nature of their interest? </w:t>
            </w:r>
          </w:p>
          <w:p w14:paraId="550FA8EB" w14:textId="77777777" w:rsidR="0062657E" w:rsidRPr="00816BA9" w:rsidRDefault="0062657E" w:rsidP="00816BA9">
            <w:pPr>
              <w:pStyle w:val="Bullet-list"/>
              <w:rPr>
                <w:rFonts w:cs="Arial"/>
                <w:i/>
                <w:szCs w:val="22"/>
                <w:lang w:eastAsia="en-NZ"/>
              </w:rPr>
            </w:pPr>
            <w:r w:rsidRPr="00816BA9">
              <w:rPr>
                <w:rFonts w:cs="Arial"/>
                <w:i/>
                <w:szCs w:val="22"/>
                <w:lang w:eastAsia="en-NZ"/>
              </w:rPr>
              <w:t>Which stakeholders share the Agency’s view of the problem and its causes?</w:t>
            </w:r>
          </w:p>
          <w:p w14:paraId="7A3D8A22" w14:textId="6FAC0D9C" w:rsidR="0062657E" w:rsidRPr="009C4129" w:rsidRDefault="0062657E" w:rsidP="00816BA9">
            <w:pPr>
              <w:pStyle w:val="Bullet-list"/>
            </w:pPr>
            <w:r w:rsidRPr="00816BA9">
              <w:rPr>
                <w:rFonts w:cs="Arial"/>
                <w:i/>
                <w:szCs w:val="22"/>
                <w:lang w:eastAsia="en-NZ"/>
              </w:rPr>
              <w:t>Which stakeholders do not share the Agency’s view in this regard</w:t>
            </w:r>
            <w:r w:rsidR="00970321" w:rsidRPr="00816BA9">
              <w:rPr>
                <w:rFonts w:cs="Arial"/>
                <w:i/>
                <w:szCs w:val="22"/>
                <w:lang w:eastAsia="en-NZ"/>
              </w:rPr>
              <w:t xml:space="preserve"> </w:t>
            </w:r>
            <w:r w:rsidRPr="00816BA9">
              <w:rPr>
                <w:rFonts w:cs="Arial"/>
                <w:i/>
                <w:szCs w:val="22"/>
                <w:lang w:eastAsia="en-NZ"/>
              </w:rPr>
              <w:t xml:space="preserve">and why? </w:t>
            </w:r>
          </w:p>
        </w:tc>
      </w:tr>
      <w:tr w:rsidR="009C4129" w:rsidRPr="009C4129" w14:paraId="73892045" w14:textId="77777777" w:rsidTr="00106F44">
        <w:trPr>
          <w:trHeight w:val="5039"/>
        </w:trPr>
        <w:tc>
          <w:tcPr>
            <w:tcW w:w="5000" w:type="pct"/>
            <w:tcBorders>
              <w:top w:val="single" w:sz="4" w:space="0" w:color="DDDDDD"/>
              <w:left w:val="single" w:sz="4" w:space="0" w:color="DDDDDD"/>
              <w:bottom w:val="single" w:sz="4" w:space="0" w:color="DDDDDD"/>
              <w:right w:val="single" w:sz="4" w:space="0" w:color="DDDDDD"/>
            </w:tcBorders>
            <w:shd w:val="clear" w:color="auto" w:fill="FFFFFF" w:themeFill="background1"/>
          </w:tcPr>
          <w:p w14:paraId="1ACF922D" w14:textId="31A8AB77" w:rsidR="00C31AD7" w:rsidRDefault="437D19AE" w:rsidP="00816BA9">
            <w:pPr>
              <w:pStyle w:val="TSYList"/>
              <w:numPr>
                <w:ilvl w:val="0"/>
                <w:numId w:val="0"/>
              </w:numPr>
              <w:spacing w:before="0" w:after="120"/>
            </w:pPr>
            <w:r w:rsidRPr="371AF6ED">
              <w:rPr>
                <w:rStyle w:val="normaltextrun"/>
              </w:rPr>
              <w:t xml:space="preserve">The </w:t>
            </w:r>
            <w:r>
              <w:t>Treasury engaged with Business New Zealand, the C</w:t>
            </w:r>
            <w:r w:rsidR="1A195143">
              <w:t xml:space="preserve">ouncil of </w:t>
            </w:r>
            <w:r>
              <w:t>T</w:t>
            </w:r>
            <w:r w:rsidR="53AC310C">
              <w:t xml:space="preserve">rade </w:t>
            </w:r>
            <w:r>
              <w:t>U</w:t>
            </w:r>
            <w:r w:rsidR="0F501FBF">
              <w:t>nions</w:t>
            </w:r>
            <w:r>
              <w:t xml:space="preserve">, the Auckland Chamber of Commerce, and Pacific, </w:t>
            </w:r>
            <w:proofErr w:type="gramStart"/>
            <w:r>
              <w:t>Māori</w:t>
            </w:r>
            <w:proofErr w:type="gramEnd"/>
            <w:r>
              <w:t xml:space="preserve"> and Iwi business leaders in developing the RSP.</w:t>
            </w:r>
            <w:r w:rsidR="7F1011E8">
              <w:t xml:space="preserve"> Inland Revenue also engaged with the Corporate Taxpayers Group and the Chartered Account</w:t>
            </w:r>
            <w:r w:rsidR="06B69D5C">
              <w:t>ant</w:t>
            </w:r>
            <w:r w:rsidR="7F1011E8">
              <w:t>s Australia and New Zealand.</w:t>
            </w:r>
            <w:r>
              <w:t xml:space="preserve"> Their interest in the Payment was on behalf of business owners and employees throughout New Zealand.</w:t>
            </w:r>
          </w:p>
          <w:p w14:paraId="3F86D1B7" w14:textId="0051478B" w:rsidR="00C31AD7" w:rsidRDefault="52BB3D22" w:rsidP="00816BA9">
            <w:pPr>
              <w:pStyle w:val="TSYList"/>
              <w:numPr>
                <w:ilvl w:val="0"/>
                <w:numId w:val="0"/>
              </w:numPr>
              <w:spacing w:before="0" w:after="120"/>
            </w:pPr>
            <w:r>
              <w:t>The engagement followed several mo</w:t>
            </w:r>
            <w:r w:rsidR="2ECE2084">
              <w:t>nths of conversations between t</w:t>
            </w:r>
            <w:r>
              <w:t xml:space="preserve">he Treasury and </w:t>
            </w:r>
            <w:r w:rsidR="4A5C64A5">
              <w:t>business</w:t>
            </w:r>
            <w:r>
              <w:t xml:space="preserve"> stakeholders on the impacts of higher Alert Levels and border settings on different sectors. There was extremely strong consensus from across the spectrum that providing greater certainty on the nature of Government support in the event higher Alert Levels were in place would be critical for businesses to plan and right-size smoothly. The RSP responded to this consistent message. </w:t>
            </w:r>
          </w:p>
          <w:p w14:paraId="32A94EBD" w14:textId="7E24FFFA" w:rsidR="00C31AD7" w:rsidRDefault="00C31AD7" w:rsidP="00816BA9">
            <w:pPr>
              <w:pStyle w:val="TSYList"/>
              <w:numPr>
                <w:ilvl w:val="0"/>
                <w:numId w:val="0"/>
              </w:numPr>
              <w:spacing w:before="0" w:after="120"/>
              <w:rPr>
                <w:rStyle w:val="normaltextrun"/>
                <w:sz w:val="18"/>
                <w:szCs w:val="18"/>
              </w:rPr>
            </w:pPr>
            <w:r>
              <w:t xml:space="preserve">Stakeholders were broadly supportive of the approach to create greater certainty on the landscape of government support, and particularly welcoming of measures that would address non-wage costs in addition to the costs covered by the </w:t>
            </w:r>
            <w:r w:rsidR="003A1477">
              <w:t>WSS</w:t>
            </w:r>
            <w:r>
              <w:t xml:space="preserve">.  </w:t>
            </w:r>
          </w:p>
          <w:p w14:paraId="474CEC9B" w14:textId="3BE46693" w:rsidR="00514770" w:rsidRPr="00816BA9" w:rsidRDefault="0A7CA79F" w:rsidP="00816BA9">
            <w:pPr>
              <w:pStyle w:val="TSYList"/>
              <w:numPr>
                <w:ilvl w:val="0"/>
                <w:numId w:val="0"/>
              </w:numPr>
              <w:spacing w:before="0" w:after="120"/>
              <w:rPr>
                <w:sz w:val="18"/>
                <w:szCs w:val="18"/>
              </w:rPr>
            </w:pPr>
            <w:r>
              <w:t xml:space="preserve">There was strong feedback that the integrity of the schemes will be critical, with both Māori and Pacific business leaders raising concerns about possible gaming of support available. It was suggested that the communications approach to the package should be accompanied with clear guidance to maximise accessibility of the schemes, and partnerships with trusted community </w:t>
            </w:r>
            <w:r w:rsidRPr="371AF6ED">
              <w:rPr>
                <w:rStyle w:val="normaltextrun"/>
              </w:rPr>
              <w:t xml:space="preserve">channels </w:t>
            </w:r>
            <w:r>
              <w:t xml:space="preserve">would aid access to the schemes </w:t>
            </w:r>
            <w:r w:rsidRPr="371AF6ED">
              <w:rPr>
                <w:rStyle w:val="normaltextrun"/>
              </w:rPr>
              <w:t>and be critical in helping SMEs</w:t>
            </w:r>
            <w:r w:rsidR="15CE257A" w:rsidRPr="371AF6ED">
              <w:rPr>
                <w:rStyle w:val="normaltextrun"/>
              </w:rPr>
              <w:t xml:space="preserve"> – which would likely be most vulnerable – prepare </w:t>
            </w:r>
            <w:r w:rsidRPr="371AF6ED">
              <w:rPr>
                <w:rStyle w:val="normaltextrun"/>
              </w:rPr>
              <w:t>now for future outbreaks. Officials are using this feedback to inform the communications strategy.</w:t>
            </w:r>
          </w:p>
          <w:p w14:paraId="0D78EF83" w14:textId="04763E9E" w:rsidR="00431CA7" w:rsidRPr="009C4129" w:rsidRDefault="00431CA7" w:rsidP="00431CA7">
            <w:pPr>
              <w:rPr>
                <w:lang w:eastAsia="en-AU"/>
              </w:rPr>
            </w:pPr>
          </w:p>
        </w:tc>
      </w:tr>
    </w:tbl>
    <w:p w14:paraId="1C97FFD5" w14:textId="77777777" w:rsidR="004C33F3" w:rsidRPr="002C3598" w:rsidRDefault="004C33F3" w:rsidP="002C3598"/>
    <w:tbl>
      <w:tblPr>
        <w:tblW w:w="0" w:type="auto"/>
        <w:tblInd w:w="10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A0" w:firstRow="1" w:lastRow="0" w:firstColumn="1" w:lastColumn="0" w:noHBand="0" w:noVBand="1"/>
      </w:tblPr>
      <w:tblGrid>
        <w:gridCol w:w="9072"/>
      </w:tblGrid>
      <w:tr w:rsidR="004C6060" w14:paraId="3A3076A9" w14:textId="77777777" w:rsidTr="01C3232A">
        <w:trPr>
          <w:trHeight w:val="317"/>
        </w:trPr>
        <w:tc>
          <w:tcPr>
            <w:tcW w:w="9072" w:type="dxa"/>
            <w:shd w:val="clear" w:color="auto" w:fill="99CDDD"/>
          </w:tcPr>
          <w:p w14:paraId="3C2D8ABE" w14:textId="2C589D5D" w:rsidR="004C6060" w:rsidRPr="00721CE1" w:rsidRDefault="00B87AED" w:rsidP="006356D0">
            <w:pPr>
              <w:keepNext/>
              <w:spacing w:after="120"/>
              <w:jc w:val="both"/>
              <w:rPr>
                <w:b/>
              </w:rPr>
            </w:pPr>
            <w:r w:rsidRPr="00721CE1">
              <w:rPr>
                <w:b/>
              </w:rPr>
              <w:t xml:space="preserve">2.5   </w:t>
            </w:r>
            <w:r w:rsidR="004C6060" w:rsidRPr="00721CE1">
              <w:rPr>
                <w:b/>
              </w:rPr>
              <w:t xml:space="preserve">What are the objectives sought in relation to the identified problem? </w:t>
            </w:r>
          </w:p>
        </w:tc>
      </w:tr>
      <w:tr w:rsidR="004C6060" w14:paraId="199155BE" w14:textId="77777777" w:rsidTr="01C3232A">
        <w:tc>
          <w:tcPr>
            <w:tcW w:w="9072" w:type="dxa"/>
            <w:shd w:val="clear" w:color="auto" w:fill="EBF5F8"/>
          </w:tcPr>
          <w:p w14:paraId="704510DA" w14:textId="7C080701" w:rsidR="004C6060" w:rsidRDefault="004C6060" w:rsidP="00816BA9">
            <w:pPr>
              <w:pStyle w:val="Bullet-list"/>
            </w:pPr>
            <w:r>
              <w:t xml:space="preserve">Objectives must be clear and not pre-justify a particular solution. They should be specified broadly </w:t>
            </w:r>
            <w:r w:rsidR="0094584C">
              <w:t xml:space="preserve">enough to allow consideration of all relevant alternative solutions. </w:t>
            </w:r>
          </w:p>
          <w:p w14:paraId="24A464C5" w14:textId="71D64445" w:rsidR="004C6060" w:rsidRDefault="0094584C" w:rsidP="00816BA9">
            <w:pPr>
              <w:pStyle w:val="Bullet-list"/>
            </w:pPr>
            <w:r>
              <w:t>Where there are multiple policy objectives it should be clear how trade-offs between competing objectives are going to be made and the weightings given to objectives – not just those in direct conflict.</w:t>
            </w:r>
          </w:p>
          <w:p w14:paraId="151D2140" w14:textId="28A20FE1" w:rsidR="004C6060" w:rsidRPr="002428A4" w:rsidRDefault="0094584C" w:rsidP="00816BA9">
            <w:pPr>
              <w:pStyle w:val="Bullet-list"/>
              <w:rPr>
                <w:rFonts w:cs="Arial"/>
              </w:rPr>
            </w:pPr>
            <w:r w:rsidRPr="00721CE1">
              <w:rPr>
                <w:rFonts w:cs="Arial"/>
              </w:rPr>
              <w:t xml:space="preserve">For further guidance, see 2.3 of the Guidance Note on Best Practice Analysis </w:t>
            </w:r>
            <w:hyperlink r:id="rId12" w:history="1">
              <w:r w:rsidRPr="00721CE1">
                <w:rPr>
                  <w:rStyle w:val="Hyperlink"/>
                  <w:rFonts w:cs="Arial"/>
                </w:rPr>
                <w:t>https://treasury.govt.nz/sites/default/files/2018-03/ia-bestprac-guidance-note.pdf</w:t>
              </w:r>
            </w:hyperlink>
          </w:p>
        </w:tc>
      </w:tr>
      <w:tr w:rsidR="004C6060" w14:paraId="538A84A8" w14:textId="77777777" w:rsidTr="01C3232A">
        <w:trPr>
          <w:trHeight w:val="3626"/>
        </w:trPr>
        <w:tc>
          <w:tcPr>
            <w:tcW w:w="9072" w:type="dxa"/>
            <w:shd w:val="clear" w:color="auto" w:fill="auto"/>
          </w:tcPr>
          <w:p w14:paraId="079E03DB" w14:textId="7BE6B205" w:rsidR="000535FD" w:rsidRDefault="313BBEEB" w:rsidP="00816BA9">
            <w:pPr>
              <w:spacing w:after="120" w:line="240" w:lineRule="auto"/>
              <w:jc w:val="both"/>
            </w:pPr>
            <w:r>
              <w:t xml:space="preserve">The purpose of the RSP is to provide support for </w:t>
            </w:r>
            <w:proofErr w:type="gramStart"/>
            <w:r>
              <w:t>businesses’</w:t>
            </w:r>
            <w:proofErr w:type="gramEnd"/>
            <w:r>
              <w:t xml:space="preserve"> </w:t>
            </w:r>
            <w:r w:rsidR="001B2C55">
              <w:t xml:space="preserve">to meet fixed costs and </w:t>
            </w:r>
            <w:r>
              <w:t>costs when transitioning from Alert Level 1 to Alert Level 2 or above, in a fiscally sustainable way. The objectives</w:t>
            </w:r>
            <w:r w:rsidR="574EAED0">
              <w:t>, which formed the criteria against which different options were assessed,</w:t>
            </w:r>
            <w:r>
              <w:t xml:space="preserve"> are as follows: </w:t>
            </w:r>
          </w:p>
          <w:p w14:paraId="455216DC" w14:textId="77777777" w:rsidR="000535FD" w:rsidRPr="000535FD" w:rsidRDefault="000535FD" w:rsidP="00816BA9">
            <w:pPr>
              <w:pStyle w:val="ListParagraph"/>
              <w:numPr>
                <w:ilvl w:val="0"/>
                <w:numId w:val="12"/>
              </w:numPr>
              <w:spacing w:after="120" w:line="240" w:lineRule="auto"/>
              <w:contextualSpacing w:val="0"/>
              <w:jc w:val="both"/>
              <w:rPr>
                <w:rFonts w:cs="Arial"/>
              </w:rPr>
            </w:pPr>
            <w:r>
              <w:t xml:space="preserve">Support firms to maintain viability and employment levels across escalations in public health </w:t>
            </w:r>
            <w:proofErr w:type="gramStart"/>
            <w:r>
              <w:t>restrictions;</w:t>
            </w:r>
            <w:proofErr w:type="gramEnd"/>
            <w:r>
              <w:t xml:space="preserve"> </w:t>
            </w:r>
          </w:p>
          <w:p w14:paraId="0E2D27DD" w14:textId="431FC5DE" w:rsidR="000535FD" w:rsidRPr="000535FD" w:rsidRDefault="000535FD" w:rsidP="00816BA9">
            <w:pPr>
              <w:pStyle w:val="ListParagraph"/>
              <w:numPr>
                <w:ilvl w:val="0"/>
                <w:numId w:val="12"/>
              </w:numPr>
              <w:spacing w:after="120" w:line="240" w:lineRule="auto"/>
              <w:contextualSpacing w:val="0"/>
              <w:jc w:val="both"/>
              <w:rPr>
                <w:rFonts w:cs="Arial"/>
              </w:rPr>
            </w:pPr>
            <w:r>
              <w:t xml:space="preserve">Support firms to pay fixed costs </w:t>
            </w:r>
            <w:r w:rsidR="008D246B">
              <w:t xml:space="preserve">(such as rent) </w:t>
            </w:r>
            <w:r>
              <w:t xml:space="preserve">if they are struggling to do so as a result of escalated Alert </w:t>
            </w:r>
            <w:proofErr w:type="gramStart"/>
            <w:r>
              <w:t>Levels;</w:t>
            </w:r>
            <w:proofErr w:type="gramEnd"/>
            <w:r>
              <w:t xml:space="preserve"> </w:t>
            </w:r>
          </w:p>
          <w:p w14:paraId="2A74B094" w14:textId="77777777" w:rsidR="004C6060" w:rsidRPr="000535FD" w:rsidRDefault="000535FD" w:rsidP="00816BA9">
            <w:pPr>
              <w:pStyle w:val="ListParagraph"/>
              <w:numPr>
                <w:ilvl w:val="0"/>
                <w:numId w:val="12"/>
              </w:numPr>
              <w:spacing w:after="120" w:line="240" w:lineRule="auto"/>
              <w:contextualSpacing w:val="0"/>
              <w:jc w:val="both"/>
              <w:rPr>
                <w:rFonts w:cs="Arial"/>
              </w:rPr>
            </w:pPr>
            <w:r>
              <w:t>Share the cost associated with escalated Alert Levels between Government, firms and across economic sectors; and</w:t>
            </w:r>
          </w:p>
          <w:p w14:paraId="4DA6EACB" w14:textId="67CE1877" w:rsidR="0070020E" w:rsidRPr="000535FD" w:rsidRDefault="0F7D75BD" w:rsidP="00816BA9">
            <w:pPr>
              <w:pStyle w:val="ListParagraph"/>
              <w:numPr>
                <w:ilvl w:val="0"/>
                <w:numId w:val="12"/>
              </w:numPr>
              <w:spacing w:after="120" w:line="240" w:lineRule="auto"/>
              <w:contextualSpacing w:val="0"/>
              <w:jc w:val="both"/>
              <w:rPr>
                <w:rFonts w:cs="Arial"/>
              </w:rPr>
            </w:pPr>
            <w:r>
              <w:t>Encourage the shift to a COVID-19 resilient economy.</w:t>
            </w:r>
          </w:p>
          <w:p w14:paraId="723C56F5" w14:textId="1A1313F0" w:rsidR="0070020E" w:rsidRPr="000535FD" w:rsidRDefault="72CEE015" w:rsidP="00816BA9">
            <w:pPr>
              <w:spacing w:after="120" w:line="240" w:lineRule="auto"/>
              <w:jc w:val="both"/>
              <w:rPr>
                <w:rFonts w:cs="Arial"/>
              </w:rPr>
            </w:pPr>
            <w:r w:rsidRPr="371AF6ED">
              <w:rPr>
                <w:rFonts w:cs="Arial"/>
              </w:rPr>
              <w:t>This required the following scheme attributes</w:t>
            </w:r>
            <w:r w:rsidR="78EF3703" w:rsidRPr="371AF6ED">
              <w:rPr>
                <w:rFonts w:cs="Arial"/>
              </w:rPr>
              <w:t>, which informed the selection of options (see section 3)</w:t>
            </w:r>
            <w:r w:rsidRPr="371AF6ED">
              <w:rPr>
                <w:rFonts w:cs="Arial"/>
              </w:rPr>
              <w:t>:</w:t>
            </w:r>
          </w:p>
          <w:p w14:paraId="049796B2" w14:textId="77777777" w:rsidR="0070020E" w:rsidRPr="000535FD" w:rsidRDefault="3B422089" w:rsidP="00816BA9">
            <w:pPr>
              <w:pStyle w:val="ListParagraph"/>
              <w:numPr>
                <w:ilvl w:val="0"/>
                <w:numId w:val="38"/>
              </w:numPr>
              <w:spacing w:after="120" w:line="240" w:lineRule="auto"/>
              <w:contextualSpacing w:val="0"/>
              <w:rPr>
                <w:rFonts w:cs="Arial"/>
              </w:rPr>
            </w:pPr>
            <w:r w:rsidRPr="01C3232A">
              <w:rPr>
                <w:rFonts w:cs="Arial"/>
              </w:rPr>
              <w:t>Resilience to different public health scenarios</w:t>
            </w:r>
          </w:p>
          <w:p w14:paraId="09703DAA" w14:textId="77777777" w:rsidR="0070020E" w:rsidRPr="000535FD" w:rsidRDefault="3B422089" w:rsidP="00816BA9">
            <w:pPr>
              <w:pStyle w:val="ListParagraph"/>
              <w:numPr>
                <w:ilvl w:val="0"/>
                <w:numId w:val="38"/>
              </w:numPr>
              <w:spacing w:after="120" w:line="240" w:lineRule="auto"/>
              <w:contextualSpacing w:val="0"/>
              <w:rPr>
                <w:rFonts w:cs="Arial"/>
              </w:rPr>
            </w:pPr>
            <w:r w:rsidRPr="01C3232A">
              <w:rPr>
                <w:rFonts w:cs="Arial"/>
              </w:rPr>
              <w:t>Providing business certainty, so firms can better plan ahead</w:t>
            </w:r>
          </w:p>
          <w:p w14:paraId="1EBA84A1" w14:textId="6DA22F70" w:rsidR="0070020E" w:rsidRPr="000535FD" w:rsidRDefault="3B422089" w:rsidP="00816BA9">
            <w:pPr>
              <w:pStyle w:val="ListParagraph"/>
              <w:numPr>
                <w:ilvl w:val="0"/>
                <w:numId w:val="38"/>
              </w:numPr>
              <w:spacing w:after="120" w:line="240" w:lineRule="auto"/>
              <w:contextualSpacing w:val="0"/>
              <w:rPr>
                <w:rFonts w:cs="Arial"/>
              </w:rPr>
            </w:pPr>
            <w:r w:rsidRPr="01C3232A">
              <w:rPr>
                <w:rFonts w:cs="Arial"/>
              </w:rPr>
              <w:t>Complementarity with existing schemes; and</w:t>
            </w:r>
          </w:p>
          <w:p w14:paraId="6D0C1003" w14:textId="4F68F0C0" w:rsidR="0070020E" w:rsidRPr="000535FD" w:rsidRDefault="3B422089" w:rsidP="00816BA9">
            <w:pPr>
              <w:pStyle w:val="ListParagraph"/>
              <w:numPr>
                <w:ilvl w:val="0"/>
                <w:numId w:val="38"/>
              </w:numPr>
              <w:spacing w:after="120" w:line="240" w:lineRule="auto"/>
              <w:contextualSpacing w:val="0"/>
              <w:rPr>
                <w:rFonts w:cs="Arial"/>
                <w:i/>
                <w:iCs/>
              </w:rPr>
            </w:pPr>
            <w:r w:rsidRPr="01C3232A">
              <w:rPr>
                <w:rFonts w:cs="Arial"/>
              </w:rPr>
              <w:t>Fiscal sustainability.</w:t>
            </w:r>
          </w:p>
          <w:p w14:paraId="5D77DDF9" w14:textId="22050CBD" w:rsidR="0070020E" w:rsidRPr="000535FD" w:rsidRDefault="64067220" w:rsidP="00816BA9">
            <w:pPr>
              <w:spacing w:after="120" w:line="240" w:lineRule="auto"/>
              <w:jc w:val="both"/>
              <w:rPr>
                <w:rFonts w:cs="Arial"/>
                <w:i/>
                <w:iCs/>
              </w:rPr>
            </w:pPr>
            <w:r w:rsidRPr="371AF6ED">
              <w:rPr>
                <w:rFonts w:cs="Arial"/>
                <w:i/>
                <w:iCs/>
              </w:rPr>
              <w:t>Trade-offs</w:t>
            </w:r>
          </w:p>
          <w:p w14:paraId="618201C3" w14:textId="105D91EC" w:rsidR="0070020E" w:rsidRPr="000535FD" w:rsidRDefault="00750ADD" w:rsidP="00816BA9">
            <w:pPr>
              <w:spacing w:after="120" w:line="240" w:lineRule="auto"/>
              <w:jc w:val="both"/>
              <w:rPr>
                <w:rFonts w:cs="Arial"/>
              </w:rPr>
            </w:pPr>
            <w:r w:rsidRPr="6B448E4A">
              <w:rPr>
                <w:rFonts w:cs="Arial"/>
              </w:rPr>
              <w:t>I</w:t>
            </w:r>
            <w:r w:rsidR="29EA2466" w:rsidRPr="6B448E4A">
              <w:rPr>
                <w:rFonts w:cs="Arial"/>
              </w:rPr>
              <w:t>n</w:t>
            </w:r>
            <w:r w:rsidR="30AEB7F4" w:rsidRPr="371AF6ED">
              <w:rPr>
                <w:rFonts w:cs="Arial"/>
              </w:rPr>
              <w:t xml:space="preserve"> order to support firms to maintain viability and employment levels (objective (a)), there will necessarily be </w:t>
            </w:r>
            <w:r w:rsidR="5E4A7372" w:rsidRPr="371AF6ED">
              <w:rPr>
                <w:rFonts w:cs="Arial"/>
              </w:rPr>
              <w:t>payments made to</w:t>
            </w:r>
            <w:r w:rsidR="30AEB7F4" w:rsidRPr="371AF6ED">
              <w:rPr>
                <w:rFonts w:cs="Arial"/>
              </w:rPr>
              <w:t xml:space="preserve"> some firms </w:t>
            </w:r>
            <w:r w:rsidR="5E4A7372" w:rsidRPr="371AF6ED">
              <w:rPr>
                <w:rFonts w:cs="Arial"/>
              </w:rPr>
              <w:t xml:space="preserve">who </w:t>
            </w:r>
            <w:r w:rsidR="30AEB7F4" w:rsidRPr="371AF6ED">
              <w:rPr>
                <w:rFonts w:cs="Arial"/>
              </w:rPr>
              <w:t xml:space="preserve">would survive anyway, and others </w:t>
            </w:r>
            <w:r w:rsidR="5E4A7372" w:rsidRPr="371AF6ED">
              <w:rPr>
                <w:rFonts w:cs="Arial"/>
              </w:rPr>
              <w:t xml:space="preserve">that </w:t>
            </w:r>
            <w:r w:rsidR="30AEB7F4" w:rsidRPr="371AF6ED">
              <w:rPr>
                <w:rFonts w:cs="Arial"/>
              </w:rPr>
              <w:t xml:space="preserve">may not have been viable in the medium term (see objective (d)). However, from a fairness perspective, there is a case to equally share the cost of the exogenous shock provided by the pandemic (c). The critical weighting here is in favour of mitigating scarring economic effects for the long-term benefit of all New </w:t>
            </w:r>
            <w:proofErr w:type="gramStart"/>
            <w:r w:rsidR="30AEB7F4" w:rsidRPr="371AF6ED">
              <w:rPr>
                <w:rFonts w:cs="Arial"/>
              </w:rPr>
              <w:t>Zealanders</w:t>
            </w:r>
            <w:r w:rsidR="1BDFA565" w:rsidRPr="371AF6ED">
              <w:rPr>
                <w:rFonts w:cs="Arial"/>
              </w:rPr>
              <w:t>, and</w:t>
            </w:r>
            <w:proofErr w:type="gramEnd"/>
            <w:r w:rsidR="1BDFA565" w:rsidRPr="371AF6ED">
              <w:rPr>
                <w:rFonts w:cs="Arial"/>
              </w:rPr>
              <w:t xml:space="preserve"> designing a scheme that is resilient / can pay out quickly (see box </w:t>
            </w:r>
            <w:r w:rsidR="143E924B" w:rsidRPr="371AF6ED">
              <w:rPr>
                <w:rFonts w:cs="Arial"/>
              </w:rPr>
              <w:t>3.</w:t>
            </w:r>
            <w:r w:rsidR="2FB7E0D0" w:rsidRPr="6B448E4A">
              <w:rPr>
                <w:rFonts w:cs="Arial"/>
              </w:rPr>
              <w:t>1</w:t>
            </w:r>
            <w:r w:rsidR="1BDFA565" w:rsidRPr="371AF6ED">
              <w:rPr>
                <w:rFonts w:cs="Arial"/>
              </w:rPr>
              <w:t>)</w:t>
            </w:r>
            <w:r w:rsidR="30AEB7F4" w:rsidRPr="371AF6ED">
              <w:rPr>
                <w:rFonts w:cs="Arial"/>
              </w:rPr>
              <w:t>. The Payment was therefore designed to be available to all firms but with design features built in to target the most affected and those with the fewest resources to respond to the restricted market settings created by higher Alert Levels.</w:t>
            </w:r>
          </w:p>
        </w:tc>
      </w:tr>
    </w:tbl>
    <w:p w14:paraId="041013AD" w14:textId="77777777" w:rsidR="004C6060" w:rsidRDefault="004C6060" w:rsidP="00C45EDF"/>
    <w:p w14:paraId="018589BC" w14:textId="77777777" w:rsidR="004C33F3" w:rsidRDefault="004C33F3" w:rsidP="00C45EDF"/>
    <w:p w14:paraId="37FEE15C" w14:textId="77777777" w:rsidR="004C33F3" w:rsidRPr="004C6060" w:rsidRDefault="004C33F3" w:rsidP="00C45EDF"/>
    <w:p w14:paraId="73CFE6BE" w14:textId="77777777" w:rsidR="00152291" w:rsidRDefault="00152291">
      <w:pPr>
        <w:spacing w:after="0" w:line="240" w:lineRule="auto"/>
        <w:rPr>
          <w:rFonts w:ascii="Arial Bold" w:hAnsi="Arial Bold" w:cs="Arial"/>
          <w:b/>
          <w:color w:val="0082AB"/>
          <w:spacing w:val="20"/>
          <w:w w:val="90"/>
          <w:sz w:val="32"/>
          <w:szCs w:val="24"/>
        </w:rPr>
      </w:pPr>
      <w:r>
        <w:rPr>
          <w:rFonts w:cs="Arial"/>
        </w:rPr>
        <w:br w:type="page"/>
      </w:r>
    </w:p>
    <w:p w14:paraId="77CF83E0" w14:textId="7CAC29E3" w:rsidR="0062657E" w:rsidRPr="00537EFE" w:rsidRDefault="00F05AD9" w:rsidP="00362498">
      <w:pPr>
        <w:pStyle w:val="Heading2"/>
      </w:pPr>
      <w:r>
        <w:t>Section 3</w:t>
      </w:r>
      <w:r w:rsidRPr="0005691A">
        <w:t xml:space="preserve">: </w:t>
      </w:r>
      <w:r>
        <w:t>Option identification</w:t>
      </w:r>
    </w:p>
    <w:tbl>
      <w:tblPr>
        <w:tblW w:w="4885" w:type="pct"/>
        <w:tblInd w:w="10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shd w:val="clear" w:color="auto" w:fill="ACB9CA"/>
        <w:tblLook w:val="04A0" w:firstRow="1" w:lastRow="0" w:firstColumn="1" w:lastColumn="0" w:noHBand="0" w:noVBand="1"/>
      </w:tblPr>
      <w:tblGrid>
        <w:gridCol w:w="9186"/>
      </w:tblGrid>
      <w:tr w:rsidR="009C4129" w:rsidRPr="009C4129" w14:paraId="63F40D12" w14:textId="77777777" w:rsidTr="42A004F7">
        <w:trPr>
          <w:trHeight w:val="77"/>
        </w:trPr>
        <w:tc>
          <w:tcPr>
            <w:tcW w:w="5000" w:type="pct"/>
            <w:shd w:val="clear" w:color="auto" w:fill="99CDDD"/>
            <w:hideMark/>
          </w:tcPr>
          <w:p w14:paraId="6F0312C5" w14:textId="21FE2159" w:rsidR="0062657E" w:rsidRPr="009C4129" w:rsidRDefault="00F05AD9" w:rsidP="006356D0">
            <w:pPr>
              <w:keepNext/>
              <w:spacing w:before="60" w:after="60" w:line="240" w:lineRule="auto"/>
              <w:rPr>
                <w:rFonts w:cs="Arial"/>
                <w:b/>
                <w:szCs w:val="22"/>
                <w:lang w:eastAsia="en-AU"/>
              </w:rPr>
            </w:pPr>
            <w:r>
              <w:rPr>
                <w:rFonts w:cs="Arial"/>
                <w:b/>
                <w:szCs w:val="22"/>
                <w:lang w:eastAsia="en-AU"/>
              </w:rPr>
              <w:t xml:space="preserve">3.1   </w:t>
            </w:r>
            <w:r w:rsidR="0062657E" w:rsidRPr="009C4129">
              <w:rPr>
                <w:rFonts w:cs="Arial"/>
                <w:b/>
                <w:szCs w:val="22"/>
                <w:lang w:eastAsia="en-AU"/>
              </w:rPr>
              <w:t>What options are available to address the problem?</w:t>
            </w:r>
          </w:p>
        </w:tc>
      </w:tr>
      <w:tr w:rsidR="009C4129" w:rsidRPr="009C4129" w14:paraId="624CDFD4" w14:textId="77777777" w:rsidTr="42A004F7">
        <w:trPr>
          <w:trHeight w:val="510"/>
        </w:trPr>
        <w:tc>
          <w:tcPr>
            <w:tcW w:w="5000" w:type="pct"/>
            <w:shd w:val="clear" w:color="auto" w:fill="EBF5F8"/>
          </w:tcPr>
          <w:p w14:paraId="24A64EF9" w14:textId="724B3683" w:rsidR="0062657E" w:rsidRPr="00816BA9" w:rsidRDefault="0062657E" w:rsidP="00816BA9">
            <w:pPr>
              <w:pStyle w:val="Bullet-list"/>
              <w:rPr>
                <w:rFonts w:cs="Arial"/>
                <w:i/>
                <w:szCs w:val="22"/>
                <w:lang w:eastAsia="en-NZ"/>
              </w:rPr>
            </w:pPr>
            <w:r w:rsidRPr="00816BA9">
              <w:rPr>
                <w:rFonts w:cs="Arial"/>
                <w:i/>
                <w:szCs w:val="22"/>
                <w:lang w:eastAsia="en-NZ"/>
              </w:rPr>
              <w:t>List and describe the key features of the options. Set out how each would address the problem or opportunity, and deliver the objectives</w:t>
            </w:r>
            <w:r w:rsidR="001837C1" w:rsidRPr="00816BA9">
              <w:rPr>
                <w:rFonts w:cs="Arial"/>
                <w:i/>
                <w:szCs w:val="22"/>
                <w:lang w:eastAsia="en-NZ"/>
              </w:rPr>
              <w:t xml:space="preserve"> </w:t>
            </w:r>
            <w:r w:rsidRPr="00816BA9">
              <w:rPr>
                <w:rFonts w:cs="Arial"/>
                <w:i/>
                <w:szCs w:val="22"/>
                <w:lang w:eastAsia="en-NZ"/>
              </w:rPr>
              <w:t>identified.</w:t>
            </w:r>
          </w:p>
          <w:p w14:paraId="1B305B5C" w14:textId="77777777" w:rsidR="0062657E" w:rsidRPr="00816BA9" w:rsidRDefault="0062657E" w:rsidP="00816BA9">
            <w:pPr>
              <w:pStyle w:val="Bullet-list"/>
              <w:rPr>
                <w:rFonts w:cs="Arial"/>
                <w:i/>
                <w:szCs w:val="22"/>
                <w:lang w:eastAsia="en-NZ"/>
              </w:rPr>
            </w:pPr>
            <w:r w:rsidRPr="00816BA9">
              <w:rPr>
                <w:rFonts w:cs="Arial"/>
                <w:i/>
                <w:szCs w:val="22"/>
                <w:lang w:eastAsia="en-NZ"/>
              </w:rPr>
              <w:t>How has consultation affected these options?</w:t>
            </w:r>
          </w:p>
          <w:p w14:paraId="292D950A" w14:textId="5C97B7E7" w:rsidR="0062657E" w:rsidRPr="00816BA9" w:rsidRDefault="0062657E" w:rsidP="00816BA9">
            <w:pPr>
              <w:pStyle w:val="Bullet-list"/>
              <w:rPr>
                <w:rFonts w:cs="Arial"/>
                <w:i/>
                <w:szCs w:val="22"/>
                <w:lang w:eastAsia="en-NZ"/>
              </w:rPr>
            </w:pPr>
            <w:r w:rsidRPr="00816BA9">
              <w:rPr>
                <w:rFonts w:cs="Arial"/>
                <w:i/>
                <w:szCs w:val="22"/>
                <w:lang w:eastAsia="en-NZ"/>
              </w:rPr>
              <w:t>Are the options mutually exclusive</w:t>
            </w:r>
            <w:r w:rsidR="00970321" w:rsidRPr="00816BA9">
              <w:rPr>
                <w:rFonts w:cs="Arial"/>
                <w:i/>
                <w:szCs w:val="22"/>
                <w:lang w:eastAsia="en-NZ"/>
              </w:rPr>
              <w:t>,</w:t>
            </w:r>
            <w:r w:rsidRPr="00816BA9">
              <w:rPr>
                <w:rFonts w:cs="Arial"/>
                <w:i/>
                <w:szCs w:val="22"/>
                <w:lang w:eastAsia="en-NZ"/>
              </w:rPr>
              <w:t xml:space="preserve"> or do </w:t>
            </w:r>
            <w:r w:rsidR="00970321" w:rsidRPr="00816BA9">
              <w:rPr>
                <w:rFonts w:cs="Arial"/>
                <w:i/>
                <w:szCs w:val="22"/>
                <w:lang w:eastAsia="en-NZ"/>
              </w:rPr>
              <w:t>they</w:t>
            </w:r>
            <w:r w:rsidRPr="00816BA9">
              <w:rPr>
                <w:rFonts w:cs="Arial"/>
                <w:i/>
                <w:szCs w:val="22"/>
                <w:lang w:eastAsia="en-NZ"/>
              </w:rPr>
              <w:t xml:space="preserve"> or some of them work in combination?</w:t>
            </w:r>
          </w:p>
          <w:p w14:paraId="54BB7873" w14:textId="77777777" w:rsidR="0062657E" w:rsidRPr="00816BA9" w:rsidRDefault="0062657E" w:rsidP="00816BA9">
            <w:pPr>
              <w:pStyle w:val="Bullet-list"/>
              <w:rPr>
                <w:rFonts w:cs="Arial"/>
                <w:i/>
                <w:szCs w:val="22"/>
                <w:lang w:eastAsia="en-NZ"/>
              </w:rPr>
            </w:pPr>
            <w:r w:rsidRPr="00816BA9">
              <w:rPr>
                <w:rFonts w:cs="Arial"/>
                <w:i/>
                <w:szCs w:val="22"/>
                <w:lang w:eastAsia="en-NZ"/>
              </w:rPr>
              <w:t>Have non-regulatory options been considered? If not, why not?</w:t>
            </w:r>
          </w:p>
          <w:p w14:paraId="3708A91F" w14:textId="77777777" w:rsidR="0062657E" w:rsidRPr="009C4129" w:rsidRDefault="0062657E" w:rsidP="00816BA9">
            <w:pPr>
              <w:pStyle w:val="Bullet-list"/>
            </w:pPr>
            <w:r w:rsidRPr="00816BA9">
              <w:rPr>
                <w:rFonts w:cs="Arial"/>
                <w:i/>
                <w:szCs w:val="22"/>
                <w:lang w:eastAsia="en-NZ"/>
              </w:rPr>
              <w:t>What relevant experience from other countries has been considered?</w:t>
            </w:r>
          </w:p>
        </w:tc>
      </w:tr>
      <w:tr w:rsidR="009C4129" w:rsidRPr="009C4129" w14:paraId="5152248D" w14:textId="77777777" w:rsidTr="42A004F7">
        <w:trPr>
          <w:trHeight w:val="3068"/>
        </w:trPr>
        <w:tc>
          <w:tcPr>
            <w:tcW w:w="5000" w:type="pct"/>
            <w:shd w:val="clear" w:color="auto" w:fill="FFFFFF" w:themeFill="background1"/>
          </w:tcPr>
          <w:p w14:paraId="39E4D674" w14:textId="680E2C50" w:rsidR="00DF06EE" w:rsidRDefault="000535FD" w:rsidP="00FF7ACB">
            <w:pPr>
              <w:pStyle w:val="TSYList"/>
              <w:numPr>
                <w:ilvl w:val="0"/>
                <w:numId w:val="0"/>
              </w:numPr>
            </w:pPr>
            <w:r>
              <w:t>The first-o</w:t>
            </w:r>
            <w:r w:rsidR="00DF06EE">
              <w:t>rder options were as follows:</w:t>
            </w:r>
          </w:p>
          <w:tbl>
            <w:tblPr>
              <w:tblStyle w:val="TableGrid"/>
              <w:tblW w:w="8701" w:type="dxa"/>
              <w:tblLook w:val="04A0" w:firstRow="1" w:lastRow="0" w:firstColumn="1" w:lastColumn="0" w:noHBand="0" w:noVBand="1"/>
            </w:tblPr>
            <w:tblGrid>
              <w:gridCol w:w="8701"/>
            </w:tblGrid>
            <w:tr w:rsidR="00DF06EE" w14:paraId="46E39D29" w14:textId="77777777" w:rsidTr="371AF6ED">
              <w:tc>
                <w:tcPr>
                  <w:tcW w:w="8701" w:type="dxa"/>
                  <w:vAlign w:val="center"/>
                </w:tcPr>
                <w:p w14:paraId="7B1AFF03" w14:textId="77777777" w:rsidR="00DF06EE" w:rsidRDefault="00DF06EE" w:rsidP="00DF06EE">
                  <w:pPr>
                    <w:rPr>
                      <w:b/>
                    </w:rPr>
                  </w:pPr>
                  <w:r w:rsidRPr="371AF6ED">
                    <w:rPr>
                      <w:b/>
                      <w:bCs/>
                    </w:rPr>
                    <w:t>A. Front-loaded WSS-based scheme</w:t>
                  </w:r>
                </w:p>
                <w:p w14:paraId="1C041225" w14:textId="7C14630D" w:rsidR="005458BB" w:rsidRDefault="00DF06EE" w:rsidP="00816BA9">
                  <w:pPr>
                    <w:keepNext/>
                    <w:spacing w:after="120" w:line="240" w:lineRule="auto"/>
                    <w:rPr>
                      <w:i/>
                      <w:sz w:val="20"/>
                    </w:rPr>
                  </w:pPr>
                  <w:r>
                    <w:rPr>
                      <w:i/>
                      <w:sz w:val="20"/>
                    </w:rPr>
                    <w:t>Lump sum worth 2 weeks of the wage subsidy paid for every change in AL to firms meeting a 40% revenue drop test, with a labour market attachment requirement:</w:t>
                  </w:r>
                </w:p>
                <w:p w14:paraId="55B61F82" w14:textId="6E550E0F" w:rsidR="00DF06EE" w:rsidRPr="00DF06EE" w:rsidRDefault="005458BB" w:rsidP="00816BA9">
                  <w:pPr>
                    <w:keepNext/>
                    <w:spacing w:after="120" w:line="240" w:lineRule="auto"/>
                    <w:rPr>
                      <w:rFonts w:cs="Arial"/>
                      <w:szCs w:val="22"/>
                    </w:rPr>
                  </w:pPr>
                  <w:r>
                    <w:rPr>
                      <w:b/>
                      <w:i/>
                      <w:sz w:val="20"/>
                    </w:rPr>
                    <w:t xml:space="preserve">Assessment: </w:t>
                  </w:r>
                  <w:r>
                    <w:rPr>
                      <w:sz w:val="20"/>
                    </w:rPr>
                    <w:t xml:space="preserve">maintains employment but does not address other costs associated with Alert Level escalation; 40% threshold aligned with WSS but likely too high at Alert Level 2; fiscally expensive. </w:t>
                  </w:r>
                  <w:r w:rsidR="00DF06EE">
                    <w:rPr>
                      <w:sz w:val="20"/>
                    </w:rPr>
                    <w:t xml:space="preserve"> </w:t>
                  </w:r>
                </w:p>
              </w:tc>
            </w:tr>
            <w:tr w:rsidR="00DF06EE" w14:paraId="09B4C9B9" w14:textId="77777777" w:rsidTr="371AF6ED">
              <w:tc>
                <w:tcPr>
                  <w:tcW w:w="8701" w:type="dxa"/>
                  <w:vAlign w:val="center"/>
                </w:tcPr>
                <w:p w14:paraId="25110D0E" w14:textId="77777777" w:rsidR="00DF06EE" w:rsidRDefault="00DF06EE" w:rsidP="00DF06EE">
                  <w:pPr>
                    <w:rPr>
                      <w:b/>
                    </w:rPr>
                  </w:pPr>
                  <w:r>
                    <w:rPr>
                      <w:b/>
                    </w:rPr>
                    <w:t>B. Amended WSS-based scheme</w:t>
                  </w:r>
                </w:p>
                <w:p w14:paraId="56DB2F99" w14:textId="77777777" w:rsidR="00DF06EE" w:rsidRDefault="00DF06EE" w:rsidP="00816BA9">
                  <w:pPr>
                    <w:spacing w:after="120" w:line="240" w:lineRule="auto"/>
                    <w:rPr>
                      <w:i/>
                      <w:sz w:val="20"/>
                    </w:rPr>
                  </w:pPr>
                  <w:r w:rsidRPr="004F002A">
                    <w:rPr>
                      <w:i/>
                      <w:sz w:val="20"/>
                    </w:rPr>
                    <w:t xml:space="preserve">As above, </w:t>
                  </w:r>
                  <w:r>
                    <w:rPr>
                      <w:i/>
                      <w:sz w:val="20"/>
                    </w:rPr>
                    <w:t>but r</w:t>
                  </w:r>
                  <w:r w:rsidRPr="009A4056">
                    <w:rPr>
                      <w:i/>
                      <w:sz w:val="20"/>
                    </w:rPr>
                    <w:t>estrict</w:t>
                  </w:r>
                  <w:r>
                    <w:rPr>
                      <w:i/>
                      <w:sz w:val="20"/>
                    </w:rPr>
                    <w:t>ing</w:t>
                  </w:r>
                  <w:r w:rsidRPr="009A4056">
                    <w:rPr>
                      <w:i/>
                      <w:sz w:val="20"/>
                    </w:rPr>
                    <w:t xml:space="preserve"> payment</w:t>
                  </w:r>
                  <w:r>
                    <w:rPr>
                      <w:i/>
                      <w:sz w:val="20"/>
                    </w:rPr>
                    <w:t>s</w:t>
                  </w:r>
                  <w:r w:rsidRPr="009A4056">
                    <w:rPr>
                      <w:i/>
                      <w:sz w:val="20"/>
                    </w:rPr>
                    <w:t xml:space="preserve"> to escalations in ALs only</w:t>
                  </w:r>
                  <w:r>
                    <w:rPr>
                      <w:i/>
                      <w:sz w:val="20"/>
                    </w:rPr>
                    <w:t>, and allowing only one payment every four weeks.</w:t>
                  </w:r>
                </w:p>
                <w:p w14:paraId="1A2E9FCA" w14:textId="70820B21" w:rsidR="005458BB" w:rsidRPr="005458BB" w:rsidRDefault="005458BB" w:rsidP="00816BA9">
                  <w:pPr>
                    <w:spacing w:after="120" w:line="240" w:lineRule="auto"/>
                    <w:rPr>
                      <w:i/>
                      <w:sz w:val="20"/>
                    </w:rPr>
                  </w:pPr>
                  <w:r>
                    <w:rPr>
                      <w:b/>
                      <w:i/>
                      <w:sz w:val="20"/>
                    </w:rPr>
                    <w:t>Assessment:</w:t>
                  </w:r>
                  <w:r>
                    <w:rPr>
                      <w:i/>
                      <w:sz w:val="20"/>
                    </w:rPr>
                    <w:t xml:space="preserve"> potentially less frequent payments may do more to encourage transition, but challenges of option A remain.</w:t>
                  </w:r>
                </w:p>
              </w:tc>
            </w:tr>
            <w:tr w:rsidR="00DF06EE" w14:paraId="61521FF7" w14:textId="77777777" w:rsidTr="371AF6ED">
              <w:tc>
                <w:tcPr>
                  <w:tcW w:w="8701" w:type="dxa"/>
                  <w:vAlign w:val="center"/>
                </w:tcPr>
                <w:p w14:paraId="77AB80AA" w14:textId="77777777" w:rsidR="00DF06EE" w:rsidRDefault="00DF06EE" w:rsidP="00DF06EE">
                  <w:pPr>
                    <w:rPr>
                      <w:b/>
                    </w:rPr>
                  </w:pPr>
                  <w:r w:rsidRPr="00072B4D">
                    <w:rPr>
                      <w:b/>
                    </w:rPr>
                    <w:t xml:space="preserve">C. </w:t>
                  </w:r>
                  <w:r>
                    <w:rPr>
                      <w:b/>
                    </w:rPr>
                    <w:t>Lump-sum AL2+ grant [this was the recommended and agreed approach]</w:t>
                  </w:r>
                </w:p>
                <w:p w14:paraId="0973FE62" w14:textId="77777777" w:rsidR="00DF06EE" w:rsidRDefault="00DF06EE" w:rsidP="00816BA9">
                  <w:pPr>
                    <w:pStyle w:val="TSYList"/>
                    <w:numPr>
                      <w:ilvl w:val="0"/>
                      <w:numId w:val="0"/>
                    </w:numPr>
                    <w:spacing w:before="0" w:after="120"/>
                    <w:ind w:left="567" w:hanging="567"/>
                    <w:rPr>
                      <w:i/>
                      <w:sz w:val="20"/>
                    </w:rPr>
                  </w:pPr>
                  <w:r>
                    <w:rPr>
                      <w:i/>
                      <w:sz w:val="20"/>
                    </w:rPr>
                    <w:t>Adapted form of options A&amp;B that is:</w:t>
                  </w:r>
                </w:p>
                <w:p w14:paraId="41F2BC8F" w14:textId="77777777" w:rsidR="00DF06EE" w:rsidRPr="009A4056" w:rsidRDefault="00DF06EE" w:rsidP="00816BA9">
                  <w:pPr>
                    <w:pStyle w:val="TSYList"/>
                    <w:numPr>
                      <w:ilvl w:val="0"/>
                      <w:numId w:val="10"/>
                    </w:numPr>
                    <w:spacing w:before="0" w:after="120"/>
                    <w:rPr>
                      <w:i/>
                      <w:sz w:val="20"/>
                    </w:rPr>
                  </w:pPr>
                  <w:r>
                    <w:rPr>
                      <w:i/>
                      <w:sz w:val="20"/>
                    </w:rPr>
                    <w:t>L</w:t>
                  </w:r>
                  <w:r w:rsidRPr="009A4056">
                    <w:rPr>
                      <w:i/>
                      <w:sz w:val="20"/>
                    </w:rPr>
                    <w:t xml:space="preserve">ess generous per FTE, with a per-firm and per-FTE component to reflect fixed </w:t>
                  </w:r>
                  <w:proofErr w:type="gramStart"/>
                  <w:r w:rsidRPr="009A4056">
                    <w:rPr>
                      <w:i/>
                      <w:sz w:val="20"/>
                    </w:rPr>
                    <w:t>costs</w:t>
                  </w:r>
                  <w:r>
                    <w:rPr>
                      <w:i/>
                      <w:sz w:val="20"/>
                    </w:rPr>
                    <w:t>;</w:t>
                  </w:r>
                  <w:proofErr w:type="gramEnd"/>
                </w:p>
                <w:p w14:paraId="18389451" w14:textId="77777777" w:rsidR="00DF06EE" w:rsidRDefault="00DF06EE" w:rsidP="00816BA9">
                  <w:pPr>
                    <w:pStyle w:val="TSYList"/>
                    <w:numPr>
                      <w:ilvl w:val="0"/>
                      <w:numId w:val="10"/>
                    </w:numPr>
                    <w:spacing w:before="0" w:after="120"/>
                    <w:rPr>
                      <w:i/>
                      <w:iCs/>
                      <w:sz w:val="20"/>
                    </w:rPr>
                  </w:pPr>
                  <w:r w:rsidRPr="371AF6ED">
                    <w:rPr>
                      <w:i/>
                      <w:iCs/>
                      <w:sz w:val="20"/>
                    </w:rPr>
                    <w:t xml:space="preserve">Subject to a less onerous revenue drop test, to reflect impact of AL2 on </w:t>
                  </w:r>
                  <w:proofErr w:type="gramStart"/>
                  <w:r w:rsidRPr="371AF6ED">
                    <w:rPr>
                      <w:i/>
                      <w:iCs/>
                      <w:sz w:val="20"/>
                    </w:rPr>
                    <w:t>businesses;</w:t>
                  </w:r>
                  <w:proofErr w:type="gramEnd"/>
                </w:p>
                <w:p w14:paraId="4D9E9D26" w14:textId="77777777" w:rsidR="00DF06EE" w:rsidRDefault="00DF06EE" w:rsidP="00816BA9">
                  <w:pPr>
                    <w:pStyle w:val="TSYList"/>
                    <w:numPr>
                      <w:ilvl w:val="0"/>
                      <w:numId w:val="10"/>
                    </w:numPr>
                    <w:spacing w:before="0" w:after="120"/>
                    <w:rPr>
                      <w:i/>
                      <w:sz w:val="20"/>
                    </w:rPr>
                  </w:pPr>
                  <w:r>
                    <w:rPr>
                      <w:i/>
                      <w:sz w:val="20"/>
                    </w:rPr>
                    <w:t>Paid every time there is an escalation from AL1 to AL2 or above; and</w:t>
                  </w:r>
                </w:p>
                <w:p w14:paraId="19D35D9A" w14:textId="77777777" w:rsidR="00816BA9" w:rsidRPr="00816BA9" w:rsidRDefault="00DF06EE" w:rsidP="00816BA9">
                  <w:pPr>
                    <w:pStyle w:val="TSYList"/>
                    <w:keepNext/>
                    <w:numPr>
                      <w:ilvl w:val="0"/>
                      <w:numId w:val="10"/>
                    </w:numPr>
                    <w:spacing w:before="0" w:after="120"/>
                    <w:rPr>
                      <w:rFonts w:cs="Arial"/>
                    </w:rPr>
                  </w:pPr>
                  <w:r>
                    <w:rPr>
                      <w:i/>
                      <w:sz w:val="20"/>
                    </w:rPr>
                    <w:t xml:space="preserve">Without a </w:t>
                  </w:r>
                  <w:r w:rsidRPr="00AE3AA4">
                    <w:rPr>
                      <w:i/>
                      <w:sz w:val="20"/>
                    </w:rPr>
                    <w:t>labour market attachment condition, but firms would declare they are viable.</w:t>
                  </w:r>
                </w:p>
                <w:p w14:paraId="58FF9DB5" w14:textId="046C84E4" w:rsidR="005458BB" w:rsidRPr="005458BB" w:rsidRDefault="005458BB" w:rsidP="00816BA9">
                  <w:pPr>
                    <w:pStyle w:val="TSYList"/>
                    <w:keepNext/>
                    <w:numPr>
                      <w:ilvl w:val="0"/>
                      <w:numId w:val="0"/>
                    </w:numPr>
                    <w:spacing w:before="0" w:after="120"/>
                    <w:rPr>
                      <w:rFonts w:cs="Arial"/>
                      <w:szCs w:val="22"/>
                    </w:rPr>
                  </w:pPr>
                  <w:r w:rsidRPr="00816BA9">
                    <w:rPr>
                      <w:b/>
                      <w:i/>
                      <w:sz w:val="20"/>
                    </w:rPr>
                    <w:t xml:space="preserve">Assessment: </w:t>
                  </w:r>
                  <w:r w:rsidRPr="00816BA9">
                    <w:rPr>
                      <w:i/>
                      <w:sz w:val="20"/>
                    </w:rPr>
                    <w:t>responds to business feedback that more support was needed for fixed costs (</w:t>
                  </w:r>
                  <w:proofErr w:type="gramStart"/>
                  <w:r w:rsidRPr="00816BA9">
                    <w:rPr>
                      <w:i/>
                      <w:sz w:val="20"/>
                    </w:rPr>
                    <w:t>e.g.</w:t>
                  </w:r>
                  <w:proofErr w:type="gramEnd"/>
                  <w:r w:rsidRPr="00816BA9">
                    <w:rPr>
                      <w:i/>
                      <w:sz w:val="20"/>
                    </w:rPr>
                    <w:t xml:space="preserve"> rent); less generous, thereby better facilitating transition and potentially more equitably sharing the cost between Government and the private sector.</w:t>
                  </w:r>
                </w:p>
              </w:tc>
            </w:tr>
            <w:tr w:rsidR="00DF06EE" w14:paraId="1EF0D80E" w14:textId="77777777" w:rsidTr="371AF6ED">
              <w:tc>
                <w:tcPr>
                  <w:tcW w:w="8701" w:type="dxa"/>
                  <w:vAlign w:val="center"/>
                </w:tcPr>
                <w:p w14:paraId="26A12032" w14:textId="77777777" w:rsidR="00DF06EE" w:rsidRPr="00072B4D" w:rsidRDefault="00DF06EE" w:rsidP="00DF06EE">
                  <w:pPr>
                    <w:rPr>
                      <w:b/>
                    </w:rPr>
                  </w:pPr>
                  <w:r>
                    <w:rPr>
                      <w:b/>
                    </w:rPr>
                    <w:t>D</w:t>
                  </w:r>
                  <w:r w:rsidRPr="00072B4D">
                    <w:rPr>
                      <w:b/>
                    </w:rPr>
                    <w:t>. Ongoing</w:t>
                  </w:r>
                  <w:r>
                    <w:rPr>
                      <w:b/>
                    </w:rPr>
                    <w:t xml:space="preserve"> AL2+</w:t>
                  </w:r>
                  <w:r w:rsidRPr="00072B4D">
                    <w:rPr>
                      <w:b/>
                    </w:rPr>
                    <w:t xml:space="preserve"> grant </w:t>
                  </w:r>
                </w:p>
                <w:p w14:paraId="2B9AC535" w14:textId="77777777" w:rsidR="00DF06EE" w:rsidRDefault="00DF06EE" w:rsidP="00816BA9">
                  <w:pPr>
                    <w:keepNext/>
                    <w:spacing w:after="120" w:line="240" w:lineRule="auto"/>
                    <w:rPr>
                      <w:i/>
                      <w:sz w:val="20"/>
                    </w:rPr>
                  </w:pPr>
                  <w:r>
                    <w:rPr>
                      <w:i/>
                      <w:sz w:val="20"/>
                    </w:rPr>
                    <w:t>As (C), but paid on an ongoing basis for every week a region or nation is at AL2 or above</w:t>
                  </w:r>
                </w:p>
                <w:p w14:paraId="0E5CF35C" w14:textId="62FB6A22" w:rsidR="005458BB" w:rsidRPr="005458BB" w:rsidRDefault="005458BB" w:rsidP="00816BA9">
                  <w:pPr>
                    <w:keepNext/>
                    <w:spacing w:after="120" w:line="240" w:lineRule="auto"/>
                    <w:rPr>
                      <w:rFonts w:cs="Arial"/>
                      <w:szCs w:val="22"/>
                    </w:rPr>
                  </w:pPr>
                  <w:r>
                    <w:rPr>
                      <w:b/>
                      <w:i/>
                      <w:sz w:val="20"/>
                    </w:rPr>
                    <w:t xml:space="preserve">Assessment: </w:t>
                  </w:r>
                  <w:r>
                    <w:rPr>
                      <w:i/>
                      <w:sz w:val="20"/>
                    </w:rPr>
                    <w:t>benefits of Option C</w:t>
                  </w:r>
                  <w:r>
                    <w:rPr>
                      <w:b/>
                      <w:i/>
                      <w:sz w:val="20"/>
                    </w:rPr>
                    <w:t xml:space="preserve"> </w:t>
                  </w:r>
                  <w:r w:rsidRPr="005458BB">
                    <w:rPr>
                      <w:i/>
                      <w:sz w:val="20"/>
                    </w:rPr>
                    <w:t>but less likely to facilitate transition, fiscally expensive</w:t>
                  </w:r>
                  <w:r>
                    <w:rPr>
                      <w:b/>
                      <w:i/>
                      <w:sz w:val="20"/>
                    </w:rPr>
                    <w:t>.</w:t>
                  </w:r>
                </w:p>
              </w:tc>
            </w:tr>
            <w:tr w:rsidR="00DF06EE" w14:paraId="3FAF05A3" w14:textId="77777777" w:rsidTr="371AF6ED">
              <w:trPr>
                <w:trHeight w:val="783"/>
              </w:trPr>
              <w:tc>
                <w:tcPr>
                  <w:tcW w:w="8701" w:type="dxa"/>
                  <w:vAlign w:val="center"/>
                </w:tcPr>
                <w:p w14:paraId="189D5D71" w14:textId="77777777" w:rsidR="00DF06EE" w:rsidRPr="00072B4D" w:rsidRDefault="00DF06EE" w:rsidP="00DF06EE">
                  <w:pPr>
                    <w:rPr>
                      <w:b/>
                    </w:rPr>
                  </w:pPr>
                  <w:r>
                    <w:rPr>
                      <w:b/>
                    </w:rPr>
                    <w:t>E</w:t>
                  </w:r>
                  <w:r w:rsidRPr="00072B4D">
                    <w:rPr>
                      <w:b/>
                    </w:rPr>
                    <w:t>. Time-limited</w:t>
                  </w:r>
                  <w:r>
                    <w:rPr>
                      <w:b/>
                    </w:rPr>
                    <w:t xml:space="preserve"> AL2+</w:t>
                  </w:r>
                  <w:r w:rsidRPr="00072B4D">
                    <w:rPr>
                      <w:b/>
                    </w:rPr>
                    <w:t xml:space="preserve"> grant</w:t>
                  </w:r>
                </w:p>
                <w:p w14:paraId="7E75D351" w14:textId="77777777" w:rsidR="00DF06EE" w:rsidRDefault="00DF06EE" w:rsidP="00816BA9">
                  <w:pPr>
                    <w:keepNext/>
                    <w:spacing w:after="120" w:line="240" w:lineRule="auto"/>
                    <w:rPr>
                      <w:i/>
                      <w:sz w:val="20"/>
                    </w:rPr>
                  </w:pPr>
                  <w:r>
                    <w:rPr>
                      <w:i/>
                      <w:sz w:val="20"/>
                    </w:rPr>
                    <w:t>As (D), but with a fixed number of weeks that a firm can claim for over the life of the scheme.</w:t>
                  </w:r>
                </w:p>
                <w:p w14:paraId="68166F0C" w14:textId="0C006B9B" w:rsidR="005458BB" w:rsidRPr="005458BB" w:rsidRDefault="005458BB" w:rsidP="00816BA9">
                  <w:pPr>
                    <w:keepNext/>
                    <w:spacing w:after="120" w:line="240" w:lineRule="auto"/>
                    <w:rPr>
                      <w:rFonts w:cs="Arial"/>
                      <w:szCs w:val="22"/>
                    </w:rPr>
                  </w:pPr>
                  <w:r>
                    <w:rPr>
                      <w:b/>
                      <w:i/>
                      <w:sz w:val="20"/>
                    </w:rPr>
                    <w:t xml:space="preserve">Assessment </w:t>
                  </w:r>
                  <w:r w:rsidRPr="005458BB">
                    <w:rPr>
                      <w:i/>
                      <w:sz w:val="20"/>
                    </w:rPr>
                    <w:t>similar to (D); greater cushioning provided for firms than (C) but more expensive.</w:t>
                  </w:r>
                </w:p>
              </w:tc>
            </w:tr>
          </w:tbl>
          <w:p w14:paraId="387815BB" w14:textId="77777777" w:rsidR="00DF06EE" w:rsidRDefault="00DF06EE" w:rsidP="00DF06EE">
            <w:pPr>
              <w:keepNext/>
              <w:spacing w:after="120" w:line="276" w:lineRule="auto"/>
              <w:contextualSpacing/>
              <w:rPr>
                <w:rFonts w:cs="Arial"/>
                <w:szCs w:val="22"/>
              </w:rPr>
            </w:pPr>
          </w:p>
          <w:p w14:paraId="71E686C4" w14:textId="77777777" w:rsidR="00DF06EE" w:rsidRDefault="00DF06EE" w:rsidP="00816BA9">
            <w:pPr>
              <w:keepNext/>
              <w:spacing w:after="120" w:line="240" w:lineRule="auto"/>
              <w:rPr>
                <w:rFonts w:cs="Arial"/>
                <w:szCs w:val="22"/>
              </w:rPr>
            </w:pPr>
            <w:r>
              <w:rPr>
                <w:rFonts w:cs="Arial"/>
                <w:szCs w:val="22"/>
              </w:rPr>
              <w:t>The Treasury also considered grants directly aimed at hospitality firms and others directly identified in public health regulations as needing to make adaptations in order to meet social distancing and hygiene requirements. This was ruled out due to the considerable boundary issues involved in categorising businesses by strict sectors.</w:t>
            </w:r>
          </w:p>
          <w:p w14:paraId="1601D31E" w14:textId="4C28D2E2" w:rsidR="00DF06EE" w:rsidRPr="00DF06EE" w:rsidRDefault="00DF06EE" w:rsidP="00816BA9">
            <w:pPr>
              <w:pStyle w:val="TSYList"/>
              <w:numPr>
                <w:ilvl w:val="0"/>
                <w:numId w:val="0"/>
              </w:numPr>
              <w:spacing w:before="0" w:after="120"/>
            </w:pPr>
            <w:r>
              <w:t xml:space="preserve">Option </w:t>
            </w:r>
            <w:r>
              <w:rPr>
                <w:b/>
              </w:rPr>
              <w:t xml:space="preserve">C </w:t>
            </w:r>
            <w:r>
              <w:t xml:space="preserve">was recommended in light of its strengths in delivering the overall objectives described in </w:t>
            </w:r>
            <w:r w:rsidRPr="00DF06EE">
              <w:rPr>
                <w:b/>
              </w:rPr>
              <w:t>box 2.5</w:t>
            </w:r>
            <w:r>
              <w:t xml:space="preserve"> above.</w:t>
            </w:r>
          </w:p>
          <w:p w14:paraId="3BB6191D" w14:textId="06F6E2EC" w:rsidR="000535FD" w:rsidRDefault="00DF06EE" w:rsidP="00816BA9">
            <w:pPr>
              <w:pStyle w:val="TSYList"/>
              <w:numPr>
                <w:ilvl w:val="0"/>
                <w:numId w:val="0"/>
              </w:numPr>
              <w:spacing w:before="0" w:after="120"/>
            </w:pPr>
            <w:r>
              <w:t xml:space="preserve">The </w:t>
            </w:r>
            <w:r w:rsidRPr="01C3232A">
              <w:rPr>
                <w:b/>
                <w:bCs/>
              </w:rPr>
              <w:t>sub-options</w:t>
            </w:r>
            <w:r>
              <w:t xml:space="preserve"> that were consequently considered, which are</w:t>
            </w:r>
            <w:r w:rsidR="2CF09B65">
              <w:t xml:space="preserve"> largely mutually exclusive</w:t>
            </w:r>
            <w:r>
              <w:t>, are as follows</w:t>
            </w:r>
            <w:r w:rsidR="0F7D75BD">
              <w:t>:</w:t>
            </w:r>
          </w:p>
          <w:p w14:paraId="53EE3A90" w14:textId="01B7F07F" w:rsidR="000535FD" w:rsidRDefault="0F7D75BD" w:rsidP="00816BA9">
            <w:pPr>
              <w:pStyle w:val="TSYList"/>
              <w:numPr>
                <w:ilvl w:val="0"/>
                <w:numId w:val="0"/>
              </w:numPr>
              <w:spacing w:before="0" w:after="120"/>
              <w:ind w:left="567" w:hanging="567"/>
            </w:pPr>
            <w:r w:rsidRPr="01C3232A">
              <w:rPr>
                <w:rStyle w:val="BodyText-NumberedChar"/>
                <w:b/>
                <w:bCs/>
              </w:rPr>
              <w:t>The public health settings that would trigger the scheme’s activation</w:t>
            </w:r>
          </w:p>
          <w:p w14:paraId="7FAEE901" w14:textId="2958629E" w:rsidR="008169B9" w:rsidRDefault="008169B9" w:rsidP="00816BA9">
            <w:pPr>
              <w:pStyle w:val="TSYList"/>
              <w:numPr>
                <w:ilvl w:val="0"/>
                <w:numId w:val="0"/>
              </w:numPr>
              <w:spacing w:before="0" w:after="120"/>
            </w:pPr>
            <w:r>
              <w:t>Based on the above objectives, we recommended that any new grant scheme should be available to businesses based on an escalation to AL2 or higher. This ties the duration of any payments to the time at which many businesses will continue to face substantial cost from public health restrictions.</w:t>
            </w:r>
          </w:p>
          <w:p w14:paraId="742DB5AF" w14:textId="42394DA7" w:rsidR="008169B9" w:rsidRDefault="008169B9" w:rsidP="00816BA9">
            <w:pPr>
              <w:pStyle w:val="TSYList"/>
              <w:numPr>
                <w:ilvl w:val="0"/>
                <w:numId w:val="0"/>
              </w:numPr>
              <w:spacing w:before="0" w:after="120"/>
            </w:pPr>
            <w:r>
              <w:t xml:space="preserve">In the event that such an escalation is in one region, the case for only starting the scheme in that region was considered. </w:t>
            </w:r>
          </w:p>
          <w:p w14:paraId="4AF48698" w14:textId="42A6AC76" w:rsidR="008169B9" w:rsidRDefault="14AD5AF5" w:rsidP="00816BA9">
            <w:pPr>
              <w:pStyle w:val="TSYList"/>
              <w:numPr>
                <w:ilvl w:val="0"/>
                <w:numId w:val="0"/>
              </w:numPr>
              <w:spacing w:before="0" w:after="120"/>
            </w:pPr>
            <w:r>
              <w:t xml:space="preserve">Regional targeting would pose operational challenges – for example, firms that are registered in a different place to their economic activity, or subject to </w:t>
            </w:r>
            <w:proofErr w:type="spellStart"/>
            <w:r>
              <w:t>spillovers</w:t>
            </w:r>
            <w:proofErr w:type="spellEnd"/>
            <w:r>
              <w:t xml:space="preserve"> from restrictions in a neighbouring region. Those challenges mean that regional targeting will come with hard boundary cases, and would create operational difficulties for IR, though it is technically feasible. </w:t>
            </w:r>
          </w:p>
          <w:p w14:paraId="21DC4BFD" w14:textId="20426FE5" w:rsidR="008169B9" w:rsidRDefault="1777E522" w:rsidP="00816BA9">
            <w:pPr>
              <w:pStyle w:val="TSYList"/>
              <w:numPr>
                <w:ilvl w:val="0"/>
                <w:numId w:val="0"/>
              </w:numPr>
              <w:spacing w:before="0" w:after="120"/>
            </w:pPr>
            <w:r>
              <w:t xml:space="preserve">As an alternative, there was an option for Ministers to choose to turn the scheme on nationally or by region in the given circumstance. Given that this could undermine business certainty on the support received, </w:t>
            </w:r>
            <w:r w:rsidR="11BEF50A">
              <w:t xml:space="preserve">which was a significant part of the policy aim informed by consultation, </w:t>
            </w:r>
            <w:r>
              <w:t xml:space="preserve">it was concluded that a commitment to provide the </w:t>
            </w:r>
            <w:r w:rsidR="14A645C1">
              <w:t>RSP</w:t>
            </w:r>
            <w:r>
              <w:t xml:space="preserve"> when a region or the country was at AL2 or above would be subject to final Cabinet approval at the time of an escalation event.</w:t>
            </w:r>
          </w:p>
          <w:p w14:paraId="754975A9" w14:textId="623A099C" w:rsidR="000535FD" w:rsidRPr="008169B9" w:rsidRDefault="0F7D75BD" w:rsidP="00816BA9">
            <w:pPr>
              <w:pStyle w:val="TSYList"/>
              <w:numPr>
                <w:ilvl w:val="0"/>
                <w:numId w:val="0"/>
              </w:numPr>
              <w:spacing w:before="0" w:after="120"/>
              <w:rPr>
                <w:b/>
                <w:bCs/>
              </w:rPr>
            </w:pPr>
            <w:r w:rsidRPr="01C3232A">
              <w:rPr>
                <w:b/>
                <w:bCs/>
              </w:rPr>
              <w:t>Whether to make the support time-limited, or an ongoing grant at certain A</w:t>
            </w:r>
            <w:r w:rsidR="0268A12E" w:rsidRPr="01C3232A">
              <w:rPr>
                <w:b/>
                <w:bCs/>
              </w:rPr>
              <w:t>lert Levels</w:t>
            </w:r>
          </w:p>
          <w:p w14:paraId="177CD879" w14:textId="5F6807C7" w:rsidR="008169B9" w:rsidRDefault="14AD5AF5" w:rsidP="00816BA9">
            <w:pPr>
              <w:pStyle w:val="TSYList"/>
              <w:numPr>
                <w:ilvl w:val="0"/>
                <w:numId w:val="0"/>
              </w:numPr>
              <w:spacing w:before="0" w:after="120"/>
            </w:pPr>
            <w:r>
              <w:t xml:space="preserve">The key strategic choice was between supporting firms to adapt to the new restrictions </w:t>
            </w:r>
            <w:r w:rsidR="033AC0E8">
              <w:t xml:space="preserve">through a one-off or time limited </w:t>
            </w:r>
            <w:proofErr w:type="gramStart"/>
            <w:r w:rsidR="033AC0E8">
              <w:t>payment,</w:t>
            </w:r>
            <w:r w:rsidR="008169B9" w:rsidDel="033AC0E8">
              <w:t xml:space="preserve"> </w:t>
            </w:r>
            <w:r w:rsidR="033AC0E8">
              <w:t>or</w:t>
            </w:r>
            <w:proofErr w:type="gramEnd"/>
            <w:r>
              <w:t xml:space="preserve"> maintaining as many existing firms or jobs as possible by providing ongoing, certain, support for the remainder of the pandemic. </w:t>
            </w:r>
            <w:r w:rsidR="09FA9D2D">
              <w:t>The former</w:t>
            </w:r>
            <w:r w:rsidR="1ABA568A">
              <w:t xml:space="preserve"> approach</w:t>
            </w:r>
            <w:r w:rsidR="09FA9D2D">
              <w:t xml:space="preserve"> was judged to best support the objectives</w:t>
            </w:r>
            <w:r w:rsidR="033AC0E8">
              <w:t xml:space="preserve">, in light of the </w:t>
            </w:r>
            <w:r w:rsidR="3A1681BB">
              <w:t>greater</w:t>
            </w:r>
            <w:r w:rsidR="033AC0E8">
              <w:t xml:space="preserve"> fiscal sustainability associated with one-off payments; likelihood of supporting fewer non-viable firms; and </w:t>
            </w:r>
            <w:r w:rsidR="7C45FCFB">
              <w:t xml:space="preserve">potential to </w:t>
            </w:r>
            <w:r w:rsidR="033AC0E8">
              <w:t>incentivis</w:t>
            </w:r>
            <w:r w:rsidR="3A2C7D48">
              <w:t>e</w:t>
            </w:r>
            <w:r w:rsidR="033AC0E8">
              <w:t xml:space="preserve"> a transition to new market conditions. </w:t>
            </w:r>
          </w:p>
          <w:p w14:paraId="1E33BBF3" w14:textId="77A75173" w:rsidR="000535FD" w:rsidRDefault="2CF09B65" w:rsidP="00816BA9">
            <w:pPr>
              <w:pStyle w:val="TSYList"/>
              <w:numPr>
                <w:ilvl w:val="0"/>
                <w:numId w:val="0"/>
              </w:numPr>
              <w:spacing w:before="0" w:after="120"/>
              <w:ind w:left="567" w:hanging="567"/>
              <w:rPr>
                <w:b/>
                <w:bCs/>
              </w:rPr>
            </w:pPr>
            <w:r w:rsidRPr="01C3232A">
              <w:rPr>
                <w:b/>
                <w:bCs/>
              </w:rPr>
              <w:t>T</w:t>
            </w:r>
            <w:r w:rsidR="0F7D75BD" w:rsidRPr="01C3232A">
              <w:rPr>
                <w:b/>
                <w:bCs/>
              </w:rPr>
              <w:t>he conditions under which firms would be eligible</w:t>
            </w:r>
          </w:p>
          <w:p w14:paraId="77131DDE" w14:textId="6962F361" w:rsidR="00FF7ACB" w:rsidRPr="00FF7ACB" w:rsidRDefault="28C08E23" w:rsidP="00816BA9">
            <w:pPr>
              <w:pStyle w:val="TSYList"/>
              <w:numPr>
                <w:ilvl w:val="0"/>
                <w:numId w:val="0"/>
              </w:numPr>
              <w:spacing w:before="0" w:after="120"/>
            </w:pPr>
            <w:r>
              <w:t>Whilst all means of delivering targeted sector or viable firm support are imperfect, on balance, we recommend</w:t>
            </w:r>
            <w:r w:rsidR="7B666C79">
              <w:t>ed</w:t>
            </w:r>
            <w:r>
              <w:t xml:space="preserve"> taking a similar approach to the Wage Subsidy </w:t>
            </w:r>
            <w:r w:rsidR="6C45D131">
              <w:t>S</w:t>
            </w:r>
            <w:r>
              <w:t>cheme and relied on a revenue-drop test. This is because:</w:t>
            </w:r>
          </w:p>
          <w:p w14:paraId="336DC802" w14:textId="77777777" w:rsidR="00FF7ACB" w:rsidRPr="00FF7ACB" w:rsidRDefault="00FF7ACB" w:rsidP="00816BA9">
            <w:pPr>
              <w:pStyle w:val="TSYList"/>
              <w:numPr>
                <w:ilvl w:val="0"/>
                <w:numId w:val="13"/>
              </w:numPr>
              <w:spacing w:before="0" w:after="120"/>
            </w:pPr>
            <w:r w:rsidRPr="00FF7ACB">
              <w:t>It identifies those firms and sectors most affected by AL2 restrictions, whether that is due to the direct impact of public health restrictions or supply chain spill-overs; and</w:t>
            </w:r>
          </w:p>
          <w:p w14:paraId="159EC008" w14:textId="77777777" w:rsidR="00FF7ACB" w:rsidRPr="00FF7ACB" w:rsidRDefault="00FF7ACB" w:rsidP="00816BA9">
            <w:pPr>
              <w:pStyle w:val="TSYList"/>
              <w:numPr>
                <w:ilvl w:val="0"/>
                <w:numId w:val="13"/>
              </w:numPr>
              <w:spacing w:before="0" w:after="120"/>
            </w:pPr>
            <w:r w:rsidRPr="00FF7ACB">
              <w:t>It is well understood by businesses as a common means of determining eligibility for COVID-19 support measures.</w:t>
            </w:r>
          </w:p>
          <w:p w14:paraId="6FD88AEE" w14:textId="2BB6DBFC" w:rsidR="00FF7ACB" w:rsidRPr="00FF7ACB" w:rsidRDefault="00FF7ACB" w:rsidP="00816BA9">
            <w:pPr>
              <w:pStyle w:val="TSYList"/>
              <w:numPr>
                <w:ilvl w:val="0"/>
                <w:numId w:val="0"/>
              </w:numPr>
              <w:spacing w:before="0" w:after="120"/>
            </w:pPr>
            <w:r>
              <w:t xml:space="preserve">The alternative identified was to specifically target </w:t>
            </w:r>
            <w:r>
              <w:rPr>
                <w:szCs w:val="22"/>
              </w:rPr>
              <w:t xml:space="preserve">firms that are subject to specific public health requirements by virtue of providing food and drink for on-premises consumption (hospitality). </w:t>
            </w:r>
            <w:r>
              <w:t>Treasury’s judgement, having consulted with delivery partners, is that doing so would be exceptionally challenging to define, audit, or operationalise; would create very difficult boundary issues for businesses to navigate and understand; and would create very high levels of customer contact and confusion.</w:t>
            </w:r>
          </w:p>
          <w:p w14:paraId="2BC81289" w14:textId="245A2E9B" w:rsidR="000535FD" w:rsidRDefault="0F7D75BD" w:rsidP="00816BA9">
            <w:pPr>
              <w:pStyle w:val="TSYList"/>
              <w:numPr>
                <w:ilvl w:val="0"/>
                <w:numId w:val="0"/>
              </w:numPr>
              <w:spacing w:before="0" w:after="120"/>
              <w:ind w:left="567" w:hanging="567"/>
            </w:pPr>
            <w:r w:rsidRPr="01C3232A">
              <w:rPr>
                <w:b/>
                <w:bCs/>
              </w:rPr>
              <w:t>The means of calculating the grant value</w:t>
            </w:r>
          </w:p>
          <w:p w14:paraId="75E22672" w14:textId="5578BB23" w:rsidR="004358EE" w:rsidRDefault="380019D7" w:rsidP="00816BA9">
            <w:pPr>
              <w:pStyle w:val="TSYList"/>
              <w:numPr>
                <w:ilvl w:val="0"/>
                <w:numId w:val="0"/>
              </w:numPr>
              <w:spacing w:before="0" w:after="120"/>
            </w:pPr>
            <w:r>
              <w:t>A grant to firms should</w:t>
            </w:r>
            <w:r w:rsidR="5E2B8056">
              <w:t xml:space="preserve"> be fiscally sustainable and</w:t>
            </w:r>
            <w:r>
              <w:t xml:space="preserve"> ideally account for the fixed costs that firms face </w:t>
            </w:r>
            <w:r w:rsidR="2D6C6B4D">
              <w:t xml:space="preserve">which </w:t>
            </w:r>
            <w:r>
              <w:t xml:space="preserve">scale relatively slowly with </w:t>
            </w:r>
            <w:r w:rsidR="2D6C6B4D">
              <w:t xml:space="preserve">firm </w:t>
            </w:r>
            <w:r>
              <w:t>size and are hard to adjust quickly (such as rent and utilities), and variable costs that can adjust more quickly (such as wages</w:t>
            </w:r>
            <w:r w:rsidR="0086176E">
              <w:t xml:space="preserve"> and the transition costs associated with Alert Level changes</w:t>
            </w:r>
            <w:r>
              <w:t xml:space="preserve">). </w:t>
            </w:r>
          </w:p>
          <w:p w14:paraId="7FE9C8A4" w14:textId="3EECEFFF" w:rsidR="004358EE" w:rsidRDefault="004358EE" w:rsidP="00816BA9">
            <w:pPr>
              <w:pStyle w:val="TSYList"/>
              <w:numPr>
                <w:ilvl w:val="0"/>
                <w:numId w:val="0"/>
              </w:numPr>
              <w:spacing w:before="0" w:after="120"/>
            </w:pPr>
            <w:r>
              <w:t>In order to achieve this, we recommended that a grant value has a fixed and variable component using FTE</w:t>
            </w:r>
            <w:r w:rsidRPr="22F8BDEE">
              <w:rPr>
                <w:rStyle w:val="FootnoteReference"/>
              </w:rPr>
              <w:footnoteReference w:id="5"/>
            </w:r>
            <w:r>
              <w:t xml:space="preserve"> employees as a measure of firm size and variable costs. </w:t>
            </w:r>
          </w:p>
          <w:p w14:paraId="46C33317" w14:textId="2D31FC1E" w:rsidR="004358EE" w:rsidRDefault="004358EE" w:rsidP="3CDCEEF1">
            <w:pPr>
              <w:pStyle w:val="TSYList"/>
              <w:numPr>
                <w:ilvl w:val="0"/>
                <w:numId w:val="0"/>
              </w:numPr>
              <w:tabs>
                <w:tab w:val="left" w:pos="720"/>
              </w:tabs>
              <w:ind w:left="2160"/>
              <w:rPr>
                <w:i/>
                <w:iCs/>
              </w:rPr>
            </w:pPr>
            <w:r w:rsidRPr="3CDCEEF1">
              <w:rPr>
                <w:i/>
                <w:iCs/>
              </w:rPr>
              <w:t>Grant = base value per firm + ( FTE payment * FTE)</w:t>
            </w:r>
          </w:p>
          <w:p w14:paraId="401DBB1E" w14:textId="75B985A4" w:rsidR="2D124B3A" w:rsidRDefault="1C8D7AAE" w:rsidP="001B0A09">
            <w:pPr>
              <w:spacing w:after="120" w:line="240" w:lineRule="auto"/>
              <w:rPr>
                <w:rFonts w:eastAsia="Arial" w:cs="Arial"/>
                <w:lang w:val="en-NZ"/>
              </w:rPr>
            </w:pPr>
            <w:r w:rsidRPr="42A004F7">
              <w:rPr>
                <w:rFonts w:eastAsia="Arial" w:cs="Arial"/>
                <w:lang w:val="en-NZ"/>
              </w:rPr>
              <w:t xml:space="preserve">To ensure that some low revenue firms do not gain disproportionately from the RSP, we also recommended a design mechanism whereby the amount of payment is capped at two times the fortnightly drop in revenue that the applicant has signalled in its application. </w:t>
            </w:r>
            <w:r w:rsidR="3991FE5A">
              <w:br/>
            </w:r>
            <w:r w:rsidR="2E1738CF">
              <w:t>T</w:t>
            </w:r>
            <w:r w:rsidR="58DF750B">
              <w:t>his approach</w:t>
            </w:r>
            <w:r w:rsidRPr="42A004F7">
              <w:rPr>
                <w:rFonts w:eastAsia="Arial" w:cs="Arial"/>
                <w:lang w:val="en-NZ"/>
              </w:rPr>
              <w:t xml:space="preserve"> means the amount a firm receives will be the lower of the formula amount ($1,500 plus $400 per FTE) or two times the fortnightly drop in revenue.</w:t>
            </w:r>
            <w:r w:rsidR="47DD4B65" w:rsidRPr="42A004F7">
              <w:rPr>
                <w:rFonts w:eastAsia="Arial" w:cs="Arial"/>
                <w:lang w:val="en-NZ"/>
              </w:rPr>
              <w:t xml:space="preserve"> The Treasury estimated this would save </w:t>
            </w:r>
            <w:r w:rsidR="00536F2D">
              <w:rPr>
                <w:rFonts w:eastAsia="Arial" w:cs="Arial"/>
                <w:lang w:val="en-NZ"/>
              </w:rPr>
              <w:t xml:space="preserve">a total of </w:t>
            </w:r>
            <w:r w:rsidR="47DD4B65" w:rsidRPr="42A004F7">
              <w:rPr>
                <w:rFonts w:eastAsia="Arial" w:cs="Arial"/>
                <w:lang w:val="en-NZ"/>
              </w:rPr>
              <w:t>$30-50m in fiscal costs.</w:t>
            </w:r>
          </w:p>
          <w:p w14:paraId="498BC868" w14:textId="37222524" w:rsidR="004358EE" w:rsidRDefault="004358EE" w:rsidP="001B0A09">
            <w:pPr>
              <w:pStyle w:val="TSYList"/>
              <w:numPr>
                <w:ilvl w:val="0"/>
                <w:numId w:val="0"/>
              </w:numPr>
              <w:spacing w:before="0" w:after="120"/>
            </w:pPr>
            <w:r>
              <w:t>We also explored alternative ways of setting a grant relative to a firm’s size (for example, on the basis of a firm’s revenue or balance sheet</w:t>
            </w:r>
            <w:proofErr w:type="gramStart"/>
            <w:r>
              <w:t>),</w:t>
            </w:r>
            <w:r w:rsidR="00622CC7">
              <w:t xml:space="preserve"> </w:t>
            </w:r>
            <w:r>
              <w:t>but</w:t>
            </w:r>
            <w:proofErr w:type="gramEnd"/>
            <w:r>
              <w:t xml:space="preserve"> doing so poses substantial operational challenges and would be more complex for businesses. </w:t>
            </w:r>
          </w:p>
          <w:p w14:paraId="685161B9" w14:textId="1BCB5C5A" w:rsidR="004358EE" w:rsidRPr="004358EE" w:rsidRDefault="004358EE" w:rsidP="001B0A09">
            <w:pPr>
              <w:pStyle w:val="TSYList"/>
              <w:numPr>
                <w:ilvl w:val="0"/>
                <w:numId w:val="0"/>
              </w:numPr>
              <w:spacing w:before="0" w:after="120"/>
              <w:rPr>
                <w:b/>
              </w:rPr>
            </w:pPr>
            <w:r>
              <w:rPr>
                <w:b/>
              </w:rPr>
              <w:br/>
              <w:t>Whether to restrict the grant to SMEs.</w:t>
            </w:r>
          </w:p>
          <w:p w14:paraId="104C10B5" w14:textId="5A182D61" w:rsidR="00D155E2" w:rsidRDefault="6861394A" w:rsidP="001B0A09">
            <w:pPr>
              <w:pStyle w:val="TSYList"/>
              <w:numPr>
                <w:ilvl w:val="0"/>
                <w:numId w:val="0"/>
              </w:numPr>
              <w:spacing w:before="0" w:after="120"/>
            </w:pPr>
            <w:r>
              <w:t xml:space="preserve">Larger firms have stronger balance sheets and access to credit and cash buffers, and the value of the payment will be much less material to their business decisions. However, the fiscal impact of providing the </w:t>
            </w:r>
            <w:r w:rsidR="147ED964">
              <w:t>RSP</w:t>
            </w:r>
            <w:r>
              <w:t xml:space="preserve"> to all firms without a cap on FTE was estimated to be relatively low (given that the base value was a substantial proportion of the cost, and there are very few large firms in New Zealand). On balance, it </w:t>
            </w:r>
            <w:r w:rsidR="12DBACD8">
              <w:t>was preferred</w:t>
            </w:r>
            <w:r>
              <w:t xml:space="preserve"> to cap the </w:t>
            </w:r>
            <w:r w:rsidR="71010387">
              <w:t>amount of the RSP</w:t>
            </w:r>
            <w:r>
              <w:t xml:space="preserve"> to firms at the equivalent of a payment to firms with 50 FTE, similar to the original design of the Wage Subsidy</w:t>
            </w:r>
            <w:r w:rsidR="12DBACD8">
              <w:t>, which has the benefits of equal treatment in approach to supporting all businesses</w:t>
            </w:r>
            <w:r>
              <w:t xml:space="preserve">. </w:t>
            </w:r>
          </w:p>
          <w:p w14:paraId="6534456B" w14:textId="77777777" w:rsidR="004B43E1" w:rsidRDefault="00D155E2" w:rsidP="004B43E1">
            <w:pPr>
              <w:pStyle w:val="TSYList"/>
              <w:numPr>
                <w:ilvl w:val="0"/>
                <w:numId w:val="0"/>
              </w:numPr>
              <w:spacing w:before="0" w:after="120"/>
            </w:pPr>
            <w:r>
              <w:t>This was also supported by feedback gathered in consultation with stakeholders across the business community, who provided advice that the support would have strongest effect for SMEs.</w:t>
            </w:r>
          </w:p>
          <w:p w14:paraId="2222B98A" w14:textId="356B01E4" w:rsidR="00C33EE6" w:rsidRPr="004B43E1" w:rsidRDefault="00C33EE6" w:rsidP="004B43E1">
            <w:pPr>
              <w:pStyle w:val="TSYList"/>
              <w:numPr>
                <w:ilvl w:val="0"/>
                <w:numId w:val="0"/>
              </w:numPr>
              <w:spacing w:before="0" w:after="120"/>
              <w:rPr>
                <w:rFonts w:cs="Arial"/>
                <w:i/>
                <w:szCs w:val="22"/>
                <w:lang w:eastAsia="en-NZ"/>
              </w:rPr>
            </w:pPr>
            <w:r w:rsidRPr="009C4129">
              <w:rPr>
                <w:rFonts w:cs="Arial"/>
                <w:i/>
                <w:szCs w:val="22"/>
                <w:lang w:eastAsia="en-NZ"/>
              </w:rPr>
              <w:t>Have non-regulatory options been considered? If not, why not?</w:t>
            </w:r>
            <w:r>
              <w:rPr>
                <w:rFonts w:cs="Arial"/>
                <w:i/>
                <w:szCs w:val="22"/>
                <w:lang w:eastAsia="en-NZ"/>
              </w:rPr>
              <w:t xml:space="preserve"> </w:t>
            </w:r>
            <w:r w:rsidRPr="009C4129">
              <w:rPr>
                <w:rFonts w:cs="Arial"/>
                <w:i/>
                <w:szCs w:val="22"/>
                <w:lang w:eastAsia="en-NZ"/>
              </w:rPr>
              <w:t>What relevant experience from other countries has been considered?</w:t>
            </w:r>
          </w:p>
          <w:p w14:paraId="20AE1653" w14:textId="0B47FF45" w:rsidR="00C33EE6" w:rsidRDefault="00C33EE6" w:rsidP="001B0A09">
            <w:pPr>
              <w:pStyle w:val="TSYList"/>
              <w:numPr>
                <w:ilvl w:val="0"/>
                <w:numId w:val="0"/>
              </w:numPr>
              <w:spacing w:before="0" w:after="120"/>
            </w:pPr>
            <w:r>
              <w:t>The Treasury explored whether demand-led schemes could be viable to support objectives including (a) and (d) above. It examined the UK’s ‘Eat Out to Help Out’ scheme, which subsidised meals out. It was concluded that the scheme would run counter to the public health goals at higher Alert Levels to subsidise and therefore incentivise eating out.</w:t>
            </w:r>
          </w:p>
          <w:p w14:paraId="25F66D1B" w14:textId="066CE734" w:rsidR="00C33EE6" w:rsidRPr="00C33EE6" w:rsidRDefault="00C33EE6" w:rsidP="001B0A09">
            <w:pPr>
              <w:pStyle w:val="TSYList"/>
              <w:numPr>
                <w:ilvl w:val="0"/>
                <w:numId w:val="0"/>
              </w:numPr>
              <w:spacing w:before="0" w:after="120"/>
            </w:pPr>
            <w:r>
              <w:t xml:space="preserve">The IMF’s </w:t>
            </w:r>
            <w:hyperlink r:id="rId13">
              <w:r w:rsidRPr="44DFE17A">
                <w:rPr>
                  <w:rStyle w:val="Hyperlink"/>
                  <w:i/>
                  <w:iCs/>
                </w:rPr>
                <w:t>Policies for the Recovery</w:t>
              </w:r>
            </w:hyperlink>
            <w:r>
              <w:t xml:space="preserve"> published in October 2020 was also considered. The publication recommended fiscal strategies including “cash or in-kind transfers</w:t>
            </w:r>
            <w:r w:rsidR="00583B4D">
              <w:t xml:space="preserve"> to</w:t>
            </w:r>
            <w:r>
              <w:t xml:space="preserve"> support transition and target those in need, in the event of partial opening</w:t>
            </w:r>
            <w:r w:rsidR="6047E567">
              <w:t>”, which supported the case for the approach taken to designing the RSP</w:t>
            </w:r>
            <w:r w:rsidR="00583B4D">
              <w:t>.</w:t>
            </w:r>
          </w:p>
          <w:p w14:paraId="6C534385" w14:textId="17A855D4" w:rsidR="0062657E" w:rsidRPr="009C4129" w:rsidRDefault="00583B4D" w:rsidP="001B0A09">
            <w:pPr>
              <w:pStyle w:val="TSYList"/>
              <w:numPr>
                <w:ilvl w:val="0"/>
                <w:numId w:val="0"/>
              </w:numPr>
              <w:spacing w:before="0" w:after="120"/>
              <w:rPr>
                <w:rFonts w:cs="Arial"/>
                <w:szCs w:val="22"/>
                <w:lang w:eastAsia="en-AU"/>
              </w:rPr>
            </w:pPr>
            <w:r>
              <w:t xml:space="preserve">In addition, the Treasury engaged with officials in Australia to share ideas on building support schemes which targeted vulnerable but viable firms. </w:t>
            </w:r>
          </w:p>
        </w:tc>
      </w:tr>
    </w:tbl>
    <w:p w14:paraId="575109F7" w14:textId="77777777" w:rsidR="0062657E" w:rsidRDefault="0062657E" w:rsidP="00C17661">
      <w:pPr>
        <w:pStyle w:val="spacer"/>
      </w:pPr>
    </w:p>
    <w:p w14:paraId="1326C2A0" w14:textId="77777777" w:rsidR="004C33F3" w:rsidRDefault="004C33F3" w:rsidP="00C17661">
      <w:pPr>
        <w:pStyle w:val="spacer"/>
      </w:pPr>
    </w:p>
    <w:p w14:paraId="5017763C" w14:textId="77777777" w:rsidR="004C33F3" w:rsidRDefault="004C33F3" w:rsidP="00C17661">
      <w:pPr>
        <w:pStyle w:val="spacer"/>
      </w:pPr>
    </w:p>
    <w:p w14:paraId="6EF53AF8" w14:textId="77777777" w:rsidR="004C33F3" w:rsidRDefault="004C33F3" w:rsidP="00C17661">
      <w:pPr>
        <w:pStyle w:val="spacer"/>
      </w:pPr>
    </w:p>
    <w:p w14:paraId="5E600790" w14:textId="77777777" w:rsidR="004C33F3" w:rsidRPr="009C4129" w:rsidRDefault="004C33F3" w:rsidP="00C17661">
      <w:pPr>
        <w:pStyle w:val="spacer"/>
      </w:pPr>
    </w:p>
    <w:tbl>
      <w:tblPr>
        <w:tblW w:w="4885" w:type="pct"/>
        <w:tblInd w:w="10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shd w:val="clear" w:color="auto" w:fill="ACB9CA"/>
        <w:tblLook w:val="04A0" w:firstRow="1" w:lastRow="0" w:firstColumn="1" w:lastColumn="0" w:noHBand="0" w:noVBand="1"/>
      </w:tblPr>
      <w:tblGrid>
        <w:gridCol w:w="9186"/>
      </w:tblGrid>
      <w:tr w:rsidR="009C4129" w:rsidRPr="009C4129" w14:paraId="7ED40FDE" w14:textId="77777777" w:rsidTr="44DFE17A">
        <w:trPr>
          <w:trHeight w:val="510"/>
        </w:trPr>
        <w:tc>
          <w:tcPr>
            <w:tcW w:w="5000" w:type="pct"/>
            <w:shd w:val="clear" w:color="auto" w:fill="99CDDD"/>
          </w:tcPr>
          <w:p w14:paraId="20DF8CB4" w14:textId="77777777" w:rsidR="0062657E" w:rsidRDefault="00F05AD9" w:rsidP="002428A4">
            <w:pPr>
              <w:keepNext/>
              <w:keepLines/>
              <w:spacing w:before="60" w:after="60" w:line="240" w:lineRule="auto"/>
              <w:rPr>
                <w:rFonts w:cs="Arial"/>
                <w:b/>
                <w:szCs w:val="22"/>
                <w:lang w:eastAsia="en-AU"/>
              </w:rPr>
            </w:pPr>
            <w:r>
              <w:rPr>
                <w:rFonts w:cs="Arial"/>
                <w:b/>
                <w:szCs w:val="22"/>
                <w:lang w:eastAsia="en-AU"/>
              </w:rPr>
              <w:t xml:space="preserve">3.2   </w:t>
            </w:r>
            <w:r w:rsidR="0062657E" w:rsidRPr="009C4129">
              <w:rPr>
                <w:rFonts w:cs="Arial"/>
                <w:b/>
                <w:szCs w:val="22"/>
                <w:lang w:eastAsia="en-AU"/>
              </w:rPr>
              <w:t>What criteria, in addition to monetary costs and benefits</w:t>
            </w:r>
            <w:r w:rsidR="001837C1">
              <w:rPr>
                <w:rFonts w:cs="Arial"/>
                <w:b/>
                <w:szCs w:val="22"/>
                <w:lang w:eastAsia="en-AU"/>
              </w:rPr>
              <w:t xml:space="preserve"> </w:t>
            </w:r>
            <w:r w:rsidR="0062657E" w:rsidRPr="009C4129">
              <w:rPr>
                <w:rFonts w:cs="Arial"/>
                <w:b/>
                <w:szCs w:val="22"/>
                <w:lang w:eastAsia="en-AU"/>
              </w:rPr>
              <w:t>have been used to assess the likely impacts of the options under consideration?</w:t>
            </w:r>
          </w:p>
          <w:p w14:paraId="21E8FADF" w14:textId="77777777" w:rsidR="002A568B" w:rsidRDefault="002A568B" w:rsidP="002428A4">
            <w:pPr>
              <w:keepNext/>
              <w:keepLines/>
              <w:spacing w:before="60" w:after="60" w:line="240" w:lineRule="auto"/>
              <w:rPr>
                <w:rFonts w:cs="Arial"/>
                <w:b/>
                <w:szCs w:val="22"/>
                <w:lang w:eastAsia="en-AU"/>
              </w:rPr>
            </w:pPr>
          </w:p>
          <w:p w14:paraId="5AF83347" w14:textId="792567C3" w:rsidR="002A568B" w:rsidRPr="009C4129" w:rsidRDefault="002A568B" w:rsidP="002428A4">
            <w:pPr>
              <w:keepNext/>
              <w:keepLines/>
              <w:spacing w:before="60" w:after="60" w:line="240" w:lineRule="auto"/>
              <w:rPr>
                <w:rFonts w:cs="Arial"/>
                <w:b/>
                <w:szCs w:val="22"/>
                <w:lang w:eastAsia="en-AU"/>
              </w:rPr>
            </w:pPr>
            <w:r>
              <w:rPr>
                <w:rFonts w:cs="Arial"/>
                <w:b/>
                <w:szCs w:val="22"/>
                <w:lang w:eastAsia="en-AU"/>
              </w:rPr>
              <w:t xml:space="preserve">3.3   </w:t>
            </w:r>
            <w:r w:rsidRPr="009C4129">
              <w:rPr>
                <w:rFonts w:cs="Arial"/>
                <w:b/>
                <w:szCs w:val="22"/>
                <w:lang w:eastAsia="en-AU"/>
              </w:rPr>
              <w:t>What other</w:t>
            </w:r>
            <w:r w:rsidRPr="004A11FC">
              <w:rPr>
                <w:rFonts w:cs="Arial"/>
                <w:b/>
                <w:szCs w:val="22"/>
                <w:lang w:eastAsia="en-AU"/>
              </w:rPr>
              <w:t xml:space="preserve"> </w:t>
            </w:r>
            <w:r w:rsidRPr="009C4129">
              <w:rPr>
                <w:rFonts w:cs="Arial"/>
                <w:b/>
                <w:szCs w:val="22"/>
                <w:lang w:eastAsia="en-AU"/>
              </w:rPr>
              <w:t>options have been ruled out of scope, or not considered, and why?</w:t>
            </w:r>
          </w:p>
        </w:tc>
      </w:tr>
      <w:tr w:rsidR="009C4129" w:rsidRPr="009C4129" w14:paraId="2DD7D5AC" w14:textId="77777777" w:rsidTr="44DFE17A">
        <w:trPr>
          <w:trHeight w:val="510"/>
        </w:trPr>
        <w:tc>
          <w:tcPr>
            <w:tcW w:w="5000" w:type="pct"/>
            <w:shd w:val="clear" w:color="auto" w:fill="EBF5F8"/>
          </w:tcPr>
          <w:p w14:paraId="2871B920" w14:textId="4B2F8E7A" w:rsidR="0062657E" w:rsidRPr="009C4129" w:rsidRDefault="0062657E" w:rsidP="002428A4">
            <w:pPr>
              <w:pStyle w:val="Bullet-list"/>
              <w:spacing w:before="60" w:after="120" w:line="276" w:lineRule="auto"/>
              <w:ind w:left="284" w:hanging="284"/>
              <w:rPr>
                <w:rFonts w:cs="Arial"/>
                <w:i/>
                <w:szCs w:val="22"/>
                <w:lang w:eastAsia="en-NZ"/>
              </w:rPr>
            </w:pPr>
            <w:r w:rsidRPr="009C4129">
              <w:rPr>
                <w:rFonts w:cs="Arial"/>
                <w:i/>
                <w:szCs w:val="22"/>
                <w:lang w:eastAsia="en-NZ"/>
              </w:rPr>
              <w:t>Comment on relationships between the criteria, for example where meeting one criterion can only be achieved at the expense of another (trade-offs)</w:t>
            </w:r>
          </w:p>
        </w:tc>
      </w:tr>
      <w:tr w:rsidR="009C4129" w:rsidRPr="009C4129" w14:paraId="2F126AF3" w14:textId="77777777" w:rsidTr="44DFE17A">
        <w:trPr>
          <w:trHeight w:val="2096"/>
        </w:trPr>
        <w:tc>
          <w:tcPr>
            <w:tcW w:w="5000" w:type="pct"/>
            <w:shd w:val="clear" w:color="auto" w:fill="FFFFFF" w:themeFill="background1"/>
          </w:tcPr>
          <w:p w14:paraId="22BC175B" w14:textId="7B1BDF29" w:rsidR="005458BB" w:rsidRDefault="005458BB" w:rsidP="00E14870">
            <w:pPr>
              <w:spacing w:after="120" w:line="240" w:lineRule="auto"/>
              <w:jc w:val="both"/>
              <w:rPr>
                <w:rFonts w:cs="Arial"/>
              </w:rPr>
            </w:pPr>
            <w:r>
              <w:rPr>
                <w:rFonts w:cs="Arial"/>
              </w:rPr>
              <w:t xml:space="preserve">Note: sections </w:t>
            </w:r>
            <w:r w:rsidRPr="005458BB">
              <w:rPr>
                <w:rFonts w:cs="Arial"/>
                <w:b/>
              </w:rPr>
              <w:t>3.2 and 3.3 from the original template are combined</w:t>
            </w:r>
            <w:r>
              <w:rPr>
                <w:rFonts w:cs="Arial"/>
                <w:b/>
              </w:rPr>
              <w:t xml:space="preserve"> </w:t>
            </w:r>
            <w:r>
              <w:rPr>
                <w:rFonts w:cs="Arial"/>
              </w:rPr>
              <w:t xml:space="preserve">as the answers are strongly related. </w:t>
            </w:r>
          </w:p>
          <w:p w14:paraId="681F1117" w14:textId="2A232E83" w:rsidR="002A568B" w:rsidRPr="002A568B" w:rsidRDefault="002A568B" w:rsidP="00E14870">
            <w:pPr>
              <w:spacing w:after="120" w:line="240" w:lineRule="auto"/>
              <w:jc w:val="both"/>
              <w:rPr>
                <w:rFonts w:cs="Arial"/>
              </w:rPr>
            </w:pPr>
            <w:r>
              <w:rPr>
                <w:rFonts w:cs="Arial"/>
              </w:rPr>
              <w:t>The desired impacts are directly related to the objectives of the RSP:</w:t>
            </w:r>
          </w:p>
          <w:p w14:paraId="29FC1A74" w14:textId="7D737AE2" w:rsidR="00625D74" w:rsidRPr="000535FD" w:rsidRDefault="1B5AFFC6" w:rsidP="00E14870">
            <w:pPr>
              <w:pStyle w:val="ListParagraph"/>
              <w:numPr>
                <w:ilvl w:val="0"/>
                <w:numId w:val="19"/>
              </w:numPr>
              <w:spacing w:after="120" w:line="240" w:lineRule="auto"/>
              <w:contextualSpacing w:val="0"/>
              <w:jc w:val="both"/>
              <w:rPr>
                <w:rFonts w:eastAsia="Arial" w:cs="Arial"/>
                <w:szCs w:val="22"/>
              </w:rPr>
            </w:pPr>
            <w:r>
              <w:t xml:space="preserve">Support firms to maintain viability and employment levels across escalations in public health </w:t>
            </w:r>
            <w:proofErr w:type="gramStart"/>
            <w:r>
              <w:t>restrictions</w:t>
            </w:r>
            <w:r w:rsidR="2F49148F">
              <w:t>;</w:t>
            </w:r>
            <w:proofErr w:type="gramEnd"/>
          </w:p>
          <w:p w14:paraId="478F8EF6" w14:textId="2353F8CB" w:rsidR="00583B4D" w:rsidRPr="000535FD" w:rsidRDefault="589EFE8F" w:rsidP="00E14870">
            <w:pPr>
              <w:pStyle w:val="ListParagraph"/>
              <w:numPr>
                <w:ilvl w:val="0"/>
                <w:numId w:val="19"/>
              </w:numPr>
              <w:spacing w:after="120" w:line="240" w:lineRule="auto"/>
              <w:contextualSpacing w:val="0"/>
              <w:jc w:val="both"/>
              <w:rPr>
                <w:rFonts w:eastAsia="Arial" w:cs="Arial"/>
              </w:rPr>
            </w:pPr>
            <w:r>
              <w:t xml:space="preserve">Support firms to pay fixed costs if they are struggling to do so as a result of escalated Alert </w:t>
            </w:r>
            <w:proofErr w:type="gramStart"/>
            <w:r>
              <w:t>Levels;</w:t>
            </w:r>
            <w:proofErr w:type="gramEnd"/>
            <w:r>
              <w:t xml:space="preserve"> </w:t>
            </w:r>
          </w:p>
          <w:p w14:paraId="067E1A95" w14:textId="33EBF48A" w:rsidR="00583B4D" w:rsidRPr="000535FD" w:rsidRDefault="1B5AFFC6" w:rsidP="00E14870">
            <w:pPr>
              <w:pStyle w:val="ListParagraph"/>
              <w:numPr>
                <w:ilvl w:val="0"/>
                <w:numId w:val="19"/>
              </w:numPr>
              <w:spacing w:after="120" w:line="240" w:lineRule="auto"/>
              <w:contextualSpacing w:val="0"/>
              <w:jc w:val="both"/>
              <w:rPr>
                <w:rFonts w:eastAsia="Arial" w:cs="Arial"/>
                <w:szCs w:val="22"/>
              </w:rPr>
            </w:pPr>
            <w:r>
              <w:t>Share the cost associated with escalated Alert Levels between Government, firms and across economic sectors; and</w:t>
            </w:r>
          </w:p>
          <w:p w14:paraId="787C3736" w14:textId="709DDC39" w:rsidR="00583B4D" w:rsidRPr="000535FD" w:rsidRDefault="589EFE8F" w:rsidP="00E14870">
            <w:pPr>
              <w:pStyle w:val="ListParagraph"/>
              <w:numPr>
                <w:ilvl w:val="0"/>
                <w:numId w:val="19"/>
              </w:numPr>
              <w:spacing w:after="120" w:line="240" w:lineRule="auto"/>
              <w:contextualSpacing w:val="0"/>
              <w:jc w:val="both"/>
              <w:rPr>
                <w:rFonts w:eastAsia="Arial" w:cs="Arial"/>
              </w:rPr>
            </w:pPr>
            <w:r>
              <w:t>Encourage the shift to a COVID-19 resilient economy.</w:t>
            </w:r>
          </w:p>
          <w:p w14:paraId="5A9661F0" w14:textId="77777777" w:rsidR="00EE6BB4" w:rsidRDefault="00583B4D" w:rsidP="00E14870">
            <w:pPr>
              <w:pStyle w:val="TSYList"/>
              <w:numPr>
                <w:ilvl w:val="0"/>
                <w:numId w:val="0"/>
              </w:numPr>
              <w:spacing w:before="0" w:after="120"/>
              <w:rPr>
                <w:lang w:eastAsia="en-AU"/>
              </w:rPr>
            </w:pPr>
            <w:r>
              <w:rPr>
                <w:lang w:eastAsia="en-AU"/>
              </w:rPr>
              <w:t>It was considered that grant-based support was more likely to support businesses to maintain viability and employment levels tha</w:t>
            </w:r>
            <w:r w:rsidR="002A568B">
              <w:rPr>
                <w:lang w:eastAsia="en-AU"/>
              </w:rPr>
              <w:t xml:space="preserve">n debt-based alternatives, whilst being fiscally sustainable (given the quantum of funding set aside to respond to resurgence events if needed). </w:t>
            </w:r>
          </w:p>
          <w:p w14:paraId="28124589" w14:textId="41D0D86A" w:rsidR="002A568B" w:rsidRDefault="002A568B" w:rsidP="00E14870">
            <w:pPr>
              <w:pStyle w:val="TSYList"/>
              <w:numPr>
                <w:ilvl w:val="0"/>
                <w:numId w:val="0"/>
              </w:numPr>
              <w:spacing w:before="0" w:after="120"/>
              <w:rPr>
                <w:lang w:eastAsia="en-AU"/>
              </w:rPr>
            </w:pPr>
            <w:r>
              <w:rPr>
                <w:lang w:eastAsia="en-AU"/>
              </w:rPr>
              <w:t xml:space="preserve">Whilst </w:t>
            </w:r>
            <w:proofErr w:type="gramStart"/>
            <w:r>
              <w:rPr>
                <w:lang w:eastAsia="en-AU"/>
              </w:rPr>
              <w:t>d</w:t>
            </w:r>
            <w:r>
              <w:t>ebt based</w:t>
            </w:r>
            <w:proofErr w:type="gramEnd"/>
            <w:r>
              <w:t xml:space="preserve"> support may help firms manage immediate cash flow issues, it can become restrictive and delay investment in transition as they divert cash from growth activities to financing costs.</w:t>
            </w:r>
          </w:p>
          <w:p w14:paraId="60026E56" w14:textId="77777777" w:rsidR="002A568B" w:rsidRDefault="002A568B" w:rsidP="00E14870">
            <w:pPr>
              <w:pStyle w:val="TSYList"/>
              <w:numPr>
                <w:ilvl w:val="0"/>
                <w:numId w:val="0"/>
              </w:numPr>
              <w:spacing w:before="0" w:after="120"/>
            </w:pPr>
            <w:r>
              <w:t xml:space="preserve">Furthermore, firms are likely to be more risk averse than the Crown, which pools risk and has a large balance sheet, a </w:t>
            </w:r>
            <w:proofErr w:type="gramStart"/>
            <w:r>
              <w:t>long time</w:t>
            </w:r>
            <w:proofErr w:type="gramEnd"/>
            <w:r>
              <w:t xml:space="preserve"> horizon, and a public interest perspective.</w:t>
            </w:r>
          </w:p>
          <w:p w14:paraId="702C8015" w14:textId="3BBF04FE" w:rsidR="00583B4D" w:rsidRDefault="002A568B" w:rsidP="00E14870">
            <w:pPr>
              <w:spacing w:after="120" w:line="240" w:lineRule="auto"/>
              <w:rPr>
                <w:lang w:eastAsia="en-AU"/>
              </w:rPr>
            </w:pPr>
            <w:r>
              <w:rPr>
                <w:lang w:eastAsia="en-AU"/>
              </w:rPr>
              <w:t xml:space="preserve">An additional part of the rationale for the RSP in delivering the above objectives relates to the impacts on social license for the public health response. </w:t>
            </w:r>
          </w:p>
          <w:p w14:paraId="1BB4D624" w14:textId="2B2AB187" w:rsidR="002A568B" w:rsidRDefault="002A568B" w:rsidP="00E14870">
            <w:pPr>
              <w:pStyle w:val="TSYList"/>
              <w:numPr>
                <w:ilvl w:val="0"/>
                <w:numId w:val="0"/>
              </w:numPr>
              <w:spacing w:before="0" w:after="120"/>
            </w:pPr>
            <w:r>
              <w:t xml:space="preserve">Whilst the available evidence demonstrated a broadly high level of compliance with the public health restrictions during the outbreaks in 2020 (for example, traffic flows were much lower as a result of AL3 in Auckland), there was some evidence that the high degree of social capital that supported compliance with the longer national lockdown waned. In addition, at the time of designing the Payment, there was emerging evidence that compliance with restrictions overseas was waning, especially in cases where the economic support was judged to be insufficiently generous to incentivise people to self-isolate rather than work. </w:t>
            </w:r>
          </w:p>
          <w:p w14:paraId="70C7764D" w14:textId="1A6502AC" w:rsidR="0062657E" w:rsidRPr="009C4129" w:rsidRDefault="00EE6BB4" w:rsidP="00E14870">
            <w:pPr>
              <w:pStyle w:val="TSYList"/>
              <w:numPr>
                <w:ilvl w:val="0"/>
                <w:numId w:val="0"/>
              </w:numPr>
              <w:spacing w:before="0" w:after="120"/>
              <w:rPr>
                <w:rFonts w:cs="Arial"/>
                <w:szCs w:val="22"/>
                <w:lang w:eastAsia="en-AU"/>
              </w:rPr>
            </w:pPr>
            <w:r>
              <w:t>It was concluded that e</w:t>
            </w:r>
            <w:r w:rsidR="002A568B">
              <w:t>conomic response measures can play a key role in maintaining ongoing social license for public health restrictions, both in compensating individuals for their compliance with restrictions, minimising the impact on jobs and economic wellbeing, and reinforcing social solidarity.</w:t>
            </w:r>
            <w:r>
              <w:t xml:space="preserve"> Whilst this is a difficult impact to measure and accurately attribute to economic support, the counterfactual would be a significant risk to the health and wellbeing of all New Zealanders.</w:t>
            </w:r>
          </w:p>
        </w:tc>
      </w:tr>
    </w:tbl>
    <w:p w14:paraId="709DB33B" w14:textId="77777777" w:rsidR="0062657E" w:rsidRPr="009C4129" w:rsidRDefault="0062657E" w:rsidP="00C17661">
      <w:pPr>
        <w:pStyle w:val="spacer"/>
      </w:pPr>
    </w:p>
    <w:p w14:paraId="25F93B75" w14:textId="77777777" w:rsidR="0062657E" w:rsidRPr="009C4129" w:rsidRDefault="0062657E" w:rsidP="007B090A">
      <w:pPr>
        <w:pStyle w:val="spacer"/>
        <w:spacing w:line="276" w:lineRule="auto"/>
        <w:rPr>
          <w:sz w:val="22"/>
        </w:rPr>
      </w:pPr>
    </w:p>
    <w:p w14:paraId="656AB385" w14:textId="77777777" w:rsidR="0062657E" w:rsidRPr="0049234F" w:rsidRDefault="0062657E" w:rsidP="00C17661">
      <w:pPr>
        <w:pStyle w:val="spacer"/>
        <w:sectPr w:rsidR="0062657E" w:rsidRPr="0049234F" w:rsidSect="00106F44">
          <w:headerReference w:type="default" r:id="rId14"/>
          <w:footerReference w:type="default" r:id="rId15"/>
          <w:pgSz w:w="11906" w:h="16838"/>
          <w:pgMar w:top="1134" w:right="1247" w:bottom="992" w:left="1247" w:header="709" w:footer="709" w:gutter="0"/>
          <w:cols w:space="708"/>
          <w:docGrid w:linePitch="360"/>
        </w:sectPr>
      </w:pPr>
    </w:p>
    <w:p w14:paraId="4975E21D" w14:textId="77777777" w:rsidR="0062657E" w:rsidRPr="0005691A" w:rsidRDefault="0062657E" w:rsidP="00362498">
      <w:pPr>
        <w:pStyle w:val="Heading2"/>
      </w:pPr>
      <w:r w:rsidRPr="13FFC42C">
        <w:t>Section 4:  Impact Analysis</w:t>
      </w:r>
    </w:p>
    <w:p w14:paraId="65CE3C5D" w14:textId="65145208" w:rsidR="0049234F" w:rsidRPr="00D61E93" w:rsidRDefault="009435C4" w:rsidP="00D61E93">
      <w:pPr>
        <w:spacing w:after="0" w:line="276" w:lineRule="auto"/>
        <w:rPr>
          <w:rFonts w:cs="Arial"/>
          <w:i/>
          <w:szCs w:val="22"/>
        </w:rPr>
      </w:pPr>
      <w:r w:rsidRPr="009435C4">
        <w:rPr>
          <w:rFonts w:cs="Arial"/>
          <w:b/>
          <w:szCs w:val="22"/>
        </w:rPr>
        <w:t xml:space="preserve">Marginal impact: How does each of the options identified </w:t>
      </w:r>
      <w:r w:rsidR="0023241A">
        <w:rPr>
          <w:rFonts w:cs="Arial"/>
          <w:b/>
          <w:szCs w:val="22"/>
        </w:rPr>
        <w:t xml:space="preserve">in </w:t>
      </w:r>
      <w:r w:rsidRPr="009435C4">
        <w:rPr>
          <w:rFonts w:cs="Arial"/>
          <w:b/>
          <w:szCs w:val="22"/>
        </w:rPr>
        <w:t xml:space="preserve">section 3.1 compare with </w:t>
      </w:r>
      <w:r w:rsidR="00DF0840">
        <w:rPr>
          <w:rFonts w:cs="Arial"/>
          <w:b/>
          <w:szCs w:val="22"/>
        </w:rPr>
        <w:t>taking no action</w:t>
      </w:r>
      <w:r w:rsidR="007271F7">
        <w:rPr>
          <w:rFonts w:cs="Arial"/>
          <w:b/>
          <w:szCs w:val="22"/>
        </w:rPr>
        <w:t xml:space="preserve"> </w:t>
      </w:r>
      <w:r w:rsidRPr="009435C4">
        <w:rPr>
          <w:rFonts w:cs="Arial"/>
          <w:b/>
          <w:szCs w:val="22"/>
        </w:rPr>
        <w:t>under each of the criteria set out in section 3.2?</w:t>
      </w:r>
      <w:r w:rsidRPr="009435C4">
        <w:rPr>
          <w:rFonts w:cs="Arial"/>
          <w:b/>
          <w:i/>
          <w:szCs w:val="22"/>
        </w:rPr>
        <w:t xml:space="preserve">  </w:t>
      </w:r>
      <w:r w:rsidRPr="0049467D">
        <w:rPr>
          <w:rFonts w:cs="Arial"/>
          <w:i/>
          <w:szCs w:val="22"/>
        </w:rPr>
        <w:t xml:space="preserve">Add or subtract columns and </w:t>
      </w:r>
      <w:proofErr w:type="gramStart"/>
      <w:r w:rsidRPr="0049467D">
        <w:rPr>
          <w:rFonts w:cs="Arial"/>
          <w:i/>
          <w:szCs w:val="22"/>
        </w:rPr>
        <w:t>rows</w:t>
      </w:r>
      <w:proofErr w:type="gramEnd"/>
      <w:r w:rsidRPr="0049467D">
        <w:rPr>
          <w:rFonts w:cs="Arial"/>
          <w:i/>
          <w:szCs w:val="22"/>
        </w:rPr>
        <w:t xml:space="preserve"> as necessary</w:t>
      </w:r>
      <w:r w:rsidR="00D61E93">
        <w:rPr>
          <w:rFonts w:cs="Arial"/>
          <w:i/>
          <w:szCs w:val="22"/>
        </w:rPr>
        <w:t>.</w:t>
      </w:r>
    </w:p>
    <w:p w14:paraId="33EEAA3B" w14:textId="77777777" w:rsidR="009435C4" w:rsidRDefault="009435C4" w:rsidP="0049234F">
      <w:pPr>
        <w:pStyle w:val="spacer"/>
      </w:pPr>
    </w:p>
    <w:tbl>
      <w:tblPr>
        <w:tblW w:w="15085" w:type="dxa"/>
        <w:tblInd w:w="-431"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A0" w:firstRow="1" w:lastRow="0" w:firstColumn="1" w:lastColumn="0" w:noHBand="0" w:noVBand="1"/>
      </w:tblPr>
      <w:tblGrid>
        <w:gridCol w:w="1957"/>
        <w:gridCol w:w="829"/>
        <w:gridCol w:w="1398"/>
        <w:gridCol w:w="1918"/>
        <w:gridCol w:w="1747"/>
        <w:gridCol w:w="1274"/>
        <w:gridCol w:w="1434"/>
        <w:gridCol w:w="1496"/>
        <w:gridCol w:w="1429"/>
        <w:gridCol w:w="1603"/>
      </w:tblGrid>
      <w:tr w:rsidR="00E14870" w:rsidRPr="00735AEB" w14:paraId="7FF69F90" w14:textId="0D3DEEE7" w:rsidTr="01C3232A">
        <w:trPr>
          <w:trHeight w:val="384"/>
        </w:trPr>
        <w:tc>
          <w:tcPr>
            <w:tcW w:w="1957" w:type="dxa"/>
            <w:vMerge w:val="restart"/>
            <w:shd w:val="clear" w:color="auto" w:fill="99CDDD"/>
          </w:tcPr>
          <w:p w14:paraId="5265399E" w14:textId="4981DA45" w:rsidR="0074513F" w:rsidRPr="00735AEB" w:rsidRDefault="0074513F" w:rsidP="005458BB">
            <w:pPr>
              <w:spacing w:before="60" w:after="60" w:line="276" w:lineRule="auto"/>
              <w:jc w:val="both"/>
              <w:rPr>
                <w:rFonts w:cs="Arial"/>
                <w:b/>
                <w:color w:val="FFFFFF"/>
                <w:sz w:val="20"/>
              </w:rPr>
            </w:pPr>
            <w:r w:rsidRPr="005458BB">
              <w:rPr>
                <w:rFonts w:cs="Arial"/>
                <w:b/>
                <w:sz w:val="20"/>
              </w:rPr>
              <w:t>Second-order design choice</w:t>
            </w:r>
            <w:r>
              <w:rPr>
                <w:rFonts w:cs="Arial"/>
                <w:b/>
                <w:sz w:val="20"/>
              </w:rPr>
              <w:t xml:space="preserve"> (see also box 3.1)</w:t>
            </w:r>
          </w:p>
        </w:tc>
        <w:tc>
          <w:tcPr>
            <w:tcW w:w="829" w:type="dxa"/>
            <w:shd w:val="clear" w:color="auto" w:fill="99CDDD"/>
          </w:tcPr>
          <w:p w14:paraId="106044DC" w14:textId="77777777" w:rsidR="0074513F" w:rsidRPr="00735AEB" w:rsidRDefault="0074513F" w:rsidP="00384E9B">
            <w:pPr>
              <w:spacing w:before="60" w:after="60" w:line="240" w:lineRule="auto"/>
              <w:rPr>
                <w:rFonts w:cs="Arial"/>
                <w:b/>
                <w:color w:val="000000"/>
                <w:sz w:val="20"/>
              </w:rPr>
            </w:pPr>
          </w:p>
        </w:tc>
        <w:tc>
          <w:tcPr>
            <w:tcW w:w="3316" w:type="dxa"/>
            <w:gridSpan w:val="2"/>
            <w:shd w:val="clear" w:color="auto" w:fill="99CDDD"/>
          </w:tcPr>
          <w:p w14:paraId="6A017331" w14:textId="0F7308F0" w:rsidR="0074513F" w:rsidRPr="00735AEB" w:rsidRDefault="0074513F" w:rsidP="00384E9B">
            <w:pPr>
              <w:spacing w:before="60" w:after="60" w:line="276" w:lineRule="auto"/>
              <w:jc w:val="both"/>
              <w:rPr>
                <w:rFonts w:cs="Arial"/>
                <w:b/>
                <w:color w:val="000000"/>
                <w:sz w:val="20"/>
              </w:rPr>
            </w:pPr>
            <w:r w:rsidRPr="00735AEB">
              <w:rPr>
                <w:rFonts w:cs="Arial"/>
                <w:b/>
                <w:color w:val="000000"/>
                <w:sz w:val="20"/>
              </w:rPr>
              <w:t>Association with AL settings</w:t>
            </w:r>
          </w:p>
        </w:tc>
        <w:tc>
          <w:tcPr>
            <w:tcW w:w="3021" w:type="dxa"/>
            <w:gridSpan w:val="2"/>
            <w:shd w:val="clear" w:color="auto" w:fill="99CDDD"/>
          </w:tcPr>
          <w:p w14:paraId="0F82C6F0" w14:textId="470F7973" w:rsidR="0074513F" w:rsidRPr="00735AEB" w:rsidRDefault="0074513F" w:rsidP="00384E9B">
            <w:pPr>
              <w:spacing w:before="60" w:after="60" w:line="276" w:lineRule="auto"/>
              <w:jc w:val="both"/>
              <w:rPr>
                <w:rFonts w:cs="Arial"/>
                <w:b/>
                <w:color w:val="000000"/>
                <w:sz w:val="20"/>
              </w:rPr>
            </w:pPr>
            <w:r w:rsidRPr="00735AEB">
              <w:rPr>
                <w:rFonts w:cs="Arial"/>
                <w:b/>
                <w:color w:val="000000"/>
                <w:sz w:val="20"/>
              </w:rPr>
              <w:t>Payment format</w:t>
            </w:r>
          </w:p>
        </w:tc>
        <w:tc>
          <w:tcPr>
            <w:tcW w:w="2930" w:type="dxa"/>
            <w:gridSpan w:val="2"/>
            <w:shd w:val="clear" w:color="auto" w:fill="99CDDD"/>
          </w:tcPr>
          <w:p w14:paraId="282DCBF8" w14:textId="5A1088A3" w:rsidR="0074513F" w:rsidRPr="00735AEB" w:rsidRDefault="0074513F" w:rsidP="00384E9B">
            <w:pPr>
              <w:spacing w:before="60" w:after="60" w:line="276" w:lineRule="auto"/>
              <w:jc w:val="both"/>
              <w:rPr>
                <w:rFonts w:cs="Arial"/>
                <w:b/>
                <w:color w:val="000000"/>
                <w:sz w:val="20"/>
              </w:rPr>
            </w:pPr>
            <w:r w:rsidRPr="00735AEB">
              <w:rPr>
                <w:rFonts w:cs="Arial"/>
                <w:b/>
                <w:color w:val="000000"/>
                <w:sz w:val="20"/>
              </w:rPr>
              <w:t>Eligibility</w:t>
            </w:r>
          </w:p>
        </w:tc>
        <w:tc>
          <w:tcPr>
            <w:tcW w:w="3032" w:type="dxa"/>
            <w:gridSpan w:val="2"/>
            <w:shd w:val="clear" w:color="auto" w:fill="99CDDD"/>
          </w:tcPr>
          <w:p w14:paraId="1C02D076" w14:textId="7B1BB28B" w:rsidR="0074513F" w:rsidRPr="00735AEB" w:rsidRDefault="0074513F" w:rsidP="00384E9B">
            <w:pPr>
              <w:spacing w:before="60" w:after="60" w:line="276" w:lineRule="auto"/>
              <w:jc w:val="both"/>
              <w:rPr>
                <w:rFonts w:cs="Arial"/>
                <w:b/>
                <w:color w:val="000000"/>
                <w:sz w:val="20"/>
              </w:rPr>
            </w:pPr>
            <w:r w:rsidRPr="00735AEB">
              <w:rPr>
                <w:rFonts w:cs="Arial"/>
                <w:b/>
                <w:color w:val="000000"/>
                <w:sz w:val="20"/>
              </w:rPr>
              <w:t>Firm size</w:t>
            </w:r>
          </w:p>
        </w:tc>
      </w:tr>
      <w:tr w:rsidR="00AD4436" w:rsidRPr="00735AEB" w14:paraId="7962793C" w14:textId="33040FB7" w:rsidTr="01C3232A">
        <w:trPr>
          <w:trHeight w:val="1193"/>
        </w:trPr>
        <w:tc>
          <w:tcPr>
            <w:tcW w:w="1957" w:type="dxa"/>
            <w:vMerge/>
          </w:tcPr>
          <w:p w14:paraId="6605693B" w14:textId="77777777" w:rsidR="0074513F" w:rsidRPr="00735AEB" w:rsidRDefault="0074513F" w:rsidP="00384E9B">
            <w:pPr>
              <w:spacing w:before="60" w:after="60" w:line="276" w:lineRule="auto"/>
              <w:jc w:val="both"/>
              <w:rPr>
                <w:rFonts w:cs="Arial"/>
                <w:b/>
                <w:color w:val="FFFFFF"/>
                <w:sz w:val="20"/>
              </w:rPr>
            </w:pPr>
          </w:p>
        </w:tc>
        <w:tc>
          <w:tcPr>
            <w:tcW w:w="829" w:type="dxa"/>
            <w:shd w:val="clear" w:color="auto" w:fill="99CDDD"/>
          </w:tcPr>
          <w:p w14:paraId="78A2E76E" w14:textId="77777777" w:rsidR="0074513F" w:rsidRPr="00735AEB" w:rsidRDefault="0074513F" w:rsidP="00384E9B">
            <w:pPr>
              <w:spacing w:before="60" w:after="60" w:line="240" w:lineRule="auto"/>
              <w:rPr>
                <w:rFonts w:cs="Arial"/>
                <w:b/>
                <w:color w:val="000000"/>
                <w:sz w:val="20"/>
              </w:rPr>
            </w:pPr>
            <w:r w:rsidRPr="00735AEB">
              <w:rPr>
                <w:rFonts w:cs="Arial"/>
                <w:b/>
                <w:color w:val="000000"/>
                <w:sz w:val="20"/>
              </w:rPr>
              <w:t>No action</w:t>
            </w:r>
          </w:p>
        </w:tc>
        <w:tc>
          <w:tcPr>
            <w:tcW w:w="1398" w:type="dxa"/>
            <w:shd w:val="clear" w:color="auto" w:fill="99CDDD"/>
          </w:tcPr>
          <w:p w14:paraId="1C954F7D" w14:textId="30183B23" w:rsidR="0074513F" w:rsidRPr="00735AEB" w:rsidRDefault="0074513F" w:rsidP="00D61E93">
            <w:pPr>
              <w:spacing w:before="60" w:after="60" w:line="276" w:lineRule="auto"/>
              <w:rPr>
                <w:rFonts w:cs="Arial"/>
                <w:b/>
                <w:color w:val="000000"/>
                <w:sz w:val="20"/>
              </w:rPr>
            </w:pPr>
            <w:r w:rsidRPr="00735AEB">
              <w:rPr>
                <w:rFonts w:cs="Arial"/>
                <w:sz w:val="20"/>
              </w:rPr>
              <w:t>Pay on escalation to AL2 or higher</w:t>
            </w:r>
          </w:p>
        </w:tc>
        <w:tc>
          <w:tcPr>
            <w:tcW w:w="1918" w:type="dxa"/>
            <w:shd w:val="clear" w:color="auto" w:fill="99CDDD"/>
          </w:tcPr>
          <w:p w14:paraId="271730E0" w14:textId="6706445C" w:rsidR="0074513F" w:rsidRPr="00735AEB" w:rsidRDefault="0074513F" w:rsidP="00384E9B">
            <w:pPr>
              <w:spacing w:before="60" w:after="60" w:line="276" w:lineRule="auto"/>
              <w:jc w:val="both"/>
              <w:rPr>
                <w:rFonts w:cs="Arial"/>
                <w:color w:val="000000"/>
                <w:sz w:val="20"/>
              </w:rPr>
            </w:pPr>
            <w:r w:rsidRPr="00735AEB">
              <w:rPr>
                <w:rFonts w:cs="Arial"/>
                <w:color w:val="000000"/>
                <w:sz w:val="20"/>
              </w:rPr>
              <w:t>Pay businesses in an affected region or sector only</w:t>
            </w:r>
          </w:p>
        </w:tc>
        <w:tc>
          <w:tcPr>
            <w:tcW w:w="1747" w:type="dxa"/>
            <w:shd w:val="clear" w:color="auto" w:fill="99CDDD"/>
          </w:tcPr>
          <w:p w14:paraId="3FBAB946" w14:textId="4B00A7C8" w:rsidR="0074513F" w:rsidRPr="00735AEB" w:rsidRDefault="0074513F" w:rsidP="00D61E93">
            <w:pPr>
              <w:spacing w:before="60" w:after="60" w:line="276" w:lineRule="auto"/>
              <w:jc w:val="both"/>
              <w:rPr>
                <w:rFonts w:cs="Arial"/>
                <w:color w:val="000000"/>
                <w:sz w:val="20"/>
              </w:rPr>
            </w:pPr>
            <w:r w:rsidRPr="00735AEB">
              <w:rPr>
                <w:rFonts w:cs="Arial"/>
                <w:color w:val="000000"/>
                <w:sz w:val="20"/>
              </w:rPr>
              <w:t>Ongoing throughout duration of AL</w:t>
            </w:r>
          </w:p>
        </w:tc>
        <w:tc>
          <w:tcPr>
            <w:tcW w:w="1274" w:type="dxa"/>
            <w:shd w:val="clear" w:color="auto" w:fill="99CDDD"/>
          </w:tcPr>
          <w:p w14:paraId="1AE57AD8" w14:textId="211E4FAC" w:rsidR="0074513F" w:rsidRPr="00735AEB" w:rsidRDefault="4BE10EEC" w:rsidP="01C3232A">
            <w:pPr>
              <w:spacing w:before="60" w:after="60" w:line="276" w:lineRule="auto"/>
              <w:jc w:val="both"/>
              <w:rPr>
                <w:rFonts w:cs="Arial"/>
                <w:color w:val="000000"/>
                <w:sz w:val="20"/>
              </w:rPr>
            </w:pPr>
            <w:r w:rsidRPr="01C3232A">
              <w:rPr>
                <w:rFonts w:cs="Arial"/>
                <w:color w:val="000000" w:themeColor="text1"/>
                <w:sz w:val="20"/>
              </w:rPr>
              <w:t>One-off</w:t>
            </w:r>
            <w:r w:rsidR="1EEA86DF" w:rsidRPr="01C3232A">
              <w:rPr>
                <w:rFonts w:cs="Arial"/>
                <w:color w:val="000000" w:themeColor="text1"/>
                <w:sz w:val="20"/>
              </w:rPr>
              <w:t>, scaled to normal revenue levels</w:t>
            </w:r>
          </w:p>
        </w:tc>
        <w:tc>
          <w:tcPr>
            <w:tcW w:w="1434" w:type="dxa"/>
            <w:shd w:val="clear" w:color="auto" w:fill="99CDDD"/>
          </w:tcPr>
          <w:p w14:paraId="05E3F7C5" w14:textId="7BE0904C" w:rsidR="0074513F" w:rsidRPr="00735AEB" w:rsidRDefault="4BE10EEC" w:rsidP="01C3232A">
            <w:pPr>
              <w:spacing w:before="60" w:after="60" w:line="276" w:lineRule="auto"/>
              <w:jc w:val="both"/>
              <w:rPr>
                <w:rFonts w:cs="Arial"/>
                <w:color w:val="000000"/>
                <w:sz w:val="20"/>
              </w:rPr>
            </w:pPr>
            <w:r w:rsidRPr="01C3232A">
              <w:rPr>
                <w:rFonts w:cs="Arial"/>
                <w:color w:val="000000" w:themeColor="text1"/>
                <w:sz w:val="20"/>
              </w:rPr>
              <w:t>Revenue drop test</w:t>
            </w:r>
            <w:r w:rsidR="0074513F">
              <w:br/>
            </w:r>
            <w:r w:rsidR="0074513F">
              <w:br/>
            </w:r>
          </w:p>
        </w:tc>
        <w:tc>
          <w:tcPr>
            <w:tcW w:w="1496" w:type="dxa"/>
            <w:shd w:val="clear" w:color="auto" w:fill="99CDDD"/>
          </w:tcPr>
          <w:p w14:paraId="4B83B885" w14:textId="50BB9B9B" w:rsidR="0074513F" w:rsidRPr="00735AEB" w:rsidRDefault="0074513F" w:rsidP="00D61E93">
            <w:pPr>
              <w:spacing w:before="60" w:after="60" w:line="276" w:lineRule="auto"/>
              <w:jc w:val="both"/>
              <w:rPr>
                <w:rFonts w:cs="Arial"/>
                <w:color w:val="000000"/>
                <w:sz w:val="20"/>
              </w:rPr>
            </w:pPr>
            <w:r w:rsidRPr="00735AEB">
              <w:rPr>
                <w:rFonts w:cs="Arial"/>
                <w:sz w:val="20"/>
              </w:rPr>
              <w:t>Firms subject to specific public health requirements</w:t>
            </w:r>
          </w:p>
        </w:tc>
        <w:tc>
          <w:tcPr>
            <w:tcW w:w="1429" w:type="dxa"/>
            <w:shd w:val="clear" w:color="auto" w:fill="99CDDD"/>
          </w:tcPr>
          <w:p w14:paraId="54129F37" w14:textId="04325099" w:rsidR="0074513F" w:rsidRPr="00735AEB" w:rsidRDefault="0074513F" w:rsidP="00D61E93">
            <w:pPr>
              <w:spacing w:before="60" w:after="60" w:line="276" w:lineRule="auto"/>
              <w:jc w:val="both"/>
              <w:rPr>
                <w:rFonts w:cs="Arial"/>
                <w:sz w:val="20"/>
              </w:rPr>
            </w:pPr>
            <w:r w:rsidRPr="00735AEB">
              <w:rPr>
                <w:rFonts w:cs="Arial"/>
                <w:sz w:val="20"/>
              </w:rPr>
              <w:t>All firms but cap support at 50 FTE</w:t>
            </w:r>
          </w:p>
        </w:tc>
        <w:tc>
          <w:tcPr>
            <w:tcW w:w="1603" w:type="dxa"/>
            <w:shd w:val="clear" w:color="auto" w:fill="99CDDD"/>
          </w:tcPr>
          <w:p w14:paraId="3DDBB8F2" w14:textId="4325015F" w:rsidR="0074513F" w:rsidRPr="00735AEB" w:rsidRDefault="0074513F" w:rsidP="00D61E93">
            <w:pPr>
              <w:spacing w:before="60" w:after="60" w:line="276" w:lineRule="auto"/>
              <w:jc w:val="both"/>
              <w:rPr>
                <w:rFonts w:cs="Arial"/>
                <w:sz w:val="20"/>
              </w:rPr>
            </w:pPr>
            <w:r w:rsidRPr="00735AEB">
              <w:rPr>
                <w:rFonts w:cs="Arial"/>
                <w:sz w:val="20"/>
              </w:rPr>
              <w:t>No cap on FTE</w:t>
            </w:r>
          </w:p>
        </w:tc>
      </w:tr>
      <w:tr w:rsidR="00AD4436" w:rsidRPr="00735AEB" w14:paraId="3239F7AF" w14:textId="3152F11C" w:rsidTr="01C3232A">
        <w:trPr>
          <w:trHeight w:val="2508"/>
        </w:trPr>
        <w:tc>
          <w:tcPr>
            <w:tcW w:w="1957" w:type="dxa"/>
            <w:shd w:val="clear" w:color="auto" w:fill="99CDDD"/>
          </w:tcPr>
          <w:p w14:paraId="51D1E596" w14:textId="1FAA866B" w:rsidR="00735AEB" w:rsidRPr="00735AEB" w:rsidRDefault="00735AEB" w:rsidP="00D61E93">
            <w:pPr>
              <w:spacing w:before="60" w:after="60" w:line="240" w:lineRule="auto"/>
              <w:rPr>
                <w:rFonts w:cs="Arial"/>
                <w:b/>
                <w:color w:val="000000"/>
                <w:sz w:val="20"/>
              </w:rPr>
            </w:pPr>
            <w:r w:rsidRPr="00735AEB">
              <w:rPr>
                <w:rFonts w:cs="Arial"/>
                <w:sz w:val="20"/>
              </w:rPr>
              <w:t>Maintain viability and employment levels when ALs increase</w:t>
            </w:r>
          </w:p>
        </w:tc>
        <w:tc>
          <w:tcPr>
            <w:tcW w:w="829" w:type="dxa"/>
            <w:shd w:val="clear" w:color="auto" w:fill="auto"/>
          </w:tcPr>
          <w:p w14:paraId="7C618FD1" w14:textId="77777777" w:rsidR="00735AEB" w:rsidRPr="00735AEB" w:rsidRDefault="00735AEB" w:rsidP="00384E9B">
            <w:pPr>
              <w:pStyle w:val="TableText"/>
              <w:spacing w:line="276" w:lineRule="auto"/>
              <w:jc w:val="center"/>
              <w:rPr>
                <w:rFonts w:cs="Arial"/>
                <w:b/>
                <w:szCs w:val="20"/>
              </w:rPr>
            </w:pPr>
            <w:r w:rsidRPr="00735AEB">
              <w:rPr>
                <w:rFonts w:cs="Arial"/>
                <w:b/>
                <w:szCs w:val="20"/>
              </w:rPr>
              <w:t>0</w:t>
            </w:r>
          </w:p>
        </w:tc>
        <w:tc>
          <w:tcPr>
            <w:tcW w:w="1398" w:type="dxa"/>
            <w:shd w:val="clear" w:color="auto" w:fill="auto"/>
          </w:tcPr>
          <w:p w14:paraId="45D74D72" w14:textId="1B47EB0C" w:rsidR="00735AEB" w:rsidRPr="00735AEB" w:rsidRDefault="00735AEB" w:rsidP="00C53F80">
            <w:pPr>
              <w:pStyle w:val="TableText"/>
              <w:spacing w:line="276" w:lineRule="auto"/>
              <w:rPr>
                <w:rFonts w:cs="Arial"/>
                <w:szCs w:val="20"/>
              </w:rPr>
            </w:pPr>
            <w:r w:rsidRPr="00735AEB">
              <w:rPr>
                <w:rFonts w:cs="Arial"/>
                <w:b/>
                <w:color w:val="00B050"/>
                <w:szCs w:val="20"/>
              </w:rPr>
              <w:t xml:space="preserve">++ </w:t>
            </w:r>
            <w:r w:rsidRPr="00735AEB">
              <w:rPr>
                <w:rFonts w:cs="Arial"/>
                <w:szCs w:val="20"/>
              </w:rPr>
              <w:t>Scale of firms supported limits scarring effects</w:t>
            </w:r>
          </w:p>
        </w:tc>
        <w:tc>
          <w:tcPr>
            <w:tcW w:w="1918" w:type="dxa"/>
            <w:vMerge w:val="restart"/>
            <w:shd w:val="clear" w:color="auto" w:fill="auto"/>
          </w:tcPr>
          <w:p w14:paraId="6FC2E674" w14:textId="616346A4" w:rsidR="00735AEB" w:rsidRPr="00735AEB" w:rsidRDefault="00735AEB" w:rsidP="00C53F80">
            <w:pPr>
              <w:pStyle w:val="TableText"/>
              <w:spacing w:line="276" w:lineRule="auto"/>
              <w:rPr>
                <w:rFonts w:cs="Arial"/>
                <w:szCs w:val="20"/>
              </w:rPr>
            </w:pPr>
            <w:r w:rsidRPr="00735AEB">
              <w:rPr>
                <w:rFonts w:cs="Arial"/>
                <w:b/>
                <w:color w:val="00B050"/>
                <w:szCs w:val="20"/>
              </w:rPr>
              <w:t xml:space="preserve">+ </w:t>
            </w:r>
            <w:r w:rsidRPr="00735AEB">
              <w:rPr>
                <w:rFonts w:cs="Arial"/>
                <w:szCs w:val="20"/>
              </w:rPr>
              <w:t>Targeting intention likely to encounter significant boundary issues (</w:t>
            </w:r>
            <w:proofErr w:type="gramStart"/>
            <w:r w:rsidRPr="00735AEB">
              <w:rPr>
                <w:rFonts w:cs="Arial"/>
                <w:szCs w:val="20"/>
              </w:rPr>
              <w:t>e.g.</w:t>
            </w:r>
            <w:proofErr w:type="gramEnd"/>
            <w:r w:rsidRPr="00735AEB">
              <w:rPr>
                <w:rFonts w:cs="Arial"/>
                <w:szCs w:val="20"/>
              </w:rPr>
              <w:t xml:space="preserve"> ignores supply chain interdependencies)</w:t>
            </w:r>
          </w:p>
        </w:tc>
        <w:tc>
          <w:tcPr>
            <w:tcW w:w="1747" w:type="dxa"/>
            <w:vMerge w:val="restart"/>
            <w:shd w:val="clear" w:color="auto" w:fill="auto"/>
          </w:tcPr>
          <w:p w14:paraId="230FDA64" w14:textId="46057062" w:rsidR="00735AEB" w:rsidRPr="00735AEB" w:rsidRDefault="00735AEB" w:rsidP="00C53F80">
            <w:pPr>
              <w:spacing w:after="120" w:line="276" w:lineRule="auto"/>
              <w:rPr>
                <w:rFonts w:cs="Arial"/>
                <w:sz w:val="20"/>
              </w:rPr>
            </w:pPr>
            <w:r w:rsidRPr="00735AEB">
              <w:rPr>
                <w:rFonts w:cs="Arial"/>
                <w:b/>
                <w:color w:val="00B050"/>
                <w:sz w:val="20"/>
              </w:rPr>
              <w:t xml:space="preserve">++ </w:t>
            </w:r>
            <w:r w:rsidRPr="00735AEB">
              <w:rPr>
                <w:rFonts w:cs="Arial"/>
                <w:sz w:val="20"/>
              </w:rPr>
              <w:t xml:space="preserve">Greater fiscal generosity likely to assist labour attachment and maintain firm viability. </w:t>
            </w:r>
          </w:p>
        </w:tc>
        <w:tc>
          <w:tcPr>
            <w:tcW w:w="1274" w:type="dxa"/>
            <w:vMerge w:val="restart"/>
          </w:tcPr>
          <w:p w14:paraId="3B7FFF23" w14:textId="1D025A55" w:rsidR="00735AEB" w:rsidRPr="00735AEB" w:rsidRDefault="00735AEB" w:rsidP="00C53F80">
            <w:pPr>
              <w:spacing w:after="120" w:line="276" w:lineRule="auto"/>
              <w:rPr>
                <w:rFonts w:cs="Arial"/>
                <w:sz w:val="20"/>
              </w:rPr>
            </w:pPr>
            <w:r w:rsidRPr="00735AEB">
              <w:rPr>
                <w:rFonts w:cs="Arial"/>
                <w:b/>
                <w:color w:val="00B050"/>
                <w:sz w:val="20"/>
              </w:rPr>
              <w:t xml:space="preserve">+ </w:t>
            </w:r>
            <w:r w:rsidRPr="00735AEB">
              <w:rPr>
                <w:rFonts w:cs="Arial"/>
                <w:sz w:val="20"/>
              </w:rPr>
              <w:t>May not be enough in light of prolonged impacts of higher ALs</w:t>
            </w:r>
          </w:p>
        </w:tc>
        <w:tc>
          <w:tcPr>
            <w:tcW w:w="1434" w:type="dxa"/>
            <w:vMerge w:val="restart"/>
          </w:tcPr>
          <w:p w14:paraId="7286CEEF" w14:textId="4908C289" w:rsidR="00735AEB" w:rsidRPr="00735AEB" w:rsidRDefault="00735AEB" w:rsidP="00C53F80">
            <w:pPr>
              <w:spacing w:after="120" w:line="276" w:lineRule="auto"/>
              <w:rPr>
                <w:rFonts w:cs="Arial"/>
                <w:sz w:val="20"/>
              </w:rPr>
            </w:pPr>
            <w:r w:rsidRPr="00735AEB">
              <w:rPr>
                <w:rFonts w:cs="Arial"/>
                <w:b/>
                <w:color w:val="00B050"/>
                <w:sz w:val="20"/>
              </w:rPr>
              <w:t xml:space="preserve">++ </w:t>
            </w:r>
            <w:r w:rsidRPr="00735AEB">
              <w:rPr>
                <w:rFonts w:cs="Arial"/>
                <w:sz w:val="20"/>
              </w:rPr>
              <w:t>All affected firms benefit; boundary cases diminished</w:t>
            </w:r>
          </w:p>
        </w:tc>
        <w:tc>
          <w:tcPr>
            <w:tcW w:w="1496" w:type="dxa"/>
            <w:vMerge w:val="restart"/>
          </w:tcPr>
          <w:p w14:paraId="23A17F35" w14:textId="4C4818AE" w:rsidR="00735AEB" w:rsidRPr="00735AEB" w:rsidRDefault="00735AEB" w:rsidP="00C53F80">
            <w:pPr>
              <w:spacing w:after="120" w:line="276" w:lineRule="auto"/>
              <w:rPr>
                <w:rFonts w:cs="Arial"/>
                <w:b/>
                <w:sz w:val="20"/>
              </w:rPr>
            </w:pPr>
            <w:r w:rsidRPr="00735AEB">
              <w:rPr>
                <w:rFonts w:cs="Arial"/>
                <w:b/>
                <w:color w:val="00B050"/>
                <w:sz w:val="20"/>
              </w:rPr>
              <w:t>+</w:t>
            </w:r>
            <w:r w:rsidRPr="00735AEB">
              <w:rPr>
                <w:rFonts w:cs="Arial"/>
                <w:color w:val="00B050"/>
                <w:sz w:val="20"/>
              </w:rPr>
              <w:t xml:space="preserve"> </w:t>
            </w:r>
            <w:r w:rsidRPr="00735AEB">
              <w:rPr>
                <w:rFonts w:cs="Arial"/>
                <w:sz w:val="20"/>
              </w:rPr>
              <w:t xml:space="preserve"> Targeted approach supports most affected by public health Orders, but with boundary and administrative issues</w:t>
            </w:r>
          </w:p>
        </w:tc>
        <w:tc>
          <w:tcPr>
            <w:tcW w:w="1429" w:type="dxa"/>
            <w:vMerge w:val="restart"/>
          </w:tcPr>
          <w:p w14:paraId="78806218" w14:textId="6B6BD0DC" w:rsidR="00735AEB" w:rsidRPr="00735AEB" w:rsidRDefault="00735AEB" w:rsidP="00C53F80">
            <w:pPr>
              <w:spacing w:after="120" w:line="276" w:lineRule="auto"/>
              <w:rPr>
                <w:rFonts w:cs="Arial"/>
                <w:sz w:val="20"/>
              </w:rPr>
            </w:pPr>
            <w:r w:rsidRPr="00735AEB">
              <w:rPr>
                <w:rFonts w:cs="Arial"/>
                <w:b/>
                <w:color w:val="00B050"/>
                <w:sz w:val="20"/>
              </w:rPr>
              <w:t xml:space="preserve">++ </w:t>
            </w:r>
            <w:r w:rsidRPr="00735AEB">
              <w:rPr>
                <w:rFonts w:cs="Arial"/>
                <w:sz w:val="20"/>
              </w:rPr>
              <w:t>Firms with &lt;50 FTEs make up vast majority of NZ businesses.</w:t>
            </w:r>
          </w:p>
        </w:tc>
        <w:tc>
          <w:tcPr>
            <w:tcW w:w="1603" w:type="dxa"/>
            <w:vMerge w:val="restart"/>
          </w:tcPr>
          <w:p w14:paraId="55F886CD" w14:textId="1AFB8679" w:rsidR="00735AEB" w:rsidRPr="00735AEB" w:rsidRDefault="00735AEB" w:rsidP="00230A3A">
            <w:pPr>
              <w:spacing w:after="120" w:line="276" w:lineRule="auto"/>
              <w:rPr>
                <w:rFonts w:cs="Arial"/>
                <w:sz w:val="20"/>
              </w:rPr>
            </w:pPr>
            <w:r w:rsidRPr="00735AEB">
              <w:rPr>
                <w:rFonts w:cs="Arial"/>
                <w:b/>
                <w:color w:val="00B050"/>
                <w:sz w:val="20"/>
              </w:rPr>
              <w:t xml:space="preserve">+ </w:t>
            </w:r>
            <w:r w:rsidRPr="00735AEB">
              <w:rPr>
                <w:rFonts w:cs="Arial"/>
                <w:sz w:val="20"/>
              </w:rPr>
              <w:t>Marginal impact diminishes with marginal increase in FTE as larger firms likely to have stronger balance sheets and access to credit/cash buffers.</w:t>
            </w:r>
          </w:p>
        </w:tc>
      </w:tr>
      <w:tr w:rsidR="0088426D" w:rsidRPr="00735AEB" w14:paraId="79EEF2BD" w14:textId="3A585930" w:rsidTr="01C3232A">
        <w:trPr>
          <w:trHeight w:val="2508"/>
        </w:trPr>
        <w:tc>
          <w:tcPr>
            <w:tcW w:w="1957" w:type="dxa"/>
            <w:shd w:val="clear" w:color="auto" w:fill="99CDDD"/>
          </w:tcPr>
          <w:p w14:paraId="74DFC7BE" w14:textId="0E539E90" w:rsidR="00735AEB" w:rsidRPr="00735AEB" w:rsidRDefault="00735AEB" w:rsidP="00384E9B">
            <w:pPr>
              <w:spacing w:before="60" w:after="60" w:line="240" w:lineRule="auto"/>
              <w:rPr>
                <w:rFonts w:cs="Arial"/>
                <w:b/>
                <w:color w:val="000000"/>
                <w:sz w:val="20"/>
              </w:rPr>
            </w:pPr>
            <w:r w:rsidRPr="00735AEB">
              <w:rPr>
                <w:rFonts w:cs="Arial"/>
                <w:sz w:val="20"/>
              </w:rPr>
              <w:t>Support firms to pay fixed costs if they are struggling to do so as a result of escalated Alert Levels</w:t>
            </w:r>
          </w:p>
        </w:tc>
        <w:tc>
          <w:tcPr>
            <w:tcW w:w="829" w:type="dxa"/>
            <w:shd w:val="clear" w:color="auto" w:fill="auto"/>
          </w:tcPr>
          <w:p w14:paraId="47FEB5B1" w14:textId="77777777" w:rsidR="00735AEB" w:rsidRPr="00735AEB" w:rsidRDefault="00735AEB" w:rsidP="00384E9B">
            <w:pPr>
              <w:pStyle w:val="TableText"/>
              <w:spacing w:line="276" w:lineRule="auto"/>
              <w:jc w:val="center"/>
              <w:rPr>
                <w:rFonts w:cs="Arial"/>
                <w:b/>
                <w:szCs w:val="20"/>
              </w:rPr>
            </w:pPr>
            <w:r w:rsidRPr="00735AEB">
              <w:rPr>
                <w:rFonts w:cs="Arial"/>
                <w:b/>
                <w:szCs w:val="20"/>
              </w:rPr>
              <w:t>0</w:t>
            </w:r>
          </w:p>
        </w:tc>
        <w:tc>
          <w:tcPr>
            <w:tcW w:w="1398" w:type="dxa"/>
            <w:vMerge w:val="restart"/>
            <w:shd w:val="clear" w:color="auto" w:fill="auto"/>
          </w:tcPr>
          <w:p w14:paraId="118D0FE9" w14:textId="5CF3AA6D" w:rsidR="00735AEB" w:rsidRPr="00735AEB" w:rsidRDefault="00735AEB" w:rsidP="00C53F80">
            <w:pPr>
              <w:pStyle w:val="TableText"/>
              <w:spacing w:line="276" w:lineRule="auto"/>
              <w:rPr>
                <w:rFonts w:cs="Arial"/>
                <w:szCs w:val="20"/>
              </w:rPr>
            </w:pPr>
            <w:r w:rsidRPr="00735AEB">
              <w:rPr>
                <w:rFonts w:cs="Arial"/>
                <w:b/>
                <w:color w:val="00B050"/>
                <w:szCs w:val="20"/>
              </w:rPr>
              <w:t xml:space="preserve">++ </w:t>
            </w:r>
            <w:r w:rsidRPr="00735AEB">
              <w:rPr>
                <w:rFonts w:cs="Arial"/>
                <w:szCs w:val="20"/>
              </w:rPr>
              <w:t>Reflects the evidence that higher ALs have significant impacts on most firms’ revenue.</w:t>
            </w:r>
          </w:p>
        </w:tc>
        <w:tc>
          <w:tcPr>
            <w:tcW w:w="1918" w:type="dxa"/>
            <w:vMerge/>
          </w:tcPr>
          <w:p w14:paraId="6BA8117E" w14:textId="3227ABE2" w:rsidR="00735AEB" w:rsidRPr="00735AEB" w:rsidRDefault="00735AEB" w:rsidP="00C53F80">
            <w:pPr>
              <w:pStyle w:val="TableText"/>
              <w:spacing w:line="276" w:lineRule="auto"/>
              <w:rPr>
                <w:rFonts w:cs="Arial"/>
                <w:szCs w:val="20"/>
              </w:rPr>
            </w:pPr>
          </w:p>
        </w:tc>
        <w:tc>
          <w:tcPr>
            <w:tcW w:w="1747" w:type="dxa"/>
            <w:vMerge/>
          </w:tcPr>
          <w:p w14:paraId="29B4034A" w14:textId="6BB0749D" w:rsidR="00735AEB" w:rsidRPr="00735AEB" w:rsidRDefault="00735AEB" w:rsidP="00C53F80">
            <w:pPr>
              <w:spacing w:after="120" w:line="276" w:lineRule="auto"/>
              <w:rPr>
                <w:rFonts w:cs="Arial"/>
                <w:b/>
                <w:sz w:val="20"/>
              </w:rPr>
            </w:pPr>
          </w:p>
        </w:tc>
        <w:tc>
          <w:tcPr>
            <w:tcW w:w="1274" w:type="dxa"/>
            <w:vMerge/>
          </w:tcPr>
          <w:p w14:paraId="16FE9429" w14:textId="77777777" w:rsidR="00735AEB" w:rsidRPr="00735AEB" w:rsidRDefault="00735AEB" w:rsidP="00C53F80">
            <w:pPr>
              <w:spacing w:after="120" w:line="276" w:lineRule="auto"/>
              <w:rPr>
                <w:rFonts w:cs="Arial"/>
                <w:b/>
                <w:sz w:val="20"/>
              </w:rPr>
            </w:pPr>
          </w:p>
        </w:tc>
        <w:tc>
          <w:tcPr>
            <w:tcW w:w="1434" w:type="dxa"/>
            <w:vMerge/>
          </w:tcPr>
          <w:p w14:paraId="5EB4E99A" w14:textId="48F27C80" w:rsidR="00735AEB" w:rsidRPr="00735AEB" w:rsidRDefault="00735AEB" w:rsidP="00C53F80">
            <w:pPr>
              <w:spacing w:after="120" w:line="276" w:lineRule="auto"/>
              <w:rPr>
                <w:rFonts w:cs="Arial"/>
                <w:sz w:val="20"/>
              </w:rPr>
            </w:pPr>
          </w:p>
        </w:tc>
        <w:tc>
          <w:tcPr>
            <w:tcW w:w="1496" w:type="dxa"/>
            <w:vMerge/>
          </w:tcPr>
          <w:p w14:paraId="7A2544DB" w14:textId="290310EE" w:rsidR="00735AEB" w:rsidRPr="00735AEB" w:rsidRDefault="00735AEB" w:rsidP="00C53F80">
            <w:pPr>
              <w:spacing w:after="120" w:line="276" w:lineRule="auto"/>
              <w:rPr>
                <w:rFonts w:cs="Arial"/>
                <w:sz w:val="20"/>
              </w:rPr>
            </w:pPr>
          </w:p>
        </w:tc>
        <w:tc>
          <w:tcPr>
            <w:tcW w:w="1429" w:type="dxa"/>
            <w:vMerge/>
          </w:tcPr>
          <w:p w14:paraId="67143A54" w14:textId="77777777" w:rsidR="00735AEB" w:rsidRPr="00735AEB" w:rsidRDefault="00735AEB" w:rsidP="00C53F80">
            <w:pPr>
              <w:spacing w:after="120" w:line="276" w:lineRule="auto"/>
              <w:rPr>
                <w:rFonts w:cs="Arial"/>
                <w:b/>
                <w:sz w:val="20"/>
              </w:rPr>
            </w:pPr>
          </w:p>
        </w:tc>
        <w:tc>
          <w:tcPr>
            <w:tcW w:w="1603" w:type="dxa"/>
            <w:vMerge/>
          </w:tcPr>
          <w:p w14:paraId="6A6263CC" w14:textId="77777777" w:rsidR="00735AEB" w:rsidRPr="00735AEB" w:rsidRDefault="00735AEB" w:rsidP="00384E9B">
            <w:pPr>
              <w:spacing w:after="120" w:line="276" w:lineRule="auto"/>
              <w:jc w:val="both"/>
              <w:rPr>
                <w:rFonts w:cs="Arial"/>
                <w:b/>
                <w:sz w:val="20"/>
              </w:rPr>
            </w:pPr>
          </w:p>
        </w:tc>
      </w:tr>
      <w:tr w:rsidR="00AD4436" w:rsidRPr="00735AEB" w14:paraId="281D9CCE" w14:textId="5B9B6F63" w:rsidTr="01C3232A">
        <w:trPr>
          <w:trHeight w:val="384"/>
        </w:trPr>
        <w:tc>
          <w:tcPr>
            <w:tcW w:w="1957" w:type="dxa"/>
            <w:shd w:val="clear" w:color="auto" w:fill="99CDDD"/>
          </w:tcPr>
          <w:p w14:paraId="5EE33A17" w14:textId="793CE6F5" w:rsidR="00735AEB" w:rsidRPr="00735AEB" w:rsidRDefault="00735AEB" w:rsidP="00735AEB">
            <w:pPr>
              <w:spacing w:before="60" w:after="60" w:line="240" w:lineRule="auto"/>
              <w:rPr>
                <w:rFonts w:cs="Arial"/>
                <w:color w:val="000000"/>
                <w:sz w:val="20"/>
              </w:rPr>
            </w:pPr>
            <w:r w:rsidRPr="00735AEB">
              <w:rPr>
                <w:rFonts w:cs="Arial"/>
                <w:color w:val="000000"/>
                <w:sz w:val="20"/>
              </w:rPr>
              <w:t xml:space="preserve">Share the cost associated with escalated Alert Levels between Government, firms and across economic sectors; </w:t>
            </w:r>
          </w:p>
        </w:tc>
        <w:tc>
          <w:tcPr>
            <w:tcW w:w="829" w:type="dxa"/>
            <w:shd w:val="clear" w:color="auto" w:fill="auto"/>
          </w:tcPr>
          <w:p w14:paraId="4E3860E4" w14:textId="77777777" w:rsidR="00735AEB" w:rsidRPr="00735AEB" w:rsidRDefault="00735AEB" w:rsidP="00735AEB">
            <w:pPr>
              <w:pStyle w:val="TableText"/>
              <w:spacing w:line="276" w:lineRule="auto"/>
              <w:jc w:val="center"/>
              <w:rPr>
                <w:rFonts w:cs="Arial"/>
                <w:b/>
                <w:szCs w:val="20"/>
              </w:rPr>
            </w:pPr>
            <w:r w:rsidRPr="00735AEB">
              <w:rPr>
                <w:rFonts w:cs="Arial"/>
                <w:b/>
                <w:szCs w:val="20"/>
              </w:rPr>
              <w:t>0</w:t>
            </w:r>
          </w:p>
        </w:tc>
        <w:tc>
          <w:tcPr>
            <w:tcW w:w="1398" w:type="dxa"/>
            <w:vMerge/>
          </w:tcPr>
          <w:p w14:paraId="63E9F12E" w14:textId="79AD3AB2" w:rsidR="00735AEB" w:rsidRPr="00735AEB" w:rsidRDefault="00735AEB" w:rsidP="00C53F80">
            <w:pPr>
              <w:pStyle w:val="TableText"/>
              <w:spacing w:line="276" w:lineRule="auto"/>
              <w:rPr>
                <w:rFonts w:cs="Arial"/>
                <w:szCs w:val="20"/>
              </w:rPr>
            </w:pPr>
          </w:p>
        </w:tc>
        <w:tc>
          <w:tcPr>
            <w:tcW w:w="1918" w:type="dxa"/>
            <w:vMerge/>
          </w:tcPr>
          <w:p w14:paraId="20D65033" w14:textId="77777777" w:rsidR="00735AEB" w:rsidRPr="00735AEB" w:rsidRDefault="00735AEB" w:rsidP="00C53F80">
            <w:pPr>
              <w:pStyle w:val="TableText"/>
              <w:spacing w:line="276" w:lineRule="auto"/>
              <w:rPr>
                <w:rFonts w:cs="Arial"/>
                <w:szCs w:val="20"/>
              </w:rPr>
            </w:pPr>
          </w:p>
        </w:tc>
        <w:tc>
          <w:tcPr>
            <w:tcW w:w="1747" w:type="dxa"/>
            <w:vMerge w:val="restart"/>
            <w:shd w:val="clear" w:color="auto" w:fill="auto"/>
          </w:tcPr>
          <w:p w14:paraId="58CF69E0" w14:textId="274F33D8" w:rsidR="00735AEB" w:rsidRPr="00735AEB" w:rsidRDefault="00735AEB" w:rsidP="00C53F80">
            <w:pPr>
              <w:spacing w:after="120" w:line="276" w:lineRule="auto"/>
              <w:rPr>
                <w:rFonts w:cs="Arial"/>
                <w:sz w:val="20"/>
              </w:rPr>
            </w:pPr>
            <w:r w:rsidRPr="00735AEB">
              <w:rPr>
                <w:rFonts w:cs="Arial"/>
                <w:b/>
                <w:color w:val="00B050"/>
                <w:sz w:val="20"/>
              </w:rPr>
              <w:t xml:space="preserve">+ </w:t>
            </w:r>
            <w:r w:rsidRPr="00735AEB">
              <w:rPr>
                <w:rFonts w:cs="Arial"/>
                <w:sz w:val="20"/>
              </w:rPr>
              <w:t>Risks delaying firms’ transition to new market conditions if Government pays indefinitely</w:t>
            </w:r>
            <w:r w:rsidRPr="00735AEB">
              <w:rPr>
                <w:rFonts w:cs="Arial"/>
                <w:color w:val="00B050"/>
                <w:sz w:val="20"/>
              </w:rPr>
              <w:t xml:space="preserve">. </w:t>
            </w:r>
          </w:p>
        </w:tc>
        <w:tc>
          <w:tcPr>
            <w:tcW w:w="1274" w:type="dxa"/>
            <w:vMerge w:val="restart"/>
          </w:tcPr>
          <w:p w14:paraId="296C02B9" w14:textId="38918CEB" w:rsidR="00735AEB" w:rsidRPr="00735AEB" w:rsidRDefault="7621615C" w:rsidP="01C3232A">
            <w:pPr>
              <w:spacing w:after="120" w:line="276" w:lineRule="auto"/>
              <w:rPr>
                <w:rFonts w:cs="Arial"/>
                <w:sz w:val="20"/>
              </w:rPr>
            </w:pPr>
            <w:r w:rsidRPr="01C3232A">
              <w:rPr>
                <w:rFonts w:cs="Arial"/>
                <w:b/>
                <w:bCs/>
                <w:color w:val="00B050"/>
                <w:sz w:val="20"/>
              </w:rPr>
              <w:t xml:space="preserve">++ </w:t>
            </w:r>
            <w:r w:rsidRPr="01C3232A">
              <w:rPr>
                <w:rFonts w:cs="Arial"/>
                <w:sz w:val="20"/>
              </w:rPr>
              <w:t>Limiting support encourages firms to plan ahead and right-size to reflect new market conditions.</w:t>
            </w:r>
            <w:r w:rsidR="7ED213A0" w:rsidRPr="01C3232A">
              <w:rPr>
                <w:rFonts w:cs="Arial"/>
                <w:sz w:val="20"/>
              </w:rPr>
              <w:t xml:space="preserve"> The suggested formula approach is fiscally sustainable and scaled according to need.</w:t>
            </w:r>
          </w:p>
        </w:tc>
        <w:tc>
          <w:tcPr>
            <w:tcW w:w="1434" w:type="dxa"/>
          </w:tcPr>
          <w:p w14:paraId="113F0622" w14:textId="5DBDA0B6" w:rsidR="00735AEB" w:rsidRPr="00735AEB" w:rsidRDefault="00735AEB" w:rsidP="00C53F80">
            <w:pPr>
              <w:spacing w:after="120" w:line="276" w:lineRule="auto"/>
              <w:rPr>
                <w:rFonts w:cs="Arial"/>
                <w:b/>
                <w:sz w:val="20"/>
              </w:rPr>
            </w:pPr>
            <w:r w:rsidRPr="00735AEB">
              <w:rPr>
                <w:rFonts w:cs="Arial"/>
                <w:b/>
                <w:color w:val="00B050"/>
                <w:sz w:val="20"/>
              </w:rPr>
              <w:t xml:space="preserve">++ </w:t>
            </w:r>
            <w:r w:rsidRPr="00735AEB">
              <w:rPr>
                <w:rFonts w:cs="Arial"/>
                <w:sz w:val="20"/>
              </w:rPr>
              <w:t>Reflects that smaller businesses have fewer resources to address the costs</w:t>
            </w:r>
          </w:p>
        </w:tc>
        <w:tc>
          <w:tcPr>
            <w:tcW w:w="1496" w:type="dxa"/>
            <w:vMerge/>
          </w:tcPr>
          <w:p w14:paraId="6FE948F6" w14:textId="77777777" w:rsidR="00735AEB" w:rsidRPr="00735AEB" w:rsidRDefault="00735AEB" w:rsidP="00C53F80">
            <w:pPr>
              <w:spacing w:after="120" w:line="276" w:lineRule="auto"/>
              <w:rPr>
                <w:rFonts w:cs="Arial"/>
                <w:b/>
                <w:sz w:val="20"/>
              </w:rPr>
            </w:pPr>
          </w:p>
        </w:tc>
        <w:tc>
          <w:tcPr>
            <w:tcW w:w="1429" w:type="dxa"/>
          </w:tcPr>
          <w:p w14:paraId="604C5077" w14:textId="0FB67D34" w:rsidR="00735AEB" w:rsidRPr="00735AEB" w:rsidRDefault="00735AEB" w:rsidP="00C53F80">
            <w:pPr>
              <w:spacing w:after="120" w:line="276" w:lineRule="auto"/>
              <w:rPr>
                <w:rFonts w:cs="Arial"/>
                <w:sz w:val="20"/>
              </w:rPr>
            </w:pPr>
            <w:r w:rsidRPr="00735AEB">
              <w:rPr>
                <w:rFonts w:cs="Arial"/>
                <w:b/>
                <w:color w:val="00B050"/>
                <w:sz w:val="20"/>
              </w:rPr>
              <w:t xml:space="preserve">++ </w:t>
            </w:r>
            <w:r w:rsidRPr="00735AEB">
              <w:rPr>
                <w:rFonts w:cs="Arial"/>
                <w:sz w:val="20"/>
              </w:rPr>
              <w:t>Reflects that smaller businesses have fewer resources to address the costs</w:t>
            </w:r>
          </w:p>
        </w:tc>
        <w:tc>
          <w:tcPr>
            <w:tcW w:w="1603" w:type="dxa"/>
            <w:vMerge/>
          </w:tcPr>
          <w:p w14:paraId="750D007A" w14:textId="5D79748C" w:rsidR="00735AEB" w:rsidRPr="00735AEB" w:rsidRDefault="00735AEB" w:rsidP="00735AEB">
            <w:pPr>
              <w:spacing w:after="120" w:line="276" w:lineRule="auto"/>
              <w:jc w:val="both"/>
              <w:rPr>
                <w:rFonts w:cs="Arial"/>
                <w:b/>
                <w:sz w:val="20"/>
              </w:rPr>
            </w:pPr>
          </w:p>
        </w:tc>
      </w:tr>
      <w:tr w:rsidR="0088426D" w:rsidRPr="00735AEB" w14:paraId="2213E791" w14:textId="0ED84E85" w:rsidTr="01C3232A">
        <w:trPr>
          <w:trHeight w:val="384"/>
        </w:trPr>
        <w:tc>
          <w:tcPr>
            <w:tcW w:w="1957" w:type="dxa"/>
            <w:shd w:val="clear" w:color="auto" w:fill="99CDDD"/>
          </w:tcPr>
          <w:p w14:paraId="131549EE" w14:textId="02CC6FE3" w:rsidR="00735AEB" w:rsidRPr="00735AEB" w:rsidRDefault="00735AEB" w:rsidP="00735AEB">
            <w:pPr>
              <w:spacing w:before="60" w:after="60" w:line="240" w:lineRule="auto"/>
              <w:rPr>
                <w:rFonts w:cs="Arial"/>
                <w:b/>
                <w:color w:val="000000"/>
                <w:sz w:val="20"/>
              </w:rPr>
            </w:pPr>
            <w:r w:rsidRPr="00735AEB">
              <w:rPr>
                <w:rFonts w:cs="Arial"/>
                <w:sz w:val="20"/>
              </w:rPr>
              <w:t>Encourage the shift to a COVID-19 resilient economy</w:t>
            </w:r>
          </w:p>
        </w:tc>
        <w:tc>
          <w:tcPr>
            <w:tcW w:w="829" w:type="dxa"/>
            <w:shd w:val="clear" w:color="auto" w:fill="auto"/>
          </w:tcPr>
          <w:p w14:paraId="32C1E0B1" w14:textId="77777777" w:rsidR="00735AEB" w:rsidRPr="00735AEB" w:rsidRDefault="00735AEB" w:rsidP="00735AEB">
            <w:pPr>
              <w:pStyle w:val="TableText"/>
              <w:spacing w:line="276" w:lineRule="auto"/>
              <w:jc w:val="center"/>
              <w:rPr>
                <w:rFonts w:cs="Arial"/>
                <w:b/>
                <w:szCs w:val="20"/>
              </w:rPr>
            </w:pPr>
            <w:r w:rsidRPr="00735AEB">
              <w:rPr>
                <w:rFonts w:cs="Arial"/>
                <w:b/>
                <w:szCs w:val="20"/>
              </w:rPr>
              <w:t>0</w:t>
            </w:r>
          </w:p>
        </w:tc>
        <w:tc>
          <w:tcPr>
            <w:tcW w:w="1398" w:type="dxa"/>
            <w:shd w:val="clear" w:color="auto" w:fill="auto"/>
          </w:tcPr>
          <w:p w14:paraId="52D5A6BD" w14:textId="72F09A85" w:rsidR="00735AEB" w:rsidRPr="00735AEB" w:rsidRDefault="00735AEB" w:rsidP="00C53F80">
            <w:pPr>
              <w:pStyle w:val="TableText"/>
              <w:spacing w:line="276" w:lineRule="auto"/>
              <w:rPr>
                <w:rFonts w:cs="Arial"/>
                <w:szCs w:val="20"/>
              </w:rPr>
            </w:pPr>
            <w:r w:rsidRPr="00735AEB">
              <w:rPr>
                <w:rFonts w:cs="Arial"/>
                <w:b/>
                <w:color w:val="00B050"/>
                <w:szCs w:val="20"/>
              </w:rPr>
              <w:t xml:space="preserve">++ </w:t>
            </w:r>
            <w:r w:rsidRPr="00735AEB">
              <w:rPr>
                <w:rFonts w:cs="Arial"/>
                <w:szCs w:val="20"/>
              </w:rPr>
              <w:t>Smooths the path to new market conditions whilst mitigating scarring effects.</w:t>
            </w:r>
          </w:p>
        </w:tc>
        <w:tc>
          <w:tcPr>
            <w:tcW w:w="1918" w:type="dxa"/>
            <w:shd w:val="clear" w:color="auto" w:fill="auto"/>
          </w:tcPr>
          <w:p w14:paraId="696A8297" w14:textId="589F9915" w:rsidR="00735AEB" w:rsidRPr="00735AEB" w:rsidRDefault="00735AEB" w:rsidP="00C53F80">
            <w:pPr>
              <w:pStyle w:val="TableText"/>
              <w:spacing w:line="276" w:lineRule="auto"/>
              <w:rPr>
                <w:rFonts w:cs="Arial"/>
                <w:szCs w:val="20"/>
              </w:rPr>
            </w:pPr>
            <w:r w:rsidRPr="00735AEB">
              <w:rPr>
                <w:rFonts w:cs="Arial"/>
                <w:b/>
                <w:color w:val="00B050"/>
                <w:szCs w:val="20"/>
              </w:rPr>
              <w:t xml:space="preserve">+ </w:t>
            </w:r>
            <w:r w:rsidRPr="00735AEB">
              <w:rPr>
                <w:rFonts w:cs="Arial"/>
                <w:szCs w:val="20"/>
              </w:rPr>
              <w:t>Boundary issues mean some firms may benefit from a smoother transition than others, which raises questions of fairness.</w:t>
            </w:r>
          </w:p>
        </w:tc>
        <w:tc>
          <w:tcPr>
            <w:tcW w:w="1747" w:type="dxa"/>
            <w:vMerge/>
          </w:tcPr>
          <w:p w14:paraId="3620C435" w14:textId="7C9520F1" w:rsidR="00735AEB" w:rsidRPr="00735AEB" w:rsidRDefault="00735AEB" w:rsidP="00C53F80">
            <w:pPr>
              <w:spacing w:after="120" w:line="276" w:lineRule="auto"/>
              <w:rPr>
                <w:rFonts w:cs="Arial"/>
                <w:b/>
                <w:sz w:val="20"/>
              </w:rPr>
            </w:pPr>
          </w:p>
        </w:tc>
        <w:tc>
          <w:tcPr>
            <w:tcW w:w="1274" w:type="dxa"/>
            <w:vMerge/>
          </w:tcPr>
          <w:p w14:paraId="3A98D413" w14:textId="77777777" w:rsidR="00735AEB" w:rsidRPr="00735AEB" w:rsidRDefault="00735AEB" w:rsidP="00C53F80">
            <w:pPr>
              <w:spacing w:after="120" w:line="276" w:lineRule="auto"/>
              <w:rPr>
                <w:rFonts w:cs="Arial"/>
                <w:b/>
                <w:sz w:val="20"/>
              </w:rPr>
            </w:pPr>
          </w:p>
        </w:tc>
        <w:tc>
          <w:tcPr>
            <w:tcW w:w="1434" w:type="dxa"/>
          </w:tcPr>
          <w:p w14:paraId="2027F1C5" w14:textId="0CCB1EE6" w:rsidR="00735AEB" w:rsidRPr="00735AEB" w:rsidRDefault="00735AEB" w:rsidP="00C53F80">
            <w:pPr>
              <w:spacing w:after="120" w:line="276" w:lineRule="auto"/>
              <w:rPr>
                <w:rFonts w:cs="Arial"/>
                <w:b/>
                <w:sz w:val="20"/>
              </w:rPr>
            </w:pPr>
            <w:r w:rsidRPr="00735AEB">
              <w:rPr>
                <w:rFonts w:cs="Arial"/>
                <w:b/>
                <w:color w:val="00B050"/>
                <w:sz w:val="20"/>
              </w:rPr>
              <w:t xml:space="preserve">++ </w:t>
            </w:r>
            <w:r w:rsidRPr="00735AEB">
              <w:rPr>
                <w:rFonts w:cs="Arial"/>
                <w:sz w:val="20"/>
              </w:rPr>
              <w:t>Smooths the path to new market conditions whilst mitigating scarring effects.</w:t>
            </w:r>
          </w:p>
        </w:tc>
        <w:tc>
          <w:tcPr>
            <w:tcW w:w="1496" w:type="dxa"/>
          </w:tcPr>
          <w:p w14:paraId="31A7CE94" w14:textId="36528B62" w:rsidR="00735AEB" w:rsidRPr="00735AEB" w:rsidRDefault="00735AEB" w:rsidP="00C53F80">
            <w:pPr>
              <w:spacing w:after="120" w:line="276" w:lineRule="auto"/>
              <w:rPr>
                <w:rFonts w:cs="Arial"/>
                <w:b/>
                <w:sz w:val="20"/>
              </w:rPr>
            </w:pPr>
            <w:r w:rsidRPr="00373CD5">
              <w:rPr>
                <w:rFonts w:cs="Arial"/>
                <w:b/>
                <w:color w:val="00B050"/>
                <w:sz w:val="20"/>
              </w:rPr>
              <w:t>+</w:t>
            </w:r>
            <w:r>
              <w:rPr>
                <w:rFonts w:cs="Arial"/>
                <w:b/>
                <w:color w:val="00B050"/>
                <w:sz w:val="20"/>
              </w:rPr>
              <w:t>/</w:t>
            </w:r>
            <w:r w:rsidRPr="00373CD5">
              <w:rPr>
                <w:rFonts w:cs="Arial"/>
                <w:b/>
                <w:color w:val="FF0000"/>
                <w:sz w:val="20"/>
              </w:rPr>
              <w:t>-</w:t>
            </w:r>
            <w:r w:rsidRPr="00735AEB">
              <w:rPr>
                <w:rFonts w:cs="Arial"/>
                <w:b/>
                <w:color w:val="00B050"/>
                <w:sz w:val="20"/>
              </w:rPr>
              <w:t xml:space="preserve"> </w:t>
            </w:r>
            <w:r w:rsidRPr="00735AEB">
              <w:rPr>
                <w:rFonts w:cs="Arial"/>
                <w:sz w:val="20"/>
              </w:rPr>
              <w:t>Boundary issues mean some firms may benefit from a smoother transition than others, which raises questions of fairness.</w:t>
            </w:r>
          </w:p>
        </w:tc>
        <w:tc>
          <w:tcPr>
            <w:tcW w:w="1429" w:type="dxa"/>
          </w:tcPr>
          <w:p w14:paraId="2B0F2ED4" w14:textId="35CBA9CF" w:rsidR="00735AEB" w:rsidRPr="00735AEB" w:rsidRDefault="00735AEB" w:rsidP="00C53F80">
            <w:pPr>
              <w:spacing w:after="120" w:line="276" w:lineRule="auto"/>
              <w:rPr>
                <w:rFonts w:cs="Arial"/>
                <w:b/>
                <w:sz w:val="20"/>
              </w:rPr>
            </w:pPr>
            <w:r w:rsidRPr="00735AEB">
              <w:rPr>
                <w:rFonts w:cs="Arial"/>
                <w:b/>
                <w:color w:val="00B050"/>
                <w:sz w:val="20"/>
              </w:rPr>
              <w:t xml:space="preserve">++ </w:t>
            </w:r>
            <w:r w:rsidRPr="00735AEB">
              <w:rPr>
                <w:rFonts w:cs="Arial"/>
                <w:sz w:val="20"/>
              </w:rPr>
              <w:t xml:space="preserve">Reflects that smaller businesses have fewer resources to </w:t>
            </w:r>
            <w:r>
              <w:rPr>
                <w:rFonts w:cs="Arial"/>
                <w:sz w:val="20"/>
              </w:rPr>
              <w:t>shift to new market conditions without significantly reducing employment</w:t>
            </w:r>
          </w:p>
        </w:tc>
        <w:tc>
          <w:tcPr>
            <w:tcW w:w="1603" w:type="dxa"/>
            <w:vMerge/>
          </w:tcPr>
          <w:p w14:paraId="1B490415" w14:textId="77777777" w:rsidR="00735AEB" w:rsidRPr="00735AEB" w:rsidRDefault="00735AEB" w:rsidP="00735AEB">
            <w:pPr>
              <w:spacing w:after="120" w:line="276" w:lineRule="auto"/>
              <w:jc w:val="both"/>
              <w:rPr>
                <w:rFonts w:cs="Arial"/>
                <w:b/>
                <w:sz w:val="20"/>
              </w:rPr>
            </w:pPr>
          </w:p>
        </w:tc>
      </w:tr>
      <w:tr w:rsidR="00AD4436" w:rsidRPr="00735AEB" w14:paraId="7260D108" w14:textId="5B2E6335" w:rsidTr="01C3232A">
        <w:trPr>
          <w:trHeight w:val="606"/>
        </w:trPr>
        <w:tc>
          <w:tcPr>
            <w:tcW w:w="1957" w:type="dxa"/>
            <w:shd w:val="clear" w:color="auto" w:fill="99CDDD"/>
          </w:tcPr>
          <w:p w14:paraId="70A775FF" w14:textId="77777777" w:rsidR="00735AEB" w:rsidRPr="00735AEB" w:rsidRDefault="00735AEB" w:rsidP="00735AEB">
            <w:pPr>
              <w:spacing w:before="60" w:after="60" w:line="240" w:lineRule="auto"/>
              <w:rPr>
                <w:rFonts w:cs="Arial"/>
                <w:b/>
                <w:color w:val="000000"/>
                <w:sz w:val="20"/>
              </w:rPr>
            </w:pPr>
            <w:r w:rsidRPr="00735AEB">
              <w:rPr>
                <w:rFonts w:cs="Arial"/>
                <w:b/>
                <w:color w:val="000000"/>
                <w:sz w:val="20"/>
              </w:rPr>
              <w:t>Overall assessment</w:t>
            </w:r>
          </w:p>
        </w:tc>
        <w:tc>
          <w:tcPr>
            <w:tcW w:w="829" w:type="dxa"/>
            <w:shd w:val="clear" w:color="auto" w:fill="auto"/>
          </w:tcPr>
          <w:p w14:paraId="6366AD0C" w14:textId="77777777" w:rsidR="00735AEB" w:rsidRPr="00735AEB" w:rsidRDefault="00735AEB" w:rsidP="00735AEB">
            <w:pPr>
              <w:pStyle w:val="TableText"/>
              <w:spacing w:line="276" w:lineRule="auto"/>
              <w:jc w:val="center"/>
              <w:rPr>
                <w:rFonts w:cs="Arial"/>
                <w:szCs w:val="20"/>
              </w:rPr>
            </w:pPr>
          </w:p>
        </w:tc>
        <w:tc>
          <w:tcPr>
            <w:tcW w:w="1398" w:type="dxa"/>
            <w:shd w:val="clear" w:color="auto" w:fill="auto"/>
          </w:tcPr>
          <w:p w14:paraId="75099779" w14:textId="26BA855A" w:rsidR="00735AEB" w:rsidRPr="00735AEB" w:rsidRDefault="00735AEB" w:rsidP="00735AEB">
            <w:pPr>
              <w:pStyle w:val="TableText"/>
              <w:spacing w:line="276" w:lineRule="auto"/>
              <w:jc w:val="both"/>
              <w:rPr>
                <w:rFonts w:cs="Arial"/>
                <w:szCs w:val="20"/>
              </w:rPr>
            </w:pPr>
            <w:r w:rsidRPr="00735AEB">
              <w:rPr>
                <w:rFonts w:cs="Arial"/>
                <w:b/>
                <w:color w:val="00B050"/>
                <w:szCs w:val="20"/>
              </w:rPr>
              <w:t>++</w:t>
            </w:r>
          </w:p>
        </w:tc>
        <w:tc>
          <w:tcPr>
            <w:tcW w:w="1918" w:type="dxa"/>
            <w:shd w:val="clear" w:color="auto" w:fill="auto"/>
          </w:tcPr>
          <w:p w14:paraId="0C04EF4D" w14:textId="7640A318" w:rsidR="00735AEB" w:rsidRPr="00735AEB" w:rsidRDefault="00735AEB" w:rsidP="00735AEB">
            <w:pPr>
              <w:pStyle w:val="TableText"/>
              <w:spacing w:line="276" w:lineRule="auto"/>
              <w:jc w:val="both"/>
              <w:rPr>
                <w:rFonts w:cs="Arial"/>
                <w:szCs w:val="20"/>
              </w:rPr>
            </w:pPr>
            <w:r w:rsidRPr="00373CD5">
              <w:rPr>
                <w:rFonts w:cs="Arial"/>
                <w:b/>
                <w:color w:val="00B050"/>
              </w:rPr>
              <w:t>+</w:t>
            </w:r>
          </w:p>
        </w:tc>
        <w:tc>
          <w:tcPr>
            <w:tcW w:w="1747" w:type="dxa"/>
            <w:shd w:val="clear" w:color="auto" w:fill="auto"/>
          </w:tcPr>
          <w:p w14:paraId="345D17A4" w14:textId="66B51727" w:rsidR="00735AEB" w:rsidRPr="00735AEB" w:rsidRDefault="00735AEB" w:rsidP="00735AEB">
            <w:pPr>
              <w:spacing w:after="120" w:line="276" w:lineRule="auto"/>
              <w:jc w:val="both"/>
              <w:rPr>
                <w:rFonts w:cs="Arial"/>
                <w:b/>
                <w:sz w:val="20"/>
              </w:rPr>
            </w:pPr>
            <w:r>
              <w:rPr>
                <w:rFonts w:cs="Arial"/>
                <w:b/>
                <w:color w:val="00B050"/>
                <w:sz w:val="20"/>
              </w:rPr>
              <w:t>+</w:t>
            </w:r>
          </w:p>
        </w:tc>
        <w:tc>
          <w:tcPr>
            <w:tcW w:w="1274" w:type="dxa"/>
          </w:tcPr>
          <w:p w14:paraId="45053D21" w14:textId="547042D0" w:rsidR="00735AEB" w:rsidRPr="00735AEB" w:rsidRDefault="00735AEB" w:rsidP="00735AEB">
            <w:pPr>
              <w:spacing w:after="120" w:line="276" w:lineRule="auto"/>
              <w:jc w:val="both"/>
              <w:rPr>
                <w:rFonts w:cs="Arial"/>
                <w:b/>
                <w:sz w:val="20"/>
              </w:rPr>
            </w:pPr>
            <w:r w:rsidRPr="00373CD5">
              <w:rPr>
                <w:rFonts w:cs="Arial"/>
                <w:b/>
                <w:color w:val="00B050"/>
                <w:sz w:val="20"/>
              </w:rPr>
              <w:t>++</w:t>
            </w:r>
          </w:p>
        </w:tc>
        <w:tc>
          <w:tcPr>
            <w:tcW w:w="1434" w:type="dxa"/>
          </w:tcPr>
          <w:p w14:paraId="495B0336" w14:textId="077BE637" w:rsidR="00735AEB" w:rsidRPr="00735AEB" w:rsidRDefault="00735AEB" w:rsidP="00735AEB">
            <w:pPr>
              <w:spacing w:after="120" w:line="276" w:lineRule="auto"/>
              <w:jc w:val="both"/>
              <w:rPr>
                <w:rFonts w:cs="Arial"/>
                <w:b/>
                <w:sz w:val="20"/>
              </w:rPr>
            </w:pPr>
            <w:r w:rsidRPr="00373CD5">
              <w:rPr>
                <w:rFonts w:cs="Arial"/>
                <w:b/>
                <w:color w:val="00B050"/>
                <w:sz w:val="20"/>
              </w:rPr>
              <w:t>++</w:t>
            </w:r>
          </w:p>
        </w:tc>
        <w:tc>
          <w:tcPr>
            <w:tcW w:w="1496" w:type="dxa"/>
          </w:tcPr>
          <w:p w14:paraId="381DDEC1" w14:textId="40A4DA41" w:rsidR="00735AEB" w:rsidRPr="00735AEB" w:rsidRDefault="00735AEB" w:rsidP="00735AEB">
            <w:pPr>
              <w:spacing w:after="120" w:line="276" w:lineRule="auto"/>
              <w:jc w:val="both"/>
              <w:rPr>
                <w:rFonts w:cs="Arial"/>
                <w:b/>
                <w:sz w:val="20"/>
              </w:rPr>
            </w:pPr>
            <w:r w:rsidRPr="00373CD5">
              <w:rPr>
                <w:rFonts w:cs="Arial"/>
                <w:b/>
                <w:color w:val="00B050"/>
                <w:sz w:val="20"/>
              </w:rPr>
              <w:t>+</w:t>
            </w:r>
            <w:r>
              <w:rPr>
                <w:rFonts w:cs="Arial"/>
                <w:b/>
                <w:color w:val="00B050"/>
                <w:sz w:val="20"/>
              </w:rPr>
              <w:t>/</w:t>
            </w:r>
            <w:r w:rsidRPr="00373CD5">
              <w:rPr>
                <w:rFonts w:cs="Arial"/>
                <w:b/>
                <w:color w:val="FF0000"/>
                <w:sz w:val="20"/>
              </w:rPr>
              <w:t>-</w:t>
            </w:r>
          </w:p>
        </w:tc>
        <w:tc>
          <w:tcPr>
            <w:tcW w:w="1429" w:type="dxa"/>
          </w:tcPr>
          <w:p w14:paraId="6AD89F5B" w14:textId="39F29832" w:rsidR="00735AEB" w:rsidRPr="00735AEB" w:rsidRDefault="00735AEB" w:rsidP="00735AEB">
            <w:pPr>
              <w:spacing w:after="120" w:line="276" w:lineRule="auto"/>
              <w:jc w:val="both"/>
              <w:rPr>
                <w:rFonts w:cs="Arial"/>
                <w:b/>
                <w:sz w:val="20"/>
              </w:rPr>
            </w:pPr>
            <w:r w:rsidRPr="00373CD5">
              <w:rPr>
                <w:rFonts w:cs="Arial"/>
                <w:b/>
                <w:color w:val="00B050"/>
                <w:sz w:val="20"/>
              </w:rPr>
              <w:t>++</w:t>
            </w:r>
          </w:p>
        </w:tc>
        <w:tc>
          <w:tcPr>
            <w:tcW w:w="1603" w:type="dxa"/>
          </w:tcPr>
          <w:p w14:paraId="1DA0D055" w14:textId="12B75F59" w:rsidR="00735AEB" w:rsidRPr="00735AEB" w:rsidRDefault="00735AEB" w:rsidP="00735AEB">
            <w:pPr>
              <w:spacing w:after="120" w:line="276" w:lineRule="auto"/>
              <w:jc w:val="both"/>
              <w:rPr>
                <w:rFonts w:cs="Arial"/>
                <w:b/>
                <w:sz w:val="20"/>
              </w:rPr>
            </w:pPr>
            <w:r w:rsidRPr="00373CD5">
              <w:rPr>
                <w:rFonts w:cs="Arial"/>
                <w:b/>
                <w:color w:val="00B050"/>
                <w:sz w:val="20"/>
              </w:rPr>
              <w:t>+</w:t>
            </w:r>
          </w:p>
        </w:tc>
      </w:tr>
    </w:tbl>
    <w:p w14:paraId="074013AD" w14:textId="77777777" w:rsidR="0062657E" w:rsidRDefault="0062657E" w:rsidP="0049234F">
      <w:pPr>
        <w:pStyle w:val="spacer"/>
      </w:pPr>
    </w:p>
    <w:p w14:paraId="403F7963" w14:textId="77777777" w:rsidR="0049467D" w:rsidRPr="0049467D" w:rsidRDefault="0049467D" w:rsidP="0049467D">
      <w:pPr>
        <w:spacing w:after="120" w:line="276" w:lineRule="auto"/>
        <w:rPr>
          <w:rFonts w:cs="Arial"/>
          <w:b/>
          <w:sz w:val="20"/>
        </w:rPr>
      </w:pPr>
      <w:r w:rsidRPr="0049467D">
        <w:rPr>
          <w:rFonts w:cs="Arial"/>
          <w:b/>
          <w:sz w:val="20"/>
        </w:rPr>
        <w:t>Key:</w:t>
      </w:r>
    </w:p>
    <w:p w14:paraId="5E20A4E1" w14:textId="77777777" w:rsidR="0062657E" w:rsidRPr="0049467D" w:rsidRDefault="0062657E" w:rsidP="0049467D">
      <w:pPr>
        <w:spacing w:after="120" w:line="276" w:lineRule="auto"/>
        <w:rPr>
          <w:rFonts w:cs="Arial"/>
          <w:sz w:val="20"/>
        </w:rPr>
      </w:pPr>
      <w:r w:rsidRPr="00373CD5">
        <w:rPr>
          <w:rFonts w:cs="Arial"/>
          <w:b/>
          <w:color w:val="00B050"/>
          <w:sz w:val="20"/>
        </w:rPr>
        <w:t>++</w:t>
      </w:r>
      <w:r w:rsidRPr="0049467D">
        <w:rPr>
          <w:rFonts w:cs="Arial"/>
          <w:sz w:val="20"/>
        </w:rPr>
        <w:t xml:space="preserve">  </w:t>
      </w:r>
      <w:r w:rsidRPr="0049467D">
        <w:rPr>
          <w:rFonts w:cs="Arial"/>
          <w:sz w:val="20"/>
        </w:rPr>
        <w:tab/>
        <w:t>much better than doing nothing/the status quo</w:t>
      </w:r>
    </w:p>
    <w:p w14:paraId="25622461" w14:textId="77777777" w:rsidR="0062657E" w:rsidRPr="0049467D" w:rsidRDefault="0062657E" w:rsidP="0049467D">
      <w:pPr>
        <w:spacing w:after="120" w:line="276" w:lineRule="auto"/>
        <w:rPr>
          <w:rFonts w:cs="Arial"/>
          <w:sz w:val="20"/>
        </w:rPr>
      </w:pPr>
      <w:r w:rsidRPr="00373CD5">
        <w:rPr>
          <w:rFonts w:cs="Arial"/>
          <w:b/>
          <w:color w:val="00B050"/>
          <w:sz w:val="20"/>
        </w:rPr>
        <w:t>+</w:t>
      </w:r>
      <w:r w:rsidRPr="00373CD5">
        <w:rPr>
          <w:rFonts w:cs="Arial"/>
          <w:color w:val="00B050"/>
          <w:sz w:val="20"/>
        </w:rPr>
        <w:t xml:space="preserve"> </w:t>
      </w:r>
      <w:r w:rsidRPr="0049467D">
        <w:rPr>
          <w:rFonts w:cs="Arial"/>
          <w:sz w:val="20"/>
        </w:rPr>
        <w:t xml:space="preserve"> </w:t>
      </w:r>
      <w:r w:rsidRPr="0049467D">
        <w:rPr>
          <w:rFonts w:cs="Arial"/>
          <w:sz w:val="20"/>
        </w:rPr>
        <w:tab/>
        <w:t>better than doing nothing/the status quo</w:t>
      </w:r>
    </w:p>
    <w:p w14:paraId="411A7282" w14:textId="77777777" w:rsidR="0062657E" w:rsidRPr="0049467D" w:rsidRDefault="0062657E" w:rsidP="0049467D">
      <w:pPr>
        <w:spacing w:after="120" w:line="276" w:lineRule="auto"/>
        <w:rPr>
          <w:rFonts w:cs="Arial"/>
          <w:sz w:val="20"/>
        </w:rPr>
      </w:pPr>
      <w:r w:rsidRPr="0049467D">
        <w:rPr>
          <w:rFonts w:cs="Arial"/>
          <w:b/>
          <w:sz w:val="20"/>
        </w:rPr>
        <w:t>0</w:t>
      </w:r>
      <w:r w:rsidRPr="0049467D">
        <w:rPr>
          <w:rFonts w:cs="Arial"/>
          <w:sz w:val="20"/>
        </w:rPr>
        <w:t xml:space="preserve">  </w:t>
      </w:r>
      <w:r w:rsidRPr="0049467D">
        <w:rPr>
          <w:rFonts w:cs="Arial"/>
          <w:sz w:val="20"/>
        </w:rPr>
        <w:tab/>
        <w:t>about the same as doing nothing/the status quo</w:t>
      </w:r>
    </w:p>
    <w:p w14:paraId="2EA7B3D4" w14:textId="77777777" w:rsidR="0062657E" w:rsidRPr="0049467D" w:rsidRDefault="0062657E" w:rsidP="0049467D">
      <w:pPr>
        <w:spacing w:after="120" w:line="276" w:lineRule="auto"/>
        <w:rPr>
          <w:rFonts w:cs="Arial"/>
          <w:sz w:val="20"/>
        </w:rPr>
      </w:pPr>
      <w:r w:rsidRPr="00373CD5">
        <w:rPr>
          <w:rFonts w:cs="Arial"/>
          <w:b/>
          <w:color w:val="FF0000"/>
          <w:sz w:val="20"/>
        </w:rPr>
        <w:t>-</w:t>
      </w:r>
      <w:r w:rsidRPr="0049467D">
        <w:rPr>
          <w:rFonts w:cs="Arial"/>
          <w:sz w:val="20"/>
        </w:rPr>
        <w:t xml:space="preserve"> </w:t>
      </w:r>
      <w:r w:rsidRPr="0049467D">
        <w:rPr>
          <w:rFonts w:cs="Arial"/>
          <w:sz w:val="20"/>
        </w:rPr>
        <w:tab/>
        <w:t>worse than doing nothing/the status quo</w:t>
      </w:r>
    </w:p>
    <w:p w14:paraId="72AA943E" w14:textId="77777777" w:rsidR="0049467D" w:rsidRPr="0049467D" w:rsidRDefault="0062657E" w:rsidP="0049467D">
      <w:pPr>
        <w:spacing w:after="120" w:line="276" w:lineRule="auto"/>
        <w:rPr>
          <w:rFonts w:cs="Arial"/>
          <w:sz w:val="20"/>
        </w:rPr>
      </w:pPr>
      <w:r w:rsidRPr="00373CD5">
        <w:rPr>
          <w:rFonts w:cs="Arial"/>
          <w:b/>
          <w:color w:val="FF0000"/>
          <w:sz w:val="20"/>
        </w:rPr>
        <w:t>- -</w:t>
      </w:r>
      <w:r w:rsidRPr="0049467D">
        <w:rPr>
          <w:rFonts w:cs="Arial"/>
          <w:sz w:val="20"/>
        </w:rPr>
        <w:t xml:space="preserve"> </w:t>
      </w:r>
      <w:r w:rsidRPr="0049467D">
        <w:rPr>
          <w:rFonts w:cs="Arial"/>
          <w:sz w:val="20"/>
        </w:rPr>
        <w:tab/>
        <w:t>much worse than doing nothing/the status quo</w:t>
      </w:r>
    </w:p>
    <w:p w14:paraId="150612A0" w14:textId="77777777" w:rsidR="0062657E" w:rsidRPr="0049467D" w:rsidRDefault="0062657E" w:rsidP="0049467D">
      <w:pPr>
        <w:spacing w:after="120" w:line="276" w:lineRule="auto"/>
        <w:rPr>
          <w:rFonts w:ascii="Arial Narrow" w:hAnsi="Arial Narrow"/>
          <w:i/>
          <w:sz w:val="20"/>
        </w:rPr>
        <w:sectPr w:rsidR="0062657E" w:rsidRPr="0049467D" w:rsidSect="00FE1832">
          <w:footerReference w:type="default" r:id="rId16"/>
          <w:pgSz w:w="16838" w:h="11906" w:orient="landscape"/>
          <w:pgMar w:top="1134" w:right="1418" w:bottom="992" w:left="1418" w:header="709" w:footer="709" w:gutter="0"/>
          <w:cols w:space="708"/>
          <w:docGrid w:linePitch="360"/>
        </w:sectPr>
      </w:pPr>
    </w:p>
    <w:p w14:paraId="25054098" w14:textId="77777777" w:rsidR="0062657E" w:rsidRPr="0005691A" w:rsidRDefault="0062657E" w:rsidP="00362498">
      <w:pPr>
        <w:pStyle w:val="Heading2"/>
      </w:pPr>
      <w:r w:rsidRPr="0005691A">
        <w:t>Section 5:  Conclusions</w:t>
      </w:r>
    </w:p>
    <w:tbl>
      <w:tblPr>
        <w:tblW w:w="9072" w:type="dxa"/>
        <w:tblInd w:w="10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80" w:firstRow="0" w:lastRow="0" w:firstColumn="1" w:lastColumn="0" w:noHBand="0" w:noVBand="1"/>
      </w:tblPr>
      <w:tblGrid>
        <w:gridCol w:w="9072"/>
      </w:tblGrid>
      <w:tr w:rsidR="0049467D" w:rsidRPr="0049467D" w14:paraId="6FE189AA" w14:textId="77777777" w:rsidTr="42A004F7">
        <w:trPr>
          <w:trHeight w:val="529"/>
        </w:trPr>
        <w:tc>
          <w:tcPr>
            <w:tcW w:w="9072" w:type="dxa"/>
            <w:shd w:val="clear" w:color="auto" w:fill="99CDDD"/>
          </w:tcPr>
          <w:p w14:paraId="558BD119" w14:textId="3DF47BAE" w:rsidR="0062657E" w:rsidRPr="0049467D" w:rsidRDefault="00F05AD9" w:rsidP="00DF2E7B">
            <w:pPr>
              <w:spacing w:before="60" w:after="60" w:line="240" w:lineRule="auto"/>
              <w:rPr>
                <w:rFonts w:cs="Arial"/>
                <w:b/>
                <w:szCs w:val="22"/>
                <w:lang w:eastAsia="en-AU"/>
              </w:rPr>
            </w:pPr>
            <w:r>
              <w:rPr>
                <w:rFonts w:cs="Arial"/>
                <w:b/>
                <w:szCs w:val="22"/>
                <w:lang w:eastAsia="en-AU"/>
              </w:rPr>
              <w:br w:type="page"/>
              <w:t xml:space="preserve">5.1   </w:t>
            </w:r>
            <w:r w:rsidR="0062657E" w:rsidRPr="0049467D">
              <w:rPr>
                <w:rFonts w:cs="Arial"/>
                <w:b/>
                <w:szCs w:val="22"/>
                <w:lang w:eastAsia="en-AU"/>
              </w:rPr>
              <w:t xml:space="preserve">What option, or combination of options is likely </w:t>
            </w:r>
            <w:r w:rsidR="00105D66">
              <w:rPr>
                <w:rFonts w:cs="Arial"/>
                <w:b/>
                <w:szCs w:val="22"/>
                <w:lang w:eastAsia="en-AU"/>
              </w:rPr>
              <w:t xml:space="preserve">to </w:t>
            </w:r>
            <w:r w:rsidR="0062657E" w:rsidRPr="0049467D">
              <w:rPr>
                <w:rFonts w:cs="Arial"/>
                <w:b/>
                <w:szCs w:val="22"/>
                <w:lang w:eastAsia="en-AU"/>
              </w:rPr>
              <w:t>best address the problem, meet the policy objectives and deliver the highest net benefits?</w:t>
            </w:r>
          </w:p>
        </w:tc>
      </w:tr>
      <w:tr w:rsidR="0049467D" w:rsidRPr="0049467D" w14:paraId="49AD4F84" w14:textId="77777777" w:rsidTr="00152291">
        <w:trPr>
          <w:trHeight w:val="742"/>
        </w:trPr>
        <w:tc>
          <w:tcPr>
            <w:tcW w:w="9072" w:type="dxa"/>
            <w:shd w:val="clear" w:color="auto" w:fill="FFFFFF" w:themeFill="background1"/>
          </w:tcPr>
          <w:p w14:paraId="4C8E84A0" w14:textId="188CC9AD" w:rsidR="6F9F6D2D" w:rsidRDefault="7B7AFF33" w:rsidP="00E14870">
            <w:pPr>
              <w:spacing w:after="120" w:line="240" w:lineRule="auto"/>
              <w:rPr>
                <w:rFonts w:eastAsia="Arial"/>
              </w:rPr>
            </w:pPr>
            <w:r>
              <w:t>The recommended approach was to introduce and pre-announce a new one-off Resurgence Support Payment available to all firms in the event of an increase from Alert Level 1 to Alert Level 2, 3, or 4. The recommended sub-options were:</w:t>
            </w:r>
          </w:p>
          <w:p w14:paraId="3A39F823" w14:textId="10382AE0" w:rsidR="6F9F6D2D" w:rsidRDefault="7B7AFF33" w:rsidP="42A004F7">
            <w:pPr>
              <w:pStyle w:val="TableText"/>
              <w:numPr>
                <w:ilvl w:val="0"/>
                <w:numId w:val="8"/>
              </w:numPr>
              <w:spacing w:before="0" w:after="120" w:line="240" w:lineRule="auto"/>
              <w:rPr>
                <w:rFonts w:eastAsia="Arial" w:cs="Arial"/>
                <w:sz w:val="22"/>
              </w:rPr>
            </w:pPr>
            <w:r w:rsidRPr="42A004F7">
              <w:rPr>
                <w:sz w:val="22"/>
              </w:rPr>
              <w:t xml:space="preserve">To make the </w:t>
            </w:r>
            <w:r w:rsidR="0A4BDE7E" w:rsidRPr="42A004F7">
              <w:rPr>
                <w:sz w:val="22"/>
              </w:rPr>
              <w:t>P</w:t>
            </w:r>
            <w:r w:rsidRPr="42A004F7">
              <w:rPr>
                <w:sz w:val="22"/>
              </w:rPr>
              <w:t>ayment available to all firms that experience a drop in revenue of 30% or more over a 14-day period as a result of higher Alert Level restrictions; and</w:t>
            </w:r>
          </w:p>
          <w:p w14:paraId="629D7700" w14:textId="78BF9A3D" w:rsidR="00850F6D" w:rsidRDefault="6F9F6D2D" w:rsidP="00E14870">
            <w:pPr>
              <w:pStyle w:val="TableText"/>
              <w:numPr>
                <w:ilvl w:val="0"/>
                <w:numId w:val="8"/>
              </w:numPr>
              <w:spacing w:before="0" w:after="120" w:line="240" w:lineRule="auto"/>
              <w:rPr>
                <w:rFonts w:eastAsia="Arial" w:cs="Arial"/>
                <w:sz w:val="22"/>
              </w:rPr>
            </w:pPr>
            <w:r w:rsidRPr="1348A5FB">
              <w:rPr>
                <w:sz w:val="22"/>
              </w:rPr>
              <w:t>To pay the lesser of:</w:t>
            </w:r>
          </w:p>
          <w:p w14:paraId="04EFD0DF" w14:textId="71459EF7" w:rsidR="6F9F6D2D" w:rsidRDefault="6F9F6D2D" w:rsidP="00944851">
            <w:pPr>
              <w:pStyle w:val="TableText"/>
              <w:numPr>
                <w:ilvl w:val="1"/>
                <w:numId w:val="40"/>
              </w:numPr>
              <w:spacing w:before="0" w:after="120" w:line="240" w:lineRule="auto"/>
              <w:rPr>
                <w:rFonts w:eastAsia="Arial" w:cs="Arial"/>
                <w:sz w:val="22"/>
              </w:rPr>
            </w:pPr>
            <w:r w:rsidRPr="1348A5FB">
              <w:rPr>
                <w:sz w:val="22"/>
              </w:rPr>
              <w:t xml:space="preserve"> $1500 plus $400 per full-time employee (FTE) (up to a cap of 50), or,</w:t>
            </w:r>
          </w:p>
          <w:p w14:paraId="6D23A91F" w14:textId="77B44A93" w:rsidR="6F9F6D2D" w:rsidRDefault="6F9F6D2D" w:rsidP="00944851">
            <w:pPr>
              <w:pStyle w:val="TableText"/>
              <w:numPr>
                <w:ilvl w:val="1"/>
                <w:numId w:val="40"/>
              </w:numPr>
              <w:spacing w:before="0" w:after="120" w:line="240" w:lineRule="auto"/>
              <w:rPr>
                <w:rFonts w:eastAsia="Arial" w:cs="Arial"/>
                <w:sz w:val="22"/>
              </w:rPr>
            </w:pPr>
            <w:r w:rsidRPr="1348A5FB">
              <w:rPr>
                <w:sz w:val="22"/>
              </w:rPr>
              <w:t>Two times the experienced drop in revenue.</w:t>
            </w:r>
          </w:p>
          <w:p w14:paraId="535A6F49" w14:textId="48E21B7D" w:rsidR="004363DA" w:rsidRDefault="6F9F6D2D" w:rsidP="00E14870">
            <w:pPr>
              <w:pStyle w:val="TableText"/>
              <w:spacing w:before="0" w:after="120" w:line="240" w:lineRule="auto"/>
              <w:rPr>
                <w:rFonts w:eastAsia="Arial" w:cs="Arial"/>
                <w:sz w:val="22"/>
              </w:rPr>
            </w:pPr>
            <w:r w:rsidRPr="1348A5FB">
              <w:rPr>
                <w:sz w:val="22"/>
              </w:rPr>
              <w:t>These options were preferred because they:</w:t>
            </w:r>
          </w:p>
          <w:p w14:paraId="5DC30058" w14:textId="09E9F275" w:rsidR="6F9F6D2D" w:rsidRDefault="6F9F6D2D" w:rsidP="00E14870">
            <w:pPr>
              <w:pStyle w:val="TableText"/>
              <w:numPr>
                <w:ilvl w:val="0"/>
                <w:numId w:val="8"/>
              </w:numPr>
              <w:spacing w:before="0" w:after="120" w:line="240" w:lineRule="auto"/>
              <w:rPr>
                <w:rFonts w:eastAsia="Arial" w:cs="Arial"/>
                <w:sz w:val="22"/>
              </w:rPr>
            </w:pPr>
            <w:r w:rsidRPr="1348A5FB">
              <w:rPr>
                <w:sz w:val="22"/>
              </w:rPr>
              <w:t xml:space="preserve">allow businesses to better plan </w:t>
            </w:r>
            <w:proofErr w:type="gramStart"/>
            <w:r w:rsidRPr="1348A5FB">
              <w:rPr>
                <w:sz w:val="22"/>
              </w:rPr>
              <w:t>ahead;</w:t>
            </w:r>
            <w:proofErr w:type="gramEnd"/>
            <w:r w:rsidRPr="1348A5FB">
              <w:rPr>
                <w:sz w:val="22"/>
              </w:rPr>
              <w:t xml:space="preserve"> </w:t>
            </w:r>
          </w:p>
          <w:p w14:paraId="5BCEBD13" w14:textId="2196CC6A" w:rsidR="6F9F6D2D" w:rsidRDefault="7B7AFF33" w:rsidP="42A004F7">
            <w:pPr>
              <w:pStyle w:val="TableText"/>
              <w:numPr>
                <w:ilvl w:val="0"/>
                <w:numId w:val="8"/>
              </w:numPr>
              <w:spacing w:before="0" w:after="120" w:line="240" w:lineRule="auto"/>
              <w:rPr>
                <w:rFonts w:eastAsia="Arial" w:cs="Arial"/>
                <w:sz w:val="22"/>
              </w:rPr>
            </w:pPr>
            <w:r w:rsidRPr="42A004F7">
              <w:rPr>
                <w:sz w:val="22"/>
              </w:rPr>
              <w:t>meant the</w:t>
            </w:r>
            <w:r w:rsidR="6E558AF0" w:rsidRPr="42A004F7">
              <w:rPr>
                <w:sz w:val="22"/>
              </w:rPr>
              <w:t xml:space="preserve"> RSP</w:t>
            </w:r>
            <w:r w:rsidRPr="42A004F7">
              <w:rPr>
                <w:sz w:val="22"/>
              </w:rPr>
              <w:t xml:space="preserve"> would be readily deployable by Inland Revenue in the event it is needed (following the passing of legislation and building the system</w:t>
            </w:r>
            <w:proofErr w:type="gramStart"/>
            <w:r w:rsidRPr="42A004F7">
              <w:rPr>
                <w:sz w:val="22"/>
              </w:rPr>
              <w:t>);</w:t>
            </w:r>
            <w:proofErr w:type="gramEnd"/>
            <w:r w:rsidRPr="42A004F7">
              <w:rPr>
                <w:sz w:val="22"/>
              </w:rPr>
              <w:t xml:space="preserve"> </w:t>
            </w:r>
          </w:p>
          <w:p w14:paraId="65BE385E" w14:textId="6148179D" w:rsidR="6F9F6D2D" w:rsidRDefault="6F9F6D2D" w:rsidP="00E14870">
            <w:pPr>
              <w:pStyle w:val="TableText"/>
              <w:numPr>
                <w:ilvl w:val="0"/>
                <w:numId w:val="8"/>
              </w:numPr>
              <w:spacing w:before="0" w:after="120" w:line="240" w:lineRule="auto"/>
              <w:rPr>
                <w:rFonts w:eastAsia="Arial" w:cs="Arial"/>
                <w:sz w:val="22"/>
              </w:rPr>
            </w:pPr>
            <w:r w:rsidRPr="1348A5FB">
              <w:rPr>
                <w:sz w:val="22"/>
              </w:rPr>
              <w:t xml:space="preserve">are fiscally </w:t>
            </w:r>
            <w:proofErr w:type="gramStart"/>
            <w:r w:rsidRPr="1348A5FB">
              <w:rPr>
                <w:sz w:val="22"/>
              </w:rPr>
              <w:t>sustainable;</w:t>
            </w:r>
            <w:proofErr w:type="gramEnd"/>
            <w:r w:rsidRPr="1348A5FB">
              <w:rPr>
                <w:sz w:val="22"/>
              </w:rPr>
              <w:t xml:space="preserve"> </w:t>
            </w:r>
          </w:p>
          <w:p w14:paraId="139F4DF2" w14:textId="6D41EAE5" w:rsidR="6F9F6D2D" w:rsidRDefault="6F9F6D2D" w:rsidP="00E14870">
            <w:pPr>
              <w:pStyle w:val="TableText"/>
              <w:numPr>
                <w:ilvl w:val="0"/>
                <w:numId w:val="8"/>
              </w:numPr>
              <w:spacing w:before="0" w:after="120" w:line="240" w:lineRule="auto"/>
              <w:rPr>
                <w:rFonts w:eastAsia="Arial" w:cs="Arial"/>
                <w:sz w:val="22"/>
              </w:rPr>
            </w:pPr>
            <w:r w:rsidRPr="1348A5FB">
              <w:rPr>
                <w:sz w:val="22"/>
              </w:rPr>
              <w:t xml:space="preserve">cushion the economic blow of higher Alert Levels to firms, limiting scarring </w:t>
            </w:r>
            <w:proofErr w:type="gramStart"/>
            <w:r w:rsidRPr="1348A5FB">
              <w:rPr>
                <w:sz w:val="22"/>
              </w:rPr>
              <w:t>effects;</w:t>
            </w:r>
            <w:proofErr w:type="gramEnd"/>
            <w:r w:rsidRPr="1348A5FB">
              <w:rPr>
                <w:sz w:val="22"/>
              </w:rPr>
              <w:t xml:space="preserve"> </w:t>
            </w:r>
          </w:p>
          <w:p w14:paraId="26C7CC64" w14:textId="0289C3DC" w:rsidR="6F9F6D2D" w:rsidRDefault="6F9F6D2D" w:rsidP="00E14870">
            <w:pPr>
              <w:pStyle w:val="TableText"/>
              <w:numPr>
                <w:ilvl w:val="0"/>
                <w:numId w:val="8"/>
              </w:numPr>
              <w:spacing w:before="0" w:after="120" w:line="240" w:lineRule="auto"/>
              <w:rPr>
                <w:rFonts w:eastAsia="Arial" w:cs="Arial"/>
                <w:sz w:val="22"/>
              </w:rPr>
            </w:pPr>
            <w:r w:rsidRPr="1348A5FB">
              <w:rPr>
                <w:sz w:val="22"/>
              </w:rPr>
              <w:t xml:space="preserve">support the transition up Alert Levels, boosting social licence for public health </w:t>
            </w:r>
            <w:proofErr w:type="gramStart"/>
            <w:r w:rsidRPr="1348A5FB">
              <w:rPr>
                <w:sz w:val="22"/>
              </w:rPr>
              <w:t>regulations;</w:t>
            </w:r>
            <w:proofErr w:type="gramEnd"/>
            <w:r w:rsidRPr="1348A5FB">
              <w:rPr>
                <w:sz w:val="22"/>
              </w:rPr>
              <w:t xml:space="preserve"> </w:t>
            </w:r>
          </w:p>
          <w:p w14:paraId="6AEAD51A" w14:textId="1EBB9F72" w:rsidR="6F9F6D2D" w:rsidRDefault="6F9F6D2D" w:rsidP="00E14870">
            <w:pPr>
              <w:pStyle w:val="TableText"/>
              <w:numPr>
                <w:ilvl w:val="0"/>
                <w:numId w:val="8"/>
              </w:numPr>
              <w:spacing w:before="0" w:after="120" w:line="240" w:lineRule="auto"/>
              <w:rPr>
                <w:rFonts w:eastAsia="Arial" w:cs="Arial"/>
                <w:sz w:val="22"/>
              </w:rPr>
            </w:pPr>
            <w:r w:rsidRPr="1348A5FB">
              <w:rPr>
                <w:sz w:val="22"/>
              </w:rPr>
              <w:t xml:space="preserve">encourage the shift to a more COVID-19 resilient </w:t>
            </w:r>
            <w:proofErr w:type="gramStart"/>
            <w:r w:rsidRPr="1348A5FB">
              <w:rPr>
                <w:sz w:val="22"/>
              </w:rPr>
              <w:t>economy;</w:t>
            </w:r>
            <w:proofErr w:type="gramEnd"/>
          </w:p>
          <w:p w14:paraId="181A519D" w14:textId="4F56402C" w:rsidR="6F9F6D2D" w:rsidRDefault="6D04955B" w:rsidP="00E14870">
            <w:pPr>
              <w:pStyle w:val="TableText"/>
              <w:numPr>
                <w:ilvl w:val="0"/>
                <w:numId w:val="8"/>
              </w:numPr>
              <w:spacing w:before="0" w:after="120" w:line="240" w:lineRule="auto"/>
              <w:rPr>
                <w:rFonts w:eastAsia="Arial" w:cs="Arial"/>
                <w:color w:val="2B579A"/>
                <w:sz w:val="22"/>
              </w:rPr>
            </w:pPr>
            <w:r w:rsidRPr="01C3232A">
              <w:rPr>
                <w:rFonts w:eastAsia="Verdana"/>
                <w:sz w:val="22"/>
                <w:lang w:val="en-NZ"/>
              </w:rPr>
              <w:t>ensure that some low revenue firms do not gain disproportionately from the RSP, in excess of their needs to meet fixed costs and transition costs</w:t>
            </w:r>
            <w:r w:rsidR="5DE1BA82" w:rsidRPr="01C3232A">
              <w:rPr>
                <w:rFonts w:eastAsia="Verdana"/>
                <w:sz w:val="22"/>
                <w:lang w:val="en-NZ"/>
              </w:rPr>
              <w:t>;</w:t>
            </w:r>
            <w:r w:rsidRPr="01C3232A">
              <w:rPr>
                <w:color w:val="2B579A"/>
                <w:sz w:val="22"/>
              </w:rPr>
              <w:t xml:space="preserve"> </w:t>
            </w:r>
            <w:r w:rsidRPr="01C3232A">
              <w:rPr>
                <w:sz w:val="22"/>
              </w:rPr>
              <w:t>and</w:t>
            </w:r>
          </w:p>
          <w:p w14:paraId="52254FF6" w14:textId="1955E12C" w:rsidR="6F9F6D2D" w:rsidRDefault="6F9F6D2D" w:rsidP="00E14870">
            <w:pPr>
              <w:pStyle w:val="TableText"/>
              <w:numPr>
                <w:ilvl w:val="0"/>
                <w:numId w:val="8"/>
              </w:numPr>
              <w:spacing w:before="0" w:after="120" w:line="240" w:lineRule="auto"/>
              <w:rPr>
                <w:rFonts w:eastAsia="Arial" w:cs="Arial"/>
                <w:sz w:val="22"/>
              </w:rPr>
            </w:pPr>
            <w:r w:rsidRPr="1348A5FB">
              <w:rPr>
                <w:sz w:val="22"/>
              </w:rPr>
              <w:t>target vulnerable but viable firms.</w:t>
            </w:r>
          </w:p>
          <w:p w14:paraId="463890E3" w14:textId="43B66324" w:rsidR="0079590F" w:rsidRPr="0074513F" w:rsidRDefault="7276F04F" w:rsidP="00E14870">
            <w:pPr>
              <w:pStyle w:val="TableText"/>
              <w:spacing w:before="0" w:after="120" w:line="240" w:lineRule="auto"/>
              <w:rPr>
                <w:sz w:val="22"/>
              </w:rPr>
            </w:pPr>
            <w:r w:rsidRPr="569D37DA">
              <w:rPr>
                <w:sz w:val="22"/>
              </w:rPr>
              <w:t>T</w:t>
            </w:r>
            <w:r w:rsidR="2055BE6D" w:rsidRPr="569D37DA">
              <w:rPr>
                <w:sz w:val="22"/>
              </w:rPr>
              <w:t xml:space="preserve">his approach was informed </w:t>
            </w:r>
            <w:r w:rsidR="2055BE6D" w:rsidRPr="503615B2">
              <w:rPr>
                <w:sz w:val="22"/>
              </w:rPr>
              <w:t>through consultation with</w:t>
            </w:r>
            <w:r w:rsidR="2055BE6D" w:rsidRPr="6F680F89">
              <w:rPr>
                <w:rStyle w:val="normaltextrun"/>
                <w:sz w:val="22"/>
              </w:rPr>
              <w:t xml:space="preserve"> </w:t>
            </w:r>
            <w:r w:rsidR="685332B6" w:rsidRPr="6F680F89">
              <w:rPr>
                <w:rStyle w:val="normaltextrun"/>
                <w:sz w:val="22"/>
              </w:rPr>
              <w:t xml:space="preserve">Business New Zealand, the </w:t>
            </w:r>
            <w:r w:rsidR="685332B6" w:rsidRPr="6F680F89">
              <w:rPr>
                <w:sz w:val="22"/>
              </w:rPr>
              <w:t xml:space="preserve">Council of Trade Unions, the Auckland Chamber of Commerce, and Pacific, </w:t>
            </w:r>
            <w:proofErr w:type="gramStart"/>
            <w:r w:rsidR="685332B6" w:rsidRPr="6F680F89">
              <w:rPr>
                <w:sz w:val="22"/>
              </w:rPr>
              <w:t>Māori</w:t>
            </w:r>
            <w:proofErr w:type="gramEnd"/>
            <w:r w:rsidR="685332B6" w:rsidRPr="6F680F89">
              <w:rPr>
                <w:sz w:val="22"/>
              </w:rPr>
              <w:t xml:space="preserve"> and Iwi business leaders in developing the RSP. Inland Revenue also engaged with the Corporate Taxpayers Group and the Chartered Accountants Australia and New Zealand. </w:t>
            </w:r>
          </w:p>
          <w:p w14:paraId="551D5090" w14:textId="4F188B64" w:rsidR="0079590F" w:rsidRPr="0074513F" w:rsidRDefault="3BB4CE3D" w:rsidP="00E14870">
            <w:pPr>
              <w:pStyle w:val="TSYList"/>
              <w:numPr>
                <w:ilvl w:val="0"/>
                <w:numId w:val="0"/>
              </w:numPr>
              <w:spacing w:before="0" w:after="120"/>
            </w:pPr>
            <w:r>
              <w:t xml:space="preserve">The engagement on the specific design aspects of the </w:t>
            </w:r>
            <w:r w:rsidR="00940ACB">
              <w:t>RSP</w:t>
            </w:r>
            <w:r>
              <w:t xml:space="preserve"> followed several </w:t>
            </w:r>
            <w:proofErr w:type="gramStart"/>
            <w:r>
              <w:t>months’</w:t>
            </w:r>
            <w:proofErr w:type="gramEnd"/>
            <w:r>
              <w:t xml:space="preserve"> of conversations between the Treasury and these stakeholders on the impacts of higher Alert Levels and border settings on different sectors. There was extremely strong consensus from across the spectrum that providing greater certainty on the nature of Government support in the event higher Alert Levels were in place would be critical for businesses to plan and right-size smoothly. The RSP responded to this consistent message. </w:t>
            </w:r>
          </w:p>
          <w:p w14:paraId="35DBBB4D" w14:textId="5B7C0CC2" w:rsidR="004C33F3" w:rsidRPr="0074513F" w:rsidRDefault="685332B6" w:rsidP="00940ACB">
            <w:pPr>
              <w:pStyle w:val="TSYList"/>
              <w:numPr>
                <w:ilvl w:val="0"/>
                <w:numId w:val="0"/>
              </w:numPr>
              <w:spacing w:before="0" w:after="120"/>
            </w:pPr>
            <w:r>
              <w:t>Stakeholders were broadly supportive of the approach to create greater certainty on the landscape of government support, and particularly welcoming of measures that would address non-wage costs in addition to the costs cove</w:t>
            </w:r>
            <w:r w:rsidR="00940ACB">
              <w:t xml:space="preserve">red by the Wage Subsidy Scheme. </w:t>
            </w:r>
            <w:r>
              <w:t xml:space="preserve">There was strong feedback that the integrity of the schemes will be critical, with both Māori and Pacific business leaders raising concerns about possible gaming of support available. It was suggested that the communications approach to the package should be accompanied with clear guidance to maximise accessibility of the schemes, and partnerships with trusted community channels would aid access to the schemes and be critical in helping </w:t>
            </w:r>
            <w:r w:rsidRPr="3A5360FD">
              <w:rPr>
                <w:rStyle w:val="normaltextrun"/>
              </w:rPr>
              <w:t xml:space="preserve">SMEs – which would likely be most vulnerable – prepare now for future outbreaks. </w:t>
            </w:r>
            <w:r w:rsidR="10AA0B31">
              <w:t xml:space="preserve">This feedback has fed into the policy design and operational implementation of the Payment. </w:t>
            </w:r>
          </w:p>
        </w:tc>
      </w:tr>
    </w:tbl>
    <w:p w14:paraId="18D04CED" w14:textId="1279C055" w:rsidR="002428A4" w:rsidRDefault="002428A4" w:rsidP="0049234F">
      <w:pPr>
        <w:pStyle w:val="spacer"/>
      </w:pPr>
    </w:p>
    <w:p w14:paraId="63D43333" w14:textId="5EBD1FD1" w:rsidR="00362498" w:rsidRDefault="00362498" w:rsidP="0049234F">
      <w:pPr>
        <w:pStyle w:val="spacer"/>
      </w:pPr>
    </w:p>
    <w:p w14:paraId="187A6B2C" w14:textId="77777777" w:rsidR="00362498" w:rsidRDefault="00362498" w:rsidP="0049234F">
      <w:pPr>
        <w:pStyle w:val="spacer"/>
      </w:pPr>
    </w:p>
    <w:tbl>
      <w:tblPr>
        <w:tblW w:w="4885" w:type="pct"/>
        <w:tblInd w:w="10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shd w:val="clear" w:color="auto" w:fill="ACB9CA"/>
        <w:tblLook w:val="04A0" w:firstRow="1" w:lastRow="0" w:firstColumn="1" w:lastColumn="0" w:noHBand="0" w:noVBand="1"/>
      </w:tblPr>
      <w:tblGrid>
        <w:gridCol w:w="8852"/>
      </w:tblGrid>
      <w:tr w:rsidR="0049467D" w:rsidRPr="0049467D" w14:paraId="1F9490BE" w14:textId="77777777" w:rsidTr="00346B30">
        <w:trPr>
          <w:trHeight w:val="141"/>
        </w:trPr>
        <w:tc>
          <w:tcPr>
            <w:tcW w:w="5000" w:type="pct"/>
            <w:shd w:val="clear" w:color="auto" w:fill="99CDDD"/>
            <w:hideMark/>
          </w:tcPr>
          <w:p w14:paraId="0A23EF00" w14:textId="1FC4473F" w:rsidR="0062657E" w:rsidRPr="0049467D" w:rsidRDefault="002428A4" w:rsidP="002428A4">
            <w:pPr>
              <w:keepNext/>
              <w:keepLines/>
              <w:spacing w:before="60" w:after="60" w:line="240" w:lineRule="auto"/>
              <w:rPr>
                <w:rFonts w:cs="Arial"/>
                <w:b/>
                <w:szCs w:val="22"/>
                <w:lang w:eastAsia="en-AU"/>
              </w:rPr>
            </w:pPr>
            <w:r>
              <w:br w:type="page"/>
            </w:r>
            <w:r w:rsidR="00F05AD9">
              <w:rPr>
                <w:rFonts w:cs="Arial"/>
                <w:b/>
                <w:szCs w:val="22"/>
                <w:lang w:eastAsia="en-AU"/>
              </w:rPr>
              <w:t xml:space="preserve">5.2   </w:t>
            </w:r>
            <w:r w:rsidR="0062657E" w:rsidRPr="0049467D">
              <w:rPr>
                <w:rFonts w:cs="Arial"/>
                <w:b/>
                <w:szCs w:val="22"/>
                <w:lang w:eastAsia="en-AU"/>
              </w:rPr>
              <w:t>Summary table of costs and benefits of the preferred approach</w:t>
            </w:r>
          </w:p>
        </w:tc>
      </w:tr>
    </w:tbl>
    <w:p w14:paraId="4C43DA22" w14:textId="77777777" w:rsidR="0049234F" w:rsidRPr="0049467D" w:rsidRDefault="0049234F" w:rsidP="0049234F">
      <w:pPr>
        <w:pStyle w:val="spacer"/>
      </w:pPr>
    </w:p>
    <w:tbl>
      <w:tblPr>
        <w:tblpPr w:leftFromText="180" w:rightFromText="180" w:vertAnchor="text" w:tblpX="114" w:tblpY="1"/>
        <w:tblOverlap w:val="never"/>
        <w:tblW w:w="9081"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4A0" w:firstRow="1" w:lastRow="0" w:firstColumn="1" w:lastColumn="0" w:noHBand="0" w:noVBand="1"/>
      </w:tblPr>
      <w:tblGrid>
        <w:gridCol w:w="1874"/>
        <w:gridCol w:w="3544"/>
        <w:gridCol w:w="2268"/>
        <w:gridCol w:w="1395"/>
      </w:tblGrid>
      <w:tr w:rsidR="0049467D" w:rsidRPr="0049467D" w14:paraId="1CEC7574" w14:textId="77777777" w:rsidTr="65AF48E6">
        <w:trPr>
          <w:trHeight w:val="732"/>
        </w:trPr>
        <w:tc>
          <w:tcPr>
            <w:tcW w:w="1874" w:type="dxa"/>
            <w:tcBorders>
              <w:top w:val="single" w:sz="4" w:space="0" w:color="DDDDDD"/>
              <w:left w:val="single" w:sz="4" w:space="0" w:color="DDDDDD"/>
              <w:bottom w:val="single" w:sz="4" w:space="0" w:color="DDDDDD"/>
              <w:right w:val="single" w:sz="4" w:space="0" w:color="DDDDDD"/>
            </w:tcBorders>
            <w:shd w:val="clear" w:color="auto" w:fill="99CDDD"/>
          </w:tcPr>
          <w:p w14:paraId="62141F52" w14:textId="77777777" w:rsidR="0062657E" w:rsidRPr="0049467D" w:rsidRDefault="0062657E" w:rsidP="002428A4">
            <w:pPr>
              <w:pStyle w:val="TableText"/>
              <w:autoSpaceDE/>
              <w:autoSpaceDN/>
              <w:adjustRightInd/>
              <w:spacing w:line="240" w:lineRule="auto"/>
              <w:rPr>
                <w:rFonts w:eastAsia="Calibri" w:cs="Arial"/>
                <w:sz w:val="22"/>
              </w:rPr>
            </w:pPr>
            <w:r w:rsidRPr="0049467D">
              <w:rPr>
                <w:rFonts w:eastAsia="Calibri" w:cs="Arial"/>
                <w:b/>
                <w:sz w:val="22"/>
              </w:rPr>
              <w:t>Affected parties</w:t>
            </w:r>
            <w:r w:rsidRPr="0049467D">
              <w:rPr>
                <w:rFonts w:eastAsia="Calibri" w:cs="Arial"/>
                <w:sz w:val="22"/>
              </w:rPr>
              <w:t xml:space="preserve"> </w:t>
            </w:r>
            <w:r w:rsidRPr="0049467D">
              <w:rPr>
                <w:rFonts w:eastAsia="Calibri" w:cs="Arial"/>
                <w:i/>
                <w:sz w:val="22"/>
              </w:rPr>
              <w:t>(identify)</w:t>
            </w:r>
          </w:p>
        </w:tc>
        <w:tc>
          <w:tcPr>
            <w:tcW w:w="3544" w:type="dxa"/>
            <w:tcBorders>
              <w:top w:val="single" w:sz="4" w:space="0" w:color="DDDDDD"/>
              <w:left w:val="single" w:sz="4" w:space="0" w:color="DDDDDD"/>
              <w:bottom w:val="single" w:sz="4" w:space="0" w:color="DDDDDD"/>
              <w:right w:val="single" w:sz="4" w:space="0" w:color="DDDDDD"/>
            </w:tcBorders>
            <w:shd w:val="clear" w:color="auto" w:fill="99CDDD"/>
          </w:tcPr>
          <w:p w14:paraId="390265E1" w14:textId="739EA077" w:rsidR="0062657E" w:rsidRPr="0049467D" w:rsidRDefault="0062657E" w:rsidP="00431CA7">
            <w:pPr>
              <w:pStyle w:val="TableText"/>
              <w:autoSpaceDE/>
              <w:autoSpaceDN/>
              <w:adjustRightInd/>
              <w:spacing w:line="240" w:lineRule="auto"/>
              <w:rPr>
                <w:rFonts w:eastAsia="Calibri" w:cs="Arial"/>
                <w:sz w:val="22"/>
              </w:rPr>
            </w:pPr>
            <w:r w:rsidRPr="0049467D">
              <w:rPr>
                <w:rFonts w:eastAsia="Calibri" w:cs="Arial"/>
                <w:b/>
                <w:sz w:val="22"/>
              </w:rPr>
              <w:t>Comment</w:t>
            </w:r>
            <w:r w:rsidRPr="0049467D">
              <w:rPr>
                <w:rFonts w:eastAsia="Calibri" w:cs="Arial"/>
                <w:i/>
                <w:sz w:val="22"/>
              </w:rPr>
              <w:t>: nature of cost or benefit (</w:t>
            </w:r>
            <w:proofErr w:type="spellStart"/>
            <w:r w:rsidRPr="0049467D">
              <w:rPr>
                <w:rFonts w:eastAsia="Calibri" w:cs="Arial"/>
                <w:i/>
                <w:sz w:val="22"/>
              </w:rPr>
              <w:t>eg</w:t>
            </w:r>
            <w:proofErr w:type="spellEnd"/>
            <w:r w:rsidR="00431CA7">
              <w:rPr>
                <w:rFonts w:eastAsia="Calibri" w:cs="Arial"/>
                <w:i/>
                <w:sz w:val="22"/>
              </w:rPr>
              <w:t>,</w:t>
            </w:r>
            <w:r w:rsidRPr="0049467D">
              <w:rPr>
                <w:rFonts w:eastAsia="Calibri" w:cs="Arial"/>
                <w:i/>
                <w:sz w:val="22"/>
              </w:rPr>
              <w:t xml:space="preserve"> ongoing, one-off), evidence and assumption (</w:t>
            </w:r>
            <w:proofErr w:type="spellStart"/>
            <w:r w:rsidRPr="0049467D">
              <w:rPr>
                <w:rFonts w:eastAsia="Calibri" w:cs="Arial"/>
                <w:i/>
                <w:sz w:val="22"/>
              </w:rPr>
              <w:t>eg</w:t>
            </w:r>
            <w:proofErr w:type="spellEnd"/>
            <w:r w:rsidR="00431CA7">
              <w:rPr>
                <w:rFonts w:eastAsia="Calibri" w:cs="Arial"/>
                <w:i/>
                <w:sz w:val="22"/>
              </w:rPr>
              <w:t>,</w:t>
            </w:r>
            <w:r w:rsidRPr="0049467D">
              <w:rPr>
                <w:rFonts w:eastAsia="Calibri" w:cs="Arial"/>
                <w:i/>
                <w:sz w:val="22"/>
              </w:rPr>
              <w:t xml:space="preserve"> compliance rates), risks</w:t>
            </w:r>
          </w:p>
        </w:tc>
        <w:tc>
          <w:tcPr>
            <w:tcW w:w="2268" w:type="dxa"/>
            <w:tcBorders>
              <w:top w:val="single" w:sz="4" w:space="0" w:color="DDDDDD"/>
              <w:left w:val="single" w:sz="4" w:space="0" w:color="DDDDDD"/>
              <w:bottom w:val="single" w:sz="4" w:space="0" w:color="DDDDDD"/>
              <w:right w:val="single" w:sz="4" w:space="0" w:color="DDDDDD"/>
            </w:tcBorders>
            <w:shd w:val="clear" w:color="auto" w:fill="99CDDD"/>
          </w:tcPr>
          <w:p w14:paraId="2C0B4174" w14:textId="77777777" w:rsidR="0062657E" w:rsidRPr="0049467D" w:rsidRDefault="0062657E" w:rsidP="002428A4">
            <w:pPr>
              <w:pStyle w:val="TableText"/>
              <w:autoSpaceDE/>
              <w:autoSpaceDN/>
              <w:adjustRightInd/>
              <w:spacing w:line="240" w:lineRule="auto"/>
              <w:rPr>
                <w:rFonts w:eastAsia="Calibri" w:cs="Arial"/>
                <w:b/>
                <w:sz w:val="22"/>
              </w:rPr>
            </w:pPr>
            <w:r w:rsidRPr="0049467D">
              <w:rPr>
                <w:rFonts w:eastAsia="Calibri" w:cs="Arial"/>
                <w:b/>
                <w:sz w:val="22"/>
              </w:rPr>
              <w:t>Impact</w:t>
            </w:r>
          </w:p>
          <w:p w14:paraId="46DADB61" w14:textId="67963609" w:rsidR="0062657E" w:rsidRPr="0049467D" w:rsidRDefault="0062657E" w:rsidP="002428A4">
            <w:pPr>
              <w:pStyle w:val="TableText"/>
              <w:autoSpaceDE/>
              <w:autoSpaceDN/>
              <w:adjustRightInd/>
              <w:spacing w:line="240" w:lineRule="auto"/>
              <w:rPr>
                <w:rFonts w:eastAsia="Calibri" w:cs="Arial"/>
                <w:i/>
                <w:sz w:val="22"/>
              </w:rPr>
            </w:pPr>
            <w:r w:rsidRPr="0049467D">
              <w:rPr>
                <w:rFonts w:eastAsia="Calibri" w:cs="Arial"/>
                <w:i/>
                <w:sz w:val="22"/>
              </w:rPr>
              <w:t>$m present value</w:t>
            </w:r>
            <w:r w:rsidR="00B56273">
              <w:rPr>
                <w:rFonts w:eastAsia="Calibri" w:cs="Arial"/>
                <w:i/>
                <w:sz w:val="22"/>
              </w:rPr>
              <w:t xml:space="preserve"> where appropriate</w:t>
            </w:r>
            <w:r w:rsidRPr="0049467D">
              <w:rPr>
                <w:rFonts w:eastAsia="Calibri" w:cs="Arial"/>
                <w:i/>
                <w:sz w:val="22"/>
              </w:rPr>
              <w:t xml:space="preserve">,  for monetised impacts; high, </w:t>
            </w:r>
            <w:proofErr w:type="gramStart"/>
            <w:r w:rsidRPr="0049467D">
              <w:rPr>
                <w:rFonts w:eastAsia="Calibri" w:cs="Arial"/>
                <w:i/>
                <w:sz w:val="22"/>
              </w:rPr>
              <w:t>medium</w:t>
            </w:r>
            <w:proofErr w:type="gramEnd"/>
            <w:r w:rsidRPr="0049467D">
              <w:rPr>
                <w:rFonts w:eastAsia="Calibri" w:cs="Arial"/>
                <w:i/>
                <w:sz w:val="22"/>
              </w:rPr>
              <w:t xml:space="preserve"> or low for non-monetised impacts  </w:t>
            </w:r>
          </w:p>
        </w:tc>
        <w:tc>
          <w:tcPr>
            <w:tcW w:w="1395" w:type="dxa"/>
            <w:tcBorders>
              <w:top w:val="single" w:sz="4" w:space="0" w:color="DDDDDD"/>
              <w:left w:val="single" w:sz="4" w:space="0" w:color="DDDDDD"/>
              <w:bottom w:val="single" w:sz="4" w:space="0" w:color="DDDDDD"/>
              <w:right w:val="single" w:sz="4" w:space="0" w:color="DDDDDD"/>
            </w:tcBorders>
            <w:shd w:val="clear" w:color="auto" w:fill="99CDDD"/>
          </w:tcPr>
          <w:p w14:paraId="551EE2B7" w14:textId="77777777" w:rsidR="0062657E" w:rsidRPr="0049467D" w:rsidRDefault="0062657E" w:rsidP="002428A4">
            <w:pPr>
              <w:pStyle w:val="TableText"/>
              <w:autoSpaceDE/>
              <w:autoSpaceDN/>
              <w:adjustRightInd/>
              <w:spacing w:line="240" w:lineRule="auto"/>
              <w:rPr>
                <w:rFonts w:eastAsia="Calibri" w:cs="Arial"/>
                <w:sz w:val="22"/>
              </w:rPr>
            </w:pPr>
            <w:r w:rsidRPr="0049467D">
              <w:rPr>
                <w:rFonts w:eastAsia="Calibri" w:cs="Arial"/>
                <w:b/>
                <w:sz w:val="22"/>
              </w:rPr>
              <w:t>Evidence</w:t>
            </w:r>
            <w:r w:rsidRPr="0049467D">
              <w:rPr>
                <w:rFonts w:eastAsia="Calibri" w:cs="Arial"/>
                <w:sz w:val="22"/>
              </w:rPr>
              <w:t xml:space="preserve"> </w:t>
            </w:r>
            <w:r w:rsidRPr="0049467D">
              <w:rPr>
                <w:rFonts w:eastAsia="Calibri" w:cs="Arial"/>
                <w:b/>
                <w:sz w:val="22"/>
              </w:rPr>
              <w:t>certainty</w:t>
            </w:r>
            <w:r w:rsidRPr="0049467D">
              <w:rPr>
                <w:rFonts w:eastAsia="Calibri" w:cs="Arial"/>
                <w:sz w:val="22"/>
              </w:rPr>
              <w:t xml:space="preserve"> </w:t>
            </w:r>
            <w:r w:rsidRPr="0049467D">
              <w:rPr>
                <w:rFonts w:eastAsia="Calibri" w:cs="Arial"/>
                <w:i/>
                <w:sz w:val="22"/>
              </w:rPr>
              <w:t xml:space="preserve">(High, </w:t>
            </w:r>
            <w:proofErr w:type="gramStart"/>
            <w:r w:rsidRPr="0049467D">
              <w:rPr>
                <w:rFonts w:eastAsia="Calibri" w:cs="Arial"/>
                <w:i/>
                <w:sz w:val="22"/>
              </w:rPr>
              <w:t>medium</w:t>
            </w:r>
            <w:proofErr w:type="gramEnd"/>
            <w:r w:rsidRPr="0049467D">
              <w:rPr>
                <w:rFonts w:eastAsia="Calibri" w:cs="Arial"/>
                <w:i/>
                <w:sz w:val="22"/>
              </w:rPr>
              <w:t xml:space="preserve"> or low)</w:t>
            </w:r>
            <w:r w:rsidRPr="0049467D">
              <w:rPr>
                <w:rFonts w:eastAsia="Calibri" w:cs="Arial"/>
                <w:sz w:val="22"/>
              </w:rPr>
              <w:t xml:space="preserve"> </w:t>
            </w:r>
          </w:p>
        </w:tc>
      </w:tr>
      <w:tr w:rsidR="0049467D" w:rsidRPr="0049467D" w14:paraId="7F475C6C" w14:textId="77777777" w:rsidTr="65AF48E6">
        <w:trPr>
          <w:trHeight w:val="253"/>
        </w:trPr>
        <w:tc>
          <w:tcPr>
            <w:tcW w:w="9081" w:type="dxa"/>
            <w:gridSpan w:val="4"/>
            <w:tcBorders>
              <w:top w:val="single" w:sz="4" w:space="0" w:color="DDDDDD"/>
              <w:left w:val="nil"/>
              <w:bottom w:val="single" w:sz="4" w:space="0" w:color="DDDDDD"/>
              <w:right w:val="nil"/>
            </w:tcBorders>
          </w:tcPr>
          <w:p w14:paraId="366296FE" w14:textId="77777777" w:rsidR="0062657E" w:rsidRPr="0049467D" w:rsidRDefault="0062657E" w:rsidP="002428A4">
            <w:pPr>
              <w:pStyle w:val="spacer"/>
              <w:keepNext/>
              <w:rPr>
                <w:rFonts w:eastAsia="Calibri"/>
              </w:rPr>
            </w:pPr>
          </w:p>
        </w:tc>
      </w:tr>
      <w:tr w:rsidR="0049467D" w:rsidRPr="0049467D" w14:paraId="087D2DDA" w14:textId="77777777" w:rsidTr="65AF48E6">
        <w:trPr>
          <w:trHeight w:val="253"/>
        </w:trPr>
        <w:tc>
          <w:tcPr>
            <w:tcW w:w="9081" w:type="dxa"/>
            <w:gridSpan w:val="4"/>
            <w:tcBorders>
              <w:top w:val="single" w:sz="4" w:space="0" w:color="DDDDDD"/>
              <w:left w:val="single" w:sz="4" w:space="0" w:color="DDDDDD"/>
              <w:bottom w:val="single" w:sz="4" w:space="0" w:color="DDDDDD"/>
              <w:right w:val="single" w:sz="4" w:space="0" w:color="DDDDDD"/>
            </w:tcBorders>
            <w:shd w:val="clear" w:color="auto" w:fill="99CDDD"/>
          </w:tcPr>
          <w:p w14:paraId="6FB18661" w14:textId="3408F7CB" w:rsidR="0062657E" w:rsidRPr="0049467D" w:rsidRDefault="0062657E" w:rsidP="002428A4">
            <w:pPr>
              <w:keepNext/>
              <w:spacing w:before="40" w:after="20" w:line="276" w:lineRule="auto"/>
              <w:rPr>
                <w:rFonts w:eastAsia="Calibri" w:cs="Arial"/>
                <w:b/>
                <w:szCs w:val="22"/>
              </w:rPr>
            </w:pPr>
            <w:r w:rsidRPr="0049467D">
              <w:rPr>
                <w:rFonts w:eastAsia="Calibri" w:cs="Arial"/>
                <w:b/>
                <w:szCs w:val="22"/>
              </w:rPr>
              <w:t>Additional costs of proposed approach compared to taking no action</w:t>
            </w:r>
          </w:p>
        </w:tc>
      </w:tr>
      <w:tr w:rsidR="0049467D" w:rsidRPr="0049467D" w14:paraId="614CA7F6" w14:textId="77777777" w:rsidTr="65AF48E6">
        <w:trPr>
          <w:trHeight w:val="253"/>
        </w:trPr>
        <w:tc>
          <w:tcPr>
            <w:tcW w:w="1874" w:type="dxa"/>
            <w:tcBorders>
              <w:top w:val="single" w:sz="4" w:space="0" w:color="DDDDDD"/>
              <w:left w:val="single" w:sz="4" w:space="0" w:color="DDDDDD"/>
              <w:bottom w:val="single" w:sz="4" w:space="0" w:color="DDDDDD"/>
              <w:right w:val="single" w:sz="4" w:space="0" w:color="DDDDDD"/>
            </w:tcBorders>
            <w:shd w:val="clear" w:color="auto" w:fill="auto"/>
          </w:tcPr>
          <w:p w14:paraId="4554CC5A" w14:textId="363BDBC9" w:rsidR="0062657E" w:rsidRPr="0049467D" w:rsidRDefault="0062657E" w:rsidP="00944851">
            <w:pPr>
              <w:pStyle w:val="TableText"/>
              <w:keepNext/>
              <w:spacing w:line="240" w:lineRule="auto"/>
              <w:rPr>
                <w:rFonts w:eastAsia="Calibri" w:cs="Arial"/>
                <w:sz w:val="22"/>
              </w:rPr>
            </w:pPr>
            <w:r w:rsidRPr="0049467D">
              <w:rPr>
                <w:rFonts w:eastAsia="Calibri" w:cs="Arial"/>
                <w:sz w:val="22"/>
              </w:rPr>
              <w:t>Regulated parties</w:t>
            </w:r>
            <w:r w:rsidR="002E074F">
              <w:rPr>
                <w:rFonts w:eastAsia="Calibri" w:cs="Arial"/>
                <w:sz w:val="22"/>
              </w:rPr>
              <w:t xml:space="preserve"> (businesses)</w:t>
            </w:r>
          </w:p>
        </w:tc>
        <w:tc>
          <w:tcPr>
            <w:tcW w:w="3544" w:type="dxa"/>
            <w:tcBorders>
              <w:top w:val="single" w:sz="4" w:space="0" w:color="DDDDDD"/>
              <w:left w:val="single" w:sz="4" w:space="0" w:color="DDDDDD"/>
              <w:bottom w:val="single" w:sz="4" w:space="0" w:color="DDDDDD"/>
              <w:right w:val="single" w:sz="4" w:space="0" w:color="DDDDDD"/>
            </w:tcBorders>
            <w:shd w:val="clear" w:color="auto" w:fill="auto"/>
          </w:tcPr>
          <w:p w14:paraId="61306F76" w14:textId="177FC03B" w:rsidR="0062657E" w:rsidRPr="002E074F" w:rsidRDefault="00F32EC5" w:rsidP="00944851">
            <w:pPr>
              <w:pStyle w:val="TableText"/>
              <w:keepNext/>
              <w:spacing w:line="240" w:lineRule="auto"/>
              <w:rPr>
                <w:rFonts w:eastAsia="Calibri" w:cs="Arial"/>
                <w:szCs w:val="20"/>
              </w:rPr>
            </w:pPr>
            <w:r>
              <w:rPr>
                <w:rFonts w:cs="Arial"/>
                <w:szCs w:val="20"/>
              </w:rPr>
              <w:t>Administrative costs of application and navigating more complex financial support environment</w:t>
            </w:r>
          </w:p>
        </w:tc>
        <w:tc>
          <w:tcPr>
            <w:tcW w:w="2268" w:type="dxa"/>
            <w:tcBorders>
              <w:top w:val="single" w:sz="4" w:space="0" w:color="DDDDDD"/>
              <w:left w:val="single" w:sz="4" w:space="0" w:color="DDDDDD"/>
              <w:bottom w:val="single" w:sz="4" w:space="0" w:color="DDDDDD"/>
              <w:right w:val="single" w:sz="4" w:space="0" w:color="DDDDDD"/>
            </w:tcBorders>
            <w:shd w:val="clear" w:color="auto" w:fill="auto"/>
          </w:tcPr>
          <w:p w14:paraId="1A30E8BF" w14:textId="671B7A24" w:rsidR="0062657E" w:rsidRPr="002E074F" w:rsidRDefault="00F32EC5" w:rsidP="00944851">
            <w:pPr>
              <w:pStyle w:val="TableText"/>
              <w:keepNext/>
              <w:spacing w:line="240" w:lineRule="auto"/>
              <w:rPr>
                <w:rFonts w:eastAsia="Calibri" w:cs="Arial"/>
                <w:szCs w:val="20"/>
              </w:rPr>
            </w:pPr>
            <w:r>
              <w:rPr>
                <w:rFonts w:eastAsia="Calibri" w:cs="Arial"/>
                <w:szCs w:val="20"/>
              </w:rPr>
              <w:t>Marginal; not possible to quantify.</w:t>
            </w:r>
          </w:p>
        </w:tc>
        <w:tc>
          <w:tcPr>
            <w:tcW w:w="1395" w:type="dxa"/>
            <w:tcBorders>
              <w:top w:val="single" w:sz="4" w:space="0" w:color="DDDDDD"/>
              <w:left w:val="single" w:sz="4" w:space="0" w:color="DDDDDD"/>
              <w:bottom w:val="single" w:sz="4" w:space="0" w:color="DDDDDD"/>
              <w:right w:val="single" w:sz="4" w:space="0" w:color="DDDDDD"/>
            </w:tcBorders>
            <w:shd w:val="clear" w:color="auto" w:fill="auto"/>
          </w:tcPr>
          <w:p w14:paraId="615DA9EC" w14:textId="30BF1170" w:rsidR="0062657E" w:rsidRPr="002E074F" w:rsidRDefault="002E074F" w:rsidP="00944851">
            <w:pPr>
              <w:pStyle w:val="TableText"/>
              <w:keepNext/>
              <w:spacing w:line="240" w:lineRule="auto"/>
              <w:rPr>
                <w:rFonts w:eastAsia="Calibri" w:cs="Arial"/>
                <w:szCs w:val="20"/>
              </w:rPr>
            </w:pPr>
            <w:r w:rsidRPr="002E074F">
              <w:rPr>
                <w:rFonts w:eastAsia="Calibri" w:cs="Arial"/>
                <w:szCs w:val="20"/>
              </w:rPr>
              <w:t>High</w:t>
            </w:r>
          </w:p>
        </w:tc>
      </w:tr>
      <w:tr w:rsidR="0049467D" w:rsidRPr="0049467D" w14:paraId="6FE696F2" w14:textId="77777777" w:rsidTr="65AF48E6">
        <w:trPr>
          <w:trHeight w:val="253"/>
        </w:trPr>
        <w:tc>
          <w:tcPr>
            <w:tcW w:w="1874" w:type="dxa"/>
            <w:tcBorders>
              <w:top w:val="single" w:sz="4" w:space="0" w:color="DDDDDD"/>
              <w:left w:val="single" w:sz="4" w:space="0" w:color="DDDDDD"/>
              <w:bottom w:val="single" w:sz="4" w:space="0" w:color="DDDDDD"/>
              <w:right w:val="single" w:sz="4" w:space="0" w:color="DDDDDD"/>
            </w:tcBorders>
            <w:shd w:val="clear" w:color="auto" w:fill="auto"/>
          </w:tcPr>
          <w:p w14:paraId="54D4716A" w14:textId="77777777" w:rsidR="0062657E" w:rsidRPr="0049467D" w:rsidRDefault="0062657E" w:rsidP="00944851">
            <w:pPr>
              <w:pStyle w:val="TableText"/>
              <w:keepNext/>
              <w:spacing w:line="240" w:lineRule="auto"/>
              <w:rPr>
                <w:rFonts w:eastAsia="Calibri" w:cs="Arial"/>
                <w:sz w:val="22"/>
              </w:rPr>
            </w:pPr>
            <w:r w:rsidRPr="0049467D">
              <w:rPr>
                <w:rFonts w:eastAsia="Calibri" w:cs="Arial"/>
                <w:sz w:val="22"/>
              </w:rPr>
              <w:t>Regulators</w:t>
            </w:r>
          </w:p>
        </w:tc>
        <w:tc>
          <w:tcPr>
            <w:tcW w:w="3544" w:type="dxa"/>
            <w:tcBorders>
              <w:top w:val="single" w:sz="4" w:space="0" w:color="DDDDDD"/>
              <w:left w:val="single" w:sz="4" w:space="0" w:color="DDDDDD"/>
              <w:bottom w:val="single" w:sz="4" w:space="0" w:color="DDDDDD"/>
              <w:right w:val="single" w:sz="4" w:space="0" w:color="DDDDDD"/>
            </w:tcBorders>
            <w:shd w:val="clear" w:color="auto" w:fill="auto"/>
          </w:tcPr>
          <w:p w14:paraId="750FE2AB" w14:textId="3D7C7055" w:rsidR="0062657E" w:rsidRPr="002E074F" w:rsidRDefault="0081305A" w:rsidP="00944851">
            <w:pPr>
              <w:pStyle w:val="TableText"/>
              <w:keepNext/>
              <w:spacing w:line="240" w:lineRule="auto"/>
              <w:rPr>
                <w:rFonts w:eastAsia="Calibri" w:cs="Arial"/>
                <w:szCs w:val="20"/>
              </w:rPr>
            </w:pPr>
            <w:r w:rsidRPr="002E074F">
              <w:rPr>
                <w:rFonts w:eastAsia="Calibri" w:cs="Arial"/>
                <w:szCs w:val="20"/>
              </w:rPr>
              <w:t>Operational funding</w:t>
            </w:r>
            <w:r w:rsidR="00F32EC5">
              <w:rPr>
                <w:rFonts w:eastAsia="Calibri" w:cs="Arial"/>
                <w:szCs w:val="20"/>
              </w:rPr>
              <w:t xml:space="preserve"> required for Inland Revenue</w:t>
            </w:r>
          </w:p>
        </w:tc>
        <w:tc>
          <w:tcPr>
            <w:tcW w:w="2268" w:type="dxa"/>
            <w:tcBorders>
              <w:top w:val="single" w:sz="4" w:space="0" w:color="DDDDDD"/>
              <w:left w:val="single" w:sz="4" w:space="0" w:color="DDDDDD"/>
              <w:bottom w:val="single" w:sz="4" w:space="0" w:color="DDDDDD"/>
              <w:right w:val="single" w:sz="4" w:space="0" w:color="DDDDDD"/>
            </w:tcBorders>
            <w:shd w:val="clear" w:color="auto" w:fill="auto"/>
          </w:tcPr>
          <w:p w14:paraId="7D77C14A" w14:textId="11F89219" w:rsidR="0062657E" w:rsidRPr="002E074F" w:rsidRDefault="00F32EC5" w:rsidP="00944851">
            <w:pPr>
              <w:pStyle w:val="TableText"/>
              <w:keepNext/>
              <w:spacing w:line="240" w:lineRule="auto"/>
              <w:rPr>
                <w:rFonts w:eastAsia="Calibri" w:cs="Arial"/>
                <w:szCs w:val="20"/>
              </w:rPr>
            </w:pPr>
            <w:r>
              <w:rPr>
                <w:rFonts w:eastAsia="Calibri" w:cs="Arial"/>
                <w:szCs w:val="20"/>
              </w:rPr>
              <w:t xml:space="preserve">Uncertain; depends on nature of resurgence event. </w:t>
            </w:r>
          </w:p>
        </w:tc>
        <w:tc>
          <w:tcPr>
            <w:tcW w:w="1395" w:type="dxa"/>
            <w:tcBorders>
              <w:top w:val="single" w:sz="4" w:space="0" w:color="DDDDDD"/>
              <w:left w:val="single" w:sz="4" w:space="0" w:color="DDDDDD"/>
              <w:bottom w:val="single" w:sz="4" w:space="0" w:color="DDDDDD"/>
              <w:right w:val="single" w:sz="4" w:space="0" w:color="DDDDDD"/>
            </w:tcBorders>
            <w:shd w:val="clear" w:color="auto" w:fill="auto"/>
          </w:tcPr>
          <w:p w14:paraId="763F27CB" w14:textId="51C5878C" w:rsidR="0062657E" w:rsidRPr="002E074F" w:rsidRDefault="00F32EC5" w:rsidP="00944851">
            <w:pPr>
              <w:pStyle w:val="TableText"/>
              <w:keepNext/>
              <w:spacing w:line="240" w:lineRule="auto"/>
              <w:rPr>
                <w:rFonts w:eastAsia="Calibri" w:cs="Arial"/>
                <w:szCs w:val="20"/>
              </w:rPr>
            </w:pPr>
            <w:r w:rsidRPr="002E074F">
              <w:rPr>
                <w:rFonts w:eastAsia="Calibri" w:cs="Arial"/>
                <w:szCs w:val="20"/>
              </w:rPr>
              <w:t>High</w:t>
            </w:r>
          </w:p>
        </w:tc>
      </w:tr>
      <w:tr w:rsidR="0049467D" w:rsidRPr="0049467D" w14:paraId="110DB96F" w14:textId="77777777" w:rsidTr="65AF48E6">
        <w:trPr>
          <w:trHeight w:val="253"/>
        </w:trPr>
        <w:tc>
          <w:tcPr>
            <w:tcW w:w="1874" w:type="dxa"/>
            <w:tcBorders>
              <w:top w:val="single" w:sz="4" w:space="0" w:color="DDDDDD"/>
              <w:left w:val="single" w:sz="4" w:space="0" w:color="DDDDDD"/>
              <w:bottom w:val="single" w:sz="4" w:space="0" w:color="DDDDDD"/>
              <w:right w:val="single" w:sz="4" w:space="0" w:color="DDDDDD"/>
            </w:tcBorders>
            <w:shd w:val="clear" w:color="auto" w:fill="auto"/>
          </w:tcPr>
          <w:p w14:paraId="7C39BA05" w14:textId="77777777" w:rsidR="0062657E" w:rsidRPr="0049467D" w:rsidRDefault="0062657E" w:rsidP="00944851">
            <w:pPr>
              <w:pStyle w:val="TableText"/>
              <w:keepNext/>
              <w:spacing w:line="240" w:lineRule="auto"/>
              <w:rPr>
                <w:rFonts w:eastAsia="Calibri" w:cs="Arial"/>
                <w:sz w:val="22"/>
              </w:rPr>
            </w:pPr>
            <w:r w:rsidRPr="0049467D">
              <w:rPr>
                <w:rFonts w:eastAsia="Calibri" w:cs="Arial"/>
                <w:sz w:val="22"/>
              </w:rPr>
              <w:t>Wider government</w:t>
            </w:r>
          </w:p>
        </w:tc>
        <w:tc>
          <w:tcPr>
            <w:tcW w:w="3544" w:type="dxa"/>
            <w:tcBorders>
              <w:top w:val="single" w:sz="4" w:space="0" w:color="DDDDDD"/>
              <w:left w:val="single" w:sz="4" w:space="0" w:color="DDDDDD"/>
              <w:bottom w:val="single" w:sz="4" w:space="0" w:color="DDDDDD"/>
              <w:right w:val="single" w:sz="4" w:space="0" w:color="DDDDDD"/>
            </w:tcBorders>
            <w:shd w:val="clear" w:color="auto" w:fill="auto"/>
          </w:tcPr>
          <w:p w14:paraId="4DA2589D" w14:textId="032D6684" w:rsidR="0062657E" w:rsidRPr="002E074F" w:rsidRDefault="00F32EC5" w:rsidP="00944851">
            <w:pPr>
              <w:pStyle w:val="TableText"/>
              <w:keepNext/>
              <w:spacing w:line="240" w:lineRule="auto"/>
              <w:rPr>
                <w:rFonts w:eastAsia="Calibri" w:cs="Arial"/>
                <w:szCs w:val="20"/>
              </w:rPr>
            </w:pPr>
            <w:r>
              <w:rPr>
                <w:rFonts w:eastAsia="Calibri" w:cs="Arial"/>
                <w:szCs w:val="20"/>
              </w:rPr>
              <w:t>Increased c</w:t>
            </w:r>
            <w:r w:rsidR="0081305A" w:rsidRPr="002E074F">
              <w:rPr>
                <w:rFonts w:eastAsia="Calibri" w:cs="Arial"/>
                <w:szCs w:val="20"/>
              </w:rPr>
              <w:t xml:space="preserve">omplexity </w:t>
            </w:r>
            <w:r>
              <w:rPr>
                <w:rFonts w:eastAsia="Calibri" w:cs="Arial"/>
                <w:szCs w:val="20"/>
              </w:rPr>
              <w:t>of business support landscape across government</w:t>
            </w:r>
          </w:p>
        </w:tc>
        <w:tc>
          <w:tcPr>
            <w:tcW w:w="2268" w:type="dxa"/>
            <w:tcBorders>
              <w:top w:val="single" w:sz="4" w:space="0" w:color="DDDDDD"/>
              <w:left w:val="single" w:sz="4" w:space="0" w:color="DDDDDD"/>
              <w:bottom w:val="single" w:sz="4" w:space="0" w:color="DDDDDD"/>
              <w:right w:val="single" w:sz="4" w:space="0" w:color="DDDDDD"/>
            </w:tcBorders>
            <w:shd w:val="clear" w:color="auto" w:fill="auto"/>
          </w:tcPr>
          <w:p w14:paraId="682E502E" w14:textId="1EC625E9" w:rsidR="0062657E" w:rsidRPr="002E074F" w:rsidRDefault="0074513F" w:rsidP="00944851">
            <w:pPr>
              <w:pStyle w:val="TableText"/>
              <w:keepNext/>
              <w:spacing w:line="240" w:lineRule="auto"/>
              <w:rPr>
                <w:rFonts w:eastAsia="Calibri" w:cs="Arial"/>
              </w:rPr>
            </w:pPr>
            <w:r w:rsidRPr="65AF48E6">
              <w:rPr>
                <w:rFonts w:eastAsia="Calibri" w:cs="Arial"/>
              </w:rPr>
              <w:t>Fiscal cost dependent on nature of outbreak. $3</w:t>
            </w:r>
            <w:r w:rsidR="00D43849" w:rsidRPr="65AF48E6">
              <w:rPr>
                <w:rFonts w:eastAsia="Calibri" w:cs="Arial"/>
              </w:rPr>
              <w:t>2</w:t>
            </w:r>
            <w:r w:rsidRPr="65AF48E6">
              <w:rPr>
                <w:rFonts w:eastAsia="Calibri" w:cs="Arial"/>
              </w:rPr>
              <w:t>0m estimated for AL2 nationally; $4</w:t>
            </w:r>
            <w:r w:rsidR="007B4EFA" w:rsidRPr="65AF48E6">
              <w:rPr>
                <w:rFonts w:eastAsia="Calibri" w:cs="Arial"/>
              </w:rPr>
              <w:t>0</w:t>
            </w:r>
            <w:r w:rsidRPr="65AF48E6">
              <w:rPr>
                <w:rFonts w:eastAsia="Calibri" w:cs="Arial"/>
              </w:rPr>
              <w:t>0m if AL3 nationally</w:t>
            </w:r>
            <w:r w:rsidR="2E594484" w:rsidRPr="65AF48E6">
              <w:rPr>
                <w:rFonts w:eastAsia="Calibri" w:cs="Arial"/>
              </w:rPr>
              <w:t>.</w:t>
            </w:r>
            <w:r w:rsidRPr="65AF48E6">
              <w:rPr>
                <w:rFonts w:eastAsia="Calibri" w:cs="Arial"/>
              </w:rPr>
              <w:t xml:space="preserve"> </w:t>
            </w:r>
          </w:p>
        </w:tc>
        <w:tc>
          <w:tcPr>
            <w:tcW w:w="1395" w:type="dxa"/>
            <w:tcBorders>
              <w:top w:val="single" w:sz="4" w:space="0" w:color="DDDDDD"/>
              <w:left w:val="single" w:sz="4" w:space="0" w:color="DDDDDD"/>
              <w:bottom w:val="single" w:sz="4" w:space="0" w:color="DDDDDD"/>
              <w:right w:val="single" w:sz="4" w:space="0" w:color="DDDDDD"/>
            </w:tcBorders>
            <w:shd w:val="clear" w:color="auto" w:fill="auto"/>
          </w:tcPr>
          <w:p w14:paraId="53C6EA0C" w14:textId="0B67EF98" w:rsidR="0062657E" w:rsidRPr="002E074F" w:rsidRDefault="00F32EC5" w:rsidP="00944851">
            <w:pPr>
              <w:pStyle w:val="TableText"/>
              <w:keepNext/>
              <w:spacing w:line="240" w:lineRule="auto"/>
              <w:rPr>
                <w:rFonts w:eastAsia="Calibri" w:cs="Arial"/>
                <w:szCs w:val="20"/>
              </w:rPr>
            </w:pPr>
            <w:r>
              <w:rPr>
                <w:rFonts w:eastAsia="Calibri" w:cs="Arial"/>
                <w:szCs w:val="20"/>
              </w:rPr>
              <w:t>Medium</w:t>
            </w:r>
          </w:p>
        </w:tc>
      </w:tr>
      <w:tr w:rsidR="0049467D" w:rsidRPr="0049467D" w14:paraId="00103CB4" w14:textId="77777777" w:rsidTr="65AF48E6">
        <w:trPr>
          <w:trHeight w:val="253"/>
        </w:trPr>
        <w:tc>
          <w:tcPr>
            <w:tcW w:w="1874" w:type="dxa"/>
            <w:tcBorders>
              <w:top w:val="single" w:sz="4" w:space="0" w:color="DDDDDD"/>
              <w:left w:val="single" w:sz="4" w:space="0" w:color="DDDDDD"/>
              <w:bottom w:val="single" w:sz="4" w:space="0" w:color="DDDDDD"/>
              <w:right w:val="single" w:sz="4" w:space="0" w:color="DDDDDD"/>
            </w:tcBorders>
            <w:shd w:val="clear" w:color="auto" w:fill="auto"/>
          </w:tcPr>
          <w:p w14:paraId="568FA074" w14:textId="77777777" w:rsidR="0062657E" w:rsidRPr="0049467D" w:rsidRDefault="0062657E" w:rsidP="00944851">
            <w:pPr>
              <w:pStyle w:val="TableText"/>
              <w:keepNext/>
              <w:spacing w:line="240" w:lineRule="auto"/>
              <w:rPr>
                <w:rFonts w:eastAsia="Calibri" w:cs="Arial"/>
                <w:sz w:val="22"/>
              </w:rPr>
            </w:pPr>
            <w:r w:rsidRPr="0049467D">
              <w:rPr>
                <w:rFonts w:eastAsia="Calibri" w:cs="Arial"/>
                <w:sz w:val="22"/>
              </w:rPr>
              <w:t xml:space="preserve">Other parties </w:t>
            </w:r>
          </w:p>
        </w:tc>
        <w:tc>
          <w:tcPr>
            <w:tcW w:w="3544" w:type="dxa"/>
            <w:tcBorders>
              <w:top w:val="single" w:sz="4" w:space="0" w:color="DDDDDD"/>
              <w:left w:val="single" w:sz="4" w:space="0" w:color="DDDDDD"/>
              <w:bottom w:val="single" w:sz="4" w:space="0" w:color="DDDDDD"/>
              <w:right w:val="single" w:sz="4" w:space="0" w:color="DDDDDD"/>
            </w:tcBorders>
            <w:shd w:val="clear" w:color="auto" w:fill="auto"/>
          </w:tcPr>
          <w:p w14:paraId="5F0B66C5" w14:textId="77777777" w:rsidR="0062657E" w:rsidRPr="002E074F" w:rsidRDefault="0062657E" w:rsidP="00944851">
            <w:pPr>
              <w:pStyle w:val="TableText"/>
              <w:keepNext/>
              <w:spacing w:line="240" w:lineRule="auto"/>
              <w:rPr>
                <w:rFonts w:eastAsia="Calibri" w:cs="Arial"/>
                <w:szCs w:val="20"/>
              </w:rPr>
            </w:pPr>
          </w:p>
        </w:tc>
        <w:tc>
          <w:tcPr>
            <w:tcW w:w="2268" w:type="dxa"/>
            <w:tcBorders>
              <w:top w:val="single" w:sz="4" w:space="0" w:color="DDDDDD"/>
              <w:left w:val="single" w:sz="4" w:space="0" w:color="DDDDDD"/>
              <w:bottom w:val="single" w:sz="4" w:space="0" w:color="DDDDDD"/>
              <w:right w:val="single" w:sz="4" w:space="0" w:color="DDDDDD"/>
            </w:tcBorders>
            <w:shd w:val="clear" w:color="auto" w:fill="auto"/>
          </w:tcPr>
          <w:p w14:paraId="53726B3B" w14:textId="77777777" w:rsidR="0062657E" w:rsidRPr="002E074F" w:rsidRDefault="0062657E" w:rsidP="00944851">
            <w:pPr>
              <w:pStyle w:val="TableText"/>
              <w:keepNext/>
              <w:spacing w:line="240" w:lineRule="auto"/>
              <w:rPr>
                <w:rFonts w:eastAsia="Calibri" w:cs="Arial"/>
                <w:szCs w:val="20"/>
              </w:rPr>
            </w:pPr>
          </w:p>
        </w:tc>
        <w:tc>
          <w:tcPr>
            <w:tcW w:w="1395" w:type="dxa"/>
            <w:tcBorders>
              <w:top w:val="single" w:sz="4" w:space="0" w:color="DDDDDD"/>
              <w:left w:val="single" w:sz="4" w:space="0" w:color="DDDDDD"/>
              <w:bottom w:val="single" w:sz="4" w:space="0" w:color="DDDDDD"/>
              <w:right w:val="single" w:sz="4" w:space="0" w:color="DDDDDD"/>
            </w:tcBorders>
            <w:shd w:val="clear" w:color="auto" w:fill="auto"/>
          </w:tcPr>
          <w:p w14:paraId="6788A434" w14:textId="77777777" w:rsidR="0062657E" w:rsidRPr="002E074F" w:rsidRDefault="0062657E" w:rsidP="00944851">
            <w:pPr>
              <w:pStyle w:val="TableText"/>
              <w:keepNext/>
              <w:spacing w:line="240" w:lineRule="auto"/>
              <w:rPr>
                <w:rFonts w:eastAsia="Calibri" w:cs="Arial"/>
                <w:szCs w:val="20"/>
              </w:rPr>
            </w:pPr>
          </w:p>
        </w:tc>
      </w:tr>
      <w:tr w:rsidR="0049467D" w:rsidRPr="0049467D" w14:paraId="5EEFD2C5" w14:textId="77777777" w:rsidTr="65AF48E6">
        <w:trPr>
          <w:trHeight w:val="253"/>
        </w:trPr>
        <w:tc>
          <w:tcPr>
            <w:tcW w:w="1874" w:type="dxa"/>
            <w:tcBorders>
              <w:top w:val="single" w:sz="4" w:space="0" w:color="DDDDDD"/>
              <w:left w:val="single" w:sz="4" w:space="0" w:color="DDDDDD"/>
              <w:bottom w:val="single" w:sz="4" w:space="0" w:color="DDDDDD"/>
              <w:right w:val="single" w:sz="4" w:space="0" w:color="DDDDDD"/>
            </w:tcBorders>
            <w:shd w:val="clear" w:color="auto" w:fill="auto"/>
          </w:tcPr>
          <w:p w14:paraId="09F588C1" w14:textId="77777777" w:rsidR="0062657E" w:rsidRPr="0049467D" w:rsidRDefault="0062657E" w:rsidP="00944851">
            <w:pPr>
              <w:pStyle w:val="TableText"/>
              <w:keepNext/>
              <w:spacing w:line="240" w:lineRule="auto"/>
              <w:rPr>
                <w:rFonts w:eastAsia="Calibri" w:cs="Arial"/>
                <w:b/>
                <w:sz w:val="22"/>
              </w:rPr>
            </w:pPr>
            <w:r w:rsidRPr="0049467D">
              <w:rPr>
                <w:rFonts w:eastAsia="Calibri" w:cs="Arial"/>
                <w:b/>
                <w:sz w:val="22"/>
              </w:rPr>
              <w:t>Total Monetised Cost</w:t>
            </w:r>
          </w:p>
        </w:tc>
        <w:tc>
          <w:tcPr>
            <w:tcW w:w="3544" w:type="dxa"/>
            <w:tcBorders>
              <w:top w:val="single" w:sz="4" w:space="0" w:color="DDDDDD"/>
              <w:left w:val="single" w:sz="4" w:space="0" w:color="DDDDDD"/>
              <w:bottom w:val="single" w:sz="4" w:space="0" w:color="DDDDDD"/>
              <w:right w:val="single" w:sz="4" w:space="0" w:color="DDDDDD"/>
            </w:tcBorders>
            <w:shd w:val="clear" w:color="auto" w:fill="auto"/>
          </w:tcPr>
          <w:p w14:paraId="2B8C12E8" w14:textId="77777777" w:rsidR="0062657E" w:rsidRPr="002E074F" w:rsidRDefault="0062657E" w:rsidP="00944851">
            <w:pPr>
              <w:pStyle w:val="TableText"/>
              <w:keepNext/>
              <w:spacing w:line="240" w:lineRule="auto"/>
              <w:rPr>
                <w:rFonts w:eastAsia="Calibri" w:cs="Arial"/>
                <w:i/>
                <w:szCs w:val="20"/>
              </w:rPr>
            </w:pPr>
          </w:p>
        </w:tc>
        <w:tc>
          <w:tcPr>
            <w:tcW w:w="2268" w:type="dxa"/>
            <w:tcBorders>
              <w:top w:val="single" w:sz="4" w:space="0" w:color="DDDDDD"/>
              <w:left w:val="single" w:sz="4" w:space="0" w:color="DDDDDD"/>
              <w:bottom w:val="single" w:sz="4" w:space="0" w:color="DDDDDD"/>
              <w:right w:val="single" w:sz="4" w:space="0" w:color="DDDDDD"/>
            </w:tcBorders>
            <w:shd w:val="clear" w:color="auto" w:fill="auto"/>
          </w:tcPr>
          <w:p w14:paraId="37BE17A8" w14:textId="697549E6" w:rsidR="0062657E" w:rsidRPr="002E074F" w:rsidRDefault="0074513F" w:rsidP="00944851">
            <w:pPr>
              <w:pStyle w:val="TableText"/>
              <w:keepNext/>
              <w:spacing w:line="240" w:lineRule="auto"/>
              <w:rPr>
                <w:rFonts w:eastAsia="Calibri" w:cs="Arial"/>
                <w:szCs w:val="20"/>
              </w:rPr>
            </w:pPr>
            <w:r>
              <w:rPr>
                <w:rFonts w:eastAsia="Calibri" w:cs="Arial"/>
                <w:szCs w:val="20"/>
              </w:rPr>
              <w:t>Uncertain (see above)</w:t>
            </w:r>
          </w:p>
        </w:tc>
        <w:tc>
          <w:tcPr>
            <w:tcW w:w="1395" w:type="dxa"/>
            <w:tcBorders>
              <w:top w:val="single" w:sz="4" w:space="0" w:color="DDDDDD"/>
              <w:left w:val="single" w:sz="4" w:space="0" w:color="DDDDDD"/>
              <w:bottom w:val="single" w:sz="4" w:space="0" w:color="DDDDDD"/>
              <w:right w:val="single" w:sz="4" w:space="0" w:color="DDDDDD"/>
            </w:tcBorders>
            <w:shd w:val="clear" w:color="auto" w:fill="auto"/>
          </w:tcPr>
          <w:p w14:paraId="129E5356" w14:textId="13A22F0B" w:rsidR="0062657E" w:rsidRPr="002E074F" w:rsidRDefault="00F32EC5" w:rsidP="00944851">
            <w:pPr>
              <w:pStyle w:val="TableText"/>
              <w:keepNext/>
              <w:spacing w:line="240" w:lineRule="auto"/>
              <w:rPr>
                <w:rFonts w:eastAsia="Calibri" w:cs="Arial"/>
                <w:szCs w:val="20"/>
              </w:rPr>
            </w:pPr>
            <w:r w:rsidRPr="002E074F">
              <w:rPr>
                <w:rFonts w:eastAsia="Calibri" w:cs="Arial"/>
                <w:szCs w:val="20"/>
              </w:rPr>
              <w:t>High</w:t>
            </w:r>
          </w:p>
        </w:tc>
      </w:tr>
      <w:tr w:rsidR="0049467D" w:rsidRPr="0049467D" w14:paraId="73F1290E" w14:textId="77777777" w:rsidTr="65AF48E6">
        <w:trPr>
          <w:trHeight w:val="253"/>
        </w:trPr>
        <w:tc>
          <w:tcPr>
            <w:tcW w:w="1874" w:type="dxa"/>
            <w:tcBorders>
              <w:top w:val="single" w:sz="4" w:space="0" w:color="DDDDDD"/>
              <w:left w:val="single" w:sz="4" w:space="0" w:color="DDDDDD"/>
              <w:bottom w:val="single" w:sz="4" w:space="0" w:color="DDDDDD"/>
              <w:right w:val="single" w:sz="4" w:space="0" w:color="DDDDDD"/>
            </w:tcBorders>
            <w:shd w:val="clear" w:color="auto" w:fill="auto"/>
          </w:tcPr>
          <w:p w14:paraId="3175C92D" w14:textId="77777777" w:rsidR="0062657E" w:rsidRPr="0049467D" w:rsidRDefault="0062657E" w:rsidP="00944851">
            <w:pPr>
              <w:pStyle w:val="TableText"/>
              <w:keepNext/>
              <w:spacing w:line="240" w:lineRule="auto"/>
              <w:rPr>
                <w:rFonts w:eastAsia="Calibri" w:cs="Arial"/>
                <w:b/>
                <w:sz w:val="22"/>
              </w:rPr>
            </w:pPr>
            <w:r w:rsidRPr="0049467D">
              <w:rPr>
                <w:rFonts w:eastAsia="Calibri" w:cs="Arial"/>
                <w:b/>
                <w:sz w:val="22"/>
              </w:rPr>
              <w:t xml:space="preserve">Non-monetised costs </w:t>
            </w:r>
          </w:p>
        </w:tc>
        <w:tc>
          <w:tcPr>
            <w:tcW w:w="3544" w:type="dxa"/>
            <w:tcBorders>
              <w:top w:val="single" w:sz="4" w:space="0" w:color="DDDDDD"/>
              <w:left w:val="single" w:sz="4" w:space="0" w:color="DDDDDD"/>
              <w:bottom w:val="single" w:sz="4" w:space="0" w:color="DDDDDD"/>
              <w:right w:val="single" w:sz="4" w:space="0" w:color="DDDDDD"/>
            </w:tcBorders>
            <w:shd w:val="clear" w:color="auto" w:fill="auto"/>
          </w:tcPr>
          <w:p w14:paraId="0EB3959F" w14:textId="77777777" w:rsidR="0062657E" w:rsidRPr="0049467D" w:rsidRDefault="0062657E" w:rsidP="00944851">
            <w:pPr>
              <w:pStyle w:val="TableText"/>
              <w:keepNext/>
              <w:spacing w:line="240" w:lineRule="auto"/>
              <w:rPr>
                <w:rFonts w:eastAsia="Calibri" w:cs="Arial"/>
                <w:i/>
                <w:sz w:val="22"/>
              </w:rPr>
            </w:pPr>
          </w:p>
        </w:tc>
        <w:tc>
          <w:tcPr>
            <w:tcW w:w="2268" w:type="dxa"/>
            <w:tcBorders>
              <w:top w:val="single" w:sz="4" w:space="0" w:color="DDDDDD"/>
              <w:left w:val="single" w:sz="4" w:space="0" w:color="DDDDDD"/>
              <w:bottom w:val="single" w:sz="4" w:space="0" w:color="DDDDDD"/>
              <w:right w:val="single" w:sz="4" w:space="0" w:color="DDDDDD"/>
            </w:tcBorders>
            <w:shd w:val="clear" w:color="auto" w:fill="auto"/>
          </w:tcPr>
          <w:p w14:paraId="1A7FB92D" w14:textId="04B4BB80" w:rsidR="0062657E" w:rsidRPr="0074513F" w:rsidRDefault="00F32EC5" w:rsidP="00944851">
            <w:pPr>
              <w:pStyle w:val="TableText"/>
              <w:keepNext/>
              <w:spacing w:line="240" w:lineRule="auto"/>
              <w:rPr>
                <w:rFonts w:eastAsia="Calibri" w:cs="Arial"/>
                <w:sz w:val="22"/>
              </w:rPr>
            </w:pPr>
            <w:r w:rsidRPr="0074513F">
              <w:rPr>
                <w:rFonts w:eastAsia="Calibri" w:cs="Arial"/>
                <w:sz w:val="22"/>
              </w:rPr>
              <w:t>L</w:t>
            </w:r>
            <w:r w:rsidR="0074513F">
              <w:rPr>
                <w:rFonts w:eastAsia="Calibri" w:cs="Arial"/>
                <w:sz w:val="22"/>
              </w:rPr>
              <w:t>ow</w:t>
            </w:r>
          </w:p>
        </w:tc>
        <w:tc>
          <w:tcPr>
            <w:tcW w:w="1395" w:type="dxa"/>
            <w:tcBorders>
              <w:top w:val="single" w:sz="4" w:space="0" w:color="DDDDDD"/>
              <w:left w:val="single" w:sz="4" w:space="0" w:color="DDDDDD"/>
              <w:bottom w:val="single" w:sz="4" w:space="0" w:color="DDDDDD"/>
              <w:right w:val="single" w:sz="4" w:space="0" w:color="DDDDDD"/>
            </w:tcBorders>
            <w:shd w:val="clear" w:color="auto" w:fill="auto"/>
          </w:tcPr>
          <w:p w14:paraId="30EFA09B" w14:textId="3C5A370F" w:rsidR="0062657E" w:rsidRPr="0049467D" w:rsidRDefault="00F32EC5" w:rsidP="00944851">
            <w:pPr>
              <w:pStyle w:val="TableText"/>
              <w:keepNext/>
              <w:spacing w:line="240" w:lineRule="auto"/>
              <w:rPr>
                <w:rFonts w:eastAsia="Calibri" w:cs="Arial"/>
                <w:sz w:val="22"/>
              </w:rPr>
            </w:pPr>
            <w:r>
              <w:rPr>
                <w:rFonts w:eastAsia="Calibri" w:cs="Arial"/>
                <w:szCs w:val="20"/>
              </w:rPr>
              <w:t>Medium</w:t>
            </w:r>
          </w:p>
        </w:tc>
      </w:tr>
    </w:tbl>
    <w:p w14:paraId="05C0FA9F" w14:textId="77777777" w:rsidR="0062657E" w:rsidRPr="0049467D" w:rsidRDefault="0062657E" w:rsidP="0049234F">
      <w:pPr>
        <w:pStyle w:val="spacer"/>
      </w:pPr>
    </w:p>
    <w:tbl>
      <w:tblPr>
        <w:tblpPr w:leftFromText="180" w:rightFromText="180" w:vertAnchor="text" w:tblpX="114" w:tblpY="1"/>
        <w:tblOverlap w:val="never"/>
        <w:tblW w:w="9081"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ayout w:type="fixed"/>
        <w:tblLook w:val="04A0" w:firstRow="1" w:lastRow="0" w:firstColumn="1" w:lastColumn="0" w:noHBand="0" w:noVBand="1"/>
      </w:tblPr>
      <w:tblGrid>
        <w:gridCol w:w="1874"/>
        <w:gridCol w:w="3685"/>
        <w:gridCol w:w="2233"/>
        <w:gridCol w:w="1289"/>
      </w:tblGrid>
      <w:tr w:rsidR="0049467D" w:rsidRPr="0049467D" w14:paraId="65DA5212" w14:textId="77777777" w:rsidTr="44DFE17A">
        <w:trPr>
          <w:trHeight w:val="253"/>
        </w:trPr>
        <w:tc>
          <w:tcPr>
            <w:tcW w:w="9081" w:type="dxa"/>
            <w:gridSpan w:val="4"/>
            <w:shd w:val="clear" w:color="auto" w:fill="99CDDD"/>
          </w:tcPr>
          <w:p w14:paraId="575B550A" w14:textId="0C76E2EA" w:rsidR="0062657E" w:rsidRPr="0049467D" w:rsidRDefault="0062657E" w:rsidP="002428A4">
            <w:pPr>
              <w:spacing w:before="40" w:after="20" w:line="276" w:lineRule="auto"/>
              <w:rPr>
                <w:rFonts w:eastAsia="Calibri" w:cs="Arial"/>
                <w:b/>
                <w:szCs w:val="22"/>
              </w:rPr>
            </w:pPr>
            <w:r w:rsidRPr="0049467D">
              <w:rPr>
                <w:rFonts w:eastAsia="Calibri" w:cs="Arial"/>
                <w:b/>
                <w:szCs w:val="22"/>
              </w:rPr>
              <w:t>Expected benefits of proposed approach compared to taking no action</w:t>
            </w:r>
          </w:p>
        </w:tc>
      </w:tr>
      <w:tr w:rsidR="0049467D" w:rsidRPr="0049467D" w14:paraId="7867468D" w14:textId="77777777" w:rsidTr="00B020FD">
        <w:trPr>
          <w:trHeight w:val="253"/>
        </w:trPr>
        <w:tc>
          <w:tcPr>
            <w:tcW w:w="1874" w:type="dxa"/>
            <w:tcBorders>
              <w:top w:val="single" w:sz="4" w:space="0" w:color="DDDDDD"/>
              <w:left w:val="single" w:sz="4" w:space="0" w:color="DDDDDD"/>
              <w:bottom w:val="single" w:sz="4" w:space="0" w:color="DDDDDD"/>
              <w:right w:val="single" w:sz="4" w:space="0" w:color="DDDDDD"/>
            </w:tcBorders>
            <w:shd w:val="clear" w:color="auto" w:fill="auto"/>
          </w:tcPr>
          <w:p w14:paraId="038B7CE5" w14:textId="77777777" w:rsidR="0062657E" w:rsidRPr="0049467D" w:rsidRDefault="0062657E" w:rsidP="00944851">
            <w:pPr>
              <w:pStyle w:val="TableText"/>
              <w:spacing w:line="240" w:lineRule="auto"/>
              <w:rPr>
                <w:rFonts w:eastAsia="Calibri" w:cs="Arial"/>
                <w:sz w:val="22"/>
              </w:rPr>
            </w:pPr>
            <w:r w:rsidRPr="0049467D">
              <w:rPr>
                <w:rFonts w:eastAsia="Calibri" w:cs="Arial"/>
                <w:sz w:val="22"/>
              </w:rPr>
              <w:t>Regulated parties</w:t>
            </w:r>
          </w:p>
        </w:tc>
        <w:tc>
          <w:tcPr>
            <w:tcW w:w="3685" w:type="dxa"/>
            <w:tcBorders>
              <w:top w:val="single" w:sz="4" w:space="0" w:color="DDDDDD"/>
              <w:left w:val="single" w:sz="4" w:space="0" w:color="DDDDDD"/>
              <w:bottom w:val="single" w:sz="4" w:space="0" w:color="DDDDDD"/>
              <w:right w:val="single" w:sz="4" w:space="0" w:color="DDDDDD"/>
            </w:tcBorders>
            <w:shd w:val="clear" w:color="auto" w:fill="auto"/>
          </w:tcPr>
          <w:p w14:paraId="19431670" w14:textId="0907E04E" w:rsidR="0062657E" w:rsidRPr="0049467D" w:rsidRDefault="00F32EC5" w:rsidP="00944851">
            <w:pPr>
              <w:pStyle w:val="TableText"/>
              <w:spacing w:line="240" w:lineRule="auto"/>
              <w:rPr>
                <w:rFonts w:eastAsia="Calibri" w:cs="Arial"/>
                <w:sz w:val="22"/>
              </w:rPr>
            </w:pPr>
            <w:r w:rsidRPr="00735AEB">
              <w:rPr>
                <w:rFonts w:cs="Arial"/>
                <w:szCs w:val="20"/>
              </w:rPr>
              <w:t>Support firms to pay fixed costs if they are struggling to do so as a result of escalated Alert Levels</w:t>
            </w:r>
          </w:p>
        </w:tc>
        <w:tc>
          <w:tcPr>
            <w:tcW w:w="2233" w:type="dxa"/>
            <w:tcBorders>
              <w:top w:val="single" w:sz="4" w:space="0" w:color="DDDDDD"/>
              <w:left w:val="single" w:sz="4" w:space="0" w:color="DDDDDD"/>
              <w:bottom w:val="single" w:sz="4" w:space="0" w:color="DDDDDD"/>
              <w:right w:val="single" w:sz="4" w:space="0" w:color="DDDDDD"/>
            </w:tcBorders>
            <w:shd w:val="clear" w:color="auto" w:fill="auto"/>
          </w:tcPr>
          <w:p w14:paraId="3B88A909" w14:textId="77777777" w:rsidR="00EE31A0" w:rsidRDefault="00C73C37" w:rsidP="00944851">
            <w:pPr>
              <w:pStyle w:val="TableText"/>
              <w:spacing w:line="240" w:lineRule="auto"/>
              <w:rPr>
                <w:rFonts w:eastAsia="Calibri" w:cs="Arial"/>
                <w:sz w:val="22"/>
              </w:rPr>
            </w:pPr>
            <w:r w:rsidRPr="56106132">
              <w:rPr>
                <w:rFonts w:eastAsia="Calibri" w:cs="Arial"/>
                <w:sz w:val="22"/>
              </w:rPr>
              <w:t xml:space="preserve">The lesser of: </w:t>
            </w:r>
          </w:p>
          <w:p w14:paraId="424B216D" w14:textId="75F3CBF3" w:rsidR="001923E9" w:rsidRPr="00EE31A0" w:rsidRDefault="00F32EC5" w:rsidP="00944851">
            <w:pPr>
              <w:pStyle w:val="TableText"/>
              <w:numPr>
                <w:ilvl w:val="0"/>
                <w:numId w:val="18"/>
              </w:numPr>
              <w:spacing w:line="240" w:lineRule="auto"/>
              <w:ind w:left="285" w:hanging="284"/>
              <w:rPr>
                <w:rFonts w:eastAsia="Calibri" w:cs="Arial"/>
              </w:rPr>
            </w:pPr>
            <w:r w:rsidRPr="44DFE17A">
              <w:rPr>
                <w:rFonts w:eastAsia="Calibri" w:cs="Arial"/>
              </w:rPr>
              <w:t>$1500+</w:t>
            </w:r>
            <w:r w:rsidR="005715C9" w:rsidRPr="44DFE17A">
              <w:rPr>
                <w:rFonts w:eastAsia="Calibri" w:cs="Arial"/>
              </w:rPr>
              <w:t>(</w:t>
            </w:r>
            <w:r w:rsidRPr="44DFE17A">
              <w:rPr>
                <w:rFonts w:eastAsia="Calibri" w:cs="Arial"/>
              </w:rPr>
              <w:t>$400*FTE) up to 50 FTE</w:t>
            </w:r>
            <w:r w:rsidR="00C73C37" w:rsidRPr="44DFE17A">
              <w:rPr>
                <w:rFonts w:eastAsia="Calibri" w:cs="Arial"/>
              </w:rPr>
              <w:t xml:space="preserve">, </w:t>
            </w:r>
            <w:r w:rsidR="1AC06F39" w:rsidRPr="44DFE17A">
              <w:rPr>
                <w:rFonts w:eastAsia="Calibri" w:cs="Arial"/>
              </w:rPr>
              <w:t>or</w:t>
            </w:r>
          </w:p>
          <w:p w14:paraId="3DC097D6" w14:textId="59944ECE" w:rsidR="0062657E" w:rsidRPr="0049467D" w:rsidRDefault="002A2567" w:rsidP="00944851">
            <w:pPr>
              <w:pStyle w:val="TableText"/>
              <w:numPr>
                <w:ilvl w:val="0"/>
                <w:numId w:val="17"/>
              </w:numPr>
              <w:spacing w:line="240" w:lineRule="auto"/>
              <w:ind w:left="285" w:hanging="284"/>
              <w:rPr>
                <w:rFonts w:eastAsia="Calibri" w:cs="Arial"/>
                <w:sz w:val="22"/>
              </w:rPr>
            </w:pPr>
            <w:r w:rsidRPr="56106132">
              <w:rPr>
                <w:rFonts w:eastAsia="Calibri" w:cs="Arial"/>
              </w:rPr>
              <w:t xml:space="preserve">two times the </w:t>
            </w:r>
            <w:r w:rsidR="00FD239B" w:rsidRPr="56106132">
              <w:rPr>
                <w:rFonts w:eastAsia="Calibri" w:cs="Arial"/>
              </w:rPr>
              <w:t>firm’s experienced revenue drop</w:t>
            </w:r>
            <w:r w:rsidR="009C3378">
              <w:rPr>
                <w:rFonts w:eastAsia="Calibri" w:cs="Arial"/>
                <w:szCs w:val="20"/>
              </w:rPr>
              <w:t xml:space="preserve"> over </w:t>
            </w:r>
            <w:r w:rsidR="005A414C">
              <w:rPr>
                <w:rFonts w:eastAsia="Calibri" w:cs="Arial"/>
                <w:szCs w:val="20"/>
              </w:rPr>
              <w:t>the fortnight</w:t>
            </w:r>
          </w:p>
        </w:tc>
        <w:tc>
          <w:tcPr>
            <w:tcW w:w="1289" w:type="dxa"/>
            <w:tcBorders>
              <w:top w:val="single" w:sz="4" w:space="0" w:color="DDDDDD"/>
              <w:left w:val="single" w:sz="4" w:space="0" w:color="DDDDDD"/>
              <w:bottom w:val="single" w:sz="4" w:space="0" w:color="DDDDDD"/>
              <w:right w:val="single" w:sz="4" w:space="0" w:color="DDDDDD"/>
            </w:tcBorders>
            <w:shd w:val="clear" w:color="auto" w:fill="auto"/>
          </w:tcPr>
          <w:p w14:paraId="208DBBB8" w14:textId="2AF79801" w:rsidR="0062657E" w:rsidRPr="0049467D" w:rsidRDefault="00F32EC5" w:rsidP="00944851">
            <w:pPr>
              <w:pStyle w:val="TableText"/>
              <w:spacing w:line="240" w:lineRule="auto"/>
              <w:rPr>
                <w:rFonts w:eastAsia="Calibri" w:cs="Arial"/>
                <w:sz w:val="22"/>
              </w:rPr>
            </w:pPr>
            <w:r w:rsidRPr="002E074F">
              <w:rPr>
                <w:rFonts w:eastAsia="Calibri" w:cs="Arial"/>
                <w:szCs w:val="20"/>
              </w:rPr>
              <w:t>High</w:t>
            </w:r>
          </w:p>
        </w:tc>
      </w:tr>
      <w:tr w:rsidR="0049467D" w:rsidRPr="0049467D" w14:paraId="3BACA667" w14:textId="77777777" w:rsidTr="00B020FD">
        <w:trPr>
          <w:trHeight w:val="253"/>
        </w:trPr>
        <w:tc>
          <w:tcPr>
            <w:tcW w:w="1874" w:type="dxa"/>
            <w:tcBorders>
              <w:top w:val="single" w:sz="4" w:space="0" w:color="DDDDDD"/>
              <w:left w:val="single" w:sz="4" w:space="0" w:color="DDDDDD"/>
              <w:bottom w:val="single" w:sz="4" w:space="0" w:color="DDDDDD"/>
              <w:right w:val="single" w:sz="4" w:space="0" w:color="DDDDDD"/>
            </w:tcBorders>
            <w:shd w:val="clear" w:color="auto" w:fill="auto"/>
          </w:tcPr>
          <w:p w14:paraId="2D0A7EB8" w14:textId="77777777" w:rsidR="0062657E" w:rsidRPr="0049467D" w:rsidRDefault="0062657E" w:rsidP="00944851">
            <w:pPr>
              <w:pStyle w:val="TableText"/>
              <w:spacing w:line="240" w:lineRule="auto"/>
              <w:rPr>
                <w:rFonts w:eastAsia="Calibri" w:cs="Arial"/>
                <w:sz w:val="22"/>
              </w:rPr>
            </w:pPr>
            <w:r w:rsidRPr="0049467D">
              <w:rPr>
                <w:rFonts w:eastAsia="Calibri" w:cs="Arial"/>
                <w:sz w:val="22"/>
              </w:rPr>
              <w:t>Regulators</w:t>
            </w:r>
          </w:p>
        </w:tc>
        <w:tc>
          <w:tcPr>
            <w:tcW w:w="3685" w:type="dxa"/>
            <w:tcBorders>
              <w:top w:val="single" w:sz="4" w:space="0" w:color="DDDDDD"/>
              <w:left w:val="single" w:sz="4" w:space="0" w:color="DDDDDD"/>
              <w:bottom w:val="single" w:sz="4" w:space="0" w:color="DDDDDD"/>
              <w:right w:val="single" w:sz="4" w:space="0" w:color="DDDDDD"/>
            </w:tcBorders>
            <w:shd w:val="clear" w:color="auto" w:fill="auto"/>
          </w:tcPr>
          <w:p w14:paraId="06AC171D" w14:textId="6E1AD829" w:rsidR="0062657E" w:rsidRPr="0049467D" w:rsidRDefault="007470F4" w:rsidP="00944851">
            <w:pPr>
              <w:pStyle w:val="TableText"/>
              <w:spacing w:line="240" w:lineRule="auto"/>
              <w:rPr>
                <w:rFonts w:eastAsia="Calibri" w:cs="Arial"/>
                <w:sz w:val="22"/>
              </w:rPr>
            </w:pPr>
            <w:r>
              <w:rPr>
                <w:rFonts w:eastAsia="Calibri" w:cs="Arial"/>
              </w:rPr>
              <w:t xml:space="preserve">Can contribute to improved tax morale. </w:t>
            </w:r>
            <w:proofErr w:type="gramStart"/>
            <w:r>
              <w:rPr>
                <w:rFonts w:eastAsia="Calibri" w:cs="Arial"/>
              </w:rPr>
              <w:t>Also</w:t>
            </w:r>
            <w:proofErr w:type="gramEnd"/>
            <w:r>
              <w:rPr>
                <w:rFonts w:eastAsia="Calibri" w:cs="Arial"/>
              </w:rPr>
              <w:t xml:space="preserve"> can improve tax compliance by bringing more people into the tax net. </w:t>
            </w:r>
          </w:p>
        </w:tc>
        <w:tc>
          <w:tcPr>
            <w:tcW w:w="2233" w:type="dxa"/>
            <w:tcBorders>
              <w:top w:val="single" w:sz="4" w:space="0" w:color="DDDDDD"/>
              <w:left w:val="single" w:sz="4" w:space="0" w:color="DDDDDD"/>
              <w:bottom w:val="single" w:sz="4" w:space="0" w:color="DDDDDD"/>
              <w:right w:val="single" w:sz="4" w:space="0" w:color="DDDDDD"/>
            </w:tcBorders>
            <w:shd w:val="clear" w:color="auto" w:fill="auto"/>
          </w:tcPr>
          <w:p w14:paraId="12FF64D7" w14:textId="014D8A47" w:rsidR="0062657E" w:rsidRPr="0049467D" w:rsidRDefault="007470F4" w:rsidP="00944851">
            <w:pPr>
              <w:pStyle w:val="TableText"/>
              <w:spacing w:line="240" w:lineRule="auto"/>
              <w:rPr>
                <w:rFonts w:eastAsia="Calibri" w:cs="Arial"/>
                <w:sz w:val="22"/>
              </w:rPr>
            </w:pPr>
            <w:r>
              <w:rPr>
                <w:rFonts w:eastAsia="Calibri" w:cs="Arial"/>
                <w:sz w:val="22"/>
              </w:rPr>
              <w:t xml:space="preserve">Not possible to quantify. </w:t>
            </w:r>
          </w:p>
        </w:tc>
        <w:tc>
          <w:tcPr>
            <w:tcW w:w="1289" w:type="dxa"/>
            <w:tcBorders>
              <w:top w:val="single" w:sz="4" w:space="0" w:color="DDDDDD"/>
              <w:left w:val="single" w:sz="4" w:space="0" w:color="DDDDDD"/>
              <w:bottom w:val="single" w:sz="4" w:space="0" w:color="DDDDDD"/>
              <w:right w:val="single" w:sz="4" w:space="0" w:color="DDDDDD"/>
            </w:tcBorders>
            <w:shd w:val="clear" w:color="auto" w:fill="auto"/>
          </w:tcPr>
          <w:p w14:paraId="6ACC5383" w14:textId="77777777" w:rsidR="0062657E" w:rsidRPr="0049467D" w:rsidRDefault="0062657E" w:rsidP="00944851">
            <w:pPr>
              <w:pStyle w:val="TableText"/>
              <w:spacing w:line="240" w:lineRule="auto"/>
              <w:rPr>
                <w:rFonts w:eastAsia="Calibri" w:cs="Arial"/>
                <w:sz w:val="22"/>
              </w:rPr>
            </w:pPr>
          </w:p>
        </w:tc>
      </w:tr>
      <w:tr w:rsidR="0049467D" w:rsidRPr="0049467D" w14:paraId="3566F6E2" w14:textId="77777777" w:rsidTr="00B020FD">
        <w:trPr>
          <w:trHeight w:val="253"/>
        </w:trPr>
        <w:tc>
          <w:tcPr>
            <w:tcW w:w="1874" w:type="dxa"/>
            <w:tcBorders>
              <w:top w:val="single" w:sz="4" w:space="0" w:color="DDDDDD"/>
              <w:left w:val="single" w:sz="4" w:space="0" w:color="DDDDDD"/>
              <w:bottom w:val="single" w:sz="4" w:space="0" w:color="DDDDDD"/>
              <w:right w:val="single" w:sz="4" w:space="0" w:color="DDDDDD"/>
            </w:tcBorders>
            <w:shd w:val="clear" w:color="auto" w:fill="auto"/>
          </w:tcPr>
          <w:p w14:paraId="697880C7" w14:textId="77777777" w:rsidR="0062657E" w:rsidRPr="0049467D" w:rsidRDefault="0062657E" w:rsidP="00944851">
            <w:pPr>
              <w:pStyle w:val="TableText"/>
              <w:spacing w:line="240" w:lineRule="auto"/>
              <w:rPr>
                <w:rFonts w:eastAsia="Calibri" w:cs="Arial"/>
                <w:sz w:val="22"/>
              </w:rPr>
            </w:pPr>
            <w:r w:rsidRPr="0049467D">
              <w:rPr>
                <w:rFonts w:eastAsia="Calibri" w:cs="Arial"/>
                <w:sz w:val="22"/>
              </w:rPr>
              <w:t>Wider government</w:t>
            </w:r>
          </w:p>
        </w:tc>
        <w:tc>
          <w:tcPr>
            <w:tcW w:w="3685" w:type="dxa"/>
            <w:tcBorders>
              <w:top w:val="single" w:sz="4" w:space="0" w:color="DDDDDD"/>
              <w:left w:val="single" w:sz="4" w:space="0" w:color="DDDDDD"/>
              <w:bottom w:val="single" w:sz="4" w:space="0" w:color="DDDDDD"/>
              <w:right w:val="single" w:sz="4" w:space="0" w:color="DDDDDD"/>
            </w:tcBorders>
            <w:shd w:val="clear" w:color="auto" w:fill="auto"/>
          </w:tcPr>
          <w:p w14:paraId="4EF13772" w14:textId="24CE2F81" w:rsidR="0062657E" w:rsidRPr="00F32EC5" w:rsidRDefault="00F32EC5" w:rsidP="00944851">
            <w:pPr>
              <w:pStyle w:val="TableText"/>
              <w:spacing w:line="240" w:lineRule="auto"/>
              <w:rPr>
                <w:rFonts w:eastAsia="Calibri" w:cs="Arial"/>
              </w:rPr>
            </w:pPr>
            <w:r>
              <w:rPr>
                <w:rFonts w:eastAsia="Calibri" w:cs="Arial"/>
              </w:rPr>
              <w:t>Benefits to the long-term public finances from mitigating scarring effects of reduced demand</w:t>
            </w:r>
          </w:p>
        </w:tc>
        <w:tc>
          <w:tcPr>
            <w:tcW w:w="2233" w:type="dxa"/>
            <w:tcBorders>
              <w:top w:val="single" w:sz="4" w:space="0" w:color="DDDDDD"/>
              <w:left w:val="single" w:sz="4" w:space="0" w:color="DDDDDD"/>
              <w:bottom w:val="single" w:sz="4" w:space="0" w:color="DDDDDD"/>
              <w:right w:val="single" w:sz="4" w:space="0" w:color="DDDDDD"/>
            </w:tcBorders>
            <w:shd w:val="clear" w:color="auto" w:fill="auto"/>
          </w:tcPr>
          <w:p w14:paraId="16E8F27F" w14:textId="32B2F4FD" w:rsidR="0062657E" w:rsidRPr="0049467D" w:rsidRDefault="00B05DF8" w:rsidP="00944851">
            <w:pPr>
              <w:pStyle w:val="TableText"/>
              <w:spacing w:line="240" w:lineRule="auto"/>
              <w:rPr>
                <w:rFonts w:eastAsia="Calibri" w:cs="Arial"/>
                <w:sz w:val="22"/>
              </w:rPr>
            </w:pPr>
            <w:r>
              <w:rPr>
                <w:rFonts w:eastAsia="Calibri" w:cs="Arial"/>
                <w:szCs w:val="20"/>
              </w:rPr>
              <w:t xml:space="preserve">Uncertain; depends on nature of resurgence event. </w:t>
            </w:r>
          </w:p>
        </w:tc>
        <w:tc>
          <w:tcPr>
            <w:tcW w:w="1289" w:type="dxa"/>
            <w:tcBorders>
              <w:top w:val="single" w:sz="4" w:space="0" w:color="DDDDDD"/>
              <w:left w:val="single" w:sz="4" w:space="0" w:color="DDDDDD"/>
              <w:bottom w:val="single" w:sz="4" w:space="0" w:color="DDDDDD"/>
              <w:right w:val="single" w:sz="4" w:space="0" w:color="DDDDDD"/>
            </w:tcBorders>
            <w:shd w:val="clear" w:color="auto" w:fill="auto"/>
          </w:tcPr>
          <w:p w14:paraId="01ABC310" w14:textId="4A4B0C8F" w:rsidR="0062657E" w:rsidRPr="0049467D" w:rsidRDefault="00F32EC5" w:rsidP="00944851">
            <w:pPr>
              <w:pStyle w:val="TableText"/>
              <w:spacing w:line="240" w:lineRule="auto"/>
              <w:rPr>
                <w:rFonts w:eastAsia="Calibri" w:cs="Arial"/>
                <w:sz w:val="22"/>
              </w:rPr>
            </w:pPr>
            <w:r w:rsidRPr="002E074F">
              <w:rPr>
                <w:rFonts w:eastAsia="Calibri" w:cs="Arial"/>
                <w:szCs w:val="20"/>
              </w:rPr>
              <w:t>High</w:t>
            </w:r>
          </w:p>
        </w:tc>
      </w:tr>
      <w:tr w:rsidR="0049467D" w:rsidRPr="0049467D" w14:paraId="5A15EFAD" w14:textId="77777777" w:rsidTr="00B020FD">
        <w:trPr>
          <w:trHeight w:val="253"/>
        </w:trPr>
        <w:tc>
          <w:tcPr>
            <w:tcW w:w="1874" w:type="dxa"/>
            <w:tcBorders>
              <w:top w:val="single" w:sz="4" w:space="0" w:color="DDDDDD"/>
              <w:left w:val="single" w:sz="4" w:space="0" w:color="DDDDDD"/>
              <w:bottom w:val="single" w:sz="4" w:space="0" w:color="DDDDDD"/>
              <w:right w:val="single" w:sz="4" w:space="0" w:color="DDDDDD"/>
            </w:tcBorders>
            <w:shd w:val="clear" w:color="auto" w:fill="auto"/>
          </w:tcPr>
          <w:p w14:paraId="4A1A0D2D" w14:textId="77777777" w:rsidR="0062657E" w:rsidRPr="0049467D" w:rsidRDefault="0062657E" w:rsidP="00944851">
            <w:pPr>
              <w:pStyle w:val="TableText"/>
              <w:spacing w:line="240" w:lineRule="auto"/>
              <w:rPr>
                <w:rFonts w:eastAsia="Calibri" w:cs="Arial"/>
                <w:sz w:val="22"/>
              </w:rPr>
            </w:pPr>
            <w:r w:rsidRPr="0049467D">
              <w:rPr>
                <w:rFonts w:eastAsia="Calibri" w:cs="Arial"/>
                <w:sz w:val="22"/>
              </w:rPr>
              <w:t xml:space="preserve">Other parties </w:t>
            </w:r>
          </w:p>
        </w:tc>
        <w:tc>
          <w:tcPr>
            <w:tcW w:w="3685" w:type="dxa"/>
            <w:tcBorders>
              <w:top w:val="single" w:sz="4" w:space="0" w:color="DDDDDD"/>
              <w:left w:val="single" w:sz="4" w:space="0" w:color="DDDDDD"/>
              <w:bottom w:val="single" w:sz="4" w:space="0" w:color="DDDDDD"/>
              <w:right w:val="single" w:sz="4" w:space="0" w:color="DDDDDD"/>
            </w:tcBorders>
            <w:shd w:val="clear" w:color="auto" w:fill="auto"/>
          </w:tcPr>
          <w:p w14:paraId="6478565B" w14:textId="77777777" w:rsidR="0062657E" w:rsidRPr="0049467D" w:rsidRDefault="0062657E" w:rsidP="00944851">
            <w:pPr>
              <w:pStyle w:val="TableText"/>
              <w:spacing w:line="240" w:lineRule="auto"/>
              <w:rPr>
                <w:rFonts w:eastAsia="Calibri" w:cs="Arial"/>
                <w:sz w:val="22"/>
              </w:rPr>
            </w:pPr>
          </w:p>
        </w:tc>
        <w:tc>
          <w:tcPr>
            <w:tcW w:w="2233" w:type="dxa"/>
            <w:tcBorders>
              <w:top w:val="single" w:sz="4" w:space="0" w:color="DDDDDD"/>
              <w:left w:val="single" w:sz="4" w:space="0" w:color="DDDDDD"/>
              <w:bottom w:val="single" w:sz="4" w:space="0" w:color="DDDDDD"/>
              <w:right w:val="single" w:sz="4" w:space="0" w:color="DDDDDD"/>
            </w:tcBorders>
            <w:shd w:val="clear" w:color="auto" w:fill="auto"/>
          </w:tcPr>
          <w:p w14:paraId="7795C72F" w14:textId="77777777" w:rsidR="0062657E" w:rsidRPr="0049467D" w:rsidRDefault="0062657E" w:rsidP="00944851">
            <w:pPr>
              <w:pStyle w:val="TableText"/>
              <w:spacing w:line="240" w:lineRule="auto"/>
              <w:rPr>
                <w:rFonts w:eastAsia="Calibri" w:cs="Arial"/>
                <w:sz w:val="22"/>
              </w:rPr>
            </w:pPr>
          </w:p>
        </w:tc>
        <w:tc>
          <w:tcPr>
            <w:tcW w:w="1289" w:type="dxa"/>
            <w:tcBorders>
              <w:top w:val="single" w:sz="4" w:space="0" w:color="DDDDDD"/>
              <w:left w:val="single" w:sz="4" w:space="0" w:color="DDDDDD"/>
              <w:bottom w:val="single" w:sz="4" w:space="0" w:color="DDDDDD"/>
              <w:right w:val="single" w:sz="4" w:space="0" w:color="DDDDDD"/>
            </w:tcBorders>
            <w:shd w:val="clear" w:color="auto" w:fill="auto"/>
          </w:tcPr>
          <w:p w14:paraId="48074604" w14:textId="77777777" w:rsidR="0062657E" w:rsidRPr="0049467D" w:rsidRDefault="0062657E" w:rsidP="00944851">
            <w:pPr>
              <w:pStyle w:val="TableText"/>
              <w:spacing w:line="240" w:lineRule="auto"/>
              <w:rPr>
                <w:rFonts w:eastAsia="Calibri" w:cs="Arial"/>
                <w:sz w:val="22"/>
              </w:rPr>
            </w:pPr>
          </w:p>
        </w:tc>
      </w:tr>
      <w:tr w:rsidR="0049467D" w:rsidRPr="0049467D" w14:paraId="4DBCC979" w14:textId="77777777" w:rsidTr="00B020FD">
        <w:trPr>
          <w:trHeight w:val="253"/>
        </w:trPr>
        <w:tc>
          <w:tcPr>
            <w:tcW w:w="1874" w:type="dxa"/>
            <w:tcBorders>
              <w:top w:val="single" w:sz="4" w:space="0" w:color="DDDDDD"/>
              <w:left w:val="single" w:sz="4" w:space="0" w:color="DDDDDD"/>
              <w:bottom w:val="single" w:sz="4" w:space="0" w:color="DDDDDD"/>
              <w:right w:val="single" w:sz="4" w:space="0" w:color="DDDDDD"/>
            </w:tcBorders>
            <w:shd w:val="clear" w:color="auto" w:fill="auto"/>
          </w:tcPr>
          <w:p w14:paraId="1698B317" w14:textId="77777777" w:rsidR="0062657E" w:rsidRPr="0049467D" w:rsidRDefault="0062657E" w:rsidP="00944851">
            <w:pPr>
              <w:pStyle w:val="TableText"/>
              <w:spacing w:line="240" w:lineRule="auto"/>
              <w:rPr>
                <w:rFonts w:eastAsia="Calibri" w:cs="Arial"/>
                <w:b/>
                <w:sz w:val="22"/>
              </w:rPr>
            </w:pPr>
            <w:r w:rsidRPr="0049467D">
              <w:rPr>
                <w:rFonts w:eastAsia="Calibri" w:cs="Arial"/>
                <w:b/>
                <w:sz w:val="22"/>
              </w:rPr>
              <w:t>Total Monetised  Benefit</w:t>
            </w:r>
          </w:p>
        </w:tc>
        <w:tc>
          <w:tcPr>
            <w:tcW w:w="3685" w:type="dxa"/>
            <w:tcBorders>
              <w:top w:val="single" w:sz="4" w:space="0" w:color="DDDDDD"/>
              <w:left w:val="single" w:sz="4" w:space="0" w:color="DDDDDD"/>
              <w:bottom w:val="single" w:sz="4" w:space="0" w:color="DDDDDD"/>
              <w:right w:val="single" w:sz="4" w:space="0" w:color="DDDDDD"/>
            </w:tcBorders>
            <w:shd w:val="clear" w:color="auto" w:fill="auto"/>
          </w:tcPr>
          <w:p w14:paraId="7B1B3AC4" w14:textId="3355FC8C" w:rsidR="0062657E" w:rsidRPr="0049467D" w:rsidRDefault="0062657E" w:rsidP="00944851">
            <w:pPr>
              <w:pStyle w:val="TableText"/>
              <w:spacing w:line="240" w:lineRule="auto"/>
              <w:rPr>
                <w:rFonts w:eastAsia="Calibri" w:cs="Arial"/>
                <w:sz w:val="22"/>
              </w:rPr>
            </w:pPr>
          </w:p>
        </w:tc>
        <w:tc>
          <w:tcPr>
            <w:tcW w:w="2233" w:type="dxa"/>
            <w:tcBorders>
              <w:top w:val="single" w:sz="4" w:space="0" w:color="DDDDDD"/>
              <w:left w:val="single" w:sz="4" w:space="0" w:color="DDDDDD"/>
              <w:bottom w:val="single" w:sz="4" w:space="0" w:color="DDDDDD"/>
              <w:right w:val="single" w:sz="4" w:space="0" w:color="DDDDDD"/>
            </w:tcBorders>
            <w:shd w:val="clear" w:color="auto" w:fill="auto"/>
          </w:tcPr>
          <w:p w14:paraId="5EAA60FF" w14:textId="75F3CBF3" w:rsidR="0062657E" w:rsidRPr="0049467D" w:rsidRDefault="65875281" w:rsidP="00944851">
            <w:pPr>
              <w:pStyle w:val="TableText"/>
              <w:spacing w:line="240" w:lineRule="auto"/>
              <w:rPr>
                <w:rFonts w:eastAsia="Calibri" w:cs="Arial"/>
                <w:sz w:val="22"/>
              </w:rPr>
            </w:pPr>
            <w:r w:rsidRPr="44DFE17A">
              <w:rPr>
                <w:rFonts w:eastAsia="Calibri" w:cs="Arial"/>
                <w:sz w:val="22"/>
              </w:rPr>
              <w:t>Uncertain (see calculations in above box).</w:t>
            </w:r>
          </w:p>
        </w:tc>
        <w:tc>
          <w:tcPr>
            <w:tcW w:w="1289" w:type="dxa"/>
            <w:tcBorders>
              <w:top w:val="single" w:sz="4" w:space="0" w:color="DDDDDD"/>
              <w:left w:val="single" w:sz="4" w:space="0" w:color="DDDDDD"/>
              <w:bottom w:val="single" w:sz="4" w:space="0" w:color="DDDDDD"/>
              <w:right w:val="single" w:sz="4" w:space="0" w:color="DDDDDD"/>
            </w:tcBorders>
            <w:shd w:val="clear" w:color="auto" w:fill="auto"/>
          </w:tcPr>
          <w:p w14:paraId="4957F0C6" w14:textId="77777777" w:rsidR="0062657E" w:rsidRPr="0049467D" w:rsidRDefault="0062657E" w:rsidP="00944851">
            <w:pPr>
              <w:pStyle w:val="TableText"/>
              <w:spacing w:line="240" w:lineRule="auto"/>
              <w:rPr>
                <w:rFonts w:eastAsia="Calibri" w:cs="Arial"/>
                <w:sz w:val="22"/>
              </w:rPr>
            </w:pPr>
          </w:p>
        </w:tc>
      </w:tr>
      <w:tr w:rsidR="0049467D" w:rsidRPr="0049467D" w14:paraId="5C8484A6" w14:textId="77777777" w:rsidTr="00B020FD">
        <w:trPr>
          <w:trHeight w:val="253"/>
        </w:trPr>
        <w:tc>
          <w:tcPr>
            <w:tcW w:w="1874" w:type="dxa"/>
            <w:tcBorders>
              <w:top w:val="single" w:sz="4" w:space="0" w:color="DDDDDD"/>
              <w:left w:val="single" w:sz="4" w:space="0" w:color="DDDDDD"/>
              <w:bottom w:val="single" w:sz="4" w:space="0" w:color="DDDDDD"/>
              <w:right w:val="single" w:sz="4" w:space="0" w:color="DDDDDD"/>
            </w:tcBorders>
            <w:shd w:val="clear" w:color="auto" w:fill="auto"/>
          </w:tcPr>
          <w:p w14:paraId="5E8A1639" w14:textId="77777777" w:rsidR="0062657E" w:rsidRPr="0049467D" w:rsidRDefault="0062657E" w:rsidP="00944851">
            <w:pPr>
              <w:pStyle w:val="TableText"/>
              <w:spacing w:line="240" w:lineRule="auto"/>
              <w:rPr>
                <w:rFonts w:eastAsia="Calibri" w:cs="Arial"/>
                <w:b/>
                <w:sz w:val="22"/>
              </w:rPr>
            </w:pPr>
            <w:r w:rsidRPr="0049467D">
              <w:rPr>
                <w:rFonts w:eastAsia="Calibri" w:cs="Arial"/>
                <w:b/>
                <w:sz w:val="22"/>
              </w:rPr>
              <w:t>Non-monetised benefits</w:t>
            </w:r>
          </w:p>
        </w:tc>
        <w:tc>
          <w:tcPr>
            <w:tcW w:w="3685" w:type="dxa"/>
            <w:tcBorders>
              <w:top w:val="single" w:sz="4" w:space="0" w:color="DDDDDD"/>
              <w:left w:val="single" w:sz="4" w:space="0" w:color="DDDDDD"/>
              <w:bottom w:val="single" w:sz="4" w:space="0" w:color="DDDDDD"/>
              <w:right w:val="single" w:sz="4" w:space="0" w:color="DDDDDD"/>
            </w:tcBorders>
            <w:shd w:val="clear" w:color="auto" w:fill="auto"/>
          </w:tcPr>
          <w:p w14:paraId="72837ECB" w14:textId="77777777" w:rsidR="0062657E" w:rsidRPr="0049467D" w:rsidRDefault="0062657E" w:rsidP="00944851">
            <w:pPr>
              <w:pStyle w:val="TableText"/>
              <w:spacing w:line="240" w:lineRule="auto"/>
              <w:rPr>
                <w:rFonts w:eastAsia="Calibri" w:cs="Arial"/>
                <w:sz w:val="22"/>
              </w:rPr>
            </w:pPr>
          </w:p>
        </w:tc>
        <w:tc>
          <w:tcPr>
            <w:tcW w:w="2233" w:type="dxa"/>
            <w:tcBorders>
              <w:top w:val="single" w:sz="4" w:space="0" w:color="DDDDDD"/>
              <w:left w:val="single" w:sz="4" w:space="0" w:color="DDDDDD"/>
              <w:bottom w:val="single" w:sz="4" w:space="0" w:color="DDDDDD"/>
              <w:right w:val="single" w:sz="4" w:space="0" w:color="DDDDDD"/>
            </w:tcBorders>
            <w:shd w:val="clear" w:color="auto" w:fill="auto"/>
          </w:tcPr>
          <w:p w14:paraId="39A415C7" w14:textId="45A69521" w:rsidR="0062657E" w:rsidRPr="002F32F5" w:rsidRDefault="002F32F5" w:rsidP="00944851">
            <w:pPr>
              <w:pStyle w:val="TableText"/>
              <w:spacing w:line="240" w:lineRule="auto"/>
              <w:rPr>
                <w:rFonts w:eastAsia="Calibri" w:cs="Arial"/>
                <w:sz w:val="22"/>
              </w:rPr>
            </w:pPr>
            <w:r>
              <w:rPr>
                <w:rFonts w:eastAsia="Calibri" w:cs="Arial"/>
                <w:sz w:val="22"/>
              </w:rPr>
              <w:t>High</w:t>
            </w:r>
          </w:p>
        </w:tc>
        <w:tc>
          <w:tcPr>
            <w:tcW w:w="1289" w:type="dxa"/>
            <w:tcBorders>
              <w:top w:val="single" w:sz="4" w:space="0" w:color="DDDDDD"/>
              <w:left w:val="single" w:sz="4" w:space="0" w:color="DDDDDD"/>
              <w:bottom w:val="single" w:sz="4" w:space="0" w:color="DDDDDD"/>
              <w:right w:val="single" w:sz="4" w:space="0" w:color="DDDDDD"/>
            </w:tcBorders>
            <w:shd w:val="clear" w:color="auto" w:fill="auto"/>
          </w:tcPr>
          <w:p w14:paraId="66E439A6" w14:textId="663D7198" w:rsidR="0062657E" w:rsidRPr="0049467D" w:rsidRDefault="002F32F5" w:rsidP="00944851">
            <w:pPr>
              <w:pStyle w:val="TableText"/>
              <w:spacing w:line="240" w:lineRule="auto"/>
              <w:rPr>
                <w:rFonts w:eastAsia="Calibri" w:cs="Arial"/>
                <w:sz w:val="22"/>
              </w:rPr>
            </w:pPr>
            <w:r>
              <w:rPr>
                <w:rFonts w:eastAsia="Calibri" w:cs="Arial"/>
                <w:sz w:val="22"/>
              </w:rPr>
              <w:t>Uncertain</w:t>
            </w:r>
          </w:p>
        </w:tc>
      </w:tr>
    </w:tbl>
    <w:p w14:paraId="62E1AAFF" w14:textId="77777777" w:rsidR="0062657E" w:rsidRPr="0049467D" w:rsidRDefault="0062657E" w:rsidP="0049234F">
      <w:pPr>
        <w:pStyle w:val="spacer"/>
      </w:pPr>
    </w:p>
    <w:tbl>
      <w:tblPr>
        <w:tblW w:w="4885" w:type="pct"/>
        <w:tblInd w:w="10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A0" w:firstRow="1" w:lastRow="0" w:firstColumn="1" w:lastColumn="0" w:noHBand="0" w:noVBand="1"/>
      </w:tblPr>
      <w:tblGrid>
        <w:gridCol w:w="8852"/>
      </w:tblGrid>
      <w:tr w:rsidR="0049467D" w:rsidRPr="0049467D" w14:paraId="25A53985" w14:textId="77777777" w:rsidTr="00346B30">
        <w:trPr>
          <w:trHeight w:val="193"/>
        </w:trPr>
        <w:tc>
          <w:tcPr>
            <w:tcW w:w="5000" w:type="pct"/>
            <w:shd w:val="clear" w:color="auto" w:fill="99CDDD"/>
            <w:hideMark/>
          </w:tcPr>
          <w:p w14:paraId="0669D88C" w14:textId="7C3BF832" w:rsidR="0062657E" w:rsidRPr="0049467D" w:rsidRDefault="00F05AD9" w:rsidP="00DF2E7B">
            <w:pPr>
              <w:pStyle w:val="spacer"/>
              <w:keepNext/>
              <w:spacing w:before="60" w:after="60"/>
              <w:rPr>
                <w:rFonts w:cs="Arial"/>
                <w:b/>
                <w:sz w:val="22"/>
                <w:lang w:val="en-NZ"/>
              </w:rPr>
            </w:pPr>
            <w:r>
              <w:rPr>
                <w:rFonts w:cs="Arial"/>
                <w:b/>
                <w:sz w:val="22"/>
                <w:lang w:val="en-NZ"/>
              </w:rPr>
              <w:t xml:space="preserve">5.3   </w:t>
            </w:r>
            <w:r w:rsidR="0062657E" w:rsidRPr="0049467D">
              <w:rPr>
                <w:rFonts w:cs="Arial"/>
                <w:b/>
                <w:sz w:val="22"/>
                <w:lang w:val="en-NZ"/>
              </w:rPr>
              <w:t>What other impacts is this approach likely to have?</w:t>
            </w:r>
          </w:p>
        </w:tc>
      </w:tr>
      <w:tr w:rsidR="0049467D" w:rsidRPr="0049467D" w14:paraId="058C5F31" w14:textId="77777777" w:rsidTr="00346B30">
        <w:trPr>
          <w:trHeight w:val="833"/>
        </w:trPr>
        <w:tc>
          <w:tcPr>
            <w:tcW w:w="5000" w:type="pct"/>
            <w:shd w:val="clear" w:color="auto" w:fill="EBF5F8"/>
            <w:hideMark/>
          </w:tcPr>
          <w:p w14:paraId="4E9C61CE" w14:textId="0EB60554" w:rsidR="0062657E" w:rsidRPr="00944851" w:rsidRDefault="0062657E" w:rsidP="00944851">
            <w:pPr>
              <w:pStyle w:val="Bullet-list"/>
              <w:rPr>
                <w:rFonts w:cs="Arial"/>
                <w:i/>
                <w:szCs w:val="22"/>
              </w:rPr>
            </w:pPr>
            <w:r w:rsidRPr="00944851">
              <w:rPr>
                <w:rFonts w:cs="Arial"/>
                <w:i/>
                <w:szCs w:val="22"/>
              </w:rPr>
              <w:t xml:space="preserve">Other likely impacts which cannot be included in the table above, </w:t>
            </w:r>
            <w:proofErr w:type="spellStart"/>
            <w:r w:rsidRPr="00944851">
              <w:rPr>
                <w:rFonts w:cs="Arial"/>
                <w:i/>
                <w:szCs w:val="22"/>
              </w:rPr>
              <w:t>eg</w:t>
            </w:r>
            <w:proofErr w:type="spellEnd"/>
            <w:r w:rsidR="00431CA7" w:rsidRPr="00944851">
              <w:rPr>
                <w:rFonts w:cs="Arial"/>
                <w:i/>
                <w:szCs w:val="22"/>
              </w:rPr>
              <w:t>,</w:t>
            </w:r>
            <w:r w:rsidRPr="00944851">
              <w:rPr>
                <w:rFonts w:cs="Arial"/>
                <w:i/>
                <w:szCs w:val="22"/>
              </w:rPr>
              <w:t xml:space="preserve"> because they cannot readily be assigned to a specific stakeholder group, or they cannot clearly be described as costs or benefits</w:t>
            </w:r>
          </w:p>
          <w:p w14:paraId="60610868" w14:textId="77777777" w:rsidR="0062657E" w:rsidRPr="0049467D" w:rsidRDefault="0062657E" w:rsidP="00944851">
            <w:pPr>
              <w:pStyle w:val="Bullet-list"/>
            </w:pPr>
            <w:r w:rsidRPr="00944851">
              <w:rPr>
                <w:rFonts w:cs="Arial"/>
                <w:i/>
                <w:szCs w:val="22"/>
              </w:rPr>
              <w:t>Potential risks and uncertainties</w:t>
            </w:r>
          </w:p>
        </w:tc>
      </w:tr>
      <w:tr w:rsidR="0049467D" w:rsidRPr="0049467D" w14:paraId="0F87CE57" w14:textId="77777777" w:rsidTr="2B460953">
        <w:trPr>
          <w:trHeight w:val="355"/>
        </w:trPr>
        <w:tc>
          <w:tcPr>
            <w:tcW w:w="5000" w:type="pct"/>
            <w:shd w:val="clear" w:color="auto" w:fill="FFFFFF" w:themeFill="background1"/>
          </w:tcPr>
          <w:p w14:paraId="4A1E82AC" w14:textId="1296F1A8" w:rsidR="0049467D" w:rsidRPr="0049467D" w:rsidRDefault="422DFC46" w:rsidP="00944851">
            <w:pPr>
              <w:keepNext/>
              <w:spacing w:after="120" w:line="240" w:lineRule="auto"/>
              <w:rPr>
                <w:rFonts w:cs="Arial"/>
              </w:rPr>
            </w:pPr>
            <w:r w:rsidRPr="32B12D26">
              <w:rPr>
                <w:rFonts w:cs="Arial"/>
              </w:rPr>
              <w:t xml:space="preserve">The counterfactual of not providing this support is unknown. </w:t>
            </w:r>
            <w:r w:rsidRPr="17A46FE6">
              <w:rPr>
                <w:rFonts w:cs="Arial"/>
              </w:rPr>
              <w:t xml:space="preserve">However, the analysis </w:t>
            </w:r>
            <w:r w:rsidRPr="25C29D3C">
              <w:rPr>
                <w:rFonts w:cs="Arial"/>
              </w:rPr>
              <w:t>sighted</w:t>
            </w:r>
            <w:r w:rsidRPr="17A46FE6">
              <w:rPr>
                <w:rFonts w:cs="Arial"/>
              </w:rPr>
              <w:t xml:space="preserve"> in this </w:t>
            </w:r>
            <w:r w:rsidRPr="25C29D3C">
              <w:rPr>
                <w:rFonts w:cs="Arial"/>
              </w:rPr>
              <w:t xml:space="preserve">report </w:t>
            </w:r>
            <w:r w:rsidRPr="53FBD74F">
              <w:rPr>
                <w:rFonts w:cs="Arial"/>
              </w:rPr>
              <w:t>indicates that the scarring effects attached to the risks</w:t>
            </w:r>
            <w:r w:rsidRPr="6690856C">
              <w:rPr>
                <w:rFonts w:cs="Arial"/>
              </w:rPr>
              <w:t xml:space="preserve"> of not </w:t>
            </w:r>
            <w:r w:rsidRPr="54FFD8FA">
              <w:rPr>
                <w:rFonts w:cs="Arial"/>
              </w:rPr>
              <w:t>cu</w:t>
            </w:r>
            <w:r w:rsidR="4EF07452" w:rsidRPr="54FFD8FA">
              <w:rPr>
                <w:rFonts w:cs="Arial"/>
              </w:rPr>
              <w:t>shioning</w:t>
            </w:r>
            <w:r w:rsidR="4EF07452" w:rsidRPr="6690856C">
              <w:rPr>
                <w:rFonts w:cs="Arial"/>
              </w:rPr>
              <w:t xml:space="preserve"> the blow </w:t>
            </w:r>
            <w:r w:rsidR="4F5F3CFC" w:rsidRPr="1CCCB209">
              <w:rPr>
                <w:rFonts w:cs="Arial"/>
              </w:rPr>
              <w:t xml:space="preserve">could be significant, with </w:t>
            </w:r>
            <w:r w:rsidR="4F5F3CFC" w:rsidRPr="64B9D6B1">
              <w:rPr>
                <w:rFonts w:cs="Arial"/>
              </w:rPr>
              <w:t xml:space="preserve">distributional consequences. </w:t>
            </w:r>
            <w:r w:rsidR="4F5F3CFC" w:rsidRPr="47D66AB6">
              <w:rPr>
                <w:rFonts w:cs="Arial"/>
              </w:rPr>
              <w:t>We therefore</w:t>
            </w:r>
            <w:r w:rsidR="4F5F3CFC" w:rsidRPr="64B9D6B1">
              <w:rPr>
                <w:rFonts w:cs="Arial"/>
              </w:rPr>
              <w:t xml:space="preserve"> judge that the provision of the RSP has potential to </w:t>
            </w:r>
            <w:r w:rsidR="4F5F3CFC" w:rsidRPr="0520CACA">
              <w:rPr>
                <w:rFonts w:cs="Arial"/>
              </w:rPr>
              <w:t xml:space="preserve">support the social license </w:t>
            </w:r>
            <w:r w:rsidR="61CAF2C6" w:rsidRPr="1A34FF59">
              <w:rPr>
                <w:rFonts w:cs="Arial"/>
              </w:rPr>
              <w:t>and capital</w:t>
            </w:r>
            <w:r w:rsidR="4F5F3CFC" w:rsidRPr="1A34FF59">
              <w:rPr>
                <w:rFonts w:cs="Arial"/>
              </w:rPr>
              <w:t xml:space="preserve"> </w:t>
            </w:r>
            <w:r w:rsidR="4F5F3CFC" w:rsidRPr="0520CACA">
              <w:rPr>
                <w:rFonts w:cs="Arial"/>
              </w:rPr>
              <w:t xml:space="preserve">needed to </w:t>
            </w:r>
            <w:r w:rsidR="4F5F3CFC" w:rsidRPr="608653A0">
              <w:rPr>
                <w:rFonts w:cs="Arial"/>
              </w:rPr>
              <w:t>maint</w:t>
            </w:r>
            <w:r w:rsidR="345AED53" w:rsidRPr="608653A0">
              <w:rPr>
                <w:rFonts w:cs="Arial"/>
              </w:rPr>
              <w:t>ai</w:t>
            </w:r>
            <w:r w:rsidR="4F5F3CFC" w:rsidRPr="608653A0">
              <w:rPr>
                <w:rFonts w:cs="Arial"/>
              </w:rPr>
              <w:t>n</w:t>
            </w:r>
            <w:r w:rsidR="4F5F3CFC" w:rsidRPr="0520CACA">
              <w:rPr>
                <w:rFonts w:cs="Arial"/>
              </w:rPr>
              <w:t xml:space="preserve"> a </w:t>
            </w:r>
            <w:r w:rsidR="4F5F3CFC" w:rsidRPr="707B2FB1">
              <w:rPr>
                <w:rFonts w:cs="Arial"/>
              </w:rPr>
              <w:t>robust public health response</w:t>
            </w:r>
            <w:r w:rsidR="1333E286" w:rsidRPr="3FD3782D">
              <w:rPr>
                <w:rFonts w:cs="Arial"/>
              </w:rPr>
              <w:t xml:space="preserve">, </w:t>
            </w:r>
            <w:r w:rsidR="58E09006" w:rsidRPr="2FFB0E50">
              <w:rPr>
                <w:rFonts w:cs="Arial"/>
              </w:rPr>
              <w:t>for the benefit of</w:t>
            </w:r>
            <w:r w:rsidR="1333E286" w:rsidRPr="3FD3782D">
              <w:rPr>
                <w:rFonts w:cs="Arial"/>
              </w:rPr>
              <w:t xml:space="preserve"> all New Zealanders</w:t>
            </w:r>
            <w:r w:rsidR="1333E286" w:rsidRPr="4B48E9D2">
              <w:rPr>
                <w:rFonts w:cs="Arial"/>
              </w:rPr>
              <w:t>.</w:t>
            </w:r>
          </w:p>
        </w:tc>
      </w:tr>
    </w:tbl>
    <w:p w14:paraId="25C8FEE6" w14:textId="4E523E0D" w:rsidR="0062657E" w:rsidRPr="0005691A" w:rsidRDefault="0062657E" w:rsidP="00362498">
      <w:pPr>
        <w:pStyle w:val="Heading2"/>
      </w:pPr>
      <w:r w:rsidRPr="0049467D">
        <w:br w:type="page"/>
      </w:r>
      <w:r w:rsidRPr="0005691A">
        <w:t>Section 6:  Implementation and operation</w:t>
      </w:r>
    </w:p>
    <w:tbl>
      <w:tblPr>
        <w:tblW w:w="9072" w:type="dxa"/>
        <w:tblInd w:w="10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80" w:firstRow="0" w:lastRow="0" w:firstColumn="1" w:lastColumn="0" w:noHBand="0" w:noVBand="1"/>
      </w:tblPr>
      <w:tblGrid>
        <w:gridCol w:w="9072"/>
      </w:tblGrid>
      <w:tr w:rsidR="0062657E" w:rsidRPr="000A2B04" w14:paraId="0F494AA8" w14:textId="77777777" w:rsidTr="42A004F7">
        <w:trPr>
          <w:trHeight w:val="77"/>
        </w:trPr>
        <w:tc>
          <w:tcPr>
            <w:tcW w:w="9072" w:type="dxa"/>
            <w:shd w:val="clear" w:color="auto" w:fill="99CDDD"/>
          </w:tcPr>
          <w:p w14:paraId="2AE78796" w14:textId="1888F39E" w:rsidR="0062657E" w:rsidRPr="000A2B04" w:rsidRDefault="0062657E" w:rsidP="00F05AD9">
            <w:pPr>
              <w:spacing w:before="60" w:after="60" w:line="240" w:lineRule="auto"/>
              <w:jc w:val="both"/>
              <w:rPr>
                <w:rFonts w:cs="Arial"/>
                <w:b/>
                <w:color w:val="002060"/>
                <w:lang w:eastAsia="en-AU"/>
              </w:rPr>
            </w:pPr>
            <w:r w:rsidRPr="000A2B04">
              <w:rPr>
                <w:rFonts w:cs="Arial"/>
                <w:b/>
                <w:color w:val="002060"/>
                <w:lang w:eastAsia="en-AU"/>
              </w:rPr>
              <w:br w:type="page"/>
            </w:r>
            <w:r w:rsidR="00F05AD9">
              <w:rPr>
                <w:rFonts w:cs="Arial"/>
                <w:b/>
                <w:lang w:eastAsia="en-AU"/>
              </w:rPr>
              <w:t xml:space="preserve">6.1   </w:t>
            </w:r>
            <w:r w:rsidRPr="006172F1">
              <w:rPr>
                <w:rFonts w:cs="Arial"/>
                <w:b/>
                <w:lang w:eastAsia="en-AU"/>
              </w:rPr>
              <w:t>How will the new arrangements work in practice?</w:t>
            </w:r>
          </w:p>
        </w:tc>
      </w:tr>
      <w:tr w:rsidR="0062657E" w:rsidRPr="0049467D" w14:paraId="189BBD57" w14:textId="77777777" w:rsidTr="42A004F7">
        <w:trPr>
          <w:trHeight w:val="520"/>
        </w:trPr>
        <w:tc>
          <w:tcPr>
            <w:tcW w:w="9072" w:type="dxa"/>
            <w:shd w:val="clear" w:color="auto" w:fill="EBF5F8"/>
          </w:tcPr>
          <w:p w14:paraId="0840357F" w14:textId="10A2EC57" w:rsidR="0062657E" w:rsidRPr="00944851" w:rsidRDefault="0062657E" w:rsidP="00944851">
            <w:pPr>
              <w:pStyle w:val="Bullet-list"/>
              <w:rPr>
                <w:i/>
                <w:iCs/>
              </w:rPr>
            </w:pPr>
            <w:r w:rsidRPr="00944851">
              <w:rPr>
                <w:i/>
                <w:iCs/>
              </w:rPr>
              <w:t>When will the arrangements come into effect? Does this allow sufficient preparation time for regulated parties?</w:t>
            </w:r>
          </w:p>
          <w:p w14:paraId="225100E3" w14:textId="6AAE9C8B" w:rsidR="0062657E" w:rsidRPr="0049467D" w:rsidRDefault="0062657E" w:rsidP="00FA0CB4">
            <w:pPr>
              <w:pStyle w:val="Bullet-list"/>
              <w:numPr>
                <w:ilvl w:val="0"/>
                <w:numId w:val="0"/>
              </w:numPr>
              <w:spacing w:after="120" w:line="276" w:lineRule="auto"/>
              <w:rPr>
                <w:i/>
              </w:rPr>
            </w:pPr>
          </w:p>
        </w:tc>
      </w:tr>
      <w:tr w:rsidR="0062657E" w:rsidRPr="0049467D" w14:paraId="4E05A9E8" w14:textId="77777777" w:rsidTr="42A004F7">
        <w:trPr>
          <w:trHeight w:val="2457"/>
        </w:trPr>
        <w:tc>
          <w:tcPr>
            <w:tcW w:w="9072" w:type="dxa"/>
            <w:shd w:val="clear" w:color="auto" w:fill="auto"/>
          </w:tcPr>
          <w:p w14:paraId="4135263D" w14:textId="364FE2D1" w:rsidR="00E45684" w:rsidRPr="00944851" w:rsidRDefault="00E45684" w:rsidP="00944851">
            <w:pPr>
              <w:pStyle w:val="Bullet-list"/>
              <w:rPr>
                <w:i/>
                <w:iCs/>
              </w:rPr>
            </w:pPr>
            <w:r w:rsidRPr="00944851">
              <w:rPr>
                <w:i/>
                <w:iCs/>
              </w:rPr>
              <w:t xml:space="preserve">How could the preferred option be given effect? </w:t>
            </w:r>
            <w:r w:rsidR="00944851" w:rsidRPr="00944851">
              <w:rPr>
                <w:i/>
                <w:iCs/>
              </w:rPr>
              <w:t>E.</w:t>
            </w:r>
            <w:r w:rsidRPr="00944851">
              <w:rPr>
                <w:i/>
                <w:iCs/>
              </w:rPr>
              <w:t>g</w:t>
            </w:r>
            <w:r w:rsidR="00944851" w:rsidRPr="00944851">
              <w:rPr>
                <w:i/>
                <w:iCs/>
              </w:rPr>
              <w:t>.</w:t>
            </w:r>
            <w:r w:rsidRPr="00944851">
              <w:rPr>
                <w:i/>
                <w:iCs/>
              </w:rPr>
              <w:t xml:space="preserve">, </w:t>
            </w:r>
          </w:p>
          <w:p w14:paraId="2F08D212" w14:textId="77777777" w:rsidR="00E45684" w:rsidRPr="0049467D" w:rsidRDefault="00E45684" w:rsidP="00944851">
            <w:pPr>
              <w:pStyle w:val="Tier2Bullet-list"/>
              <w:numPr>
                <w:ilvl w:val="1"/>
                <w:numId w:val="44"/>
              </w:numPr>
              <w:spacing w:after="120" w:line="240" w:lineRule="auto"/>
              <w:rPr>
                <w:i/>
              </w:rPr>
            </w:pPr>
            <w:r w:rsidRPr="0049467D">
              <w:rPr>
                <w:i/>
              </w:rPr>
              <w:t xml:space="preserve">legislative vehicle </w:t>
            </w:r>
          </w:p>
          <w:p w14:paraId="006FC333" w14:textId="77777777" w:rsidR="00E45684" w:rsidRPr="0049467D" w:rsidRDefault="00E45684" w:rsidP="00944851">
            <w:pPr>
              <w:pStyle w:val="Tier2Bullet-list"/>
              <w:numPr>
                <w:ilvl w:val="1"/>
                <w:numId w:val="44"/>
              </w:numPr>
              <w:spacing w:after="120" w:line="240" w:lineRule="auto"/>
              <w:rPr>
                <w:i/>
              </w:rPr>
            </w:pPr>
            <w:r w:rsidRPr="0049467D">
              <w:rPr>
                <w:i/>
              </w:rPr>
              <w:t xml:space="preserve">communications </w:t>
            </w:r>
          </w:p>
          <w:p w14:paraId="5AA03A04" w14:textId="77777777" w:rsidR="00E45684" w:rsidRPr="0049467D" w:rsidRDefault="00E45684" w:rsidP="00944851">
            <w:pPr>
              <w:pStyle w:val="Tier2Bullet-list"/>
              <w:numPr>
                <w:ilvl w:val="1"/>
                <w:numId w:val="44"/>
              </w:numPr>
              <w:spacing w:after="120" w:line="240" w:lineRule="auto"/>
              <w:rPr>
                <w:i/>
              </w:rPr>
            </w:pPr>
            <w:r w:rsidRPr="0049467D">
              <w:rPr>
                <w:i/>
              </w:rPr>
              <w:t>transitional arrangements.</w:t>
            </w:r>
          </w:p>
          <w:p w14:paraId="5753195D" w14:textId="4458465E" w:rsidR="00E45684" w:rsidRDefault="00E45684" w:rsidP="00944851">
            <w:pPr>
              <w:spacing w:after="120" w:line="240" w:lineRule="auto"/>
              <w:rPr>
                <w:rFonts w:cs="Arial"/>
                <w:szCs w:val="22"/>
              </w:rPr>
            </w:pPr>
            <w:r>
              <w:rPr>
                <w:rFonts w:cs="Arial"/>
                <w:szCs w:val="22"/>
              </w:rPr>
              <w:t>The RSP will be given effect through amendments to the Tax Administration Act 1994</w:t>
            </w:r>
            <w:r w:rsidR="00FA0CB4">
              <w:rPr>
                <w:rFonts w:cs="Arial"/>
                <w:szCs w:val="22"/>
              </w:rPr>
              <w:t xml:space="preserve">, scheduled to be </w:t>
            </w:r>
            <w:r w:rsidR="00194C4D">
              <w:rPr>
                <w:rFonts w:cs="Arial"/>
                <w:szCs w:val="22"/>
              </w:rPr>
              <w:t>introduced</w:t>
            </w:r>
            <w:r w:rsidR="00FA0CB4">
              <w:rPr>
                <w:rFonts w:cs="Arial"/>
                <w:szCs w:val="22"/>
              </w:rPr>
              <w:t xml:space="preserve"> in February 2021</w:t>
            </w:r>
            <w:r>
              <w:rPr>
                <w:rFonts w:cs="Arial"/>
                <w:szCs w:val="22"/>
              </w:rPr>
              <w:t>.</w:t>
            </w:r>
          </w:p>
          <w:p w14:paraId="008332F3" w14:textId="2BFBC377" w:rsidR="00E45684" w:rsidRDefault="6DC3D0C0" w:rsidP="42A004F7">
            <w:pPr>
              <w:spacing w:after="120" w:line="240" w:lineRule="auto"/>
              <w:rPr>
                <w:rFonts w:cs="Arial"/>
              </w:rPr>
            </w:pPr>
            <w:r w:rsidRPr="42A004F7">
              <w:rPr>
                <w:rFonts w:cs="Arial"/>
              </w:rPr>
              <w:t>The RSP was announced on 15 December 2020 and information on eligibility is available on a range of government websites. Cabinet has agreed retrospective payments will be possible in the event there is a resurgence prior</w:t>
            </w:r>
            <w:r w:rsidRPr="42A004F7">
              <w:rPr>
                <w:rFonts w:cs="Arial"/>
                <w:b/>
                <w:bCs/>
              </w:rPr>
              <w:t xml:space="preserve"> </w:t>
            </w:r>
            <w:r w:rsidRPr="42A004F7">
              <w:rPr>
                <w:rFonts w:cs="Arial"/>
              </w:rPr>
              <w:t xml:space="preserve">to </w:t>
            </w:r>
            <w:r w:rsidR="1572E1AF" w:rsidRPr="42A004F7">
              <w:rPr>
                <w:rFonts w:cs="Arial"/>
              </w:rPr>
              <w:t>the application opening date</w:t>
            </w:r>
            <w:r w:rsidRPr="42A004F7">
              <w:rPr>
                <w:rFonts w:cs="Arial"/>
              </w:rPr>
              <w:t xml:space="preserve">, and subject to the legislation being passed. </w:t>
            </w:r>
          </w:p>
          <w:p w14:paraId="4D80A3E8" w14:textId="4EBD10C1" w:rsidR="00E45684" w:rsidRDefault="6DC3D0C0" w:rsidP="42A004F7">
            <w:pPr>
              <w:spacing w:after="120" w:line="240" w:lineRule="auto"/>
              <w:rPr>
                <w:rFonts w:cs="Arial"/>
              </w:rPr>
            </w:pPr>
            <w:r w:rsidRPr="42A004F7">
              <w:rPr>
                <w:rFonts w:cs="Arial"/>
              </w:rPr>
              <w:t xml:space="preserve">In addition, engagement with key business groups including those representing </w:t>
            </w:r>
            <w:r w:rsidR="723E1B53" w:rsidRPr="42A004F7">
              <w:rPr>
                <w:rFonts w:cs="Arial"/>
              </w:rPr>
              <w:t>Māori</w:t>
            </w:r>
            <w:r w:rsidRPr="42A004F7">
              <w:rPr>
                <w:rFonts w:cs="Arial"/>
              </w:rPr>
              <w:t xml:space="preserve"> and Pasifika businesses will be pursued in order to ensure a maximum number of firms are aware of the support available.</w:t>
            </w:r>
          </w:p>
          <w:p w14:paraId="3B24DBE6" w14:textId="6BC115D1" w:rsidR="0062657E" w:rsidRDefault="6DC3D0C0" w:rsidP="42A004F7">
            <w:pPr>
              <w:spacing w:after="120" w:line="240" w:lineRule="auto"/>
              <w:rPr>
                <w:rFonts w:cs="Arial"/>
              </w:rPr>
            </w:pPr>
            <w:r w:rsidRPr="42A004F7">
              <w:rPr>
                <w:rFonts w:cs="Arial"/>
              </w:rPr>
              <w:t>Inland Revenue will be responsible for the ongoing operation and enforcement of the R</w:t>
            </w:r>
            <w:r w:rsidR="7E920737" w:rsidRPr="42A004F7">
              <w:rPr>
                <w:rFonts w:cs="Arial"/>
              </w:rPr>
              <w:t>SP</w:t>
            </w:r>
            <w:r w:rsidRPr="42A004F7">
              <w:rPr>
                <w:rFonts w:cs="Arial"/>
              </w:rPr>
              <w:t xml:space="preserve">. </w:t>
            </w:r>
          </w:p>
          <w:p w14:paraId="51227134" w14:textId="331511FA" w:rsidR="00FA0CB4" w:rsidRPr="00F96D2B" w:rsidRDefault="00FA0CB4" w:rsidP="00944851">
            <w:pPr>
              <w:spacing w:after="120" w:line="240" w:lineRule="auto"/>
              <w:rPr>
                <w:i/>
              </w:rPr>
            </w:pPr>
            <w:r w:rsidRPr="00F96D2B">
              <w:rPr>
                <w:i/>
              </w:rPr>
              <w:t xml:space="preserve">Have the responsible parties confirmed, or identified any concerns with their ability to implement it in a manner consistent with the Government’s ‘Expectations for regulatory stewardship by government agencies’? See </w:t>
            </w:r>
            <w:hyperlink r:id="rId17" w:history="1">
              <w:r w:rsidRPr="00AF65CA">
                <w:rPr>
                  <w:rStyle w:val="Hyperlink"/>
                  <w:i/>
                </w:rPr>
                <w:t>https://treasury.govt.nz/information-and-services/regulation/regulatory-stewardship/good-regulatory-practice</w:t>
              </w:r>
            </w:hyperlink>
          </w:p>
          <w:p w14:paraId="16FE4FDC" w14:textId="3C5835D0" w:rsidR="007470F4" w:rsidRDefault="007470F4" w:rsidP="00944851">
            <w:pPr>
              <w:spacing w:after="120" w:line="240" w:lineRule="auto"/>
              <w:rPr>
                <w:rFonts w:cs="Arial"/>
                <w:szCs w:val="22"/>
              </w:rPr>
            </w:pPr>
            <w:r>
              <w:rPr>
                <w:rFonts w:cs="Arial"/>
                <w:szCs w:val="22"/>
              </w:rPr>
              <w:t xml:space="preserve">Inland Revenue has not identified any concerns with its ability to implement the new arrangements. </w:t>
            </w:r>
          </w:p>
          <w:p w14:paraId="6653317F" w14:textId="77777777" w:rsidR="00E45684" w:rsidRDefault="00FA0CB4" w:rsidP="00944851">
            <w:pPr>
              <w:spacing w:after="120" w:line="240" w:lineRule="auto"/>
              <w:rPr>
                <w:i/>
              </w:rPr>
            </w:pPr>
            <w:r w:rsidRPr="0049467D">
              <w:rPr>
                <w:i/>
              </w:rPr>
              <w:t>How will other agencies with a substantive interest in the relevant regulatory system or stakeholders be involved in the implementation and/or operation?</w:t>
            </w:r>
          </w:p>
          <w:p w14:paraId="1481AE3A" w14:textId="3F122291" w:rsidR="00FA0CB4" w:rsidRPr="00940ACB" w:rsidRDefault="00FA0CB4" w:rsidP="00940ACB">
            <w:pPr>
              <w:spacing w:after="120" w:line="240" w:lineRule="auto"/>
            </w:pPr>
            <w:r>
              <w:t>Design decisions have been delegated by Cabinet to relevant Joint Ministers, including the</w:t>
            </w:r>
            <w:r w:rsidDel="00B0281F">
              <w:t xml:space="preserve"> </w:t>
            </w:r>
            <w:r>
              <w:t xml:space="preserve">Minister of Finance, </w:t>
            </w:r>
            <w:r w:rsidR="00B0281F">
              <w:t xml:space="preserve">Minister of </w:t>
            </w:r>
            <w:r>
              <w:t xml:space="preserve">Revenue, and </w:t>
            </w:r>
            <w:r w:rsidR="00B0281F">
              <w:t xml:space="preserve">Minister </w:t>
            </w:r>
            <w:r>
              <w:t>for Small Business. Interdependencies with complementary support programmes such as the Wage Subsidy are regularly under revi</w:t>
            </w:r>
            <w:r w:rsidR="00940ACB">
              <w:t xml:space="preserve">ew by the Treasury, </w:t>
            </w:r>
            <w:proofErr w:type="gramStart"/>
            <w:r w:rsidR="00940ACB">
              <w:t>IR</w:t>
            </w:r>
            <w:proofErr w:type="gramEnd"/>
            <w:r w:rsidR="00940ACB">
              <w:t xml:space="preserve"> and MSD.</w:t>
            </w:r>
          </w:p>
        </w:tc>
      </w:tr>
    </w:tbl>
    <w:p w14:paraId="4A540405" w14:textId="77777777" w:rsidR="0062657E" w:rsidRDefault="0062657E" w:rsidP="0049234F">
      <w:pPr>
        <w:pStyle w:val="spacer"/>
      </w:pPr>
    </w:p>
    <w:p w14:paraId="1AD74631" w14:textId="77777777" w:rsidR="004C33F3" w:rsidRDefault="004C33F3" w:rsidP="0049234F">
      <w:pPr>
        <w:pStyle w:val="spacer"/>
      </w:pPr>
    </w:p>
    <w:p w14:paraId="4F861402" w14:textId="7A889839" w:rsidR="00940ACB" w:rsidRDefault="00940ACB">
      <w:pPr>
        <w:spacing w:after="0" w:line="240" w:lineRule="auto"/>
        <w:rPr>
          <w:sz w:val="16"/>
          <w:szCs w:val="22"/>
          <w:lang w:eastAsia="en-AU"/>
        </w:rPr>
      </w:pPr>
      <w:r>
        <w:br w:type="page"/>
      </w:r>
    </w:p>
    <w:p w14:paraId="6544B0B3" w14:textId="77777777" w:rsidR="004C33F3" w:rsidRPr="0049467D" w:rsidRDefault="004C33F3" w:rsidP="0049234F">
      <w:pPr>
        <w:pStyle w:val="spacer"/>
      </w:pPr>
    </w:p>
    <w:tbl>
      <w:tblPr>
        <w:tblW w:w="9072" w:type="dxa"/>
        <w:tblInd w:w="10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80" w:firstRow="0" w:lastRow="0" w:firstColumn="1" w:lastColumn="0" w:noHBand="0" w:noVBand="1"/>
      </w:tblPr>
      <w:tblGrid>
        <w:gridCol w:w="9072"/>
      </w:tblGrid>
      <w:tr w:rsidR="0062657E" w:rsidRPr="000A2B04" w14:paraId="5286D9E7" w14:textId="77777777" w:rsidTr="00346B30">
        <w:trPr>
          <w:trHeight w:val="132"/>
        </w:trPr>
        <w:tc>
          <w:tcPr>
            <w:tcW w:w="9072" w:type="dxa"/>
            <w:shd w:val="clear" w:color="auto" w:fill="99CDDD"/>
          </w:tcPr>
          <w:p w14:paraId="142B0C62" w14:textId="3469C876" w:rsidR="0062657E" w:rsidRPr="000A2B04" w:rsidRDefault="0062657E" w:rsidP="002428A4">
            <w:pPr>
              <w:keepNext/>
              <w:keepLines/>
              <w:spacing w:before="60" w:after="60" w:line="240" w:lineRule="auto"/>
              <w:jc w:val="both"/>
              <w:rPr>
                <w:rFonts w:cs="Arial"/>
                <w:b/>
                <w:color w:val="002060"/>
                <w:lang w:eastAsia="en-AU"/>
              </w:rPr>
            </w:pPr>
            <w:r w:rsidRPr="000A2B04">
              <w:rPr>
                <w:rFonts w:cs="Arial"/>
                <w:b/>
                <w:color w:val="002060"/>
                <w:lang w:eastAsia="en-AU"/>
              </w:rPr>
              <w:br w:type="page"/>
            </w:r>
            <w:r w:rsidR="00F05AD9">
              <w:rPr>
                <w:rFonts w:cs="Arial"/>
                <w:b/>
                <w:lang w:eastAsia="en-AU"/>
              </w:rPr>
              <w:t xml:space="preserve">6.2   </w:t>
            </w:r>
            <w:r w:rsidRPr="006172F1">
              <w:rPr>
                <w:rFonts w:cs="Arial"/>
                <w:b/>
                <w:lang w:eastAsia="en-AU"/>
              </w:rPr>
              <w:t>What are the implementation risks?</w:t>
            </w:r>
          </w:p>
        </w:tc>
      </w:tr>
      <w:tr w:rsidR="0062657E" w:rsidRPr="0049467D" w14:paraId="48A48820" w14:textId="77777777" w:rsidTr="00346B30">
        <w:trPr>
          <w:trHeight w:val="520"/>
        </w:trPr>
        <w:tc>
          <w:tcPr>
            <w:tcW w:w="9072" w:type="dxa"/>
            <w:shd w:val="clear" w:color="auto" w:fill="EBF5F8"/>
          </w:tcPr>
          <w:p w14:paraId="1A6245A4" w14:textId="77777777" w:rsidR="0062657E" w:rsidRPr="00944851" w:rsidRDefault="0062657E" w:rsidP="00944851">
            <w:pPr>
              <w:pStyle w:val="Bullet-list"/>
              <w:rPr>
                <w:i/>
                <w:iCs/>
              </w:rPr>
            </w:pPr>
            <w:r w:rsidRPr="00944851">
              <w:rPr>
                <w:i/>
                <w:iCs/>
              </w:rPr>
              <w:t>What issues concerning implementation have been raised through consultation and how will these be addressed?</w:t>
            </w:r>
          </w:p>
          <w:p w14:paraId="47166C6F" w14:textId="77777777" w:rsidR="0062657E" w:rsidRPr="00944851" w:rsidRDefault="0062657E" w:rsidP="00944851">
            <w:pPr>
              <w:pStyle w:val="Bullet-list"/>
              <w:rPr>
                <w:i/>
                <w:iCs/>
              </w:rPr>
            </w:pPr>
            <w:r w:rsidRPr="00944851">
              <w:rPr>
                <w:i/>
                <w:iCs/>
              </w:rPr>
              <w:t xml:space="preserve">What are the underlying assumptions or uncertainties, for example about stakeholder motivations and capabilities? </w:t>
            </w:r>
          </w:p>
          <w:p w14:paraId="424ABF95" w14:textId="77777777" w:rsidR="0062657E" w:rsidRPr="0049467D" w:rsidRDefault="0062657E" w:rsidP="00944851">
            <w:pPr>
              <w:pStyle w:val="Bullet-list"/>
            </w:pPr>
            <w:r w:rsidRPr="00944851">
              <w:rPr>
                <w:i/>
                <w:iCs/>
              </w:rPr>
              <w:t>How will risks be mitigated?</w:t>
            </w:r>
          </w:p>
        </w:tc>
      </w:tr>
      <w:tr w:rsidR="0062657E" w:rsidRPr="0049467D" w14:paraId="69E0D897" w14:textId="77777777" w:rsidTr="3C3183EA">
        <w:trPr>
          <w:trHeight w:val="3174"/>
        </w:trPr>
        <w:tc>
          <w:tcPr>
            <w:tcW w:w="9072" w:type="dxa"/>
            <w:shd w:val="clear" w:color="auto" w:fill="FFFFFF" w:themeFill="background1"/>
          </w:tcPr>
          <w:p w14:paraId="7DCC20A8" w14:textId="77777777" w:rsidR="00FA0CB4" w:rsidRDefault="00FA0CB4" w:rsidP="0049467D">
            <w:pPr>
              <w:spacing w:after="0" w:line="276" w:lineRule="auto"/>
              <w:rPr>
                <w:i/>
              </w:rPr>
            </w:pPr>
          </w:p>
          <w:p w14:paraId="1363EA7F" w14:textId="77777777" w:rsidR="00FA0CB4" w:rsidRDefault="00FA0CB4" w:rsidP="00944851">
            <w:pPr>
              <w:spacing w:after="120" w:line="240" w:lineRule="auto"/>
            </w:pPr>
            <w:r>
              <w:t>Compressed timelines create delivery and communications risks, which could lead to:</w:t>
            </w:r>
          </w:p>
          <w:p w14:paraId="7B27D19D" w14:textId="0AF4822C" w:rsidR="00FA0CB4" w:rsidRDefault="00FA0CB4" w:rsidP="00944851">
            <w:pPr>
              <w:pStyle w:val="ListParagraph"/>
              <w:numPr>
                <w:ilvl w:val="0"/>
                <w:numId w:val="8"/>
              </w:numPr>
              <w:spacing w:after="120" w:line="240" w:lineRule="auto"/>
              <w:contextualSpacing w:val="0"/>
            </w:pPr>
            <w:r>
              <w:t>payments reaching the wrong businesses at an unne</w:t>
            </w:r>
            <w:r w:rsidR="00B0281F">
              <w:t>ce</w:t>
            </w:r>
            <w:r>
              <w:t xml:space="preserve">ssary fiscal </w:t>
            </w:r>
            <w:proofErr w:type="gramStart"/>
            <w:r>
              <w:t>cost;</w:t>
            </w:r>
            <w:proofErr w:type="gramEnd"/>
          </w:p>
          <w:p w14:paraId="41A17F2D" w14:textId="77777777" w:rsidR="00FA0CB4" w:rsidRDefault="00FA0CB4" w:rsidP="00944851">
            <w:pPr>
              <w:pStyle w:val="ListParagraph"/>
              <w:numPr>
                <w:ilvl w:val="0"/>
                <w:numId w:val="8"/>
              </w:numPr>
              <w:spacing w:after="120" w:line="240" w:lineRule="auto"/>
              <w:contextualSpacing w:val="0"/>
            </w:pPr>
            <w:r>
              <w:t xml:space="preserve">damaging the social capital that is critical for the success of the COVID-19 public health </w:t>
            </w:r>
            <w:proofErr w:type="gramStart"/>
            <w:r>
              <w:t>strategy;</w:t>
            </w:r>
            <w:proofErr w:type="gramEnd"/>
          </w:p>
          <w:p w14:paraId="6B98C706" w14:textId="77777777" w:rsidR="00FA0CB4" w:rsidRDefault="00FA0CB4" w:rsidP="00944851">
            <w:pPr>
              <w:pStyle w:val="ListParagraph"/>
              <w:numPr>
                <w:ilvl w:val="0"/>
                <w:numId w:val="8"/>
              </w:numPr>
              <w:spacing w:after="120" w:line="240" w:lineRule="auto"/>
              <w:contextualSpacing w:val="0"/>
            </w:pPr>
            <w:r>
              <w:t xml:space="preserve">business confusion around the access to the scheme, meaning firms may lose out on support they are entitled to.  </w:t>
            </w:r>
          </w:p>
          <w:p w14:paraId="5F181DAD" w14:textId="77777777" w:rsidR="00FA0CB4" w:rsidRDefault="00FA0CB4" w:rsidP="00944851">
            <w:pPr>
              <w:spacing w:after="120" w:line="240" w:lineRule="auto"/>
            </w:pPr>
            <w:r>
              <w:t xml:space="preserve">The main mitigations we have undertaken include: </w:t>
            </w:r>
          </w:p>
          <w:p w14:paraId="3B375049" w14:textId="77777777" w:rsidR="00FA0CB4" w:rsidRDefault="00FA0CB4" w:rsidP="00944851">
            <w:pPr>
              <w:pStyle w:val="ListParagraph"/>
              <w:numPr>
                <w:ilvl w:val="0"/>
                <w:numId w:val="8"/>
              </w:numPr>
              <w:spacing w:after="120" w:line="240" w:lineRule="auto"/>
              <w:contextualSpacing w:val="0"/>
            </w:pPr>
            <w:r>
              <w:t xml:space="preserve">to agree, via Joint Ministers and Cabinet, detailed design rules in order to enable Inland Revenue to build the scheme at pace with as much certainty as </w:t>
            </w:r>
            <w:proofErr w:type="gramStart"/>
            <w:r>
              <w:t>possible;</w:t>
            </w:r>
            <w:proofErr w:type="gramEnd"/>
          </w:p>
          <w:p w14:paraId="540FE393" w14:textId="77777777" w:rsidR="00FA0CB4" w:rsidRDefault="00FA0CB4" w:rsidP="00944851">
            <w:pPr>
              <w:pStyle w:val="ListParagraph"/>
              <w:numPr>
                <w:ilvl w:val="0"/>
                <w:numId w:val="8"/>
              </w:numPr>
              <w:spacing w:after="120" w:line="240" w:lineRule="auto"/>
              <w:contextualSpacing w:val="0"/>
            </w:pPr>
            <w:r>
              <w:t xml:space="preserve">a series of measures to boost the integrity of the scheme and minimise gaming </w:t>
            </w:r>
            <w:proofErr w:type="gramStart"/>
            <w:r>
              <w:t>risks;</w:t>
            </w:r>
            <w:proofErr w:type="gramEnd"/>
          </w:p>
          <w:p w14:paraId="009A5D31" w14:textId="77777777" w:rsidR="00FA0CB4" w:rsidRDefault="00FA0CB4" w:rsidP="00944851">
            <w:pPr>
              <w:pStyle w:val="ListParagraph"/>
              <w:numPr>
                <w:ilvl w:val="0"/>
                <w:numId w:val="8"/>
              </w:numPr>
              <w:spacing w:after="120" w:line="240" w:lineRule="auto"/>
              <w:contextualSpacing w:val="0"/>
            </w:pPr>
            <w:r>
              <w:t xml:space="preserve">taking a co-ordinated cross-Government approach to </w:t>
            </w:r>
            <w:proofErr w:type="gramStart"/>
            <w:r>
              <w:t>communications;</w:t>
            </w:r>
            <w:proofErr w:type="gramEnd"/>
          </w:p>
          <w:p w14:paraId="3CF5CBA9" w14:textId="21B537F0" w:rsidR="00FA0CB4" w:rsidRDefault="00FA0CB4" w:rsidP="00944851">
            <w:pPr>
              <w:pStyle w:val="ListParagraph"/>
              <w:numPr>
                <w:ilvl w:val="0"/>
                <w:numId w:val="8"/>
              </w:numPr>
              <w:spacing w:after="120" w:line="240" w:lineRule="auto"/>
              <w:contextualSpacing w:val="0"/>
            </w:pPr>
            <w:r>
              <w:t xml:space="preserve">engaging with external business stakeholders to inform the design of the scheme and promote its availability, ensuring the </w:t>
            </w:r>
            <w:r w:rsidR="00940ACB">
              <w:t>widest audiences are reached; and</w:t>
            </w:r>
          </w:p>
          <w:p w14:paraId="187D45C8" w14:textId="2B115336" w:rsidR="007470F4" w:rsidRDefault="007470F4" w:rsidP="00944851">
            <w:pPr>
              <w:pStyle w:val="ListParagraph"/>
              <w:numPr>
                <w:ilvl w:val="0"/>
                <w:numId w:val="8"/>
              </w:numPr>
              <w:spacing w:after="120" w:line="240" w:lineRule="auto"/>
              <w:contextualSpacing w:val="0"/>
            </w:pPr>
            <w:r>
              <w:t xml:space="preserve">re-use of components developed for the </w:t>
            </w:r>
            <w:r w:rsidR="008F7B31">
              <w:t>SBCS</w:t>
            </w:r>
            <w:r>
              <w:t xml:space="preserve"> as a way to meet challenging system delivery timeframes.</w:t>
            </w:r>
          </w:p>
          <w:p w14:paraId="3C92E857" w14:textId="77777777" w:rsidR="00FA0CB4" w:rsidRPr="00210C3D" w:rsidRDefault="00FA0CB4" w:rsidP="00FA0CB4">
            <w:pPr>
              <w:pStyle w:val="ListParagraph"/>
            </w:pPr>
          </w:p>
          <w:p w14:paraId="0AA4A87F" w14:textId="36F2058F" w:rsidR="00FA0CB4" w:rsidRPr="0049467D" w:rsidRDefault="00FA0CB4" w:rsidP="0049467D">
            <w:pPr>
              <w:spacing w:after="0" w:line="276" w:lineRule="auto"/>
              <w:rPr>
                <w:rFonts w:cs="Arial"/>
                <w:szCs w:val="22"/>
              </w:rPr>
            </w:pPr>
          </w:p>
        </w:tc>
      </w:tr>
    </w:tbl>
    <w:p w14:paraId="71E20B7E" w14:textId="70ACB900" w:rsidR="0062657E" w:rsidRPr="0005691A" w:rsidRDefault="0062657E" w:rsidP="00362498">
      <w:pPr>
        <w:pStyle w:val="Heading2"/>
      </w:pPr>
      <w:r>
        <w:rPr>
          <w:sz w:val="20"/>
          <w:lang w:eastAsia="en-AU"/>
        </w:rPr>
        <w:br w:type="page"/>
      </w:r>
      <w:r w:rsidRPr="0005691A">
        <w:t>Section 7:</w:t>
      </w:r>
      <w:r w:rsidR="002E487F">
        <w:t xml:space="preserve"> </w:t>
      </w:r>
      <w:r w:rsidRPr="0005691A">
        <w:t xml:space="preserve">Monitoring, </w:t>
      </w:r>
      <w:proofErr w:type="gramStart"/>
      <w:r w:rsidRPr="0005691A">
        <w:t>evaluation</w:t>
      </w:r>
      <w:proofErr w:type="gramEnd"/>
      <w:r w:rsidRPr="0005691A">
        <w:t xml:space="preserve"> and review</w:t>
      </w:r>
    </w:p>
    <w:tbl>
      <w:tblPr>
        <w:tblW w:w="9072" w:type="dxa"/>
        <w:tblInd w:w="10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80" w:firstRow="0" w:lastRow="0" w:firstColumn="1" w:lastColumn="0" w:noHBand="0" w:noVBand="1"/>
      </w:tblPr>
      <w:tblGrid>
        <w:gridCol w:w="9072"/>
      </w:tblGrid>
      <w:tr w:rsidR="0049467D" w:rsidRPr="0049467D" w14:paraId="32426E84" w14:textId="77777777" w:rsidTr="342C5B05">
        <w:trPr>
          <w:trHeight w:val="206"/>
        </w:trPr>
        <w:tc>
          <w:tcPr>
            <w:tcW w:w="9072" w:type="dxa"/>
            <w:shd w:val="clear" w:color="auto" w:fill="99CDDD"/>
          </w:tcPr>
          <w:p w14:paraId="07DFDD88" w14:textId="7F5570B6" w:rsidR="0062657E" w:rsidRPr="0049467D" w:rsidRDefault="00F05AD9" w:rsidP="006356D0">
            <w:pPr>
              <w:keepNext/>
              <w:spacing w:before="60" w:after="60" w:line="240" w:lineRule="auto"/>
              <w:jc w:val="both"/>
              <w:rPr>
                <w:rFonts w:cs="Arial"/>
                <w:b/>
                <w:szCs w:val="22"/>
                <w:lang w:eastAsia="en-AU"/>
              </w:rPr>
            </w:pPr>
            <w:r>
              <w:rPr>
                <w:rFonts w:cs="Arial"/>
                <w:b/>
                <w:szCs w:val="22"/>
                <w:lang w:eastAsia="en-AU"/>
              </w:rPr>
              <w:br w:type="page"/>
              <w:t xml:space="preserve">7.1   </w:t>
            </w:r>
            <w:r w:rsidR="0062657E" w:rsidRPr="0049467D">
              <w:rPr>
                <w:rFonts w:cs="Arial"/>
                <w:b/>
                <w:szCs w:val="22"/>
                <w:lang w:eastAsia="en-AU"/>
              </w:rPr>
              <w:t>How will the impact of the new arrangements be monitored?</w:t>
            </w:r>
          </w:p>
        </w:tc>
      </w:tr>
      <w:tr w:rsidR="0049467D" w:rsidRPr="0049467D" w14:paraId="5FEF31AE" w14:textId="77777777" w:rsidTr="342C5B05">
        <w:trPr>
          <w:trHeight w:val="520"/>
        </w:trPr>
        <w:tc>
          <w:tcPr>
            <w:tcW w:w="9072" w:type="dxa"/>
            <w:shd w:val="clear" w:color="auto" w:fill="EBF5F8"/>
          </w:tcPr>
          <w:p w14:paraId="39969C10" w14:textId="77777777" w:rsidR="0062657E" w:rsidRPr="00944851" w:rsidRDefault="0062657E" w:rsidP="00944851">
            <w:pPr>
              <w:pStyle w:val="Bullet-list"/>
              <w:rPr>
                <w:i/>
                <w:szCs w:val="22"/>
              </w:rPr>
            </w:pPr>
            <w:r w:rsidRPr="00944851">
              <w:rPr>
                <w:i/>
                <w:szCs w:val="22"/>
              </w:rPr>
              <w:t xml:space="preserve">How will you know whether the impacts anticipated </w:t>
            </w:r>
            <w:proofErr w:type="gramStart"/>
            <w:r w:rsidRPr="00944851">
              <w:rPr>
                <w:i/>
                <w:szCs w:val="22"/>
              </w:rPr>
              <w:t>actually materialise</w:t>
            </w:r>
            <w:proofErr w:type="gramEnd"/>
            <w:r w:rsidRPr="00944851">
              <w:rPr>
                <w:i/>
                <w:szCs w:val="22"/>
              </w:rPr>
              <w:t>?</w:t>
            </w:r>
          </w:p>
          <w:p w14:paraId="61EDF10B" w14:textId="77777777" w:rsidR="0062657E" w:rsidRPr="00944851" w:rsidRDefault="0062657E" w:rsidP="00944851">
            <w:pPr>
              <w:pStyle w:val="Bullet-list"/>
              <w:rPr>
                <w:i/>
                <w:szCs w:val="22"/>
              </w:rPr>
            </w:pPr>
            <w:r w:rsidRPr="00944851">
              <w:rPr>
                <w:i/>
                <w:szCs w:val="22"/>
              </w:rPr>
              <w:t xml:space="preserve">System-level monitoring and evaluation </w:t>
            </w:r>
          </w:p>
          <w:p w14:paraId="00452E08" w14:textId="1D9CD740" w:rsidR="0062657E" w:rsidRPr="00944851" w:rsidRDefault="0062657E" w:rsidP="00944851">
            <w:pPr>
              <w:pStyle w:val="Bullet-list"/>
              <w:rPr>
                <w:i/>
                <w:szCs w:val="22"/>
              </w:rPr>
            </w:pPr>
            <w:r w:rsidRPr="00944851">
              <w:rPr>
                <w:i/>
                <w:szCs w:val="22"/>
              </w:rPr>
              <w:t xml:space="preserve">Are there already monitoring and evaluation provisions in place for the </w:t>
            </w:r>
            <w:proofErr w:type="gramStart"/>
            <w:r w:rsidRPr="00944851">
              <w:rPr>
                <w:i/>
                <w:szCs w:val="22"/>
              </w:rPr>
              <w:t>system as a whole</w:t>
            </w:r>
            <w:proofErr w:type="gramEnd"/>
            <w:r w:rsidRPr="00944851">
              <w:rPr>
                <w:i/>
                <w:szCs w:val="22"/>
              </w:rPr>
              <w:t xml:space="preserve"> (</w:t>
            </w:r>
            <w:proofErr w:type="spellStart"/>
            <w:r w:rsidRPr="00944851">
              <w:rPr>
                <w:i/>
                <w:szCs w:val="22"/>
              </w:rPr>
              <w:t>ie</w:t>
            </w:r>
            <w:proofErr w:type="spellEnd"/>
            <w:r w:rsidR="00431CA7" w:rsidRPr="00944851">
              <w:rPr>
                <w:i/>
                <w:szCs w:val="22"/>
              </w:rPr>
              <w:t>,</w:t>
            </w:r>
            <w:r w:rsidRPr="00944851">
              <w:rPr>
                <w:i/>
                <w:szCs w:val="22"/>
              </w:rPr>
              <w:t xml:space="preserve"> the broader legislation within which this arrangement sits)?  If so, what are they?</w:t>
            </w:r>
          </w:p>
          <w:p w14:paraId="7903A61F" w14:textId="77777777" w:rsidR="0062657E" w:rsidRPr="00944851" w:rsidRDefault="0062657E" w:rsidP="00944851">
            <w:pPr>
              <w:pStyle w:val="Bullet-list"/>
              <w:rPr>
                <w:i/>
                <w:szCs w:val="22"/>
              </w:rPr>
            </w:pPr>
            <w:r w:rsidRPr="00944851">
              <w:rPr>
                <w:i/>
                <w:szCs w:val="22"/>
              </w:rPr>
              <w:t>Are data on system-level impacts already being collected?</w:t>
            </w:r>
          </w:p>
          <w:p w14:paraId="1C08DC77" w14:textId="73366FF9" w:rsidR="0062657E" w:rsidRPr="00944851" w:rsidRDefault="0062657E" w:rsidP="00944851">
            <w:pPr>
              <w:pStyle w:val="Bullet-list"/>
              <w:rPr>
                <w:i/>
                <w:szCs w:val="22"/>
              </w:rPr>
            </w:pPr>
            <w:r w:rsidRPr="00944851">
              <w:rPr>
                <w:i/>
                <w:szCs w:val="22"/>
              </w:rPr>
              <w:t>Are data on implementation and operational issues, including enforc</w:t>
            </w:r>
            <w:r w:rsidR="00663BAA" w:rsidRPr="00944851">
              <w:rPr>
                <w:i/>
                <w:szCs w:val="22"/>
              </w:rPr>
              <w:t>ement already being collected?</w:t>
            </w:r>
            <w:r w:rsidRPr="00944851">
              <w:rPr>
                <w:i/>
                <w:szCs w:val="22"/>
              </w:rPr>
              <w:t xml:space="preserve"> </w:t>
            </w:r>
          </w:p>
          <w:p w14:paraId="1AFE83FF" w14:textId="3CB1627D" w:rsidR="0062657E" w:rsidRPr="00944851" w:rsidRDefault="0062657E" w:rsidP="00944851">
            <w:pPr>
              <w:pStyle w:val="Bullet-list"/>
              <w:rPr>
                <w:i/>
                <w:szCs w:val="22"/>
              </w:rPr>
            </w:pPr>
            <w:r w:rsidRPr="00944851">
              <w:rPr>
                <w:i/>
                <w:szCs w:val="22"/>
              </w:rPr>
              <w:t>New data collection</w:t>
            </w:r>
            <w:r w:rsidR="00200DA1" w:rsidRPr="00944851">
              <w:rPr>
                <w:i/>
                <w:szCs w:val="22"/>
              </w:rPr>
              <w:t>?</w:t>
            </w:r>
          </w:p>
          <w:p w14:paraId="311A7B0B" w14:textId="77777777" w:rsidR="0062657E" w:rsidRPr="0049467D" w:rsidRDefault="0062657E" w:rsidP="00944851">
            <w:pPr>
              <w:pStyle w:val="Bullet-list"/>
            </w:pPr>
            <w:r w:rsidRPr="00944851">
              <w:rPr>
                <w:i/>
                <w:szCs w:val="22"/>
              </w:rPr>
              <w:t>Will you need to collect extra data that is not already being collected? Please specify</w:t>
            </w:r>
            <w:r w:rsidRPr="0049467D">
              <w:t xml:space="preserve">.  </w:t>
            </w:r>
          </w:p>
        </w:tc>
      </w:tr>
      <w:tr w:rsidR="0049467D" w:rsidRPr="0049467D" w14:paraId="32263D90" w14:textId="77777777" w:rsidTr="342C5B05">
        <w:trPr>
          <w:trHeight w:val="3573"/>
        </w:trPr>
        <w:tc>
          <w:tcPr>
            <w:tcW w:w="9072" w:type="dxa"/>
            <w:shd w:val="clear" w:color="auto" w:fill="FFFFFF" w:themeFill="background1"/>
          </w:tcPr>
          <w:p w14:paraId="55C8A063" w14:textId="45827770" w:rsidR="0062657E" w:rsidRDefault="26B35ABB" w:rsidP="00944851">
            <w:pPr>
              <w:pStyle w:val="spacer"/>
              <w:spacing w:after="120"/>
              <w:rPr>
                <w:sz w:val="22"/>
                <w:lang w:eastAsia="en-GB"/>
              </w:rPr>
            </w:pPr>
            <w:r w:rsidRPr="342C5B05">
              <w:rPr>
                <w:sz w:val="22"/>
                <w:lang w:eastAsia="en-GB"/>
              </w:rPr>
              <w:t xml:space="preserve">As with the wage subsidies, </w:t>
            </w:r>
            <w:r w:rsidR="008F7B31">
              <w:rPr>
                <w:sz w:val="22"/>
                <w:lang w:eastAsia="en-GB"/>
              </w:rPr>
              <w:t>SBCS</w:t>
            </w:r>
            <w:r w:rsidR="6658A579" w:rsidRPr="54CCA52D">
              <w:rPr>
                <w:sz w:val="22"/>
                <w:lang w:eastAsia="en-GB"/>
              </w:rPr>
              <w:t>,</w:t>
            </w:r>
            <w:r w:rsidRPr="342C5B05">
              <w:rPr>
                <w:sz w:val="22"/>
                <w:lang w:eastAsia="en-GB"/>
              </w:rPr>
              <w:t xml:space="preserve"> and COVID-19 Income Relief Payment (CIRP), detailed data will be collected by the implementation agency (</w:t>
            </w:r>
            <w:r w:rsidR="4FF3A862" w:rsidRPr="3C3183EA">
              <w:rPr>
                <w:sz w:val="22"/>
                <w:lang w:eastAsia="en-GB"/>
              </w:rPr>
              <w:t>IR</w:t>
            </w:r>
            <w:r w:rsidRPr="342C5B05">
              <w:rPr>
                <w:sz w:val="22"/>
                <w:lang w:eastAsia="en-GB"/>
              </w:rPr>
              <w:t xml:space="preserve">) on the uptake of the scheme. This will capture and allow government to evaluate outputs of the scheme. Information systems at </w:t>
            </w:r>
            <w:r w:rsidR="6658A579" w:rsidRPr="54CCA52D">
              <w:rPr>
                <w:sz w:val="22"/>
                <w:lang w:eastAsia="en-GB"/>
              </w:rPr>
              <w:t>IR</w:t>
            </w:r>
            <w:r w:rsidRPr="342C5B05">
              <w:rPr>
                <w:sz w:val="22"/>
                <w:lang w:eastAsia="en-GB"/>
              </w:rPr>
              <w:t xml:space="preserve"> are capable of </w:t>
            </w:r>
            <w:r w:rsidR="770B8288" w:rsidRPr="342C5B05">
              <w:rPr>
                <w:sz w:val="22"/>
                <w:lang w:eastAsia="en-GB"/>
              </w:rPr>
              <w:t>this data collection.</w:t>
            </w:r>
          </w:p>
          <w:p w14:paraId="3C5208BE" w14:textId="60CBC4F0" w:rsidR="00A860A3" w:rsidRPr="00944851" w:rsidRDefault="770B8288" w:rsidP="00944851">
            <w:pPr>
              <w:pStyle w:val="spacer"/>
              <w:spacing w:after="120"/>
              <w:rPr>
                <w:sz w:val="22"/>
                <w:lang w:eastAsia="en-GB"/>
              </w:rPr>
            </w:pPr>
            <w:r w:rsidRPr="342C5B05">
              <w:rPr>
                <w:sz w:val="22"/>
                <w:lang w:eastAsia="en-GB"/>
              </w:rPr>
              <w:t>Evaluation of outcomes will be imperfect, given the radical uncertainty that surrounds any resurgence event and the absence of any suitable counterfactual. In line with the objectives of the scheme and analysis that lead to its inception, we expect to minimise the erosion of firm balance sheets during a resurgence event, and ultimately prevent some insolvencies amongst viable firms that would otherwise take place. While we can assess balance sheet resilience quantitatively, much of this evaluation will be through engagement with business.</w:t>
            </w:r>
          </w:p>
        </w:tc>
      </w:tr>
    </w:tbl>
    <w:p w14:paraId="00147D4E" w14:textId="77777777" w:rsidR="0062657E" w:rsidRPr="0049467D" w:rsidRDefault="0062657E" w:rsidP="0049234F">
      <w:pPr>
        <w:pStyle w:val="spacer"/>
      </w:pPr>
    </w:p>
    <w:tbl>
      <w:tblPr>
        <w:tblW w:w="9072" w:type="dxa"/>
        <w:tblInd w:w="10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80" w:firstRow="0" w:lastRow="0" w:firstColumn="1" w:lastColumn="0" w:noHBand="0" w:noVBand="1"/>
      </w:tblPr>
      <w:tblGrid>
        <w:gridCol w:w="9072"/>
      </w:tblGrid>
      <w:tr w:rsidR="0049467D" w:rsidRPr="0049467D" w14:paraId="05CB5139" w14:textId="77777777" w:rsidTr="00346B30">
        <w:trPr>
          <w:trHeight w:val="296"/>
        </w:trPr>
        <w:tc>
          <w:tcPr>
            <w:tcW w:w="9072" w:type="dxa"/>
            <w:shd w:val="clear" w:color="auto" w:fill="99CDDD"/>
          </w:tcPr>
          <w:p w14:paraId="2D17D175" w14:textId="7212FFDE" w:rsidR="0062657E" w:rsidRPr="0049467D" w:rsidRDefault="00F05AD9" w:rsidP="006356D0">
            <w:pPr>
              <w:keepNext/>
              <w:spacing w:before="60" w:after="60" w:line="240" w:lineRule="auto"/>
              <w:jc w:val="both"/>
              <w:rPr>
                <w:rFonts w:cs="Arial"/>
                <w:b/>
                <w:szCs w:val="22"/>
                <w:lang w:eastAsia="en-AU"/>
              </w:rPr>
            </w:pPr>
            <w:r>
              <w:rPr>
                <w:rFonts w:cs="Arial"/>
                <w:b/>
                <w:szCs w:val="22"/>
                <w:lang w:eastAsia="en-AU"/>
              </w:rPr>
              <w:br w:type="page"/>
              <w:t xml:space="preserve">7.2   </w:t>
            </w:r>
            <w:r w:rsidR="0062657E" w:rsidRPr="0049467D">
              <w:rPr>
                <w:rFonts w:cs="Arial"/>
                <w:b/>
                <w:szCs w:val="22"/>
                <w:lang w:eastAsia="en-AU"/>
              </w:rPr>
              <w:t xml:space="preserve">When and how will the new arrangements be reviewed? </w:t>
            </w:r>
          </w:p>
        </w:tc>
      </w:tr>
      <w:tr w:rsidR="0049467D" w:rsidRPr="0049467D" w14:paraId="7D328AAB" w14:textId="77777777" w:rsidTr="00346B30">
        <w:trPr>
          <w:trHeight w:val="520"/>
        </w:trPr>
        <w:tc>
          <w:tcPr>
            <w:tcW w:w="9072" w:type="dxa"/>
            <w:shd w:val="clear" w:color="auto" w:fill="EBF5F8"/>
          </w:tcPr>
          <w:p w14:paraId="63F79F0B" w14:textId="77777777" w:rsidR="0062657E" w:rsidRPr="00944851" w:rsidRDefault="0062657E" w:rsidP="00944851">
            <w:pPr>
              <w:pStyle w:val="Bullet-list"/>
              <w:rPr>
                <w:i/>
                <w:szCs w:val="22"/>
              </w:rPr>
            </w:pPr>
            <w:r w:rsidRPr="00944851">
              <w:rPr>
                <w:i/>
                <w:szCs w:val="22"/>
              </w:rPr>
              <w:t>How will the arrangements be reviewed? How often will this happen and by whom will it be done? If there are no plans for review, state so and explain why.</w:t>
            </w:r>
          </w:p>
          <w:p w14:paraId="2D9D50B3" w14:textId="77777777" w:rsidR="0062657E" w:rsidRPr="00944851" w:rsidRDefault="0062657E" w:rsidP="00944851">
            <w:pPr>
              <w:pStyle w:val="Bullet-list"/>
              <w:rPr>
                <w:i/>
                <w:szCs w:val="22"/>
              </w:rPr>
            </w:pPr>
            <w:r w:rsidRPr="00944851">
              <w:rPr>
                <w:i/>
                <w:szCs w:val="22"/>
              </w:rPr>
              <w:t>What sort of results (that may become apparent from the monitoring or feedback) might prompt an earlier review of this legislation?</w:t>
            </w:r>
          </w:p>
          <w:p w14:paraId="072DA57E" w14:textId="77777777" w:rsidR="0062657E" w:rsidRPr="0049467D" w:rsidRDefault="0062657E" w:rsidP="00944851">
            <w:pPr>
              <w:pStyle w:val="Bullet-list"/>
            </w:pPr>
            <w:r w:rsidRPr="00944851">
              <w:rPr>
                <w:i/>
                <w:szCs w:val="22"/>
              </w:rPr>
              <w:t>What opportunities will stakeholders have to raise concerns?</w:t>
            </w:r>
          </w:p>
        </w:tc>
      </w:tr>
      <w:tr w:rsidR="0049467D" w:rsidRPr="0049467D" w14:paraId="2A6536B0" w14:textId="77777777" w:rsidTr="00346B30">
        <w:trPr>
          <w:trHeight w:val="3314"/>
        </w:trPr>
        <w:tc>
          <w:tcPr>
            <w:tcW w:w="9072" w:type="dxa"/>
            <w:shd w:val="clear" w:color="auto" w:fill="FFFFFF"/>
          </w:tcPr>
          <w:p w14:paraId="247BB639" w14:textId="45004520" w:rsidR="007470F4" w:rsidRDefault="007470F4" w:rsidP="00944851">
            <w:pPr>
              <w:spacing w:after="120" w:line="240" w:lineRule="auto"/>
            </w:pPr>
            <w:r>
              <w:t>A review of the system will depend on whether it is activated. Subject to that, the operation of the scheme will be reviewed regularly based on user feedback and system metrics.</w:t>
            </w:r>
          </w:p>
          <w:p w14:paraId="4832E267" w14:textId="4A7A710F" w:rsidR="007470F4" w:rsidRDefault="007470F4" w:rsidP="00944851">
            <w:pPr>
              <w:spacing w:after="120" w:line="240" w:lineRule="auto"/>
            </w:pPr>
            <w:r>
              <w:t>Monitoring of uptake and engagement will be undertaken in the event that th</w:t>
            </w:r>
            <w:r w:rsidR="00E30629">
              <w:t xml:space="preserve">e payment is activated as part </w:t>
            </w:r>
            <w:r>
              <w:t xml:space="preserve">of the broader monitoring of the economic situation. </w:t>
            </w:r>
          </w:p>
          <w:p w14:paraId="43979CBF" w14:textId="4081DCB7" w:rsidR="0062657E" w:rsidRPr="0049467D" w:rsidRDefault="00E30629" w:rsidP="00544793">
            <w:pPr>
              <w:spacing w:after="120" w:line="240" w:lineRule="auto"/>
              <w:rPr>
                <w:rFonts w:cs="Arial"/>
                <w:szCs w:val="22"/>
              </w:rPr>
            </w:pPr>
            <w:r>
              <w:t>If required, a r</w:t>
            </w:r>
            <w:r w:rsidR="007470F4">
              <w:t>eview of any policy settings would be co-led by Treasury and Inland Revenue.</w:t>
            </w:r>
            <w:r>
              <w:t xml:space="preserve"> </w:t>
            </w:r>
          </w:p>
        </w:tc>
      </w:tr>
    </w:tbl>
    <w:p w14:paraId="07EFB59D" w14:textId="77777777" w:rsidR="00397C8D" w:rsidRPr="0049467D" w:rsidRDefault="00397C8D" w:rsidP="00940ACB">
      <w:pPr>
        <w:pStyle w:val="spacer"/>
      </w:pPr>
    </w:p>
    <w:sectPr w:rsidR="00397C8D" w:rsidRPr="0049467D" w:rsidSect="0005691A">
      <w:headerReference w:type="even" r:id="rId18"/>
      <w:headerReference w:type="default" r:id="rId19"/>
      <w:footerReference w:type="even" r:id="rId20"/>
      <w:footerReference w:type="default" r:id="rId21"/>
      <w:headerReference w:type="first" r:id="rId22"/>
      <w:footerReference w:type="first" r:id="rId23"/>
      <w:pgSz w:w="11906" w:h="16838"/>
      <w:pgMar w:top="1134" w:right="1418" w:bottom="99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B3BFB0" w14:textId="77777777" w:rsidR="002C3598" w:rsidRDefault="002C3598">
      <w:pPr>
        <w:spacing w:after="0" w:line="240" w:lineRule="auto"/>
      </w:pPr>
      <w:r>
        <w:separator/>
      </w:r>
    </w:p>
  </w:endnote>
  <w:endnote w:type="continuationSeparator" w:id="0">
    <w:p w14:paraId="0240D8C3" w14:textId="77777777" w:rsidR="002C3598" w:rsidRDefault="002C3598">
      <w:pPr>
        <w:spacing w:after="0" w:line="240" w:lineRule="auto"/>
      </w:pPr>
      <w:r>
        <w:continuationSeparator/>
      </w:r>
    </w:p>
  </w:endnote>
  <w:endnote w:type="continuationNotice" w:id="1">
    <w:p w14:paraId="00723572" w14:textId="77777777" w:rsidR="002C3598" w:rsidRDefault="002C35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Bold">
    <w:altName w:val="Arial"/>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21002A87" w:usb1="00000000" w:usb2="00000000" w:usb3="00000000" w:csb0="000101FF" w:csb1="00000000"/>
  </w:font>
  <w:font w:name="Arial Narrow">
    <w:panose1 w:val="020B0606020202030204"/>
    <w:charset w:val="00"/>
    <w:family w:val="swiss"/>
    <w:pitch w:val="variable"/>
    <w:sig w:usb0="00000287" w:usb1="00000800" w:usb2="00000000" w:usb3="00000000" w:csb0="0000009F" w:csb1="00000000"/>
  </w:font>
  <w:font w:name="GillSans">
    <w:panose1 w:val="00000000000000000000"/>
    <w:charset w:val="00"/>
    <w:family w:val="moder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6D3C9" w14:textId="024B09E4" w:rsidR="002C3598" w:rsidRPr="009435C4" w:rsidRDefault="002C3598" w:rsidP="00743278">
    <w:pPr>
      <w:pStyle w:val="Footer"/>
    </w:pPr>
    <w:r>
      <w:rPr>
        <w:sz w:val="14"/>
      </w:rPr>
      <w:tab/>
    </w:r>
    <w:r w:rsidRPr="007D0E0B">
      <w:rPr>
        <w:sz w:val="14"/>
      </w:rPr>
      <w:t>Resurgence Support Payment Supplementary Analysis Report</w:t>
    </w:r>
    <w:r>
      <w:t xml:space="preserve">   </w:t>
    </w:r>
    <w:r w:rsidRPr="009435C4">
      <w:t xml:space="preserve">|   </w:t>
    </w:r>
    <w:r w:rsidRPr="009435C4">
      <w:rPr>
        <w:color w:val="2B579A"/>
        <w:shd w:val="clear" w:color="auto" w:fill="E6E6E6"/>
      </w:rPr>
      <w:fldChar w:fldCharType="begin"/>
    </w:r>
    <w:r w:rsidRPr="009435C4">
      <w:instrText xml:space="preserve"> PAGE </w:instrText>
    </w:r>
    <w:r w:rsidRPr="009435C4">
      <w:rPr>
        <w:color w:val="2B579A"/>
        <w:shd w:val="clear" w:color="auto" w:fill="E6E6E6"/>
      </w:rPr>
      <w:fldChar w:fldCharType="separate"/>
    </w:r>
    <w:r>
      <w:t>1</w:t>
    </w:r>
    <w:r w:rsidRPr="009435C4">
      <w:rPr>
        <w:color w:val="2B579A"/>
        <w:shd w:val="clear" w:color="auto" w:fill="E6E6E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082A0" w14:textId="4CCD8CCA" w:rsidR="002C3598" w:rsidRPr="009435C4" w:rsidRDefault="002C3598" w:rsidP="00743278">
    <w:pPr>
      <w:pStyle w:val="Footer"/>
    </w:pPr>
    <w:r>
      <w:rPr>
        <w:sz w:val="14"/>
      </w:rPr>
      <w:tab/>
    </w:r>
    <w:r>
      <w:rPr>
        <w:sz w:val="14"/>
      </w:rPr>
      <w:tab/>
    </w:r>
    <w:r w:rsidRPr="007D0E0B">
      <w:rPr>
        <w:sz w:val="14"/>
      </w:rPr>
      <w:t>Resurgence Support Payment Supplementary Analysis Report</w:t>
    </w:r>
    <w:r>
      <w:t xml:space="preserve">   </w:t>
    </w:r>
    <w:r w:rsidRPr="009435C4">
      <w:t xml:space="preserve">|   </w:t>
    </w:r>
    <w:r w:rsidRPr="009435C4">
      <w:rPr>
        <w:color w:val="2B579A"/>
        <w:shd w:val="clear" w:color="auto" w:fill="E6E6E6"/>
      </w:rPr>
      <w:fldChar w:fldCharType="begin"/>
    </w:r>
    <w:r w:rsidRPr="009435C4">
      <w:instrText xml:space="preserve"> PAGE </w:instrText>
    </w:r>
    <w:r w:rsidRPr="009435C4">
      <w:rPr>
        <w:color w:val="2B579A"/>
        <w:shd w:val="clear" w:color="auto" w:fill="E6E6E6"/>
      </w:rPr>
      <w:fldChar w:fldCharType="separate"/>
    </w:r>
    <w:r>
      <w:t>17</w:t>
    </w:r>
    <w:r w:rsidRPr="009435C4">
      <w:rPr>
        <w:color w:val="2B579A"/>
        <w:shd w:val="clear" w:color="auto" w:fill="E6E6E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069A0" w14:textId="77777777" w:rsidR="002C3598" w:rsidRDefault="002C3598" w:rsidP="0074327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886C0" w14:textId="01E6AC9E" w:rsidR="002C3598" w:rsidRPr="00743278" w:rsidRDefault="002C3598" w:rsidP="00743278">
    <w:pPr>
      <w:pStyle w:val="Footer"/>
    </w:pPr>
    <w:r>
      <w:rPr>
        <w:sz w:val="14"/>
      </w:rPr>
      <w:tab/>
    </w:r>
    <w:r w:rsidRPr="007D0E0B">
      <w:rPr>
        <w:sz w:val="14"/>
      </w:rPr>
      <w:t>Resurgence Support Payment Supplementary Analysis Report</w:t>
    </w:r>
    <w:r>
      <w:t xml:space="preserve">   </w:t>
    </w:r>
    <w:r w:rsidRPr="009435C4">
      <w:t xml:space="preserve">|   </w:t>
    </w:r>
    <w:r w:rsidRPr="009435C4">
      <w:rPr>
        <w:color w:val="2B579A"/>
        <w:shd w:val="clear" w:color="auto" w:fill="E6E6E6"/>
      </w:rPr>
      <w:fldChar w:fldCharType="begin"/>
    </w:r>
    <w:r w:rsidRPr="009435C4">
      <w:instrText xml:space="preserve"> PAGE </w:instrText>
    </w:r>
    <w:r w:rsidRPr="009435C4">
      <w:rPr>
        <w:color w:val="2B579A"/>
        <w:shd w:val="clear" w:color="auto" w:fill="E6E6E6"/>
      </w:rPr>
      <w:fldChar w:fldCharType="separate"/>
    </w:r>
    <w:r>
      <w:t>24</w:t>
    </w:r>
    <w:r w:rsidRPr="009435C4">
      <w:rPr>
        <w:color w:val="2B579A"/>
        <w:shd w:val="clear" w:color="auto" w:fill="E6E6E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CE9C02" w14:textId="77777777" w:rsidR="002C3598" w:rsidRDefault="002C3598" w:rsidP="007432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97D153" w14:textId="77777777" w:rsidR="002C3598" w:rsidRDefault="002C3598">
      <w:pPr>
        <w:spacing w:after="0" w:line="240" w:lineRule="auto"/>
      </w:pPr>
      <w:r>
        <w:separator/>
      </w:r>
    </w:p>
  </w:footnote>
  <w:footnote w:type="continuationSeparator" w:id="0">
    <w:p w14:paraId="59536204" w14:textId="77777777" w:rsidR="002C3598" w:rsidRDefault="002C3598">
      <w:pPr>
        <w:spacing w:after="0" w:line="240" w:lineRule="auto"/>
      </w:pPr>
      <w:r>
        <w:continuationSeparator/>
      </w:r>
    </w:p>
  </w:footnote>
  <w:footnote w:type="continuationNotice" w:id="1">
    <w:p w14:paraId="3F4BD77E" w14:textId="77777777" w:rsidR="002C3598" w:rsidRDefault="002C3598">
      <w:pPr>
        <w:spacing w:after="0" w:line="240" w:lineRule="auto"/>
      </w:pPr>
    </w:p>
  </w:footnote>
  <w:footnote w:id="2">
    <w:p w14:paraId="35C52841" w14:textId="792C6B4C" w:rsidR="002C3598" w:rsidRPr="00375717" w:rsidRDefault="002C3598">
      <w:pPr>
        <w:pStyle w:val="FootnoteText"/>
        <w:rPr>
          <w:lang w:val="en-NZ"/>
        </w:rPr>
      </w:pPr>
      <w:r>
        <w:rPr>
          <w:rStyle w:val="FootnoteReference"/>
        </w:rPr>
        <w:footnoteRef/>
      </w:r>
      <w:r>
        <w:t xml:space="preserve"> </w:t>
      </w:r>
      <w:r w:rsidRPr="00375717">
        <w:t>The data provided was anonymised and aggregated to prevent the identification of businesses that are customers of Xero</w:t>
      </w:r>
    </w:p>
  </w:footnote>
  <w:footnote w:id="3">
    <w:p w14:paraId="3E5E40FE" w14:textId="17C7A094" w:rsidR="002C3598" w:rsidRDefault="002C3598" w:rsidP="44DFE17A">
      <w:pPr>
        <w:pStyle w:val="FootnoteText"/>
        <w:rPr>
          <w:color w:val="0B0C0C"/>
          <w:sz w:val="28"/>
          <w:szCs w:val="28"/>
        </w:rPr>
      </w:pPr>
      <w:r w:rsidRPr="371AF6ED">
        <w:rPr>
          <w:rStyle w:val="FootnoteReference"/>
        </w:rPr>
        <w:footnoteRef/>
      </w:r>
      <w:r>
        <w:t xml:space="preserve"> Carried out by Stats NZ, the AES measures the financial performance and position of New Zealand businesses.</w:t>
      </w:r>
    </w:p>
  </w:footnote>
  <w:footnote w:id="4">
    <w:p w14:paraId="2645C46D" w14:textId="36074B50" w:rsidR="002C3598" w:rsidRDefault="002C3598" w:rsidP="44DFE17A">
      <w:pPr>
        <w:pStyle w:val="FootnoteText"/>
      </w:pPr>
      <w:r w:rsidRPr="371AF6ED">
        <w:rPr>
          <w:rStyle w:val="FootnoteReference"/>
        </w:rPr>
        <w:footnoteRef/>
      </w:r>
      <w:r>
        <w:t xml:space="preserve"> B4B is part of the Ministry of Business, Innovation and Employment. It carries out research on business health. The latest research is available here: </w:t>
      </w:r>
      <w:hyperlink r:id="rId1" w:history="1">
        <w:r w:rsidRPr="371AF6ED">
          <w:rPr>
            <w:rStyle w:val="Hyperlink"/>
          </w:rPr>
          <w:t>https://www.betterforbusiness.govt.nz/resources-2/</w:t>
        </w:r>
      </w:hyperlink>
      <w:r>
        <w:t xml:space="preserve"> </w:t>
      </w:r>
    </w:p>
  </w:footnote>
  <w:footnote w:id="5">
    <w:p w14:paraId="38D6C58D" w14:textId="06176E86" w:rsidR="002C3598" w:rsidRDefault="002C3598" w:rsidP="44DFE17A">
      <w:pPr>
        <w:pStyle w:val="FootnoteText"/>
        <w:ind w:left="0" w:firstLine="0"/>
        <w:rPr>
          <w:rFonts w:eastAsia="Arial" w:cs="Arial"/>
          <w:color w:val="202124"/>
          <w:sz w:val="24"/>
          <w:szCs w:val="24"/>
        </w:rPr>
      </w:pPr>
      <w:r w:rsidRPr="44DFE17A">
        <w:rPr>
          <w:rStyle w:val="FootnoteReference"/>
          <w:rFonts w:eastAsia="Arial" w:cs="Arial"/>
          <w:sz w:val="20"/>
        </w:rPr>
        <w:footnoteRef/>
      </w:r>
      <w:r w:rsidRPr="44DFE17A">
        <w:rPr>
          <w:rFonts w:eastAsia="Arial" w:cs="Arial"/>
          <w:sz w:val="20"/>
        </w:rPr>
        <w:t xml:space="preserve"> </w:t>
      </w:r>
      <w:r w:rsidRPr="00FE29A2">
        <w:rPr>
          <w:rFonts w:eastAsia="Arial" w:cs="Arial"/>
          <w:color w:val="202124"/>
          <w:sz w:val="20"/>
        </w:rPr>
        <w:t xml:space="preserve">FTEs are determined in the same way as for the Wage Subsidy and SBCS: a </w:t>
      </w:r>
      <w:proofErr w:type="gramStart"/>
      <w:r w:rsidRPr="00FE29A2">
        <w:rPr>
          <w:rFonts w:eastAsia="Arial" w:cs="Arial"/>
          <w:color w:val="202124"/>
          <w:sz w:val="20"/>
        </w:rPr>
        <w:t>full time</w:t>
      </w:r>
      <w:proofErr w:type="gramEnd"/>
      <w:r w:rsidRPr="00FE29A2">
        <w:rPr>
          <w:rFonts w:eastAsia="Arial" w:cs="Arial"/>
          <w:color w:val="202124"/>
          <w:sz w:val="20"/>
        </w:rPr>
        <w:t xml:space="preserve"> worker is one who regularly works 20 or more hours a week. A part time worker is one who regularly works fewer than 20 hours a week. A part time worker is calculated as 0.6 of a </w:t>
      </w:r>
      <w:proofErr w:type="gramStart"/>
      <w:r w:rsidRPr="00FE29A2">
        <w:rPr>
          <w:rFonts w:eastAsia="Arial" w:cs="Arial"/>
          <w:color w:val="202124"/>
          <w:sz w:val="20"/>
        </w:rPr>
        <w:t>full time</w:t>
      </w:r>
      <w:proofErr w:type="gramEnd"/>
      <w:r w:rsidRPr="00FE29A2">
        <w:rPr>
          <w:rFonts w:eastAsia="Arial" w:cs="Arial"/>
          <w:color w:val="202124"/>
          <w:sz w:val="20"/>
        </w:rPr>
        <w:t xml:space="preserve"> worker. The total from classifying all employees is rounded up to the nearest FTE.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2AF31" w14:textId="30E923A6" w:rsidR="002C3598" w:rsidRPr="00EB1B21" w:rsidRDefault="002C3598" w:rsidP="004B6F7D">
    <w:pPr>
      <w:tabs>
        <w:tab w:val="center" w:pos="4253"/>
      </w:tabs>
      <w:rPr>
        <w:b/>
      </w:rPr>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F71076" w14:textId="31B427BB" w:rsidR="002C3598" w:rsidRDefault="002C35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7215B" w14:textId="6764FB09" w:rsidR="002C3598" w:rsidRPr="00EB1B21" w:rsidRDefault="002C3598" w:rsidP="004B6F7D">
    <w:pPr>
      <w:tabs>
        <w:tab w:val="center" w:pos="4253"/>
      </w:tabs>
      <w:rPr>
        <w:b/>
      </w:rPr>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FAA8AE" w14:textId="7B095FFB" w:rsidR="002C3598" w:rsidRDefault="002C35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90A74"/>
    <w:multiLevelType w:val="hybridMultilevel"/>
    <w:tmpl w:val="8834D266"/>
    <w:lvl w:ilvl="0" w:tplc="AA227304">
      <w:start w:val="1"/>
      <w:numFmt w:val="bullet"/>
      <w:lvlText w:val="-"/>
      <w:lvlJc w:val="left"/>
      <w:pPr>
        <w:ind w:left="567" w:hanging="567"/>
      </w:pPr>
      <w:rPr>
        <w:rFonts w:ascii="Arial" w:hAnsi="Aria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4C941AC"/>
    <w:multiLevelType w:val="hybridMultilevel"/>
    <w:tmpl w:val="405EE6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61F7BEA"/>
    <w:multiLevelType w:val="hybridMultilevel"/>
    <w:tmpl w:val="C48CBE44"/>
    <w:lvl w:ilvl="0" w:tplc="96CC921E">
      <w:start w:val="1"/>
      <w:numFmt w:val="bullet"/>
      <w:lvlText w:val=""/>
      <w:lvlJc w:val="left"/>
      <w:pPr>
        <w:ind w:left="567" w:hanging="567"/>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7822ED3"/>
    <w:multiLevelType w:val="hybridMultilevel"/>
    <w:tmpl w:val="0D18B490"/>
    <w:lvl w:ilvl="0" w:tplc="DBD4DCD2">
      <w:numFmt w:val="bullet"/>
      <w:lvlText w:val="-"/>
      <w:lvlJc w:val="left"/>
      <w:pPr>
        <w:ind w:left="1134" w:hanging="567"/>
      </w:pPr>
      <w:rPr>
        <w:rFonts w:ascii="Arial" w:hAnsi="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8C80522"/>
    <w:multiLevelType w:val="multilevel"/>
    <w:tmpl w:val="6E24C0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171533A"/>
    <w:multiLevelType w:val="hybridMultilevel"/>
    <w:tmpl w:val="5FFE238A"/>
    <w:lvl w:ilvl="0" w:tplc="D278DC0A">
      <w:start w:val="1"/>
      <w:numFmt w:val="bullet"/>
      <w:lvlText w:val=""/>
      <w:lvlJc w:val="left"/>
      <w:pPr>
        <w:ind w:left="567" w:hanging="567"/>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220036D"/>
    <w:multiLevelType w:val="hybridMultilevel"/>
    <w:tmpl w:val="3FFAD24A"/>
    <w:lvl w:ilvl="0" w:tplc="E206B2AC">
      <w:start w:val="1"/>
      <w:numFmt w:val="bullet"/>
      <w:lvlText w:val="-"/>
      <w:lvlJc w:val="left"/>
      <w:pPr>
        <w:ind w:left="567" w:hanging="567"/>
      </w:pPr>
      <w:rPr>
        <w:rFonts w:ascii="Arial" w:hAnsi="Aria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39201C3"/>
    <w:multiLevelType w:val="hybridMultilevel"/>
    <w:tmpl w:val="9162F4D2"/>
    <w:lvl w:ilvl="0" w:tplc="3C3AF53C">
      <w:start w:val="1"/>
      <w:numFmt w:val="decimal"/>
      <w:pStyle w:val="TSYList"/>
      <w:lvlText w:val="%1."/>
      <w:lvlJc w:val="left"/>
      <w:pPr>
        <w:tabs>
          <w:tab w:val="num" w:pos="567"/>
        </w:tabs>
        <w:ind w:left="567" w:hanging="567"/>
      </w:pPr>
      <w:rPr>
        <w:rFonts w:hint="default"/>
      </w:rPr>
    </w:lvl>
    <w:lvl w:ilvl="1" w:tplc="7F22DEE0">
      <w:start w:val="1"/>
      <w:numFmt w:val="lowerLetter"/>
      <w:lvlText w:val="%2"/>
      <w:lvlJc w:val="left"/>
      <w:pPr>
        <w:tabs>
          <w:tab w:val="num" w:pos="851"/>
        </w:tabs>
        <w:ind w:left="851" w:hanging="284"/>
      </w:pPr>
      <w:rPr>
        <w:rFonts w:hint="default"/>
      </w:rPr>
    </w:lvl>
    <w:lvl w:ilvl="2" w:tplc="FCE2F450">
      <w:start w:val="1"/>
      <w:numFmt w:val="lowerRoman"/>
      <w:lvlText w:val="%3"/>
      <w:lvlJc w:val="left"/>
      <w:pPr>
        <w:tabs>
          <w:tab w:val="num" w:pos="1418"/>
        </w:tabs>
        <w:ind w:left="1418" w:hanging="284"/>
      </w:pPr>
      <w:rPr>
        <w:rFonts w:hint="default"/>
      </w:rPr>
    </w:lvl>
    <w:lvl w:ilvl="3" w:tplc="221011BC">
      <w:start w:val="1"/>
      <w:numFmt w:val="none"/>
      <w:lvlText w:val="-"/>
      <w:lvlJc w:val="left"/>
      <w:pPr>
        <w:tabs>
          <w:tab w:val="num" w:pos="1985"/>
        </w:tabs>
        <w:ind w:left="1985" w:hanging="284"/>
      </w:pPr>
      <w:rPr>
        <w:rFonts w:hint="default"/>
      </w:rPr>
    </w:lvl>
    <w:lvl w:ilvl="4" w:tplc="D22698D8">
      <w:start w:val="1"/>
      <w:numFmt w:val="lowerLetter"/>
      <w:lvlText w:val="(%5)"/>
      <w:lvlJc w:val="left"/>
      <w:pPr>
        <w:ind w:left="1800" w:hanging="360"/>
      </w:pPr>
      <w:rPr>
        <w:rFonts w:hint="default"/>
      </w:rPr>
    </w:lvl>
    <w:lvl w:ilvl="5" w:tplc="410A7B46">
      <w:start w:val="1"/>
      <w:numFmt w:val="lowerRoman"/>
      <w:lvlText w:val="(%6)"/>
      <w:lvlJc w:val="left"/>
      <w:pPr>
        <w:ind w:left="2160" w:hanging="360"/>
      </w:pPr>
      <w:rPr>
        <w:rFonts w:hint="default"/>
      </w:rPr>
    </w:lvl>
    <w:lvl w:ilvl="6" w:tplc="D0D286AA">
      <w:start w:val="1"/>
      <w:numFmt w:val="decimal"/>
      <w:lvlText w:val="%7."/>
      <w:lvlJc w:val="left"/>
      <w:pPr>
        <w:ind w:left="2520" w:hanging="360"/>
      </w:pPr>
      <w:rPr>
        <w:rFonts w:hint="default"/>
      </w:rPr>
    </w:lvl>
    <w:lvl w:ilvl="7" w:tplc="9654906A">
      <w:start w:val="1"/>
      <w:numFmt w:val="lowerLetter"/>
      <w:lvlText w:val="%8."/>
      <w:lvlJc w:val="left"/>
      <w:pPr>
        <w:ind w:left="2880" w:hanging="360"/>
      </w:pPr>
      <w:rPr>
        <w:rFonts w:hint="default"/>
      </w:rPr>
    </w:lvl>
    <w:lvl w:ilvl="8" w:tplc="AF749C8C">
      <w:start w:val="1"/>
      <w:numFmt w:val="lowerRoman"/>
      <w:lvlText w:val="%9."/>
      <w:lvlJc w:val="left"/>
      <w:pPr>
        <w:ind w:left="3240" w:hanging="360"/>
      </w:pPr>
      <w:rPr>
        <w:rFonts w:hint="default"/>
      </w:rPr>
    </w:lvl>
  </w:abstractNum>
  <w:abstractNum w:abstractNumId="8" w15:restartNumberingAfterBreak="0">
    <w:nsid w:val="150E63BE"/>
    <w:multiLevelType w:val="hybridMultilevel"/>
    <w:tmpl w:val="6BD092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6B301B1"/>
    <w:multiLevelType w:val="hybridMultilevel"/>
    <w:tmpl w:val="27CAF03E"/>
    <w:lvl w:ilvl="0" w:tplc="E2C8BEB8">
      <w:start w:val="1"/>
      <w:numFmt w:val="bullet"/>
      <w:lvlText w:val=""/>
      <w:lvlJc w:val="left"/>
      <w:pPr>
        <w:ind w:left="720" w:hanging="360"/>
      </w:pPr>
      <w:rPr>
        <w:rFonts w:ascii="Symbol" w:hAnsi="Symbol" w:hint="default"/>
      </w:rPr>
    </w:lvl>
    <w:lvl w:ilvl="1" w:tplc="5B8A1590">
      <w:start w:val="1"/>
      <w:numFmt w:val="bullet"/>
      <w:lvlText w:val=""/>
      <w:lvlJc w:val="left"/>
      <w:pPr>
        <w:ind w:left="1440" w:hanging="360"/>
      </w:pPr>
      <w:rPr>
        <w:rFonts w:ascii="Symbol" w:hAnsi="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71244F5"/>
    <w:multiLevelType w:val="hybridMultilevel"/>
    <w:tmpl w:val="99944548"/>
    <w:lvl w:ilvl="0" w:tplc="6378878A">
      <w:start w:val="1"/>
      <w:numFmt w:val="bullet"/>
      <w:lvlText w:val=""/>
      <w:lvlJc w:val="left"/>
      <w:pPr>
        <w:ind w:left="567" w:hanging="567"/>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2A30D9D"/>
    <w:multiLevelType w:val="hybridMultilevel"/>
    <w:tmpl w:val="F1B6581C"/>
    <w:lvl w:ilvl="0" w:tplc="FE12B410">
      <w:start w:val="1"/>
      <w:numFmt w:val="bullet"/>
      <w:lvlText w:val="-"/>
      <w:lvlJc w:val="left"/>
      <w:pPr>
        <w:ind w:left="567" w:hanging="567"/>
      </w:pPr>
      <w:rPr>
        <w:rFonts w:ascii="Arial" w:hAnsi="Aria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7C44146"/>
    <w:multiLevelType w:val="hybridMultilevel"/>
    <w:tmpl w:val="DDB06C64"/>
    <w:lvl w:ilvl="0" w:tplc="C24C6E64">
      <w:start w:val="1"/>
      <w:numFmt w:val="bullet"/>
      <w:lvlText w:val="-"/>
      <w:lvlJc w:val="left"/>
      <w:pPr>
        <w:ind w:left="567" w:hanging="567"/>
      </w:pPr>
      <w:rPr>
        <w:rFonts w:ascii="Arial" w:hAnsi="Aria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F6979ED"/>
    <w:multiLevelType w:val="hybridMultilevel"/>
    <w:tmpl w:val="9F9A744A"/>
    <w:lvl w:ilvl="0" w:tplc="FB94F248">
      <w:start w:val="1"/>
      <w:numFmt w:val="bullet"/>
      <w:lvlText w:val="-"/>
      <w:lvlJc w:val="left"/>
      <w:pPr>
        <w:ind w:left="567" w:hanging="567"/>
      </w:pPr>
      <w:rPr>
        <w:rFonts w:ascii="Arial" w:hAnsi="Aria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FBF731F"/>
    <w:multiLevelType w:val="hybridMultilevel"/>
    <w:tmpl w:val="8F2ABAE4"/>
    <w:lvl w:ilvl="0" w:tplc="7346A1DE">
      <w:start w:val="1"/>
      <w:numFmt w:val="bullet"/>
      <w:lvlText w:val="-"/>
      <w:lvlJc w:val="left"/>
      <w:pPr>
        <w:ind w:left="567" w:hanging="567"/>
      </w:pPr>
      <w:rPr>
        <w:rFonts w:ascii="Arial" w:hAnsi="Aria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539082D"/>
    <w:multiLevelType w:val="hybridMultilevel"/>
    <w:tmpl w:val="B30C4CCA"/>
    <w:lvl w:ilvl="0" w:tplc="6C0C79D2">
      <w:start w:val="1"/>
      <w:numFmt w:val="bullet"/>
      <w:pStyle w:val="Table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38DE5A8D"/>
    <w:multiLevelType w:val="hybridMultilevel"/>
    <w:tmpl w:val="26F6F74A"/>
    <w:lvl w:ilvl="0" w:tplc="9E70DD54">
      <w:start w:val="1"/>
      <w:numFmt w:val="bullet"/>
      <w:lvlText w:val=""/>
      <w:lvlJc w:val="left"/>
      <w:pPr>
        <w:ind w:left="567" w:hanging="567"/>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9B4621A"/>
    <w:multiLevelType w:val="hybridMultilevel"/>
    <w:tmpl w:val="B060F2C0"/>
    <w:lvl w:ilvl="0" w:tplc="FFFFFFFF">
      <w:numFmt w:val="bullet"/>
      <w:lvlText w:val="-"/>
      <w:lvlJc w:val="left"/>
      <w:pPr>
        <w:ind w:left="720" w:hanging="360"/>
      </w:pPr>
      <w:rPr>
        <w:rFonts w:ascii="Arial" w:hAnsi="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3BD9355D"/>
    <w:multiLevelType w:val="hybridMultilevel"/>
    <w:tmpl w:val="C748D26C"/>
    <w:lvl w:ilvl="0" w:tplc="E2C8BEB8">
      <w:start w:val="1"/>
      <w:numFmt w:val="bullet"/>
      <w:lvlText w:val=""/>
      <w:lvlJc w:val="left"/>
      <w:pPr>
        <w:ind w:left="720" w:hanging="360"/>
      </w:pPr>
      <w:rPr>
        <w:rFonts w:ascii="Symbol" w:hAnsi="Symbol" w:hint="default"/>
      </w:rPr>
    </w:lvl>
    <w:lvl w:ilvl="1" w:tplc="0C3E1720">
      <w:start w:val="1"/>
      <w:numFmt w:val="bullet"/>
      <w:lvlText w:val=""/>
      <w:lvlJc w:val="left"/>
      <w:pPr>
        <w:ind w:left="1134" w:hanging="567"/>
      </w:pPr>
      <w:rPr>
        <w:rFonts w:ascii="Symbol" w:hAnsi="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3E0F11A3"/>
    <w:multiLevelType w:val="hybridMultilevel"/>
    <w:tmpl w:val="6BC4D4DE"/>
    <w:lvl w:ilvl="0" w:tplc="4A228392">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3F4F03D6"/>
    <w:multiLevelType w:val="hybridMultilevel"/>
    <w:tmpl w:val="B84494BC"/>
    <w:lvl w:ilvl="0" w:tplc="82E8A35C">
      <w:start w:val="1"/>
      <w:numFmt w:val="bullet"/>
      <w:lvlText w:val="-"/>
      <w:lvlJc w:val="left"/>
      <w:pPr>
        <w:ind w:left="567" w:hanging="567"/>
      </w:pPr>
      <w:rPr>
        <w:rFonts w:ascii="Arial" w:hAnsi="Aria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40EF4F54"/>
    <w:multiLevelType w:val="hybridMultilevel"/>
    <w:tmpl w:val="B86A31C6"/>
    <w:lvl w:ilvl="0" w:tplc="9A0AD77E">
      <w:start w:val="1"/>
      <w:numFmt w:val="lowerLetter"/>
      <w:lvlText w:val="%1)"/>
      <w:lvlJc w:val="left"/>
      <w:pPr>
        <w:ind w:left="567" w:hanging="567"/>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41EA7207"/>
    <w:multiLevelType w:val="hybridMultilevel"/>
    <w:tmpl w:val="C19C0BE8"/>
    <w:lvl w:ilvl="0" w:tplc="FAA64648">
      <w:start w:val="1"/>
      <w:numFmt w:val="bullet"/>
      <w:lvlText w:val=""/>
      <w:lvlJc w:val="left"/>
      <w:pPr>
        <w:ind w:left="567" w:hanging="567"/>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42BD015F"/>
    <w:multiLevelType w:val="hybridMultilevel"/>
    <w:tmpl w:val="B22AAA70"/>
    <w:lvl w:ilvl="0" w:tplc="22D6C412">
      <w:start w:val="1"/>
      <w:numFmt w:val="bullet"/>
      <w:lvlText w:val="-"/>
      <w:lvlJc w:val="left"/>
      <w:pPr>
        <w:ind w:left="567" w:hanging="567"/>
      </w:pPr>
      <w:rPr>
        <w:rFonts w:ascii="Arial" w:hAnsi="Aria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47F703C9"/>
    <w:multiLevelType w:val="hybridMultilevel"/>
    <w:tmpl w:val="1C54430E"/>
    <w:lvl w:ilvl="0" w:tplc="BF7C9BCC">
      <w:start w:val="1"/>
      <w:numFmt w:val="bullet"/>
      <w:lvlText w:val=""/>
      <w:lvlJc w:val="left"/>
      <w:pPr>
        <w:ind w:left="567" w:hanging="567"/>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4908750F"/>
    <w:multiLevelType w:val="hybridMultilevel"/>
    <w:tmpl w:val="1E32EED2"/>
    <w:lvl w:ilvl="0" w:tplc="189A1F5C">
      <w:start w:val="1"/>
      <w:numFmt w:val="bullet"/>
      <w:lvlText w:val=""/>
      <w:lvlJc w:val="left"/>
      <w:pPr>
        <w:ind w:left="567" w:hanging="567"/>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505E6864"/>
    <w:multiLevelType w:val="hybridMultilevel"/>
    <w:tmpl w:val="3776F09E"/>
    <w:lvl w:ilvl="0" w:tplc="BB7E7D24">
      <w:start w:val="1"/>
      <w:numFmt w:val="lowerLetter"/>
      <w:lvlText w:val="%1)"/>
      <w:lvlJc w:val="left"/>
      <w:pPr>
        <w:ind w:left="567" w:hanging="567"/>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542252FC"/>
    <w:multiLevelType w:val="hybridMultilevel"/>
    <w:tmpl w:val="4FC0DD42"/>
    <w:lvl w:ilvl="0" w:tplc="E2BA73DE">
      <w:start w:val="1"/>
      <w:numFmt w:val="bullet"/>
      <w:lvlText w:val=""/>
      <w:lvlJc w:val="left"/>
      <w:pPr>
        <w:ind w:left="567" w:hanging="567"/>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544D6743"/>
    <w:multiLevelType w:val="hybridMultilevel"/>
    <w:tmpl w:val="7076C7C0"/>
    <w:lvl w:ilvl="0" w:tplc="FFFFFFFF">
      <w:start w:val="1"/>
      <w:numFmt w:val="bullet"/>
      <w:lvlText w:val="-"/>
      <w:lvlJc w:val="left"/>
      <w:pPr>
        <w:ind w:left="720" w:hanging="360"/>
      </w:pPr>
      <w:rPr>
        <w:rFonts w:ascii="Arial" w:hAnsi="Arial" w:hint="default"/>
      </w:rPr>
    </w:lvl>
    <w:lvl w:ilvl="1" w:tplc="C43CD068">
      <w:start w:val="1"/>
      <w:numFmt w:val="bullet"/>
      <w:lvlText w:val="o"/>
      <w:lvlJc w:val="left"/>
      <w:pPr>
        <w:ind w:left="1134" w:hanging="567"/>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547E2E71"/>
    <w:multiLevelType w:val="hybridMultilevel"/>
    <w:tmpl w:val="FFFFFFFF"/>
    <w:lvl w:ilvl="0" w:tplc="E6D07FFC">
      <w:start w:val="1"/>
      <w:numFmt w:val="bullet"/>
      <w:lvlText w:val="-"/>
      <w:lvlJc w:val="left"/>
      <w:pPr>
        <w:ind w:left="720" w:hanging="360"/>
      </w:pPr>
      <w:rPr>
        <w:rFonts w:ascii="Arial" w:hAnsi="Arial" w:hint="default"/>
      </w:rPr>
    </w:lvl>
    <w:lvl w:ilvl="1" w:tplc="4472450C">
      <w:start w:val="1"/>
      <w:numFmt w:val="bullet"/>
      <w:lvlText w:val="o"/>
      <w:lvlJc w:val="left"/>
      <w:pPr>
        <w:ind w:left="1440" w:hanging="360"/>
      </w:pPr>
      <w:rPr>
        <w:rFonts w:ascii="Courier New" w:hAnsi="Courier New" w:hint="default"/>
      </w:rPr>
    </w:lvl>
    <w:lvl w:ilvl="2" w:tplc="530665C6">
      <w:start w:val="1"/>
      <w:numFmt w:val="bullet"/>
      <w:lvlText w:val=""/>
      <w:lvlJc w:val="left"/>
      <w:pPr>
        <w:ind w:left="2160" w:hanging="360"/>
      </w:pPr>
      <w:rPr>
        <w:rFonts w:ascii="Wingdings" w:hAnsi="Wingdings" w:hint="default"/>
      </w:rPr>
    </w:lvl>
    <w:lvl w:ilvl="3" w:tplc="D73A5D08">
      <w:start w:val="1"/>
      <w:numFmt w:val="bullet"/>
      <w:lvlText w:val=""/>
      <w:lvlJc w:val="left"/>
      <w:pPr>
        <w:ind w:left="2880" w:hanging="360"/>
      </w:pPr>
      <w:rPr>
        <w:rFonts w:ascii="Symbol" w:hAnsi="Symbol" w:hint="default"/>
      </w:rPr>
    </w:lvl>
    <w:lvl w:ilvl="4" w:tplc="73A871F2">
      <w:start w:val="1"/>
      <w:numFmt w:val="bullet"/>
      <w:lvlText w:val="o"/>
      <w:lvlJc w:val="left"/>
      <w:pPr>
        <w:ind w:left="3600" w:hanging="360"/>
      </w:pPr>
      <w:rPr>
        <w:rFonts w:ascii="Courier New" w:hAnsi="Courier New" w:hint="default"/>
      </w:rPr>
    </w:lvl>
    <w:lvl w:ilvl="5" w:tplc="AA34172C">
      <w:start w:val="1"/>
      <w:numFmt w:val="bullet"/>
      <w:lvlText w:val=""/>
      <w:lvlJc w:val="left"/>
      <w:pPr>
        <w:ind w:left="4320" w:hanging="360"/>
      </w:pPr>
      <w:rPr>
        <w:rFonts w:ascii="Wingdings" w:hAnsi="Wingdings" w:hint="default"/>
      </w:rPr>
    </w:lvl>
    <w:lvl w:ilvl="6" w:tplc="5610F6CA">
      <w:start w:val="1"/>
      <w:numFmt w:val="bullet"/>
      <w:lvlText w:val=""/>
      <w:lvlJc w:val="left"/>
      <w:pPr>
        <w:ind w:left="5040" w:hanging="360"/>
      </w:pPr>
      <w:rPr>
        <w:rFonts w:ascii="Symbol" w:hAnsi="Symbol" w:hint="default"/>
      </w:rPr>
    </w:lvl>
    <w:lvl w:ilvl="7" w:tplc="6BDEB336">
      <w:start w:val="1"/>
      <w:numFmt w:val="bullet"/>
      <w:lvlText w:val="o"/>
      <w:lvlJc w:val="left"/>
      <w:pPr>
        <w:ind w:left="5760" w:hanging="360"/>
      </w:pPr>
      <w:rPr>
        <w:rFonts w:ascii="Courier New" w:hAnsi="Courier New" w:hint="default"/>
      </w:rPr>
    </w:lvl>
    <w:lvl w:ilvl="8" w:tplc="97F2C668">
      <w:start w:val="1"/>
      <w:numFmt w:val="bullet"/>
      <w:lvlText w:val=""/>
      <w:lvlJc w:val="left"/>
      <w:pPr>
        <w:ind w:left="6480" w:hanging="360"/>
      </w:pPr>
      <w:rPr>
        <w:rFonts w:ascii="Wingdings" w:hAnsi="Wingdings" w:hint="default"/>
      </w:rPr>
    </w:lvl>
  </w:abstractNum>
  <w:abstractNum w:abstractNumId="30" w15:restartNumberingAfterBreak="0">
    <w:nsid w:val="548410C0"/>
    <w:multiLevelType w:val="hybridMultilevel"/>
    <w:tmpl w:val="80D62336"/>
    <w:lvl w:ilvl="0" w:tplc="A9824986">
      <w:start w:val="1"/>
      <w:numFmt w:val="decimal"/>
      <w:pStyle w:val="BodyText-Numbered"/>
      <w:lvlText w:val="%1."/>
      <w:lvlJc w:val="left"/>
      <w:pPr>
        <w:ind w:left="567" w:hanging="567"/>
      </w:pPr>
      <w:rPr>
        <w:rFonts w:hint="default"/>
      </w:rPr>
    </w:lvl>
    <w:lvl w:ilvl="1" w:tplc="1E98F7D8">
      <w:start w:val="1"/>
      <w:numFmt w:val="bullet"/>
      <w:lvlText w:val=""/>
      <w:lvlJc w:val="left"/>
      <w:pPr>
        <w:ind w:left="1134" w:hanging="567"/>
      </w:pPr>
      <w:rPr>
        <w:rFonts w:ascii="Symbol" w:hAnsi="Symbol" w:hint="default"/>
      </w:rPr>
    </w:lvl>
    <w:lvl w:ilvl="2" w:tplc="B4186F2E">
      <w:start w:val="1"/>
      <w:numFmt w:val="lowerRoman"/>
      <w:lvlText w:val="%3."/>
      <w:lvlJc w:val="left"/>
      <w:pPr>
        <w:ind w:left="1701" w:hanging="567"/>
      </w:pPr>
      <w:rPr>
        <w:rFonts w:hint="default"/>
      </w:rPr>
    </w:lvl>
    <w:lvl w:ilvl="3" w:tplc="9DA658B4">
      <w:start w:val="1"/>
      <w:numFmt w:val="decimal"/>
      <w:lvlText w:val="(%4)"/>
      <w:lvlJc w:val="left"/>
      <w:pPr>
        <w:ind w:left="2268" w:hanging="567"/>
      </w:pPr>
      <w:rPr>
        <w:rFonts w:hint="default"/>
      </w:rPr>
    </w:lvl>
    <w:lvl w:ilvl="4" w:tplc="6ECE35D2">
      <w:start w:val="1"/>
      <w:numFmt w:val="lowerLetter"/>
      <w:lvlText w:val="(%5)"/>
      <w:lvlJc w:val="left"/>
      <w:pPr>
        <w:ind w:left="2835" w:hanging="567"/>
      </w:pPr>
      <w:rPr>
        <w:rFonts w:hint="default"/>
      </w:rPr>
    </w:lvl>
    <w:lvl w:ilvl="5" w:tplc="0D26D6FE">
      <w:start w:val="1"/>
      <w:numFmt w:val="lowerRoman"/>
      <w:lvlText w:val="(%6)"/>
      <w:lvlJc w:val="left"/>
      <w:pPr>
        <w:ind w:left="3402" w:hanging="567"/>
      </w:pPr>
      <w:rPr>
        <w:rFonts w:hint="default"/>
      </w:rPr>
    </w:lvl>
    <w:lvl w:ilvl="6" w:tplc="73FE3686">
      <w:start w:val="1"/>
      <w:numFmt w:val="decimal"/>
      <w:lvlText w:val="%7."/>
      <w:lvlJc w:val="left"/>
      <w:pPr>
        <w:ind w:left="3969" w:hanging="567"/>
      </w:pPr>
      <w:rPr>
        <w:rFonts w:hint="default"/>
      </w:rPr>
    </w:lvl>
    <w:lvl w:ilvl="7" w:tplc="107E2D16">
      <w:start w:val="1"/>
      <w:numFmt w:val="lowerLetter"/>
      <w:lvlText w:val="%8."/>
      <w:lvlJc w:val="left"/>
      <w:pPr>
        <w:ind w:left="4536" w:hanging="567"/>
      </w:pPr>
      <w:rPr>
        <w:rFonts w:hint="default"/>
      </w:rPr>
    </w:lvl>
    <w:lvl w:ilvl="8" w:tplc="FD5C3532">
      <w:start w:val="1"/>
      <w:numFmt w:val="lowerRoman"/>
      <w:lvlText w:val="%9."/>
      <w:lvlJc w:val="left"/>
      <w:pPr>
        <w:ind w:left="5103" w:hanging="567"/>
      </w:pPr>
      <w:rPr>
        <w:rFonts w:hint="default"/>
      </w:rPr>
    </w:lvl>
  </w:abstractNum>
  <w:abstractNum w:abstractNumId="31" w15:restartNumberingAfterBreak="0">
    <w:nsid w:val="561A693C"/>
    <w:multiLevelType w:val="hybridMultilevel"/>
    <w:tmpl w:val="C8423C5E"/>
    <w:lvl w:ilvl="0" w:tplc="41F4BD7E">
      <w:start w:val="1"/>
      <w:numFmt w:val="bullet"/>
      <w:pStyle w:val="Boxbullet"/>
      <w:lvlText w:val="•"/>
      <w:lvlJc w:val="left"/>
      <w:pPr>
        <w:tabs>
          <w:tab w:val="num" w:pos="644"/>
        </w:tabs>
        <w:ind w:left="567" w:hanging="283"/>
      </w:pPr>
      <w:rPr>
        <w:rFonts w:hAnsi="Arial" w:hint="default"/>
        <w:b/>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BD824F5"/>
    <w:multiLevelType w:val="hybridMultilevel"/>
    <w:tmpl w:val="082E33F4"/>
    <w:lvl w:ilvl="0" w:tplc="D71015AC">
      <w:start w:val="1"/>
      <w:numFmt w:val="bullet"/>
      <w:lvlText w:val=""/>
      <w:lvlJc w:val="left"/>
      <w:pPr>
        <w:ind w:left="1134" w:hanging="567"/>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61181FB1"/>
    <w:multiLevelType w:val="hybridMultilevel"/>
    <w:tmpl w:val="418882CC"/>
    <w:lvl w:ilvl="0" w:tplc="F6C46E66">
      <w:start w:val="1"/>
      <w:numFmt w:val="bullet"/>
      <w:lvlText w:val=""/>
      <w:lvlJc w:val="left"/>
      <w:pPr>
        <w:ind w:left="567" w:hanging="567"/>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61E31D96"/>
    <w:multiLevelType w:val="hybridMultilevel"/>
    <w:tmpl w:val="530C4EF6"/>
    <w:lvl w:ilvl="0" w:tplc="A8F2F2F2">
      <w:start w:val="1"/>
      <w:numFmt w:val="bullet"/>
      <w:lvlText w:val="-"/>
      <w:lvlJc w:val="left"/>
      <w:pPr>
        <w:ind w:left="567" w:hanging="567"/>
      </w:pPr>
      <w:rPr>
        <w:rFonts w:ascii="Arial" w:hAnsi="Aria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647C2ABA"/>
    <w:multiLevelType w:val="hybridMultilevel"/>
    <w:tmpl w:val="BD0C1C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656F2E0D"/>
    <w:multiLevelType w:val="hybridMultilevel"/>
    <w:tmpl w:val="B0AA08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66A35779"/>
    <w:multiLevelType w:val="hybridMultilevel"/>
    <w:tmpl w:val="792C0594"/>
    <w:lvl w:ilvl="0" w:tplc="A8741B38">
      <w:start w:val="1"/>
      <w:numFmt w:val="bullet"/>
      <w:lvlText w:val="-"/>
      <w:lvlJc w:val="left"/>
      <w:pPr>
        <w:ind w:left="567" w:hanging="567"/>
      </w:pPr>
      <w:rPr>
        <w:rFonts w:ascii="Arial" w:hAnsi="Aria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673A72B0"/>
    <w:multiLevelType w:val="hybridMultilevel"/>
    <w:tmpl w:val="14F44BD8"/>
    <w:lvl w:ilvl="0" w:tplc="D44884B6">
      <w:start w:val="1"/>
      <w:numFmt w:val="bullet"/>
      <w:lvlText w:val="-"/>
      <w:lvlJc w:val="left"/>
      <w:pPr>
        <w:ind w:left="567" w:hanging="567"/>
      </w:pPr>
      <w:rPr>
        <w:rFonts w:ascii="Arial" w:hAnsi="Aria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681D6CA2"/>
    <w:multiLevelType w:val="hybridMultilevel"/>
    <w:tmpl w:val="FAB0C758"/>
    <w:lvl w:ilvl="0" w:tplc="6220C2FC">
      <w:start w:val="1"/>
      <w:numFmt w:val="bullet"/>
      <w:lvlText w:val=""/>
      <w:lvlJc w:val="left"/>
      <w:pPr>
        <w:ind w:left="567" w:hanging="567"/>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692579FB"/>
    <w:multiLevelType w:val="hybridMultilevel"/>
    <w:tmpl w:val="3DFEA46E"/>
    <w:lvl w:ilvl="0" w:tplc="887EC10E">
      <w:start w:val="1"/>
      <w:numFmt w:val="bullet"/>
      <w:lvlText w:val=""/>
      <w:lvlJc w:val="left"/>
      <w:pPr>
        <w:ind w:left="567" w:hanging="567"/>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15:restartNumberingAfterBreak="0">
    <w:nsid w:val="6B317D0E"/>
    <w:multiLevelType w:val="hybridMultilevel"/>
    <w:tmpl w:val="C5ACF4AA"/>
    <w:lvl w:ilvl="0" w:tplc="A8741B38">
      <w:start w:val="1"/>
      <w:numFmt w:val="bullet"/>
      <w:lvlText w:val="-"/>
      <w:lvlJc w:val="left"/>
      <w:pPr>
        <w:ind w:left="567" w:hanging="567"/>
      </w:pPr>
      <w:rPr>
        <w:rFonts w:ascii="Arial" w:hAnsi="Arial" w:hint="default"/>
      </w:rPr>
    </w:lvl>
    <w:lvl w:ilvl="1" w:tplc="CF988392">
      <w:start w:val="1"/>
      <w:numFmt w:val="bullet"/>
      <w:lvlText w:val="o"/>
      <w:lvlJc w:val="left"/>
      <w:pPr>
        <w:ind w:left="1134" w:hanging="567"/>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15:restartNumberingAfterBreak="0">
    <w:nsid w:val="715179EB"/>
    <w:multiLevelType w:val="hybridMultilevel"/>
    <w:tmpl w:val="EF2E37A4"/>
    <w:lvl w:ilvl="0" w:tplc="089ED2D6">
      <w:start w:val="1"/>
      <w:numFmt w:val="bullet"/>
      <w:pStyle w:val="Bullet-list"/>
      <w:lvlText w:val=""/>
      <w:lvlJc w:val="left"/>
      <w:pPr>
        <w:ind w:left="567" w:hanging="567"/>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3" w15:restartNumberingAfterBreak="0">
    <w:nsid w:val="7BD91523"/>
    <w:multiLevelType w:val="hybridMultilevel"/>
    <w:tmpl w:val="F77621C2"/>
    <w:lvl w:ilvl="0" w:tplc="1D1E47DA">
      <w:start w:val="1"/>
      <w:numFmt w:val="lowerLetter"/>
      <w:lvlText w:val="%1)"/>
      <w:lvlJc w:val="left"/>
      <w:pPr>
        <w:ind w:left="567" w:hanging="567"/>
      </w:pPr>
      <w:rPr>
        <w:rFonts w:hint="default"/>
      </w:rPr>
    </w:lvl>
    <w:lvl w:ilvl="1" w:tplc="DBAE5A3A">
      <w:start w:val="1"/>
      <w:numFmt w:val="lowerLetter"/>
      <w:lvlText w:val="%2."/>
      <w:lvlJc w:val="left"/>
      <w:pPr>
        <w:ind w:left="1440" w:hanging="360"/>
      </w:pPr>
    </w:lvl>
    <w:lvl w:ilvl="2" w:tplc="B93E1540">
      <w:start w:val="1"/>
      <w:numFmt w:val="lowerRoman"/>
      <w:lvlText w:val="%3."/>
      <w:lvlJc w:val="right"/>
      <w:pPr>
        <w:ind w:left="2160" w:hanging="180"/>
      </w:pPr>
    </w:lvl>
    <w:lvl w:ilvl="3" w:tplc="819A56C6">
      <w:start w:val="1"/>
      <w:numFmt w:val="decimal"/>
      <w:lvlText w:val="%4."/>
      <w:lvlJc w:val="left"/>
      <w:pPr>
        <w:ind w:left="2880" w:hanging="360"/>
      </w:pPr>
    </w:lvl>
    <w:lvl w:ilvl="4" w:tplc="41888B1A">
      <w:start w:val="1"/>
      <w:numFmt w:val="lowerLetter"/>
      <w:lvlText w:val="%5."/>
      <w:lvlJc w:val="left"/>
      <w:pPr>
        <w:ind w:left="3600" w:hanging="360"/>
      </w:pPr>
    </w:lvl>
    <w:lvl w:ilvl="5" w:tplc="EEB09EC8">
      <w:start w:val="1"/>
      <w:numFmt w:val="lowerRoman"/>
      <w:lvlText w:val="%6."/>
      <w:lvlJc w:val="right"/>
      <w:pPr>
        <w:ind w:left="4320" w:hanging="180"/>
      </w:pPr>
    </w:lvl>
    <w:lvl w:ilvl="6" w:tplc="0EE82CC4">
      <w:start w:val="1"/>
      <w:numFmt w:val="decimal"/>
      <w:lvlText w:val="%7."/>
      <w:lvlJc w:val="left"/>
      <w:pPr>
        <w:ind w:left="5040" w:hanging="360"/>
      </w:pPr>
    </w:lvl>
    <w:lvl w:ilvl="7" w:tplc="E0E65330">
      <w:start w:val="1"/>
      <w:numFmt w:val="lowerLetter"/>
      <w:lvlText w:val="%8."/>
      <w:lvlJc w:val="left"/>
      <w:pPr>
        <w:ind w:left="5760" w:hanging="360"/>
      </w:pPr>
    </w:lvl>
    <w:lvl w:ilvl="8" w:tplc="AA087892">
      <w:start w:val="1"/>
      <w:numFmt w:val="lowerRoman"/>
      <w:lvlText w:val="%9."/>
      <w:lvlJc w:val="right"/>
      <w:pPr>
        <w:ind w:left="6480" w:hanging="180"/>
      </w:pPr>
    </w:lvl>
  </w:abstractNum>
  <w:abstractNum w:abstractNumId="44" w15:restartNumberingAfterBreak="0">
    <w:nsid w:val="7C61583F"/>
    <w:multiLevelType w:val="hybridMultilevel"/>
    <w:tmpl w:val="81540D5C"/>
    <w:lvl w:ilvl="0" w:tplc="7CA66638">
      <w:start w:val="1"/>
      <w:numFmt w:val="bullet"/>
      <w:lvlText w:val=""/>
      <w:lvlJc w:val="left"/>
      <w:pPr>
        <w:ind w:left="1134" w:hanging="567"/>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0"/>
  </w:num>
  <w:num w:numId="2">
    <w:abstractNumId w:val="31"/>
  </w:num>
  <w:num w:numId="3">
    <w:abstractNumId w:val="16"/>
  </w:num>
  <w:num w:numId="4">
    <w:abstractNumId w:val="36"/>
  </w:num>
  <w:num w:numId="5">
    <w:abstractNumId w:val="15"/>
  </w:num>
  <w:num w:numId="6">
    <w:abstractNumId w:val="4"/>
  </w:num>
  <w:num w:numId="7">
    <w:abstractNumId w:val="9"/>
  </w:num>
  <w:num w:numId="8">
    <w:abstractNumId w:val="37"/>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num>
  <w:num w:numId="12">
    <w:abstractNumId w:val="21"/>
  </w:num>
  <w:num w:numId="13">
    <w:abstractNumId w:val="19"/>
  </w:num>
  <w:num w:numId="14">
    <w:abstractNumId w:val="26"/>
  </w:num>
  <w:num w:numId="15">
    <w:abstractNumId w:val="17"/>
  </w:num>
  <w:num w:numId="16">
    <w:abstractNumId w:val="29"/>
  </w:num>
  <w:num w:numId="17">
    <w:abstractNumId w:val="8"/>
  </w:num>
  <w:num w:numId="18">
    <w:abstractNumId w:val="1"/>
  </w:num>
  <w:num w:numId="19">
    <w:abstractNumId w:val="43"/>
  </w:num>
  <w:num w:numId="20">
    <w:abstractNumId w:val="28"/>
  </w:num>
  <w:num w:numId="21">
    <w:abstractNumId w:val="0"/>
  </w:num>
  <w:num w:numId="22">
    <w:abstractNumId w:val="23"/>
  </w:num>
  <w:num w:numId="23">
    <w:abstractNumId w:val="11"/>
  </w:num>
  <w:num w:numId="24">
    <w:abstractNumId w:val="12"/>
  </w:num>
  <w:num w:numId="25">
    <w:abstractNumId w:val="20"/>
  </w:num>
  <w:num w:numId="26">
    <w:abstractNumId w:val="6"/>
  </w:num>
  <w:num w:numId="27">
    <w:abstractNumId w:val="38"/>
  </w:num>
  <w:num w:numId="28">
    <w:abstractNumId w:val="13"/>
  </w:num>
  <w:num w:numId="29">
    <w:abstractNumId w:val="34"/>
  </w:num>
  <w:num w:numId="30">
    <w:abstractNumId w:val="14"/>
  </w:num>
  <w:num w:numId="31">
    <w:abstractNumId w:val="26"/>
    <w:lvlOverride w:ilvl="0">
      <w:lvl w:ilvl="0" w:tplc="BB7E7D24">
        <w:start w:val="1"/>
        <w:numFmt w:val="lowerLetter"/>
        <w:lvlText w:val="%1)"/>
        <w:lvlJc w:val="left"/>
        <w:pPr>
          <w:ind w:left="567" w:hanging="567"/>
        </w:pPr>
        <w:rPr>
          <w:rFonts w:hint="default"/>
        </w:rPr>
      </w:lvl>
    </w:lvlOverride>
    <w:lvlOverride w:ilvl="1">
      <w:lvl w:ilvl="1" w:tplc="14090003" w:tentative="1">
        <w:start w:val="1"/>
        <w:numFmt w:val="lowerLetter"/>
        <w:lvlText w:val="%2."/>
        <w:lvlJc w:val="left"/>
        <w:pPr>
          <w:ind w:left="1440" w:hanging="360"/>
        </w:pPr>
      </w:lvl>
    </w:lvlOverride>
    <w:lvlOverride w:ilvl="2">
      <w:lvl w:ilvl="2" w:tplc="14090005" w:tentative="1">
        <w:start w:val="1"/>
        <w:numFmt w:val="lowerRoman"/>
        <w:lvlText w:val="%3."/>
        <w:lvlJc w:val="right"/>
        <w:pPr>
          <w:ind w:left="2160" w:hanging="180"/>
        </w:pPr>
      </w:lvl>
    </w:lvlOverride>
    <w:lvlOverride w:ilvl="3">
      <w:lvl w:ilvl="3" w:tplc="14090001" w:tentative="1">
        <w:start w:val="1"/>
        <w:numFmt w:val="decimal"/>
        <w:lvlText w:val="%4."/>
        <w:lvlJc w:val="left"/>
        <w:pPr>
          <w:ind w:left="2880" w:hanging="360"/>
        </w:pPr>
      </w:lvl>
    </w:lvlOverride>
    <w:lvlOverride w:ilvl="4">
      <w:lvl w:ilvl="4" w:tplc="14090003" w:tentative="1">
        <w:start w:val="1"/>
        <w:numFmt w:val="lowerLetter"/>
        <w:lvlText w:val="%5."/>
        <w:lvlJc w:val="left"/>
        <w:pPr>
          <w:ind w:left="3600" w:hanging="360"/>
        </w:pPr>
      </w:lvl>
    </w:lvlOverride>
    <w:lvlOverride w:ilvl="5">
      <w:lvl w:ilvl="5" w:tplc="14090005" w:tentative="1">
        <w:start w:val="1"/>
        <w:numFmt w:val="lowerRoman"/>
        <w:lvlText w:val="%6."/>
        <w:lvlJc w:val="right"/>
        <w:pPr>
          <w:ind w:left="4320" w:hanging="180"/>
        </w:pPr>
      </w:lvl>
    </w:lvlOverride>
    <w:lvlOverride w:ilvl="6">
      <w:lvl w:ilvl="6" w:tplc="14090001" w:tentative="1">
        <w:start w:val="1"/>
        <w:numFmt w:val="decimal"/>
        <w:lvlText w:val="%7."/>
        <w:lvlJc w:val="left"/>
        <w:pPr>
          <w:ind w:left="5040" w:hanging="360"/>
        </w:pPr>
      </w:lvl>
    </w:lvlOverride>
    <w:lvlOverride w:ilvl="7">
      <w:lvl w:ilvl="7" w:tplc="14090003" w:tentative="1">
        <w:start w:val="1"/>
        <w:numFmt w:val="lowerLetter"/>
        <w:lvlText w:val="%8."/>
        <w:lvlJc w:val="left"/>
        <w:pPr>
          <w:ind w:left="5760" w:hanging="360"/>
        </w:pPr>
      </w:lvl>
    </w:lvlOverride>
    <w:lvlOverride w:ilvl="8">
      <w:lvl w:ilvl="8" w:tplc="14090005" w:tentative="1">
        <w:start w:val="1"/>
        <w:numFmt w:val="lowerRoman"/>
        <w:lvlText w:val="%9."/>
        <w:lvlJc w:val="right"/>
        <w:pPr>
          <w:ind w:left="6480" w:hanging="180"/>
        </w:pPr>
      </w:lvl>
    </w:lvlOverride>
  </w:num>
  <w:num w:numId="32">
    <w:abstractNumId w:val="16"/>
    <w:lvlOverride w:ilvl="0">
      <w:startOverride w:val="1"/>
    </w:lvlOverride>
  </w:num>
  <w:num w:numId="33">
    <w:abstractNumId w:val="32"/>
  </w:num>
  <w:num w:numId="34">
    <w:abstractNumId w:val="44"/>
  </w:num>
  <w:num w:numId="35">
    <w:abstractNumId w:val="27"/>
  </w:num>
  <w:num w:numId="36">
    <w:abstractNumId w:val="24"/>
  </w:num>
  <w:num w:numId="37">
    <w:abstractNumId w:val="40"/>
  </w:num>
  <w:num w:numId="38">
    <w:abstractNumId w:val="3"/>
  </w:num>
  <w:num w:numId="39">
    <w:abstractNumId w:val="2"/>
  </w:num>
  <w:num w:numId="40">
    <w:abstractNumId w:val="41"/>
  </w:num>
  <w:num w:numId="41">
    <w:abstractNumId w:val="33"/>
  </w:num>
  <w:num w:numId="42">
    <w:abstractNumId w:val="10"/>
  </w:num>
  <w:num w:numId="43">
    <w:abstractNumId w:val="5"/>
  </w:num>
  <w:num w:numId="44">
    <w:abstractNumId w:val="18"/>
  </w:num>
  <w:num w:numId="45">
    <w:abstractNumId w:val="22"/>
  </w:num>
  <w:num w:numId="46">
    <w:abstractNumId w:val="39"/>
  </w:num>
  <w:num w:numId="47">
    <w:abstractNumId w:val="42"/>
  </w:num>
  <w:num w:numId="48">
    <w:abstractNumId w:val="2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209"/>
    <w:rsid w:val="00002EDE"/>
    <w:rsid w:val="00007F9D"/>
    <w:rsid w:val="00011559"/>
    <w:rsid w:val="00012998"/>
    <w:rsid w:val="000160D0"/>
    <w:rsid w:val="00020F75"/>
    <w:rsid w:val="00025771"/>
    <w:rsid w:val="00026463"/>
    <w:rsid w:val="0002658E"/>
    <w:rsid w:val="00030190"/>
    <w:rsid w:val="000301E6"/>
    <w:rsid w:val="00030AEF"/>
    <w:rsid w:val="00032EF4"/>
    <w:rsid w:val="00036982"/>
    <w:rsid w:val="00037279"/>
    <w:rsid w:val="00037DC0"/>
    <w:rsid w:val="00044386"/>
    <w:rsid w:val="00046A04"/>
    <w:rsid w:val="00051193"/>
    <w:rsid w:val="0005226E"/>
    <w:rsid w:val="000535FD"/>
    <w:rsid w:val="000548CE"/>
    <w:rsid w:val="0005691A"/>
    <w:rsid w:val="000626D7"/>
    <w:rsid w:val="00072C3E"/>
    <w:rsid w:val="00080DD6"/>
    <w:rsid w:val="00080FED"/>
    <w:rsid w:val="0008531E"/>
    <w:rsid w:val="00087F56"/>
    <w:rsid w:val="000924E9"/>
    <w:rsid w:val="0009740B"/>
    <w:rsid w:val="000A165B"/>
    <w:rsid w:val="000A2277"/>
    <w:rsid w:val="000A2B04"/>
    <w:rsid w:val="000A6F5B"/>
    <w:rsid w:val="000B2320"/>
    <w:rsid w:val="000B2366"/>
    <w:rsid w:val="000B6206"/>
    <w:rsid w:val="000B7AB6"/>
    <w:rsid w:val="000C11CA"/>
    <w:rsid w:val="000C299F"/>
    <w:rsid w:val="000C35FF"/>
    <w:rsid w:val="000C3E65"/>
    <w:rsid w:val="000C4659"/>
    <w:rsid w:val="000D0795"/>
    <w:rsid w:val="000D785E"/>
    <w:rsid w:val="000D7E60"/>
    <w:rsid w:val="000E00AF"/>
    <w:rsid w:val="000E0785"/>
    <w:rsid w:val="000E30FE"/>
    <w:rsid w:val="000E3DCF"/>
    <w:rsid w:val="000E56D4"/>
    <w:rsid w:val="000E708B"/>
    <w:rsid w:val="000F1A61"/>
    <w:rsid w:val="000F3F3C"/>
    <w:rsid w:val="000F5BA3"/>
    <w:rsid w:val="000F62E0"/>
    <w:rsid w:val="000F720E"/>
    <w:rsid w:val="000F7C9C"/>
    <w:rsid w:val="001003CF"/>
    <w:rsid w:val="00101D8D"/>
    <w:rsid w:val="00102051"/>
    <w:rsid w:val="00103958"/>
    <w:rsid w:val="001049D4"/>
    <w:rsid w:val="00105D66"/>
    <w:rsid w:val="00106CAC"/>
    <w:rsid w:val="00106F44"/>
    <w:rsid w:val="00110327"/>
    <w:rsid w:val="00112E65"/>
    <w:rsid w:val="001132FC"/>
    <w:rsid w:val="001167CF"/>
    <w:rsid w:val="00117C3D"/>
    <w:rsid w:val="001220BD"/>
    <w:rsid w:val="0012286B"/>
    <w:rsid w:val="00124FA4"/>
    <w:rsid w:val="0012586A"/>
    <w:rsid w:val="00127C30"/>
    <w:rsid w:val="00132393"/>
    <w:rsid w:val="0013264B"/>
    <w:rsid w:val="00135B24"/>
    <w:rsid w:val="00136946"/>
    <w:rsid w:val="00152291"/>
    <w:rsid w:val="00153EDB"/>
    <w:rsid w:val="0015704B"/>
    <w:rsid w:val="00160B30"/>
    <w:rsid w:val="00162726"/>
    <w:rsid w:val="00162D0A"/>
    <w:rsid w:val="0016439F"/>
    <w:rsid w:val="00164445"/>
    <w:rsid w:val="00166947"/>
    <w:rsid w:val="00167308"/>
    <w:rsid w:val="00167871"/>
    <w:rsid w:val="001679DD"/>
    <w:rsid w:val="001714E5"/>
    <w:rsid w:val="00171A36"/>
    <w:rsid w:val="001802E8"/>
    <w:rsid w:val="00181BE4"/>
    <w:rsid w:val="00182FAD"/>
    <w:rsid w:val="001837C1"/>
    <w:rsid w:val="001923E9"/>
    <w:rsid w:val="00193917"/>
    <w:rsid w:val="00194C4D"/>
    <w:rsid w:val="001967D5"/>
    <w:rsid w:val="001A13D1"/>
    <w:rsid w:val="001A57B3"/>
    <w:rsid w:val="001A6552"/>
    <w:rsid w:val="001A7D8A"/>
    <w:rsid w:val="001B087D"/>
    <w:rsid w:val="001B0A09"/>
    <w:rsid w:val="001B2C55"/>
    <w:rsid w:val="001C44E7"/>
    <w:rsid w:val="001D034A"/>
    <w:rsid w:val="001D4DEC"/>
    <w:rsid w:val="001D77FE"/>
    <w:rsid w:val="001E166B"/>
    <w:rsid w:val="001F3C83"/>
    <w:rsid w:val="001F5685"/>
    <w:rsid w:val="00200DA1"/>
    <w:rsid w:val="002060EC"/>
    <w:rsid w:val="00207DA0"/>
    <w:rsid w:val="0021094B"/>
    <w:rsid w:val="00210C3D"/>
    <w:rsid w:val="00212395"/>
    <w:rsid w:val="00216981"/>
    <w:rsid w:val="0022557C"/>
    <w:rsid w:val="002269A5"/>
    <w:rsid w:val="00230A3A"/>
    <w:rsid w:val="0023241A"/>
    <w:rsid w:val="00237E14"/>
    <w:rsid w:val="002428A4"/>
    <w:rsid w:val="002460A3"/>
    <w:rsid w:val="00247392"/>
    <w:rsid w:val="00254BB2"/>
    <w:rsid w:val="00256DA6"/>
    <w:rsid w:val="002600E4"/>
    <w:rsid w:val="00263114"/>
    <w:rsid w:val="0027022A"/>
    <w:rsid w:val="00272537"/>
    <w:rsid w:val="00276208"/>
    <w:rsid w:val="00276D64"/>
    <w:rsid w:val="00287C48"/>
    <w:rsid w:val="00290F2E"/>
    <w:rsid w:val="00296A91"/>
    <w:rsid w:val="002A0627"/>
    <w:rsid w:val="002A1314"/>
    <w:rsid w:val="002A2567"/>
    <w:rsid w:val="002A3C51"/>
    <w:rsid w:val="002A568B"/>
    <w:rsid w:val="002A7252"/>
    <w:rsid w:val="002B27D8"/>
    <w:rsid w:val="002B2F7F"/>
    <w:rsid w:val="002B7DA8"/>
    <w:rsid w:val="002C3598"/>
    <w:rsid w:val="002C3926"/>
    <w:rsid w:val="002C6C31"/>
    <w:rsid w:val="002D0FA7"/>
    <w:rsid w:val="002D2932"/>
    <w:rsid w:val="002D2FC9"/>
    <w:rsid w:val="002D5018"/>
    <w:rsid w:val="002D52C3"/>
    <w:rsid w:val="002E074F"/>
    <w:rsid w:val="002E140F"/>
    <w:rsid w:val="002E3773"/>
    <w:rsid w:val="002E487F"/>
    <w:rsid w:val="002F2A6E"/>
    <w:rsid w:val="002F32F5"/>
    <w:rsid w:val="002F3353"/>
    <w:rsid w:val="002F365D"/>
    <w:rsid w:val="002F4C55"/>
    <w:rsid w:val="002F7B32"/>
    <w:rsid w:val="00302897"/>
    <w:rsid w:val="003055EA"/>
    <w:rsid w:val="00310839"/>
    <w:rsid w:val="003174F6"/>
    <w:rsid w:val="00320FF3"/>
    <w:rsid w:val="00324E1E"/>
    <w:rsid w:val="00326E2A"/>
    <w:rsid w:val="0033231A"/>
    <w:rsid w:val="00332D20"/>
    <w:rsid w:val="00333938"/>
    <w:rsid w:val="0033469A"/>
    <w:rsid w:val="0033666A"/>
    <w:rsid w:val="00336D0A"/>
    <w:rsid w:val="00346116"/>
    <w:rsid w:val="00346B30"/>
    <w:rsid w:val="00346C87"/>
    <w:rsid w:val="00347BA1"/>
    <w:rsid w:val="00352CFE"/>
    <w:rsid w:val="00352D57"/>
    <w:rsid w:val="0035354B"/>
    <w:rsid w:val="00354F55"/>
    <w:rsid w:val="00355D92"/>
    <w:rsid w:val="00362498"/>
    <w:rsid w:val="00364C4C"/>
    <w:rsid w:val="0036646F"/>
    <w:rsid w:val="00366D67"/>
    <w:rsid w:val="00367E88"/>
    <w:rsid w:val="00373CD5"/>
    <w:rsid w:val="00374439"/>
    <w:rsid w:val="00375717"/>
    <w:rsid w:val="00384E9B"/>
    <w:rsid w:val="00390DC2"/>
    <w:rsid w:val="003939AC"/>
    <w:rsid w:val="00397C8D"/>
    <w:rsid w:val="003A07A7"/>
    <w:rsid w:val="003A1477"/>
    <w:rsid w:val="003A3761"/>
    <w:rsid w:val="003A3C37"/>
    <w:rsid w:val="003A647B"/>
    <w:rsid w:val="003B4FF7"/>
    <w:rsid w:val="003B70DE"/>
    <w:rsid w:val="003C61B5"/>
    <w:rsid w:val="003D3715"/>
    <w:rsid w:val="003D770C"/>
    <w:rsid w:val="003E3751"/>
    <w:rsid w:val="003F25F5"/>
    <w:rsid w:val="003F2D3B"/>
    <w:rsid w:val="003F2F6F"/>
    <w:rsid w:val="003F3687"/>
    <w:rsid w:val="003F3C67"/>
    <w:rsid w:val="003F4EE0"/>
    <w:rsid w:val="003F57FA"/>
    <w:rsid w:val="003F5B02"/>
    <w:rsid w:val="00401E3C"/>
    <w:rsid w:val="00403070"/>
    <w:rsid w:val="004059CB"/>
    <w:rsid w:val="00405E5B"/>
    <w:rsid w:val="0040D0D2"/>
    <w:rsid w:val="0041056D"/>
    <w:rsid w:val="0041267D"/>
    <w:rsid w:val="0041278D"/>
    <w:rsid w:val="0041785C"/>
    <w:rsid w:val="004304BF"/>
    <w:rsid w:val="00430835"/>
    <w:rsid w:val="00431CA7"/>
    <w:rsid w:val="00434211"/>
    <w:rsid w:val="004343B5"/>
    <w:rsid w:val="004358EE"/>
    <w:rsid w:val="004363DA"/>
    <w:rsid w:val="00440740"/>
    <w:rsid w:val="004610BF"/>
    <w:rsid w:val="004628FF"/>
    <w:rsid w:val="00462DAD"/>
    <w:rsid w:val="004664A8"/>
    <w:rsid w:val="00467ED7"/>
    <w:rsid w:val="004769ED"/>
    <w:rsid w:val="00481F0A"/>
    <w:rsid w:val="004840F8"/>
    <w:rsid w:val="00487FAD"/>
    <w:rsid w:val="0049234F"/>
    <w:rsid w:val="0049467D"/>
    <w:rsid w:val="004A11FC"/>
    <w:rsid w:val="004A1AE3"/>
    <w:rsid w:val="004A1CBB"/>
    <w:rsid w:val="004A4084"/>
    <w:rsid w:val="004B43E1"/>
    <w:rsid w:val="004B5864"/>
    <w:rsid w:val="004B6F7D"/>
    <w:rsid w:val="004B7BD3"/>
    <w:rsid w:val="004C0C17"/>
    <w:rsid w:val="004C2C76"/>
    <w:rsid w:val="004C33F3"/>
    <w:rsid w:val="004C58FD"/>
    <w:rsid w:val="004C6060"/>
    <w:rsid w:val="004C79AF"/>
    <w:rsid w:val="004C7BC9"/>
    <w:rsid w:val="004D0646"/>
    <w:rsid w:val="004D5AF6"/>
    <w:rsid w:val="004E0E3C"/>
    <w:rsid w:val="004F59A9"/>
    <w:rsid w:val="004F5B65"/>
    <w:rsid w:val="004F66EE"/>
    <w:rsid w:val="00501053"/>
    <w:rsid w:val="0050429B"/>
    <w:rsid w:val="00505B2B"/>
    <w:rsid w:val="0051317D"/>
    <w:rsid w:val="00514770"/>
    <w:rsid w:val="00520F0D"/>
    <w:rsid w:val="00521664"/>
    <w:rsid w:val="00523D6A"/>
    <w:rsid w:val="00525031"/>
    <w:rsid w:val="00525754"/>
    <w:rsid w:val="005258E4"/>
    <w:rsid w:val="00525F4D"/>
    <w:rsid w:val="0052662A"/>
    <w:rsid w:val="00531253"/>
    <w:rsid w:val="00536F2D"/>
    <w:rsid w:val="00537EFE"/>
    <w:rsid w:val="00542E0A"/>
    <w:rsid w:val="00543648"/>
    <w:rsid w:val="00544793"/>
    <w:rsid w:val="005458BB"/>
    <w:rsid w:val="00545A35"/>
    <w:rsid w:val="00545B4A"/>
    <w:rsid w:val="00547547"/>
    <w:rsid w:val="00554046"/>
    <w:rsid w:val="00560B8C"/>
    <w:rsid w:val="005715C9"/>
    <w:rsid w:val="00583B4D"/>
    <w:rsid w:val="005843AC"/>
    <w:rsid w:val="0058466C"/>
    <w:rsid w:val="005870AD"/>
    <w:rsid w:val="00593B48"/>
    <w:rsid w:val="0059447F"/>
    <w:rsid w:val="00595AF7"/>
    <w:rsid w:val="005A0B65"/>
    <w:rsid w:val="005A301D"/>
    <w:rsid w:val="005A414C"/>
    <w:rsid w:val="005A5974"/>
    <w:rsid w:val="005B0347"/>
    <w:rsid w:val="005B27FB"/>
    <w:rsid w:val="005B2AD0"/>
    <w:rsid w:val="005B5488"/>
    <w:rsid w:val="005B7A18"/>
    <w:rsid w:val="005C20DA"/>
    <w:rsid w:val="005C310D"/>
    <w:rsid w:val="005C61E8"/>
    <w:rsid w:val="005D39BF"/>
    <w:rsid w:val="005E3B7D"/>
    <w:rsid w:val="005E4579"/>
    <w:rsid w:val="005E6942"/>
    <w:rsid w:val="005F322B"/>
    <w:rsid w:val="006134FC"/>
    <w:rsid w:val="006172F1"/>
    <w:rsid w:val="00622CC7"/>
    <w:rsid w:val="00625D74"/>
    <w:rsid w:val="0062657E"/>
    <w:rsid w:val="006356D0"/>
    <w:rsid w:val="006405CF"/>
    <w:rsid w:val="00642209"/>
    <w:rsid w:val="006443B5"/>
    <w:rsid w:val="00652631"/>
    <w:rsid w:val="006545A0"/>
    <w:rsid w:val="006567C0"/>
    <w:rsid w:val="0066289D"/>
    <w:rsid w:val="00663BAA"/>
    <w:rsid w:val="00664928"/>
    <w:rsid w:val="00664FE3"/>
    <w:rsid w:val="006767B7"/>
    <w:rsid w:val="00677CA8"/>
    <w:rsid w:val="00687118"/>
    <w:rsid w:val="00695F04"/>
    <w:rsid w:val="00695FB3"/>
    <w:rsid w:val="0069786B"/>
    <w:rsid w:val="006A55EB"/>
    <w:rsid w:val="006B42CC"/>
    <w:rsid w:val="006B55DB"/>
    <w:rsid w:val="006C1313"/>
    <w:rsid w:val="006C3B79"/>
    <w:rsid w:val="006C684F"/>
    <w:rsid w:val="006C6AA2"/>
    <w:rsid w:val="006D3275"/>
    <w:rsid w:val="006D3AE3"/>
    <w:rsid w:val="006E0843"/>
    <w:rsid w:val="006F312D"/>
    <w:rsid w:val="006F3E62"/>
    <w:rsid w:val="006F40F1"/>
    <w:rsid w:val="0070020E"/>
    <w:rsid w:val="00700A4C"/>
    <w:rsid w:val="007072AA"/>
    <w:rsid w:val="007140DA"/>
    <w:rsid w:val="00721CE1"/>
    <w:rsid w:val="00721CF3"/>
    <w:rsid w:val="00722937"/>
    <w:rsid w:val="007245C5"/>
    <w:rsid w:val="007271F7"/>
    <w:rsid w:val="00731FAE"/>
    <w:rsid w:val="00734509"/>
    <w:rsid w:val="00735AEB"/>
    <w:rsid w:val="00735C44"/>
    <w:rsid w:val="00735E15"/>
    <w:rsid w:val="00743278"/>
    <w:rsid w:val="0074464B"/>
    <w:rsid w:val="0074513F"/>
    <w:rsid w:val="007470F4"/>
    <w:rsid w:val="00750ADD"/>
    <w:rsid w:val="00752FDF"/>
    <w:rsid w:val="007550DB"/>
    <w:rsid w:val="00763409"/>
    <w:rsid w:val="0076715A"/>
    <w:rsid w:val="00771339"/>
    <w:rsid w:val="00776637"/>
    <w:rsid w:val="00780DD8"/>
    <w:rsid w:val="0078143F"/>
    <w:rsid w:val="00782387"/>
    <w:rsid w:val="00785A2B"/>
    <w:rsid w:val="00794251"/>
    <w:rsid w:val="0079590F"/>
    <w:rsid w:val="0079E6A5"/>
    <w:rsid w:val="007A7EB6"/>
    <w:rsid w:val="007B024A"/>
    <w:rsid w:val="007B0612"/>
    <w:rsid w:val="007B090A"/>
    <w:rsid w:val="007B1E67"/>
    <w:rsid w:val="007B4CEA"/>
    <w:rsid w:val="007B4EFA"/>
    <w:rsid w:val="007B6569"/>
    <w:rsid w:val="007C5418"/>
    <w:rsid w:val="007C6348"/>
    <w:rsid w:val="007D0E0B"/>
    <w:rsid w:val="007E29E0"/>
    <w:rsid w:val="007E43C7"/>
    <w:rsid w:val="007E50FC"/>
    <w:rsid w:val="007F1EB9"/>
    <w:rsid w:val="007F6004"/>
    <w:rsid w:val="007F63A6"/>
    <w:rsid w:val="007F6633"/>
    <w:rsid w:val="00801CE9"/>
    <w:rsid w:val="008032E3"/>
    <w:rsid w:val="00806385"/>
    <w:rsid w:val="00810009"/>
    <w:rsid w:val="0081305A"/>
    <w:rsid w:val="00813A0C"/>
    <w:rsid w:val="00813D4E"/>
    <w:rsid w:val="0081402E"/>
    <w:rsid w:val="008169B9"/>
    <w:rsid w:val="00816BA9"/>
    <w:rsid w:val="00817D48"/>
    <w:rsid w:val="00821749"/>
    <w:rsid w:val="00823F00"/>
    <w:rsid w:val="0082413D"/>
    <w:rsid w:val="008246BA"/>
    <w:rsid w:val="008264C0"/>
    <w:rsid w:val="00830105"/>
    <w:rsid w:val="008315EF"/>
    <w:rsid w:val="00832767"/>
    <w:rsid w:val="00850F6D"/>
    <w:rsid w:val="0085212E"/>
    <w:rsid w:val="008537EA"/>
    <w:rsid w:val="00855A52"/>
    <w:rsid w:val="0085781F"/>
    <w:rsid w:val="008603C7"/>
    <w:rsid w:val="0086176E"/>
    <w:rsid w:val="008720E9"/>
    <w:rsid w:val="00872662"/>
    <w:rsid w:val="00873548"/>
    <w:rsid w:val="008810DD"/>
    <w:rsid w:val="008814D1"/>
    <w:rsid w:val="00882849"/>
    <w:rsid w:val="008834EA"/>
    <w:rsid w:val="00883A80"/>
    <w:rsid w:val="0088426D"/>
    <w:rsid w:val="0088534B"/>
    <w:rsid w:val="00887560"/>
    <w:rsid w:val="00890436"/>
    <w:rsid w:val="0089316D"/>
    <w:rsid w:val="0089735D"/>
    <w:rsid w:val="008979E2"/>
    <w:rsid w:val="008B272A"/>
    <w:rsid w:val="008B46B3"/>
    <w:rsid w:val="008C27EA"/>
    <w:rsid w:val="008C29B2"/>
    <w:rsid w:val="008C452D"/>
    <w:rsid w:val="008C69EC"/>
    <w:rsid w:val="008D246B"/>
    <w:rsid w:val="008D265C"/>
    <w:rsid w:val="008D2A50"/>
    <w:rsid w:val="008F02B0"/>
    <w:rsid w:val="008F5850"/>
    <w:rsid w:val="008F7B31"/>
    <w:rsid w:val="0090483B"/>
    <w:rsid w:val="00906293"/>
    <w:rsid w:val="009125FB"/>
    <w:rsid w:val="009140EC"/>
    <w:rsid w:val="00914E7A"/>
    <w:rsid w:val="00916F7D"/>
    <w:rsid w:val="0092176D"/>
    <w:rsid w:val="00922F1B"/>
    <w:rsid w:val="00930870"/>
    <w:rsid w:val="00932544"/>
    <w:rsid w:val="0093281B"/>
    <w:rsid w:val="00940ACB"/>
    <w:rsid w:val="009435C4"/>
    <w:rsid w:val="00944851"/>
    <w:rsid w:val="009455A5"/>
    <w:rsid w:val="0094584C"/>
    <w:rsid w:val="00946B47"/>
    <w:rsid w:val="009476AF"/>
    <w:rsid w:val="009525AC"/>
    <w:rsid w:val="0095664B"/>
    <w:rsid w:val="00970321"/>
    <w:rsid w:val="00970662"/>
    <w:rsid w:val="00970B59"/>
    <w:rsid w:val="00971A61"/>
    <w:rsid w:val="0097236D"/>
    <w:rsid w:val="009738F3"/>
    <w:rsid w:val="00980189"/>
    <w:rsid w:val="00983A83"/>
    <w:rsid w:val="00984A4A"/>
    <w:rsid w:val="009869C8"/>
    <w:rsid w:val="00986A3E"/>
    <w:rsid w:val="00991E5D"/>
    <w:rsid w:val="009927C0"/>
    <w:rsid w:val="0099304D"/>
    <w:rsid w:val="00993DD9"/>
    <w:rsid w:val="00997177"/>
    <w:rsid w:val="009A1323"/>
    <w:rsid w:val="009A236B"/>
    <w:rsid w:val="009A331F"/>
    <w:rsid w:val="009A43DD"/>
    <w:rsid w:val="009B0796"/>
    <w:rsid w:val="009B2A68"/>
    <w:rsid w:val="009B6128"/>
    <w:rsid w:val="009C1AE0"/>
    <w:rsid w:val="009C2397"/>
    <w:rsid w:val="009C3378"/>
    <w:rsid w:val="009C4129"/>
    <w:rsid w:val="009C5CB8"/>
    <w:rsid w:val="009C6559"/>
    <w:rsid w:val="009D307B"/>
    <w:rsid w:val="009D4A6C"/>
    <w:rsid w:val="009E0634"/>
    <w:rsid w:val="009E52F0"/>
    <w:rsid w:val="009F3DFA"/>
    <w:rsid w:val="009F6D86"/>
    <w:rsid w:val="00A02489"/>
    <w:rsid w:val="00A03E72"/>
    <w:rsid w:val="00A105E7"/>
    <w:rsid w:val="00A142F6"/>
    <w:rsid w:val="00A1649D"/>
    <w:rsid w:val="00A20BA4"/>
    <w:rsid w:val="00A23580"/>
    <w:rsid w:val="00A27611"/>
    <w:rsid w:val="00A30319"/>
    <w:rsid w:val="00A30906"/>
    <w:rsid w:val="00A30EFF"/>
    <w:rsid w:val="00A355C6"/>
    <w:rsid w:val="00A35A98"/>
    <w:rsid w:val="00A37AA0"/>
    <w:rsid w:val="00A428E6"/>
    <w:rsid w:val="00A46E08"/>
    <w:rsid w:val="00A47358"/>
    <w:rsid w:val="00A57729"/>
    <w:rsid w:val="00A6094A"/>
    <w:rsid w:val="00A649BC"/>
    <w:rsid w:val="00A64ED9"/>
    <w:rsid w:val="00A66F08"/>
    <w:rsid w:val="00A77B0A"/>
    <w:rsid w:val="00A81E9A"/>
    <w:rsid w:val="00A85A58"/>
    <w:rsid w:val="00A860A3"/>
    <w:rsid w:val="00A91104"/>
    <w:rsid w:val="00A91917"/>
    <w:rsid w:val="00A937FB"/>
    <w:rsid w:val="00AA0F7D"/>
    <w:rsid w:val="00AA6A54"/>
    <w:rsid w:val="00AB023E"/>
    <w:rsid w:val="00AB0F2B"/>
    <w:rsid w:val="00AB44FC"/>
    <w:rsid w:val="00AB58D6"/>
    <w:rsid w:val="00AB680D"/>
    <w:rsid w:val="00AC003D"/>
    <w:rsid w:val="00AC0EC4"/>
    <w:rsid w:val="00AC1CC6"/>
    <w:rsid w:val="00AC59CB"/>
    <w:rsid w:val="00AC6CFB"/>
    <w:rsid w:val="00AC6E2D"/>
    <w:rsid w:val="00AD1433"/>
    <w:rsid w:val="00AD14B3"/>
    <w:rsid w:val="00AD2438"/>
    <w:rsid w:val="00AD4436"/>
    <w:rsid w:val="00AE07F8"/>
    <w:rsid w:val="00AE0DB9"/>
    <w:rsid w:val="00AE3AA4"/>
    <w:rsid w:val="00AE43FE"/>
    <w:rsid w:val="00AE4A83"/>
    <w:rsid w:val="00AE724F"/>
    <w:rsid w:val="00AE7D26"/>
    <w:rsid w:val="00AF185E"/>
    <w:rsid w:val="00AF2098"/>
    <w:rsid w:val="00AF614F"/>
    <w:rsid w:val="00B01C63"/>
    <w:rsid w:val="00B020FD"/>
    <w:rsid w:val="00B0281F"/>
    <w:rsid w:val="00B04BC1"/>
    <w:rsid w:val="00B051AA"/>
    <w:rsid w:val="00B053E3"/>
    <w:rsid w:val="00B05DF8"/>
    <w:rsid w:val="00B05FDA"/>
    <w:rsid w:val="00B10D59"/>
    <w:rsid w:val="00B13A72"/>
    <w:rsid w:val="00B2239E"/>
    <w:rsid w:val="00B2253F"/>
    <w:rsid w:val="00B25584"/>
    <w:rsid w:val="00B26493"/>
    <w:rsid w:val="00B27064"/>
    <w:rsid w:val="00B33382"/>
    <w:rsid w:val="00B37B22"/>
    <w:rsid w:val="00B47B75"/>
    <w:rsid w:val="00B53D0C"/>
    <w:rsid w:val="00B56273"/>
    <w:rsid w:val="00B6693F"/>
    <w:rsid w:val="00B70E28"/>
    <w:rsid w:val="00B7124C"/>
    <w:rsid w:val="00B72827"/>
    <w:rsid w:val="00B7297A"/>
    <w:rsid w:val="00B73053"/>
    <w:rsid w:val="00B74113"/>
    <w:rsid w:val="00B7719E"/>
    <w:rsid w:val="00B83EFB"/>
    <w:rsid w:val="00B8492F"/>
    <w:rsid w:val="00B87AED"/>
    <w:rsid w:val="00B92164"/>
    <w:rsid w:val="00B9439A"/>
    <w:rsid w:val="00B96523"/>
    <w:rsid w:val="00B96A2E"/>
    <w:rsid w:val="00B97203"/>
    <w:rsid w:val="00BA34DB"/>
    <w:rsid w:val="00BA43F6"/>
    <w:rsid w:val="00BA5923"/>
    <w:rsid w:val="00BA7788"/>
    <w:rsid w:val="00BB04B4"/>
    <w:rsid w:val="00BB0AD8"/>
    <w:rsid w:val="00BB351E"/>
    <w:rsid w:val="00BB4BD4"/>
    <w:rsid w:val="00BC3EA0"/>
    <w:rsid w:val="00BC416F"/>
    <w:rsid w:val="00BD1BED"/>
    <w:rsid w:val="00BD27A7"/>
    <w:rsid w:val="00BD2A0C"/>
    <w:rsid w:val="00BD371A"/>
    <w:rsid w:val="00BE0816"/>
    <w:rsid w:val="00BE1F11"/>
    <w:rsid w:val="00BE36E3"/>
    <w:rsid w:val="00BE3B1A"/>
    <w:rsid w:val="00BF3E6F"/>
    <w:rsid w:val="00BF7672"/>
    <w:rsid w:val="00C03002"/>
    <w:rsid w:val="00C0474F"/>
    <w:rsid w:val="00C0D60F"/>
    <w:rsid w:val="00C10AA8"/>
    <w:rsid w:val="00C13CF1"/>
    <w:rsid w:val="00C17661"/>
    <w:rsid w:val="00C26129"/>
    <w:rsid w:val="00C2625B"/>
    <w:rsid w:val="00C267C2"/>
    <w:rsid w:val="00C279F5"/>
    <w:rsid w:val="00C304A0"/>
    <w:rsid w:val="00C31AD7"/>
    <w:rsid w:val="00C3263C"/>
    <w:rsid w:val="00C33EE6"/>
    <w:rsid w:val="00C40C2C"/>
    <w:rsid w:val="00C415DB"/>
    <w:rsid w:val="00C419B6"/>
    <w:rsid w:val="00C425F5"/>
    <w:rsid w:val="00C45EDF"/>
    <w:rsid w:val="00C46336"/>
    <w:rsid w:val="00C52225"/>
    <w:rsid w:val="00C53F80"/>
    <w:rsid w:val="00C556B5"/>
    <w:rsid w:val="00C561C8"/>
    <w:rsid w:val="00C5C04F"/>
    <w:rsid w:val="00C648C6"/>
    <w:rsid w:val="00C649C8"/>
    <w:rsid w:val="00C65149"/>
    <w:rsid w:val="00C65E07"/>
    <w:rsid w:val="00C70A49"/>
    <w:rsid w:val="00C71700"/>
    <w:rsid w:val="00C7298D"/>
    <w:rsid w:val="00C73C37"/>
    <w:rsid w:val="00C74254"/>
    <w:rsid w:val="00C763BC"/>
    <w:rsid w:val="00C8043A"/>
    <w:rsid w:val="00C81209"/>
    <w:rsid w:val="00C84B9C"/>
    <w:rsid w:val="00C86994"/>
    <w:rsid w:val="00CA153C"/>
    <w:rsid w:val="00CA29BA"/>
    <w:rsid w:val="00CA4E90"/>
    <w:rsid w:val="00CB22FF"/>
    <w:rsid w:val="00CB40AB"/>
    <w:rsid w:val="00CCF802"/>
    <w:rsid w:val="00CD2472"/>
    <w:rsid w:val="00CD6659"/>
    <w:rsid w:val="00CE5474"/>
    <w:rsid w:val="00CF2F43"/>
    <w:rsid w:val="00CF6B1C"/>
    <w:rsid w:val="00D06637"/>
    <w:rsid w:val="00D067D2"/>
    <w:rsid w:val="00D0750C"/>
    <w:rsid w:val="00D14479"/>
    <w:rsid w:val="00D155E2"/>
    <w:rsid w:val="00D278AA"/>
    <w:rsid w:val="00D35F4D"/>
    <w:rsid w:val="00D43849"/>
    <w:rsid w:val="00D479EF"/>
    <w:rsid w:val="00D47CF9"/>
    <w:rsid w:val="00D47E19"/>
    <w:rsid w:val="00D549AF"/>
    <w:rsid w:val="00D60FF7"/>
    <w:rsid w:val="00D61E93"/>
    <w:rsid w:val="00D71A71"/>
    <w:rsid w:val="00D72A78"/>
    <w:rsid w:val="00D734B2"/>
    <w:rsid w:val="00D8022B"/>
    <w:rsid w:val="00D821E3"/>
    <w:rsid w:val="00D83350"/>
    <w:rsid w:val="00D902D4"/>
    <w:rsid w:val="00D923B2"/>
    <w:rsid w:val="00D9349D"/>
    <w:rsid w:val="00D96EB2"/>
    <w:rsid w:val="00DA099E"/>
    <w:rsid w:val="00DA2762"/>
    <w:rsid w:val="00DB598F"/>
    <w:rsid w:val="00DC018D"/>
    <w:rsid w:val="00DC341E"/>
    <w:rsid w:val="00DC6E0F"/>
    <w:rsid w:val="00DC7739"/>
    <w:rsid w:val="00DD201D"/>
    <w:rsid w:val="00DD3EEE"/>
    <w:rsid w:val="00DD4B6E"/>
    <w:rsid w:val="00DD7964"/>
    <w:rsid w:val="00DE0A47"/>
    <w:rsid w:val="00DE18D9"/>
    <w:rsid w:val="00DF06EE"/>
    <w:rsid w:val="00DF0840"/>
    <w:rsid w:val="00DF2B5D"/>
    <w:rsid w:val="00DF2E7B"/>
    <w:rsid w:val="00DF6257"/>
    <w:rsid w:val="00E01D60"/>
    <w:rsid w:val="00E07389"/>
    <w:rsid w:val="00E079F6"/>
    <w:rsid w:val="00E07AA1"/>
    <w:rsid w:val="00E07C9A"/>
    <w:rsid w:val="00E14870"/>
    <w:rsid w:val="00E220F1"/>
    <w:rsid w:val="00E24951"/>
    <w:rsid w:val="00E2597B"/>
    <w:rsid w:val="00E30629"/>
    <w:rsid w:val="00E308CA"/>
    <w:rsid w:val="00E332B4"/>
    <w:rsid w:val="00E33E87"/>
    <w:rsid w:val="00E427A8"/>
    <w:rsid w:val="00E45684"/>
    <w:rsid w:val="00E47A08"/>
    <w:rsid w:val="00E50DD0"/>
    <w:rsid w:val="00E52695"/>
    <w:rsid w:val="00E63517"/>
    <w:rsid w:val="00E652BF"/>
    <w:rsid w:val="00E82DB1"/>
    <w:rsid w:val="00E8676A"/>
    <w:rsid w:val="00E871A2"/>
    <w:rsid w:val="00E93688"/>
    <w:rsid w:val="00E94F14"/>
    <w:rsid w:val="00EA2E0C"/>
    <w:rsid w:val="00EA5281"/>
    <w:rsid w:val="00EA7ED8"/>
    <w:rsid w:val="00EB12C1"/>
    <w:rsid w:val="00EB3090"/>
    <w:rsid w:val="00EB4803"/>
    <w:rsid w:val="00EB500C"/>
    <w:rsid w:val="00EC0357"/>
    <w:rsid w:val="00EC214F"/>
    <w:rsid w:val="00ED2E63"/>
    <w:rsid w:val="00EE31A0"/>
    <w:rsid w:val="00EE3214"/>
    <w:rsid w:val="00EE504B"/>
    <w:rsid w:val="00EE6BB4"/>
    <w:rsid w:val="00F00A9D"/>
    <w:rsid w:val="00F05A65"/>
    <w:rsid w:val="00F05AD9"/>
    <w:rsid w:val="00F23703"/>
    <w:rsid w:val="00F23E51"/>
    <w:rsid w:val="00F31FE4"/>
    <w:rsid w:val="00F32EC5"/>
    <w:rsid w:val="00F35502"/>
    <w:rsid w:val="00F42D05"/>
    <w:rsid w:val="00F538D4"/>
    <w:rsid w:val="00F547C4"/>
    <w:rsid w:val="00F637B2"/>
    <w:rsid w:val="00F736C1"/>
    <w:rsid w:val="00F7679B"/>
    <w:rsid w:val="00F767D6"/>
    <w:rsid w:val="00F811EF"/>
    <w:rsid w:val="00F91B9E"/>
    <w:rsid w:val="00F94EA1"/>
    <w:rsid w:val="00F96D2B"/>
    <w:rsid w:val="00FA0CB4"/>
    <w:rsid w:val="00FA123C"/>
    <w:rsid w:val="00FA1A5E"/>
    <w:rsid w:val="00FA60B6"/>
    <w:rsid w:val="00FA7EFC"/>
    <w:rsid w:val="00FB1871"/>
    <w:rsid w:val="00FB203B"/>
    <w:rsid w:val="00FB22F6"/>
    <w:rsid w:val="00FB45CB"/>
    <w:rsid w:val="00FB5407"/>
    <w:rsid w:val="00FB799B"/>
    <w:rsid w:val="00FC29FA"/>
    <w:rsid w:val="00FC6940"/>
    <w:rsid w:val="00FD020E"/>
    <w:rsid w:val="00FD1402"/>
    <w:rsid w:val="00FD239B"/>
    <w:rsid w:val="00FE1832"/>
    <w:rsid w:val="00FE292F"/>
    <w:rsid w:val="00FE29A2"/>
    <w:rsid w:val="00FE5DD0"/>
    <w:rsid w:val="00FE6DE5"/>
    <w:rsid w:val="00FE7CEA"/>
    <w:rsid w:val="00FF1BA4"/>
    <w:rsid w:val="00FF1C4D"/>
    <w:rsid w:val="00FF3C1F"/>
    <w:rsid w:val="00FF7ACB"/>
    <w:rsid w:val="01257E30"/>
    <w:rsid w:val="01482F66"/>
    <w:rsid w:val="0167E779"/>
    <w:rsid w:val="01A61BFB"/>
    <w:rsid w:val="01B28664"/>
    <w:rsid w:val="01C3232A"/>
    <w:rsid w:val="01FBC9E3"/>
    <w:rsid w:val="0211D881"/>
    <w:rsid w:val="023EC007"/>
    <w:rsid w:val="0268A12E"/>
    <w:rsid w:val="02DB2ECD"/>
    <w:rsid w:val="02EEBA32"/>
    <w:rsid w:val="02FA48C0"/>
    <w:rsid w:val="030ADA12"/>
    <w:rsid w:val="03252ED9"/>
    <w:rsid w:val="033AC0E8"/>
    <w:rsid w:val="037FACB4"/>
    <w:rsid w:val="039570C5"/>
    <w:rsid w:val="03A873D1"/>
    <w:rsid w:val="03A9AE54"/>
    <w:rsid w:val="03AD757B"/>
    <w:rsid w:val="03DA67CC"/>
    <w:rsid w:val="04286561"/>
    <w:rsid w:val="045986ED"/>
    <w:rsid w:val="045E73F8"/>
    <w:rsid w:val="0486049E"/>
    <w:rsid w:val="048E4894"/>
    <w:rsid w:val="04CCED45"/>
    <w:rsid w:val="04F25662"/>
    <w:rsid w:val="04F9536D"/>
    <w:rsid w:val="0500EC6D"/>
    <w:rsid w:val="0520CACA"/>
    <w:rsid w:val="053A8D6D"/>
    <w:rsid w:val="0551F1BA"/>
    <w:rsid w:val="0582AD30"/>
    <w:rsid w:val="058489DF"/>
    <w:rsid w:val="059978B9"/>
    <w:rsid w:val="05A88486"/>
    <w:rsid w:val="05CB27CE"/>
    <w:rsid w:val="05E8D5B2"/>
    <w:rsid w:val="0600DD3E"/>
    <w:rsid w:val="0639C203"/>
    <w:rsid w:val="06457BFE"/>
    <w:rsid w:val="0663C9BC"/>
    <w:rsid w:val="06A8EA47"/>
    <w:rsid w:val="06B69D5C"/>
    <w:rsid w:val="06C96066"/>
    <w:rsid w:val="06DB1B45"/>
    <w:rsid w:val="0724AB79"/>
    <w:rsid w:val="072F4729"/>
    <w:rsid w:val="07310BC6"/>
    <w:rsid w:val="0747EF7F"/>
    <w:rsid w:val="07497DA9"/>
    <w:rsid w:val="07A08CA3"/>
    <w:rsid w:val="07B27D85"/>
    <w:rsid w:val="07DF5E7E"/>
    <w:rsid w:val="07ECB774"/>
    <w:rsid w:val="07F17E93"/>
    <w:rsid w:val="07F9098F"/>
    <w:rsid w:val="08205754"/>
    <w:rsid w:val="088121C7"/>
    <w:rsid w:val="096F04B7"/>
    <w:rsid w:val="097BD5BC"/>
    <w:rsid w:val="0989666A"/>
    <w:rsid w:val="09C7E5D8"/>
    <w:rsid w:val="09D45D90"/>
    <w:rsid w:val="09E3C710"/>
    <w:rsid w:val="09FA9D2D"/>
    <w:rsid w:val="0A02B4B6"/>
    <w:rsid w:val="0A07E951"/>
    <w:rsid w:val="0A0F0A14"/>
    <w:rsid w:val="0A1B67E7"/>
    <w:rsid w:val="0A42EE8F"/>
    <w:rsid w:val="0A4BDE7E"/>
    <w:rsid w:val="0A7CA79F"/>
    <w:rsid w:val="0A9100B0"/>
    <w:rsid w:val="0ABC002F"/>
    <w:rsid w:val="0AFB07BA"/>
    <w:rsid w:val="0B120585"/>
    <w:rsid w:val="0B2E8D6C"/>
    <w:rsid w:val="0B5FE9D1"/>
    <w:rsid w:val="0B7DCB2C"/>
    <w:rsid w:val="0BAA8644"/>
    <w:rsid w:val="0BC6C92A"/>
    <w:rsid w:val="0BDC88F1"/>
    <w:rsid w:val="0C052C0D"/>
    <w:rsid w:val="0C10425F"/>
    <w:rsid w:val="0C186BD2"/>
    <w:rsid w:val="0C219DBB"/>
    <w:rsid w:val="0C2E7B73"/>
    <w:rsid w:val="0C2EFE41"/>
    <w:rsid w:val="0C4291E0"/>
    <w:rsid w:val="0C4FE9A9"/>
    <w:rsid w:val="0C52DBF9"/>
    <w:rsid w:val="0C538FD1"/>
    <w:rsid w:val="0CACA646"/>
    <w:rsid w:val="0CB4C0EC"/>
    <w:rsid w:val="0CEA830D"/>
    <w:rsid w:val="0CF3C322"/>
    <w:rsid w:val="0D0749B1"/>
    <w:rsid w:val="0D0948FF"/>
    <w:rsid w:val="0D3E5388"/>
    <w:rsid w:val="0DB892C9"/>
    <w:rsid w:val="0E1B91E8"/>
    <w:rsid w:val="0E2498DF"/>
    <w:rsid w:val="0E47CEDE"/>
    <w:rsid w:val="0E508DE3"/>
    <w:rsid w:val="0E7B8F90"/>
    <w:rsid w:val="0EA4CD82"/>
    <w:rsid w:val="0EABA7DB"/>
    <w:rsid w:val="0EB1D11D"/>
    <w:rsid w:val="0ED7B47E"/>
    <w:rsid w:val="0EEDF492"/>
    <w:rsid w:val="0F0848C9"/>
    <w:rsid w:val="0F141A8E"/>
    <w:rsid w:val="0F2B39C1"/>
    <w:rsid w:val="0F501FBF"/>
    <w:rsid w:val="0F50E410"/>
    <w:rsid w:val="0F7D75BD"/>
    <w:rsid w:val="0FAB2CFC"/>
    <w:rsid w:val="106E76FB"/>
    <w:rsid w:val="107B9C86"/>
    <w:rsid w:val="10AA0B31"/>
    <w:rsid w:val="111CBAFC"/>
    <w:rsid w:val="11660650"/>
    <w:rsid w:val="116E36CC"/>
    <w:rsid w:val="1179D9B6"/>
    <w:rsid w:val="11BEF50A"/>
    <w:rsid w:val="11E7904F"/>
    <w:rsid w:val="12414EA6"/>
    <w:rsid w:val="126B96B5"/>
    <w:rsid w:val="1274AA23"/>
    <w:rsid w:val="1285235E"/>
    <w:rsid w:val="128A489F"/>
    <w:rsid w:val="12C7655D"/>
    <w:rsid w:val="12DBACD8"/>
    <w:rsid w:val="12E0EAE0"/>
    <w:rsid w:val="1333E286"/>
    <w:rsid w:val="133B5E5D"/>
    <w:rsid w:val="134656DE"/>
    <w:rsid w:val="1348A5FB"/>
    <w:rsid w:val="136AACED"/>
    <w:rsid w:val="1375B775"/>
    <w:rsid w:val="13761E0C"/>
    <w:rsid w:val="13BF98AE"/>
    <w:rsid w:val="13D77329"/>
    <w:rsid w:val="13E17C20"/>
    <w:rsid w:val="13E47189"/>
    <w:rsid w:val="13E9DAC5"/>
    <w:rsid w:val="13F7A4D0"/>
    <w:rsid w:val="13FA7493"/>
    <w:rsid w:val="13FFC42C"/>
    <w:rsid w:val="1420986C"/>
    <w:rsid w:val="143E924B"/>
    <w:rsid w:val="146F02C9"/>
    <w:rsid w:val="147ED964"/>
    <w:rsid w:val="14908726"/>
    <w:rsid w:val="149D21D3"/>
    <w:rsid w:val="14A645C1"/>
    <w:rsid w:val="14AD5AF5"/>
    <w:rsid w:val="1515E242"/>
    <w:rsid w:val="15293287"/>
    <w:rsid w:val="15310523"/>
    <w:rsid w:val="1572E1AF"/>
    <w:rsid w:val="15C1E961"/>
    <w:rsid w:val="15CE257A"/>
    <w:rsid w:val="1649EFA5"/>
    <w:rsid w:val="16658FE1"/>
    <w:rsid w:val="169A2E53"/>
    <w:rsid w:val="16D25536"/>
    <w:rsid w:val="16E35E37"/>
    <w:rsid w:val="170317EE"/>
    <w:rsid w:val="17080A55"/>
    <w:rsid w:val="171D9C9C"/>
    <w:rsid w:val="175D94FB"/>
    <w:rsid w:val="1772C4A2"/>
    <w:rsid w:val="1777E522"/>
    <w:rsid w:val="17990DD8"/>
    <w:rsid w:val="179D33DF"/>
    <w:rsid w:val="17A46FE6"/>
    <w:rsid w:val="17E74A80"/>
    <w:rsid w:val="180D5A8D"/>
    <w:rsid w:val="18240627"/>
    <w:rsid w:val="182CF7E6"/>
    <w:rsid w:val="1850D9AA"/>
    <w:rsid w:val="185A6FC3"/>
    <w:rsid w:val="18777FE7"/>
    <w:rsid w:val="187CC040"/>
    <w:rsid w:val="18B7E578"/>
    <w:rsid w:val="1912C4D3"/>
    <w:rsid w:val="19130DE3"/>
    <w:rsid w:val="192E9A41"/>
    <w:rsid w:val="193F0DDF"/>
    <w:rsid w:val="19515C5E"/>
    <w:rsid w:val="198134F3"/>
    <w:rsid w:val="19980900"/>
    <w:rsid w:val="19A03929"/>
    <w:rsid w:val="19C0160A"/>
    <w:rsid w:val="19EE66E7"/>
    <w:rsid w:val="19EF2809"/>
    <w:rsid w:val="19F258B0"/>
    <w:rsid w:val="1A17EFD2"/>
    <w:rsid w:val="1A195143"/>
    <w:rsid w:val="1A349D9E"/>
    <w:rsid w:val="1A34FF59"/>
    <w:rsid w:val="1A4B9248"/>
    <w:rsid w:val="1AA21310"/>
    <w:rsid w:val="1ABA568A"/>
    <w:rsid w:val="1AC06F39"/>
    <w:rsid w:val="1AE3C3FD"/>
    <w:rsid w:val="1AF9037B"/>
    <w:rsid w:val="1B457CB6"/>
    <w:rsid w:val="1B5AFFC6"/>
    <w:rsid w:val="1B5B5A92"/>
    <w:rsid w:val="1B7F7DF5"/>
    <w:rsid w:val="1B861567"/>
    <w:rsid w:val="1B877570"/>
    <w:rsid w:val="1BDFA565"/>
    <w:rsid w:val="1C71E89F"/>
    <w:rsid w:val="1C81E3E4"/>
    <w:rsid w:val="1C8D7AAE"/>
    <w:rsid w:val="1CB8B9EE"/>
    <w:rsid w:val="1CCCB209"/>
    <w:rsid w:val="1CDEDA07"/>
    <w:rsid w:val="1D2566A8"/>
    <w:rsid w:val="1D2A0FA2"/>
    <w:rsid w:val="1D47F268"/>
    <w:rsid w:val="1D545E53"/>
    <w:rsid w:val="1D5DC3FA"/>
    <w:rsid w:val="1D850F16"/>
    <w:rsid w:val="1DC4D2FA"/>
    <w:rsid w:val="1DD1B2BF"/>
    <w:rsid w:val="1DF98299"/>
    <w:rsid w:val="1EBDB3F4"/>
    <w:rsid w:val="1EEA86DF"/>
    <w:rsid w:val="1EF50E00"/>
    <w:rsid w:val="1F293914"/>
    <w:rsid w:val="1F3C8F39"/>
    <w:rsid w:val="1F9552FA"/>
    <w:rsid w:val="1FA612E3"/>
    <w:rsid w:val="1FD3224C"/>
    <w:rsid w:val="2008CB81"/>
    <w:rsid w:val="203EAAF7"/>
    <w:rsid w:val="2055BE6D"/>
    <w:rsid w:val="206C9F13"/>
    <w:rsid w:val="20879F3D"/>
    <w:rsid w:val="20933636"/>
    <w:rsid w:val="2117897A"/>
    <w:rsid w:val="21812FFC"/>
    <w:rsid w:val="218C855F"/>
    <w:rsid w:val="21C35DC8"/>
    <w:rsid w:val="21D82521"/>
    <w:rsid w:val="22121736"/>
    <w:rsid w:val="2260D9D6"/>
    <w:rsid w:val="22822CD8"/>
    <w:rsid w:val="22AEF08F"/>
    <w:rsid w:val="22CFD16E"/>
    <w:rsid w:val="22DE3B77"/>
    <w:rsid w:val="22EF4821"/>
    <w:rsid w:val="22F8BDEE"/>
    <w:rsid w:val="231B662A"/>
    <w:rsid w:val="231FD363"/>
    <w:rsid w:val="2324AAA4"/>
    <w:rsid w:val="233E11D2"/>
    <w:rsid w:val="237F3103"/>
    <w:rsid w:val="23897A5A"/>
    <w:rsid w:val="23F886F1"/>
    <w:rsid w:val="241664E3"/>
    <w:rsid w:val="242635BB"/>
    <w:rsid w:val="24571FB3"/>
    <w:rsid w:val="24A59819"/>
    <w:rsid w:val="24BAD69E"/>
    <w:rsid w:val="250085D5"/>
    <w:rsid w:val="25092F0D"/>
    <w:rsid w:val="2516A58A"/>
    <w:rsid w:val="25324043"/>
    <w:rsid w:val="25525EBF"/>
    <w:rsid w:val="25608B72"/>
    <w:rsid w:val="25A5BE38"/>
    <w:rsid w:val="25B08DC7"/>
    <w:rsid w:val="25BF7B5D"/>
    <w:rsid w:val="25C29D3C"/>
    <w:rsid w:val="25E63A2D"/>
    <w:rsid w:val="26432309"/>
    <w:rsid w:val="264DB5BB"/>
    <w:rsid w:val="268E4B2B"/>
    <w:rsid w:val="269486D1"/>
    <w:rsid w:val="269E6946"/>
    <w:rsid w:val="26B35ABB"/>
    <w:rsid w:val="26EED2BD"/>
    <w:rsid w:val="26F11549"/>
    <w:rsid w:val="2735C2E5"/>
    <w:rsid w:val="27606287"/>
    <w:rsid w:val="27A2AA69"/>
    <w:rsid w:val="27A41510"/>
    <w:rsid w:val="27DEF36A"/>
    <w:rsid w:val="27ED86D7"/>
    <w:rsid w:val="27F43FC9"/>
    <w:rsid w:val="28BF5FA4"/>
    <w:rsid w:val="28C08E23"/>
    <w:rsid w:val="28CA4922"/>
    <w:rsid w:val="28D3096E"/>
    <w:rsid w:val="28F9A226"/>
    <w:rsid w:val="29235A19"/>
    <w:rsid w:val="292BC8CE"/>
    <w:rsid w:val="2932DA32"/>
    <w:rsid w:val="2937434A"/>
    <w:rsid w:val="29497414"/>
    <w:rsid w:val="295E5197"/>
    <w:rsid w:val="29858008"/>
    <w:rsid w:val="29CB67DF"/>
    <w:rsid w:val="29EA2466"/>
    <w:rsid w:val="29F03117"/>
    <w:rsid w:val="2A0ABB5B"/>
    <w:rsid w:val="2A0AF26B"/>
    <w:rsid w:val="2A299036"/>
    <w:rsid w:val="2A4571BC"/>
    <w:rsid w:val="2A63D928"/>
    <w:rsid w:val="2A88F625"/>
    <w:rsid w:val="2A968173"/>
    <w:rsid w:val="2B460953"/>
    <w:rsid w:val="2B799493"/>
    <w:rsid w:val="2B8002AD"/>
    <w:rsid w:val="2BA8E704"/>
    <w:rsid w:val="2BB0A462"/>
    <w:rsid w:val="2BDC92EC"/>
    <w:rsid w:val="2BE45740"/>
    <w:rsid w:val="2BE62056"/>
    <w:rsid w:val="2BEC5D1A"/>
    <w:rsid w:val="2C31BAA9"/>
    <w:rsid w:val="2CCD532C"/>
    <w:rsid w:val="2CF09B65"/>
    <w:rsid w:val="2CF348C6"/>
    <w:rsid w:val="2D07849F"/>
    <w:rsid w:val="2D124B3A"/>
    <w:rsid w:val="2D61B793"/>
    <w:rsid w:val="2D6C6B4D"/>
    <w:rsid w:val="2D9858D8"/>
    <w:rsid w:val="2D986831"/>
    <w:rsid w:val="2DBF64B9"/>
    <w:rsid w:val="2DE769DE"/>
    <w:rsid w:val="2DEB9639"/>
    <w:rsid w:val="2E12E9B1"/>
    <w:rsid w:val="2E1738CF"/>
    <w:rsid w:val="2E56D50E"/>
    <w:rsid w:val="2E594484"/>
    <w:rsid w:val="2E637B44"/>
    <w:rsid w:val="2E83A6F8"/>
    <w:rsid w:val="2E8759B4"/>
    <w:rsid w:val="2E9CB92A"/>
    <w:rsid w:val="2EB14C68"/>
    <w:rsid w:val="2ECE2084"/>
    <w:rsid w:val="2EDDA6C7"/>
    <w:rsid w:val="2EF1196A"/>
    <w:rsid w:val="2EF7AD5C"/>
    <w:rsid w:val="2F07D001"/>
    <w:rsid w:val="2F197FC7"/>
    <w:rsid w:val="2F431C8E"/>
    <w:rsid w:val="2F49148F"/>
    <w:rsid w:val="2F4DB983"/>
    <w:rsid w:val="2F789F50"/>
    <w:rsid w:val="2FAFABDC"/>
    <w:rsid w:val="2FB7E0D0"/>
    <w:rsid w:val="2FFB0E50"/>
    <w:rsid w:val="3044FD6D"/>
    <w:rsid w:val="30598A07"/>
    <w:rsid w:val="30AEB7F4"/>
    <w:rsid w:val="30D3D82C"/>
    <w:rsid w:val="30E8AE7D"/>
    <w:rsid w:val="3118DDD1"/>
    <w:rsid w:val="3130D245"/>
    <w:rsid w:val="313AF89F"/>
    <w:rsid w:val="313BBEEB"/>
    <w:rsid w:val="3185D5B0"/>
    <w:rsid w:val="31B35914"/>
    <w:rsid w:val="31C991FD"/>
    <w:rsid w:val="31CF0594"/>
    <w:rsid w:val="31F55A68"/>
    <w:rsid w:val="32047E9C"/>
    <w:rsid w:val="32167DEE"/>
    <w:rsid w:val="3217F036"/>
    <w:rsid w:val="32217037"/>
    <w:rsid w:val="323CF617"/>
    <w:rsid w:val="3244AE17"/>
    <w:rsid w:val="32A175F3"/>
    <w:rsid w:val="32AC9FD7"/>
    <w:rsid w:val="32B12D26"/>
    <w:rsid w:val="32C06324"/>
    <w:rsid w:val="32D80036"/>
    <w:rsid w:val="32E61316"/>
    <w:rsid w:val="3317CB5D"/>
    <w:rsid w:val="33266D85"/>
    <w:rsid w:val="336AC093"/>
    <w:rsid w:val="33784164"/>
    <w:rsid w:val="33AF7DD7"/>
    <w:rsid w:val="340AE67D"/>
    <w:rsid w:val="34279B87"/>
    <w:rsid w:val="342C5B05"/>
    <w:rsid w:val="343D5FE7"/>
    <w:rsid w:val="344FC996"/>
    <w:rsid w:val="345AED53"/>
    <w:rsid w:val="348B26FF"/>
    <w:rsid w:val="348D5694"/>
    <w:rsid w:val="3499AADC"/>
    <w:rsid w:val="34A1D643"/>
    <w:rsid w:val="34BA4FF3"/>
    <w:rsid w:val="34D3C33C"/>
    <w:rsid w:val="3501E9E7"/>
    <w:rsid w:val="35196AAF"/>
    <w:rsid w:val="3530B398"/>
    <w:rsid w:val="353CFE86"/>
    <w:rsid w:val="353D9EFB"/>
    <w:rsid w:val="354ED2E1"/>
    <w:rsid w:val="357FAD50"/>
    <w:rsid w:val="35880F36"/>
    <w:rsid w:val="3592D6DE"/>
    <w:rsid w:val="359903E8"/>
    <w:rsid w:val="35F4E911"/>
    <w:rsid w:val="36171E9B"/>
    <w:rsid w:val="363643C2"/>
    <w:rsid w:val="366027C4"/>
    <w:rsid w:val="36A335F0"/>
    <w:rsid w:val="36AC5C7B"/>
    <w:rsid w:val="36F4E15A"/>
    <w:rsid w:val="371AF6ED"/>
    <w:rsid w:val="3729337B"/>
    <w:rsid w:val="372BE468"/>
    <w:rsid w:val="373C0BD5"/>
    <w:rsid w:val="37656A5D"/>
    <w:rsid w:val="379F8AC5"/>
    <w:rsid w:val="37B45A03"/>
    <w:rsid w:val="37C40E28"/>
    <w:rsid w:val="380019D7"/>
    <w:rsid w:val="38052416"/>
    <w:rsid w:val="38088D92"/>
    <w:rsid w:val="3877895E"/>
    <w:rsid w:val="389CF2CC"/>
    <w:rsid w:val="38A5E936"/>
    <w:rsid w:val="38B01EFF"/>
    <w:rsid w:val="38BBA3FD"/>
    <w:rsid w:val="38D519AF"/>
    <w:rsid w:val="38F7350B"/>
    <w:rsid w:val="390B86A9"/>
    <w:rsid w:val="390FB957"/>
    <w:rsid w:val="391F65F3"/>
    <w:rsid w:val="393A2967"/>
    <w:rsid w:val="393CE0DE"/>
    <w:rsid w:val="3947D92F"/>
    <w:rsid w:val="39635ECB"/>
    <w:rsid w:val="3991FE5A"/>
    <w:rsid w:val="399C42E6"/>
    <w:rsid w:val="39A83D3E"/>
    <w:rsid w:val="39D0AB72"/>
    <w:rsid w:val="39DF5CCA"/>
    <w:rsid w:val="39F0FC5D"/>
    <w:rsid w:val="3A10D126"/>
    <w:rsid w:val="3A117591"/>
    <w:rsid w:val="3A1681BB"/>
    <w:rsid w:val="3A2C7D48"/>
    <w:rsid w:val="3A5360FD"/>
    <w:rsid w:val="3A539E23"/>
    <w:rsid w:val="3A809608"/>
    <w:rsid w:val="3AE06286"/>
    <w:rsid w:val="3AE3289D"/>
    <w:rsid w:val="3AE9AF11"/>
    <w:rsid w:val="3AF193F7"/>
    <w:rsid w:val="3B422089"/>
    <w:rsid w:val="3B451802"/>
    <w:rsid w:val="3B6F9C80"/>
    <w:rsid w:val="3B71B6C0"/>
    <w:rsid w:val="3BB4CE3D"/>
    <w:rsid w:val="3BE672DB"/>
    <w:rsid w:val="3BF101BE"/>
    <w:rsid w:val="3C1AA255"/>
    <w:rsid w:val="3C214E1F"/>
    <w:rsid w:val="3C3183EA"/>
    <w:rsid w:val="3C5F909D"/>
    <w:rsid w:val="3C6390CC"/>
    <w:rsid w:val="3C89C7F6"/>
    <w:rsid w:val="3C9C69CB"/>
    <w:rsid w:val="3CB4DFEB"/>
    <w:rsid w:val="3CCDA2F6"/>
    <w:rsid w:val="3CDCEEF1"/>
    <w:rsid w:val="3D0998DF"/>
    <w:rsid w:val="3D26B877"/>
    <w:rsid w:val="3D5F5AEE"/>
    <w:rsid w:val="3D67B065"/>
    <w:rsid w:val="3D6CE775"/>
    <w:rsid w:val="3D8F8FAE"/>
    <w:rsid w:val="3DFE6414"/>
    <w:rsid w:val="3DFE89CE"/>
    <w:rsid w:val="3E00E534"/>
    <w:rsid w:val="3E0EFE3C"/>
    <w:rsid w:val="3E45228C"/>
    <w:rsid w:val="3E51152D"/>
    <w:rsid w:val="3E541A00"/>
    <w:rsid w:val="3E7464A8"/>
    <w:rsid w:val="3EBBCFDF"/>
    <w:rsid w:val="3ED8CF6A"/>
    <w:rsid w:val="3EE127CB"/>
    <w:rsid w:val="3EF30BF3"/>
    <w:rsid w:val="3F0F8323"/>
    <w:rsid w:val="3F2A3D71"/>
    <w:rsid w:val="3F42E685"/>
    <w:rsid w:val="3F5340CB"/>
    <w:rsid w:val="3FC8FDB8"/>
    <w:rsid w:val="3FD3782D"/>
    <w:rsid w:val="3FF1394E"/>
    <w:rsid w:val="3FF77245"/>
    <w:rsid w:val="4007395C"/>
    <w:rsid w:val="40136A0D"/>
    <w:rsid w:val="40145EC9"/>
    <w:rsid w:val="40728B86"/>
    <w:rsid w:val="40A2AF1C"/>
    <w:rsid w:val="40B3AD6F"/>
    <w:rsid w:val="4116771F"/>
    <w:rsid w:val="41243962"/>
    <w:rsid w:val="413B4CF3"/>
    <w:rsid w:val="414083C3"/>
    <w:rsid w:val="416F6EDE"/>
    <w:rsid w:val="41AF3A12"/>
    <w:rsid w:val="41EFCE5B"/>
    <w:rsid w:val="41F2A658"/>
    <w:rsid w:val="422DFC46"/>
    <w:rsid w:val="422EBD63"/>
    <w:rsid w:val="42A004F7"/>
    <w:rsid w:val="43546727"/>
    <w:rsid w:val="437D19AE"/>
    <w:rsid w:val="437DD1A6"/>
    <w:rsid w:val="4385D701"/>
    <w:rsid w:val="438B9EBC"/>
    <w:rsid w:val="4393B735"/>
    <w:rsid w:val="43AC7F8D"/>
    <w:rsid w:val="43D78617"/>
    <w:rsid w:val="43F7CB23"/>
    <w:rsid w:val="44347673"/>
    <w:rsid w:val="44615302"/>
    <w:rsid w:val="4491B2B8"/>
    <w:rsid w:val="449D3931"/>
    <w:rsid w:val="44B1BE1D"/>
    <w:rsid w:val="44C1185C"/>
    <w:rsid w:val="44DD97C7"/>
    <w:rsid w:val="44DFE17A"/>
    <w:rsid w:val="4505682B"/>
    <w:rsid w:val="450E46C0"/>
    <w:rsid w:val="451BD4DE"/>
    <w:rsid w:val="4540247B"/>
    <w:rsid w:val="4582E284"/>
    <w:rsid w:val="458D354F"/>
    <w:rsid w:val="459056FC"/>
    <w:rsid w:val="45CAF868"/>
    <w:rsid w:val="45E1BE57"/>
    <w:rsid w:val="45EEB2FA"/>
    <w:rsid w:val="45F5D8EE"/>
    <w:rsid w:val="460E5352"/>
    <w:rsid w:val="4614FDAA"/>
    <w:rsid w:val="463DD21E"/>
    <w:rsid w:val="46419B32"/>
    <w:rsid w:val="4670413B"/>
    <w:rsid w:val="467FB8F2"/>
    <w:rsid w:val="468351C8"/>
    <w:rsid w:val="46B1DBA8"/>
    <w:rsid w:val="47165880"/>
    <w:rsid w:val="4719BC19"/>
    <w:rsid w:val="4722ED2A"/>
    <w:rsid w:val="47272394"/>
    <w:rsid w:val="4728462A"/>
    <w:rsid w:val="474EE0F0"/>
    <w:rsid w:val="476E140C"/>
    <w:rsid w:val="47982A67"/>
    <w:rsid w:val="47C9EA20"/>
    <w:rsid w:val="47D66AB6"/>
    <w:rsid w:val="47DD4B65"/>
    <w:rsid w:val="4816C2A8"/>
    <w:rsid w:val="4845E782"/>
    <w:rsid w:val="48634D34"/>
    <w:rsid w:val="48A11C86"/>
    <w:rsid w:val="48F700F0"/>
    <w:rsid w:val="49010B1E"/>
    <w:rsid w:val="49035B54"/>
    <w:rsid w:val="4928B0E0"/>
    <w:rsid w:val="492B4E4B"/>
    <w:rsid w:val="492DED3A"/>
    <w:rsid w:val="49B3ECBD"/>
    <w:rsid w:val="49DED1FB"/>
    <w:rsid w:val="49EB1A94"/>
    <w:rsid w:val="4A2D4469"/>
    <w:rsid w:val="4A56FD1D"/>
    <w:rsid w:val="4A5C64A5"/>
    <w:rsid w:val="4AB0F705"/>
    <w:rsid w:val="4B0F99F7"/>
    <w:rsid w:val="4B48E9D2"/>
    <w:rsid w:val="4B4E6156"/>
    <w:rsid w:val="4B534608"/>
    <w:rsid w:val="4B5C88C1"/>
    <w:rsid w:val="4B7ABB6B"/>
    <w:rsid w:val="4BD0DA81"/>
    <w:rsid w:val="4BE10EEC"/>
    <w:rsid w:val="4BF0B794"/>
    <w:rsid w:val="4BF6AEEE"/>
    <w:rsid w:val="4C29F21B"/>
    <w:rsid w:val="4C32BCAC"/>
    <w:rsid w:val="4C37CC56"/>
    <w:rsid w:val="4C3E9869"/>
    <w:rsid w:val="4C44FED2"/>
    <w:rsid w:val="4C50412D"/>
    <w:rsid w:val="4C5054C3"/>
    <w:rsid w:val="4C822AB2"/>
    <w:rsid w:val="4CC12934"/>
    <w:rsid w:val="4CD145AA"/>
    <w:rsid w:val="4CF00AEF"/>
    <w:rsid w:val="4D23D003"/>
    <w:rsid w:val="4D55FB03"/>
    <w:rsid w:val="4D5B88CB"/>
    <w:rsid w:val="4D654000"/>
    <w:rsid w:val="4D69E295"/>
    <w:rsid w:val="4D6D6A6C"/>
    <w:rsid w:val="4D7DB3BC"/>
    <w:rsid w:val="4D909E35"/>
    <w:rsid w:val="4D941024"/>
    <w:rsid w:val="4D964EF6"/>
    <w:rsid w:val="4DE44C77"/>
    <w:rsid w:val="4DE6E342"/>
    <w:rsid w:val="4DFC4F7D"/>
    <w:rsid w:val="4E789A74"/>
    <w:rsid w:val="4E822463"/>
    <w:rsid w:val="4E8FF455"/>
    <w:rsid w:val="4EA5460A"/>
    <w:rsid w:val="4ECA72C6"/>
    <w:rsid w:val="4ECF3059"/>
    <w:rsid w:val="4EF07452"/>
    <w:rsid w:val="4F02E541"/>
    <w:rsid w:val="4F050833"/>
    <w:rsid w:val="4F52175F"/>
    <w:rsid w:val="4F5957D7"/>
    <w:rsid w:val="4F5F3CFC"/>
    <w:rsid w:val="4FC881D2"/>
    <w:rsid w:val="4FCEA3FD"/>
    <w:rsid w:val="4FF3A862"/>
    <w:rsid w:val="503615B2"/>
    <w:rsid w:val="504ED33A"/>
    <w:rsid w:val="506A73BD"/>
    <w:rsid w:val="509DAF0B"/>
    <w:rsid w:val="50E9A734"/>
    <w:rsid w:val="51A4A036"/>
    <w:rsid w:val="51EF92C6"/>
    <w:rsid w:val="520525FF"/>
    <w:rsid w:val="520F065F"/>
    <w:rsid w:val="522FD28E"/>
    <w:rsid w:val="525E3BEE"/>
    <w:rsid w:val="5281E107"/>
    <w:rsid w:val="52B5A774"/>
    <w:rsid w:val="52BB3D22"/>
    <w:rsid w:val="52D35292"/>
    <w:rsid w:val="52EE3DE2"/>
    <w:rsid w:val="52FCAD4C"/>
    <w:rsid w:val="534E72E0"/>
    <w:rsid w:val="5373FD4F"/>
    <w:rsid w:val="53854245"/>
    <w:rsid w:val="5388A539"/>
    <w:rsid w:val="539863C4"/>
    <w:rsid w:val="53AAD6C0"/>
    <w:rsid w:val="53AC310C"/>
    <w:rsid w:val="53BB5BBA"/>
    <w:rsid w:val="53FBD74F"/>
    <w:rsid w:val="54168E2B"/>
    <w:rsid w:val="542F79A2"/>
    <w:rsid w:val="54308387"/>
    <w:rsid w:val="54476629"/>
    <w:rsid w:val="54A750CD"/>
    <w:rsid w:val="54CCA52D"/>
    <w:rsid w:val="54DBA984"/>
    <w:rsid w:val="54FFD8FA"/>
    <w:rsid w:val="55088AB6"/>
    <w:rsid w:val="551BCB79"/>
    <w:rsid w:val="55B981C9"/>
    <w:rsid w:val="55CB4A03"/>
    <w:rsid w:val="55FE5137"/>
    <w:rsid w:val="5606285D"/>
    <w:rsid w:val="56106132"/>
    <w:rsid w:val="5626A8B6"/>
    <w:rsid w:val="5638C095"/>
    <w:rsid w:val="564A3892"/>
    <w:rsid w:val="564FCFC9"/>
    <w:rsid w:val="566D0ACA"/>
    <w:rsid w:val="569D37DA"/>
    <w:rsid w:val="56B7FE66"/>
    <w:rsid w:val="56B81B8F"/>
    <w:rsid w:val="56BBFEF4"/>
    <w:rsid w:val="571FC72D"/>
    <w:rsid w:val="574C8260"/>
    <w:rsid w:val="574EAED0"/>
    <w:rsid w:val="5754560B"/>
    <w:rsid w:val="576FE879"/>
    <w:rsid w:val="578A3D32"/>
    <w:rsid w:val="57A80900"/>
    <w:rsid w:val="57B28EBD"/>
    <w:rsid w:val="57D3652E"/>
    <w:rsid w:val="57E615E9"/>
    <w:rsid w:val="57EFDA78"/>
    <w:rsid w:val="58080495"/>
    <w:rsid w:val="583FEC6D"/>
    <w:rsid w:val="58401C76"/>
    <w:rsid w:val="58513479"/>
    <w:rsid w:val="588ECCDD"/>
    <w:rsid w:val="589EFE8F"/>
    <w:rsid w:val="58DF750B"/>
    <w:rsid w:val="58E06988"/>
    <w:rsid w:val="58E09006"/>
    <w:rsid w:val="58E2E761"/>
    <w:rsid w:val="58E7BBE9"/>
    <w:rsid w:val="5943686A"/>
    <w:rsid w:val="59617B8D"/>
    <w:rsid w:val="596F01FB"/>
    <w:rsid w:val="59891B86"/>
    <w:rsid w:val="599FC5D2"/>
    <w:rsid w:val="59BC0134"/>
    <w:rsid w:val="59D9C145"/>
    <w:rsid w:val="59ED9A2E"/>
    <w:rsid w:val="5A02FFD8"/>
    <w:rsid w:val="5A19C70E"/>
    <w:rsid w:val="5A251083"/>
    <w:rsid w:val="5A3CDA5B"/>
    <w:rsid w:val="5A4EE204"/>
    <w:rsid w:val="5A6334DE"/>
    <w:rsid w:val="5AA06155"/>
    <w:rsid w:val="5AE28CF7"/>
    <w:rsid w:val="5AE7EAD8"/>
    <w:rsid w:val="5B3DAD19"/>
    <w:rsid w:val="5B4D5D1B"/>
    <w:rsid w:val="5BDE974A"/>
    <w:rsid w:val="5BFEF2CE"/>
    <w:rsid w:val="5BFF774F"/>
    <w:rsid w:val="5C16797C"/>
    <w:rsid w:val="5C1A8823"/>
    <w:rsid w:val="5C39AC16"/>
    <w:rsid w:val="5C4B0371"/>
    <w:rsid w:val="5C944076"/>
    <w:rsid w:val="5C975E88"/>
    <w:rsid w:val="5C9CB557"/>
    <w:rsid w:val="5CA1F178"/>
    <w:rsid w:val="5CB37B6F"/>
    <w:rsid w:val="5D12D416"/>
    <w:rsid w:val="5D853918"/>
    <w:rsid w:val="5DC74DE6"/>
    <w:rsid w:val="5DCD8A0C"/>
    <w:rsid w:val="5DD25834"/>
    <w:rsid w:val="5DE1BA82"/>
    <w:rsid w:val="5E297AEA"/>
    <w:rsid w:val="5E2B8056"/>
    <w:rsid w:val="5E2F4A57"/>
    <w:rsid w:val="5E4A7372"/>
    <w:rsid w:val="5E659D9D"/>
    <w:rsid w:val="5E692032"/>
    <w:rsid w:val="5E754DDB"/>
    <w:rsid w:val="5E7BA6CF"/>
    <w:rsid w:val="5EAE3A8E"/>
    <w:rsid w:val="5EC49561"/>
    <w:rsid w:val="5ED23E37"/>
    <w:rsid w:val="5EE5FC49"/>
    <w:rsid w:val="5F736FE6"/>
    <w:rsid w:val="5F89BFED"/>
    <w:rsid w:val="5F8D5760"/>
    <w:rsid w:val="5F8F789E"/>
    <w:rsid w:val="5FA46F7F"/>
    <w:rsid w:val="5FC952ED"/>
    <w:rsid w:val="6047E567"/>
    <w:rsid w:val="606A6EA8"/>
    <w:rsid w:val="607141FC"/>
    <w:rsid w:val="60816F31"/>
    <w:rsid w:val="608653A0"/>
    <w:rsid w:val="60A225FF"/>
    <w:rsid w:val="60EBCB35"/>
    <w:rsid w:val="60FE3551"/>
    <w:rsid w:val="611F9760"/>
    <w:rsid w:val="61390F26"/>
    <w:rsid w:val="6147EFDC"/>
    <w:rsid w:val="6160D341"/>
    <w:rsid w:val="6168071E"/>
    <w:rsid w:val="61A5C3F2"/>
    <w:rsid w:val="61B3D903"/>
    <w:rsid w:val="61BC0DD5"/>
    <w:rsid w:val="61BF3B3B"/>
    <w:rsid w:val="61C998A3"/>
    <w:rsid w:val="61CAF2C6"/>
    <w:rsid w:val="61EC0E78"/>
    <w:rsid w:val="6211700D"/>
    <w:rsid w:val="62284971"/>
    <w:rsid w:val="622C1147"/>
    <w:rsid w:val="623A020B"/>
    <w:rsid w:val="624A1796"/>
    <w:rsid w:val="624C1C6D"/>
    <w:rsid w:val="625E302A"/>
    <w:rsid w:val="6267F866"/>
    <w:rsid w:val="626C9010"/>
    <w:rsid w:val="628EE956"/>
    <w:rsid w:val="62D9762D"/>
    <w:rsid w:val="62E9636C"/>
    <w:rsid w:val="62EB1928"/>
    <w:rsid w:val="630F933D"/>
    <w:rsid w:val="631A4DE2"/>
    <w:rsid w:val="63570578"/>
    <w:rsid w:val="63C8BCC6"/>
    <w:rsid w:val="63D548C2"/>
    <w:rsid w:val="63D58408"/>
    <w:rsid w:val="63E98C06"/>
    <w:rsid w:val="64067220"/>
    <w:rsid w:val="641A24F2"/>
    <w:rsid w:val="64368FE0"/>
    <w:rsid w:val="649B42FA"/>
    <w:rsid w:val="64B4388C"/>
    <w:rsid w:val="64B9D6B1"/>
    <w:rsid w:val="64C313B4"/>
    <w:rsid w:val="65280C34"/>
    <w:rsid w:val="655AB51E"/>
    <w:rsid w:val="656630B0"/>
    <w:rsid w:val="6569C9C2"/>
    <w:rsid w:val="65753AD8"/>
    <w:rsid w:val="6581BD8D"/>
    <w:rsid w:val="65875281"/>
    <w:rsid w:val="6592A08A"/>
    <w:rsid w:val="65A041B4"/>
    <w:rsid w:val="65A3A4F9"/>
    <w:rsid w:val="65A90105"/>
    <w:rsid w:val="65AF48E6"/>
    <w:rsid w:val="65B4E122"/>
    <w:rsid w:val="65D412FC"/>
    <w:rsid w:val="65DC5D9B"/>
    <w:rsid w:val="65EDF04F"/>
    <w:rsid w:val="65FEB399"/>
    <w:rsid w:val="660E7BB9"/>
    <w:rsid w:val="66101154"/>
    <w:rsid w:val="661B5008"/>
    <w:rsid w:val="66322F4C"/>
    <w:rsid w:val="664010C2"/>
    <w:rsid w:val="664DDD26"/>
    <w:rsid w:val="6658A579"/>
    <w:rsid w:val="66840DF0"/>
    <w:rsid w:val="6688EA32"/>
    <w:rsid w:val="6690856C"/>
    <w:rsid w:val="66ACA553"/>
    <w:rsid w:val="66B25F85"/>
    <w:rsid w:val="66B52E7A"/>
    <w:rsid w:val="66C427BF"/>
    <w:rsid w:val="66DC3B4D"/>
    <w:rsid w:val="66E28990"/>
    <w:rsid w:val="66F01D50"/>
    <w:rsid w:val="66FBE1A7"/>
    <w:rsid w:val="67052ECF"/>
    <w:rsid w:val="675CC99E"/>
    <w:rsid w:val="67651D00"/>
    <w:rsid w:val="677801A9"/>
    <w:rsid w:val="679CAD8D"/>
    <w:rsid w:val="684B210B"/>
    <w:rsid w:val="684D7241"/>
    <w:rsid w:val="685332B6"/>
    <w:rsid w:val="6861394A"/>
    <w:rsid w:val="68C743A5"/>
    <w:rsid w:val="68E6DECD"/>
    <w:rsid w:val="690A78E4"/>
    <w:rsid w:val="690EF7E2"/>
    <w:rsid w:val="69A3768A"/>
    <w:rsid w:val="69C18CD4"/>
    <w:rsid w:val="69E17C44"/>
    <w:rsid w:val="69F13BDB"/>
    <w:rsid w:val="69FAC068"/>
    <w:rsid w:val="6A36A6C0"/>
    <w:rsid w:val="6A9D2644"/>
    <w:rsid w:val="6AA4F270"/>
    <w:rsid w:val="6AA927E8"/>
    <w:rsid w:val="6AF8A6EF"/>
    <w:rsid w:val="6B0BA437"/>
    <w:rsid w:val="6B41D6D3"/>
    <w:rsid w:val="6B448E4A"/>
    <w:rsid w:val="6B506C92"/>
    <w:rsid w:val="6B8D8FBD"/>
    <w:rsid w:val="6BA767A6"/>
    <w:rsid w:val="6BBA148F"/>
    <w:rsid w:val="6BE1BCF7"/>
    <w:rsid w:val="6BE6FCF1"/>
    <w:rsid w:val="6C077A07"/>
    <w:rsid w:val="6C2030D8"/>
    <w:rsid w:val="6C45D131"/>
    <w:rsid w:val="6C50547C"/>
    <w:rsid w:val="6C633F5F"/>
    <w:rsid w:val="6C7F47BE"/>
    <w:rsid w:val="6C8F4AD2"/>
    <w:rsid w:val="6CB5A464"/>
    <w:rsid w:val="6CC977CE"/>
    <w:rsid w:val="6CCB4ACF"/>
    <w:rsid w:val="6CE1D5E2"/>
    <w:rsid w:val="6D04955B"/>
    <w:rsid w:val="6D8E88E5"/>
    <w:rsid w:val="6DC20736"/>
    <w:rsid w:val="6DC3D0C0"/>
    <w:rsid w:val="6DE104F1"/>
    <w:rsid w:val="6DE6C96B"/>
    <w:rsid w:val="6DF5B0D5"/>
    <w:rsid w:val="6E2FECDC"/>
    <w:rsid w:val="6E558AF0"/>
    <w:rsid w:val="6E735077"/>
    <w:rsid w:val="6E7C7130"/>
    <w:rsid w:val="6E9DCD5A"/>
    <w:rsid w:val="6EA130E9"/>
    <w:rsid w:val="6EF63FCA"/>
    <w:rsid w:val="6F5A2679"/>
    <w:rsid w:val="6F5A8D65"/>
    <w:rsid w:val="6F680F89"/>
    <w:rsid w:val="6F79947C"/>
    <w:rsid w:val="6F9F6D2D"/>
    <w:rsid w:val="6FC0BDA8"/>
    <w:rsid w:val="6FC23D5E"/>
    <w:rsid w:val="6FFFA4C6"/>
    <w:rsid w:val="7057C0FC"/>
    <w:rsid w:val="70696B5D"/>
    <w:rsid w:val="707B2FB1"/>
    <w:rsid w:val="70814FE4"/>
    <w:rsid w:val="7081DC00"/>
    <w:rsid w:val="70824415"/>
    <w:rsid w:val="709EC7B5"/>
    <w:rsid w:val="70CC011B"/>
    <w:rsid w:val="70E4BAC3"/>
    <w:rsid w:val="70E7F506"/>
    <w:rsid w:val="71010387"/>
    <w:rsid w:val="711239BF"/>
    <w:rsid w:val="7112D527"/>
    <w:rsid w:val="7112E59D"/>
    <w:rsid w:val="7138E9E5"/>
    <w:rsid w:val="714FA0D4"/>
    <w:rsid w:val="715D7F7B"/>
    <w:rsid w:val="7170DE48"/>
    <w:rsid w:val="7192592E"/>
    <w:rsid w:val="71C17DD0"/>
    <w:rsid w:val="71E72CB7"/>
    <w:rsid w:val="71EA43CA"/>
    <w:rsid w:val="71EB6C9A"/>
    <w:rsid w:val="71F2392B"/>
    <w:rsid w:val="71F6D894"/>
    <w:rsid w:val="7207D685"/>
    <w:rsid w:val="723E1B53"/>
    <w:rsid w:val="7240E9B0"/>
    <w:rsid w:val="725E353E"/>
    <w:rsid w:val="7263BE69"/>
    <w:rsid w:val="727498B6"/>
    <w:rsid w:val="7276F04F"/>
    <w:rsid w:val="72CEE015"/>
    <w:rsid w:val="730769BE"/>
    <w:rsid w:val="730CD2C1"/>
    <w:rsid w:val="73153BF2"/>
    <w:rsid w:val="7337F4D4"/>
    <w:rsid w:val="733A7FBA"/>
    <w:rsid w:val="735AAEE2"/>
    <w:rsid w:val="73BDD1E7"/>
    <w:rsid w:val="73DB54A6"/>
    <w:rsid w:val="73DEF20F"/>
    <w:rsid w:val="73FCF7C7"/>
    <w:rsid w:val="74368CED"/>
    <w:rsid w:val="7439C74D"/>
    <w:rsid w:val="74433571"/>
    <w:rsid w:val="7479375B"/>
    <w:rsid w:val="747CA591"/>
    <w:rsid w:val="747D8029"/>
    <w:rsid w:val="74856FC9"/>
    <w:rsid w:val="748E2316"/>
    <w:rsid w:val="74944D89"/>
    <w:rsid w:val="74949D00"/>
    <w:rsid w:val="749FDC1E"/>
    <w:rsid w:val="74E5AA6B"/>
    <w:rsid w:val="75301742"/>
    <w:rsid w:val="7536F2DD"/>
    <w:rsid w:val="75585BBF"/>
    <w:rsid w:val="75B2B46D"/>
    <w:rsid w:val="7600C2BA"/>
    <w:rsid w:val="7606380F"/>
    <w:rsid w:val="76102145"/>
    <w:rsid w:val="761E244C"/>
    <w:rsid w:val="7621615C"/>
    <w:rsid w:val="76306D61"/>
    <w:rsid w:val="7696A5E5"/>
    <w:rsid w:val="76DEF5AA"/>
    <w:rsid w:val="76FE1AFF"/>
    <w:rsid w:val="770B8288"/>
    <w:rsid w:val="7730DC90"/>
    <w:rsid w:val="7761E654"/>
    <w:rsid w:val="778F16B8"/>
    <w:rsid w:val="77BD057B"/>
    <w:rsid w:val="7808ECD6"/>
    <w:rsid w:val="783E158D"/>
    <w:rsid w:val="784023F0"/>
    <w:rsid w:val="784763D9"/>
    <w:rsid w:val="785DF58B"/>
    <w:rsid w:val="7871B786"/>
    <w:rsid w:val="78EF3703"/>
    <w:rsid w:val="791C0DB9"/>
    <w:rsid w:val="7922D921"/>
    <w:rsid w:val="794D04A2"/>
    <w:rsid w:val="795DC222"/>
    <w:rsid w:val="79C3A7AB"/>
    <w:rsid w:val="79E67001"/>
    <w:rsid w:val="7A0142A0"/>
    <w:rsid w:val="7A169BF1"/>
    <w:rsid w:val="7A1A0EAD"/>
    <w:rsid w:val="7A201D1F"/>
    <w:rsid w:val="7A2BBE94"/>
    <w:rsid w:val="7A79866B"/>
    <w:rsid w:val="7AB17F88"/>
    <w:rsid w:val="7B2A48BA"/>
    <w:rsid w:val="7B666C79"/>
    <w:rsid w:val="7B7AFF33"/>
    <w:rsid w:val="7B866F10"/>
    <w:rsid w:val="7B8D7C22"/>
    <w:rsid w:val="7B9E7A13"/>
    <w:rsid w:val="7BF7CB0B"/>
    <w:rsid w:val="7C1EC10C"/>
    <w:rsid w:val="7C45FCFB"/>
    <w:rsid w:val="7C63DC29"/>
    <w:rsid w:val="7CE235D5"/>
    <w:rsid w:val="7D185BC8"/>
    <w:rsid w:val="7D3E6E7D"/>
    <w:rsid w:val="7D44A3B1"/>
    <w:rsid w:val="7D4845C9"/>
    <w:rsid w:val="7D8B4A3D"/>
    <w:rsid w:val="7DC112BC"/>
    <w:rsid w:val="7DC4A378"/>
    <w:rsid w:val="7DD93C67"/>
    <w:rsid w:val="7E09FE51"/>
    <w:rsid w:val="7E3D6E73"/>
    <w:rsid w:val="7E6F4FC5"/>
    <w:rsid w:val="7E920737"/>
    <w:rsid w:val="7EB44E6E"/>
    <w:rsid w:val="7EC51CE4"/>
    <w:rsid w:val="7ED213A0"/>
    <w:rsid w:val="7EF661F0"/>
    <w:rsid w:val="7F1011E8"/>
    <w:rsid w:val="7F3A2E6E"/>
    <w:rsid w:val="7F4AEFB1"/>
    <w:rsid w:val="7F9C3647"/>
    <w:rsid w:val="7FAA70B7"/>
    <w:rsid w:val="7FB3BF2D"/>
    <w:rsid w:val="7FC4896D"/>
    <w:rsid w:val="7FFCB3B5"/>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576E221"/>
  <w15:chartTrackingRefBased/>
  <w15:docId w15:val="{7FBBBBE1-0FC2-4178-A188-12EDD628C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EA0"/>
    <w:pPr>
      <w:spacing w:after="240" w:line="280" w:lineRule="atLeast"/>
    </w:pPr>
    <w:rPr>
      <w:rFonts w:ascii="Arial" w:eastAsia="Times New Roman" w:hAnsi="Arial"/>
      <w:sz w:val="22"/>
      <w:lang w:val="en-GB" w:eastAsia="en-GB"/>
    </w:rPr>
  </w:style>
  <w:style w:type="paragraph" w:styleId="Heading1">
    <w:name w:val="heading 1"/>
    <w:basedOn w:val="Normal"/>
    <w:next w:val="Normal"/>
    <w:link w:val="Heading1Char"/>
    <w:qFormat/>
    <w:rsid w:val="00BC3EA0"/>
    <w:pPr>
      <w:spacing w:before="120" w:line="240" w:lineRule="auto"/>
      <w:outlineLvl w:val="0"/>
    </w:pPr>
    <w:rPr>
      <w:b/>
      <w:color w:val="002469"/>
      <w:spacing w:val="20"/>
      <w:w w:val="90"/>
      <w:sz w:val="44"/>
      <w:szCs w:val="44"/>
    </w:rPr>
  </w:style>
  <w:style w:type="paragraph" w:styleId="Heading2">
    <w:name w:val="heading 2"/>
    <w:basedOn w:val="Normal"/>
    <w:next w:val="Normal"/>
    <w:link w:val="Heading2Char"/>
    <w:autoRedefine/>
    <w:qFormat/>
    <w:rsid w:val="00346B30"/>
    <w:pPr>
      <w:keepNext/>
      <w:spacing w:before="120" w:after="120" w:line="240" w:lineRule="auto"/>
      <w:outlineLvl w:val="1"/>
    </w:pPr>
    <w:rPr>
      <w:rFonts w:ascii="Arial Bold" w:hAnsi="Arial Bold"/>
      <w:b/>
      <w:color w:val="0082AB"/>
      <w:spacing w:val="20"/>
      <w:w w:val="90"/>
      <w:sz w:val="32"/>
      <w:szCs w:val="24"/>
    </w:rPr>
  </w:style>
  <w:style w:type="paragraph" w:styleId="Heading3">
    <w:name w:val="heading 3"/>
    <w:basedOn w:val="Heading2"/>
    <w:next w:val="Normal"/>
    <w:link w:val="Heading3Char"/>
    <w:qFormat/>
    <w:rsid w:val="00BC3EA0"/>
    <w:pPr>
      <w:spacing w:before="200"/>
      <w:outlineLvl w:val="2"/>
    </w:pPr>
    <w:rPr>
      <w:sz w:val="24"/>
      <w:szCs w:val="22"/>
    </w:rPr>
  </w:style>
  <w:style w:type="paragraph" w:styleId="Heading4">
    <w:name w:val="heading 4"/>
    <w:basedOn w:val="Normal"/>
    <w:next w:val="Normal"/>
    <w:link w:val="Heading4Char"/>
    <w:qFormat/>
    <w:rsid w:val="00BC3EA0"/>
    <w:pPr>
      <w:spacing w:before="120" w:after="200" w:line="240" w:lineRule="auto"/>
      <w:outlineLvl w:val="3"/>
    </w:pPr>
    <w:rPr>
      <w:b/>
      <w:bCs/>
      <w:color w:val="335087"/>
      <w:sz w:val="20"/>
    </w:rPr>
  </w:style>
  <w:style w:type="paragraph" w:styleId="Heading5">
    <w:name w:val="heading 5"/>
    <w:basedOn w:val="Normal"/>
    <w:next w:val="Normal"/>
    <w:link w:val="Heading5Char"/>
    <w:rsid w:val="00BC3EA0"/>
    <w:pPr>
      <w:keepNext/>
      <w:widowControl w:val="0"/>
      <w:spacing w:before="80" w:after="120"/>
      <w:outlineLvl w:val="4"/>
    </w:pPr>
    <w:rPr>
      <w:color w:val="000000"/>
      <w:szCs w:val="22"/>
    </w:rPr>
  </w:style>
  <w:style w:type="paragraph" w:styleId="Heading6">
    <w:name w:val="heading 6"/>
    <w:basedOn w:val="Normal"/>
    <w:next w:val="Normal"/>
    <w:link w:val="Heading6Char"/>
    <w:rsid w:val="00BC3EA0"/>
    <w:pPr>
      <w:spacing w:before="240"/>
      <w:outlineLvl w:val="5"/>
    </w:pPr>
    <w:rPr>
      <w:i/>
      <w:sz w:val="20"/>
    </w:rPr>
  </w:style>
  <w:style w:type="paragraph" w:styleId="Heading7">
    <w:name w:val="heading 7"/>
    <w:basedOn w:val="Normal"/>
    <w:next w:val="Normal"/>
    <w:link w:val="Heading7Char"/>
    <w:rsid w:val="00BC3EA0"/>
    <w:pPr>
      <w:spacing w:before="240"/>
      <w:outlineLvl w:val="6"/>
    </w:pPr>
    <w:rPr>
      <w:sz w:val="20"/>
    </w:rPr>
  </w:style>
  <w:style w:type="paragraph" w:styleId="Heading8">
    <w:name w:val="heading 8"/>
    <w:basedOn w:val="Normal"/>
    <w:next w:val="Normal"/>
    <w:link w:val="Heading8Char"/>
    <w:rsid w:val="00BC3EA0"/>
    <w:pPr>
      <w:spacing w:before="80" w:after="80"/>
      <w:outlineLvl w:val="7"/>
    </w:pPr>
    <w:rPr>
      <w:sz w:val="20"/>
    </w:rPr>
  </w:style>
  <w:style w:type="paragraph" w:styleId="Heading9">
    <w:name w:val="heading 9"/>
    <w:next w:val="Normal"/>
    <w:link w:val="Heading9Char"/>
    <w:rsid w:val="00BC3EA0"/>
    <w:pPr>
      <w:keepNext/>
      <w:spacing w:before="160" w:line="260" w:lineRule="exact"/>
      <w:outlineLvl w:val="8"/>
    </w:pPr>
    <w:rPr>
      <w:rFonts w:ascii="Arial" w:eastAsia="Times New Roman" w:hAnsi="Arial"/>
      <w:b/>
      <w:i/>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rsid w:val="00743278"/>
    <w:pPr>
      <w:tabs>
        <w:tab w:val="decimal" w:pos="9070"/>
        <w:tab w:val="right" w:pos="14002"/>
      </w:tabs>
      <w:spacing w:after="0" w:line="240" w:lineRule="auto"/>
    </w:pPr>
    <w:rPr>
      <w:noProof/>
      <w:color w:val="0082AB"/>
      <w:spacing w:val="6"/>
      <w:sz w:val="16"/>
      <w:szCs w:val="16"/>
    </w:rPr>
  </w:style>
  <w:style w:type="character" w:customStyle="1" w:styleId="FooterChar">
    <w:name w:val="Footer Char"/>
    <w:link w:val="Footer"/>
    <w:rsid w:val="00743278"/>
    <w:rPr>
      <w:rFonts w:ascii="Arial" w:eastAsia="Times New Roman" w:hAnsi="Arial"/>
      <w:noProof/>
      <w:color w:val="0082AB"/>
      <w:spacing w:val="6"/>
      <w:sz w:val="16"/>
      <w:szCs w:val="16"/>
      <w:lang w:val="en-GB" w:eastAsia="en-GB"/>
    </w:rPr>
  </w:style>
  <w:style w:type="table" w:styleId="TableGrid">
    <w:name w:val="Table Grid"/>
    <w:basedOn w:val="TableNormal"/>
    <w:rsid w:val="00BC3EA0"/>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BC3EA0"/>
    <w:rPr>
      <w:rFonts w:ascii="Tahoma" w:hAnsi="Tahoma" w:cs="Tahoma"/>
      <w:sz w:val="16"/>
      <w:szCs w:val="16"/>
    </w:rPr>
  </w:style>
  <w:style w:type="character" w:customStyle="1" w:styleId="BalloonTextChar">
    <w:name w:val="Balloon Text Char"/>
    <w:link w:val="BalloonText"/>
    <w:semiHidden/>
    <w:rsid w:val="00487FAD"/>
    <w:rPr>
      <w:rFonts w:ascii="Tahoma" w:eastAsia="Times New Roman" w:hAnsi="Tahoma" w:cs="Tahoma"/>
      <w:sz w:val="16"/>
      <w:szCs w:val="16"/>
      <w:lang w:val="en-GB" w:eastAsia="en-GB"/>
    </w:rPr>
  </w:style>
  <w:style w:type="paragraph" w:styleId="ListParagraph">
    <w:name w:val="List Paragraph"/>
    <w:basedOn w:val="Normal"/>
    <w:uiPriority w:val="34"/>
    <w:qFormat/>
    <w:rsid w:val="00D278AA"/>
    <w:pPr>
      <w:ind w:left="720"/>
      <w:contextualSpacing/>
    </w:pPr>
  </w:style>
  <w:style w:type="character" w:styleId="Hyperlink">
    <w:name w:val="Hyperlink"/>
    <w:uiPriority w:val="99"/>
    <w:rsid w:val="00537EFE"/>
    <w:rPr>
      <w:color w:val="0082AB"/>
      <w:u w:val="single"/>
    </w:rPr>
  </w:style>
  <w:style w:type="character" w:styleId="CommentReference">
    <w:name w:val="annotation reference"/>
    <w:semiHidden/>
    <w:rsid w:val="00BC3EA0"/>
    <w:rPr>
      <w:sz w:val="16"/>
      <w:szCs w:val="16"/>
    </w:rPr>
  </w:style>
  <w:style w:type="paragraph" w:styleId="CommentText">
    <w:name w:val="annotation text"/>
    <w:basedOn w:val="Normal"/>
    <w:link w:val="CommentTextChar"/>
    <w:semiHidden/>
    <w:rsid w:val="00BC3EA0"/>
    <w:rPr>
      <w:sz w:val="20"/>
    </w:rPr>
  </w:style>
  <w:style w:type="character" w:customStyle="1" w:styleId="CommentTextChar">
    <w:name w:val="Comment Text Char"/>
    <w:link w:val="CommentText"/>
    <w:semiHidden/>
    <w:rsid w:val="004A4084"/>
    <w:rPr>
      <w:rFonts w:ascii="Arial" w:eastAsia="Times New Roman" w:hAnsi="Arial" w:cs="Times New Roman"/>
      <w:sz w:val="20"/>
      <w:szCs w:val="20"/>
      <w:lang w:val="en-GB" w:eastAsia="en-GB"/>
    </w:rPr>
  </w:style>
  <w:style w:type="paragraph" w:customStyle="1" w:styleId="BodyText-Numbered">
    <w:name w:val="Body Text - Numbered"/>
    <w:basedOn w:val="BodyText"/>
    <w:link w:val="BodyText-NumberedChar"/>
    <w:qFormat/>
    <w:rsid w:val="004A4084"/>
    <w:pPr>
      <w:keepNext/>
      <w:numPr>
        <w:numId w:val="1"/>
      </w:numPr>
      <w:spacing w:before="60" w:line="240" w:lineRule="auto"/>
    </w:pPr>
    <w:rPr>
      <w:rFonts w:cs="Arial"/>
    </w:rPr>
  </w:style>
  <w:style w:type="character" w:customStyle="1" w:styleId="BodyText-NumberedChar">
    <w:name w:val="Body Text - Numbered Char"/>
    <w:link w:val="BodyText-Numbered"/>
    <w:rsid w:val="004A4084"/>
    <w:rPr>
      <w:rFonts w:ascii="Arial" w:eastAsia="Times New Roman" w:hAnsi="Arial" w:cs="Arial"/>
      <w:sz w:val="22"/>
      <w:lang w:val="en-GB" w:eastAsia="en-GB"/>
    </w:rPr>
  </w:style>
  <w:style w:type="paragraph" w:styleId="BodyText">
    <w:name w:val="Body Text"/>
    <w:basedOn w:val="Normal"/>
    <w:link w:val="BodyTextChar"/>
    <w:uiPriority w:val="99"/>
    <w:semiHidden/>
    <w:unhideWhenUsed/>
    <w:rsid w:val="004A4084"/>
    <w:pPr>
      <w:spacing w:after="120"/>
    </w:pPr>
  </w:style>
  <w:style w:type="character" w:customStyle="1" w:styleId="BodyTextChar">
    <w:name w:val="Body Text Char"/>
    <w:basedOn w:val="DefaultParagraphFont"/>
    <w:link w:val="BodyText"/>
    <w:uiPriority w:val="99"/>
    <w:semiHidden/>
    <w:rsid w:val="004A4084"/>
  </w:style>
  <w:style w:type="paragraph" w:customStyle="1" w:styleId="spacer">
    <w:name w:val="spacer"/>
    <w:basedOn w:val="Normal"/>
    <w:qFormat/>
    <w:rsid w:val="00BC3EA0"/>
    <w:pPr>
      <w:spacing w:after="0" w:line="240" w:lineRule="auto"/>
    </w:pPr>
    <w:rPr>
      <w:sz w:val="16"/>
      <w:szCs w:val="22"/>
      <w:lang w:eastAsia="en-AU"/>
    </w:rPr>
  </w:style>
  <w:style w:type="paragraph" w:styleId="CommentSubject">
    <w:name w:val="annotation subject"/>
    <w:basedOn w:val="CommentText"/>
    <w:next w:val="CommentText"/>
    <w:link w:val="CommentSubjectChar"/>
    <w:semiHidden/>
    <w:rsid w:val="00BC3EA0"/>
    <w:rPr>
      <w:b/>
      <w:bCs/>
    </w:rPr>
  </w:style>
  <w:style w:type="character" w:customStyle="1" w:styleId="CommentSubjectChar">
    <w:name w:val="Comment Subject Char"/>
    <w:link w:val="CommentSubject"/>
    <w:semiHidden/>
    <w:rsid w:val="000C4659"/>
    <w:rPr>
      <w:rFonts w:ascii="Arial" w:eastAsia="Times New Roman" w:hAnsi="Arial" w:cs="Times New Roman"/>
      <w:b/>
      <w:bCs/>
      <w:sz w:val="20"/>
      <w:szCs w:val="20"/>
      <w:lang w:val="en-GB" w:eastAsia="en-GB"/>
    </w:rPr>
  </w:style>
  <w:style w:type="paragraph" w:styleId="Header">
    <w:name w:val="header"/>
    <w:basedOn w:val="Normal"/>
    <w:link w:val="HeaderChar"/>
    <w:rsid w:val="00BC3EA0"/>
    <w:pPr>
      <w:tabs>
        <w:tab w:val="center" w:pos="4153"/>
        <w:tab w:val="right" w:pos="8306"/>
      </w:tabs>
    </w:pPr>
  </w:style>
  <w:style w:type="character" w:customStyle="1" w:styleId="HeaderChar">
    <w:name w:val="Header Char"/>
    <w:link w:val="Header"/>
    <w:rsid w:val="008D265C"/>
    <w:rPr>
      <w:rFonts w:ascii="Arial" w:eastAsia="Times New Roman" w:hAnsi="Arial" w:cs="Times New Roman"/>
      <w:szCs w:val="20"/>
      <w:lang w:val="en-GB" w:eastAsia="en-GB"/>
    </w:rPr>
  </w:style>
  <w:style w:type="character" w:styleId="FollowedHyperlink">
    <w:name w:val="FollowedHyperlink"/>
    <w:rsid w:val="00BC3EA0"/>
    <w:rPr>
      <w:color w:val="800080"/>
      <w:u w:val="single"/>
    </w:rPr>
  </w:style>
  <w:style w:type="paragraph" w:styleId="Revision">
    <w:name w:val="Revision"/>
    <w:hidden/>
    <w:uiPriority w:val="99"/>
    <w:semiHidden/>
    <w:rsid w:val="0082413D"/>
    <w:rPr>
      <w:sz w:val="22"/>
      <w:szCs w:val="22"/>
      <w:lang w:eastAsia="en-US"/>
    </w:rPr>
  </w:style>
  <w:style w:type="paragraph" w:customStyle="1" w:styleId="Author">
    <w:name w:val="Author"/>
    <w:basedOn w:val="Normal"/>
    <w:semiHidden/>
    <w:rsid w:val="00BC3EA0"/>
    <w:pPr>
      <w:spacing w:before="240" w:after="1200"/>
      <w:ind w:left="-181"/>
      <w:jc w:val="right"/>
    </w:pPr>
    <w:rPr>
      <w:rFonts w:cs="Arial"/>
      <w:i/>
      <w:sz w:val="40"/>
      <w:szCs w:val="22"/>
    </w:rPr>
  </w:style>
  <w:style w:type="paragraph" w:customStyle="1" w:styleId="Boxtext">
    <w:name w:val="Box text"/>
    <w:basedOn w:val="Normal"/>
    <w:rsid w:val="00FA7EFC"/>
    <w:pPr>
      <w:pBdr>
        <w:top w:val="single" w:sz="4" w:space="10" w:color="EBF5F8"/>
        <w:left w:val="single" w:sz="4" w:space="4" w:color="EBF5F8"/>
        <w:bottom w:val="single" w:sz="4" w:space="10" w:color="EBF5F8"/>
        <w:right w:val="single" w:sz="4" w:space="4" w:color="EBF5F8"/>
      </w:pBdr>
      <w:shd w:val="clear" w:color="auto" w:fill="EBF5F8"/>
      <w:spacing w:after="80"/>
      <w:ind w:left="142" w:right="142"/>
    </w:pPr>
    <w:rPr>
      <w:i/>
    </w:rPr>
  </w:style>
  <w:style w:type="paragraph" w:customStyle="1" w:styleId="Boxbullet">
    <w:name w:val="Box bullet"/>
    <w:basedOn w:val="Boxtext"/>
    <w:rsid w:val="00BC3EA0"/>
    <w:pPr>
      <w:numPr>
        <w:numId w:val="2"/>
      </w:numPr>
      <w:tabs>
        <w:tab w:val="clear" w:pos="644"/>
        <w:tab w:val="num" w:pos="426"/>
      </w:tabs>
      <w:spacing w:before="80"/>
    </w:pPr>
  </w:style>
  <w:style w:type="paragraph" w:customStyle="1" w:styleId="Boxheading">
    <w:name w:val="Box heading"/>
    <w:basedOn w:val="Normal"/>
    <w:next w:val="Boxtext"/>
    <w:autoRedefine/>
    <w:rsid w:val="00BC3EA0"/>
    <w:pPr>
      <w:spacing w:before="180" w:after="60" w:line="240" w:lineRule="auto"/>
      <w:ind w:left="284" w:right="284"/>
    </w:pPr>
    <w:rPr>
      <w:rFonts w:ascii="Arial Narrow" w:hAnsi="Arial Narrow"/>
      <w:b/>
      <w:bCs/>
      <w:color w:val="335087"/>
      <w:spacing w:val="10"/>
      <w:szCs w:val="22"/>
    </w:rPr>
  </w:style>
  <w:style w:type="paragraph" w:customStyle="1" w:styleId="Boxindent">
    <w:name w:val="Box indent"/>
    <w:basedOn w:val="Boxtext"/>
    <w:rsid w:val="00BC3EA0"/>
    <w:pPr>
      <w:tabs>
        <w:tab w:val="left" w:pos="426"/>
      </w:tabs>
      <w:ind w:left="426" w:hanging="284"/>
    </w:pPr>
  </w:style>
  <w:style w:type="paragraph" w:customStyle="1" w:styleId="Bullet-list">
    <w:name w:val="Bullet-list"/>
    <w:qFormat/>
    <w:rsid w:val="00BC3EA0"/>
    <w:pPr>
      <w:numPr>
        <w:numId w:val="47"/>
      </w:numPr>
      <w:spacing w:after="180" w:line="280" w:lineRule="exact"/>
    </w:pPr>
    <w:rPr>
      <w:rFonts w:ascii="Arial" w:eastAsia="Times New Roman" w:hAnsi="Arial"/>
      <w:sz w:val="22"/>
      <w:lang w:val="en-AU" w:eastAsia="en-US"/>
    </w:rPr>
  </w:style>
  <w:style w:type="paragraph" w:styleId="Caption">
    <w:name w:val="caption"/>
    <w:basedOn w:val="Normal"/>
    <w:next w:val="Normal"/>
    <w:rsid w:val="00BC3EA0"/>
    <w:rPr>
      <w:b/>
      <w:bCs/>
      <w:sz w:val="20"/>
    </w:rPr>
  </w:style>
  <w:style w:type="paragraph" w:styleId="DocumentMap">
    <w:name w:val="Document Map"/>
    <w:basedOn w:val="Normal"/>
    <w:link w:val="DocumentMapChar"/>
    <w:semiHidden/>
    <w:rsid w:val="00BC3EA0"/>
    <w:pPr>
      <w:shd w:val="clear" w:color="auto" w:fill="000080"/>
    </w:pPr>
    <w:rPr>
      <w:rFonts w:ascii="Tahoma" w:hAnsi="Tahoma" w:cs="Tahoma"/>
      <w:sz w:val="20"/>
    </w:rPr>
  </w:style>
  <w:style w:type="character" w:customStyle="1" w:styleId="DocumentMapChar">
    <w:name w:val="Document Map Char"/>
    <w:link w:val="DocumentMap"/>
    <w:semiHidden/>
    <w:rsid w:val="00BC3EA0"/>
    <w:rPr>
      <w:rFonts w:ascii="Tahoma" w:eastAsia="Times New Roman" w:hAnsi="Tahoma" w:cs="Tahoma"/>
      <w:sz w:val="20"/>
      <w:szCs w:val="20"/>
      <w:shd w:val="clear" w:color="auto" w:fill="000080"/>
      <w:lang w:val="en-GB" w:eastAsia="en-GB"/>
    </w:rPr>
  </w:style>
  <w:style w:type="paragraph" w:customStyle="1" w:styleId="EvenFooter">
    <w:name w:val="Even Footer"/>
    <w:basedOn w:val="Footer"/>
    <w:rsid w:val="00BC3EA0"/>
  </w:style>
  <w:style w:type="paragraph" w:customStyle="1" w:styleId="Evenfooter-wide">
    <w:name w:val="Even footer-wide"/>
    <w:basedOn w:val="EvenFooter"/>
    <w:rsid w:val="00BC3EA0"/>
  </w:style>
  <w:style w:type="character" w:styleId="FootnoteReference">
    <w:name w:val="footnote reference"/>
    <w:semiHidden/>
    <w:rsid w:val="00BC3EA0"/>
    <w:rPr>
      <w:rFonts w:ascii="Arial" w:hAnsi="Arial"/>
      <w:color w:val="auto"/>
      <w:position w:val="8"/>
      <w:sz w:val="16"/>
    </w:rPr>
  </w:style>
  <w:style w:type="paragraph" w:styleId="FootnoteText">
    <w:name w:val="footnote text"/>
    <w:basedOn w:val="Normal"/>
    <w:link w:val="FootnoteTextChar"/>
    <w:semiHidden/>
    <w:rsid w:val="00BC3EA0"/>
    <w:pPr>
      <w:tabs>
        <w:tab w:val="left" w:pos="425"/>
      </w:tabs>
      <w:spacing w:after="60" w:line="240" w:lineRule="auto"/>
      <w:ind w:left="425" w:hanging="425"/>
    </w:pPr>
    <w:rPr>
      <w:sz w:val="18"/>
    </w:rPr>
  </w:style>
  <w:style w:type="character" w:customStyle="1" w:styleId="FootnoteTextChar">
    <w:name w:val="Footnote Text Char"/>
    <w:link w:val="FootnoteText"/>
    <w:semiHidden/>
    <w:rsid w:val="00BC3EA0"/>
    <w:rPr>
      <w:rFonts w:ascii="Arial" w:eastAsia="Times New Roman" w:hAnsi="Arial" w:cs="Times New Roman"/>
      <w:sz w:val="18"/>
      <w:szCs w:val="20"/>
      <w:lang w:val="en-GB" w:eastAsia="en-GB"/>
    </w:rPr>
  </w:style>
  <w:style w:type="character" w:customStyle="1" w:styleId="Heading1Char">
    <w:name w:val="Heading 1 Char"/>
    <w:link w:val="Heading1"/>
    <w:rsid w:val="00BC3EA0"/>
    <w:rPr>
      <w:rFonts w:ascii="Arial" w:eastAsia="Times New Roman" w:hAnsi="Arial" w:cs="Times New Roman"/>
      <w:b/>
      <w:color w:val="002469"/>
      <w:spacing w:val="20"/>
      <w:w w:val="90"/>
      <w:sz w:val="44"/>
      <w:szCs w:val="44"/>
      <w:lang w:val="en-GB" w:eastAsia="en-GB"/>
    </w:rPr>
  </w:style>
  <w:style w:type="character" w:customStyle="1" w:styleId="Heading2Char">
    <w:name w:val="Heading 2 Char"/>
    <w:link w:val="Heading2"/>
    <w:rsid w:val="00346B30"/>
    <w:rPr>
      <w:rFonts w:ascii="Arial Bold" w:eastAsia="Times New Roman" w:hAnsi="Arial Bold"/>
      <w:b/>
      <w:color w:val="0082AB"/>
      <w:spacing w:val="20"/>
      <w:w w:val="90"/>
      <w:sz w:val="32"/>
      <w:szCs w:val="24"/>
      <w:lang w:val="en-GB" w:eastAsia="en-GB"/>
    </w:rPr>
  </w:style>
  <w:style w:type="character" w:customStyle="1" w:styleId="Heading3Char">
    <w:name w:val="Heading 3 Char"/>
    <w:link w:val="Heading3"/>
    <w:rsid w:val="00BC3EA0"/>
    <w:rPr>
      <w:rFonts w:ascii="Arial" w:eastAsia="Times New Roman" w:hAnsi="Arial" w:cs="Times New Roman"/>
      <w:b/>
      <w:color w:val="335087"/>
      <w:spacing w:val="20"/>
      <w:w w:val="90"/>
      <w:sz w:val="24"/>
      <w:lang w:val="en-GB" w:eastAsia="en-GB"/>
    </w:rPr>
  </w:style>
  <w:style w:type="character" w:customStyle="1" w:styleId="Heading4Char">
    <w:name w:val="Heading 4 Char"/>
    <w:link w:val="Heading4"/>
    <w:rsid w:val="00BC3EA0"/>
    <w:rPr>
      <w:rFonts w:ascii="Arial" w:eastAsia="Times New Roman" w:hAnsi="Arial" w:cs="Times New Roman"/>
      <w:b/>
      <w:bCs/>
      <w:color w:val="335087"/>
      <w:sz w:val="20"/>
      <w:szCs w:val="20"/>
      <w:lang w:val="en-GB" w:eastAsia="en-GB"/>
    </w:rPr>
  </w:style>
  <w:style w:type="character" w:customStyle="1" w:styleId="Heading5Char">
    <w:name w:val="Heading 5 Char"/>
    <w:link w:val="Heading5"/>
    <w:rsid w:val="00BC3EA0"/>
    <w:rPr>
      <w:rFonts w:ascii="Arial" w:eastAsia="Times New Roman" w:hAnsi="Arial" w:cs="Times New Roman"/>
      <w:color w:val="000000"/>
      <w:lang w:val="en-GB" w:eastAsia="en-GB"/>
    </w:rPr>
  </w:style>
  <w:style w:type="character" w:customStyle="1" w:styleId="Heading6Char">
    <w:name w:val="Heading 6 Char"/>
    <w:link w:val="Heading6"/>
    <w:rsid w:val="00BC3EA0"/>
    <w:rPr>
      <w:rFonts w:ascii="Arial" w:eastAsia="Times New Roman" w:hAnsi="Arial" w:cs="Times New Roman"/>
      <w:i/>
      <w:sz w:val="20"/>
      <w:szCs w:val="20"/>
      <w:lang w:val="en-GB" w:eastAsia="en-GB"/>
    </w:rPr>
  </w:style>
  <w:style w:type="character" w:customStyle="1" w:styleId="Heading7Char">
    <w:name w:val="Heading 7 Char"/>
    <w:link w:val="Heading7"/>
    <w:rsid w:val="00BC3EA0"/>
    <w:rPr>
      <w:rFonts w:ascii="Arial" w:eastAsia="Times New Roman" w:hAnsi="Arial" w:cs="Times New Roman"/>
      <w:sz w:val="20"/>
      <w:szCs w:val="20"/>
      <w:lang w:val="en-GB" w:eastAsia="en-GB"/>
    </w:rPr>
  </w:style>
  <w:style w:type="character" w:customStyle="1" w:styleId="Heading8Char">
    <w:name w:val="Heading 8 Char"/>
    <w:link w:val="Heading8"/>
    <w:rsid w:val="00BC3EA0"/>
    <w:rPr>
      <w:rFonts w:ascii="Arial" w:eastAsia="Times New Roman" w:hAnsi="Arial" w:cs="Times New Roman"/>
      <w:sz w:val="20"/>
      <w:szCs w:val="20"/>
      <w:lang w:val="en-GB" w:eastAsia="en-GB"/>
    </w:rPr>
  </w:style>
  <w:style w:type="character" w:customStyle="1" w:styleId="Heading9Char">
    <w:name w:val="Heading 9 Char"/>
    <w:link w:val="Heading9"/>
    <w:rsid w:val="00BC3EA0"/>
    <w:rPr>
      <w:rFonts w:ascii="Arial" w:eastAsia="Times New Roman" w:hAnsi="Arial" w:cs="Times New Roman"/>
      <w:b/>
      <w:i/>
      <w:sz w:val="20"/>
      <w:szCs w:val="20"/>
      <w:lang w:val="en-AU"/>
    </w:rPr>
  </w:style>
  <w:style w:type="paragraph" w:styleId="List">
    <w:name w:val="List"/>
    <w:basedOn w:val="Normal"/>
    <w:rsid w:val="00BC3EA0"/>
    <w:pPr>
      <w:ind w:left="283" w:hanging="283"/>
    </w:pPr>
  </w:style>
  <w:style w:type="paragraph" w:styleId="Title">
    <w:name w:val="Title"/>
    <w:basedOn w:val="Normal"/>
    <w:link w:val="TitleChar"/>
    <w:rsid w:val="00BC3EA0"/>
    <w:pPr>
      <w:widowControl w:val="0"/>
      <w:autoSpaceDE w:val="0"/>
      <w:autoSpaceDN w:val="0"/>
      <w:adjustRightInd w:val="0"/>
      <w:spacing w:before="1560" w:after="720" w:line="240" w:lineRule="atLeast"/>
    </w:pPr>
    <w:rPr>
      <w:rFonts w:cs="Arial"/>
      <w:color w:val="002469"/>
      <w:spacing w:val="40"/>
      <w:w w:val="90"/>
      <w:sz w:val="48"/>
      <w:szCs w:val="48"/>
    </w:rPr>
  </w:style>
  <w:style w:type="character" w:customStyle="1" w:styleId="TitleChar">
    <w:name w:val="Title Char"/>
    <w:link w:val="Title"/>
    <w:rsid w:val="00BC3EA0"/>
    <w:rPr>
      <w:rFonts w:ascii="Arial" w:eastAsia="Times New Roman" w:hAnsi="Arial" w:cs="Arial"/>
      <w:color w:val="002469"/>
      <w:spacing w:val="40"/>
      <w:w w:val="90"/>
      <w:sz w:val="48"/>
      <w:szCs w:val="48"/>
      <w:lang w:val="en-GB" w:eastAsia="en-GB"/>
    </w:rPr>
  </w:style>
  <w:style w:type="paragraph" w:styleId="Subtitle">
    <w:name w:val="Subtitle"/>
    <w:basedOn w:val="Title"/>
    <w:next w:val="Normal"/>
    <w:link w:val="SubtitleChar"/>
    <w:rsid w:val="00BC3EA0"/>
    <w:pPr>
      <w:spacing w:before="360" w:line="600" w:lineRule="atLeast"/>
    </w:pPr>
    <w:rPr>
      <w:sz w:val="36"/>
      <w:szCs w:val="36"/>
    </w:rPr>
  </w:style>
  <w:style w:type="character" w:customStyle="1" w:styleId="SubtitleChar">
    <w:name w:val="Subtitle Char"/>
    <w:link w:val="Subtitle"/>
    <w:rsid w:val="00BC3EA0"/>
    <w:rPr>
      <w:rFonts w:ascii="Arial" w:eastAsia="Times New Roman" w:hAnsi="Arial" w:cs="Arial"/>
      <w:color w:val="002469"/>
      <w:spacing w:val="40"/>
      <w:w w:val="90"/>
      <w:sz w:val="36"/>
      <w:szCs w:val="36"/>
      <w:lang w:val="en-GB" w:eastAsia="en-GB"/>
    </w:rPr>
  </w:style>
  <w:style w:type="paragraph" w:customStyle="1" w:styleId="TableText">
    <w:name w:val="Table Text"/>
    <w:basedOn w:val="Normal"/>
    <w:rsid w:val="00BC3EA0"/>
    <w:pPr>
      <w:autoSpaceDE w:val="0"/>
      <w:autoSpaceDN w:val="0"/>
      <w:adjustRightInd w:val="0"/>
      <w:spacing w:before="60" w:after="60" w:line="240" w:lineRule="atLeast"/>
    </w:pPr>
    <w:rPr>
      <w:rFonts w:cs="GillSans"/>
      <w:sz w:val="20"/>
      <w:szCs w:val="22"/>
      <w:lang w:eastAsia="en-AU"/>
    </w:rPr>
  </w:style>
  <w:style w:type="paragraph" w:customStyle="1" w:styleId="tablespacer">
    <w:name w:val="table_spacer"/>
    <w:basedOn w:val="Normal"/>
    <w:next w:val="Normal"/>
    <w:rsid w:val="00BC3EA0"/>
    <w:pPr>
      <w:keepNext/>
      <w:spacing w:after="0" w:line="240" w:lineRule="auto"/>
    </w:pPr>
    <w:rPr>
      <w:sz w:val="20"/>
    </w:rPr>
  </w:style>
  <w:style w:type="paragraph" w:styleId="TOC1">
    <w:name w:val="toc 1"/>
    <w:basedOn w:val="Normal"/>
    <w:next w:val="Normal"/>
    <w:uiPriority w:val="39"/>
    <w:rsid w:val="00BC3EA0"/>
    <w:pPr>
      <w:tabs>
        <w:tab w:val="right" w:leader="dot" w:pos="9214"/>
      </w:tabs>
      <w:spacing w:before="240" w:after="120"/>
      <w:ind w:left="284" w:right="284"/>
    </w:pPr>
    <w:rPr>
      <w:bCs/>
      <w:noProof/>
      <w:sz w:val="24"/>
      <w:szCs w:val="44"/>
    </w:rPr>
  </w:style>
  <w:style w:type="paragraph" w:styleId="TOC2">
    <w:name w:val="toc 2"/>
    <w:basedOn w:val="Normal"/>
    <w:next w:val="Normal"/>
    <w:uiPriority w:val="39"/>
    <w:rsid w:val="00BC3EA0"/>
    <w:pPr>
      <w:tabs>
        <w:tab w:val="right" w:leader="dot" w:pos="9214"/>
      </w:tabs>
      <w:spacing w:before="100" w:after="100"/>
      <w:ind w:left="709" w:right="284"/>
    </w:pPr>
    <w:rPr>
      <w:noProof/>
      <w:sz w:val="24"/>
    </w:rPr>
  </w:style>
  <w:style w:type="paragraph" w:styleId="TOC3">
    <w:name w:val="toc 3"/>
    <w:basedOn w:val="Normal"/>
    <w:next w:val="Normal"/>
    <w:semiHidden/>
    <w:rsid w:val="00BC3EA0"/>
    <w:pPr>
      <w:tabs>
        <w:tab w:val="left" w:leader="dot" w:pos="8646"/>
        <w:tab w:val="right" w:pos="9072"/>
      </w:tabs>
      <w:ind w:left="1418" w:right="850"/>
    </w:pPr>
  </w:style>
  <w:style w:type="paragraph" w:customStyle="1" w:styleId="Tier2Bullet-list">
    <w:name w:val="Tier 2 Bullet-list"/>
    <w:qFormat/>
    <w:rsid w:val="0062657E"/>
    <w:pPr>
      <w:spacing w:after="160" w:line="259" w:lineRule="auto"/>
      <w:ind w:left="568" w:hanging="284"/>
    </w:pPr>
    <w:rPr>
      <w:rFonts w:ascii="Arial" w:eastAsia="Times New Roman" w:hAnsi="Arial"/>
      <w:sz w:val="22"/>
      <w:lang w:val="en-AU" w:eastAsia="en-US"/>
    </w:rPr>
  </w:style>
  <w:style w:type="paragraph" w:customStyle="1" w:styleId="TableHeading2">
    <w:name w:val="Table Heading 2"/>
    <w:basedOn w:val="Normal"/>
    <w:qFormat/>
    <w:rsid w:val="00DF2E7B"/>
    <w:pPr>
      <w:spacing w:before="60" w:after="60" w:line="276" w:lineRule="auto"/>
    </w:pPr>
    <w:rPr>
      <w:i/>
      <w:szCs w:val="22"/>
    </w:rPr>
  </w:style>
  <w:style w:type="paragraph" w:customStyle="1" w:styleId="Tablebullet">
    <w:name w:val="Table bullet"/>
    <w:basedOn w:val="Normal"/>
    <w:qFormat/>
    <w:rsid w:val="00B56273"/>
    <w:pPr>
      <w:numPr>
        <w:numId w:val="5"/>
      </w:numPr>
      <w:autoSpaceDE w:val="0"/>
      <w:autoSpaceDN w:val="0"/>
      <w:adjustRightInd w:val="0"/>
      <w:spacing w:before="60" w:after="60"/>
    </w:pPr>
    <w:rPr>
      <w:rFonts w:cs="GillSans"/>
      <w:szCs w:val="22"/>
      <w:lang w:eastAsia="en-AU"/>
    </w:rPr>
  </w:style>
  <w:style w:type="paragraph" w:customStyle="1" w:styleId="TSYList">
    <w:name w:val="TSY List"/>
    <w:basedOn w:val="Normal"/>
    <w:qFormat/>
    <w:rsid w:val="00FE5DD0"/>
    <w:pPr>
      <w:numPr>
        <w:numId w:val="9"/>
      </w:numPr>
      <w:spacing w:before="100" w:after="100" w:line="240" w:lineRule="auto"/>
    </w:pPr>
    <w:rPr>
      <w:lang w:val="en-NZ" w:eastAsia="en-US"/>
    </w:rPr>
  </w:style>
  <w:style w:type="character" w:customStyle="1" w:styleId="normaltextrun">
    <w:name w:val="normaltextrun"/>
    <w:rsid w:val="00C31AD7"/>
  </w:style>
  <w:style w:type="character" w:customStyle="1" w:styleId="Mention1">
    <w:name w:val="Mention1"/>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775807">
      <w:bodyDiv w:val="1"/>
      <w:marLeft w:val="0"/>
      <w:marRight w:val="0"/>
      <w:marTop w:val="0"/>
      <w:marBottom w:val="0"/>
      <w:divBdr>
        <w:top w:val="none" w:sz="0" w:space="0" w:color="auto"/>
        <w:left w:val="none" w:sz="0" w:space="0" w:color="auto"/>
        <w:bottom w:val="none" w:sz="0" w:space="0" w:color="auto"/>
        <w:right w:val="none" w:sz="0" w:space="0" w:color="auto"/>
      </w:divBdr>
    </w:div>
    <w:div w:id="410278524">
      <w:bodyDiv w:val="1"/>
      <w:marLeft w:val="0"/>
      <w:marRight w:val="0"/>
      <w:marTop w:val="0"/>
      <w:marBottom w:val="0"/>
      <w:divBdr>
        <w:top w:val="none" w:sz="0" w:space="0" w:color="auto"/>
        <w:left w:val="none" w:sz="0" w:space="0" w:color="auto"/>
        <w:bottom w:val="none" w:sz="0" w:space="0" w:color="auto"/>
        <w:right w:val="none" w:sz="0" w:space="0" w:color="auto"/>
      </w:divBdr>
      <w:divsChild>
        <w:div w:id="21443705">
          <w:marLeft w:val="0"/>
          <w:marRight w:val="0"/>
          <w:marTop w:val="0"/>
          <w:marBottom w:val="0"/>
          <w:divBdr>
            <w:top w:val="none" w:sz="0" w:space="0" w:color="auto"/>
            <w:left w:val="none" w:sz="0" w:space="0" w:color="auto"/>
            <w:bottom w:val="none" w:sz="0" w:space="0" w:color="auto"/>
            <w:right w:val="none" w:sz="0" w:space="0" w:color="auto"/>
          </w:divBdr>
        </w:div>
      </w:divsChild>
    </w:div>
    <w:div w:id="1069423951">
      <w:bodyDiv w:val="1"/>
      <w:marLeft w:val="0"/>
      <w:marRight w:val="0"/>
      <w:marTop w:val="0"/>
      <w:marBottom w:val="0"/>
      <w:divBdr>
        <w:top w:val="none" w:sz="0" w:space="0" w:color="auto"/>
        <w:left w:val="none" w:sz="0" w:space="0" w:color="auto"/>
        <w:bottom w:val="none" w:sz="0" w:space="0" w:color="auto"/>
        <w:right w:val="none" w:sz="0" w:space="0" w:color="auto"/>
      </w:divBdr>
    </w:div>
    <w:div w:id="1701081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bguide.cabinetoffice.govt.nz/procedures/regulatory-impact-analysis" TargetMode="External"/><Relationship Id="rId13" Type="http://schemas.openxmlformats.org/officeDocument/2006/relationships/hyperlink" Target="https://www.imf.org/en/Publications/FM/Issues/2020/09/30/october-2020-fiscal-monitor"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treasury.govt.nz/sites/default/files/2018-03/ia-bestprac-guidance-note.pdf" TargetMode="External"/><Relationship Id="rId17" Type="http://schemas.openxmlformats.org/officeDocument/2006/relationships/hyperlink" Target="https://treasury.govt.nz/information-and-services/regulation/regulatory-stewardship/good-regulatory-practic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5.xml"/><Relationship Id="rId10" Type="http://schemas.openxmlformats.org/officeDocument/2006/relationships/hyperlink" Target="https://www.treasury.govt.nz/system/files/2020-12/hyefu20.pdf"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treasury.govt.nz/system/files/2020-09/prefu20.pdf" TargetMode="External"/><Relationship Id="rId14" Type="http://schemas.openxmlformats.org/officeDocument/2006/relationships/header" Target="header1.xml"/><Relationship Id="rId22" Type="http://schemas.openxmlformats.org/officeDocument/2006/relationships/header" Target="header4.xml"/></Relationships>
</file>

<file path=word/_rels/footnotes.xml.rels><?xml version="1.0" encoding="UTF-8" standalone="yes"?>
<Relationships xmlns="http://schemas.openxmlformats.org/package/2006/relationships"><Relationship Id="rId1" Type="http://schemas.openxmlformats.org/officeDocument/2006/relationships/hyperlink" Target="https://www.betterforbusiness.govt.nz/resources-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C5CB16-9DAD-4A02-A593-110B4D9DE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7870</Words>
  <Characters>42658</Characters>
  <Application>Microsoft Office Word</Application>
  <DocSecurity>0</DocSecurity>
  <Lines>1254</Lines>
  <Paragraphs>463</Paragraphs>
  <ScaleCrop>false</ScaleCrop>
  <HeadingPairs>
    <vt:vector size="2" baseType="variant">
      <vt:variant>
        <vt:lpstr>Title</vt:lpstr>
      </vt:variant>
      <vt:variant>
        <vt:i4>1</vt:i4>
      </vt:variant>
    </vt:vector>
  </HeadingPairs>
  <TitlesOfParts>
    <vt:vector size="1" baseType="lpstr">
      <vt:lpstr>Supplementary analysis report – Resurgence support payment (28 January 2021)</vt:lpstr>
    </vt:vector>
  </TitlesOfParts>
  <Company/>
  <LinksUpToDate>false</LinksUpToDate>
  <CharactersWithSpaces>50065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Supplementary analysis report – Resurgence support payment (28 January 2021)</dc:title>
  <dc:subject/>
  <dc:creator>The Treasury + Inland Revenue</dc:creator>
  <cp:keywords/>
  <dc:description/>
  <dcterms:created xsi:type="dcterms:W3CDTF">2021-02-15T06:15:00Z</dcterms:created>
  <dcterms:modified xsi:type="dcterms:W3CDTF">2021-02-15T06:15:00Z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