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8D9C" w14:textId="77777777" w:rsidR="00B93357" w:rsidRDefault="00B93357" w:rsidP="00293FDC">
      <w:pPr>
        <w:pStyle w:val="Heading1"/>
        <w:spacing w:before="0"/>
      </w:pPr>
    </w:p>
    <w:p w14:paraId="369D8C3B" w14:textId="34A4681C" w:rsidR="00E92509" w:rsidRPr="0067537D" w:rsidRDefault="002C7AE2" w:rsidP="00293FDC">
      <w:pPr>
        <w:pStyle w:val="Heading1"/>
        <w:spacing w:before="0"/>
      </w:pPr>
      <w:bookmarkStart w:id="0" w:name="_Hlk53126281"/>
      <w:r>
        <w:t>Supplementary Analysis Report</w:t>
      </w:r>
      <w:r w:rsidR="00783846" w:rsidRPr="00957BC2">
        <w:t>:</w:t>
      </w:r>
      <w:r w:rsidR="007C77B1" w:rsidRPr="00957BC2">
        <w:t xml:space="preserve"> </w:t>
      </w:r>
      <w:r w:rsidR="00594C4B">
        <w:t>Loosening the loss continuity rules</w:t>
      </w:r>
      <w:bookmarkEnd w:id="0"/>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594C4B" w:rsidRPr="0069218C" w14:paraId="577570A5" w14:textId="77777777" w:rsidTr="00594C4B">
        <w:trPr>
          <w:trHeight w:val="680"/>
        </w:trPr>
        <w:tc>
          <w:tcPr>
            <w:tcW w:w="5000" w:type="pct"/>
            <w:shd w:val="clear" w:color="auto" w:fill="auto"/>
          </w:tcPr>
          <w:p w14:paraId="2FC6E61F" w14:textId="79DD8A67" w:rsidR="00594C4B" w:rsidRPr="00594C4B" w:rsidRDefault="00594C4B" w:rsidP="00594C4B">
            <w:pPr>
              <w:spacing w:after="180"/>
              <w:rPr>
                <w:rFonts w:cs="Arial"/>
                <w:iCs/>
                <w:color w:val="000000"/>
                <w:szCs w:val="22"/>
              </w:rPr>
            </w:pPr>
            <w:r w:rsidRPr="00594C4B">
              <w:rPr>
                <w:rFonts w:cs="Arial"/>
                <w:iCs/>
                <w:color w:val="000000"/>
                <w:szCs w:val="22"/>
              </w:rPr>
              <w:t>Inland Revenue is solely responsible for the analysis and advice set out in this Supplementary Analysis Report (SAR), except as otherwise explicitly indicated.</w:t>
            </w:r>
          </w:p>
          <w:p w14:paraId="4C774415" w14:textId="36CC9D24" w:rsidR="004D0BFA" w:rsidRPr="004D0BFA" w:rsidRDefault="001C5B8A" w:rsidP="004D0BFA">
            <w:pPr>
              <w:spacing w:after="180"/>
              <w:rPr>
                <w:rFonts w:cs="Arial"/>
                <w:iCs/>
                <w:color w:val="000000"/>
                <w:szCs w:val="22"/>
              </w:rPr>
            </w:pPr>
            <w:r>
              <w:rPr>
                <w:rFonts w:cs="Arial"/>
                <w:iCs/>
                <w:color w:val="000000"/>
                <w:szCs w:val="22"/>
              </w:rPr>
              <w:t>This</w:t>
            </w:r>
            <w:r w:rsidR="00594C4B" w:rsidRPr="00594C4B">
              <w:rPr>
                <w:rFonts w:cs="Arial"/>
                <w:iCs/>
                <w:color w:val="000000"/>
                <w:szCs w:val="22"/>
              </w:rPr>
              <w:t xml:space="preserve"> </w:t>
            </w:r>
            <w:r w:rsidR="00805D0C">
              <w:rPr>
                <w:rFonts w:cs="Arial"/>
                <w:iCs/>
                <w:color w:val="000000"/>
                <w:szCs w:val="22"/>
              </w:rPr>
              <w:t>SAR</w:t>
            </w:r>
            <w:r w:rsidR="00805D0C" w:rsidRPr="00594C4B">
              <w:rPr>
                <w:rFonts w:cs="Arial"/>
                <w:iCs/>
                <w:color w:val="000000"/>
                <w:szCs w:val="22"/>
              </w:rPr>
              <w:t xml:space="preserve"> </w:t>
            </w:r>
            <w:r w:rsidR="00594C4B" w:rsidRPr="00594C4B">
              <w:rPr>
                <w:rFonts w:cs="Arial"/>
                <w:iCs/>
                <w:color w:val="000000"/>
                <w:szCs w:val="22"/>
              </w:rPr>
              <w:t>explain</w:t>
            </w:r>
            <w:r>
              <w:rPr>
                <w:rFonts w:cs="Arial"/>
                <w:iCs/>
                <w:color w:val="000000"/>
                <w:szCs w:val="22"/>
              </w:rPr>
              <w:t>s</w:t>
            </w:r>
            <w:r w:rsidR="00594C4B" w:rsidRPr="00594C4B">
              <w:rPr>
                <w:rFonts w:cs="Arial"/>
                <w:iCs/>
                <w:color w:val="000000"/>
                <w:szCs w:val="22"/>
              </w:rPr>
              <w:t xml:space="preserve"> the policy rationale and development behind the proposal to loosen the loss continuity rules to be included in the </w:t>
            </w:r>
            <w:r w:rsidR="00594C4B" w:rsidRPr="00594C4B">
              <w:rPr>
                <w:rFonts w:cs="Arial"/>
                <w:i/>
                <w:color w:val="000000"/>
                <w:szCs w:val="22"/>
              </w:rPr>
              <w:t>Taxation (Annual Rates for 2020-21 Feasibility Expenditure and Remedial Matters) Bill</w:t>
            </w:r>
            <w:r w:rsidR="00EF4853">
              <w:rPr>
                <w:rFonts w:cs="Arial"/>
                <w:iCs/>
                <w:color w:val="000000"/>
                <w:szCs w:val="22"/>
              </w:rPr>
              <w:t>.</w:t>
            </w:r>
            <w:r w:rsidR="002A75CC">
              <w:rPr>
                <w:rFonts w:cs="Arial"/>
                <w:iCs/>
                <w:color w:val="000000"/>
                <w:szCs w:val="22"/>
              </w:rPr>
              <w:t xml:space="preserve">  </w:t>
            </w:r>
            <w:r>
              <w:rPr>
                <w:rFonts w:cs="Arial"/>
                <w:iCs/>
                <w:color w:val="000000"/>
                <w:szCs w:val="22"/>
              </w:rPr>
              <w:t>It</w:t>
            </w:r>
            <w:r w:rsidR="00D678BE">
              <w:rPr>
                <w:rFonts w:cs="Arial"/>
                <w:iCs/>
                <w:color w:val="000000"/>
                <w:szCs w:val="22"/>
              </w:rPr>
              <w:t xml:space="preserve"> </w:t>
            </w:r>
            <w:r w:rsidR="002A75CC" w:rsidRPr="00E808E8">
              <w:rPr>
                <w:rFonts w:cs="Arial"/>
                <w:iCs/>
                <w:color w:val="000000"/>
                <w:szCs w:val="22"/>
              </w:rPr>
              <w:t xml:space="preserve">has been produced to improve transparency and understanding of the policy as the amendments go through the legislative process. </w:t>
            </w:r>
          </w:p>
          <w:p w14:paraId="1C5897B9" w14:textId="4B0E9F52" w:rsidR="004D0BFA" w:rsidRDefault="004D0BFA" w:rsidP="00574AF8">
            <w:pPr>
              <w:spacing w:after="180"/>
              <w:rPr>
                <w:lang w:val="en-NZ"/>
              </w:rPr>
            </w:pPr>
            <w:r>
              <w:rPr>
                <w:rFonts w:cs="Arial"/>
                <w:iCs/>
                <w:color w:val="000000"/>
                <w:szCs w:val="22"/>
              </w:rPr>
              <w:t>Making changes to the loss continuity rules was recommended by the Tax Working Group i</w:t>
            </w:r>
            <w:r w:rsidRPr="004D0BFA">
              <w:rPr>
                <w:rFonts w:cs="Arial"/>
                <w:iCs/>
                <w:color w:val="000000"/>
                <w:szCs w:val="22"/>
              </w:rPr>
              <w:t xml:space="preserve">n its final report, </w:t>
            </w:r>
            <w:r w:rsidRPr="004D0BFA">
              <w:rPr>
                <w:rFonts w:cs="Arial"/>
                <w:i/>
                <w:iCs/>
                <w:color w:val="000000"/>
                <w:szCs w:val="22"/>
              </w:rPr>
              <w:t>“Future of Tax”</w:t>
            </w:r>
            <w:r>
              <w:rPr>
                <w:rFonts w:cs="Arial"/>
                <w:i/>
                <w:iCs/>
                <w:color w:val="000000"/>
                <w:szCs w:val="22"/>
              </w:rPr>
              <w:t>.</w:t>
            </w:r>
            <w:r w:rsidRPr="007B7034">
              <w:rPr>
                <w:rFonts w:cs="Arial"/>
                <w:iCs/>
                <w:color w:val="000000"/>
                <w:szCs w:val="22"/>
                <w:vertAlign w:val="superscript"/>
              </w:rPr>
              <w:footnoteReference w:id="2"/>
            </w:r>
            <w:r w:rsidRPr="004D0BFA">
              <w:rPr>
                <w:rFonts w:cs="Arial"/>
                <w:iCs/>
                <w:color w:val="000000"/>
                <w:szCs w:val="22"/>
              </w:rPr>
              <w:t xml:space="preserve"> As a result the project has been on the tax policy work programme since 2019. </w:t>
            </w:r>
            <w:r w:rsidR="00574AF8">
              <w:rPr>
                <w:lang w:val="en-NZ"/>
              </w:rPr>
              <w:t xml:space="preserve">In September 2019, the Government announced it would consult on options to loosen the loss continuity rules in order to promote growth and innovation of start-ups and small-medium enterprises as a productivity enhancing policy. </w:t>
            </w:r>
          </w:p>
          <w:p w14:paraId="401CB4D2" w14:textId="45345D4C" w:rsidR="00E808E8" w:rsidRDefault="00574AF8" w:rsidP="00574AF8">
            <w:pPr>
              <w:spacing w:after="180"/>
              <w:rPr>
                <w:rFonts w:cs="Arial"/>
                <w:iCs/>
                <w:color w:val="000000"/>
                <w:szCs w:val="22"/>
              </w:rPr>
            </w:pPr>
            <w:r>
              <w:rPr>
                <w:lang w:val="en-NZ"/>
              </w:rPr>
              <w:t xml:space="preserve">A discussion document – </w:t>
            </w:r>
            <w:r w:rsidRPr="00B07576">
              <w:rPr>
                <w:i/>
                <w:iCs/>
                <w:lang w:val="en-NZ"/>
              </w:rPr>
              <w:t>Tax Losses: loss continuity and R&amp;D related provisions</w:t>
            </w:r>
            <w:r>
              <w:rPr>
                <w:lang w:val="en-NZ"/>
              </w:rPr>
              <w:t xml:space="preserve"> – was approved for public release by the Government</w:t>
            </w:r>
            <w:r w:rsidR="00AD2183">
              <w:rPr>
                <w:lang w:val="en-NZ"/>
              </w:rPr>
              <w:t xml:space="preserve"> on 18 March 2020</w:t>
            </w:r>
            <w:r>
              <w:rPr>
                <w:lang w:val="en-NZ"/>
              </w:rPr>
              <w:t xml:space="preserve">. </w:t>
            </w:r>
            <w:r w:rsidR="00594C4B" w:rsidRPr="00594C4B">
              <w:rPr>
                <w:rFonts w:cs="Arial"/>
                <w:iCs/>
                <w:color w:val="000000"/>
                <w:szCs w:val="22"/>
              </w:rPr>
              <w:t>However, on 1</w:t>
            </w:r>
            <w:r>
              <w:rPr>
                <w:rFonts w:cs="Arial"/>
                <w:iCs/>
                <w:color w:val="000000"/>
                <w:szCs w:val="22"/>
              </w:rPr>
              <w:t>5</w:t>
            </w:r>
            <w:r w:rsidR="00594C4B" w:rsidRPr="00594C4B">
              <w:rPr>
                <w:rFonts w:cs="Arial"/>
                <w:iCs/>
                <w:color w:val="000000"/>
                <w:szCs w:val="22"/>
              </w:rPr>
              <w:t xml:space="preserve"> April 2020, </w:t>
            </w:r>
            <w:r>
              <w:rPr>
                <w:rFonts w:cs="Arial"/>
                <w:iCs/>
                <w:color w:val="000000"/>
                <w:szCs w:val="22"/>
              </w:rPr>
              <w:t xml:space="preserve">the Government announced that it would </w:t>
            </w:r>
            <w:r w:rsidR="00594C4B" w:rsidRPr="00594C4B">
              <w:rPr>
                <w:rFonts w:cs="Arial"/>
                <w:iCs/>
                <w:color w:val="000000"/>
                <w:szCs w:val="22"/>
              </w:rPr>
              <w:t>accelerate this work in response to the economic impacts of COVID-19</w:t>
            </w:r>
            <w:r w:rsidR="00E808E8">
              <w:rPr>
                <w:rFonts w:cs="Arial"/>
                <w:iCs/>
                <w:color w:val="000000"/>
                <w:szCs w:val="22"/>
              </w:rPr>
              <w:t xml:space="preserve"> </w:t>
            </w:r>
            <w:r w:rsidR="00A22830">
              <w:rPr>
                <w:rFonts w:cs="Arial"/>
                <w:iCs/>
                <w:color w:val="000000"/>
                <w:szCs w:val="22"/>
              </w:rPr>
              <w:t>and</w:t>
            </w:r>
            <w:r w:rsidR="00594C4B" w:rsidRPr="00594C4B">
              <w:rPr>
                <w:rFonts w:cs="Arial"/>
                <w:iCs/>
                <w:color w:val="000000"/>
                <w:szCs w:val="22"/>
              </w:rPr>
              <w:t xml:space="preserve"> introduce </w:t>
            </w:r>
            <w:r w:rsidR="00210F73">
              <w:rPr>
                <w:rFonts w:cs="Arial"/>
                <w:iCs/>
                <w:color w:val="000000"/>
                <w:szCs w:val="22"/>
              </w:rPr>
              <w:t>a business continuity test</w:t>
            </w:r>
            <w:r w:rsidR="00594C4B" w:rsidRPr="00594C4B">
              <w:rPr>
                <w:rFonts w:cs="Arial"/>
                <w:iCs/>
                <w:color w:val="000000"/>
                <w:szCs w:val="22"/>
              </w:rPr>
              <w:t xml:space="preserve"> after consulting on the detailed design, with retrospective application from the 2020-21 income year. </w:t>
            </w:r>
          </w:p>
          <w:p w14:paraId="546590EB" w14:textId="60BBEC8D" w:rsidR="00E808E8" w:rsidRPr="00E808E8" w:rsidRDefault="001471E2" w:rsidP="00594C4B">
            <w:pPr>
              <w:spacing w:after="180"/>
              <w:rPr>
                <w:rFonts w:cs="Arial"/>
                <w:iCs/>
                <w:color w:val="000000"/>
                <w:szCs w:val="22"/>
                <w:lang w:val="en-NZ"/>
              </w:rPr>
            </w:pPr>
            <w:r w:rsidRPr="001471E2">
              <w:rPr>
                <w:rFonts w:cs="Arial"/>
                <w:iCs/>
                <w:color w:val="000000"/>
                <w:szCs w:val="22"/>
              </w:rPr>
              <w:t>The discussion document functioned as an interim RIA when it was considered by Cabinet and a final RIA was not prepared due to the short timeframe for developing policy in response to COVID-19.</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52F95A69" w14:textId="39FCF747" w:rsidR="003F07FC" w:rsidRDefault="00980EC9" w:rsidP="00C7655A">
            <w:pPr>
              <w:spacing w:after="0" w:line="276" w:lineRule="auto"/>
              <w:jc w:val="both"/>
              <w:rPr>
                <w:rFonts w:cs="Arial"/>
                <w:szCs w:val="22"/>
              </w:rPr>
            </w:pPr>
            <w:r>
              <w:rPr>
                <w:rFonts w:cs="Arial"/>
                <w:szCs w:val="22"/>
              </w:rPr>
              <w:t>The</w:t>
            </w:r>
            <w:r w:rsidR="001471E2">
              <w:rPr>
                <w:rFonts w:cs="Arial"/>
                <w:szCs w:val="22"/>
              </w:rPr>
              <w:t xml:space="preserve"> announcement on 15 April 2020 that the Government would introduce a business continuity test modelled on Australia’s rules with retrospective application to the 2020-21 year is a limitation on the analysis. </w:t>
            </w:r>
          </w:p>
          <w:p w14:paraId="38A72BAC" w14:textId="77777777" w:rsidR="00A52881" w:rsidRDefault="00A52881" w:rsidP="00C7655A">
            <w:pPr>
              <w:spacing w:after="0" w:line="276" w:lineRule="auto"/>
              <w:jc w:val="both"/>
              <w:rPr>
                <w:rFonts w:cs="Arial"/>
                <w:szCs w:val="22"/>
              </w:rPr>
            </w:pPr>
          </w:p>
          <w:p w14:paraId="7C043171" w14:textId="5860B739" w:rsidR="001471E2" w:rsidRDefault="007E2A04" w:rsidP="00C7655A">
            <w:pPr>
              <w:spacing w:after="0" w:line="276" w:lineRule="auto"/>
              <w:jc w:val="both"/>
              <w:rPr>
                <w:rFonts w:cs="Arial"/>
                <w:szCs w:val="22"/>
              </w:rPr>
            </w:pPr>
            <w:r w:rsidRPr="007E2A04">
              <w:rPr>
                <w:rFonts w:cs="Arial"/>
                <w:szCs w:val="22"/>
              </w:rPr>
              <w:t xml:space="preserve">Taxpayers </w:t>
            </w:r>
            <w:r w:rsidR="00A042B4">
              <w:rPr>
                <w:rFonts w:cs="Arial"/>
                <w:szCs w:val="22"/>
              </w:rPr>
              <w:t>who raise capital</w:t>
            </w:r>
            <w:r w:rsidRPr="007E2A04">
              <w:rPr>
                <w:rFonts w:cs="Arial"/>
                <w:szCs w:val="22"/>
              </w:rPr>
              <w:t xml:space="preserve"> </w:t>
            </w:r>
            <w:r>
              <w:rPr>
                <w:rFonts w:cs="Arial"/>
                <w:szCs w:val="22"/>
              </w:rPr>
              <w:t xml:space="preserve">during the COVID-19 economic downturn </w:t>
            </w:r>
            <w:r w:rsidRPr="007E2A04">
              <w:rPr>
                <w:rFonts w:cs="Arial"/>
                <w:szCs w:val="22"/>
              </w:rPr>
              <w:t xml:space="preserve">have been able to </w:t>
            </w:r>
            <w:r>
              <w:rPr>
                <w:rFonts w:cs="Arial"/>
                <w:szCs w:val="22"/>
              </w:rPr>
              <w:t xml:space="preserve">take comfort from the proposed </w:t>
            </w:r>
            <w:r w:rsidRPr="007E2A04">
              <w:rPr>
                <w:rFonts w:cs="Arial"/>
                <w:szCs w:val="22"/>
              </w:rPr>
              <w:t xml:space="preserve">introduction of a test that would assess the continuation of their underlying business and that would leave them no worse off than the full Australian test. This limited any further analysis on the other options and focused policy development on how to adapt the Australian business continuity test for the New Zealand context. </w:t>
            </w:r>
          </w:p>
          <w:p w14:paraId="63E173B3" w14:textId="5902B098" w:rsidR="00A72BF9" w:rsidRDefault="00980EC9" w:rsidP="00C7655A">
            <w:pPr>
              <w:spacing w:after="0" w:line="276" w:lineRule="auto"/>
              <w:jc w:val="both"/>
              <w:rPr>
                <w:rFonts w:cs="Arial"/>
                <w:szCs w:val="22"/>
              </w:rPr>
            </w:pPr>
            <w:r>
              <w:rPr>
                <w:rFonts w:cs="Arial"/>
                <w:szCs w:val="22"/>
              </w:rPr>
              <w:t xml:space="preserve"> </w:t>
            </w:r>
          </w:p>
          <w:p w14:paraId="0A42D835" w14:textId="4C16DEDF" w:rsidR="00A72BF9" w:rsidRDefault="004D0BFA" w:rsidP="00C7655A">
            <w:pPr>
              <w:spacing w:after="0" w:line="276" w:lineRule="auto"/>
              <w:jc w:val="both"/>
              <w:rPr>
                <w:rFonts w:cs="Arial"/>
                <w:szCs w:val="22"/>
              </w:rPr>
            </w:pPr>
            <w:r>
              <w:rPr>
                <w:rFonts w:cs="Arial"/>
                <w:szCs w:val="22"/>
              </w:rPr>
              <w:lastRenderedPageBreak/>
              <w:t xml:space="preserve">In order to enact new loss continuity rules </w:t>
            </w:r>
            <w:r w:rsidR="00AE3EF6">
              <w:rPr>
                <w:rFonts w:cs="Arial"/>
                <w:szCs w:val="22"/>
              </w:rPr>
              <w:t xml:space="preserve">by the end of the 2020-21 year the proposal needs to be included in the </w:t>
            </w:r>
            <w:r w:rsidR="00AE3EF6" w:rsidRPr="00594C4B">
              <w:rPr>
                <w:rFonts w:cs="Arial"/>
                <w:i/>
                <w:color w:val="000000"/>
                <w:szCs w:val="22"/>
              </w:rPr>
              <w:t>Taxation (Annual Rates for 2020-21 Feasibility Expenditure and Remedial Matters) Bill</w:t>
            </w:r>
            <w:r w:rsidR="00AE3EF6">
              <w:rPr>
                <w:rFonts w:cs="Arial"/>
                <w:i/>
                <w:color w:val="000000"/>
                <w:szCs w:val="22"/>
              </w:rPr>
              <w:t xml:space="preserve">. </w:t>
            </w:r>
            <w:r>
              <w:rPr>
                <w:rFonts w:cs="Arial"/>
                <w:szCs w:val="22"/>
              </w:rPr>
              <w:t>This</w:t>
            </w:r>
            <w:r w:rsidR="00AE3EF6">
              <w:rPr>
                <w:rFonts w:cs="Arial"/>
                <w:szCs w:val="22"/>
              </w:rPr>
              <w:t xml:space="preserve"> materially</w:t>
            </w:r>
            <w:r>
              <w:rPr>
                <w:rFonts w:cs="Arial"/>
                <w:szCs w:val="22"/>
              </w:rPr>
              <w:t xml:space="preserve"> </w:t>
            </w:r>
            <w:r w:rsidR="00AE3EF6">
              <w:rPr>
                <w:rFonts w:cs="Arial"/>
                <w:szCs w:val="22"/>
              </w:rPr>
              <w:t xml:space="preserve">limited the </w:t>
            </w:r>
            <w:r>
              <w:rPr>
                <w:rFonts w:cs="Arial"/>
                <w:szCs w:val="22"/>
              </w:rPr>
              <w:t>time</w:t>
            </w:r>
            <w:r w:rsidR="00AE3EF6">
              <w:rPr>
                <w:rFonts w:cs="Arial"/>
                <w:szCs w:val="22"/>
              </w:rPr>
              <w:t xml:space="preserve"> available</w:t>
            </w:r>
            <w:r>
              <w:rPr>
                <w:rFonts w:cs="Arial"/>
                <w:szCs w:val="22"/>
              </w:rPr>
              <w:t xml:space="preserve"> for developing the policy and the draft legislation</w:t>
            </w:r>
            <w:r w:rsidR="00AE3EF6">
              <w:rPr>
                <w:rFonts w:cs="Arial"/>
                <w:szCs w:val="22"/>
              </w:rPr>
              <w:t>.</w:t>
            </w:r>
            <w:r>
              <w:rPr>
                <w:rFonts w:cs="Arial"/>
                <w:szCs w:val="22"/>
              </w:rPr>
              <w:t xml:space="preserve"> </w:t>
            </w:r>
            <w:r w:rsidR="00A72BF9" w:rsidRPr="00A72BF9">
              <w:rPr>
                <w:rFonts w:cs="Arial"/>
                <w:szCs w:val="22"/>
              </w:rPr>
              <w:t>Due to the short timeframe for development</w:t>
            </w:r>
            <w:r w:rsidR="00EC29C7">
              <w:rPr>
                <w:rFonts w:cs="Arial"/>
                <w:szCs w:val="22"/>
              </w:rPr>
              <w:t xml:space="preserve">, officials </w:t>
            </w:r>
            <w:r w:rsidR="00C31816">
              <w:rPr>
                <w:rFonts w:cs="Arial"/>
                <w:szCs w:val="22"/>
              </w:rPr>
              <w:t xml:space="preserve">only </w:t>
            </w:r>
            <w:r w:rsidR="00EC29C7">
              <w:rPr>
                <w:rFonts w:cs="Arial"/>
                <w:szCs w:val="22"/>
              </w:rPr>
              <w:t xml:space="preserve">carried out </w:t>
            </w:r>
            <w:r w:rsidR="00A72BF9">
              <w:rPr>
                <w:rFonts w:cs="Arial"/>
                <w:szCs w:val="22"/>
              </w:rPr>
              <w:t>targeted consultation</w:t>
            </w:r>
            <w:r w:rsidR="00C10EF8">
              <w:rPr>
                <w:rFonts w:cs="Arial"/>
                <w:szCs w:val="22"/>
              </w:rPr>
              <w:t>.</w:t>
            </w:r>
            <w:r w:rsidR="002A42E1">
              <w:rPr>
                <w:rFonts w:cs="Arial"/>
                <w:szCs w:val="22"/>
              </w:rPr>
              <w:t xml:space="preserve"> </w:t>
            </w:r>
            <w:r w:rsidR="00A516B9">
              <w:rPr>
                <w:rFonts w:cs="Arial"/>
                <w:szCs w:val="22"/>
              </w:rPr>
              <w:t xml:space="preserve">The policy has not been tested with the broader public. </w:t>
            </w:r>
          </w:p>
          <w:p w14:paraId="5B19C8FF" w14:textId="77777777" w:rsidR="00EA04A7" w:rsidRDefault="00EA04A7" w:rsidP="00C7655A">
            <w:pPr>
              <w:spacing w:after="0" w:line="276" w:lineRule="auto"/>
              <w:jc w:val="both"/>
              <w:rPr>
                <w:rFonts w:cs="Arial"/>
                <w:szCs w:val="22"/>
              </w:rPr>
            </w:pPr>
          </w:p>
          <w:p w14:paraId="7CCEDC01" w14:textId="77777777" w:rsidR="00594C4B" w:rsidRDefault="00594C4B" w:rsidP="00C7655A">
            <w:pPr>
              <w:spacing w:after="0" w:line="276" w:lineRule="auto"/>
              <w:jc w:val="both"/>
              <w:rPr>
                <w:rFonts w:cs="Arial"/>
                <w:szCs w:val="22"/>
              </w:rPr>
            </w:pPr>
            <w:r>
              <w:rPr>
                <w:rFonts w:cs="Arial"/>
                <w:szCs w:val="22"/>
              </w:rPr>
              <w:t xml:space="preserve"> </w:t>
            </w:r>
          </w:p>
          <w:p w14:paraId="7AC72995" w14:textId="284F146A" w:rsidR="00AE2CD9" w:rsidRPr="0069218C" w:rsidRDefault="00AE2CD9" w:rsidP="00C7655A">
            <w:pPr>
              <w:spacing w:after="0" w:line="276" w:lineRule="auto"/>
              <w:jc w:val="both"/>
              <w:rPr>
                <w:rFonts w:cs="Arial"/>
                <w:szCs w:val="22"/>
              </w:rPr>
            </w:pP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lastRenderedPageBreak/>
              <w:t>Responsible Manager (signature and date):</w:t>
            </w:r>
          </w:p>
        </w:tc>
      </w:tr>
      <w:tr w:rsidR="00E92509" w:rsidRPr="0069218C" w14:paraId="4DB19724" w14:textId="77777777" w:rsidTr="00BB4EA2">
        <w:trPr>
          <w:trHeight w:val="3108"/>
        </w:trPr>
        <w:tc>
          <w:tcPr>
            <w:tcW w:w="5000" w:type="pct"/>
            <w:shd w:val="clear" w:color="auto" w:fill="FFFFFF"/>
          </w:tcPr>
          <w:p w14:paraId="6ABF5782" w14:textId="64AF0D63" w:rsidR="000B62F1" w:rsidRDefault="00A46FF2" w:rsidP="001471E2">
            <w:pPr>
              <w:spacing w:after="0"/>
              <w:rPr>
                <w:rFonts w:cs="Arial"/>
                <w:szCs w:val="22"/>
              </w:rPr>
            </w:pPr>
            <w:r>
              <w:rPr>
                <w:rFonts w:cs="Arial"/>
                <w:szCs w:val="22"/>
              </w:rPr>
              <w:t>Bary Hollow</w:t>
            </w:r>
          </w:p>
          <w:p w14:paraId="0047A0AF" w14:textId="03654A44" w:rsidR="000B62F1" w:rsidRDefault="00A46FF2" w:rsidP="001471E2">
            <w:pPr>
              <w:spacing w:after="0"/>
              <w:rPr>
                <w:rFonts w:cs="Arial"/>
                <w:szCs w:val="22"/>
              </w:rPr>
            </w:pPr>
            <w:r>
              <w:rPr>
                <w:rFonts w:cs="Arial"/>
                <w:szCs w:val="22"/>
              </w:rPr>
              <w:t>Principal Advisor</w:t>
            </w:r>
          </w:p>
          <w:p w14:paraId="6759ACC8" w14:textId="56681267" w:rsidR="000B62F1" w:rsidRDefault="000B62F1" w:rsidP="001471E2">
            <w:pPr>
              <w:spacing w:after="0"/>
              <w:rPr>
                <w:rFonts w:cs="Arial"/>
                <w:szCs w:val="22"/>
              </w:rPr>
            </w:pPr>
            <w:r>
              <w:rPr>
                <w:rFonts w:cs="Arial"/>
                <w:szCs w:val="22"/>
              </w:rPr>
              <w:t xml:space="preserve">Policy and </w:t>
            </w:r>
            <w:r w:rsidR="00C37577">
              <w:rPr>
                <w:rFonts w:cs="Arial"/>
                <w:szCs w:val="22"/>
              </w:rPr>
              <w:t>Strategy</w:t>
            </w:r>
          </w:p>
          <w:p w14:paraId="46132CFA" w14:textId="77777777" w:rsidR="000B62F1" w:rsidRPr="00A46FF2" w:rsidRDefault="000B62F1" w:rsidP="001471E2">
            <w:pPr>
              <w:spacing w:after="0"/>
              <w:rPr>
                <w:rFonts w:cs="Arial"/>
                <w:szCs w:val="22"/>
              </w:rPr>
            </w:pPr>
            <w:r w:rsidRPr="00A46FF2">
              <w:rPr>
                <w:rFonts w:cs="Arial"/>
                <w:szCs w:val="22"/>
              </w:rPr>
              <w:t>Inland Revenue</w:t>
            </w:r>
          </w:p>
          <w:p w14:paraId="7213A0E1" w14:textId="77777777" w:rsidR="000B62F1" w:rsidRPr="00A46FF2" w:rsidRDefault="000B62F1" w:rsidP="001471E2">
            <w:pPr>
              <w:spacing w:after="0"/>
              <w:rPr>
                <w:rFonts w:cs="Arial"/>
                <w:szCs w:val="22"/>
              </w:rPr>
            </w:pPr>
          </w:p>
          <w:p w14:paraId="08054841" w14:textId="7A8C4F05" w:rsidR="000B62F1" w:rsidRPr="0069218C" w:rsidRDefault="00A46FF2" w:rsidP="001471E2">
            <w:pPr>
              <w:spacing w:after="0"/>
              <w:rPr>
                <w:rFonts w:cs="Arial"/>
                <w:szCs w:val="22"/>
              </w:rPr>
            </w:pPr>
            <w:r w:rsidRPr="00A46FF2">
              <w:rPr>
                <w:rFonts w:cs="Arial"/>
                <w:szCs w:val="22"/>
              </w:rPr>
              <w:t>11 February</w:t>
            </w:r>
            <w:r w:rsidR="00FF717E" w:rsidRPr="00A46FF2">
              <w:rPr>
                <w:rFonts w:cs="Arial"/>
                <w:szCs w:val="22"/>
              </w:rPr>
              <w:t xml:space="preserve"> 2021</w:t>
            </w:r>
          </w:p>
        </w:tc>
      </w:tr>
    </w:tbl>
    <w:p w14:paraId="4D1670C2" w14:textId="7671287D" w:rsidR="00EE447B" w:rsidRDefault="00EE447B" w:rsidP="007A484F">
      <w:pPr>
        <w:spacing w:before="240" w:after="0" w:line="276" w:lineRule="auto"/>
        <w:rPr>
          <w:rFonts w:ascii="Arial Narrow" w:hAnsi="Arial Narrow"/>
          <w:i/>
          <w:szCs w:val="22"/>
        </w:rPr>
      </w:pPr>
      <w:bookmarkStart w:id="1" w:name="_Toc363047038"/>
      <w:bookmarkStart w:id="2" w:name="_Toc362940530"/>
      <w:bookmarkStart w:id="3" w:name="_Toc362618966"/>
      <w:bookmarkStart w:id="4" w:name="_Toc362434720"/>
      <w:bookmarkStart w:id="5" w:name="_Toc362368098"/>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5B96159F" w14:textId="7A1AA2AA" w:rsidR="00EE447B" w:rsidRDefault="000B62F1" w:rsidP="00E6054D">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0F3731AF" w14:textId="4BCA9DFE" w:rsidR="00294824" w:rsidRDefault="00294824" w:rsidP="00294824">
            <w:r>
              <w:t xml:space="preserve">The Quality Assurance reviewer at Inland Revenue has reviewed the Loosening the loss continuity rules SAR and considers that the information and analysis summarised in it </w:t>
            </w:r>
            <w:r w:rsidRPr="00294824">
              <w:rPr>
                <w:b/>
                <w:bCs/>
              </w:rPr>
              <w:t xml:space="preserve">meets </w:t>
            </w:r>
            <w:r>
              <w:t>the quality criteria of the Regulatory Impact Analysis framework.</w:t>
            </w:r>
          </w:p>
          <w:p w14:paraId="103684F1" w14:textId="7673B64B" w:rsidR="00EE447B" w:rsidRDefault="00294824" w:rsidP="00294824">
            <w:r>
              <w:t>The Key Limitations or Constraints on Analysis section of the SAR notes that analysis and consultation on options was limited after the Government announced it would implement a business continuity test in April 2020.  While this may have limited analysis on options that were not preferred, consultation back to the Tax Working Group has identified the issues with a business continuity test and the analysis of the costs and benefits of the preferred option is well explained.  The reviewer consider</w:t>
            </w:r>
            <w:r w:rsidR="00194089">
              <w:t>s</w:t>
            </w:r>
            <w:r>
              <w:t xml:space="preserve"> that the information in the SAR is as complete as could be expected and identifies the main risks and uncertainties.</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2B6BCF00" w14:textId="600D579B" w:rsidR="00EE447B" w:rsidRDefault="005D42AB" w:rsidP="00E6054D">
            <w:r w:rsidRPr="005D42AB">
              <w:t xml:space="preserve">Comments from the review of earlier versions of this </w:t>
            </w:r>
            <w:r>
              <w:t>SAR</w:t>
            </w:r>
            <w:r w:rsidRPr="005D42AB">
              <w:t xml:space="preserve"> have been incorporated into this version.</w:t>
            </w:r>
          </w:p>
          <w:p w14:paraId="3F069AA1" w14:textId="6E4014D3" w:rsidR="00E6054D" w:rsidRDefault="00E6054D">
            <w:pPr>
              <w:pStyle w:val="spacer"/>
              <w:spacing w:line="276" w:lineRule="auto"/>
              <w:rPr>
                <w:sz w:val="22"/>
              </w:rPr>
            </w:pPr>
          </w:p>
        </w:tc>
      </w:tr>
    </w:tbl>
    <w:p w14:paraId="31001C64" w14:textId="4B01982B" w:rsidR="00E92509" w:rsidRDefault="00F132B2" w:rsidP="00414D0D">
      <w:pPr>
        <w:pStyle w:val="Heading2"/>
      </w:pPr>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BB4EA2">
        <w:trPr>
          <w:trHeight w:val="1913"/>
        </w:trPr>
        <w:tc>
          <w:tcPr>
            <w:tcW w:w="5000" w:type="pct"/>
            <w:shd w:val="clear" w:color="auto" w:fill="auto"/>
          </w:tcPr>
          <w:p w14:paraId="62E1723C" w14:textId="66781C73" w:rsidR="00FF6E78" w:rsidRDefault="00FF6E78" w:rsidP="005F5D4F">
            <w:r w:rsidRPr="00FF6E78">
              <w:t xml:space="preserve">Losses and income are treated asymmetrically under New Zealand’s company tax system. </w:t>
            </w:r>
            <w:r>
              <w:t xml:space="preserve">Companies pay tax when their income is positive, but the Government does not provide a refund when income is negative. </w:t>
            </w:r>
            <w:r w:rsidR="00407CF7">
              <w:t>Refunding</w:t>
            </w:r>
            <w:r>
              <w:t xml:space="preserve"> losses would be the most efficient way to recognise losses</w:t>
            </w:r>
            <w:r w:rsidR="000C5A1B">
              <w:t>. However,</w:t>
            </w:r>
            <w:r>
              <w:t xml:space="preserve"> no country in the world does this because it is fiscally expensive and raises integrity concern</w:t>
            </w:r>
            <w:r w:rsidR="00407CF7">
              <w:t xml:space="preserve">s around the artificial generation of losses to obtain refunds. </w:t>
            </w:r>
            <w:r w:rsidR="00407CF7" w:rsidRPr="00407CF7">
              <w:t xml:space="preserve">Instead losses can be carried forward to offset future income of the company or other group income. Recognising tax losses in the system means that </w:t>
            </w:r>
            <w:r w:rsidR="00D17002">
              <w:t xml:space="preserve">most </w:t>
            </w:r>
            <w:r w:rsidR="00407CF7" w:rsidRPr="00407CF7">
              <w:t xml:space="preserve">taxpayers pay an appropriate amount of tax </w:t>
            </w:r>
            <w:r w:rsidR="00CE563C">
              <w:t>over their lifetime.</w:t>
            </w:r>
          </w:p>
          <w:p w14:paraId="5E9365A7" w14:textId="225A70EB" w:rsidR="002D6B28" w:rsidRDefault="00D72205" w:rsidP="005F5D4F">
            <w:r>
              <w:t>The l</w:t>
            </w:r>
            <w:r w:rsidR="005F5D4F">
              <w:t>oss continuity rules</w:t>
            </w:r>
            <w:r>
              <w:t xml:space="preserve"> in the Income Tax Act 2007</w:t>
            </w:r>
            <w:r w:rsidR="005F5D4F">
              <w:t xml:space="preserve"> set out </w:t>
            </w:r>
            <w:r w:rsidR="00A925D0">
              <w:t>the</w:t>
            </w:r>
            <w:r w:rsidR="005F5D4F">
              <w:t xml:space="preserve"> extent to which companies can carry forward tax losses to offset future profits when there is a change of ownership</w:t>
            </w:r>
            <w:r w:rsidR="00D110F9">
              <w:t xml:space="preserve"> of</w:t>
            </w:r>
            <w:r w:rsidR="005F5D4F">
              <w:t xml:space="preserve"> the company. </w:t>
            </w:r>
            <w:r w:rsidR="00407CF7">
              <w:t>For losses to be carried forward at least 49%</w:t>
            </w:r>
            <w:r w:rsidR="002D6B28">
              <w:t xml:space="preserve"> continuity of ownership of the company is required to be maintained from when the loss arose until the time it is used. New Zealand’s rules are among the most stringent in the world and mean </w:t>
            </w:r>
            <w:proofErr w:type="gramStart"/>
            <w:r w:rsidR="002D6B28">
              <w:t>companies</w:t>
            </w:r>
            <w:proofErr w:type="gramEnd"/>
            <w:r w:rsidR="002D6B28">
              <w:t xml:space="preserve"> capital raising will forfeit losses if, in doing so, they have a change in ownership of more than 51%.</w:t>
            </w:r>
            <w:r w:rsidR="002D6B28" w:rsidRPr="002D6B28">
              <w:t xml:space="preserve"> </w:t>
            </w:r>
          </w:p>
          <w:p w14:paraId="0D4D20DD" w14:textId="5FF78EEC" w:rsidR="00AE3EF6" w:rsidRDefault="002D6B28" w:rsidP="005F5D4F">
            <w:r w:rsidRPr="002D6B28">
              <w:t>The purpose of these rules is to prevent loss trading. Loss trading is where there is little or no economic basis for a transaction in which a company acquires another company; the acquisition is made purely to access the tax losses to offset against its income. Loss trading presents a major risk to the revenue base.</w:t>
            </w:r>
            <w:r w:rsidR="004D4D1B">
              <w:t xml:space="preserve"> Where loss trading allows companies to avoid paying tax it </w:t>
            </w:r>
            <w:r w:rsidR="005247BC">
              <w:t>undermines the integrity of the tax system and</w:t>
            </w:r>
            <w:r w:rsidR="004D4D1B">
              <w:t xml:space="preserve"> </w:t>
            </w:r>
            <w:r w:rsidR="005247BC">
              <w:t>erodes social capital.</w:t>
            </w:r>
            <w:r w:rsidRPr="002D6B28">
              <w:t xml:space="preserve"> </w:t>
            </w:r>
            <w:r w:rsidR="00BA7028">
              <w:t>E</w:t>
            </w:r>
            <w:r w:rsidR="00BA7028" w:rsidRPr="00BA7028">
              <w:t xml:space="preserve">xisting </w:t>
            </w:r>
            <w:r w:rsidR="00220822">
              <w:t>stocks</w:t>
            </w:r>
            <w:r w:rsidR="00BA7028" w:rsidRPr="00BA7028">
              <w:t xml:space="preserve"> of losses are very large, around $44 billion. </w:t>
            </w:r>
          </w:p>
          <w:p w14:paraId="697CEA04" w14:textId="74CF3840" w:rsidR="00BD1D7E" w:rsidRPr="00BD1D7E" w:rsidRDefault="00BD1D7E" w:rsidP="005F5D4F">
            <w:pPr>
              <w:rPr>
                <w:lang w:val="en-NZ"/>
              </w:rPr>
            </w:pPr>
            <w:r w:rsidRPr="00BD1D7E">
              <w:rPr>
                <w:lang w:val="en-NZ"/>
              </w:rPr>
              <w:t xml:space="preserve">The </w:t>
            </w:r>
            <w:r>
              <w:rPr>
                <w:lang w:val="en-NZ"/>
              </w:rPr>
              <w:t xml:space="preserve">49% </w:t>
            </w:r>
            <w:r w:rsidRPr="00BD1D7E">
              <w:rPr>
                <w:lang w:val="en-NZ"/>
              </w:rPr>
              <w:t xml:space="preserve">threshold limits any incentives to engage in loss trading because any income injected into that company to use up losses will also </w:t>
            </w:r>
            <w:r w:rsidR="00341283">
              <w:rPr>
                <w:lang w:val="en-NZ"/>
              </w:rPr>
              <w:t>be</w:t>
            </w:r>
            <w:r w:rsidR="005E2657">
              <w:rPr>
                <w:lang w:val="en-NZ"/>
              </w:rPr>
              <w:t>nefit</w:t>
            </w:r>
            <w:r w:rsidRPr="00BD1D7E">
              <w:rPr>
                <w:lang w:val="en-NZ"/>
              </w:rPr>
              <w:t xml:space="preserve"> the 49</w:t>
            </w:r>
            <w:r w:rsidR="001171B4">
              <w:rPr>
                <w:lang w:val="en-NZ"/>
              </w:rPr>
              <w:t xml:space="preserve">% </w:t>
            </w:r>
            <w:r w:rsidRPr="00BD1D7E">
              <w:rPr>
                <w:lang w:val="en-NZ"/>
              </w:rPr>
              <w:t xml:space="preserve">of shareholders that have not changed. </w:t>
            </w:r>
            <w:r>
              <w:rPr>
                <w:lang w:val="en-NZ"/>
              </w:rPr>
              <w:t xml:space="preserve">The threshold </w:t>
            </w:r>
            <w:r w:rsidRPr="00BD1D7E">
              <w:rPr>
                <w:lang w:val="en-NZ"/>
              </w:rPr>
              <w:t>is a proxy for control, a change by more than 51</w:t>
            </w:r>
            <w:r>
              <w:rPr>
                <w:lang w:val="en-NZ"/>
              </w:rPr>
              <w:t>%</w:t>
            </w:r>
            <w:r w:rsidRPr="00BD1D7E">
              <w:rPr>
                <w:lang w:val="en-NZ"/>
              </w:rPr>
              <w:t xml:space="preserve"> of the voting power in theory means that control of the company has changed.</w:t>
            </w:r>
          </w:p>
          <w:p w14:paraId="285246D0" w14:textId="159339EB" w:rsidR="001D5E21" w:rsidRDefault="005F5D4F" w:rsidP="005F5D4F">
            <w:r>
              <w:t>The</w:t>
            </w:r>
            <w:r w:rsidR="004A3DE0">
              <w:t xml:space="preserve"> specific</w:t>
            </w:r>
            <w:r>
              <w:t xml:space="preserve"> policy problem is that </w:t>
            </w:r>
            <w:r w:rsidR="00654086">
              <w:t>the focus on preventing loss-trading</w:t>
            </w:r>
            <w:r>
              <w:t xml:space="preserve"> creates an impediment for </w:t>
            </w:r>
            <w:r w:rsidR="00B80EB1">
              <w:t xml:space="preserve">companies </w:t>
            </w:r>
            <w:r>
              <w:t xml:space="preserve">obtaining capital in order to innovate and grow because capital raising can result in a breach of the 49% ownership continuity threshold. </w:t>
            </w:r>
            <w:r w:rsidR="00E10396">
              <w:t>T</w:t>
            </w:r>
            <w:r w:rsidRPr="005F5D4F">
              <w:t xml:space="preserve">he impediment can lower the amount of capital an investor is willing to put into a company </w:t>
            </w:r>
            <w:r w:rsidR="00BA7028">
              <w:t>and that an existing owner is willing to accept</w:t>
            </w:r>
            <w:r w:rsidR="006403C2">
              <w:t>.</w:t>
            </w:r>
            <w:r w:rsidR="00BA7028">
              <w:t xml:space="preserve"> </w:t>
            </w:r>
            <w:r w:rsidR="00E54A97">
              <w:t xml:space="preserve">This is because </w:t>
            </w:r>
            <w:r w:rsidR="00B36296">
              <w:t>any existing losses</w:t>
            </w:r>
            <w:r>
              <w:t xml:space="preserve"> will have no value</w:t>
            </w:r>
            <w:r w:rsidR="00E54A97">
              <w:t xml:space="preserve"> if there is a change in ownership</w:t>
            </w:r>
            <w:r>
              <w:t xml:space="preserve"> and</w:t>
            </w:r>
            <w:r w:rsidR="00E10396">
              <w:t xml:space="preserve"> the</w:t>
            </w:r>
            <w:r>
              <w:t xml:space="preserve"> company will have to pay tax on profits sooner as a result</w:t>
            </w:r>
            <w:r w:rsidR="00B36296">
              <w:t xml:space="preserve">. </w:t>
            </w:r>
            <w:r>
              <w:t>In some extreme cases</w:t>
            </w:r>
            <w:r w:rsidR="00074D43">
              <w:t xml:space="preserve"> the rules</w:t>
            </w:r>
            <w:r>
              <w:t xml:space="preserve"> can even prevent a transaction from happening at all. </w:t>
            </w:r>
            <w:r w:rsidR="005819AF">
              <w:t>As much as possible, t</w:t>
            </w:r>
            <w:r w:rsidR="00BA7028">
              <w:t>he</w:t>
            </w:r>
            <w:r w:rsidR="00A925D0">
              <w:t xml:space="preserve"> </w:t>
            </w:r>
            <w:r w:rsidRPr="005F5D4F">
              <w:t>tax system should not get in the way of sensible</w:t>
            </w:r>
            <w:r w:rsidR="001D5E21">
              <w:t xml:space="preserve"> business</w:t>
            </w:r>
            <w:r w:rsidRPr="005F5D4F">
              <w:t xml:space="preserve"> transactions</w:t>
            </w:r>
            <w:r>
              <w:t xml:space="preserve">. </w:t>
            </w:r>
            <w:r w:rsidR="00791C34">
              <w:t xml:space="preserve">Based on data collected by Inland Revenue from company tax returns, it is estimated that on average </w:t>
            </w:r>
            <w:r w:rsidR="00B03867">
              <w:t xml:space="preserve">the tax value of losses forfeited by companies as a result of changes in ownership is </w:t>
            </w:r>
            <w:r w:rsidR="00791C34">
              <w:t>$60 million</w:t>
            </w:r>
            <w:r w:rsidR="00B847DE">
              <w:t xml:space="preserve"> a year</w:t>
            </w:r>
            <w:r w:rsidR="00B03867">
              <w:t>.</w:t>
            </w:r>
          </w:p>
          <w:p w14:paraId="128DD047" w14:textId="19B2A347" w:rsidR="00F132B2" w:rsidRPr="006C0DA8" w:rsidRDefault="005F5D4F" w:rsidP="006C0DA8">
            <w:pPr>
              <w:rPr>
                <w:lang w:val="en-NZ"/>
              </w:rPr>
            </w:pPr>
            <w:r>
              <w:t xml:space="preserve">The current settings prevent loss trading but </w:t>
            </w:r>
            <w:r w:rsidR="0030398B">
              <w:t>arguably</w:t>
            </w:r>
            <w:r>
              <w:t xml:space="preserve"> impede transactions which have nothing to do with the availability of a tax loss. </w:t>
            </w:r>
            <w:r w:rsidRPr="005F5D4F">
              <w:rPr>
                <w:lang w:val="en-NZ"/>
              </w:rPr>
              <w:t>The</w:t>
            </w:r>
            <w:r>
              <w:rPr>
                <w:lang w:val="en-NZ"/>
              </w:rPr>
              <w:t xml:space="preserve"> problem is particularly acute for start-ups </w:t>
            </w:r>
            <w:r w:rsidR="00E10396">
              <w:rPr>
                <w:lang w:val="en-NZ"/>
              </w:rPr>
              <w:t xml:space="preserve">as these businesses often have </w:t>
            </w:r>
            <w:r w:rsidR="00DC5B87">
              <w:rPr>
                <w:lang w:val="en-NZ"/>
              </w:rPr>
              <w:t>mu</w:t>
            </w:r>
            <w:r w:rsidR="00E10396">
              <w:rPr>
                <w:lang w:val="en-NZ"/>
              </w:rPr>
              <w:t>l</w:t>
            </w:r>
            <w:r w:rsidR="00DC5B87">
              <w:rPr>
                <w:lang w:val="en-NZ"/>
              </w:rPr>
              <w:t>tiple</w:t>
            </w:r>
            <w:r w:rsidR="00E10396">
              <w:rPr>
                <w:lang w:val="en-NZ"/>
              </w:rPr>
              <w:t xml:space="preserve"> capitalisation rounds as the business </w:t>
            </w:r>
            <w:r w:rsidR="00B847DE">
              <w:rPr>
                <w:lang w:val="en-NZ"/>
              </w:rPr>
              <w:t>grows</w:t>
            </w:r>
            <w:r w:rsidR="00E10396">
              <w:rPr>
                <w:lang w:val="en-NZ"/>
              </w:rPr>
              <w:t xml:space="preserve"> from an idea to a viable business.</w:t>
            </w:r>
            <w:r w:rsidR="00E10396" w:rsidRPr="005F5D4F">
              <w:rPr>
                <w:lang w:val="en-NZ"/>
              </w:rPr>
              <w:t xml:space="preserve"> However, </w:t>
            </w:r>
            <w:r w:rsidR="00E10396">
              <w:rPr>
                <w:lang w:val="en-NZ"/>
              </w:rPr>
              <w:t>it is also recognised</w:t>
            </w:r>
            <w:r w:rsidR="00E10396" w:rsidRPr="005F5D4F">
              <w:rPr>
                <w:lang w:val="en-NZ"/>
              </w:rPr>
              <w:t xml:space="preserve"> that </w:t>
            </w:r>
            <w:r w:rsidR="00F10782">
              <w:rPr>
                <w:lang w:val="en-NZ"/>
              </w:rPr>
              <w:t>companies</w:t>
            </w:r>
            <w:r w:rsidR="00E10396" w:rsidRPr="005F5D4F">
              <w:rPr>
                <w:lang w:val="en-NZ"/>
              </w:rPr>
              <w:t xml:space="preserve"> seeking to recover from the impacts of COVID-19 </w:t>
            </w:r>
            <w:r w:rsidR="00814E44">
              <w:rPr>
                <w:lang w:val="en-NZ"/>
              </w:rPr>
              <w:t>have been</w:t>
            </w:r>
            <w:r w:rsidR="00E10396">
              <w:rPr>
                <w:lang w:val="en-NZ"/>
              </w:rPr>
              <w:t xml:space="preserve"> undertaking capital raising in order to remain resilient</w:t>
            </w:r>
            <w:r w:rsidR="00A925D0">
              <w:rPr>
                <w:lang w:val="en-NZ"/>
              </w:rPr>
              <w:t xml:space="preserve"> (among other reasons)</w:t>
            </w:r>
            <w:r w:rsidR="00E10396">
              <w:rPr>
                <w:lang w:val="en-NZ"/>
              </w:rPr>
              <w:t xml:space="preserve">. </w:t>
            </w:r>
          </w:p>
        </w:tc>
      </w:tr>
    </w:tbl>
    <w:p w14:paraId="5D2EE621" w14:textId="7B1034B5" w:rsidR="00F132B2" w:rsidRDefault="00F132B2" w:rsidP="00567434">
      <w:pPr>
        <w:pStyle w:val="spacer"/>
      </w:pPr>
    </w:p>
    <w:p w14:paraId="37C30C0D" w14:textId="50B211C8" w:rsidR="00F944CF" w:rsidRDefault="00F944CF" w:rsidP="00567434">
      <w:pPr>
        <w:pStyle w:val="spacer"/>
      </w:pPr>
    </w:p>
    <w:p w14:paraId="5A61154C" w14:textId="7094ACEB" w:rsidR="00F944CF" w:rsidRDefault="00F944CF" w:rsidP="00567434">
      <w:pPr>
        <w:pStyle w:val="spacer"/>
      </w:pPr>
    </w:p>
    <w:p w14:paraId="5D6948C5" w14:textId="2B199C16" w:rsidR="00F944CF" w:rsidRDefault="00F944CF" w:rsidP="00567434">
      <w:pPr>
        <w:pStyle w:val="spacer"/>
      </w:pPr>
    </w:p>
    <w:p w14:paraId="1085CEC3" w14:textId="7859CF5A" w:rsidR="00F944CF" w:rsidRDefault="00F944CF" w:rsidP="00567434">
      <w:pPr>
        <w:pStyle w:val="spacer"/>
      </w:pPr>
    </w:p>
    <w:p w14:paraId="28749899" w14:textId="77777777" w:rsidR="00F944CF" w:rsidRPr="00567434" w:rsidRDefault="00F944CF"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BB4EA2">
        <w:trPr>
          <w:trHeight w:val="1779"/>
        </w:trPr>
        <w:tc>
          <w:tcPr>
            <w:tcW w:w="5000" w:type="pct"/>
            <w:shd w:val="clear" w:color="auto" w:fill="auto"/>
          </w:tcPr>
          <w:p w14:paraId="1C5A4C1F" w14:textId="41EEDB06" w:rsidR="00A925D0" w:rsidRDefault="002F154A" w:rsidP="00E6054D">
            <w:r>
              <w:t xml:space="preserve">Currently, tax is acting as a barrier to sensible business decisions that companies can make to restructure their ownership and to bring </w:t>
            </w:r>
            <w:r w:rsidR="008B56FF">
              <w:t xml:space="preserve">in </w:t>
            </w:r>
            <w:r>
              <w:t>new investors.</w:t>
            </w:r>
            <w:r w:rsidR="00A925D0">
              <w:t xml:space="preserve"> The evidence for this is anecdotally provided by stakeholders and has been included in submissions to Ministers and the Tax Working Group.</w:t>
            </w:r>
            <w:r w:rsidR="00A925D0">
              <w:rPr>
                <w:rStyle w:val="FootnoteReference"/>
              </w:rPr>
              <w:footnoteReference w:id="3"/>
            </w:r>
          </w:p>
          <w:p w14:paraId="17C29B0E" w14:textId="77777777" w:rsidR="00F132B2" w:rsidRPr="0069218C" w:rsidRDefault="00F132B2" w:rsidP="00D56B02">
            <w:pPr>
              <w:rPr>
                <w:rFonts w:cs="Arial"/>
                <w:szCs w:val="22"/>
              </w:rPr>
            </w:pP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16055A9F" w14:textId="06E1958F" w:rsidR="00EA7AB5" w:rsidRPr="007B7F8D" w:rsidRDefault="00EA7AB5" w:rsidP="00EA7AB5">
            <w:pPr>
              <w:rPr>
                <w:lang w:val="en-NZ"/>
              </w:rPr>
            </w:pPr>
            <w:r>
              <w:rPr>
                <w:lang w:val="en-NZ"/>
              </w:rPr>
              <w:t xml:space="preserve">The objectives </w:t>
            </w:r>
            <w:r w:rsidR="00E5792C">
              <w:rPr>
                <w:lang w:val="en-NZ"/>
              </w:rPr>
              <w:t xml:space="preserve">sought </w:t>
            </w:r>
            <w:r>
              <w:rPr>
                <w:lang w:val="en-NZ"/>
              </w:rPr>
              <w:t>are to</w:t>
            </w:r>
            <w:r w:rsidRPr="00EA7AB5">
              <w:rPr>
                <w:lang w:val="en-NZ"/>
              </w:rPr>
              <w:t xml:space="preserve"> lessen the impact of the tax system on investment decisions</w:t>
            </w:r>
            <w:r w:rsidR="006768BA">
              <w:rPr>
                <w:lang w:val="en-NZ"/>
              </w:rPr>
              <w:t xml:space="preserve"> </w:t>
            </w:r>
            <w:r w:rsidR="00405776">
              <w:rPr>
                <w:lang w:val="en-NZ"/>
              </w:rPr>
              <w:t>in order to</w:t>
            </w:r>
            <w:r w:rsidRPr="00EA7AB5">
              <w:rPr>
                <w:lang w:val="en-NZ"/>
              </w:rPr>
              <w:t xml:space="preserve"> promote growth and productivity, particularly for start-ups and </w:t>
            </w:r>
            <w:r w:rsidR="00023A75">
              <w:rPr>
                <w:lang w:val="en-NZ"/>
              </w:rPr>
              <w:t xml:space="preserve">small-medium enterprises </w:t>
            </w:r>
            <w:r>
              <w:rPr>
                <w:lang w:val="en-NZ"/>
              </w:rPr>
              <w:t>while still preventing loss trading</w:t>
            </w:r>
            <w:r w:rsidR="00AD351F">
              <w:rPr>
                <w:lang w:val="en-NZ"/>
              </w:rPr>
              <w:t xml:space="preserve"> </w:t>
            </w:r>
            <w:r w:rsidR="00B261F5">
              <w:rPr>
                <w:lang w:val="en-NZ"/>
              </w:rPr>
              <w:t>opportunities</w:t>
            </w:r>
            <w:r>
              <w:rPr>
                <w:lang w:val="en-NZ"/>
              </w:rPr>
              <w:t>.</w:t>
            </w:r>
            <w:r w:rsidRPr="00EA7AB5">
              <w:rPr>
                <w:lang w:val="en-NZ"/>
              </w:rPr>
              <w:t xml:space="preserve"> </w:t>
            </w:r>
          </w:p>
          <w:p w14:paraId="6CCE6DE4" w14:textId="5467B158" w:rsidR="00A925D0" w:rsidRPr="007B7F8D" w:rsidRDefault="00A925D0" w:rsidP="00A925D0">
            <w:pPr>
              <w:rPr>
                <w:lang w:val="en-NZ"/>
              </w:rPr>
            </w:pPr>
          </w:p>
        </w:tc>
      </w:tr>
    </w:tbl>
    <w:p w14:paraId="23951347" w14:textId="014101A8" w:rsidR="00E92509" w:rsidRDefault="00A552DC" w:rsidP="001B4792">
      <w:pPr>
        <w:pStyle w:val="Heading2"/>
      </w:pPr>
      <w:r w:rsidRPr="0069218C">
        <w:rPr>
          <w:lang w:val="en-NZ"/>
        </w:rPr>
        <w:br w:type="page"/>
      </w:r>
      <w:r w:rsidR="00BE62EB" w:rsidRPr="002D5734">
        <w:lastRenderedPageBreak/>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847638">
        <w:trPr>
          <w:trHeight w:val="1309"/>
        </w:trPr>
        <w:tc>
          <w:tcPr>
            <w:tcW w:w="5000" w:type="pct"/>
            <w:shd w:val="clear" w:color="auto" w:fill="auto"/>
          </w:tcPr>
          <w:p w14:paraId="4660CA25" w14:textId="77777777" w:rsidR="007F2C8D" w:rsidRDefault="007F2C8D" w:rsidP="007F2C8D">
            <w:pPr>
              <w:pStyle w:val="ListParagraph"/>
            </w:pPr>
          </w:p>
          <w:p w14:paraId="4AD01464" w14:textId="4BF9B9FC" w:rsidR="00FD6129" w:rsidRDefault="00FD6129" w:rsidP="00FD6129">
            <w:pPr>
              <w:pStyle w:val="ListParagraph"/>
              <w:numPr>
                <w:ilvl w:val="0"/>
                <w:numId w:val="38"/>
              </w:numPr>
            </w:pPr>
            <w:r>
              <w:t>Option 1 – Status quo</w:t>
            </w:r>
          </w:p>
          <w:p w14:paraId="2B112124" w14:textId="40593CDC" w:rsidR="00FD6129" w:rsidRDefault="00FD6129" w:rsidP="00FD6129">
            <w:pPr>
              <w:pStyle w:val="ListParagraph"/>
              <w:numPr>
                <w:ilvl w:val="0"/>
                <w:numId w:val="38"/>
              </w:numPr>
            </w:pPr>
            <w:r>
              <w:t xml:space="preserve">Option 2 </w:t>
            </w:r>
            <w:r w:rsidR="00CF2DE4">
              <w:t>–</w:t>
            </w:r>
            <w:r>
              <w:t xml:space="preserve"> </w:t>
            </w:r>
            <w:r w:rsidR="00BC577B">
              <w:t>B</w:t>
            </w:r>
            <w:r w:rsidR="00CF2DE4">
              <w:t>usiness continuity tes</w:t>
            </w:r>
            <w:r w:rsidR="007F2C8D">
              <w:t>t</w:t>
            </w:r>
          </w:p>
          <w:p w14:paraId="160FC21D" w14:textId="73BB0D4D" w:rsidR="00CF2DE4" w:rsidRDefault="00CF2DE4" w:rsidP="00FD6129">
            <w:pPr>
              <w:pStyle w:val="ListParagraph"/>
              <w:numPr>
                <w:ilvl w:val="0"/>
                <w:numId w:val="38"/>
              </w:numPr>
            </w:pPr>
            <w:r>
              <w:t xml:space="preserve">Option 3 – </w:t>
            </w:r>
            <w:r w:rsidR="00BC577B">
              <w:t>L</w:t>
            </w:r>
            <w:r>
              <w:t>ower the ownership continuity threshold</w:t>
            </w:r>
          </w:p>
          <w:p w14:paraId="54F41BAF" w14:textId="3FF8B237" w:rsidR="00CF2DE4" w:rsidRDefault="00CF2DE4" w:rsidP="00FD6129">
            <w:pPr>
              <w:pStyle w:val="ListParagraph"/>
              <w:numPr>
                <w:ilvl w:val="0"/>
                <w:numId w:val="38"/>
              </w:numPr>
            </w:pPr>
            <w:r>
              <w:t xml:space="preserve">Option 4 – </w:t>
            </w:r>
            <w:r w:rsidR="00BC577B">
              <w:t>I</w:t>
            </w:r>
            <w:r>
              <w:t>ntroduce a formula for loss carry forward</w:t>
            </w:r>
          </w:p>
          <w:p w14:paraId="3E5D452C" w14:textId="794CA326" w:rsidR="00CF2DE4" w:rsidRDefault="00CF2DE4" w:rsidP="00CF2DE4"/>
          <w:p w14:paraId="1FE30ACC" w14:textId="77777777" w:rsidR="007444CA" w:rsidRDefault="00A47001" w:rsidP="00CF2DE4">
            <w:r>
              <w:t>Options 2-4 are all legislative tests which</w:t>
            </w:r>
            <w:r w:rsidR="006971AB">
              <w:t xml:space="preserve"> aim to loosen the loss continuity rules while still </w:t>
            </w:r>
            <w:r w:rsidR="00807920">
              <w:t>preventing loss trading.</w:t>
            </w:r>
            <w:r w:rsidR="00A10E4D">
              <w:t xml:space="preserve"> </w:t>
            </w:r>
          </w:p>
          <w:p w14:paraId="3FE4DF10" w14:textId="1863C48B" w:rsidR="00807920" w:rsidRDefault="00BE1602" w:rsidP="00CF2DE4">
            <w:r>
              <w:t xml:space="preserve">All </w:t>
            </w:r>
            <w:r w:rsidR="00254F08">
              <w:t xml:space="preserve">options </w:t>
            </w:r>
            <w:r w:rsidR="000F58F3">
              <w:t>were</w:t>
            </w:r>
            <w:r w:rsidR="00254F08">
              <w:t xml:space="preserve"> assessed against four criteria</w:t>
            </w:r>
            <w:r w:rsidR="00DF5C5C">
              <w:t>:</w:t>
            </w:r>
          </w:p>
          <w:p w14:paraId="4F6FEFF7" w14:textId="0DD2CC3C" w:rsidR="00DF5C5C" w:rsidRDefault="00DF5C5C" w:rsidP="00DF5C5C">
            <w:pPr>
              <w:pStyle w:val="ListParagraph"/>
              <w:numPr>
                <w:ilvl w:val="0"/>
                <w:numId w:val="39"/>
              </w:numPr>
            </w:pPr>
            <w:r w:rsidRPr="0027596C">
              <w:rPr>
                <w:i/>
                <w:iCs/>
              </w:rPr>
              <w:t>Fairness:</w:t>
            </w:r>
            <w:r>
              <w:t xml:space="preserve"> </w:t>
            </w:r>
            <w:r w:rsidR="00A925D0">
              <w:t>the options should improve horizon</w:t>
            </w:r>
            <w:r w:rsidR="0066198D">
              <w:t>t</w:t>
            </w:r>
            <w:r w:rsidR="00A925D0">
              <w:t xml:space="preserve">al equity </w:t>
            </w:r>
            <w:r w:rsidR="00C03FAB">
              <w:t>so that</w:t>
            </w:r>
            <w:r w:rsidR="0027596C" w:rsidRPr="0027596C">
              <w:t xml:space="preserve"> different taxpayers with similar levels of income pay similar levels of tax.</w:t>
            </w:r>
          </w:p>
          <w:p w14:paraId="7E47F292" w14:textId="3B45340C" w:rsidR="0027596C" w:rsidRDefault="0027596C" w:rsidP="00DF5C5C">
            <w:pPr>
              <w:pStyle w:val="ListParagraph"/>
              <w:numPr>
                <w:ilvl w:val="0"/>
                <w:numId w:val="39"/>
              </w:numPr>
            </w:pPr>
            <w:r>
              <w:rPr>
                <w:i/>
                <w:iCs/>
              </w:rPr>
              <w:t>Efficiency:</w:t>
            </w:r>
            <w:r w:rsidR="00D147DD">
              <w:t xml:space="preserve"> </w:t>
            </w:r>
            <w:r w:rsidR="00A925D0">
              <w:t xml:space="preserve">the options should lessen the impact of the </w:t>
            </w:r>
            <w:r w:rsidR="00D147DD">
              <w:t xml:space="preserve">tax system </w:t>
            </w:r>
            <w:r w:rsidR="00A925D0">
              <w:t xml:space="preserve">on </w:t>
            </w:r>
            <w:r w:rsidR="00D147DD">
              <w:t>economic behaviour</w:t>
            </w:r>
            <w:r w:rsidR="00D56B02">
              <w:t>.</w:t>
            </w:r>
          </w:p>
          <w:p w14:paraId="18B8F5D7" w14:textId="4D85AFA5" w:rsidR="00D147DD" w:rsidRPr="007B7034" w:rsidRDefault="00D147DD" w:rsidP="00DF5C5C">
            <w:pPr>
              <w:pStyle w:val="ListParagraph"/>
              <w:numPr>
                <w:ilvl w:val="0"/>
                <w:numId w:val="39"/>
              </w:numPr>
            </w:pPr>
            <w:r w:rsidRPr="003A0797">
              <w:rPr>
                <w:i/>
                <w:iCs/>
              </w:rPr>
              <w:t>Complexity:</w:t>
            </w:r>
            <w:r w:rsidR="00282A26">
              <w:rPr>
                <w:i/>
                <w:iCs/>
              </w:rPr>
              <w:t xml:space="preserve"> </w:t>
            </w:r>
            <w:r w:rsidR="00A925D0" w:rsidRPr="000E0472">
              <w:t>the options should</w:t>
            </w:r>
            <w:r w:rsidR="00282A26" w:rsidRPr="000E0472">
              <w:t xml:space="preserve"> reduce complexity </w:t>
            </w:r>
            <w:r w:rsidR="00360124">
              <w:t xml:space="preserve">as much as possible. </w:t>
            </w:r>
          </w:p>
          <w:p w14:paraId="64AB84EE" w14:textId="1CB021EA" w:rsidR="00DF5C5C" w:rsidRDefault="00A925D0" w:rsidP="00BF31F4">
            <w:pPr>
              <w:pStyle w:val="ListParagraph"/>
              <w:numPr>
                <w:ilvl w:val="0"/>
                <w:numId w:val="39"/>
              </w:numPr>
            </w:pPr>
            <w:r>
              <w:rPr>
                <w:i/>
                <w:iCs/>
              </w:rPr>
              <w:t>T</w:t>
            </w:r>
            <w:r w:rsidR="003A0797" w:rsidRPr="00BF31F4">
              <w:rPr>
                <w:i/>
                <w:iCs/>
              </w:rPr>
              <w:t>ax system integrity:</w:t>
            </w:r>
            <w:r w:rsidR="003A0797">
              <w:t xml:space="preserve"> </w:t>
            </w:r>
            <w:r w:rsidR="00BF31F4">
              <w:t>t</w:t>
            </w:r>
            <w:r w:rsidR="00BF31F4" w:rsidRPr="00BF31F4">
              <w:t>he primary function of a tax system is to provide revenue to fund government spending priorities</w:t>
            </w:r>
            <w:r w:rsidR="00BF31F4">
              <w:t xml:space="preserve">. </w:t>
            </w:r>
            <w:r w:rsidR="00282A26">
              <w:t xml:space="preserve">The options should </w:t>
            </w:r>
            <w:r w:rsidR="00BF31F4">
              <w:t>maintain protection against loss trading</w:t>
            </w:r>
            <w:r w:rsidR="0071791E">
              <w:t xml:space="preserve"> which can </w:t>
            </w:r>
            <w:r w:rsidR="00EB7370">
              <w:t>reduce revenue</w:t>
            </w:r>
            <w:r w:rsidR="00282A26">
              <w:t xml:space="preserve"> and reduce social capital.</w:t>
            </w:r>
          </w:p>
          <w:p w14:paraId="6960CCCF" w14:textId="77777777" w:rsidR="00F10483" w:rsidRDefault="00F10483" w:rsidP="00F10483">
            <w:pPr>
              <w:pStyle w:val="ListParagraph"/>
            </w:pPr>
          </w:p>
          <w:p w14:paraId="7F93A7AA" w14:textId="2959A041" w:rsidR="00CF3140" w:rsidRPr="004F1E25" w:rsidRDefault="00CF3140" w:rsidP="00BF31F4">
            <w:pPr>
              <w:rPr>
                <w:b/>
                <w:bCs/>
              </w:rPr>
            </w:pPr>
            <w:r w:rsidRPr="004F1E25">
              <w:rPr>
                <w:b/>
                <w:bCs/>
              </w:rPr>
              <w:t>Option 1 – Status quo</w:t>
            </w:r>
          </w:p>
          <w:p w14:paraId="63238902" w14:textId="2C11C0BC" w:rsidR="00747366" w:rsidRDefault="00CF3140" w:rsidP="00BF31F4">
            <w:r>
              <w:t xml:space="preserve">This option </w:t>
            </w:r>
            <w:r w:rsidR="00662FC7">
              <w:t>is</w:t>
            </w:r>
            <w:r>
              <w:t xml:space="preserve"> to retain only the current </w:t>
            </w:r>
            <w:r w:rsidR="00E31FAC">
              <w:t xml:space="preserve">ownership continuity test. </w:t>
            </w:r>
            <w:r w:rsidR="00560241">
              <w:t xml:space="preserve">Companies would continue to forfeit tax losses </w:t>
            </w:r>
            <w:r w:rsidR="00C66CC1">
              <w:t xml:space="preserve">if, through capital raising or other reorganisation, there </w:t>
            </w:r>
            <w:r w:rsidR="00C02BF3">
              <w:t>is more than a 51%</w:t>
            </w:r>
            <w:r w:rsidR="00C66CC1">
              <w:t xml:space="preserve"> change of ownership</w:t>
            </w:r>
            <w:r w:rsidR="00C02BF3">
              <w:t>.</w:t>
            </w:r>
            <w:r w:rsidR="00503797">
              <w:t xml:space="preserve">  </w:t>
            </w:r>
          </w:p>
          <w:p w14:paraId="4B4380B4" w14:textId="3A2DC476" w:rsidR="00BB3062" w:rsidRPr="004F1E25" w:rsidRDefault="00BB3062" w:rsidP="00BF31F4">
            <w:pPr>
              <w:rPr>
                <w:i/>
                <w:iCs/>
                <w:u w:val="single"/>
              </w:rPr>
            </w:pPr>
            <w:r>
              <w:rPr>
                <w:i/>
                <w:iCs/>
                <w:u w:val="single"/>
              </w:rPr>
              <w:t>Evaluation against criteria</w:t>
            </w:r>
          </w:p>
          <w:p w14:paraId="1FB4F067" w14:textId="4AAAF9AA" w:rsidR="007B7034" w:rsidRPr="007B7034" w:rsidRDefault="007B7034" w:rsidP="00BF31F4">
            <w:r w:rsidRPr="006C0DA8">
              <w:rPr>
                <w:i/>
                <w:iCs/>
              </w:rPr>
              <w:t>Fairness:</w:t>
            </w:r>
            <w:r w:rsidRPr="007B7034">
              <w:t xml:space="preserve"> </w:t>
            </w:r>
            <w:r w:rsidR="00B842DA">
              <w:t>T</w:t>
            </w:r>
            <w:r>
              <w:t>axpayers that have a</w:t>
            </w:r>
            <w:r w:rsidR="00F26673">
              <w:t xml:space="preserve"> 51% or more</w:t>
            </w:r>
            <w:r>
              <w:t xml:space="preserve"> change in ownership </w:t>
            </w:r>
            <w:r w:rsidR="00360124">
              <w:t xml:space="preserve">while carrying losses forward </w:t>
            </w:r>
            <w:r>
              <w:t>have a higher effective tax rate over the same period of time compared with a company in a similar position but without a change in ownership</w:t>
            </w:r>
            <w:r w:rsidR="00ED36A2">
              <w:t xml:space="preserve"> which impacts on fairness between t</w:t>
            </w:r>
            <w:r w:rsidR="00E510A6">
              <w:t>a</w:t>
            </w:r>
            <w:r w:rsidR="00ED36A2">
              <w:t>xpayers</w:t>
            </w:r>
            <w:r>
              <w:t xml:space="preserve">. </w:t>
            </w:r>
          </w:p>
          <w:p w14:paraId="4E8F453B" w14:textId="63D20377" w:rsidR="007B7034" w:rsidRDefault="007B7034" w:rsidP="00BF31F4">
            <w:r w:rsidRPr="006C0DA8">
              <w:rPr>
                <w:i/>
                <w:iCs/>
              </w:rPr>
              <w:t>Efficiency:</w:t>
            </w:r>
            <w:r>
              <w:t xml:space="preserve"> </w:t>
            </w:r>
            <w:r w:rsidR="00B842DA">
              <w:t>T</w:t>
            </w:r>
            <w:r w:rsidR="004E7DDC">
              <w:t>he status quo</w:t>
            </w:r>
            <w:r w:rsidR="004E7DDC" w:rsidRPr="004E7DDC">
              <w:t xml:space="preserve"> would continue to </w:t>
            </w:r>
            <w:r w:rsidR="00981D04">
              <w:t>impede</w:t>
            </w:r>
            <w:r w:rsidR="004E7DDC" w:rsidRPr="004E7DDC">
              <w:t xml:space="preserve"> capital raising and other sensible business reorganisations</w:t>
            </w:r>
            <w:r w:rsidR="000434D8">
              <w:t xml:space="preserve"> </w:t>
            </w:r>
            <w:r w:rsidR="008C2160">
              <w:t xml:space="preserve">when </w:t>
            </w:r>
            <w:r w:rsidR="000434D8">
              <w:t xml:space="preserve">these activities result in the </w:t>
            </w:r>
            <w:r w:rsidR="002C4030">
              <w:t>forfeiture</w:t>
            </w:r>
            <w:r w:rsidR="000434D8">
              <w:t xml:space="preserve"> of losses</w:t>
            </w:r>
            <w:r w:rsidR="00471661">
              <w:t xml:space="preserve">. </w:t>
            </w:r>
          </w:p>
          <w:p w14:paraId="541E948A" w14:textId="78E5ECBB" w:rsidR="007B7034" w:rsidRDefault="007B7034" w:rsidP="00BF31F4">
            <w:r w:rsidRPr="006C0DA8">
              <w:rPr>
                <w:i/>
                <w:iCs/>
              </w:rPr>
              <w:t>Complexity:</w:t>
            </w:r>
            <w:r>
              <w:t xml:space="preserve"> </w:t>
            </w:r>
            <w:r w:rsidR="00B842DA">
              <w:t>T</w:t>
            </w:r>
            <w:r w:rsidR="00100388" w:rsidRPr="00100388">
              <w:t>he current system is relatively simple in operation.</w:t>
            </w:r>
            <w:r w:rsidR="00267F6F">
              <w:t xml:space="preserve"> Taxpayers </w:t>
            </w:r>
            <w:r w:rsidR="006768BA">
              <w:t xml:space="preserve">and </w:t>
            </w:r>
            <w:r w:rsidR="00B842DA">
              <w:t>Inland Revenue</w:t>
            </w:r>
            <w:r w:rsidR="00E510A6">
              <w:t>,</w:t>
            </w:r>
            <w:r w:rsidR="00B842DA">
              <w:t xml:space="preserve"> as the administrators</w:t>
            </w:r>
            <w:r w:rsidR="00E510A6">
              <w:t>,</w:t>
            </w:r>
            <w:r w:rsidR="00B842DA">
              <w:t xml:space="preserve"> </w:t>
            </w:r>
            <w:r w:rsidR="00267F6F">
              <w:t>are familiar with the rules. However, some c</w:t>
            </w:r>
            <w:r w:rsidR="0026335F">
              <w:t>omplexity can arise where taxpayers seek to avoid the forfeiture of tax losses due to</w:t>
            </w:r>
            <w:r w:rsidR="00B842DA">
              <w:t xml:space="preserve"> an ownership</w:t>
            </w:r>
            <w:r w:rsidR="0026335F">
              <w:t xml:space="preserve"> continuity breach. </w:t>
            </w:r>
          </w:p>
          <w:p w14:paraId="6E65B234" w14:textId="0ADBCADE" w:rsidR="00CF3140" w:rsidRDefault="007B7034" w:rsidP="00C35A6A">
            <w:r w:rsidRPr="006C0DA8">
              <w:rPr>
                <w:i/>
                <w:iCs/>
              </w:rPr>
              <w:t>Tax system integrity:</w:t>
            </w:r>
            <w:r>
              <w:t xml:space="preserve"> </w:t>
            </w:r>
            <w:r w:rsidR="004F1E25">
              <w:t>The current rules prevent loss trading which is their primary purpose</w:t>
            </w:r>
            <w:r w:rsidR="00D9767A">
              <w:t>. The status quo would maintain the robustness of the tax system in this area.</w:t>
            </w:r>
            <w:r w:rsidR="004F1E25">
              <w:t xml:space="preserve"> </w:t>
            </w:r>
          </w:p>
          <w:p w14:paraId="06D93D84" w14:textId="2D0269EF" w:rsidR="005D19FE" w:rsidRDefault="005D19FE" w:rsidP="00BF31F4">
            <w:pPr>
              <w:rPr>
                <w:b/>
                <w:bCs/>
              </w:rPr>
            </w:pPr>
          </w:p>
          <w:p w14:paraId="50A6D402" w14:textId="77777777" w:rsidR="00BE487F" w:rsidRDefault="00BE487F" w:rsidP="00BF31F4">
            <w:pPr>
              <w:rPr>
                <w:b/>
                <w:bCs/>
              </w:rPr>
            </w:pPr>
          </w:p>
          <w:p w14:paraId="778C7087" w14:textId="4D88740F" w:rsidR="00C7655A" w:rsidRDefault="004F1E25" w:rsidP="00BF31F4">
            <w:pPr>
              <w:rPr>
                <w:b/>
                <w:bCs/>
              </w:rPr>
            </w:pPr>
            <w:r w:rsidRPr="004F1E25">
              <w:rPr>
                <w:b/>
                <w:bCs/>
              </w:rPr>
              <w:lastRenderedPageBreak/>
              <w:t>Option 2</w:t>
            </w:r>
            <w:r w:rsidR="002062E9">
              <w:rPr>
                <w:b/>
                <w:bCs/>
              </w:rPr>
              <w:t xml:space="preserve"> – </w:t>
            </w:r>
            <w:r w:rsidR="009E3B4F">
              <w:rPr>
                <w:b/>
                <w:bCs/>
              </w:rPr>
              <w:t>B</w:t>
            </w:r>
            <w:r w:rsidR="002062E9">
              <w:rPr>
                <w:b/>
                <w:bCs/>
              </w:rPr>
              <w:t>usiness continuity test</w:t>
            </w:r>
          </w:p>
          <w:p w14:paraId="4C24A50A" w14:textId="0DE81903" w:rsidR="00725103" w:rsidRPr="0079175C" w:rsidRDefault="00725103" w:rsidP="00BF31F4">
            <w:r w:rsidRPr="0079175C">
              <w:t xml:space="preserve">This option </w:t>
            </w:r>
            <w:r w:rsidR="00BC7440">
              <w:t xml:space="preserve">allows losses to be carried forward after a change in ownership </w:t>
            </w:r>
            <w:r w:rsidR="00CC4FD7">
              <w:t xml:space="preserve">as long as the underlying business is fundamentally continued. </w:t>
            </w:r>
            <w:r w:rsidR="003D6428">
              <w:t xml:space="preserve">Rules for New Zealand would be modelled on Australia’s test with some </w:t>
            </w:r>
            <w:r w:rsidR="000259FC">
              <w:t>modification</w:t>
            </w:r>
            <w:r w:rsidR="003D6428">
              <w:t xml:space="preserve"> to ensure </w:t>
            </w:r>
            <w:r w:rsidR="008F0AFA">
              <w:t>they are</w:t>
            </w:r>
            <w:r w:rsidR="003D6428">
              <w:t xml:space="preserve"> flexible enough to permit the types of </w:t>
            </w:r>
            <w:r w:rsidR="0062097D">
              <w:t xml:space="preserve">ownership </w:t>
            </w:r>
            <w:r w:rsidR="003D6428">
              <w:t xml:space="preserve">changes businesses naturally make in order to maximise their profits. </w:t>
            </w:r>
          </w:p>
          <w:p w14:paraId="1A49585A" w14:textId="229E65C8" w:rsidR="00725103" w:rsidRDefault="00D9767A" w:rsidP="00BF31F4">
            <w:pPr>
              <w:rPr>
                <w:i/>
                <w:iCs/>
                <w:u w:val="single"/>
              </w:rPr>
            </w:pPr>
            <w:r>
              <w:rPr>
                <w:i/>
                <w:iCs/>
                <w:u w:val="single"/>
              </w:rPr>
              <w:t>Evaluation against criteria</w:t>
            </w:r>
          </w:p>
          <w:p w14:paraId="52A1345B" w14:textId="49E8853F" w:rsidR="006F4D01" w:rsidRDefault="00D9767A" w:rsidP="00BF31F4">
            <w:r w:rsidRPr="00B842DA">
              <w:rPr>
                <w:i/>
                <w:iCs/>
              </w:rPr>
              <w:t>Fairness:</w:t>
            </w:r>
            <w:r>
              <w:rPr>
                <w:i/>
                <w:iCs/>
              </w:rPr>
              <w:t xml:space="preserve"> </w:t>
            </w:r>
            <w:r w:rsidR="00E865EF" w:rsidRPr="00E865EF">
              <w:t>Overall, t</w:t>
            </w:r>
            <w:r w:rsidR="009E390A" w:rsidRPr="00E865EF">
              <w:t>h</w:t>
            </w:r>
            <w:r w:rsidR="00B842DA" w:rsidRPr="00E865EF">
              <w:t>is</w:t>
            </w:r>
            <w:r w:rsidR="009E390A" w:rsidRPr="00B842DA">
              <w:t xml:space="preserve"> option should increase fairness</w:t>
            </w:r>
            <w:r w:rsidR="00964A15">
              <w:t xml:space="preserve">. </w:t>
            </w:r>
            <w:r w:rsidR="007F3178">
              <w:t>For companies that meet the business continuity test the effective tax rate will be the same</w:t>
            </w:r>
            <w:r w:rsidR="00FD6A23">
              <w:t xml:space="preserve"> over its lifetime</w:t>
            </w:r>
            <w:r w:rsidR="007F3178">
              <w:t xml:space="preserve"> as</w:t>
            </w:r>
            <w:r w:rsidR="00FC692D">
              <w:t xml:space="preserve"> a company in a similar situation but that does not have a change in ownership</w:t>
            </w:r>
            <w:r w:rsidR="00985126">
              <w:t>.</w:t>
            </w:r>
            <w:r w:rsidR="00FC692D">
              <w:t xml:space="preserve"> </w:t>
            </w:r>
            <w:r w:rsidR="001A1C3A">
              <w:t xml:space="preserve">However, </w:t>
            </w:r>
            <w:r w:rsidR="006F4D01">
              <w:t xml:space="preserve">the option </w:t>
            </w:r>
            <w:r w:rsidR="001F6862">
              <w:t>would</w:t>
            </w:r>
            <w:r w:rsidR="006F4D01">
              <w:t xml:space="preserve"> not improve fairness for all companies. For some, particularly at the margin, difficult fact situations will mean that the business continuity test will not apply to carry forward losses and the effective tax rate over</w:t>
            </w:r>
            <w:r w:rsidR="001F6862">
              <w:t xml:space="preserve"> </w:t>
            </w:r>
            <w:r w:rsidR="006F4D01">
              <w:t xml:space="preserve">time will continue to be higher than a company without a change in ownership. This will occur because it is difficult to design a subjective test that will apply to every situation while ensuring that loss trading opportunities are not created. </w:t>
            </w:r>
          </w:p>
          <w:p w14:paraId="4E3CA059" w14:textId="007D7BF8" w:rsidR="006B7B5B" w:rsidRDefault="00D00F40" w:rsidP="00BF31F4">
            <w:r w:rsidRPr="00B842DA">
              <w:rPr>
                <w:i/>
                <w:iCs/>
              </w:rPr>
              <w:t>Efficiency:</w:t>
            </w:r>
            <w:r w:rsidR="00DD0ABA">
              <w:t xml:space="preserve"> </w:t>
            </w:r>
            <w:r w:rsidR="00E865EF">
              <w:t>Overall, t</w:t>
            </w:r>
            <w:r w:rsidR="009424EA">
              <w:t xml:space="preserve">his option should increase efficiency because it allows a company </w:t>
            </w:r>
            <w:r w:rsidR="007425CC">
              <w:t xml:space="preserve">to </w:t>
            </w:r>
            <w:r w:rsidR="009424EA">
              <w:t xml:space="preserve">have changes in ownership without necessarily having to forfeit tax losses. However, </w:t>
            </w:r>
            <w:r w:rsidR="006B7B5B">
              <w:t xml:space="preserve">the option also needs to build in flexibility for the company to make changes to its business that it could have done absent the change in ownership. It would be undesirable from an efficiency perspective for tax to limit the ways in which a company can develop </w:t>
            </w:r>
            <w:r w:rsidR="001D165E">
              <w:t xml:space="preserve">and grow </w:t>
            </w:r>
            <w:r w:rsidR="006B7B5B">
              <w:t xml:space="preserve">its business. </w:t>
            </w:r>
            <w:r w:rsidR="00A678E1">
              <w:t>A flexibly designed business continuity test can accommodate capital injections and allow the carry forward and use of losses that would have been forfeited due to the ownership continuity breach.</w:t>
            </w:r>
          </w:p>
          <w:p w14:paraId="671F2077" w14:textId="4C21ADA2" w:rsidR="00DD0ABA" w:rsidRDefault="00D00F40" w:rsidP="00BF31F4">
            <w:r w:rsidRPr="00B842DA">
              <w:rPr>
                <w:i/>
                <w:iCs/>
              </w:rPr>
              <w:t>Complexity:</w:t>
            </w:r>
            <w:r>
              <w:t xml:space="preserve"> </w:t>
            </w:r>
            <w:r w:rsidRPr="00B842DA">
              <w:t xml:space="preserve">There is potential for complexity arising </w:t>
            </w:r>
            <w:r w:rsidR="009A2F9A">
              <w:t>due to</w:t>
            </w:r>
            <w:r w:rsidRPr="00B842DA">
              <w:t xml:space="preserve"> </w:t>
            </w:r>
            <w:r>
              <w:t xml:space="preserve">the subjective nature of the test. Its application requires consideration of specific facts and circumstances. The test can be designed so that for most taxpayers its application to </w:t>
            </w:r>
            <w:r w:rsidR="00A70106">
              <w:t xml:space="preserve">their situation is straightforward. This is achieved by </w:t>
            </w:r>
            <w:r w:rsidR="00364CDA">
              <w:t xml:space="preserve">making the test only as strict as it needs to be to prevent loss trading and ensuring that </w:t>
            </w:r>
            <w:r w:rsidR="003D7551">
              <w:t xml:space="preserve">typical changes a business makes to its operations are well catered for. However, for some taxpayers the test will be challenging to apply to their unique facts and </w:t>
            </w:r>
            <w:r w:rsidR="001A5609">
              <w:t>could</w:t>
            </w:r>
            <w:r w:rsidR="003D7551">
              <w:t xml:space="preserve"> requir</w:t>
            </w:r>
            <w:r w:rsidR="001A5609">
              <w:t>e</w:t>
            </w:r>
            <w:r w:rsidR="001012CE">
              <w:t xml:space="preserve"> costly</w:t>
            </w:r>
            <w:r w:rsidR="003D7551">
              <w:t xml:space="preserve"> </w:t>
            </w:r>
            <w:r w:rsidR="001A5609">
              <w:t>legal advice</w:t>
            </w:r>
            <w:r w:rsidR="00FD4E0E">
              <w:t>, which may include seeking taxpayer rulings from Inland Revenue</w:t>
            </w:r>
            <w:r w:rsidR="00D64159">
              <w:t>.</w:t>
            </w:r>
            <w:r w:rsidR="001A5609">
              <w:t xml:space="preserve"> </w:t>
            </w:r>
          </w:p>
          <w:p w14:paraId="3E5A4174" w14:textId="10ADCC66" w:rsidR="001A59BD" w:rsidRDefault="00D00F40" w:rsidP="00BF31F4">
            <w:r w:rsidRPr="00B842DA">
              <w:rPr>
                <w:i/>
                <w:iCs/>
              </w:rPr>
              <w:t>Tax system integrity:</w:t>
            </w:r>
            <w:r w:rsidR="00DD0ABA">
              <w:rPr>
                <w:i/>
                <w:iCs/>
              </w:rPr>
              <w:t xml:space="preserve"> </w:t>
            </w:r>
            <w:r w:rsidR="00671120">
              <w:t xml:space="preserve">The </w:t>
            </w:r>
            <w:r w:rsidR="00DD0ABA">
              <w:t xml:space="preserve">test limits the use of </w:t>
            </w:r>
            <w:r w:rsidR="00671120">
              <w:t xml:space="preserve">losses to the </w:t>
            </w:r>
            <w:r w:rsidR="00411B16">
              <w:t>business</w:t>
            </w:r>
            <w:r w:rsidR="00671120">
              <w:t xml:space="preserve"> that generated </w:t>
            </w:r>
            <w:r w:rsidR="00411B16">
              <w:t>them</w:t>
            </w:r>
            <w:r w:rsidR="00C558D8">
              <w:t>. This protects against loss trading and ensure</w:t>
            </w:r>
            <w:r w:rsidR="008C4BB0">
              <w:t>s</w:t>
            </w:r>
            <w:r w:rsidR="00C558D8">
              <w:t xml:space="preserve"> that other taxpayers are not able to use the losses to reduce </w:t>
            </w:r>
            <w:r w:rsidR="001A59BD">
              <w:t>their own taxable income</w:t>
            </w:r>
            <w:r w:rsidR="00D33860">
              <w:t xml:space="preserve"> from another business</w:t>
            </w:r>
            <w:r w:rsidR="00C558D8">
              <w:t xml:space="preserve">. Additional safeguards </w:t>
            </w:r>
            <w:r w:rsidR="002E675F">
              <w:t>would be needed</w:t>
            </w:r>
            <w:r w:rsidR="00C558D8">
              <w:t xml:space="preserve"> to ensure that </w:t>
            </w:r>
            <w:r w:rsidR="00FF2C3F">
              <w:t>facts are not manipulated in order to meet the business continuity test and engage in loss trading. This increase</w:t>
            </w:r>
            <w:r w:rsidR="003A69F9">
              <w:t>s</w:t>
            </w:r>
            <w:r w:rsidR="00FF2C3F">
              <w:t xml:space="preserve"> the complexity of the option</w:t>
            </w:r>
            <w:r w:rsidR="00785846">
              <w:t xml:space="preserve"> compared to the status quo.</w:t>
            </w:r>
          </w:p>
          <w:p w14:paraId="1B10AE76" w14:textId="04CE4989" w:rsidR="002062E9" w:rsidRDefault="002062E9" w:rsidP="00BF31F4">
            <w:pPr>
              <w:rPr>
                <w:b/>
                <w:bCs/>
              </w:rPr>
            </w:pPr>
            <w:r w:rsidRPr="002062E9">
              <w:rPr>
                <w:b/>
                <w:bCs/>
              </w:rPr>
              <w:t xml:space="preserve">Option </w:t>
            </w:r>
            <w:r>
              <w:rPr>
                <w:b/>
                <w:bCs/>
              </w:rPr>
              <w:t xml:space="preserve">3 – </w:t>
            </w:r>
            <w:r w:rsidR="009E3B4F">
              <w:rPr>
                <w:b/>
                <w:bCs/>
              </w:rPr>
              <w:t>L</w:t>
            </w:r>
            <w:r>
              <w:rPr>
                <w:b/>
                <w:bCs/>
              </w:rPr>
              <w:t>ower the ownership continuity threshold</w:t>
            </w:r>
          </w:p>
          <w:p w14:paraId="0D5FF50D" w14:textId="73C05F62" w:rsidR="00901C5F" w:rsidRDefault="00901C5F" w:rsidP="00BF31F4">
            <w:r w:rsidRPr="00901C5F">
              <w:t xml:space="preserve">This option is to lower the current </w:t>
            </w:r>
            <w:r>
              <w:t xml:space="preserve">ownership </w:t>
            </w:r>
            <w:r w:rsidRPr="00901C5F">
              <w:t>continuity requirement from 49</w:t>
            </w:r>
            <w:r>
              <w:t xml:space="preserve">% </w:t>
            </w:r>
            <w:r w:rsidRPr="00901C5F">
              <w:t>to a threshold that reduces the number of transactions that would result in a breach.</w:t>
            </w:r>
            <w:r w:rsidR="007147EC">
              <w:t xml:space="preserve"> </w:t>
            </w:r>
          </w:p>
          <w:p w14:paraId="36183A73" w14:textId="77777777" w:rsidR="00A46FF2" w:rsidRPr="00901C5F" w:rsidRDefault="00A46FF2" w:rsidP="00BF31F4"/>
          <w:p w14:paraId="3E490FA8" w14:textId="16D9FDBA" w:rsidR="002062E9" w:rsidRDefault="00C558D8" w:rsidP="00BF31F4">
            <w:pPr>
              <w:rPr>
                <w:i/>
                <w:iCs/>
                <w:u w:val="single"/>
              </w:rPr>
            </w:pPr>
            <w:r>
              <w:rPr>
                <w:i/>
                <w:iCs/>
                <w:u w:val="single"/>
              </w:rPr>
              <w:lastRenderedPageBreak/>
              <w:t>Evaluation against criteria</w:t>
            </w:r>
          </w:p>
          <w:p w14:paraId="59C4C36F" w14:textId="2729BC74" w:rsidR="00C558D8" w:rsidRPr="005B4493" w:rsidRDefault="00C558D8" w:rsidP="00BF31F4">
            <w:r w:rsidRPr="003A2AC0">
              <w:rPr>
                <w:i/>
                <w:iCs/>
              </w:rPr>
              <w:t>Fairness</w:t>
            </w:r>
            <w:r>
              <w:rPr>
                <w:i/>
                <w:iCs/>
              </w:rPr>
              <w:t>:</w:t>
            </w:r>
            <w:r w:rsidRPr="00C558D8">
              <w:t xml:space="preserve"> </w:t>
            </w:r>
            <w:r w:rsidR="00145D02" w:rsidRPr="00145D02">
              <w:t>Lowering the threshold would continue to apply restrictions on transactions that breach that</w:t>
            </w:r>
            <w:r w:rsidR="003A2AC0">
              <w:t xml:space="preserve"> new</w:t>
            </w:r>
            <w:r w:rsidR="00145D02" w:rsidRPr="00145D02">
              <w:t xml:space="preserve"> threshold. In particular, transactions where all of the shares of the company are purchased would continue to result in the forfeiture of losses.</w:t>
            </w:r>
            <w:r w:rsidR="00413382">
              <w:t xml:space="preserve"> </w:t>
            </w:r>
            <w:r w:rsidR="00D73ACF">
              <w:t xml:space="preserve">While lowering the threshold increases fairness for companies that are able to carry forward losses </w:t>
            </w:r>
            <w:r w:rsidR="00D51D36">
              <w:t>th</w:t>
            </w:r>
            <w:r w:rsidR="00D26D30">
              <w:t>at</w:t>
            </w:r>
            <w:r w:rsidR="00D51D36">
              <w:t xml:space="preserve"> would </w:t>
            </w:r>
            <w:r w:rsidR="00354F24">
              <w:t>have been forfeit</w:t>
            </w:r>
            <w:r w:rsidR="00360124">
              <w:t>ed</w:t>
            </w:r>
            <w:r w:rsidR="00D51D36">
              <w:t xml:space="preserve"> </w:t>
            </w:r>
            <w:r w:rsidR="00354F24">
              <w:t xml:space="preserve">under </w:t>
            </w:r>
            <w:r w:rsidR="00D51D36">
              <w:t>the status quo</w:t>
            </w:r>
            <w:r w:rsidR="0082305B">
              <w:t xml:space="preserve"> some companies will continue to experience breaches. Companies in this category</w:t>
            </w:r>
            <w:r w:rsidR="00DF782C" w:rsidRPr="00DF782C">
              <w:t xml:space="preserve"> would pay more tax over time compared to a company with a similar level of income that does not breach the new threshold.</w:t>
            </w:r>
            <w:r w:rsidR="00D73ACF" w:rsidRPr="00D73ACF">
              <w:t xml:space="preserve"> </w:t>
            </w:r>
          </w:p>
          <w:p w14:paraId="4609DBE1" w14:textId="1176AA1C" w:rsidR="00C558D8" w:rsidRPr="00577B6B" w:rsidRDefault="00C558D8" w:rsidP="00BF31F4">
            <w:r>
              <w:rPr>
                <w:i/>
                <w:iCs/>
              </w:rPr>
              <w:t xml:space="preserve">Efficiency: </w:t>
            </w:r>
            <w:r w:rsidRPr="003A2AC0">
              <w:t xml:space="preserve">The main benefit would be to allow </w:t>
            </w:r>
            <w:r w:rsidR="00F25B04">
              <w:t xml:space="preserve">increased </w:t>
            </w:r>
            <w:r w:rsidR="00400657">
              <w:t>new</w:t>
            </w:r>
            <w:r w:rsidRPr="003A2AC0">
              <w:t xml:space="preserve"> equity investment into a company before the ownership continuity rules are triggered and losses are forfeited.</w:t>
            </w:r>
            <w:r w:rsidRPr="00C558D8">
              <w:t xml:space="preserve"> </w:t>
            </w:r>
            <w:r w:rsidRPr="003A2AC0">
              <w:t xml:space="preserve">Capital raising may result in a majority change in </w:t>
            </w:r>
            <w:r w:rsidR="00415162">
              <w:t xml:space="preserve">shareholding that </w:t>
            </w:r>
            <w:r w:rsidR="00C72CB4">
              <w:t xml:space="preserve">would </w:t>
            </w:r>
            <w:r w:rsidR="00415162">
              <w:t xml:space="preserve">otherwise </w:t>
            </w:r>
            <w:r w:rsidR="00C72CB4">
              <w:t xml:space="preserve">breach </w:t>
            </w:r>
            <w:r w:rsidR="00536571">
              <w:t xml:space="preserve">continuity </w:t>
            </w:r>
            <w:r w:rsidR="00C72CB4">
              <w:t>under the status quo. At the point of the new threshold</w:t>
            </w:r>
            <w:r w:rsidR="00577B6B">
              <w:t xml:space="preserve"> the option </w:t>
            </w:r>
            <w:r w:rsidR="00857E41">
              <w:t xml:space="preserve">would </w:t>
            </w:r>
            <w:r w:rsidR="00577B6B">
              <w:t>continue</w:t>
            </w:r>
            <w:r w:rsidR="00DF782C" w:rsidRPr="00DF782C">
              <w:t xml:space="preserve"> to limit sensible business reorganisations, for example 100% takeovers where </w:t>
            </w:r>
            <w:r w:rsidR="0081124E">
              <w:t>there</w:t>
            </w:r>
            <w:r w:rsidR="00F046E6">
              <w:t xml:space="preserve"> is less likely to be a </w:t>
            </w:r>
            <w:r w:rsidR="00DF782C" w:rsidRPr="00DF782C">
              <w:t>loss trading motivation.</w:t>
            </w:r>
            <w:r w:rsidR="00DF782C">
              <w:t xml:space="preserve"> </w:t>
            </w:r>
            <w:r w:rsidR="00DF782C" w:rsidRPr="00DF782C">
              <w:t>Sometimes the strategy is to build up a business with a view to making it appealing for takeover by a larger company. This sort of activity can be beneficial to the New Zealand economy as often takeovers are necessary in order for a business to access global markets. It may be that being acquired by a larger company is preferred from an efficiency perspective. Lowering the threshold would not benefit such transactions.</w:t>
            </w:r>
            <w:r w:rsidR="00606287">
              <w:t xml:space="preserve"> The problem with the status quo is not solved, only s</w:t>
            </w:r>
            <w:r w:rsidR="00577B6B">
              <w:t>h</w:t>
            </w:r>
            <w:r w:rsidR="00606287">
              <w:t xml:space="preserve">ifted. </w:t>
            </w:r>
          </w:p>
          <w:p w14:paraId="40E52D54" w14:textId="088180F2" w:rsidR="00C558D8" w:rsidRDefault="00C558D8" w:rsidP="00BF31F4">
            <w:pPr>
              <w:rPr>
                <w:i/>
                <w:iCs/>
              </w:rPr>
            </w:pPr>
            <w:r>
              <w:rPr>
                <w:i/>
                <w:iCs/>
              </w:rPr>
              <w:t xml:space="preserve">Complexity: </w:t>
            </w:r>
            <w:r w:rsidR="00F44B9D">
              <w:t>This option</w:t>
            </w:r>
            <w:r w:rsidRPr="003A2AC0">
              <w:t xml:space="preserve"> has the advantage of being simple to implement and, in theory, could be done relatively quickly.</w:t>
            </w:r>
            <w:r w:rsidR="00B00B24">
              <w:t xml:space="preserve"> Some complexity </w:t>
            </w:r>
            <w:r w:rsidR="00606287">
              <w:t>c</w:t>
            </w:r>
            <w:r w:rsidR="00B00B24">
              <w:t xml:space="preserve">ould arise ensuring that there remains sufficient protection against loss trading. </w:t>
            </w:r>
          </w:p>
          <w:p w14:paraId="2CBAF701" w14:textId="1BF89EE7" w:rsidR="00036E09" w:rsidRDefault="00C558D8" w:rsidP="00BF31F4">
            <w:r>
              <w:rPr>
                <w:i/>
                <w:iCs/>
              </w:rPr>
              <w:t>Tax system integrity:</w:t>
            </w:r>
            <w:r w:rsidR="00DF782C" w:rsidRPr="003A2AC0">
              <w:t xml:space="preserve"> </w:t>
            </w:r>
            <w:r w:rsidR="00036E09" w:rsidRPr="00036E09">
              <w:t>Some preliminary modelling by officials demonstrated that the lower the threshold the easier it is to enter arrangements that create loss trading opportunities. Other supporting measures would be needed which would erode the simplicity of the option</w:t>
            </w:r>
            <w:r w:rsidR="00036E09">
              <w:t>.</w:t>
            </w:r>
          </w:p>
          <w:p w14:paraId="749E3595" w14:textId="07C2155B" w:rsidR="002062E9" w:rsidRDefault="002062E9" w:rsidP="00BF31F4">
            <w:pPr>
              <w:rPr>
                <w:b/>
                <w:bCs/>
              </w:rPr>
            </w:pPr>
            <w:r>
              <w:rPr>
                <w:b/>
                <w:bCs/>
              </w:rPr>
              <w:t xml:space="preserve">Option 4 – </w:t>
            </w:r>
            <w:r w:rsidR="00F0265D">
              <w:rPr>
                <w:b/>
                <w:bCs/>
              </w:rPr>
              <w:t>F</w:t>
            </w:r>
            <w:r>
              <w:rPr>
                <w:b/>
                <w:bCs/>
              </w:rPr>
              <w:t>ormula for loss carry forward</w:t>
            </w:r>
          </w:p>
          <w:p w14:paraId="16774582" w14:textId="6C814651" w:rsidR="000D7D7C" w:rsidRDefault="009929A1" w:rsidP="00BF31F4">
            <w:r>
              <w:t>Under this</w:t>
            </w:r>
            <w:r w:rsidR="004A4C8A">
              <w:t xml:space="preserve"> option</w:t>
            </w:r>
            <w:r w:rsidRPr="009929A1">
              <w:t xml:space="preserve"> </w:t>
            </w:r>
            <w:r w:rsidR="004A4C8A">
              <w:t>l</w:t>
            </w:r>
            <w:r w:rsidRPr="009929A1">
              <w:t xml:space="preserve">osses could be carried forward after a breach in </w:t>
            </w:r>
            <w:r w:rsidR="00D81CAD">
              <w:t xml:space="preserve">ownership </w:t>
            </w:r>
            <w:r w:rsidRPr="009929A1">
              <w:t>continuity, but the amount of losses that could be used would be restricted by a formula related to the value of the company at the time of the continuity breach.</w:t>
            </w:r>
            <w:r w:rsidR="00602C19">
              <w:t xml:space="preserve"> The formula would be designed to approximate the </w:t>
            </w:r>
            <w:r w:rsidR="0094564B">
              <w:t>value of the losses to the company had there not been a change in ownership.</w:t>
            </w:r>
            <w:r w:rsidR="00602C19">
              <w:t xml:space="preserve"> </w:t>
            </w:r>
            <w:r w:rsidR="00075961">
              <w:t>The formula would either be the value of the company</w:t>
            </w:r>
            <w:r w:rsidR="000D7D7C">
              <w:t>:</w:t>
            </w:r>
            <w:r w:rsidR="00075961">
              <w:t xml:space="preserve"> </w:t>
            </w:r>
          </w:p>
          <w:p w14:paraId="3BB36AC4" w14:textId="77777777" w:rsidR="000D7D7C" w:rsidRDefault="00075961" w:rsidP="000D7D7C">
            <w:pPr>
              <w:pStyle w:val="ListParagraph"/>
              <w:numPr>
                <w:ilvl w:val="0"/>
                <w:numId w:val="40"/>
              </w:numPr>
            </w:pPr>
            <w:r>
              <w:t xml:space="preserve">multiplied by </w:t>
            </w:r>
            <w:r w:rsidR="00D33C3F">
              <w:t xml:space="preserve">some number to determine </w:t>
            </w:r>
            <w:r w:rsidR="000D7D7C">
              <w:t>the stock of losses that can be carried forward; or</w:t>
            </w:r>
          </w:p>
          <w:p w14:paraId="3926486A" w14:textId="5BB2E525" w:rsidR="000D7D7C" w:rsidRDefault="00D33C3F" w:rsidP="00051EC1">
            <w:pPr>
              <w:pStyle w:val="ListParagraph"/>
              <w:numPr>
                <w:ilvl w:val="0"/>
                <w:numId w:val="40"/>
              </w:numPr>
            </w:pPr>
            <w:r>
              <w:t>multiplied by a</w:t>
            </w:r>
            <w:r w:rsidR="000D7D7C">
              <w:t xml:space="preserve">n interest rate to determine </w:t>
            </w:r>
            <w:r w:rsidR="00F027D6">
              <w:t>the amount</w:t>
            </w:r>
            <w:r w:rsidR="0094564B">
              <w:t xml:space="preserve"> of losses </w:t>
            </w:r>
            <w:r w:rsidR="00F027D6">
              <w:t xml:space="preserve">that </w:t>
            </w:r>
            <w:r w:rsidR="0094564B">
              <w:t>can be used each year.</w:t>
            </w:r>
          </w:p>
          <w:p w14:paraId="315A7ECB" w14:textId="77777777" w:rsidR="0094564B" w:rsidRPr="009929A1" w:rsidRDefault="0094564B" w:rsidP="0094564B">
            <w:pPr>
              <w:pStyle w:val="ListParagraph"/>
            </w:pPr>
          </w:p>
          <w:p w14:paraId="400D28B1" w14:textId="7689864B" w:rsidR="002062E9" w:rsidRDefault="00A31C7C" w:rsidP="00BF31F4">
            <w:pPr>
              <w:rPr>
                <w:i/>
                <w:iCs/>
                <w:u w:val="single"/>
              </w:rPr>
            </w:pPr>
            <w:r>
              <w:rPr>
                <w:i/>
                <w:iCs/>
                <w:u w:val="single"/>
              </w:rPr>
              <w:t>Evaluation against criteria</w:t>
            </w:r>
          </w:p>
          <w:p w14:paraId="43B2704E" w14:textId="48CB246E" w:rsidR="00A31C7C" w:rsidRPr="00A6480A" w:rsidRDefault="00A31C7C" w:rsidP="00BF31F4">
            <w:r>
              <w:rPr>
                <w:i/>
                <w:iCs/>
              </w:rPr>
              <w:t>Fairness:</w:t>
            </w:r>
            <w:r w:rsidR="00323163">
              <w:t xml:space="preserve"> </w:t>
            </w:r>
            <w:r w:rsidR="00323163" w:rsidRPr="00A46269">
              <w:t>This option would increase fairness to the extent it achieves its objective of preserving the value of a loss for more companies</w:t>
            </w:r>
            <w:r w:rsidR="00F44B9D">
              <w:t xml:space="preserve"> after a change in ownership. </w:t>
            </w:r>
            <w:r w:rsidR="00607399">
              <w:t xml:space="preserve">This is because the </w:t>
            </w:r>
            <w:r w:rsidR="004B24A6">
              <w:t>option should</w:t>
            </w:r>
            <w:r w:rsidR="00913E72">
              <w:t>,</w:t>
            </w:r>
            <w:r w:rsidR="004B24A6">
              <w:t xml:space="preserve"> in theory</w:t>
            </w:r>
            <w:r w:rsidR="00913E72">
              <w:t>,</w:t>
            </w:r>
            <w:r w:rsidR="004B24A6">
              <w:t xml:space="preserve"> provide most companies with the same ability to use their tax losses before and after the change in ownership.</w:t>
            </w:r>
            <w:r w:rsidR="007F2B43">
              <w:t xml:space="preserve"> However, </w:t>
            </w:r>
            <w:r w:rsidR="007B16F3">
              <w:t xml:space="preserve">a formula does not accommodate increases in value from capital injections made to commercialise and </w:t>
            </w:r>
            <w:r w:rsidR="007B16F3">
              <w:lastRenderedPageBreak/>
              <w:t>expand the business (i.e</w:t>
            </w:r>
            <w:r w:rsidR="00F027D6">
              <w:t>.</w:t>
            </w:r>
            <w:r w:rsidR="007B16F3">
              <w:t xml:space="preserve">, make it more valuable). </w:t>
            </w:r>
            <w:r w:rsidR="001D6B6F">
              <w:t>Companies that are made more valuable because of the change in ownership will</w:t>
            </w:r>
            <w:r w:rsidR="00F85F8C">
              <w:t xml:space="preserve"> not have this factored into the amount or rate of los</w:t>
            </w:r>
            <w:r w:rsidR="00316D6D">
              <w:t>ses available after a change in ownership.</w:t>
            </w:r>
            <w:r w:rsidR="00F85F8C">
              <w:t xml:space="preserve"> </w:t>
            </w:r>
            <w:r w:rsidR="00075961">
              <w:t xml:space="preserve">There are also challenges around </w:t>
            </w:r>
            <w:r w:rsidR="000D7D7C">
              <w:t xml:space="preserve">setting the rate to multiply the company value by. </w:t>
            </w:r>
            <w:r w:rsidR="00D36158" w:rsidRPr="00D36158">
              <w:t xml:space="preserve">It is unlikely that there is a single rate which can maintain the value of losses in all situations and trade-offs have to be made between </w:t>
            </w:r>
            <w:r w:rsidR="00D36158">
              <w:t>fairness and ensuring that opportunities for loss trading are not created.</w:t>
            </w:r>
          </w:p>
          <w:p w14:paraId="2AD65F90" w14:textId="1936C646" w:rsidR="00A31C7C" w:rsidRDefault="00A31C7C" w:rsidP="00BF31F4">
            <w:pPr>
              <w:rPr>
                <w:i/>
                <w:iCs/>
              </w:rPr>
            </w:pPr>
            <w:r>
              <w:rPr>
                <w:i/>
                <w:iCs/>
              </w:rPr>
              <w:t>Efficiency:</w:t>
            </w:r>
            <w:r w:rsidR="00323163">
              <w:t xml:space="preserve"> </w:t>
            </w:r>
            <w:r w:rsidR="00323163" w:rsidRPr="00A46269">
              <w:t>If a formula can closely approximate the value of losses in the absence of the continuity breach, it will improve efficiency. In theory</w:t>
            </w:r>
            <w:r w:rsidR="007A5EDA">
              <w:t>,</w:t>
            </w:r>
            <w:r w:rsidR="00323163" w:rsidRPr="00A46269">
              <w:t xml:space="preserve"> it should permit a company to seek new investment without considering the impact on its losses.</w:t>
            </w:r>
            <w:r w:rsidR="001C0FE8">
              <w:t xml:space="preserve"> However, a</w:t>
            </w:r>
            <w:r w:rsidR="00C5656D">
              <w:t xml:space="preserve"> significant</w:t>
            </w:r>
            <w:r w:rsidR="0036330E" w:rsidRPr="0076253E">
              <w:t xml:space="preserve"> limitation of a formula is that it limits the use of losses based on the value of the company at the time ownership changes. </w:t>
            </w:r>
            <w:r w:rsidR="001F77F0">
              <w:t>As noted above, t</w:t>
            </w:r>
            <w:r w:rsidR="0036330E" w:rsidRPr="0076253E">
              <w:t>his does not accommodate increases in value from capital injections</w:t>
            </w:r>
            <w:r w:rsidR="00A65EF8">
              <w:t xml:space="preserve">. </w:t>
            </w:r>
            <w:r w:rsidR="0036330E" w:rsidRPr="0076253E">
              <w:t>This could be particularly problematic for high-growth start-ups that rapidly expand with capital injections</w:t>
            </w:r>
            <w:r w:rsidR="00B1456F">
              <w:t>. For this reason, and because of the difficulty setting a multiplier rate</w:t>
            </w:r>
            <w:r w:rsidR="00315D9C">
              <w:t xml:space="preserve">, </w:t>
            </w:r>
            <w:r w:rsidR="00B1456F">
              <w:t>a formula</w:t>
            </w:r>
            <w:r w:rsidR="00A65EF8">
              <w:t xml:space="preserve"> may continue to cause an impediment to capital raising activity</w:t>
            </w:r>
            <w:r w:rsidR="00B1456F">
              <w:t xml:space="preserve"> by constraining </w:t>
            </w:r>
            <w:r w:rsidR="00016ABF">
              <w:t xml:space="preserve">the use of </w:t>
            </w:r>
            <w:r w:rsidR="0036330E" w:rsidRPr="0076253E">
              <w:t>losses</w:t>
            </w:r>
            <w:r w:rsidR="00016ABF">
              <w:t xml:space="preserve">. </w:t>
            </w:r>
          </w:p>
          <w:p w14:paraId="72A15832" w14:textId="47E20D0D" w:rsidR="00A31C7C" w:rsidRPr="00F220B9" w:rsidRDefault="00BD7E40" w:rsidP="00BF31F4">
            <w:r>
              <w:rPr>
                <w:i/>
                <w:iCs/>
              </w:rPr>
              <w:t>Complexity:</w:t>
            </w:r>
            <w:r w:rsidR="0036330E">
              <w:t xml:space="preserve"> </w:t>
            </w:r>
            <w:r w:rsidR="0036330E" w:rsidRPr="00947CBF">
              <w:t xml:space="preserve">It may be very difficult to design a formula which does </w:t>
            </w:r>
            <w:r w:rsidR="002304BA">
              <w:t>maintain the value of losses for most companies after a change in ownership</w:t>
            </w:r>
            <w:r w:rsidR="0036330E" w:rsidRPr="00947CBF">
              <w:t>. This is due to the complexity surrounding the</w:t>
            </w:r>
            <w:r w:rsidR="00DD7AB2">
              <w:t xml:space="preserve"> values to use in the formula. To work</w:t>
            </w:r>
            <w:r w:rsidR="00DE131E">
              <w:t>,</w:t>
            </w:r>
            <w:r w:rsidR="00DD7AB2">
              <w:t xml:space="preserve"> </w:t>
            </w:r>
            <w:r w:rsidR="0010638C">
              <w:t>a</w:t>
            </w:r>
            <w:r w:rsidR="00DD7AB2">
              <w:t xml:space="preserve"> formula needs</w:t>
            </w:r>
            <w:r w:rsidR="0010638C">
              <w:t xml:space="preserve"> a company value and a rate to apply to that value in order to set the amount </w:t>
            </w:r>
            <w:r w:rsidR="00514C12">
              <w:t>or rate</w:t>
            </w:r>
            <w:r w:rsidR="00402CFB">
              <w:t xml:space="preserve"> of</w:t>
            </w:r>
            <w:r w:rsidR="00514C12">
              <w:t xml:space="preserve"> losses</w:t>
            </w:r>
            <w:r w:rsidR="00402CFB">
              <w:t xml:space="preserve"> that</w:t>
            </w:r>
            <w:r w:rsidR="00514C12">
              <w:t xml:space="preserve"> can be used. The valuation of companies is a complex area. For public companies this i</w:t>
            </w:r>
            <w:r w:rsidR="00932FC7">
              <w:t xml:space="preserve">nformation is readily available but for private companies </w:t>
            </w:r>
            <w:r w:rsidR="00F24191">
              <w:t>it can be significantly more complex to determine</w:t>
            </w:r>
            <w:r w:rsidR="00A647E1">
              <w:t xml:space="preserve">. </w:t>
            </w:r>
            <w:r w:rsidR="001F7736">
              <w:t xml:space="preserve">This option may result in large compliance costs for companies changing ownership that have to determine a specific value for use in the formula. </w:t>
            </w:r>
            <w:r w:rsidR="0026305F">
              <w:t>While there are at least two other countries that take a formulaic approach (the United States and Sweden) p</w:t>
            </w:r>
            <w:r w:rsidR="0036330E" w:rsidRPr="00947CBF">
              <w:t xml:space="preserve">ublic commentary on </w:t>
            </w:r>
            <w:r w:rsidR="0026305F">
              <w:t xml:space="preserve">these </w:t>
            </w:r>
            <w:r w:rsidR="0036330E" w:rsidRPr="00947CBF">
              <w:t>tests almost universally agree they introduce significant complexity</w:t>
            </w:r>
            <w:r w:rsidR="00B13AAD">
              <w:t>.</w:t>
            </w:r>
            <w:r w:rsidR="0036330E" w:rsidRPr="00C35A6A">
              <w:t xml:space="preserve"> </w:t>
            </w:r>
            <w:r w:rsidR="003544C4">
              <w:t>The option did not get stakeholder support</w:t>
            </w:r>
            <w:r w:rsidR="0036330E" w:rsidRPr="00947CBF">
              <w:t>, primarily because of how complex it would need to be to work</w:t>
            </w:r>
            <w:r w:rsidR="003544C4">
              <w:t xml:space="preserve"> as intended. </w:t>
            </w:r>
          </w:p>
          <w:p w14:paraId="317ACEA6" w14:textId="3AD5772A" w:rsidR="00BD7E40" w:rsidRPr="00947CBF" w:rsidRDefault="00BD7E40" w:rsidP="00BF31F4">
            <w:r>
              <w:rPr>
                <w:i/>
                <w:iCs/>
              </w:rPr>
              <w:t>Tax system integrity:</w:t>
            </w:r>
            <w:r w:rsidR="00194E57">
              <w:rPr>
                <w:i/>
                <w:iCs/>
              </w:rPr>
              <w:t xml:space="preserve"> </w:t>
            </w:r>
            <w:r w:rsidR="00194E57" w:rsidRPr="00947CBF">
              <w:t xml:space="preserve">A formula should </w:t>
            </w:r>
            <w:r w:rsidR="002C785B" w:rsidRPr="00947CBF">
              <w:t>maintain the integrity of the tax system</w:t>
            </w:r>
            <w:r w:rsidR="00900A13">
              <w:t>.</w:t>
            </w:r>
            <w:r w:rsidR="00400149">
              <w:t xml:space="preserve"> The theory behind a formula is that it should result in a situation where it never makes sense to pay for a tax loss alone. </w:t>
            </w:r>
            <w:r w:rsidR="00C9337A">
              <w:t xml:space="preserve">However, supporting rules would be required to ensure that the value of the company is not artificially inflated </w:t>
            </w:r>
            <w:r w:rsidR="005C494A">
              <w:t>to increase the value of the losses the formula will permit to be used</w:t>
            </w:r>
            <w:r w:rsidR="00D45706">
              <w:t xml:space="preserve"> following the change in ownership.</w:t>
            </w:r>
          </w:p>
          <w:p w14:paraId="75E9D26C" w14:textId="0D6CFB44" w:rsidR="00DB14FE" w:rsidRDefault="00DB14FE" w:rsidP="00BF31F4"/>
          <w:p w14:paraId="73636BE8" w14:textId="6C75C58A" w:rsidR="00A46FF2" w:rsidRPr="00725103" w:rsidRDefault="00A46FF2" w:rsidP="00BF31F4"/>
        </w:tc>
      </w:tr>
    </w:tbl>
    <w:p w14:paraId="65608C12" w14:textId="09ED909E" w:rsidR="00F132B2" w:rsidRDefault="00F132B2" w:rsidP="00567434">
      <w:pPr>
        <w:pStyle w:val="spacer"/>
      </w:pPr>
    </w:p>
    <w:p w14:paraId="79D1C45A" w14:textId="7F66B16B" w:rsidR="00A46FF2" w:rsidRDefault="00A46FF2" w:rsidP="00567434">
      <w:pPr>
        <w:pStyle w:val="spacer"/>
      </w:pPr>
    </w:p>
    <w:p w14:paraId="21B15879" w14:textId="2B9BE483" w:rsidR="00A46FF2" w:rsidRDefault="00A46FF2" w:rsidP="00567434">
      <w:pPr>
        <w:pStyle w:val="spacer"/>
      </w:pPr>
    </w:p>
    <w:p w14:paraId="169A452B" w14:textId="375C325A" w:rsidR="00A46FF2" w:rsidRDefault="00A46FF2" w:rsidP="00567434">
      <w:pPr>
        <w:pStyle w:val="spacer"/>
      </w:pPr>
    </w:p>
    <w:p w14:paraId="67047538" w14:textId="3111CCF9" w:rsidR="00A46FF2" w:rsidRDefault="00A46FF2" w:rsidP="00567434">
      <w:pPr>
        <w:pStyle w:val="spacer"/>
      </w:pPr>
    </w:p>
    <w:p w14:paraId="12F127F4" w14:textId="489677A8" w:rsidR="00A46FF2" w:rsidRDefault="00A46FF2" w:rsidP="00567434">
      <w:pPr>
        <w:pStyle w:val="spacer"/>
      </w:pPr>
    </w:p>
    <w:p w14:paraId="4F7954D4" w14:textId="7CB818F6" w:rsidR="00A46FF2" w:rsidRDefault="00A46FF2" w:rsidP="00567434">
      <w:pPr>
        <w:pStyle w:val="spacer"/>
      </w:pPr>
    </w:p>
    <w:p w14:paraId="3DA28E4D" w14:textId="203A0068" w:rsidR="00A46FF2" w:rsidRDefault="00A46FF2" w:rsidP="00567434">
      <w:pPr>
        <w:pStyle w:val="spacer"/>
      </w:pPr>
    </w:p>
    <w:p w14:paraId="6C2E66DA" w14:textId="4B2CA790" w:rsidR="00A46FF2" w:rsidRDefault="00A46FF2" w:rsidP="00567434">
      <w:pPr>
        <w:pStyle w:val="spacer"/>
      </w:pPr>
    </w:p>
    <w:p w14:paraId="0B252E96" w14:textId="2C78D9DB" w:rsidR="00A46FF2" w:rsidRDefault="00A46FF2" w:rsidP="00567434">
      <w:pPr>
        <w:pStyle w:val="spacer"/>
      </w:pPr>
    </w:p>
    <w:p w14:paraId="334A643A" w14:textId="47F3CB5A" w:rsidR="00A46FF2" w:rsidRDefault="00A46FF2" w:rsidP="00567434">
      <w:pPr>
        <w:pStyle w:val="spacer"/>
      </w:pPr>
    </w:p>
    <w:p w14:paraId="6ECD2411" w14:textId="4EEDA15A" w:rsidR="00A46FF2" w:rsidRDefault="00A46FF2" w:rsidP="00567434">
      <w:pPr>
        <w:pStyle w:val="spacer"/>
      </w:pPr>
    </w:p>
    <w:p w14:paraId="0D53D93B" w14:textId="64C1769C" w:rsidR="00A46FF2" w:rsidRDefault="00A46FF2" w:rsidP="00567434">
      <w:pPr>
        <w:pStyle w:val="spacer"/>
      </w:pPr>
    </w:p>
    <w:p w14:paraId="6CF03821" w14:textId="56A634AF" w:rsidR="00A46FF2" w:rsidRDefault="00A46FF2" w:rsidP="00567434">
      <w:pPr>
        <w:pStyle w:val="spacer"/>
      </w:pPr>
    </w:p>
    <w:p w14:paraId="41401097" w14:textId="51C943BA" w:rsidR="00A46FF2" w:rsidRDefault="00A46FF2" w:rsidP="00567434">
      <w:pPr>
        <w:pStyle w:val="spacer"/>
      </w:pPr>
    </w:p>
    <w:p w14:paraId="31380C5D" w14:textId="4E3F24CD" w:rsidR="00A46FF2" w:rsidRDefault="00A46FF2" w:rsidP="00567434">
      <w:pPr>
        <w:pStyle w:val="spacer"/>
      </w:pPr>
    </w:p>
    <w:p w14:paraId="67739E38" w14:textId="77777777" w:rsidR="00A46FF2" w:rsidRPr="00567434" w:rsidRDefault="00A46FF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lastRenderedPageBreak/>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BB4EA2">
        <w:trPr>
          <w:trHeight w:val="6724"/>
        </w:trPr>
        <w:tc>
          <w:tcPr>
            <w:tcW w:w="5000" w:type="pct"/>
            <w:shd w:val="clear" w:color="auto" w:fill="auto"/>
          </w:tcPr>
          <w:p w14:paraId="52777579" w14:textId="12EDCD1A" w:rsidR="0023110A" w:rsidRDefault="00A00DBB" w:rsidP="00E6054D">
            <w:r>
              <w:t>The proposed approach is option 2, the business continuity test</w:t>
            </w:r>
            <w:r w:rsidR="0042071C">
              <w:t xml:space="preserve"> modelled on Australia’s rules</w:t>
            </w:r>
            <w:r>
              <w:t>. Officials consider that is the best o</w:t>
            </w:r>
            <w:r w:rsidR="000C61E0">
              <w:t>p</w:t>
            </w:r>
            <w:r>
              <w:t>tion on balance</w:t>
            </w:r>
            <w:r w:rsidR="00A20BCE">
              <w:t>.</w:t>
            </w:r>
            <w:r w:rsidR="00014C18">
              <w:t xml:space="preserve"> </w:t>
            </w:r>
            <w:r w:rsidR="00A20BCE">
              <w:t>Previously</w:t>
            </w:r>
            <w:r w:rsidR="0012424D">
              <w:t>,</w:t>
            </w:r>
            <w:r w:rsidR="00A20BCE">
              <w:t xml:space="preserve"> officials have advised</w:t>
            </w:r>
            <w:r w:rsidR="0012424D">
              <w:t xml:space="preserve"> the</w:t>
            </w:r>
            <w:r w:rsidR="00A20BCE">
              <w:t xml:space="preserve"> Government </w:t>
            </w:r>
            <w:r w:rsidR="009E686E">
              <w:t xml:space="preserve">that if it wanted to progress an option quickly as a COVID-19 response, the business continuity test would be the </w:t>
            </w:r>
            <w:r w:rsidR="00D76D02">
              <w:t>preferred</w:t>
            </w:r>
            <w:r w:rsidR="0051710E">
              <w:t xml:space="preserve"> option to develop on an accelerated timeline. </w:t>
            </w:r>
            <w:r w:rsidR="009B58F3">
              <w:t xml:space="preserve"> </w:t>
            </w:r>
          </w:p>
          <w:p w14:paraId="483E2365" w14:textId="7717F7B4" w:rsidR="00D012FE" w:rsidRDefault="00D012FE" w:rsidP="00E6054D">
            <w:r w:rsidRPr="00D012FE">
              <w:t>COVID-19 has shown that companies are able to pivot quickly into producing something else in response to external pressures. The proposed business continuity test can be designed so that the types of changes to the direction of a business that would have happened without the ownership change would be permitted and only the changes that mean losses become available to shelter the income of another taxpayer with no real interest in carrying on the business would be disallowed. The test will prevent loss trading by requiring the business itself to be continued.</w:t>
            </w:r>
          </w:p>
          <w:p w14:paraId="6D86B26B" w14:textId="5019B2BA" w:rsidR="00FA66A4" w:rsidRDefault="00FA66A4" w:rsidP="00E6054D">
            <w:r>
              <w:t>A</w:t>
            </w:r>
            <w:r w:rsidRPr="00FA66A4">
              <w:t xml:space="preserve"> business continuity test has the advantage of international precedent having been picked up in some form by approximately 15 OECD member countries. New Zealand is able to look to other countries’ success and failure in the design process which can help to minimise complexity. </w:t>
            </w:r>
          </w:p>
          <w:p w14:paraId="05EA0415" w14:textId="606CFB3B" w:rsidR="007147EC" w:rsidRDefault="00D012FE" w:rsidP="00E6054D">
            <w:r>
              <w:t xml:space="preserve">Overall, the </w:t>
            </w:r>
            <w:r w:rsidR="0012424D">
              <w:t xml:space="preserve">preferred </w:t>
            </w:r>
            <w:r>
              <w:t xml:space="preserve">option </w:t>
            </w:r>
            <w:r w:rsidR="009B58F3">
              <w:t>has significant support from stakeholder</w:t>
            </w:r>
            <w:r w:rsidR="00391E54">
              <w:t>s</w:t>
            </w:r>
            <w:r w:rsidR="009B58F3">
              <w:t xml:space="preserve"> </w:t>
            </w:r>
            <w:r w:rsidR="00E72B9A">
              <w:t>and</w:t>
            </w:r>
            <w:r w:rsidR="00391E54">
              <w:t>,</w:t>
            </w:r>
            <w:r w:rsidR="00E72B9A">
              <w:t xml:space="preserve"> by drawing on </w:t>
            </w:r>
            <w:r w:rsidR="00F10483">
              <w:t>international</w:t>
            </w:r>
            <w:r w:rsidR="00E72B9A">
              <w:t xml:space="preserve"> precedent</w:t>
            </w:r>
            <w:r w:rsidR="00391E54">
              <w:t>,</w:t>
            </w:r>
            <w:r w:rsidR="00E72B9A">
              <w:t xml:space="preserve"> officials are </w:t>
            </w:r>
            <w:r w:rsidR="00F10483">
              <w:t>confident</w:t>
            </w:r>
            <w:r w:rsidR="00E72B9A">
              <w:t xml:space="preserve"> that a test can be incorporated into the New Zealand system </w:t>
            </w:r>
            <w:r w:rsidR="004A5312">
              <w:t xml:space="preserve">in a way </w:t>
            </w:r>
            <w:r w:rsidR="00AD526C">
              <w:t>that</w:t>
            </w:r>
            <w:r w:rsidR="00E72B9A">
              <w:t xml:space="preserve"> achieves the policy objectives. The test will allow businesses to</w:t>
            </w:r>
            <w:r w:rsidR="00216237">
              <w:t xml:space="preserve"> reorganise or recapitalise</w:t>
            </w:r>
            <w:r w:rsidR="00167576">
              <w:t xml:space="preserve"> without unduly restricting what they can do after </w:t>
            </w:r>
            <w:r w:rsidR="00AD526C">
              <w:t>a</w:t>
            </w:r>
            <w:r w:rsidR="00167576">
              <w:t xml:space="preserve"> change in ownership. </w:t>
            </w:r>
            <w:r w:rsidR="00773AF7">
              <w:t xml:space="preserve">However, the </w:t>
            </w:r>
            <w:r w:rsidR="00144AD7">
              <w:t>option</w:t>
            </w:r>
            <w:r w:rsidR="00773AF7">
              <w:t xml:space="preserve"> </w:t>
            </w:r>
            <w:r w:rsidR="00144AD7">
              <w:t>necessarily</w:t>
            </w:r>
            <w:r w:rsidR="00773AF7">
              <w:t xml:space="preserve"> limits</w:t>
            </w:r>
            <w:r w:rsidR="003A1B76">
              <w:t>,</w:t>
            </w:r>
            <w:r w:rsidR="00773AF7">
              <w:t xml:space="preserve"> </w:t>
            </w:r>
            <w:r w:rsidR="0012424D">
              <w:t>for integrity reasons</w:t>
            </w:r>
            <w:r w:rsidR="003A1B76">
              <w:t>,</w:t>
            </w:r>
            <w:r w:rsidR="0012424D">
              <w:t xml:space="preserve"> </w:t>
            </w:r>
            <w:r w:rsidR="00773AF7">
              <w:t xml:space="preserve">the amount of change that can occur. For some companies this means that the business continuity test will result in the forfeiture of losses. This is an appropriate result where the fundamental business of the company has changed </w:t>
            </w:r>
            <w:r w:rsidR="00144AD7">
              <w:t xml:space="preserve">because without such a limitation it would be possible to engage in loss trading activity. </w:t>
            </w:r>
          </w:p>
          <w:p w14:paraId="48CF4927" w14:textId="533630F0" w:rsidR="000C61E0" w:rsidRDefault="000C61E0" w:rsidP="00E6054D"/>
          <w:p w14:paraId="610043DF" w14:textId="77777777" w:rsidR="000C61E0" w:rsidRPr="0069218C" w:rsidRDefault="000C61E0" w:rsidP="00E6054D"/>
          <w:p w14:paraId="69791F73" w14:textId="77777777" w:rsidR="00F132B2" w:rsidRPr="0069218C" w:rsidRDefault="00F132B2" w:rsidP="00C7655A">
            <w:pPr>
              <w:spacing w:after="0" w:line="276" w:lineRule="auto"/>
              <w:jc w:val="both"/>
              <w:rPr>
                <w:rFonts w:cs="Arial"/>
                <w:szCs w:val="22"/>
              </w:rPr>
            </w:pP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lastRenderedPageBreak/>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D5BF0" w:rsidRPr="0069218C" w14:paraId="31372389" w14:textId="77777777" w:rsidTr="00BB4EA2">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00E6054D">
        <w:trPr>
          <w:trHeight w:val="732"/>
        </w:trPr>
        <w:tc>
          <w:tcPr>
            <w:tcW w:w="2093" w:type="dxa"/>
            <w:shd w:val="clear" w:color="auto" w:fill="99CDDD"/>
          </w:tcPr>
          <w:p w14:paraId="54712201" w14:textId="77777777"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394" w:type="dxa"/>
            <w:shd w:val="clear" w:color="auto" w:fill="99CDDD"/>
          </w:tcPr>
          <w:p w14:paraId="133262F9" w14:textId="588A2CA6"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compliance rates), risks</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72B90A3F" w:rsidR="00380585" w:rsidRPr="00886DFF" w:rsidRDefault="00380585" w:rsidP="002127DC">
            <w:pPr>
              <w:pStyle w:val="TableText"/>
              <w:keepNext/>
              <w:rPr>
                <w:rFonts w:eastAsia="Calibri"/>
                <w:i/>
                <w:color w:val="000000"/>
                <w:sz w:val="22"/>
              </w:rPr>
            </w:pPr>
            <w:r w:rsidRPr="00886DFF">
              <w:rPr>
                <w:rFonts w:eastAsia="Calibri"/>
                <w:i/>
                <w:color w:val="000000"/>
                <w:sz w:val="22"/>
              </w:rPr>
              <w:t>$m present value</w:t>
            </w:r>
            <w:r w:rsidR="00D45133">
              <w:rPr>
                <w:rFonts w:eastAsia="Calibri"/>
                <w:i/>
                <w:color w:val="000000"/>
                <w:sz w:val="22"/>
              </w:rPr>
              <w:t xml:space="preserve"> where appropriate</w:t>
            </w:r>
            <w:r w:rsidRPr="00886DFF">
              <w:rPr>
                <w:rFonts w:eastAsia="Calibri"/>
                <w:i/>
                <w:color w:val="000000"/>
                <w:sz w:val="22"/>
              </w:rPr>
              <w:t xml:space="preserve">, for monetised impacts; high, </w:t>
            </w:r>
            <w:proofErr w:type="gramStart"/>
            <w:r w:rsidRPr="00886DFF">
              <w:rPr>
                <w:rFonts w:eastAsia="Calibri"/>
                <w:i/>
                <w:color w:val="000000"/>
                <w:sz w:val="22"/>
              </w:rPr>
              <w:t>medium</w:t>
            </w:r>
            <w:proofErr w:type="gramEnd"/>
            <w:r w:rsidRPr="00886DFF">
              <w:rPr>
                <w:rFonts w:eastAsia="Calibri"/>
                <w:i/>
                <w:color w:val="000000"/>
                <w:sz w:val="22"/>
              </w:rPr>
              <w:t xml:space="preserve"> or low for non-monetised impacts  </w:t>
            </w:r>
          </w:p>
        </w:tc>
      </w:tr>
      <w:tr w:rsidR="00380585" w:rsidRPr="0069218C" w14:paraId="374C3B33" w14:textId="77777777" w:rsidTr="00E6054D">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00E6054D">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00BB4EA2">
        <w:trPr>
          <w:trHeight w:val="253"/>
        </w:trPr>
        <w:tc>
          <w:tcPr>
            <w:tcW w:w="2093" w:type="dxa"/>
            <w:shd w:val="clear" w:color="auto" w:fill="auto"/>
          </w:tcPr>
          <w:p w14:paraId="2E7CF95B" w14:textId="77777777" w:rsidR="00451D5F" w:rsidRDefault="00380585" w:rsidP="002127DC">
            <w:pPr>
              <w:pStyle w:val="TableText"/>
              <w:keepNext/>
              <w:rPr>
                <w:rFonts w:eastAsia="Calibri"/>
                <w:i/>
                <w:iCs/>
                <w:sz w:val="22"/>
              </w:rPr>
            </w:pPr>
            <w:r w:rsidRPr="00860C73">
              <w:rPr>
                <w:rFonts w:eastAsia="Calibri"/>
                <w:i/>
                <w:iCs/>
                <w:sz w:val="22"/>
              </w:rPr>
              <w:t>Regulated parties</w:t>
            </w:r>
          </w:p>
          <w:p w14:paraId="475A657A" w14:textId="4D908476" w:rsidR="001C5D87" w:rsidRPr="001C5D87" w:rsidRDefault="001C5D87" w:rsidP="002127DC">
            <w:pPr>
              <w:pStyle w:val="TableText"/>
              <w:keepNext/>
              <w:rPr>
                <w:rFonts w:eastAsia="Calibri"/>
                <w:sz w:val="22"/>
              </w:rPr>
            </w:pPr>
            <w:r w:rsidRPr="001C5D87">
              <w:rPr>
                <w:rFonts w:eastAsia="Calibri"/>
                <w:sz w:val="22"/>
              </w:rPr>
              <w:t>Companies</w:t>
            </w:r>
          </w:p>
        </w:tc>
        <w:tc>
          <w:tcPr>
            <w:tcW w:w="4394" w:type="dxa"/>
            <w:shd w:val="clear" w:color="auto" w:fill="auto"/>
          </w:tcPr>
          <w:p w14:paraId="747B07E6" w14:textId="5D618D5B" w:rsidR="001C5D87" w:rsidRPr="0055317C" w:rsidRDefault="001C5D87" w:rsidP="001C5D87">
            <w:pPr>
              <w:pStyle w:val="TableText"/>
              <w:keepNext/>
              <w:rPr>
                <w:rFonts w:eastAsia="Calibri"/>
                <w:sz w:val="22"/>
              </w:rPr>
            </w:pPr>
            <w:r w:rsidRPr="0055317C">
              <w:rPr>
                <w:rFonts w:eastAsia="Calibri"/>
                <w:sz w:val="22"/>
              </w:rPr>
              <w:t xml:space="preserve">The test is subjective so there are interpretation risks that will apply at the margin to reduce the overall benefit. Some companies may not be able to use the rules even though they are not loss trading. </w:t>
            </w:r>
            <w:r w:rsidR="00672923" w:rsidRPr="0055317C">
              <w:rPr>
                <w:rFonts w:eastAsia="Calibri"/>
                <w:sz w:val="22"/>
              </w:rPr>
              <w:t xml:space="preserve">Legal advice on specific facts and circumstances may need to be sought. </w:t>
            </w:r>
            <w:r w:rsidR="00616CAC" w:rsidRPr="0055317C">
              <w:rPr>
                <w:rFonts w:eastAsia="Calibri"/>
                <w:sz w:val="22"/>
              </w:rPr>
              <w:t xml:space="preserve"> However, the 49% ownership test will remain and can be relied on to carry losses forward</w:t>
            </w:r>
            <w:r w:rsidR="00F12CAF" w:rsidRPr="0055317C">
              <w:rPr>
                <w:rFonts w:eastAsia="Calibri"/>
                <w:sz w:val="22"/>
              </w:rPr>
              <w:t xml:space="preserve">. Companies are not required to make use of the business continuity test. </w:t>
            </w:r>
          </w:p>
          <w:p w14:paraId="71F3CAB1" w14:textId="77777777" w:rsidR="00380585" w:rsidRPr="0069218C" w:rsidRDefault="00380585" w:rsidP="002127DC">
            <w:pPr>
              <w:pStyle w:val="TableText"/>
              <w:keepNext/>
              <w:rPr>
                <w:rFonts w:eastAsia="Calibri"/>
                <w:sz w:val="22"/>
              </w:rPr>
            </w:pPr>
          </w:p>
        </w:tc>
        <w:tc>
          <w:tcPr>
            <w:tcW w:w="2585" w:type="dxa"/>
            <w:shd w:val="clear" w:color="auto" w:fill="auto"/>
          </w:tcPr>
          <w:p w14:paraId="30B3CC2E" w14:textId="6EC51A53" w:rsidR="00380585" w:rsidRPr="0069218C" w:rsidRDefault="001C5D87" w:rsidP="002127DC">
            <w:pPr>
              <w:pStyle w:val="TableText"/>
              <w:keepNext/>
              <w:rPr>
                <w:rFonts w:eastAsia="Calibri"/>
                <w:sz w:val="22"/>
              </w:rPr>
            </w:pPr>
            <w:r>
              <w:rPr>
                <w:rFonts w:eastAsia="Calibri"/>
                <w:sz w:val="22"/>
              </w:rPr>
              <w:t>Low</w:t>
            </w:r>
          </w:p>
        </w:tc>
      </w:tr>
      <w:tr w:rsidR="00380585" w:rsidRPr="0069218C" w14:paraId="7AF8FD29" w14:textId="77777777" w:rsidTr="00BB4EA2">
        <w:trPr>
          <w:trHeight w:val="253"/>
        </w:trPr>
        <w:tc>
          <w:tcPr>
            <w:tcW w:w="2093" w:type="dxa"/>
            <w:shd w:val="clear" w:color="auto" w:fill="auto"/>
          </w:tcPr>
          <w:p w14:paraId="6F91DC62" w14:textId="77777777" w:rsidR="0007389C" w:rsidRDefault="00380585" w:rsidP="002127DC">
            <w:pPr>
              <w:pStyle w:val="TableText"/>
              <w:keepNext/>
              <w:rPr>
                <w:rFonts w:eastAsia="Calibri"/>
                <w:i/>
                <w:iCs/>
                <w:color w:val="000000"/>
                <w:sz w:val="22"/>
              </w:rPr>
            </w:pPr>
            <w:r w:rsidRPr="00860C73">
              <w:rPr>
                <w:rFonts w:eastAsia="Calibri"/>
                <w:i/>
                <w:iCs/>
                <w:color w:val="000000"/>
                <w:sz w:val="22"/>
              </w:rPr>
              <w:t>Regulators</w:t>
            </w:r>
          </w:p>
          <w:p w14:paraId="0F06DC5D" w14:textId="1CC04A90" w:rsidR="009D474A" w:rsidRPr="009D474A" w:rsidRDefault="009D474A" w:rsidP="002127DC">
            <w:pPr>
              <w:pStyle w:val="TableText"/>
              <w:keepNext/>
              <w:rPr>
                <w:rFonts w:eastAsia="Calibri"/>
                <w:color w:val="000000"/>
                <w:sz w:val="22"/>
              </w:rPr>
            </w:pPr>
            <w:r w:rsidRPr="009D474A">
              <w:rPr>
                <w:rFonts w:eastAsia="Calibri"/>
                <w:color w:val="000000"/>
                <w:sz w:val="22"/>
              </w:rPr>
              <w:t>Inland Revenue</w:t>
            </w:r>
          </w:p>
        </w:tc>
        <w:tc>
          <w:tcPr>
            <w:tcW w:w="4394" w:type="dxa"/>
            <w:shd w:val="clear" w:color="auto" w:fill="auto"/>
          </w:tcPr>
          <w:p w14:paraId="15408B5E" w14:textId="51DE63AF" w:rsidR="00380585" w:rsidRPr="0069218C" w:rsidRDefault="009D474A" w:rsidP="002127DC">
            <w:pPr>
              <w:pStyle w:val="TableText"/>
              <w:keepNext/>
              <w:rPr>
                <w:rFonts w:eastAsia="Calibri"/>
                <w:sz w:val="22"/>
              </w:rPr>
            </w:pPr>
            <w:r w:rsidRPr="009D474A">
              <w:rPr>
                <w:rFonts w:eastAsia="Calibri"/>
                <w:sz w:val="22"/>
              </w:rPr>
              <w:t xml:space="preserve">Some administrative costs associated with monitoring companies relying on the business continuity test, updates to website and other standard implementation tasks. This would be met within existing baselines.  </w:t>
            </w:r>
          </w:p>
        </w:tc>
        <w:tc>
          <w:tcPr>
            <w:tcW w:w="2585" w:type="dxa"/>
            <w:shd w:val="clear" w:color="auto" w:fill="auto"/>
          </w:tcPr>
          <w:p w14:paraId="682F55BC" w14:textId="2C7F1075" w:rsidR="00380585" w:rsidRPr="009D474A" w:rsidRDefault="009D474A" w:rsidP="002127DC">
            <w:pPr>
              <w:pStyle w:val="TableText"/>
              <w:keepNext/>
              <w:rPr>
                <w:rFonts w:eastAsia="Calibri"/>
                <w:i/>
                <w:iCs/>
                <w:sz w:val="22"/>
              </w:rPr>
            </w:pPr>
            <w:r w:rsidRPr="009D474A">
              <w:rPr>
                <w:rFonts w:eastAsia="Calibri"/>
                <w:i/>
                <w:iCs/>
                <w:sz w:val="22"/>
              </w:rPr>
              <w:t>Low</w:t>
            </w:r>
          </w:p>
        </w:tc>
      </w:tr>
      <w:tr w:rsidR="00380585" w:rsidRPr="0069218C" w14:paraId="051F6DE9" w14:textId="77777777" w:rsidTr="00BB4EA2">
        <w:trPr>
          <w:trHeight w:val="253"/>
        </w:trPr>
        <w:tc>
          <w:tcPr>
            <w:tcW w:w="2093" w:type="dxa"/>
            <w:shd w:val="clear" w:color="auto" w:fill="auto"/>
          </w:tcPr>
          <w:p w14:paraId="3D15155E" w14:textId="77777777" w:rsidR="00380585" w:rsidRPr="0069218C" w:rsidRDefault="00380585" w:rsidP="002127DC">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26D195F7" w14:textId="7D6FBE4D" w:rsidR="00380585" w:rsidRDefault="00332FB2" w:rsidP="002127DC">
            <w:pPr>
              <w:pStyle w:val="TableText"/>
              <w:keepNext/>
              <w:rPr>
                <w:rFonts w:eastAsia="Calibri"/>
                <w:sz w:val="22"/>
              </w:rPr>
            </w:pPr>
            <w:r>
              <w:rPr>
                <w:rFonts w:eastAsia="Calibri"/>
                <w:sz w:val="22"/>
              </w:rPr>
              <w:t>Losses that would previously have been forfeit</w:t>
            </w:r>
            <w:r w:rsidR="00860C73">
              <w:rPr>
                <w:rFonts w:eastAsia="Calibri"/>
                <w:sz w:val="22"/>
              </w:rPr>
              <w:t xml:space="preserve">ed </w:t>
            </w:r>
            <w:r>
              <w:rPr>
                <w:rFonts w:eastAsia="Calibri"/>
                <w:sz w:val="22"/>
              </w:rPr>
              <w:t>can be carried forward to offset profits that the company would have to pay tax on if no action were taken and they were not able to retain losses after a</w:t>
            </w:r>
            <w:r w:rsidR="00860C73">
              <w:rPr>
                <w:rFonts w:eastAsia="Calibri"/>
                <w:sz w:val="22"/>
              </w:rPr>
              <w:t xml:space="preserve">n ownership </w:t>
            </w:r>
            <w:r>
              <w:rPr>
                <w:rFonts w:eastAsia="Calibri"/>
                <w:sz w:val="22"/>
              </w:rPr>
              <w:t xml:space="preserve">change. This results in a loss of revenue to Government. </w:t>
            </w:r>
          </w:p>
          <w:p w14:paraId="422FE923" w14:textId="77777777" w:rsidR="00250433" w:rsidRDefault="00250433" w:rsidP="002127DC">
            <w:pPr>
              <w:pStyle w:val="TableText"/>
              <w:keepNext/>
              <w:rPr>
                <w:rFonts w:eastAsia="Calibri"/>
                <w:sz w:val="22"/>
              </w:rPr>
            </w:pPr>
          </w:p>
          <w:p w14:paraId="6CE17A35" w14:textId="1628228C" w:rsidR="00250433" w:rsidRPr="0069218C" w:rsidRDefault="00250433" w:rsidP="002127DC">
            <w:pPr>
              <w:pStyle w:val="TableText"/>
              <w:keepNext/>
              <w:rPr>
                <w:rFonts w:eastAsia="Calibri"/>
                <w:sz w:val="22"/>
              </w:rPr>
            </w:pPr>
          </w:p>
        </w:tc>
        <w:tc>
          <w:tcPr>
            <w:tcW w:w="2585" w:type="dxa"/>
            <w:shd w:val="clear" w:color="auto" w:fill="auto"/>
          </w:tcPr>
          <w:p w14:paraId="661DBB42" w14:textId="4FEEF0AE" w:rsidR="00380585" w:rsidRDefault="00231115" w:rsidP="002127DC">
            <w:pPr>
              <w:pStyle w:val="TableText"/>
              <w:keepNext/>
              <w:rPr>
                <w:rFonts w:eastAsia="Calibri"/>
                <w:sz w:val="22"/>
              </w:rPr>
            </w:pPr>
            <w:r>
              <w:rPr>
                <w:rFonts w:eastAsia="Calibri"/>
                <w:sz w:val="22"/>
              </w:rPr>
              <w:t xml:space="preserve">Up to </w:t>
            </w:r>
            <w:r w:rsidR="00B7199E">
              <w:rPr>
                <w:rFonts w:eastAsia="Calibri"/>
                <w:sz w:val="22"/>
              </w:rPr>
              <w:t xml:space="preserve">$60 million </w:t>
            </w:r>
            <w:r w:rsidR="00332FB2">
              <w:rPr>
                <w:rFonts w:eastAsia="Calibri"/>
                <w:sz w:val="22"/>
              </w:rPr>
              <w:t xml:space="preserve">less revenue collected </w:t>
            </w:r>
            <w:r w:rsidR="0012424D">
              <w:rPr>
                <w:rFonts w:eastAsia="Calibri"/>
                <w:sz w:val="22"/>
              </w:rPr>
              <w:t>a year</w:t>
            </w:r>
            <w:r w:rsidR="003A1B76">
              <w:rPr>
                <w:rFonts w:eastAsia="Calibri"/>
                <w:sz w:val="22"/>
              </w:rPr>
              <w:t>.</w:t>
            </w:r>
          </w:p>
          <w:p w14:paraId="2CF562B6" w14:textId="352F3E69" w:rsidR="009014B6" w:rsidRPr="009014B6" w:rsidRDefault="009014B6" w:rsidP="009014B6">
            <w:pPr>
              <w:pStyle w:val="TableText"/>
              <w:keepNext/>
              <w:rPr>
                <w:rFonts w:eastAsia="Calibri"/>
                <w:sz w:val="22"/>
                <w:szCs w:val="24"/>
                <w:lang w:val="en-NZ"/>
              </w:rPr>
            </w:pPr>
            <w:r w:rsidRPr="00AA1002">
              <w:rPr>
                <w:rFonts w:eastAsia="Calibri"/>
                <w:sz w:val="22"/>
                <w:szCs w:val="24"/>
                <w:lang w:val="en-NZ"/>
              </w:rPr>
              <w:t xml:space="preserve">This figure is </w:t>
            </w:r>
            <w:r w:rsidRPr="009014B6">
              <w:rPr>
                <w:rFonts w:eastAsia="Calibri"/>
                <w:sz w:val="22"/>
                <w:szCs w:val="24"/>
                <w:lang w:val="en-NZ"/>
              </w:rPr>
              <w:t xml:space="preserve">the average tax value of all losses that </w:t>
            </w:r>
            <w:r w:rsidRPr="00AA1002">
              <w:rPr>
                <w:rFonts w:eastAsia="Calibri"/>
                <w:sz w:val="22"/>
                <w:szCs w:val="24"/>
                <w:lang w:val="en-NZ"/>
              </w:rPr>
              <w:t>are</w:t>
            </w:r>
            <w:r w:rsidRPr="009014B6">
              <w:rPr>
                <w:rFonts w:eastAsia="Calibri"/>
                <w:sz w:val="22"/>
                <w:szCs w:val="24"/>
                <w:lang w:val="en-NZ"/>
              </w:rPr>
              <w:t xml:space="preserve"> forfeited in an average year. </w:t>
            </w:r>
            <w:r w:rsidRPr="00AA1002">
              <w:rPr>
                <w:rFonts w:eastAsia="Calibri"/>
                <w:sz w:val="22"/>
                <w:szCs w:val="24"/>
                <w:lang w:val="en-NZ"/>
              </w:rPr>
              <w:t>It</w:t>
            </w:r>
            <w:r w:rsidRPr="009014B6">
              <w:rPr>
                <w:rFonts w:eastAsia="Calibri"/>
                <w:sz w:val="22"/>
                <w:szCs w:val="24"/>
                <w:lang w:val="en-NZ"/>
              </w:rPr>
              <w:t xml:space="preserve"> </w:t>
            </w:r>
            <w:r w:rsidR="002F1595">
              <w:rPr>
                <w:rFonts w:eastAsia="Calibri"/>
                <w:sz w:val="22"/>
                <w:szCs w:val="24"/>
                <w:lang w:val="en-NZ"/>
              </w:rPr>
              <w:t>is</w:t>
            </w:r>
            <w:r w:rsidR="00003746">
              <w:rPr>
                <w:rFonts w:eastAsia="Calibri"/>
                <w:sz w:val="22"/>
                <w:szCs w:val="24"/>
                <w:lang w:val="en-NZ"/>
              </w:rPr>
              <w:t xml:space="preserve"> </w:t>
            </w:r>
            <w:r w:rsidRPr="009014B6">
              <w:rPr>
                <w:rFonts w:eastAsia="Calibri"/>
                <w:sz w:val="22"/>
                <w:szCs w:val="24"/>
                <w:lang w:val="en-NZ"/>
              </w:rPr>
              <w:t xml:space="preserve">an upper bound to the expected cost under the Australian </w:t>
            </w:r>
            <w:proofErr w:type="gramStart"/>
            <w:r w:rsidRPr="009014B6">
              <w:rPr>
                <w:rFonts w:eastAsia="Calibri"/>
                <w:sz w:val="22"/>
                <w:szCs w:val="24"/>
                <w:lang w:val="en-NZ"/>
              </w:rPr>
              <w:t>test, if</w:t>
            </w:r>
            <w:proofErr w:type="gramEnd"/>
            <w:r w:rsidRPr="009014B6">
              <w:rPr>
                <w:rFonts w:eastAsia="Calibri"/>
                <w:sz w:val="22"/>
                <w:szCs w:val="24"/>
                <w:lang w:val="en-NZ"/>
              </w:rPr>
              <w:t xml:space="preserve"> all forfeited losses were able to be absorbed each year. </w:t>
            </w:r>
          </w:p>
          <w:p w14:paraId="7A0B86C4" w14:textId="77777777" w:rsidR="00F46DB7" w:rsidRDefault="00F46DB7" w:rsidP="002127DC">
            <w:pPr>
              <w:pStyle w:val="TableText"/>
              <w:keepNext/>
              <w:rPr>
                <w:rFonts w:eastAsia="Calibri"/>
                <w:sz w:val="22"/>
              </w:rPr>
            </w:pPr>
          </w:p>
          <w:p w14:paraId="0EEC0AB1" w14:textId="77777777" w:rsidR="00F46DB7" w:rsidRDefault="00F46DB7" w:rsidP="002127DC">
            <w:pPr>
              <w:pStyle w:val="TableText"/>
              <w:keepNext/>
              <w:rPr>
                <w:rFonts w:eastAsia="Calibri"/>
                <w:sz w:val="22"/>
              </w:rPr>
            </w:pPr>
          </w:p>
          <w:p w14:paraId="3CAD066C" w14:textId="77777777" w:rsidR="00F46DB7" w:rsidRDefault="00F46DB7" w:rsidP="002127DC">
            <w:pPr>
              <w:pStyle w:val="TableText"/>
              <w:keepNext/>
              <w:rPr>
                <w:rFonts w:eastAsia="Calibri"/>
                <w:sz w:val="22"/>
              </w:rPr>
            </w:pPr>
          </w:p>
          <w:p w14:paraId="1CBE6228" w14:textId="77777777" w:rsidR="00F46DB7" w:rsidRDefault="00F46DB7" w:rsidP="002127DC">
            <w:pPr>
              <w:pStyle w:val="TableText"/>
              <w:keepNext/>
              <w:rPr>
                <w:rFonts w:eastAsia="Calibri"/>
                <w:sz w:val="22"/>
              </w:rPr>
            </w:pPr>
          </w:p>
          <w:p w14:paraId="7948EA28" w14:textId="77777777" w:rsidR="00F46DB7" w:rsidRDefault="00F46DB7" w:rsidP="002127DC">
            <w:pPr>
              <w:pStyle w:val="TableText"/>
              <w:keepNext/>
              <w:rPr>
                <w:rFonts w:eastAsia="Calibri"/>
                <w:sz w:val="22"/>
              </w:rPr>
            </w:pPr>
          </w:p>
          <w:p w14:paraId="211A32E6" w14:textId="17F93CF9" w:rsidR="00F46DB7" w:rsidRPr="00F46DB7" w:rsidRDefault="00F46DB7" w:rsidP="002127DC">
            <w:pPr>
              <w:pStyle w:val="TableText"/>
              <w:keepNext/>
              <w:rPr>
                <w:rFonts w:eastAsia="Calibri"/>
                <w:i/>
                <w:iCs/>
                <w:sz w:val="22"/>
              </w:rPr>
            </w:pPr>
          </w:p>
        </w:tc>
      </w:tr>
      <w:tr w:rsidR="00380585" w:rsidRPr="0069218C" w14:paraId="67B640BC" w14:textId="77777777" w:rsidTr="00BB4EA2">
        <w:trPr>
          <w:trHeight w:val="253"/>
        </w:trPr>
        <w:tc>
          <w:tcPr>
            <w:tcW w:w="2093" w:type="dxa"/>
            <w:shd w:val="clear" w:color="auto" w:fill="auto"/>
          </w:tcPr>
          <w:p w14:paraId="21C83AA5" w14:textId="77777777" w:rsidR="00380585" w:rsidRPr="0069218C" w:rsidRDefault="00380585" w:rsidP="002127DC">
            <w:pPr>
              <w:pStyle w:val="TableText"/>
              <w:keepNext/>
              <w:rPr>
                <w:rFonts w:eastAsia="Calibri" w:cs="Arial"/>
                <w:color w:val="000000"/>
                <w:sz w:val="22"/>
              </w:rPr>
            </w:pPr>
            <w:r w:rsidRPr="0069218C">
              <w:rPr>
                <w:rFonts w:eastAsia="Calibri"/>
                <w:color w:val="000000"/>
                <w:sz w:val="22"/>
              </w:rPr>
              <w:t xml:space="preserve">Other parties </w:t>
            </w:r>
          </w:p>
        </w:tc>
        <w:tc>
          <w:tcPr>
            <w:tcW w:w="4394" w:type="dxa"/>
            <w:shd w:val="clear" w:color="auto" w:fill="auto"/>
          </w:tcPr>
          <w:p w14:paraId="197E8BDC" w14:textId="1E480D0F" w:rsidR="00380585" w:rsidRPr="0069218C" w:rsidRDefault="00514CF4" w:rsidP="002127DC">
            <w:pPr>
              <w:pStyle w:val="TableText"/>
              <w:keepNext/>
              <w:rPr>
                <w:rFonts w:eastAsia="Calibri"/>
                <w:sz w:val="22"/>
              </w:rPr>
            </w:pPr>
            <w:r>
              <w:rPr>
                <w:rFonts w:eastAsia="Calibri"/>
                <w:sz w:val="22"/>
              </w:rPr>
              <w:t>N/A</w:t>
            </w:r>
          </w:p>
        </w:tc>
        <w:tc>
          <w:tcPr>
            <w:tcW w:w="2585" w:type="dxa"/>
            <w:shd w:val="clear" w:color="auto" w:fill="auto"/>
          </w:tcPr>
          <w:p w14:paraId="26C82814" w14:textId="1FFC6878" w:rsidR="00380585" w:rsidRPr="0069218C" w:rsidRDefault="00514CF4" w:rsidP="002127DC">
            <w:pPr>
              <w:pStyle w:val="TableText"/>
              <w:keepNext/>
              <w:rPr>
                <w:rFonts w:eastAsia="Calibri"/>
                <w:sz w:val="22"/>
              </w:rPr>
            </w:pPr>
            <w:r>
              <w:rPr>
                <w:rFonts w:eastAsia="Calibri"/>
                <w:sz w:val="22"/>
              </w:rPr>
              <w:t>N/A</w:t>
            </w:r>
          </w:p>
        </w:tc>
      </w:tr>
      <w:tr w:rsidR="00380585" w:rsidRPr="0069218C" w14:paraId="36C00356" w14:textId="77777777" w:rsidTr="00BB4EA2">
        <w:trPr>
          <w:trHeight w:val="253"/>
        </w:trPr>
        <w:tc>
          <w:tcPr>
            <w:tcW w:w="2093" w:type="dxa"/>
            <w:shd w:val="clear" w:color="auto" w:fill="auto"/>
          </w:tcPr>
          <w:p w14:paraId="55DE5259" w14:textId="77777777" w:rsidR="00380585" w:rsidRPr="0069218C" w:rsidRDefault="00380585" w:rsidP="002127DC">
            <w:pPr>
              <w:pStyle w:val="TableText"/>
              <w:keepNext/>
              <w:rPr>
                <w:rFonts w:eastAsia="Calibri"/>
                <w:b/>
                <w:sz w:val="22"/>
              </w:rPr>
            </w:pPr>
            <w:r w:rsidRPr="0069218C">
              <w:rPr>
                <w:rFonts w:eastAsia="Calibri"/>
                <w:b/>
                <w:sz w:val="22"/>
              </w:rPr>
              <w:lastRenderedPageBreak/>
              <w:t>Total Monetised Cost</w:t>
            </w:r>
          </w:p>
        </w:tc>
        <w:tc>
          <w:tcPr>
            <w:tcW w:w="4394" w:type="dxa"/>
            <w:shd w:val="clear" w:color="auto" w:fill="auto"/>
          </w:tcPr>
          <w:p w14:paraId="4D0A094E" w14:textId="77777777" w:rsidR="00380585" w:rsidRPr="0069218C" w:rsidRDefault="00380585" w:rsidP="002127DC">
            <w:pPr>
              <w:pStyle w:val="TableText"/>
              <w:keepNext/>
              <w:rPr>
                <w:rFonts w:eastAsia="Calibri"/>
                <w:i/>
                <w:sz w:val="22"/>
              </w:rPr>
            </w:pPr>
          </w:p>
        </w:tc>
        <w:tc>
          <w:tcPr>
            <w:tcW w:w="2585" w:type="dxa"/>
            <w:shd w:val="clear" w:color="auto" w:fill="auto"/>
          </w:tcPr>
          <w:p w14:paraId="1513E189" w14:textId="54B15C09" w:rsidR="00380585" w:rsidRPr="0069218C" w:rsidRDefault="00514CF4" w:rsidP="002127DC">
            <w:pPr>
              <w:pStyle w:val="TableText"/>
              <w:keepNext/>
              <w:rPr>
                <w:rFonts w:eastAsia="Calibri"/>
                <w:sz w:val="22"/>
              </w:rPr>
            </w:pPr>
            <w:r>
              <w:rPr>
                <w:rFonts w:eastAsia="Calibri"/>
                <w:sz w:val="22"/>
              </w:rPr>
              <w:t xml:space="preserve">Up to </w:t>
            </w:r>
            <w:r w:rsidR="00AF05B4">
              <w:rPr>
                <w:rFonts w:eastAsia="Calibri"/>
                <w:sz w:val="22"/>
              </w:rPr>
              <w:t xml:space="preserve">$60 million forgone revenue </w:t>
            </w:r>
            <w:r w:rsidR="0012424D">
              <w:rPr>
                <w:rFonts w:eastAsia="Calibri"/>
                <w:sz w:val="22"/>
              </w:rPr>
              <w:t>a year</w:t>
            </w:r>
            <w:r w:rsidR="00AF05B4">
              <w:rPr>
                <w:rFonts w:eastAsia="Calibri"/>
                <w:sz w:val="22"/>
              </w:rPr>
              <w:t xml:space="preserve">. </w:t>
            </w:r>
          </w:p>
        </w:tc>
      </w:tr>
      <w:tr w:rsidR="00380585" w:rsidRPr="0069218C" w14:paraId="744EB59C" w14:textId="77777777" w:rsidTr="00BB4EA2">
        <w:trPr>
          <w:trHeight w:val="253"/>
        </w:trPr>
        <w:tc>
          <w:tcPr>
            <w:tcW w:w="2093" w:type="dxa"/>
            <w:shd w:val="clear" w:color="auto" w:fill="auto"/>
          </w:tcPr>
          <w:p w14:paraId="7F4CC76A" w14:textId="77777777" w:rsidR="00380585" w:rsidRPr="0069218C" w:rsidRDefault="00380585" w:rsidP="002127DC">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77777777" w:rsidR="00380585" w:rsidRPr="0069218C" w:rsidRDefault="00380585" w:rsidP="002127DC">
            <w:pPr>
              <w:pStyle w:val="TableText"/>
              <w:keepNext/>
              <w:rPr>
                <w:rFonts w:eastAsia="Calibri"/>
                <w:i/>
                <w:sz w:val="22"/>
              </w:rPr>
            </w:pPr>
          </w:p>
        </w:tc>
        <w:tc>
          <w:tcPr>
            <w:tcW w:w="2585" w:type="dxa"/>
            <w:shd w:val="clear" w:color="auto" w:fill="auto"/>
          </w:tcPr>
          <w:p w14:paraId="59E9AAEA" w14:textId="27B840E9" w:rsidR="00380585" w:rsidRPr="00E62373" w:rsidRDefault="00AF05B4" w:rsidP="002127DC">
            <w:pPr>
              <w:pStyle w:val="TableText"/>
              <w:keepNext/>
              <w:rPr>
                <w:rFonts w:eastAsia="Calibri"/>
                <w:i/>
                <w:sz w:val="22"/>
              </w:rPr>
            </w:pPr>
            <w:r>
              <w:rPr>
                <w:rFonts w:eastAsia="Calibri"/>
                <w:i/>
                <w:sz w:val="22"/>
              </w:rPr>
              <w:t>Low</w:t>
            </w:r>
          </w:p>
        </w:tc>
      </w:tr>
    </w:tbl>
    <w:p w14:paraId="0A9A2360" w14:textId="77777777" w:rsidR="00380585" w:rsidRPr="0069218C" w:rsidRDefault="00380585"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77EAB6F" w14:textId="77777777" w:rsidTr="00E6054D">
        <w:trPr>
          <w:trHeight w:val="253"/>
        </w:trPr>
        <w:tc>
          <w:tcPr>
            <w:tcW w:w="9072" w:type="dxa"/>
            <w:gridSpan w:val="3"/>
            <w:shd w:val="clear" w:color="auto" w:fill="99CDDD"/>
          </w:tcPr>
          <w:p w14:paraId="564BDD89" w14:textId="77777777" w:rsidR="00380585" w:rsidRPr="000535CE" w:rsidRDefault="00380585" w:rsidP="002127DC">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BB4EA2">
        <w:trPr>
          <w:trHeight w:val="253"/>
        </w:trPr>
        <w:tc>
          <w:tcPr>
            <w:tcW w:w="2093" w:type="dxa"/>
            <w:shd w:val="clear" w:color="auto" w:fill="auto"/>
          </w:tcPr>
          <w:p w14:paraId="7A491859" w14:textId="77777777" w:rsidR="00380585" w:rsidRPr="004839AD" w:rsidRDefault="00380585" w:rsidP="002127DC">
            <w:pPr>
              <w:pStyle w:val="TableText"/>
              <w:rPr>
                <w:rFonts w:eastAsia="Calibri"/>
                <w:i/>
                <w:iCs/>
                <w:sz w:val="22"/>
              </w:rPr>
            </w:pPr>
            <w:r w:rsidRPr="004839AD">
              <w:rPr>
                <w:rFonts w:eastAsia="Calibri"/>
                <w:i/>
                <w:iCs/>
                <w:sz w:val="22"/>
              </w:rPr>
              <w:t>Regulated parties</w:t>
            </w:r>
          </w:p>
          <w:p w14:paraId="118392ED" w14:textId="208715EA" w:rsidR="00F46DB7" w:rsidRPr="0069218C" w:rsidRDefault="00F46DB7" w:rsidP="002127DC">
            <w:pPr>
              <w:pStyle w:val="TableText"/>
              <w:rPr>
                <w:rFonts w:eastAsia="Calibri"/>
                <w:sz w:val="22"/>
              </w:rPr>
            </w:pPr>
            <w:r>
              <w:rPr>
                <w:rFonts w:eastAsia="Calibri"/>
                <w:sz w:val="22"/>
              </w:rPr>
              <w:t>Companies</w:t>
            </w:r>
          </w:p>
        </w:tc>
        <w:tc>
          <w:tcPr>
            <w:tcW w:w="4394" w:type="dxa"/>
            <w:shd w:val="clear" w:color="auto" w:fill="auto"/>
          </w:tcPr>
          <w:p w14:paraId="3C5F089E" w14:textId="77777777" w:rsidR="008E64D2" w:rsidRDefault="00F46DB7" w:rsidP="002127DC">
            <w:pPr>
              <w:pStyle w:val="TableText"/>
              <w:rPr>
                <w:rFonts w:eastAsia="Calibri"/>
                <w:sz w:val="22"/>
              </w:rPr>
            </w:pPr>
            <w:r>
              <w:rPr>
                <w:rFonts w:eastAsia="Calibri"/>
                <w:sz w:val="22"/>
              </w:rPr>
              <w:t>Losses that would previously have been forfeit can be carried forward to offset profits that companies would have to pay tax on if no action were taken and they were not able to retain losses after an ownership change.</w:t>
            </w:r>
            <w:r w:rsidR="009014B6">
              <w:rPr>
                <w:rFonts w:eastAsia="Calibri"/>
                <w:sz w:val="22"/>
              </w:rPr>
              <w:t xml:space="preserve"> </w:t>
            </w:r>
          </w:p>
          <w:p w14:paraId="6FBE32A9" w14:textId="77777777" w:rsidR="00304ECD" w:rsidRDefault="00304ECD" w:rsidP="002127DC">
            <w:pPr>
              <w:pStyle w:val="TableText"/>
              <w:rPr>
                <w:rFonts w:eastAsia="Calibri"/>
                <w:sz w:val="22"/>
              </w:rPr>
            </w:pPr>
          </w:p>
          <w:p w14:paraId="1543957F" w14:textId="77777777" w:rsidR="00D0366C" w:rsidRDefault="00D0366C" w:rsidP="002127DC">
            <w:pPr>
              <w:pStyle w:val="TableText"/>
              <w:rPr>
                <w:rFonts w:eastAsia="Calibri"/>
                <w:sz w:val="22"/>
              </w:rPr>
            </w:pPr>
            <w:r>
              <w:rPr>
                <w:rFonts w:eastAsia="Calibri"/>
                <w:sz w:val="22"/>
              </w:rPr>
              <w:t>Companies are able to raise capital without losing access to losses and so can seek out opportunities to grow and innovate.</w:t>
            </w:r>
          </w:p>
          <w:p w14:paraId="7FA83A27" w14:textId="3DF46811" w:rsidR="009014B6" w:rsidRPr="0069218C" w:rsidRDefault="009014B6" w:rsidP="002127DC">
            <w:pPr>
              <w:pStyle w:val="TableText"/>
              <w:rPr>
                <w:rFonts w:eastAsia="Calibri"/>
                <w:sz w:val="22"/>
              </w:rPr>
            </w:pPr>
          </w:p>
        </w:tc>
        <w:tc>
          <w:tcPr>
            <w:tcW w:w="2585" w:type="dxa"/>
            <w:shd w:val="clear" w:color="auto" w:fill="auto"/>
          </w:tcPr>
          <w:p w14:paraId="6A968F47" w14:textId="60CA09EE" w:rsidR="00380585" w:rsidRDefault="00514CF4" w:rsidP="002127DC">
            <w:pPr>
              <w:pStyle w:val="TableText"/>
              <w:rPr>
                <w:rFonts w:eastAsia="Calibri"/>
                <w:sz w:val="22"/>
              </w:rPr>
            </w:pPr>
            <w:r>
              <w:rPr>
                <w:rFonts w:eastAsia="Calibri"/>
                <w:sz w:val="22"/>
              </w:rPr>
              <w:t xml:space="preserve">Up to </w:t>
            </w:r>
            <w:r w:rsidR="00332FB2">
              <w:rPr>
                <w:rFonts w:eastAsia="Calibri"/>
                <w:sz w:val="22"/>
              </w:rPr>
              <w:t xml:space="preserve">$60 million </w:t>
            </w:r>
            <w:r w:rsidR="0012424D">
              <w:rPr>
                <w:rFonts w:eastAsia="Calibri"/>
                <w:sz w:val="22"/>
              </w:rPr>
              <w:t>a year</w:t>
            </w:r>
            <w:r w:rsidR="00F46DB7">
              <w:rPr>
                <w:rFonts w:eastAsia="Calibri"/>
                <w:sz w:val="22"/>
              </w:rPr>
              <w:t xml:space="preserve"> tax saved for companies</w:t>
            </w:r>
          </w:p>
          <w:p w14:paraId="7CF86F7D" w14:textId="77777777" w:rsidR="00DA01C2" w:rsidRDefault="00DA01C2" w:rsidP="002127DC">
            <w:pPr>
              <w:pStyle w:val="TableText"/>
              <w:rPr>
                <w:rFonts w:eastAsia="Calibri"/>
                <w:sz w:val="22"/>
              </w:rPr>
            </w:pPr>
          </w:p>
          <w:p w14:paraId="03392857" w14:textId="77777777" w:rsidR="00DA01C2" w:rsidRDefault="00DA01C2" w:rsidP="002127DC">
            <w:pPr>
              <w:pStyle w:val="TableText"/>
              <w:rPr>
                <w:rFonts w:eastAsia="Calibri"/>
                <w:sz w:val="22"/>
              </w:rPr>
            </w:pPr>
          </w:p>
          <w:p w14:paraId="4FD7DEDA" w14:textId="77777777" w:rsidR="00304ECD" w:rsidRDefault="00304ECD" w:rsidP="002127DC">
            <w:pPr>
              <w:pStyle w:val="TableText"/>
              <w:rPr>
                <w:rFonts w:eastAsia="Calibri"/>
                <w:sz w:val="22"/>
              </w:rPr>
            </w:pPr>
          </w:p>
          <w:p w14:paraId="692CBCE0" w14:textId="77777777" w:rsidR="00DA01C2" w:rsidRDefault="00DA01C2" w:rsidP="002127DC">
            <w:pPr>
              <w:pStyle w:val="TableText"/>
              <w:rPr>
                <w:rFonts w:eastAsia="Calibri"/>
                <w:i/>
                <w:iCs/>
                <w:sz w:val="22"/>
              </w:rPr>
            </w:pPr>
            <w:r w:rsidRPr="00F944CF">
              <w:rPr>
                <w:rFonts w:eastAsia="Calibri"/>
                <w:i/>
                <w:iCs/>
                <w:sz w:val="22"/>
              </w:rPr>
              <w:t>Medium</w:t>
            </w:r>
          </w:p>
          <w:p w14:paraId="416B805D" w14:textId="77777777" w:rsidR="008E64D2" w:rsidRDefault="008E64D2" w:rsidP="002127DC">
            <w:pPr>
              <w:pStyle w:val="TableText"/>
              <w:rPr>
                <w:rFonts w:eastAsia="Calibri"/>
                <w:i/>
                <w:iCs/>
                <w:sz w:val="22"/>
              </w:rPr>
            </w:pPr>
          </w:p>
          <w:p w14:paraId="27D419DA" w14:textId="77777777" w:rsidR="008E64D2" w:rsidRDefault="008E64D2" w:rsidP="002127DC">
            <w:pPr>
              <w:pStyle w:val="TableText"/>
              <w:rPr>
                <w:rFonts w:eastAsia="Calibri"/>
                <w:i/>
                <w:iCs/>
                <w:sz w:val="22"/>
              </w:rPr>
            </w:pPr>
          </w:p>
          <w:p w14:paraId="3C7DBD88" w14:textId="77777777" w:rsidR="008E64D2" w:rsidRDefault="008E64D2" w:rsidP="002127DC">
            <w:pPr>
              <w:pStyle w:val="TableText"/>
              <w:rPr>
                <w:rFonts w:eastAsia="Calibri"/>
                <w:i/>
                <w:iCs/>
                <w:sz w:val="22"/>
              </w:rPr>
            </w:pPr>
          </w:p>
          <w:p w14:paraId="3B8352AE" w14:textId="77777777" w:rsidR="008E64D2" w:rsidRDefault="008E64D2" w:rsidP="002127DC">
            <w:pPr>
              <w:pStyle w:val="TableText"/>
              <w:rPr>
                <w:rFonts w:eastAsia="Calibri"/>
                <w:i/>
                <w:iCs/>
                <w:sz w:val="22"/>
              </w:rPr>
            </w:pPr>
          </w:p>
          <w:p w14:paraId="19AD4EEB" w14:textId="77777777" w:rsidR="008E64D2" w:rsidRDefault="008E64D2" w:rsidP="002127DC">
            <w:pPr>
              <w:pStyle w:val="TableText"/>
              <w:rPr>
                <w:rFonts w:eastAsia="Calibri"/>
                <w:i/>
                <w:iCs/>
                <w:sz w:val="22"/>
              </w:rPr>
            </w:pPr>
          </w:p>
          <w:p w14:paraId="65475E85" w14:textId="77777777" w:rsidR="008E64D2" w:rsidRDefault="008E64D2" w:rsidP="002127DC">
            <w:pPr>
              <w:pStyle w:val="TableText"/>
              <w:rPr>
                <w:rFonts w:eastAsia="Calibri"/>
                <w:i/>
                <w:iCs/>
                <w:sz w:val="22"/>
              </w:rPr>
            </w:pPr>
          </w:p>
          <w:p w14:paraId="73CBE2E0" w14:textId="28B93C34" w:rsidR="008E64D2" w:rsidRPr="00F944CF" w:rsidRDefault="008E64D2" w:rsidP="002127DC">
            <w:pPr>
              <w:pStyle w:val="TableText"/>
              <w:rPr>
                <w:rFonts w:eastAsia="Calibri"/>
                <w:i/>
                <w:iCs/>
                <w:sz w:val="22"/>
              </w:rPr>
            </w:pPr>
          </w:p>
        </w:tc>
      </w:tr>
      <w:tr w:rsidR="00380585" w:rsidRPr="0069218C" w14:paraId="6D1801A4" w14:textId="77777777" w:rsidTr="00BB4EA2">
        <w:trPr>
          <w:trHeight w:val="253"/>
        </w:trPr>
        <w:tc>
          <w:tcPr>
            <w:tcW w:w="2093" w:type="dxa"/>
            <w:shd w:val="clear" w:color="auto" w:fill="auto"/>
          </w:tcPr>
          <w:p w14:paraId="0E1374F5" w14:textId="77777777" w:rsidR="00380585" w:rsidRPr="004839AD" w:rsidRDefault="00380585" w:rsidP="002127DC">
            <w:pPr>
              <w:pStyle w:val="TableText"/>
              <w:rPr>
                <w:rFonts w:eastAsia="Calibri"/>
                <w:i/>
                <w:iCs/>
                <w:sz w:val="22"/>
              </w:rPr>
            </w:pPr>
            <w:r w:rsidRPr="004839AD">
              <w:rPr>
                <w:rFonts w:eastAsia="Calibri"/>
                <w:i/>
                <w:iCs/>
                <w:sz w:val="22"/>
              </w:rPr>
              <w:t>Regulators</w:t>
            </w:r>
          </w:p>
          <w:p w14:paraId="715A3757" w14:textId="0E8C53B2" w:rsidR="00332FB2" w:rsidRPr="0069218C" w:rsidRDefault="00332FB2" w:rsidP="002127DC">
            <w:pPr>
              <w:pStyle w:val="TableText"/>
              <w:rPr>
                <w:rFonts w:eastAsia="Calibri"/>
                <w:sz w:val="22"/>
              </w:rPr>
            </w:pPr>
            <w:r>
              <w:rPr>
                <w:rFonts w:eastAsia="Calibri"/>
                <w:sz w:val="22"/>
              </w:rPr>
              <w:t>Inland Revenue</w:t>
            </w:r>
          </w:p>
        </w:tc>
        <w:tc>
          <w:tcPr>
            <w:tcW w:w="4394" w:type="dxa"/>
            <w:shd w:val="clear" w:color="auto" w:fill="auto"/>
          </w:tcPr>
          <w:p w14:paraId="2D09FD04" w14:textId="35B3BD4A" w:rsidR="00380585" w:rsidRPr="0069218C" w:rsidRDefault="00514CF4" w:rsidP="002127DC">
            <w:pPr>
              <w:pStyle w:val="TableText"/>
              <w:rPr>
                <w:rFonts w:eastAsia="Calibri"/>
                <w:sz w:val="22"/>
              </w:rPr>
            </w:pPr>
            <w:r>
              <w:rPr>
                <w:rFonts w:eastAsia="Calibri"/>
                <w:sz w:val="22"/>
              </w:rPr>
              <w:t>N/A</w:t>
            </w:r>
          </w:p>
        </w:tc>
        <w:tc>
          <w:tcPr>
            <w:tcW w:w="2585" w:type="dxa"/>
            <w:shd w:val="clear" w:color="auto" w:fill="auto"/>
          </w:tcPr>
          <w:p w14:paraId="733C5865" w14:textId="429F7E99" w:rsidR="00380585" w:rsidRPr="0069218C" w:rsidRDefault="00514CF4" w:rsidP="002127DC">
            <w:pPr>
              <w:pStyle w:val="TableText"/>
              <w:rPr>
                <w:rFonts w:eastAsia="Calibri"/>
                <w:sz w:val="22"/>
              </w:rPr>
            </w:pPr>
            <w:r>
              <w:rPr>
                <w:rFonts w:eastAsia="Calibri"/>
                <w:sz w:val="22"/>
              </w:rPr>
              <w:t>N/A</w:t>
            </w:r>
          </w:p>
        </w:tc>
      </w:tr>
      <w:tr w:rsidR="00380585" w:rsidRPr="0069218C" w14:paraId="6617ED99" w14:textId="77777777" w:rsidTr="00BB4EA2">
        <w:trPr>
          <w:trHeight w:val="253"/>
        </w:trPr>
        <w:tc>
          <w:tcPr>
            <w:tcW w:w="2093" w:type="dxa"/>
            <w:shd w:val="clear" w:color="auto" w:fill="auto"/>
          </w:tcPr>
          <w:p w14:paraId="4D03E098" w14:textId="77777777" w:rsidR="00380585" w:rsidRPr="0069218C" w:rsidRDefault="00380585" w:rsidP="002127DC">
            <w:pPr>
              <w:pStyle w:val="TableText"/>
              <w:rPr>
                <w:rFonts w:eastAsia="Calibri"/>
                <w:sz w:val="22"/>
              </w:rPr>
            </w:pPr>
            <w:r w:rsidRPr="0069218C">
              <w:rPr>
                <w:rFonts w:eastAsia="Calibri"/>
                <w:sz w:val="22"/>
              </w:rPr>
              <w:t>Wider government</w:t>
            </w:r>
          </w:p>
        </w:tc>
        <w:tc>
          <w:tcPr>
            <w:tcW w:w="4394" w:type="dxa"/>
            <w:shd w:val="clear" w:color="auto" w:fill="auto"/>
          </w:tcPr>
          <w:p w14:paraId="28CC1657" w14:textId="499912C3" w:rsidR="00380585" w:rsidRPr="0069218C" w:rsidRDefault="00514CF4" w:rsidP="002127DC">
            <w:pPr>
              <w:pStyle w:val="TableText"/>
              <w:rPr>
                <w:rFonts w:eastAsia="Calibri"/>
                <w:sz w:val="22"/>
              </w:rPr>
            </w:pPr>
            <w:r>
              <w:rPr>
                <w:rFonts w:eastAsia="Calibri"/>
                <w:sz w:val="22"/>
              </w:rPr>
              <w:t>N/A</w:t>
            </w:r>
          </w:p>
        </w:tc>
        <w:tc>
          <w:tcPr>
            <w:tcW w:w="2585" w:type="dxa"/>
            <w:shd w:val="clear" w:color="auto" w:fill="auto"/>
          </w:tcPr>
          <w:p w14:paraId="3881C965" w14:textId="5E9328B3" w:rsidR="00380585" w:rsidRPr="0069218C" w:rsidRDefault="00514CF4" w:rsidP="002127DC">
            <w:pPr>
              <w:pStyle w:val="TableText"/>
              <w:rPr>
                <w:rFonts w:eastAsia="Calibri"/>
                <w:sz w:val="22"/>
              </w:rPr>
            </w:pPr>
            <w:r>
              <w:rPr>
                <w:rFonts w:eastAsia="Calibri"/>
                <w:sz w:val="22"/>
              </w:rPr>
              <w:t>N/A</w:t>
            </w:r>
          </w:p>
        </w:tc>
      </w:tr>
      <w:tr w:rsidR="00380585" w:rsidRPr="0069218C" w14:paraId="746B7EB9" w14:textId="77777777" w:rsidTr="00BB4EA2">
        <w:trPr>
          <w:trHeight w:val="253"/>
        </w:trPr>
        <w:tc>
          <w:tcPr>
            <w:tcW w:w="2093" w:type="dxa"/>
            <w:shd w:val="clear" w:color="auto" w:fill="auto"/>
          </w:tcPr>
          <w:p w14:paraId="3F02F27B" w14:textId="77777777" w:rsidR="00380585" w:rsidRPr="0069218C" w:rsidRDefault="00380585" w:rsidP="002127DC">
            <w:pPr>
              <w:pStyle w:val="TableText"/>
              <w:rPr>
                <w:rFonts w:eastAsia="Calibri"/>
                <w:sz w:val="22"/>
              </w:rPr>
            </w:pPr>
            <w:r w:rsidRPr="0069218C">
              <w:rPr>
                <w:rFonts w:eastAsia="Calibri"/>
                <w:sz w:val="22"/>
              </w:rPr>
              <w:t xml:space="preserve">Other parties </w:t>
            </w:r>
          </w:p>
        </w:tc>
        <w:tc>
          <w:tcPr>
            <w:tcW w:w="4394" w:type="dxa"/>
            <w:shd w:val="clear" w:color="auto" w:fill="auto"/>
          </w:tcPr>
          <w:p w14:paraId="6F1D21BC" w14:textId="33ACAD9D" w:rsidR="00380585" w:rsidRPr="0069218C" w:rsidRDefault="00514CF4" w:rsidP="002127DC">
            <w:pPr>
              <w:pStyle w:val="TableText"/>
              <w:rPr>
                <w:rFonts w:eastAsia="Calibri"/>
                <w:sz w:val="22"/>
              </w:rPr>
            </w:pPr>
            <w:r>
              <w:rPr>
                <w:rFonts w:eastAsia="Calibri"/>
                <w:sz w:val="22"/>
              </w:rPr>
              <w:t>N/A</w:t>
            </w:r>
          </w:p>
        </w:tc>
        <w:tc>
          <w:tcPr>
            <w:tcW w:w="2585" w:type="dxa"/>
            <w:shd w:val="clear" w:color="auto" w:fill="auto"/>
          </w:tcPr>
          <w:p w14:paraId="4BA42D52" w14:textId="5A02DE76" w:rsidR="00380585" w:rsidRPr="0069218C" w:rsidRDefault="00514CF4" w:rsidP="002127DC">
            <w:pPr>
              <w:pStyle w:val="TableText"/>
              <w:rPr>
                <w:rFonts w:eastAsia="Calibri"/>
                <w:sz w:val="22"/>
              </w:rPr>
            </w:pPr>
            <w:r>
              <w:rPr>
                <w:rFonts w:eastAsia="Calibri"/>
                <w:sz w:val="22"/>
              </w:rPr>
              <w:t>N/A</w:t>
            </w:r>
          </w:p>
        </w:tc>
      </w:tr>
      <w:tr w:rsidR="00380585" w:rsidRPr="0069218C" w14:paraId="7DFE3740" w14:textId="77777777" w:rsidTr="00BB4EA2">
        <w:trPr>
          <w:trHeight w:val="253"/>
        </w:trPr>
        <w:tc>
          <w:tcPr>
            <w:tcW w:w="2093" w:type="dxa"/>
            <w:shd w:val="clear" w:color="auto" w:fill="auto"/>
          </w:tcPr>
          <w:p w14:paraId="5AE97A8A" w14:textId="77777777" w:rsidR="00380585" w:rsidRPr="0069218C" w:rsidRDefault="00380585" w:rsidP="002127DC">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477CE43B" w:rsidR="00380585" w:rsidRPr="0069218C" w:rsidRDefault="00380585" w:rsidP="002127DC">
            <w:pPr>
              <w:pStyle w:val="TableText"/>
              <w:rPr>
                <w:rFonts w:eastAsia="Calibri"/>
                <w:sz w:val="22"/>
              </w:rPr>
            </w:pPr>
          </w:p>
        </w:tc>
        <w:tc>
          <w:tcPr>
            <w:tcW w:w="2585" w:type="dxa"/>
            <w:shd w:val="clear" w:color="auto" w:fill="auto"/>
          </w:tcPr>
          <w:p w14:paraId="36B5F82A" w14:textId="69190563" w:rsidR="00380585" w:rsidRPr="0069218C" w:rsidRDefault="00514CF4" w:rsidP="002127DC">
            <w:pPr>
              <w:pStyle w:val="TableText"/>
              <w:rPr>
                <w:rFonts w:eastAsia="Calibri"/>
                <w:sz w:val="22"/>
              </w:rPr>
            </w:pPr>
            <w:r>
              <w:rPr>
                <w:rFonts w:eastAsia="Calibri"/>
                <w:sz w:val="22"/>
              </w:rPr>
              <w:t xml:space="preserve">Up to </w:t>
            </w:r>
            <w:r w:rsidR="00332FB2">
              <w:rPr>
                <w:rFonts w:eastAsia="Calibri"/>
                <w:sz w:val="22"/>
              </w:rPr>
              <w:t xml:space="preserve">$60 million </w:t>
            </w:r>
            <w:r w:rsidR="0012424D">
              <w:rPr>
                <w:rFonts w:eastAsia="Calibri"/>
                <w:sz w:val="22"/>
              </w:rPr>
              <w:t>a year</w:t>
            </w:r>
          </w:p>
        </w:tc>
      </w:tr>
      <w:tr w:rsidR="00380585" w:rsidRPr="0069218C" w14:paraId="4A17A07A" w14:textId="77777777" w:rsidTr="00BB4EA2">
        <w:trPr>
          <w:trHeight w:val="253"/>
        </w:trPr>
        <w:tc>
          <w:tcPr>
            <w:tcW w:w="2093" w:type="dxa"/>
            <w:shd w:val="clear" w:color="auto" w:fill="auto"/>
          </w:tcPr>
          <w:p w14:paraId="1C9A83D8" w14:textId="77777777" w:rsidR="00380585" w:rsidRPr="0069218C" w:rsidRDefault="00380585" w:rsidP="002127DC">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7D6E4B42" w:rsidR="00380585" w:rsidRPr="0069218C" w:rsidRDefault="00380585" w:rsidP="002127DC">
            <w:pPr>
              <w:pStyle w:val="TableText"/>
              <w:rPr>
                <w:rFonts w:eastAsia="Calibri"/>
                <w:sz w:val="22"/>
              </w:rPr>
            </w:pPr>
          </w:p>
        </w:tc>
        <w:tc>
          <w:tcPr>
            <w:tcW w:w="2585" w:type="dxa"/>
            <w:shd w:val="clear" w:color="auto" w:fill="auto"/>
          </w:tcPr>
          <w:p w14:paraId="723A8545" w14:textId="6CEFD6BF" w:rsidR="00380585" w:rsidRPr="00E62373" w:rsidRDefault="00332FB2" w:rsidP="002127DC">
            <w:pPr>
              <w:pStyle w:val="TableText"/>
              <w:rPr>
                <w:rFonts w:eastAsia="Calibri"/>
                <w:i/>
                <w:sz w:val="22"/>
              </w:rPr>
            </w:pPr>
            <w:r>
              <w:rPr>
                <w:rFonts w:eastAsia="Calibri"/>
                <w:i/>
                <w:sz w:val="22"/>
              </w:rPr>
              <w:t>Medium</w:t>
            </w:r>
          </w:p>
        </w:tc>
      </w:tr>
    </w:tbl>
    <w:p w14:paraId="1185774B" w14:textId="2F2DEA83" w:rsidR="00C77099" w:rsidRPr="00886DFF" w:rsidRDefault="00C77099" w:rsidP="005744B1">
      <w:pPr>
        <w:rPr>
          <w:rFonts w:cs="Arial"/>
          <w:i/>
          <w:color w:val="000000"/>
          <w:szCs w:val="22"/>
          <w:lang w:eastAsia="en-AU"/>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C77099" w:rsidRPr="0069218C" w14:paraId="176D43DC" w14:textId="77777777" w:rsidTr="00BB4EA2">
        <w:trPr>
          <w:trHeight w:val="77"/>
        </w:trPr>
        <w:tc>
          <w:tcPr>
            <w:tcW w:w="5000" w:type="pct"/>
            <w:shd w:val="clear" w:color="auto" w:fill="99CDDD"/>
            <w:hideMark/>
          </w:tcPr>
          <w:p w14:paraId="483E41C0"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280871FA" w14:textId="77777777" w:rsidTr="00BB4EA2">
        <w:trPr>
          <w:trHeight w:val="2811"/>
        </w:trPr>
        <w:tc>
          <w:tcPr>
            <w:tcW w:w="5000" w:type="pct"/>
            <w:shd w:val="clear" w:color="auto" w:fill="auto"/>
          </w:tcPr>
          <w:p w14:paraId="3A5D4AB9" w14:textId="41878931" w:rsidR="000535CE" w:rsidRPr="0069218C" w:rsidRDefault="00C15B3C" w:rsidP="0069218C">
            <w:pPr>
              <w:spacing w:after="0" w:line="276" w:lineRule="auto"/>
              <w:jc w:val="both"/>
              <w:rPr>
                <w:rFonts w:cs="Arial"/>
                <w:szCs w:val="22"/>
              </w:rPr>
            </w:pPr>
            <w:r>
              <w:rPr>
                <w:rFonts w:cs="Arial"/>
                <w:szCs w:val="22"/>
              </w:rPr>
              <w:t>The proposal impacts a</w:t>
            </w:r>
            <w:r w:rsidR="009014B6">
              <w:rPr>
                <w:rFonts w:cs="Arial"/>
                <w:szCs w:val="22"/>
              </w:rPr>
              <w:t>ll corporate taxpayers. However, it only has relevance for company lifetime events that are irregular major transactions and</w:t>
            </w:r>
            <w:r>
              <w:rPr>
                <w:rFonts w:cs="Arial"/>
                <w:szCs w:val="22"/>
              </w:rPr>
              <w:t xml:space="preserve"> does not have wider implications for companies that are not changing ownership</w:t>
            </w:r>
            <w:r w:rsidR="00A07347">
              <w:rPr>
                <w:rFonts w:cs="Arial"/>
                <w:szCs w:val="22"/>
              </w:rPr>
              <w:t>. It does not</w:t>
            </w:r>
            <w:r>
              <w:rPr>
                <w:rFonts w:cs="Arial"/>
                <w:szCs w:val="22"/>
              </w:rPr>
              <w:t xml:space="preserve"> </w:t>
            </w:r>
            <w:r w:rsidR="00A07347">
              <w:rPr>
                <w:rFonts w:cs="Arial"/>
                <w:szCs w:val="22"/>
              </w:rPr>
              <w:t>impact</w:t>
            </w:r>
            <w:r>
              <w:rPr>
                <w:rFonts w:cs="Arial"/>
                <w:szCs w:val="22"/>
              </w:rPr>
              <w:t xml:space="preserve"> </w:t>
            </w:r>
            <w:r w:rsidR="006D3FD2">
              <w:rPr>
                <w:rFonts w:cs="Arial"/>
                <w:szCs w:val="22"/>
              </w:rPr>
              <w:t>individuals</w:t>
            </w:r>
            <w:r w:rsidR="00460BD0">
              <w:rPr>
                <w:rFonts w:cs="Arial"/>
                <w:szCs w:val="22"/>
              </w:rPr>
              <w:t xml:space="preserve"> </w:t>
            </w:r>
            <w:r w:rsidR="00E92D87">
              <w:rPr>
                <w:rFonts w:cs="Arial"/>
                <w:szCs w:val="22"/>
              </w:rPr>
              <w:t>or trusts</w:t>
            </w:r>
            <w:r w:rsidR="00460BD0">
              <w:rPr>
                <w:rFonts w:cs="Arial"/>
                <w:szCs w:val="22"/>
              </w:rPr>
              <w:t xml:space="preserve"> as continuity rules do not apply to them.</w:t>
            </w:r>
          </w:p>
        </w:tc>
      </w:tr>
    </w:tbl>
    <w:p w14:paraId="67094455" w14:textId="0F8A7531" w:rsidR="00B15F56" w:rsidRDefault="00B15F56" w:rsidP="00B15F56">
      <w:pPr>
        <w:spacing w:after="0"/>
        <w:rPr>
          <w:rFonts w:cs="Arial"/>
          <w:i/>
          <w:color w:val="000000"/>
          <w:szCs w:val="22"/>
          <w:lang w:eastAsia="en-AU"/>
        </w:rPr>
      </w:pPr>
    </w:p>
    <w:p w14:paraId="4DBE84DC" w14:textId="20FBBE45" w:rsidR="00A46FF2" w:rsidRDefault="00A46FF2" w:rsidP="00B15F56">
      <w:pPr>
        <w:spacing w:after="0"/>
        <w:rPr>
          <w:rFonts w:cs="Arial"/>
          <w:i/>
          <w:color w:val="000000"/>
          <w:szCs w:val="22"/>
          <w:lang w:eastAsia="en-AU"/>
        </w:rPr>
      </w:pPr>
    </w:p>
    <w:p w14:paraId="74BF2871" w14:textId="647F6CE9" w:rsidR="00A46FF2" w:rsidRDefault="00A46FF2" w:rsidP="00B15F56">
      <w:pPr>
        <w:spacing w:after="0"/>
        <w:rPr>
          <w:rFonts w:cs="Arial"/>
          <w:i/>
          <w:color w:val="000000"/>
          <w:szCs w:val="22"/>
          <w:lang w:eastAsia="en-AU"/>
        </w:rPr>
      </w:pPr>
    </w:p>
    <w:p w14:paraId="07821C36" w14:textId="77777777" w:rsidR="00A46FF2" w:rsidRPr="00886DFF" w:rsidRDefault="00A46FF2" w:rsidP="00B15F56">
      <w:pPr>
        <w:spacing w:after="0"/>
        <w:rPr>
          <w:rFonts w:cs="Arial"/>
          <w:i/>
          <w:color w:val="000000"/>
          <w:szCs w:val="22"/>
          <w:lang w:eastAsia="en-AU"/>
        </w:rPr>
      </w:pPr>
    </w:p>
    <w:p w14:paraId="698F59C7" w14:textId="31375EB7" w:rsidR="00051A88" w:rsidRDefault="00051A88" w:rsidP="001B4792">
      <w:pPr>
        <w:pStyle w:val="Heading2"/>
      </w:pPr>
      <w:r w:rsidRPr="002D5734">
        <w:lastRenderedPageBreak/>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BB4EA2">
        <w:trPr>
          <w:trHeight w:val="5298"/>
        </w:trPr>
        <w:tc>
          <w:tcPr>
            <w:tcW w:w="5000" w:type="pct"/>
            <w:shd w:val="clear" w:color="auto" w:fill="auto"/>
          </w:tcPr>
          <w:p w14:paraId="16D49226" w14:textId="7F0CB58A" w:rsidR="009014B6" w:rsidRDefault="009014B6" w:rsidP="00E6054D">
            <w:pPr>
              <w:rPr>
                <w:iCs/>
              </w:rPr>
            </w:pPr>
            <w:r w:rsidRPr="004D0BFA">
              <w:rPr>
                <w:iCs/>
              </w:rPr>
              <w:t>Stakeholders have long been advocating for change in this area</w:t>
            </w:r>
            <w:r>
              <w:rPr>
                <w:iCs/>
              </w:rPr>
              <w:t xml:space="preserve"> with submissions on the problem being made to the Tax Working Group and to Ministers directly. </w:t>
            </w:r>
            <w:r w:rsidR="0024078E">
              <w:rPr>
                <w:iCs/>
              </w:rPr>
              <w:t xml:space="preserve">In September 2019 </w:t>
            </w:r>
            <w:r w:rsidR="00B4308C">
              <w:rPr>
                <w:iCs/>
              </w:rPr>
              <w:t xml:space="preserve">the Government announced it would consult on options to loosen the loss continuity rules. Following this, officials engaged with a range of stakeholders as part of an early engagement process ahead of planned formal consultation. This consultation sought preliminary views on the options that should be considered and what the advantages and disadvantages of each might be. </w:t>
            </w:r>
            <w:r w:rsidR="00032B95">
              <w:rPr>
                <w:iCs/>
              </w:rPr>
              <w:t xml:space="preserve">During this process most stakeholders expressed a preference for a business continuity test. </w:t>
            </w:r>
          </w:p>
          <w:p w14:paraId="2996C9FB" w14:textId="65EDCFBB" w:rsidR="00C129D4" w:rsidRDefault="0085140A" w:rsidP="00E6054D">
            <w:r>
              <w:t>However, i</w:t>
            </w:r>
            <w:r w:rsidR="00C15B3C">
              <w:t>n order to progress a solution along a quicker timeline</w:t>
            </w:r>
            <w:r>
              <w:t xml:space="preserve"> in response to COVID-19</w:t>
            </w:r>
            <w:r w:rsidR="00C15B3C">
              <w:t xml:space="preserve">, the Government agreed that targeted consultation </w:t>
            </w:r>
            <w:r>
              <w:t>on only the business continuity test should be carried out with key stakeholder groups.</w:t>
            </w:r>
            <w:r w:rsidR="007A2F85">
              <w:t xml:space="preserve"> </w:t>
            </w:r>
            <w:r w:rsidR="00C129D4">
              <w:t xml:space="preserve">The specific stakeholders consulted were the Corporate Taxpayers Group, Chartered Accountants Australia </w:t>
            </w:r>
            <w:r w:rsidR="003A1B76">
              <w:t xml:space="preserve">and </w:t>
            </w:r>
            <w:r w:rsidR="00C129D4">
              <w:t>New Zealand and</w:t>
            </w:r>
            <w:r w:rsidR="00E15282">
              <w:t xml:space="preserve"> members of</w:t>
            </w:r>
            <w:r w:rsidR="00C129D4">
              <w:t xml:space="preserve"> the New Zealand La</w:t>
            </w:r>
            <w:r w:rsidR="00A9230F">
              <w:t xml:space="preserve">w Society Tax Law Committee. </w:t>
            </w:r>
            <w:r w:rsidR="001A2A53">
              <w:t xml:space="preserve">A small group of stakeholders from both smaller and larger advisory firms was also set up for consultation. These stakeholder groups were chosen as they </w:t>
            </w:r>
            <w:r w:rsidR="00016188">
              <w:t>are representative of those who will use the test and advise on it.</w:t>
            </w:r>
          </w:p>
          <w:p w14:paraId="2707418A" w14:textId="611D6608" w:rsidR="00DA064A" w:rsidRDefault="00C15B3C" w:rsidP="00E6054D">
            <w:r>
              <w:t xml:space="preserve">Stakeholders </w:t>
            </w:r>
            <w:proofErr w:type="gramStart"/>
            <w:r>
              <w:t>are in agreement</w:t>
            </w:r>
            <w:proofErr w:type="gramEnd"/>
            <w:r>
              <w:t xml:space="preserve"> with the problem and the proposed approach to resolving it. The feedback has been that they are pleased to see a </w:t>
            </w:r>
            <w:r w:rsidR="007D5703">
              <w:t>solution</w:t>
            </w:r>
            <w:r>
              <w:t xml:space="preserve"> to the problem developed that is closely related to the problem definition. </w:t>
            </w:r>
            <w:r w:rsidR="00C6605A">
              <w:t>A</w:t>
            </w:r>
            <w:r w:rsidR="00BD537F">
              <w:t xml:space="preserve">daptation of the Australian test to work in a New Zealand context has been done in conjunction with the stakeholder groups. </w:t>
            </w:r>
          </w:p>
          <w:p w14:paraId="73BB4909" w14:textId="72EDC764" w:rsidR="00DA064A" w:rsidRDefault="00BD6D1C" w:rsidP="00E6054D">
            <w:r>
              <w:t xml:space="preserve">In particular, the Australian test has </w:t>
            </w:r>
            <w:r w:rsidR="004A6227">
              <w:t>been modified in re</w:t>
            </w:r>
            <w:r w:rsidR="00290651">
              <w:t>s</w:t>
            </w:r>
            <w:r w:rsidR="004A6227">
              <w:t>ponse to stakeholder feedback in order to focus on inputs a company uses in its business rather than outputs</w:t>
            </w:r>
            <w:r w:rsidR="00E12953">
              <w:t>. Focusing on what resources a company uses to generate income better focuses on what the underlying business is</w:t>
            </w:r>
            <w:r w:rsidR="00A73DD6">
              <w:t>. Focusing on products does not recognise that companies often seek out new applications for thei</w:t>
            </w:r>
            <w:r w:rsidR="00E01450">
              <w:t>r intellectual property or asset base</w:t>
            </w:r>
            <w:r w:rsidR="00E43515">
              <w:t xml:space="preserve"> and that this suggests evolution not loss trading</w:t>
            </w:r>
            <w:r w:rsidR="00A73DD6">
              <w:t>.</w:t>
            </w:r>
            <w:r w:rsidR="004A6227">
              <w:t xml:space="preserve"> </w:t>
            </w:r>
          </w:p>
          <w:p w14:paraId="6284FB9D" w14:textId="3854109A" w:rsidR="008A0C02" w:rsidRDefault="004A6227" w:rsidP="00E6054D">
            <w:r>
              <w:t>The test has also been made more permissive by incorporating the approach taken by the United Kingdom to a business continuity test</w:t>
            </w:r>
            <w:r w:rsidR="008A0C02">
              <w:t xml:space="preserve">. This is a modification from the test requiring a company to demonstrate it remains the same/similar to carry the losses forward </w:t>
            </w:r>
            <w:r w:rsidR="00E01450">
              <w:t xml:space="preserve">(Australian approach) </w:t>
            </w:r>
            <w:r w:rsidR="008A0C02">
              <w:t xml:space="preserve">to assuming the company can carry losses forward unless it has a major change in its assets or activities. </w:t>
            </w:r>
            <w:r w:rsidR="00C40B44">
              <w:t xml:space="preserve">This approach focuses on </w:t>
            </w:r>
            <w:r w:rsidR="0056493D">
              <w:t xml:space="preserve">ownership </w:t>
            </w:r>
            <w:r w:rsidR="00C40B44">
              <w:t xml:space="preserve">changes </w:t>
            </w:r>
            <w:r w:rsidR="00763A8C">
              <w:t>where</w:t>
            </w:r>
            <w:r w:rsidR="00C40B44">
              <w:t xml:space="preserve"> the underlying business is continued, rather than requiring an assessment of how static the business of a company is. </w:t>
            </w:r>
          </w:p>
          <w:p w14:paraId="53FB4632" w14:textId="401BC503" w:rsidR="00F132B2" w:rsidRPr="00120E03" w:rsidRDefault="007805E4" w:rsidP="00120E03">
            <w:r>
              <w:t>The</w:t>
            </w:r>
            <w:r w:rsidR="00B01849">
              <w:t xml:space="preserve"> key concern remaining for stakeholders</w:t>
            </w:r>
            <w:r>
              <w:t xml:space="preserve"> is that the test may still prevent some companies from carrying losses forward for which there is no reason to exclude. </w:t>
            </w:r>
            <w:r w:rsidR="00B64BCA">
              <w:t xml:space="preserve">This is because the </w:t>
            </w:r>
            <w:r w:rsidR="00E94773">
              <w:t xml:space="preserve">business continuity test </w:t>
            </w:r>
            <w:r w:rsidR="00F55468">
              <w:t>has boundaries</w:t>
            </w:r>
            <w:r w:rsidR="008021D1">
              <w:t xml:space="preserve"> to ensure that changes that are too significant will not pass. Without these boundaries loss trading opportunities could arise but </w:t>
            </w:r>
            <w:r w:rsidR="00B553C9">
              <w:t xml:space="preserve">they do create a limitation for genuine commercial changes to the business that sit outside of what the test permits. </w:t>
            </w:r>
            <w:r>
              <w:t xml:space="preserve">However, </w:t>
            </w:r>
            <w:r w:rsidR="00B553C9">
              <w:t xml:space="preserve">stakeholders </w:t>
            </w:r>
            <w:r>
              <w:t xml:space="preserve">generally agree that these should only be at the margin and that </w:t>
            </w:r>
            <w:r w:rsidR="0054064E">
              <w:t>the rules can be reviewed following implementation to see how they are working</w:t>
            </w:r>
            <w:r w:rsidR="00D348C7">
              <w:t xml:space="preserve"> in practice. </w:t>
            </w:r>
          </w:p>
        </w:tc>
      </w:tr>
    </w:tbl>
    <w:p w14:paraId="240E5F50" w14:textId="508C638A" w:rsidR="00EE4E3B" w:rsidRPr="008A6442" w:rsidRDefault="00D9793F" w:rsidP="001B4792">
      <w:pPr>
        <w:pStyle w:val="Heading2"/>
      </w:pPr>
      <w:r w:rsidRPr="0069218C">
        <w:rPr>
          <w:lang w:val="en-NZ"/>
        </w:rPr>
        <w:br w:type="page"/>
      </w:r>
      <w:r w:rsidR="00EE4E3B" w:rsidRPr="002D5734">
        <w:lastRenderedPageBreak/>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855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8552"/>
      </w:tblGrid>
      <w:tr w:rsidR="002D5734" w:rsidRPr="0069218C" w14:paraId="6BF52C29" w14:textId="77777777" w:rsidTr="00DA01C2">
        <w:trPr>
          <w:trHeight w:val="163"/>
        </w:trPr>
        <w:tc>
          <w:tcPr>
            <w:tcW w:w="855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DA01C2">
        <w:trPr>
          <w:trHeight w:val="7758"/>
        </w:trPr>
        <w:tc>
          <w:tcPr>
            <w:tcW w:w="8552" w:type="dxa"/>
            <w:shd w:val="clear" w:color="auto" w:fill="auto"/>
          </w:tcPr>
          <w:p w14:paraId="4352150F" w14:textId="77777777" w:rsidR="00B85900" w:rsidRDefault="00B85900" w:rsidP="00E6054D">
            <w:r w:rsidRPr="00B85900">
              <w:t xml:space="preserve">The new rules will be legislated via the </w:t>
            </w:r>
            <w:r w:rsidRPr="00B85900">
              <w:rPr>
                <w:i/>
                <w:iCs/>
              </w:rPr>
              <w:t>Taxation (Annual Rates 2020-21, Feasibility Expenditure, and Remedial Matters) Bill</w:t>
            </w:r>
            <w:r w:rsidRPr="00B85900">
              <w:t xml:space="preserve">, and will apply to </w:t>
            </w:r>
            <w:r>
              <w:t xml:space="preserve">changes in ownership which breach the 49% threshold that occur in the 2020-21 or later income years. </w:t>
            </w:r>
          </w:p>
          <w:p w14:paraId="41E954AD" w14:textId="52F27A42" w:rsidR="002F154A" w:rsidRPr="00837612" w:rsidRDefault="00B85900" w:rsidP="00837612">
            <w:r w:rsidRPr="00B85900">
              <w:t xml:space="preserve">In conjunction with the enactment of the legislation, Inland Revenue will publish guidance on the new rules so that taxpayers and advisors are aware of them and have time to prepare. </w:t>
            </w:r>
            <w:r w:rsidR="00DF3C6F">
              <w:t>This guidance would also provide taxpayers something to rely on to interpret how the rules apply to the</w:t>
            </w:r>
            <w:r w:rsidR="00333257">
              <w:t xml:space="preserve">m. </w:t>
            </w:r>
            <w:r>
              <w:t xml:space="preserve">The current rules for loss carry forward require a taxpayer to self-assess their </w:t>
            </w:r>
            <w:r w:rsidR="00932E3F">
              <w:t>eligibility</w:t>
            </w:r>
            <w:r>
              <w:t>. The new business continuity</w:t>
            </w:r>
            <w:r w:rsidR="00291D05">
              <w:t xml:space="preserve"> test</w:t>
            </w:r>
            <w:r>
              <w:t xml:space="preserve"> operates in the same self-</w:t>
            </w:r>
            <w:r w:rsidR="00837612">
              <w:t xml:space="preserve">assessment model so a long lead-in period is not necessary. </w:t>
            </w:r>
            <w:r w:rsidR="00932E3F">
              <w:t>T</w:t>
            </w:r>
            <w:r w:rsidR="00837612">
              <w:t>axpayer</w:t>
            </w:r>
            <w:r w:rsidR="00B90EED">
              <w:t>s</w:t>
            </w:r>
            <w:r w:rsidR="00932E3F">
              <w:t xml:space="preserve"> are already</w:t>
            </w:r>
            <w:r w:rsidR="00837612">
              <w:t xml:space="preserve"> required to maintain records to support </w:t>
            </w:r>
            <w:r w:rsidR="00932E3F">
              <w:t>a</w:t>
            </w:r>
            <w:r w:rsidR="00837612">
              <w:t xml:space="preserve"> tax position taken</w:t>
            </w:r>
            <w:r w:rsidR="00932E3F">
              <w:t xml:space="preserve"> </w:t>
            </w:r>
            <w:r w:rsidR="00837612">
              <w:t xml:space="preserve">for at least seven years. </w:t>
            </w:r>
          </w:p>
          <w:p w14:paraId="2CDEC2A7" w14:textId="1BA17F5A" w:rsidR="00837612" w:rsidRDefault="002F154A" w:rsidP="00837612">
            <w:pPr>
              <w:spacing w:after="0" w:line="276" w:lineRule="auto"/>
              <w:jc w:val="both"/>
              <w:rPr>
                <w:rFonts w:cs="Arial"/>
                <w:szCs w:val="22"/>
              </w:rPr>
            </w:pPr>
            <w:r>
              <w:rPr>
                <w:rFonts w:cs="Arial"/>
                <w:szCs w:val="22"/>
              </w:rPr>
              <w:t>Inland Revenue will be responsible for the ongoing operation and enforcement of the</w:t>
            </w:r>
            <w:r w:rsidR="00BA6B4B">
              <w:rPr>
                <w:rFonts w:cs="Arial"/>
                <w:szCs w:val="22"/>
              </w:rPr>
              <w:t xml:space="preserve"> proposal</w:t>
            </w:r>
            <w:r>
              <w:rPr>
                <w:rFonts w:cs="Arial"/>
                <w:szCs w:val="22"/>
              </w:rPr>
              <w:t xml:space="preserve">. No concern has been expressed about </w:t>
            </w:r>
            <w:r w:rsidR="00837612">
              <w:rPr>
                <w:rFonts w:cs="Arial"/>
                <w:szCs w:val="22"/>
              </w:rPr>
              <w:t xml:space="preserve">Inland Revenue’s ability to do so. Inland Revenue already </w:t>
            </w:r>
            <w:r w:rsidR="00EC3E64">
              <w:rPr>
                <w:rFonts w:cs="Arial"/>
                <w:szCs w:val="22"/>
              </w:rPr>
              <w:t xml:space="preserve">carries </w:t>
            </w:r>
            <w:r w:rsidR="00837612">
              <w:rPr>
                <w:rFonts w:cs="Arial"/>
                <w:szCs w:val="22"/>
              </w:rPr>
              <w:t xml:space="preserve">out this function with respect to the existing loss continuity rules. Compliance with the new rules will be monitored through routine </w:t>
            </w:r>
            <w:r w:rsidR="00EC3E64">
              <w:rPr>
                <w:rFonts w:cs="Arial"/>
                <w:szCs w:val="22"/>
              </w:rPr>
              <w:t>compliance activities</w:t>
            </w:r>
            <w:r w:rsidR="00837612">
              <w:rPr>
                <w:rFonts w:cs="Arial"/>
                <w:szCs w:val="22"/>
              </w:rPr>
              <w:t>.</w:t>
            </w:r>
          </w:p>
          <w:p w14:paraId="78DE4DFE" w14:textId="77777777" w:rsidR="00837612" w:rsidRDefault="00837612" w:rsidP="00837612">
            <w:pPr>
              <w:spacing w:after="0" w:line="276" w:lineRule="auto"/>
              <w:jc w:val="both"/>
              <w:rPr>
                <w:rFonts w:cs="Arial"/>
                <w:szCs w:val="22"/>
              </w:rPr>
            </w:pPr>
          </w:p>
          <w:p w14:paraId="21A0B5F6" w14:textId="0FF23D85" w:rsidR="00837612" w:rsidRPr="0069218C" w:rsidRDefault="00837612" w:rsidP="009014B6">
            <w:pPr>
              <w:spacing w:after="0" w:line="276" w:lineRule="auto"/>
              <w:jc w:val="both"/>
              <w:rPr>
                <w:rFonts w:cs="Arial"/>
                <w:szCs w:val="22"/>
              </w:rPr>
            </w:pPr>
          </w:p>
        </w:tc>
      </w:tr>
    </w:tbl>
    <w:p w14:paraId="732C114C" w14:textId="3D4BB04C" w:rsidR="00F132B2" w:rsidRPr="008A6442" w:rsidRDefault="000535CE" w:rsidP="001B4792">
      <w:pPr>
        <w:pStyle w:val="Heading2"/>
      </w:pPr>
      <w:r w:rsidRPr="0069218C">
        <w:br w:type="page"/>
      </w:r>
      <w:r w:rsidR="00F132B2" w:rsidRPr="00B952B7">
        <w:lastRenderedPageBreak/>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4EDA8483" w14:textId="7D7D69C6" w:rsidR="009014B6" w:rsidRDefault="009014B6" w:rsidP="00932E3F">
            <w:pPr>
              <w:spacing w:after="0"/>
              <w:jc w:val="both"/>
            </w:pPr>
            <w:r>
              <w:t>Officials regularly meet with stakeholder groups and can</w:t>
            </w:r>
            <w:r w:rsidR="00120E03">
              <w:t xml:space="preserve"> use these meetings </w:t>
            </w:r>
            <w:r>
              <w:t>to seek feedback on how the rules are working for taxpayers</w:t>
            </w:r>
            <w:r w:rsidR="00113519">
              <w:t xml:space="preserve"> once they are in force</w:t>
            </w:r>
            <w:r>
              <w:t xml:space="preserve">. Feedback from Inland Revenue Customer Compliance Specialists will also be sought in relation to how the rules are working administratively.  </w:t>
            </w:r>
          </w:p>
          <w:p w14:paraId="1177F1A9" w14:textId="77777777" w:rsidR="00932E3F" w:rsidRPr="0069218C" w:rsidRDefault="00932E3F" w:rsidP="00932E3F">
            <w:pPr>
              <w:spacing w:after="0"/>
              <w:jc w:val="both"/>
            </w:pPr>
          </w:p>
          <w:p w14:paraId="7BFD7736" w14:textId="37071832" w:rsidR="00E51037" w:rsidRDefault="007B7034" w:rsidP="00932E3F">
            <w:pPr>
              <w:spacing w:after="0" w:line="276" w:lineRule="auto"/>
              <w:jc w:val="both"/>
              <w:rPr>
                <w:rFonts w:cs="Arial"/>
                <w:szCs w:val="22"/>
              </w:rPr>
            </w:pPr>
            <w:r>
              <w:rPr>
                <w:rFonts w:cs="Arial"/>
                <w:szCs w:val="22"/>
              </w:rPr>
              <w:t xml:space="preserve">Data will be collected on taxpayers that have a change in ownership. </w:t>
            </w:r>
            <w:r w:rsidR="00932E3F">
              <w:rPr>
                <w:rFonts w:cs="Arial"/>
                <w:szCs w:val="22"/>
              </w:rPr>
              <w:t>This will allow information to be collected on the numbers of companies making use of</w:t>
            </w:r>
            <w:r w:rsidR="00304ECD">
              <w:rPr>
                <w:rFonts w:cs="Arial"/>
                <w:szCs w:val="22"/>
              </w:rPr>
              <w:t xml:space="preserve"> the new regime. It will also provide information on the </w:t>
            </w:r>
            <w:r w:rsidR="00E51037">
              <w:rPr>
                <w:rFonts w:cs="Arial"/>
                <w:szCs w:val="22"/>
              </w:rPr>
              <w:t>value of</w:t>
            </w:r>
            <w:r w:rsidR="00304ECD">
              <w:rPr>
                <w:rFonts w:cs="Arial"/>
                <w:szCs w:val="22"/>
              </w:rPr>
              <w:t xml:space="preserve"> losses these companies are carrying forward</w:t>
            </w:r>
            <w:r w:rsidR="00E51037">
              <w:rPr>
                <w:rFonts w:cs="Arial"/>
                <w:szCs w:val="22"/>
              </w:rPr>
              <w:t xml:space="preserve"> under the business continuity test.</w:t>
            </w:r>
          </w:p>
          <w:p w14:paraId="589882F7" w14:textId="77777777" w:rsidR="00E51037" w:rsidRDefault="00E51037" w:rsidP="00932E3F">
            <w:pPr>
              <w:spacing w:after="0" w:line="276" w:lineRule="auto"/>
              <w:jc w:val="both"/>
              <w:rPr>
                <w:rFonts w:cs="Arial"/>
                <w:szCs w:val="22"/>
              </w:rPr>
            </w:pPr>
          </w:p>
          <w:p w14:paraId="60D42892" w14:textId="20B9D58E" w:rsidR="002C03DD" w:rsidRDefault="00932E3F" w:rsidP="00932E3F">
            <w:pPr>
              <w:spacing w:after="0" w:line="276" w:lineRule="auto"/>
              <w:jc w:val="both"/>
              <w:rPr>
                <w:rFonts w:cs="Arial"/>
                <w:szCs w:val="22"/>
              </w:rPr>
            </w:pPr>
            <w:r>
              <w:rPr>
                <w:rFonts w:cs="Arial"/>
                <w:szCs w:val="22"/>
              </w:rPr>
              <w:t xml:space="preserve">Inland Revenue already collects data on losses carried forward </w:t>
            </w:r>
            <w:r w:rsidR="00846E79">
              <w:rPr>
                <w:rFonts w:cs="Arial"/>
                <w:szCs w:val="22"/>
              </w:rPr>
              <w:t xml:space="preserve">as </w:t>
            </w:r>
            <w:r>
              <w:rPr>
                <w:rFonts w:cs="Arial"/>
                <w:szCs w:val="22"/>
              </w:rPr>
              <w:t xml:space="preserve">taxpayers must include this in annual returns. </w:t>
            </w:r>
            <w:r w:rsidR="002801EB">
              <w:rPr>
                <w:rFonts w:cs="Arial"/>
                <w:szCs w:val="22"/>
              </w:rPr>
              <w:t xml:space="preserve">However, this information </w:t>
            </w:r>
            <w:r w:rsidR="00355DF4">
              <w:rPr>
                <w:rFonts w:cs="Arial"/>
                <w:szCs w:val="22"/>
              </w:rPr>
              <w:t xml:space="preserve">would </w:t>
            </w:r>
            <w:r w:rsidR="002801EB">
              <w:rPr>
                <w:rFonts w:cs="Arial"/>
                <w:szCs w:val="22"/>
              </w:rPr>
              <w:t xml:space="preserve">not provide insight into how well loosening the loss continuity rules </w:t>
            </w:r>
            <w:r w:rsidR="003A1B76">
              <w:rPr>
                <w:rFonts w:cs="Arial"/>
                <w:szCs w:val="22"/>
              </w:rPr>
              <w:t>is</w:t>
            </w:r>
            <w:r w:rsidR="00355DF4">
              <w:rPr>
                <w:rFonts w:cs="Arial"/>
                <w:szCs w:val="22"/>
              </w:rPr>
              <w:t xml:space="preserve"> working</w:t>
            </w:r>
            <w:r w:rsidR="00604B49">
              <w:rPr>
                <w:rFonts w:cs="Arial"/>
                <w:szCs w:val="22"/>
              </w:rPr>
              <w:t xml:space="preserve"> to encourage growth and innovation outcomes</w:t>
            </w:r>
            <w:r w:rsidR="002801EB">
              <w:rPr>
                <w:rFonts w:cs="Arial"/>
                <w:szCs w:val="22"/>
              </w:rPr>
              <w:t>.</w:t>
            </w:r>
            <w:r w:rsidR="006C21C5">
              <w:rPr>
                <w:rFonts w:cs="Arial"/>
                <w:szCs w:val="22"/>
              </w:rPr>
              <w:t xml:space="preserve"> It will be easier to measure the ability of the new rules to prevent loss trading. </w:t>
            </w:r>
            <w:r w:rsidR="00822835">
              <w:rPr>
                <w:rFonts w:cs="Arial"/>
                <w:szCs w:val="22"/>
              </w:rPr>
              <w:t xml:space="preserve">As loss continuity rules exist to prevent this activity it will be considered a successful outcome to observe companies carrying forward losses after a change in ownership without there being evidence of loss trading. </w:t>
            </w:r>
          </w:p>
          <w:p w14:paraId="45C87625" w14:textId="00C00032" w:rsidR="00E51037" w:rsidRPr="0069218C" w:rsidRDefault="00E51037" w:rsidP="00932E3F">
            <w:pPr>
              <w:spacing w:after="0" w:line="276" w:lineRule="auto"/>
              <w:jc w:val="both"/>
              <w:rPr>
                <w:rFonts w:cs="Arial"/>
                <w:szCs w:val="22"/>
              </w:rPr>
            </w:pP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BB4EA2">
        <w:trPr>
          <w:trHeight w:val="3677"/>
        </w:trPr>
        <w:tc>
          <w:tcPr>
            <w:tcW w:w="9072" w:type="dxa"/>
            <w:shd w:val="clear" w:color="auto" w:fill="auto"/>
          </w:tcPr>
          <w:p w14:paraId="41E0717D" w14:textId="06B5D894" w:rsidR="005E4CA6" w:rsidRDefault="00D84448" w:rsidP="0069218C">
            <w:pPr>
              <w:spacing w:after="0" w:line="276" w:lineRule="auto"/>
              <w:jc w:val="both"/>
              <w:rPr>
                <w:rFonts w:cs="Arial"/>
                <w:szCs w:val="22"/>
              </w:rPr>
            </w:pPr>
            <w:r>
              <w:rPr>
                <w:rFonts w:cs="Arial"/>
                <w:szCs w:val="22"/>
              </w:rPr>
              <w:t xml:space="preserve">A post-implementation review plan has been agreed between Inland Revenue and </w:t>
            </w:r>
            <w:r w:rsidR="00D871EA">
              <w:rPr>
                <w:rFonts w:cs="Arial"/>
                <w:szCs w:val="22"/>
              </w:rPr>
              <w:t xml:space="preserve">the </w:t>
            </w:r>
            <w:r>
              <w:rPr>
                <w:rFonts w:cs="Arial"/>
                <w:szCs w:val="22"/>
              </w:rPr>
              <w:t xml:space="preserve">Treasury. </w:t>
            </w:r>
            <w:r w:rsidR="005E4CA6">
              <w:rPr>
                <w:rFonts w:cs="Arial"/>
                <w:szCs w:val="22"/>
              </w:rPr>
              <w:t>If appropriate, a survey of companies relying on the test could be carried out to get additional information.</w:t>
            </w:r>
            <w:r w:rsidR="002D11E1">
              <w:rPr>
                <w:rFonts w:cs="Arial"/>
                <w:szCs w:val="22"/>
              </w:rPr>
              <w:t xml:space="preserve"> </w:t>
            </w:r>
          </w:p>
          <w:p w14:paraId="7389AD6C" w14:textId="77777777" w:rsidR="004245E2" w:rsidRDefault="004245E2" w:rsidP="0069218C">
            <w:pPr>
              <w:spacing w:after="0" w:line="276" w:lineRule="auto"/>
              <w:jc w:val="both"/>
              <w:rPr>
                <w:rFonts w:cs="Arial"/>
                <w:szCs w:val="22"/>
              </w:rPr>
            </w:pPr>
          </w:p>
          <w:p w14:paraId="1F7811C5" w14:textId="5A612769" w:rsidR="00932E3F" w:rsidRDefault="005D27AC" w:rsidP="0069218C">
            <w:pPr>
              <w:spacing w:after="0" w:line="276" w:lineRule="auto"/>
              <w:jc w:val="both"/>
              <w:rPr>
                <w:rFonts w:cs="Arial"/>
                <w:szCs w:val="22"/>
              </w:rPr>
            </w:pPr>
            <w:r>
              <w:rPr>
                <w:rFonts w:cs="Arial"/>
                <w:szCs w:val="22"/>
              </w:rPr>
              <w:t xml:space="preserve">This </w:t>
            </w:r>
            <w:r w:rsidR="00D871EA">
              <w:rPr>
                <w:rFonts w:cs="Arial"/>
                <w:szCs w:val="22"/>
              </w:rPr>
              <w:t xml:space="preserve">review </w:t>
            </w:r>
            <w:r>
              <w:rPr>
                <w:rFonts w:cs="Arial"/>
                <w:szCs w:val="22"/>
              </w:rPr>
              <w:t xml:space="preserve">would cover the amount of losses that are still estimated to be lost each year. </w:t>
            </w:r>
            <w:r w:rsidR="002A048C">
              <w:rPr>
                <w:rFonts w:cs="Arial"/>
                <w:szCs w:val="22"/>
              </w:rPr>
              <w:t xml:space="preserve">From 2022 information on the business continuity test will be available to Inland Revenue audit function. </w:t>
            </w:r>
            <w:r w:rsidR="00ED4683">
              <w:rPr>
                <w:rFonts w:cs="Arial"/>
                <w:szCs w:val="22"/>
              </w:rPr>
              <w:t xml:space="preserve">This </w:t>
            </w:r>
            <w:r w:rsidR="00747888">
              <w:rPr>
                <w:rFonts w:cs="Arial"/>
                <w:szCs w:val="22"/>
              </w:rPr>
              <w:t>should</w:t>
            </w:r>
            <w:r w:rsidR="00ED4683">
              <w:rPr>
                <w:rFonts w:cs="Arial"/>
                <w:szCs w:val="22"/>
              </w:rPr>
              <w:t xml:space="preserve"> allow for a risk review and for information on whether there is any loss trading as a result of the policy. Due to the nature of tax changes it is likely to take several years before the impacts of the </w:t>
            </w:r>
            <w:r w:rsidR="005B2543">
              <w:rPr>
                <w:rFonts w:cs="Arial"/>
                <w:szCs w:val="22"/>
              </w:rPr>
              <w:t xml:space="preserve">policy can be properly assessed. In 3-5 </w:t>
            </w:r>
            <w:proofErr w:type="gramStart"/>
            <w:r w:rsidR="005B2543">
              <w:rPr>
                <w:rFonts w:cs="Arial"/>
                <w:szCs w:val="22"/>
              </w:rPr>
              <w:t>years</w:t>
            </w:r>
            <w:proofErr w:type="gramEnd"/>
            <w:r w:rsidR="005B2543">
              <w:rPr>
                <w:rFonts w:cs="Arial"/>
                <w:szCs w:val="22"/>
              </w:rPr>
              <w:t xml:space="preserve"> there should be sufficient data to </w:t>
            </w:r>
            <w:r w:rsidR="00D871EA">
              <w:rPr>
                <w:rFonts w:cs="Arial"/>
                <w:szCs w:val="22"/>
              </w:rPr>
              <w:t>determine</w:t>
            </w:r>
            <w:r w:rsidR="005B2543">
              <w:rPr>
                <w:rFonts w:cs="Arial"/>
                <w:szCs w:val="22"/>
              </w:rPr>
              <w:t xml:space="preserve"> how well the rules are working and whether any aspects need to be revisited. </w:t>
            </w:r>
          </w:p>
          <w:p w14:paraId="4B4810A5" w14:textId="77777777" w:rsidR="00847938" w:rsidRDefault="00847938" w:rsidP="0069218C">
            <w:pPr>
              <w:spacing w:after="0" w:line="276" w:lineRule="auto"/>
              <w:jc w:val="both"/>
              <w:rPr>
                <w:rFonts w:cs="Arial"/>
                <w:szCs w:val="22"/>
              </w:rPr>
            </w:pPr>
          </w:p>
          <w:p w14:paraId="6044A1AF" w14:textId="7AF2CC67" w:rsidR="00847938" w:rsidRDefault="00847938" w:rsidP="0069218C">
            <w:pPr>
              <w:spacing w:after="0" w:line="276" w:lineRule="auto"/>
              <w:jc w:val="both"/>
              <w:rPr>
                <w:rFonts w:cs="Arial"/>
              </w:rPr>
            </w:pPr>
            <w:r w:rsidRPr="7F6AA3F8">
              <w:rPr>
                <w:rFonts w:cs="Arial"/>
              </w:rPr>
              <w:t>Policy officials maintain strong communication channels with stakeholders in the tax advisory community, and these stakeholders will be able to correspond with officials about the operation of the new rules.</w:t>
            </w:r>
            <w:r w:rsidR="004E028E">
              <w:rPr>
                <w:rFonts w:cs="Arial"/>
              </w:rPr>
              <w:t xml:space="preserve"> </w:t>
            </w:r>
            <w:r w:rsidRPr="7F6AA3F8">
              <w:rPr>
                <w:rFonts w:cs="Arial"/>
              </w:rPr>
              <w:t xml:space="preserve">If problems emerge, they will be dealt with either operationally, or by way of </w:t>
            </w:r>
            <w:r w:rsidR="3AB39124" w:rsidRPr="7F6AA3F8">
              <w:rPr>
                <w:rFonts w:cs="Arial"/>
              </w:rPr>
              <w:t xml:space="preserve">remedial </w:t>
            </w:r>
            <w:r w:rsidRPr="7F6AA3F8">
              <w:rPr>
                <w:rFonts w:cs="Arial"/>
              </w:rPr>
              <w:t>legislative amendment if needed.</w:t>
            </w:r>
            <w:r w:rsidR="004C7398" w:rsidRPr="7F6AA3F8">
              <w:rPr>
                <w:rFonts w:cs="Arial"/>
              </w:rPr>
              <w:t xml:space="preserve"> </w:t>
            </w:r>
          </w:p>
          <w:p w14:paraId="214829FF" w14:textId="60094FBB" w:rsidR="00794F3B" w:rsidRPr="0069218C" w:rsidRDefault="00794F3B" w:rsidP="0069218C">
            <w:pPr>
              <w:spacing w:after="0" w:line="276" w:lineRule="auto"/>
              <w:jc w:val="both"/>
              <w:rPr>
                <w:rFonts w:cs="Arial"/>
                <w:szCs w:val="22"/>
              </w:rPr>
            </w:pPr>
          </w:p>
        </w:tc>
      </w:tr>
    </w:tbl>
    <w:p w14:paraId="0D165C3B" w14:textId="3058824F" w:rsidR="00C2708A" w:rsidRDefault="00C2708A" w:rsidP="00B47208">
      <w:pPr>
        <w:pStyle w:val="spacer"/>
      </w:pPr>
    </w:p>
    <w:p w14:paraId="1DF8D9BC" w14:textId="77777777" w:rsidR="004A7104" w:rsidRPr="00B47208" w:rsidRDefault="004A7104" w:rsidP="00B47208">
      <w:pPr>
        <w:pStyle w:val="spacer"/>
      </w:pPr>
    </w:p>
    <w:sectPr w:rsidR="004A7104"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16B2" w14:textId="77777777" w:rsidR="00586670" w:rsidRDefault="00586670">
      <w:pPr>
        <w:spacing w:after="0" w:line="240" w:lineRule="auto"/>
      </w:pPr>
      <w:r>
        <w:separator/>
      </w:r>
    </w:p>
  </w:endnote>
  <w:endnote w:type="continuationSeparator" w:id="0">
    <w:p w14:paraId="15B55CCF" w14:textId="77777777" w:rsidR="00586670" w:rsidRDefault="00586670">
      <w:pPr>
        <w:spacing w:after="0" w:line="240" w:lineRule="auto"/>
      </w:pPr>
      <w:r>
        <w:continuationSeparator/>
      </w:r>
    </w:p>
  </w:endnote>
  <w:endnote w:type="continuationNotice" w:id="1">
    <w:p w14:paraId="0E479464" w14:textId="77777777" w:rsidR="00586670" w:rsidRDefault="00586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9442" w14:textId="45AD251D" w:rsidR="00784C66" w:rsidRPr="00957BC2" w:rsidRDefault="002127DC" w:rsidP="002127DC">
    <w:pPr>
      <w:pStyle w:val="Footer"/>
    </w:pPr>
    <w:r>
      <w:rPr>
        <w:sz w:val="14"/>
      </w:rPr>
      <w:tab/>
    </w:r>
    <w:r w:rsidR="002C7AE2">
      <w:t>Supplementary Analysis Report</w:t>
    </w:r>
    <w:r w:rsidR="000B62F1" w:rsidRPr="000B62F1">
      <w:t>: Loosening the loss continuity rules</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514CF4">
      <w:t>11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51B50" w14:textId="77777777" w:rsidR="00586670" w:rsidRDefault="00586670">
      <w:pPr>
        <w:spacing w:after="0" w:line="240" w:lineRule="auto"/>
      </w:pPr>
      <w:r>
        <w:separator/>
      </w:r>
    </w:p>
  </w:footnote>
  <w:footnote w:type="continuationSeparator" w:id="0">
    <w:p w14:paraId="20FD7220" w14:textId="77777777" w:rsidR="00586670" w:rsidRDefault="00586670">
      <w:pPr>
        <w:spacing w:after="0" w:line="240" w:lineRule="auto"/>
      </w:pPr>
      <w:r>
        <w:continuationSeparator/>
      </w:r>
    </w:p>
  </w:footnote>
  <w:footnote w:type="continuationNotice" w:id="1">
    <w:p w14:paraId="1C2EF374" w14:textId="77777777" w:rsidR="00586670" w:rsidRDefault="00586670">
      <w:pPr>
        <w:spacing w:after="0" w:line="240" w:lineRule="auto"/>
      </w:pPr>
    </w:p>
  </w:footnote>
  <w:footnote w:id="2">
    <w:p w14:paraId="17856650" w14:textId="77777777" w:rsidR="004D0BFA" w:rsidRPr="00C35A6A" w:rsidRDefault="004D0BFA" w:rsidP="004D0BFA">
      <w:pPr>
        <w:pStyle w:val="FootnoteText"/>
      </w:pPr>
      <w:r>
        <w:rPr>
          <w:rStyle w:val="FootnoteReference"/>
        </w:rPr>
        <w:footnoteRef/>
      </w:r>
      <w:r>
        <w:t xml:space="preserve"> Tax Working Group (2019) </w:t>
      </w:r>
      <w:r w:rsidRPr="007C698E">
        <w:rPr>
          <w:i/>
          <w:iCs/>
        </w:rPr>
        <w:t>Future of Tax</w:t>
      </w:r>
      <w:r>
        <w:t xml:space="preserve">. Retrieved from: </w:t>
      </w:r>
      <w:r w:rsidRPr="00A31A2D">
        <w:t>https://taxworkinggroup.govt.nz/resources/future-tax-</w:t>
      </w:r>
      <w:r w:rsidRPr="00C35A6A">
        <w:t>final-report-vol-i</w:t>
      </w:r>
    </w:p>
  </w:footnote>
  <w:footnote w:id="3">
    <w:p w14:paraId="03554EA6" w14:textId="318CA405" w:rsidR="00A925D0" w:rsidRDefault="00A925D0">
      <w:pPr>
        <w:pStyle w:val="FootnoteText"/>
      </w:pPr>
      <w:r>
        <w:rPr>
          <w:rStyle w:val="FootnoteReference"/>
        </w:rPr>
        <w:footnoteRef/>
      </w:r>
      <w:r>
        <w:t xml:space="preserve"> For example</w:t>
      </w:r>
      <w:r w:rsidR="00D56B02">
        <w:t>,</w:t>
      </w:r>
      <w:r>
        <w:t xml:space="preserve"> the BusinessNZ submission to the Tax Working Group included a number of real examples where the loss continuity rules have been an impediment to capital raising.</w:t>
      </w:r>
      <w:r w:rsidR="00CB16FB">
        <w:t xml:space="preserve"> Accessed at:</w:t>
      </w:r>
      <w:r>
        <w:t xml:space="preserve"> </w:t>
      </w:r>
      <w:hyperlink r:id="rId1" w:history="1">
        <w:r w:rsidR="00243DC6" w:rsidRPr="001849C1">
          <w:rPr>
            <w:rStyle w:val="Hyperlink"/>
          </w:rPr>
          <w:t>https://taxworkinggroup.govt.nz/sites/default/files/2018-09/twg-subm-3983184-businessnz-6-of-6.pdf</w:t>
        </w:r>
      </w:hyperlink>
      <w:r w:rsidR="00243DC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9DBC" w14:textId="4DAC91D7" w:rsidR="00784C66" w:rsidRPr="00EB1B21" w:rsidRDefault="00201383" w:rsidP="00784C66">
    <w:pPr>
      <w:tabs>
        <w:tab w:val="center" w:pos="4253"/>
      </w:tabs>
      <w:rPr>
        <w:b/>
      </w:rPr>
    </w:pPr>
    <w:r>
      <w:rPr>
        <w:noProof/>
        <w:lang w:val="en-NZ" w:eastAsia="en-NZ"/>
      </w:rPr>
      <mc:AlternateContent>
        <mc:Choice Requires="wps">
          <w:drawing>
            <wp:anchor distT="0" distB="0" distL="114300" distR="114300" simplePos="0" relativeHeight="251658240" behindDoc="0" locked="0" layoutInCell="0" allowOverlap="1" wp14:anchorId="7063C4B6" wp14:editId="0DE8AD99">
              <wp:simplePos x="0" y="0"/>
              <wp:positionH relativeFrom="page">
                <wp:posOffset>0</wp:posOffset>
              </wp:positionH>
              <wp:positionV relativeFrom="page">
                <wp:posOffset>190500</wp:posOffset>
              </wp:positionV>
              <wp:extent cx="7560310" cy="273050"/>
              <wp:effectExtent l="0" t="0" r="0" b="12700"/>
              <wp:wrapNone/>
              <wp:docPr id="1" name="MSIPCM1e1c408bbf561466f56616ca" descr="{&quot;HashCode&quot;:-9950571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DC192" w14:textId="16EC517C" w:rsidR="00201383" w:rsidRPr="00507E2E" w:rsidRDefault="00201383" w:rsidP="00507E2E">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63C4B6" id="_x0000_t202" coordsize="21600,21600" o:spt="202" path="m,l,21600r21600,l21600,xe">
              <v:stroke joinstyle="miter"/>
              <v:path gradientshapeok="t" o:connecttype="rect"/>
            </v:shapetype>
            <v:shape id="MSIPCM1e1c408bbf561466f56616ca" o:spid="_x0000_s1026" type="#_x0000_t202" alt="{&quot;HashCode&quot;:-9950571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EChR3aqAgAARQUAAA4AAAAAAAAAAAAA&#10;AAAALgIAAGRycy9lMm9Eb2MueG1sUEsBAi0AFAAGAAgAAAAhAEsiCebcAAAABwEAAA8AAAAAAAAA&#10;AAAAAAAABAUAAGRycy9kb3ducmV2LnhtbFBLBQYAAAAABAAEAPMAAAANBgAAAAA=&#10;" o:allowincell="f" filled="f" stroked="f" strokeweight=".5pt">
              <v:textbox inset=",0,,0">
                <w:txbxContent>
                  <w:p w14:paraId="777DC192" w14:textId="16EC517C" w:rsidR="00201383" w:rsidRPr="00507E2E" w:rsidRDefault="00201383" w:rsidP="00507E2E">
                    <w:pPr>
                      <w:spacing w:after="0"/>
                      <w:jc w:val="center"/>
                      <w:rPr>
                        <w:rFonts w:ascii="Calibri" w:hAnsi="Calibri" w:cs="Calibri"/>
                        <w:color w:val="000000"/>
                        <w:sz w:val="20"/>
                      </w:rPr>
                    </w:pPr>
                  </w:p>
                </w:txbxContent>
              </v:textbox>
              <w10:wrap anchorx="page" anchory="page"/>
            </v:shape>
          </w:pict>
        </mc:Fallback>
      </mc:AlternateContent>
    </w:r>
    <w:r w:rsidR="002F57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2602368"/>
    <w:multiLevelType w:val="hybridMultilevel"/>
    <w:tmpl w:val="FD844D08"/>
    <w:lvl w:ilvl="0" w:tplc="98904A04">
      <w:start w:val="1"/>
      <w:numFmt w:val="bullet"/>
      <w:lvlText w:val=""/>
      <w:lvlJc w:val="left"/>
      <w:pPr>
        <w:tabs>
          <w:tab w:val="num" w:pos="720"/>
        </w:tabs>
        <w:ind w:left="720" w:hanging="360"/>
      </w:pPr>
      <w:rPr>
        <w:rFonts w:ascii="Symbol" w:hAnsi="Symbol" w:hint="default"/>
        <w:sz w:val="20"/>
      </w:rPr>
    </w:lvl>
    <w:lvl w:ilvl="1" w:tplc="D16A45C6">
      <w:start w:val="1"/>
      <w:numFmt w:val="bullet"/>
      <w:lvlText w:val=""/>
      <w:lvlJc w:val="left"/>
      <w:pPr>
        <w:tabs>
          <w:tab w:val="num" w:pos="1440"/>
        </w:tabs>
        <w:ind w:left="1440" w:hanging="360"/>
      </w:pPr>
      <w:rPr>
        <w:rFonts w:ascii="Symbol" w:hAnsi="Symbol" w:hint="default"/>
        <w:sz w:val="20"/>
      </w:rPr>
    </w:lvl>
    <w:lvl w:ilvl="2" w:tplc="279E6160">
      <w:start w:val="1"/>
      <w:numFmt w:val="bullet"/>
      <w:lvlText w:val=""/>
      <w:lvlJc w:val="left"/>
      <w:pPr>
        <w:tabs>
          <w:tab w:val="num" w:pos="2160"/>
        </w:tabs>
        <w:ind w:left="2160" w:hanging="360"/>
      </w:pPr>
      <w:rPr>
        <w:rFonts w:ascii="Symbol" w:hAnsi="Symbol" w:hint="default"/>
        <w:sz w:val="20"/>
      </w:rPr>
    </w:lvl>
    <w:lvl w:ilvl="3" w:tplc="1EC84412">
      <w:start w:val="1"/>
      <w:numFmt w:val="bullet"/>
      <w:lvlText w:val=""/>
      <w:lvlJc w:val="left"/>
      <w:pPr>
        <w:tabs>
          <w:tab w:val="num" w:pos="2880"/>
        </w:tabs>
        <w:ind w:left="2880" w:hanging="360"/>
      </w:pPr>
      <w:rPr>
        <w:rFonts w:ascii="Symbol" w:hAnsi="Symbol" w:hint="default"/>
        <w:sz w:val="20"/>
      </w:rPr>
    </w:lvl>
    <w:lvl w:ilvl="4" w:tplc="CC709A20">
      <w:start w:val="1"/>
      <w:numFmt w:val="bullet"/>
      <w:lvlText w:val=""/>
      <w:lvlJc w:val="left"/>
      <w:pPr>
        <w:tabs>
          <w:tab w:val="num" w:pos="3600"/>
        </w:tabs>
        <w:ind w:left="3600" w:hanging="360"/>
      </w:pPr>
      <w:rPr>
        <w:rFonts w:ascii="Symbol" w:hAnsi="Symbol" w:hint="default"/>
        <w:sz w:val="20"/>
      </w:rPr>
    </w:lvl>
    <w:lvl w:ilvl="5" w:tplc="6592F2A6">
      <w:start w:val="1"/>
      <w:numFmt w:val="bullet"/>
      <w:lvlText w:val=""/>
      <w:lvlJc w:val="left"/>
      <w:pPr>
        <w:tabs>
          <w:tab w:val="num" w:pos="4320"/>
        </w:tabs>
        <w:ind w:left="4320" w:hanging="360"/>
      </w:pPr>
      <w:rPr>
        <w:rFonts w:ascii="Symbol" w:hAnsi="Symbol" w:hint="default"/>
        <w:sz w:val="20"/>
      </w:rPr>
    </w:lvl>
    <w:lvl w:ilvl="6" w:tplc="79728D30">
      <w:start w:val="1"/>
      <w:numFmt w:val="bullet"/>
      <w:lvlText w:val=""/>
      <w:lvlJc w:val="left"/>
      <w:pPr>
        <w:tabs>
          <w:tab w:val="num" w:pos="5040"/>
        </w:tabs>
        <w:ind w:left="5040" w:hanging="360"/>
      </w:pPr>
      <w:rPr>
        <w:rFonts w:ascii="Symbol" w:hAnsi="Symbol" w:hint="default"/>
        <w:sz w:val="20"/>
      </w:rPr>
    </w:lvl>
    <w:lvl w:ilvl="7" w:tplc="E6EEC3D0">
      <w:start w:val="1"/>
      <w:numFmt w:val="bullet"/>
      <w:lvlText w:val=""/>
      <w:lvlJc w:val="left"/>
      <w:pPr>
        <w:tabs>
          <w:tab w:val="num" w:pos="5760"/>
        </w:tabs>
        <w:ind w:left="5760" w:hanging="360"/>
      </w:pPr>
      <w:rPr>
        <w:rFonts w:ascii="Symbol" w:hAnsi="Symbol" w:hint="default"/>
        <w:sz w:val="20"/>
      </w:rPr>
    </w:lvl>
    <w:lvl w:ilvl="8" w:tplc="8D383EDA">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5AC"/>
    <w:multiLevelType w:val="hybridMultilevel"/>
    <w:tmpl w:val="70C24250"/>
    <w:lvl w:ilvl="0" w:tplc="B3F65646">
      <w:start w:val="1"/>
      <w:numFmt w:val="bullet"/>
      <w:lvlText w:val=""/>
      <w:lvlJc w:val="left"/>
      <w:pPr>
        <w:tabs>
          <w:tab w:val="num" w:pos="720"/>
        </w:tabs>
        <w:ind w:left="720" w:hanging="360"/>
      </w:pPr>
      <w:rPr>
        <w:rFonts w:ascii="Symbol" w:hAnsi="Symbol" w:hint="default"/>
        <w:sz w:val="20"/>
      </w:rPr>
    </w:lvl>
    <w:lvl w:ilvl="1" w:tplc="4408611C">
      <w:start w:val="1"/>
      <w:numFmt w:val="bullet"/>
      <w:lvlText w:val="o"/>
      <w:lvlJc w:val="left"/>
      <w:pPr>
        <w:tabs>
          <w:tab w:val="num" w:pos="1440"/>
        </w:tabs>
        <w:ind w:left="1440" w:hanging="360"/>
      </w:pPr>
      <w:rPr>
        <w:rFonts w:ascii="Courier New" w:hAnsi="Courier New" w:hint="default"/>
        <w:sz w:val="20"/>
      </w:rPr>
    </w:lvl>
    <w:lvl w:ilvl="2" w:tplc="0A907C60" w:tentative="1">
      <w:start w:val="1"/>
      <w:numFmt w:val="bullet"/>
      <w:lvlText w:val=""/>
      <w:lvlJc w:val="left"/>
      <w:pPr>
        <w:tabs>
          <w:tab w:val="num" w:pos="2160"/>
        </w:tabs>
        <w:ind w:left="2160" w:hanging="360"/>
      </w:pPr>
      <w:rPr>
        <w:rFonts w:ascii="Symbol" w:hAnsi="Symbol" w:hint="default"/>
        <w:sz w:val="20"/>
      </w:rPr>
    </w:lvl>
    <w:lvl w:ilvl="3" w:tplc="02EA210A" w:tentative="1">
      <w:start w:val="1"/>
      <w:numFmt w:val="bullet"/>
      <w:lvlText w:val=""/>
      <w:lvlJc w:val="left"/>
      <w:pPr>
        <w:tabs>
          <w:tab w:val="num" w:pos="2880"/>
        </w:tabs>
        <w:ind w:left="2880" w:hanging="360"/>
      </w:pPr>
      <w:rPr>
        <w:rFonts w:ascii="Symbol" w:hAnsi="Symbol" w:hint="default"/>
        <w:sz w:val="20"/>
      </w:rPr>
    </w:lvl>
    <w:lvl w:ilvl="4" w:tplc="EE548FAA" w:tentative="1">
      <w:start w:val="1"/>
      <w:numFmt w:val="bullet"/>
      <w:lvlText w:val=""/>
      <w:lvlJc w:val="left"/>
      <w:pPr>
        <w:tabs>
          <w:tab w:val="num" w:pos="3600"/>
        </w:tabs>
        <w:ind w:left="3600" w:hanging="360"/>
      </w:pPr>
      <w:rPr>
        <w:rFonts w:ascii="Symbol" w:hAnsi="Symbol" w:hint="default"/>
        <w:sz w:val="20"/>
      </w:rPr>
    </w:lvl>
    <w:lvl w:ilvl="5" w:tplc="F20C396E" w:tentative="1">
      <w:start w:val="1"/>
      <w:numFmt w:val="bullet"/>
      <w:lvlText w:val=""/>
      <w:lvlJc w:val="left"/>
      <w:pPr>
        <w:tabs>
          <w:tab w:val="num" w:pos="4320"/>
        </w:tabs>
        <w:ind w:left="4320" w:hanging="360"/>
      </w:pPr>
      <w:rPr>
        <w:rFonts w:ascii="Symbol" w:hAnsi="Symbol" w:hint="default"/>
        <w:sz w:val="20"/>
      </w:rPr>
    </w:lvl>
    <w:lvl w:ilvl="6" w:tplc="89088B6E" w:tentative="1">
      <w:start w:val="1"/>
      <w:numFmt w:val="bullet"/>
      <w:lvlText w:val=""/>
      <w:lvlJc w:val="left"/>
      <w:pPr>
        <w:tabs>
          <w:tab w:val="num" w:pos="5040"/>
        </w:tabs>
        <w:ind w:left="5040" w:hanging="360"/>
      </w:pPr>
      <w:rPr>
        <w:rFonts w:ascii="Symbol" w:hAnsi="Symbol" w:hint="default"/>
        <w:sz w:val="20"/>
      </w:rPr>
    </w:lvl>
    <w:lvl w:ilvl="7" w:tplc="74D81950" w:tentative="1">
      <w:start w:val="1"/>
      <w:numFmt w:val="bullet"/>
      <w:lvlText w:val=""/>
      <w:lvlJc w:val="left"/>
      <w:pPr>
        <w:tabs>
          <w:tab w:val="num" w:pos="5760"/>
        </w:tabs>
        <w:ind w:left="5760" w:hanging="360"/>
      </w:pPr>
      <w:rPr>
        <w:rFonts w:ascii="Symbol" w:hAnsi="Symbol" w:hint="default"/>
        <w:sz w:val="20"/>
      </w:rPr>
    </w:lvl>
    <w:lvl w:ilvl="8" w:tplc="6AC6C0C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539E1"/>
    <w:multiLevelType w:val="hybridMultilevel"/>
    <w:tmpl w:val="3DE01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F20841"/>
    <w:multiLevelType w:val="hybridMultilevel"/>
    <w:tmpl w:val="A7223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2AB3A99"/>
    <w:multiLevelType w:val="hybridMultilevel"/>
    <w:tmpl w:val="6C8A7ED8"/>
    <w:lvl w:ilvl="0" w:tplc="B450FB5A">
      <w:start w:val="1"/>
      <w:numFmt w:val="bullet"/>
      <w:lvlText w:val=""/>
      <w:lvlJc w:val="left"/>
      <w:pPr>
        <w:tabs>
          <w:tab w:val="num" w:pos="360"/>
        </w:tabs>
        <w:ind w:left="360" w:hanging="360"/>
      </w:pPr>
      <w:rPr>
        <w:rFonts w:ascii="Symbol" w:hAnsi="Symbol" w:hint="default"/>
        <w:sz w:val="20"/>
      </w:rPr>
    </w:lvl>
    <w:lvl w:ilvl="1" w:tplc="56848E62">
      <w:start w:val="1"/>
      <w:numFmt w:val="bullet"/>
      <w:lvlText w:val="o"/>
      <w:lvlJc w:val="left"/>
      <w:pPr>
        <w:tabs>
          <w:tab w:val="num" w:pos="1080"/>
        </w:tabs>
        <w:ind w:left="1080" w:hanging="360"/>
      </w:pPr>
      <w:rPr>
        <w:rFonts w:ascii="Courier New" w:hAnsi="Courier New" w:hint="default"/>
        <w:sz w:val="20"/>
      </w:rPr>
    </w:lvl>
    <w:lvl w:ilvl="2" w:tplc="DCCE4534" w:tentative="1">
      <w:start w:val="1"/>
      <w:numFmt w:val="bullet"/>
      <w:lvlText w:val=""/>
      <w:lvlJc w:val="left"/>
      <w:pPr>
        <w:tabs>
          <w:tab w:val="num" w:pos="1800"/>
        </w:tabs>
        <w:ind w:left="1800" w:hanging="360"/>
      </w:pPr>
      <w:rPr>
        <w:rFonts w:ascii="Wingdings" w:hAnsi="Wingdings" w:hint="default"/>
        <w:sz w:val="20"/>
      </w:rPr>
    </w:lvl>
    <w:lvl w:ilvl="3" w:tplc="297E504A" w:tentative="1">
      <w:start w:val="1"/>
      <w:numFmt w:val="bullet"/>
      <w:lvlText w:val=""/>
      <w:lvlJc w:val="left"/>
      <w:pPr>
        <w:tabs>
          <w:tab w:val="num" w:pos="2520"/>
        </w:tabs>
        <w:ind w:left="2520" w:hanging="360"/>
      </w:pPr>
      <w:rPr>
        <w:rFonts w:ascii="Wingdings" w:hAnsi="Wingdings" w:hint="default"/>
        <w:sz w:val="20"/>
      </w:rPr>
    </w:lvl>
    <w:lvl w:ilvl="4" w:tplc="B8760800" w:tentative="1">
      <w:start w:val="1"/>
      <w:numFmt w:val="bullet"/>
      <w:lvlText w:val=""/>
      <w:lvlJc w:val="left"/>
      <w:pPr>
        <w:tabs>
          <w:tab w:val="num" w:pos="3240"/>
        </w:tabs>
        <w:ind w:left="3240" w:hanging="360"/>
      </w:pPr>
      <w:rPr>
        <w:rFonts w:ascii="Wingdings" w:hAnsi="Wingdings" w:hint="default"/>
        <w:sz w:val="20"/>
      </w:rPr>
    </w:lvl>
    <w:lvl w:ilvl="5" w:tplc="30F69EAA" w:tentative="1">
      <w:start w:val="1"/>
      <w:numFmt w:val="bullet"/>
      <w:lvlText w:val=""/>
      <w:lvlJc w:val="left"/>
      <w:pPr>
        <w:tabs>
          <w:tab w:val="num" w:pos="3960"/>
        </w:tabs>
        <w:ind w:left="3960" w:hanging="360"/>
      </w:pPr>
      <w:rPr>
        <w:rFonts w:ascii="Wingdings" w:hAnsi="Wingdings" w:hint="default"/>
        <w:sz w:val="20"/>
      </w:rPr>
    </w:lvl>
    <w:lvl w:ilvl="6" w:tplc="71CAC07E" w:tentative="1">
      <w:start w:val="1"/>
      <w:numFmt w:val="bullet"/>
      <w:lvlText w:val=""/>
      <w:lvlJc w:val="left"/>
      <w:pPr>
        <w:tabs>
          <w:tab w:val="num" w:pos="4680"/>
        </w:tabs>
        <w:ind w:left="4680" w:hanging="360"/>
      </w:pPr>
      <w:rPr>
        <w:rFonts w:ascii="Wingdings" w:hAnsi="Wingdings" w:hint="default"/>
        <w:sz w:val="20"/>
      </w:rPr>
    </w:lvl>
    <w:lvl w:ilvl="7" w:tplc="29A85A5E" w:tentative="1">
      <w:start w:val="1"/>
      <w:numFmt w:val="bullet"/>
      <w:lvlText w:val=""/>
      <w:lvlJc w:val="left"/>
      <w:pPr>
        <w:tabs>
          <w:tab w:val="num" w:pos="5400"/>
        </w:tabs>
        <w:ind w:left="5400" w:hanging="360"/>
      </w:pPr>
      <w:rPr>
        <w:rFonts w:ascii="Wingdings" w:hAnsi="Wingdings" w:hint="default"/>
        <w:sz w:val="20"/>
      </w:rPr>
    </w:lvl>
    <w:lvl w:ilvl="8" w:tplc="36886EF0"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0"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292273E"/>
    <w:multiLevelType w:val="hybridMultilevel"/>
    <w:tmpl w:val="9A8C8C52"/>
    <w:lvl w:ilvl="0" w:tplc="67408764">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93D677C"/>
    <w:multiLevelType w:val="hybridMultilevel"/>
    <w:tmpl w:val="EB76AB1A"/>
    <w:lvl w:ilvl="0" w:tplc="8E20CFEE">
      <w:start w:val="1"/>
      <w:numFmt w:val="bullet"/>
      <w:lvlText w:val=""/>
      <w:lvlJc w:val="left"/>
      <w:pPr>
        <w:tabs>
          <w:tab w:val="num" w:pos="720"/>
        </w:tabs>
        <w:ind w:left="720" w:hanging="360"/>
      </w:pPr>
      <w:rPr>
        <w:rFonts w:ascii="Symbol" w:hAnsi="Symbol" w:hint="default"/>
        <w:sz w:val="20"/>
      </w:rPr>
    </w:lvl>
    <w:lvl w:ilvl="1" w:tplc="587E5CBC">
      <w:start w:val="1"/>
      <w:numFmt w:val="bullet"/>
      <w:pStyle w:val="Bulletlistlevel2"/>
      <w:lvlText w:val="o"/>
      <w:lvlJc w:val="left"/>
      <w:pPr>
        <w:tabs>
          <w:tab w:val="num" w:pos="1440"/>
        </w:tabs>
        <w:ind w:left="1440" w:hanging="360"/>
      </w:pPr>
      <w:rPr>
        <w:rFonts w:ascii="Courier New" w:hAnsi="Courier New" w:cs="Times New Roman" w:hint="default"/>
        <w:sz w:val="20"/>
      </w:rPr>
    </w:lvl>
    <w:lvl w:ilvl="2" w:tplc="0BF049F2">
      <w:start w:val="1"/>
      <w:numFmt w:val="bullet"/>
      <w:lvlText w:val=""/>
      <w:lvlJc w:val="left"/>
      <w:pPr>
        <w:tabs>
          <w:tab w:val="num" w:pos="2160"/>
        </w:tabs>
        <w:ind w:left="2160" w:hanging="360"/>
      </w:pPr>
      <w:rPr>
        <w:rFonts w:ascii="Symbol" w:hAnsi="Symbol" w:hint="default"/>
        <w:sz w:val="20"/>
      </w:rPr>
    </w:lvl>
    <w:lvl w:ilvl="3" w:tplc="1E224A4A">
      <w:start w:val="1"/>
      <w:numFmt w:val="bullet"/>
      <w:lvlText w:val=""/>
      <w:lvlJc w:val="left"/>
      <w:pPr>
        <w:tabs>
          <w:tab w:val="num" w:pos="2880"/>
        </w:tabs>
        <w:ind w:left="2880" w:hanging="360"/>
      </w:pPr>
      <w:rPr>
        <w:rFonts w:ascii="Symbol" w:hAnsi="Symbol" w:hint="default"/>
        <w:sz w:val="20"/>
      </w:rPr>
    </w:lvl>
    <w:lvl w:ilvl="4" w:tplc="4A6454D2">
      <w:start w:val="1"/>
      <w:numFmt w:val="bullet"/>
      <w:lvlText w:val=""/>
      <w:lvlJc w:val="left"/>
      <w:pPr>
        <w:tabs>
          <w:tab w:val="num" w:pos="3600"/>
        </w:tabs>
        <w:ind w:left="3600" w:hanging="360"/>
      </w:pPr>
      <w:rPr>
        <w:rFonts w:ascii="Symbol" w:hAnsi="Symbol" w:hint="default"/>
        <w:sz w:val="20"/>
      </w:rPr>
    </w:lvl>
    <w:lvl w:ilvl="5" w:tplc="7EEEF252">
      <w:start w:val="1"/>
      <w:numFmt w:val="bullet"/>
      <w:lvlText w:val=""/>
      <w:lvlJc w:val="left"/>
      <w:pPr>
        <w:tabs>
          <w:tab w:val="num" w:pos="4320"/>
        </w:tabs>
        <w:ind w:left="4320" w:hanging="360"/>
      </w:pPr>
      <w:rPr>
        <w:rFonts w:ascii="Symbol" w:hAnsi="Symbol" w:hint="default"/>
        <w:sz w:val="20"/>
      </w:rPr>
    </w:lvl>
    <w:lvl w:ilvl="6" w:tplc="ECE0DEBC">
      <w:start w:val="1"/>
      <w:numFmt w:val="bullet"/>
      <w:lvlText w:val=""/>
      <w:lvlJc w:val="left"/>
      <w:pPr>
        <w:tabs>
          <w:tab w:val="num" w:pos="5040"/>
        </w:tabs>
        <w:ind w:left="5040" w:hanging="360"/>
      </w:pPr>
      <w:rPr>
        <w:rFonts w:ascii="Symbol" w:hAnsi="Symbol" w:hint="default"/>
        <w:sz w:val="20"/>
      </w:rPr>
    </w:lvl>
    <w:lvl w:ilvl="7" w:tplc="86D2C928">
      <w:start w:val="1"/>
      <w:numFmt w:val="bullet"/>
      <w:lvlText w:val=""/>
      <w:lvlJc w:val="left"/>
      <w:pPr>
        <w:tabs>
          <w:tab w:val="num" w:pos="5760"/>
        </w:tabs>
        <w:ind w:left="5760" w:hanging="360"/>
      </w:pPr>
      <w:rPr>
        <w:rFonts w:ascii="Symbol" w:hAnsi="Symbol" w:hint="default"/>
        <w:sz w:val="20"/>
      </w:rPr>
    </w:lvl>
    <w:lvl w:ilvl="8" w:tplc="B5261E16">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A63506"/>
    <w:multiLevelType w:val="hybridMultilevel"/>
    <w:tmpl w:val="BEE28C70"/>
    <w:lvl w:ilvl="0" w:tplc="10E44A2A">
      <w:start w:val="1"/>
      <w:numFmt w:val="bullet"/>
      <w:lvlText w:val=""/>
      <w:lvlJc w:val="left"/>
      <w:pPr>
        <w:tabs>
          <w:tab w:val="num" w:pos="360"/>
        </w:tabs>
        <w:ind w:left="360" w:hanging="360"/>
      </w:pPr>
      <w:rPr>
        <w:rFonts w:ascii="Symbol" w:hAnsi="Symbol" w:hint="default"/>
        <w:sz w:val="20"/>
      </w:rPr>
    </w:lvl>
    <w:lvl w:ilvl="1" w:tplc="9B70A4F8">
      <w:start w:val="1"/>
      <w:numFmt w:val="bullet"/>
      <w:lvlText w:val="o"/>
      <w:lvlJc w:val="left"/>
      <w:pPr>
        <w:tabs>
          <w:tab w:val="num" w:pos="1080"/>
        </w:tabs>
        <w:ind w:left="1080" w:hanging="360"/>
      </w:pPr>
      <w:rPr>
        <w:rFonts w:ascii="Courier New" w:hAnsi="Courier New" w:hint="default"/>
        <w:sz w:val="20"/>
      </w:rPr>
    </w:lvl>
    <w:lvl w:ilvl="2" w:tplc="340CFD10" w:tentative="1">
      <w:start w:val="1"/>
      <w:numFmt w:val="bullet"/>
      <w:lvlText w:val=""/>
      <w:lvlJc w:val="left"/>
      <w:pPr>
        <w:tabs>
          <w:tab w:val="num" w:pos="1800"/>
        </w:tabs>
        <w:ind w:left="1800" w:hanging="360"/>
      </w:pPr>
      <w:rPr>
        <w:rFonts w:ascii="Wingdings" w:hAnsi="Wingdings" w:hint="default"/>
        <w:sz w:val="20"/>
      </w:rPr>
    </w:lvl>
    <w:lvl w:ilvl="3" w:tplc="05003B0A" w:tentative="1">
      <w:start w:val="1"/>
      <w:numFmt w:val="bullet"/>
      <w:lvlText w:val=""/>
      <w:lvlJc w:val="left"/>
      <w:pPr>
        <w:tabs>
          <w:tab w:val="num" w:pos="2520"/>
        </w:tabs>
        <w:ind w:left="2520" w:hanging="360"/>
      </w:pPr>
      <w:rPr>
        <w:rFonts w:ascii="Wingdings" w:hAnsi="Wingdings" w:hint="default"/>
        <w:sz w:val="20"/>
      </w:rPr>
    </w:lvl>
    <w:lvl w:ilvl="4" w:tplc="54C6BB96" w:tentative="1">
      <w:start w:val="1"/>
      <w:numFmt w:val="bullet"/>
      <w:lvlText w:val=""/>
      <w:lvlJc w:val="left"/>
      <w:pPr>
        <w:tabs>
          <w:tab w:val="num" w:pos="3240"/>
        </w:tabs>
        <w:ind w:left="3240" w:hanging="360"/>
      </w:pPr>
      <w:rPr>
        <w:rFonts w:ascii="Wingdings" w:hAnsi="Wingdings" w:hint="default"/>
        <w:sz w:val="20"/>
      </w:rPr>
    </w:lvl>
    <w:lvl w:ilvl="5" w:tplc="0018F0BE" w:tentative="1">
      <w:start w:val="1"/>
      <w:numFmt w:val="bullet"/>
      <w:lvlText w:val=""/>
      <w:lvlJc w:val="left"/>
      <w:pPr>
        <w:tabs>
          <w:tab w:val="num" w:pos="3960"/>
        </w:tabs>
        <w:ind w:left="3960" w:hanging="360"/>
      </w:pPr>
      <w:rPr>
        <w:rFonts w:ascii="Wingdings" w:hAnsi="Wingdings" w:hint="default"/>
        <w:sz w:val="20"/>
      </w:rPr>
    </w:lvl>
    <w:lvl w:ilvl="6" w:tplc="6D782BAA" w:tentative="1">
      <w:start w:val="1"/>
      <w:numFmt w:val="bullet"/>
      <w:lvlText w:val=""/>
      <w:lvlJc w:val="left"/>
      <w:pPr>
        <w:tabs>
          <w:tab w:val="num" w:pos="4680"/>
        </w:tabs>
        <w:ind w:left="4680" w:hanging="360"/>
      </w:pPr>
      <w:rPr>
        <w:rFonts w:ascii="Wingdings" w:hAnsi="Wingdings" w:hint="default"/>
        <w:sz w:val="20"/>
      </w:rPr>
    </w:lvl>
    <w:lvl w:ilvl="7" w:tplc="A3461D2A" w:tentative="1">
      <w:start w:val="1"/>
      <w:numFmt w:val="bullet"/>
      <w:lvlText w:val=""/>
      <w:lvlJc w:val="left"/>
      <w:pPr>
        <w:tabs>
          <w:tab w:val="num" w:pos="5400"/>
        </w:tabs>
        <w:ind w:left="5400" w:hanging="360"/>
      </w:pPr>
      <w:rPr>
        <w:rFonts w:ascii="Wingdings" w:hAnsi="Wingdings" w:hint="default"/>
        <w:sz w:val="20"/>
      </w:rPr>
    </w:lvl>
    <w:lvl w:ilvl="8" w:tplc="418C1682"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8410C0"/>
    <w:multiLevelType w:val="hybridMultilevel"/>
    <w:tmpl w:val="80D62336"/>
    <w:lvl w:ilvl="0" w:tplc="2C7AA2D4">
      <w:start w:val="1"/>
      <w:numFmt w:val="decimal"/>
      <w:pStyle w:val="BodyText-Numbered"/>
      <w:lvlText w:val="%1."/>
      <w:lvlJc w:val="left"/>
      <w:pPr>
        <w:ind w:left="567" w:hanging="567"/>
      </w:pPr>
      <w:rPr>
        <w:rFonts w:hint="default"/>
      </w:rPr>
    </w:lvl>
    <w:lvl w:ilvl="1" w:tplc="23EEBD50">
      <w:start w:val="1"/>
      <w:numFmt w:val="bullet"/>
      <w:lvlText w:val=""/>
      <w:lvlJc w:val="left"/>
      <w:pPr>
        <w:ind w:left="1134" w:hanging="567"/>
      </w:pPr>
      <w:rPr>
        <w:rFonts w:ascii="Symbol" w:hAnsi="Symbol" w:hint="default"/>
      </w:rPr>
    </w:lvl>
    <w:lvl w:ilvl="2" w:tplc="2C8C7D24">
      <w:start w:val="1"/>
      <w:numFmt w:val="lowerRoman"/>
      <w:lvlText w:val="%3."/>
      <w:lvlJc w:val="left"/>
      <w:pPr>
        <w:ind w:left="1701" w:hanging="567"/>
      </w:pPr>
      <w:rPr>
        <w:rFonts w:hint="default"/>
      </w:rPr>
    </w:lvl>
    <w:lvl w:ilvl="3" w:tplc="4AA0698A">
      <w:start w:val="1"/>
      <w:numFmt w:val="decimal"/>
      <w:lvlText w:val="(%4)"/>
      <w:lvlJc w:val="left"/>
      <w:pPr>
        <w:ind w:left="2268" w:hanging="567"/>
      </w:pPr>
      <w:rPr>
        <w:rFonts w:hint="default"/>
      </w:rPr>
    </w:lvl>
    <w:lvl w:ilvl="4" w:tplc="53F2EA8A">
      <w:start w:val="1"/>
      <w:numFmt w:val="lowerLetter"/>
      <w:lvlText w:val="(%5)"/>
      <w:lvlJc w:val="left"/>
      <w:pPr>
        <w:ind w:left="2835" w:hanging="567"/>
      </w:pPr>
      <w:rPr>
        <w:rFonts w:hint="default"/>
      </w:rPr>
    </w:lvl>
    <w:lvl w:ilvl="5" w:tplc="64186AE6">
      <w:start w:val="1"/>
      <w:numFmt w:val="lowerRoman"/>
      <w:lvlText w:val="(%6)"/>
      <w:lvlJc w:val="left"/>
      <w:pPr>
        <w:ind w:left="3402" w:hanging="567"/>
      </w:pPr>
      <w:rPr>
        <w:rFonts w:hint="default"/>
      </w:rPr>
    </w:lvl>
    <w:lvl w:ilvl="6" w:tplc="95DEFDFE">
      <w:start w:val="1"/>
      <w:numFmt w:val="decimal"/>
      <w:lvlText w:val="%7."/>
      <w:lvlJc w:val="left"/>
      <w:pPr>
        <w:ind w:left="3969" w:hanging="567"/>
      </w:pPr>
      <w:rPr>
        <w:rFonts w:hint="default"/>
      </w:rPr>
    </w:lvl>
    <w:lvl w:ilvl="7" w:tplc="BBD8C1D8">
      <w:start w:val="1"/>
      <w:numFmt w:val="lowerLetter"/>
      <w:lvlText w:val="%8."/>
      <w:lvlJc w:val="left"/>
      <w:pPr>
        <w:ind w:left="4536" w:hanging="567"/>
      </w:pPr>
      <w:rPr>
        <w:rFonts w:hint="default"/>
      </w:rPr>
    </w:lvl>
    <w:lvl w:ilvl="8" w:tplc="0CF42E22">
      <w:start w:val="1"/>
      <w:numFmt w:val="lowerRoman"/>
      <w:lvlText w:val="%9."/>
      <w:lvlJc w:val="left"/>
      <w:pPr>
        <w:ind w:left="5103" w:hanging="567"/>
      </w:pPr>
      <w:rPr>
        <w:rFonts w:hint="default"/>
      </w:rPr>
    </w:lvl>
  </w:abstractNum>
  <w:abstractNum w:abstractNumId="24"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2"/>
  </w:num>
  <w:num w:numId="4">
    <w:abstractNumId w:val="12"/>
  </w:num>
  <w:num w:numId="5">
    <w:abstractNumId w:val="33"/>
  </w:num>
  <w:num w:numId="6">
    <w:abstractNumId w:val="28"/>
  </w:num>
  <w:num w:numId="7">
    <w:abstractNumId w:val="11"/>
  </w:num>
  <w:num w:numId="8">
    <w:abstractNumId w:val="15"/>
  </w:num>
  <w:num w:numId="9">
    <w:abstractNumId w:val="8"/>
  </w:num>
  <w:num w:numId="10">
    <w:abstractNumId w:val="21"/>
  </w:num>
  <w:num w:numId="11">
    <w:abstractNumId w:val="26"/>
  </w:num>
  <w:num w:numId="12">
    <w:abstractNumId w:val="4"/>
  </w:num>
  <w:num w:numId="13">
    <w:abstractNumId w:val="10"/>
  </w:num>
  <w:num w:numId="14">
    <w:abstractNumId w:val="16"/>
  </w:num>
  <w:num w:numId="15">
    <w:abstractNumId w:val="13"/>
  </w:num>
  <w:num w:numId="16">
    <w:abstractNumId w:val="7"/>
  </w:num>
  <w:num w:numId="17">
    <w:abstractNumId w:val="31"/>
  </w:num>
  <w:num w:numId="18">
    <w:abstractNumId w:val="2"/>
  </w:num>
  <w:num w:numId="19">
    <w:abstractNumId w:val="18"/>
  </w:num>
  <w:num w:numId="20">
    <w:abstractNumId w:val="30"/>
  </w:num>
  <w:num w:numId="21">
    <w:abstractNumId w:val="24"/>
  </w:num>
  <w:num w:numId="22">
    <w:abstractNumId w:val="9"/>
  </w:num>
  <w:num w:numId="23">
    <w:abstractNumId w:val="29"/>
  </w:num>
  <w:num w:numId="24">
    <w:abstractNumId w:val="27"/>
  </w:num>
  <w:num w:numId="25">
    <w:abstractNumId w:val="0"/>
  </w:num>
  <w:num w:numId="26">
    <w:abstractNumId w:val="19"/>
  </w:num>
  <w:num w:numId="27">
    <w:abstractNumId w:val="22"/>
  </w:num>
  <w:num w:numId="28">
    <w:abstractNumId w:val="2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3"/>
  </w:num>
  <w:num w:numId="36">
    <w:abstractNumId w:val="14"/>
  </w:num>
  <w:num w:numId="37">
    <w:abstractNumId w:val="3"/>
  </w:num>
  <w:num w:numId="38">
    <w:abstractNumId w:val="6"/>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0586"/>
    <w:rsid w:val="000029CC"/>
    <w:rsid w:val="00003746"/>
    <w:rsid w:val="00012718"/>
    <w:rsid w:val="00013DB3"/>
    <w:rsid w:val="00014C18"/>
    <w:rsid w:val="00016188"/>
    <w:rsid w:val="00016ABF"/>
    <w:rsid w:val="00017510"/>
    <w:rsid w:val="0001769E"/>
    <w:rsid w:val="000215FE"/>
    <w:rsid w:val="00023A75"/>
    <w:rsid w:val="000259FC"/>
    <w:rsid w:val="0002662A"/>
    <w:rsid w:val="00030EC1"/>
    <w:rsid w:val="00032B95"/>
    <w:rsid w:val="00034185"/>
    <w:rsid w:val="0003477E"/>
    <w:rsid w:val="0003500F"/>
    <w:rsid w:val="00035A36"/>
    <w:rsid w:val="00036E09"/>
    <w:rsid w:val="000434D8"/>
    <w:rsid w:val="000463AD"/>
    <w:rsid w:val="00051A88"/>
    <w:rsid w:val="000535CE"/>
    <w:rsid w:val="00054AF4"/>
    <w:rsid w:val="00056353"/>
    <w:rsid w:val="00061B9E"/>
    <w:rsid w:val="0006224F"/>
    <w:rsid w:val="00062B64"/>
    <w:rsid w:val="00064EA2"/>
    <w:rsid w:val="00066094"/>
    <w:rsid w:val="0006657A"/>
    <w:rsid w:val="0007206A"/>
    <w:rsid w:val="0007389C"/>
    <w:rsid w:val="00073A88"/>
    <w:rsid w:val="00074D43"/>
    <w:rsid w:val="00075961"/>
    <w:rsid w:val="00080E67"/>
    <w:rsid w:val="00082B07"/>
    <w:rsid w:val="0009009A"/>
    <w:rsid w:val="000917DB"/>
    <w:rsid w:val="000920DD"/>
    <w:rsid w:val="0009399E"/>
    <w:rsid w:val="0009467F"/>
    <w:rsid w:val="000975A3"/>
    <w:rsid w:val="000A3146"/>
    <w:rsid w:val="000A4841"/>
    <w:rsid w:val="000A50DF"/>
    <w:rsid w:val="000A7A63"/>
    <w:rsid w:val="000B2200"/>
    <w:rsid w:val="000B22E9"/>
    <w:rsid w:val="000B62F1"/>
    <w:rsid w:val="000B74C7"/>
    <w:rsid w:val="000C2D14"/>
    <w:rsid w:val="000C3197"/>
    <w:rsid w:val="000C529D"/>
    <w:rsid w:val="000C5A1B"/>
    <w:rsid w:val="000C61E0"/>
    <w:rsid w:val="000D0766"/>
    <w:rsid w:val="000D2B55"/>
    <w:rsid w:val="000D3C8A"/>
    <w:rsid w:val="000D5BB8"/>
    <w:rsid w:val="000D7D7C"/>
    <w:rsid w:val="000E0472"/>
    <w:rsid w:val="000E180F"/>
    <w:rsid w:val="000E22A9"/>
    <w:rsid w:val="000E28E5"/>
    <w:rsid w:val="000E31E9"/>
    <w:rsid w:val="000E5937"/>
    <w:rsid w:val="000F07C2"/>
    <w:rsid w:val="000F08AF"/>
    <w:rsid w:val="000F2317"/>
    <w:rsid w:val="000F2484"/>
    <w:rsid w:val="000F58F3"/>
    <w:rsid w:val="000F5E50"/>
    <w:rsid w:val="00100007"/>
    <w:rsid w:val="00100388"/>
    <w:rsid w:val="001012CE"/>
    <w:rsid w:val="00105AA6"/>
    <w:rsid w:val="00105B1B"/>
    <w:rsid w:val="0010638C"/>
    <w:rsid w:val="00106948"/>
    <w:rsid w:val="00110BD6"/>
    <w:rsid w:val="00113519"/>
    <w:rsid w:val="001149B4"/>
    <w:rsid w:val="00116C61"/>
    <w:rsid w:val="001171B4"/>
    <w:rsid w:val="0011778D"/>
    <w:rsid w:val="00117D83"/>
    <w:rsid w:val="00120E03"/>
    <w:rsid w:val="00121E12"/>
    <w:rsid w:val="0012424D"/>
    <w:rsid w:val="00132887"/>
    <w:rsid w:val="001342B2"/>
    <w:rsid w:val="001358C3"/>
    <w:rsid w:val="0013779C"/>
    <w:rsid w:val="00137F5F"/>
    <w:rsid w:val="0014016B"/>
    <w:rsid w:val="00144191"/>
    <w:rsid w:val="00144AD7"/>
    <w:rsid w:val="00145D02"/>
    <w:rsid w:val="00146576"/>
    <w:rsid w:val="001471E2"/>
    <w:rsid w:val="00150A24"/>
    <w:rsid w:val="0015564C"/>
    <w:rsid w:val="00160D88"/>
    <w:rsid w:val="001624D2"/>
    <w:rsid w:val="001660B5"/>
    <w:rsid w:val="00166CB7"/>
    <w:rsid w:val="00167576"/>
    <w:rsid w:val="001761B4"/>
    <w:rsid w:val="00182032"/>
    <w:rsid w:val="00184875"/>
    <w:rsid w:val="00190453"/>
    <w:rsid w:val="00192E6C"/>
    <w:rsid w:val="00193CAB"/>
    <w:rsid w:val="00194089"/>
    <w:rsid w:val="00194E57"/>
    <w:rsid w:val="001960CA"/>
    <w:rsid w:val="001A124C"/>
    <w:rsid w:val="001A1C3A"/>
    <w:rsid w:val="001A2A53"/>
    <w:rsid w:val="001A5609"/>
    <w:rsid w:val="001A59BD"/>
    <w:rsid w:val="001A6DA5"/>
    <w:rsid w:val="001A712A"/>
    <w:rsid w:val="001B3BEB"/>
    <w:rsid w:val="001B3E1F"/>
    <w:rsid w:val="001B4792"/>
    <w:rsid w:val="001C0E3E"/>
    <w:rsid w:val="001C0FCE"/>
    <w:rsid w:val="001C0FE8"/>
    <w:rsid w:val="001C3B69"/>
    <w:rsid w:val="001C405D"/>
    <w:rsid w:val="001C4E16"/>
    <w:rsid w:val="001C5B8A"/>
    <w:rsid w:val="001C5D87"/>
    <w:rsid w:val="001D08D0"/>
    <w:rsid w:val="001D0C66"/>
    <w:rsid w:val="001D165E"/>
    <w:rsid w:val="001D200F"/>
    <w:rsid w:val="001D3D9E"/>
    <w:rsid w:val="001D3E1E"/>
    <w:rsid w:val="001D4C1F"/>
    <w:rsid w:val="001D5E21"/>
    <w:rsid w:val="001D6693"/>
    <w:rsid w:val="001D6B6F"/>
    <w:rsid w:val="001E0D43"/>
    <w:rsid w:val="001E2E4F"/>
    <w:rsid w:val="001E4072"/>
    <w:rsid w:val="001E6620"/>
    <w:rsid w:val="001F110C"/>
    <w:rsid w:val="001F6862"/>
    <w:rsid w:val="001F7292"/>
    <w:rsid w:val="001F7736"/>
    <w:rsid w:val="001F77F0"/>
    <w:rsid w:val="00201383"/>
    <w:rsid w:val="0020452C"/>
    <w:rsid w:val="002062E9"/>
    <w:rsid w:val="002066C0"/>
    <w:rsid w:val="00207CEA"/>
    <w:rsid w:val="002105A1"/>
    <w:rsid w:val="002106CB"/>
    <w:rsid w:val="00210F73"/>
    <w:rsid w:val="002127DC"/>
    <w:rsid w:val="00213EFF"/>
    <w:rsid w:val="0021458A"/>
    <w:rsid w:val="00216237"/>
    <w:rsid w:val="00217894"/>
    <w:rsid w:val="0022024D"/>
    <w:rsid w:val="00220822"/>
    <w:rsid w:val="00221512"/>
    <w:rsid w:val="00223E66"/>
    <w:rsid w:val="002304BA"/>
    <w:rsid w:val="0023110A"/>
    <w:rsid w:val="00231115"/>
    <w:rsid w:val="002326A2"/>
    <w:rsid w:val="002329A5"/>
    <w:rsid w:val="00233FB2"/>
    <w:rsid w:val="002342F1"/>
    <w:rsid w:val="002362A8"/>
    <w:rsid w:val="00236EF2"/>
    <w:rsid w:val="00237238"/>
    <w:rsid w:val="00237792"/>
    <w:rsid w:val="0024078E"/>
    <w:rsid w:val="0024289C"/>
    <w:rsid w:val="00243DC6"/>
    <w:rsid w:val="0024591D"/>
    <w:rsid w:val="00250433"/>
    <w:rsid w:val="0025327C"/>
    <w:rsid w:val="00254F08"/>
    <w:rsid w:val="0026305F"/>
    <w:rsid w:val="00263153"/>
    <w:rsid w:val="0026335F"/>
    <w:rsid w:val="002652C4"/>
    <w:rsid w:val="00267F6F"/>
    <w:rsid w:val="002717B4"/>
    <w:rsid w:val="00273A42"/>
    <w:rsid w:val="0027596C"/>
    <w:rsid w:val="00275D0D"/>
    <w:rsid w:val="002801EB"/>
    <w:rsid w:val="00280295"/>
    <w:rsid w:val="00282A26"/>
    <w:rsid w:val="002835E2"/>
    <w:rsid w:val="0028611F"/>
    <w:rsid w:val="0028658F"/>
    <w:rsid w:val="00290651"/>
    <w:rsid w:val="00291D05"/>
    <w:rsid w:val="00292A1F"/>
    <w:rsid w:val="00293FDC"/>
    <w:rsid w:val="00294824"/>
    <w:rsid w:val="00297506"/>
    <w:rsid w:val="00297AD6"/>
    <w:rsid w:val="002A048C"/>
    <w:rsid w:val="002A42E1"/>
    <w:rsid w:val="002A56F0"/>
    <w:rsid w:val="002A6A33"/>
    <w:rsid w:val="002A7193"/>
    <w:rsid w:val="002A730E"/>
    <w:rsid w:val="002A75CC"/>
    <w:rsid w:val="002B129A"/>
    <w:rsid w:val="002C03DD"/>
    <w:rsid w:val="002C4030"/>
    <w:rsid w:val="002C56C1"/>
    <w:rsid w:val="002C6483"/>
    <w:rsid w:val="002C785B"/>
    <w:rsid w:val="002C7AE2"/>
    <w:rsid w:val="002D11E1"/>
    <w:rsid w:val="002D4961"/>
    <w:rsid w:val="002D54C0"/>
    <w:rsid w:val="002D5734"/>
    <w:rsid w:val="002D63C9"/>
    <w:rsid w:val="002D6B28"/>
    <w:rsid w:val="002D6C7F"/>
    <w:rsid w:val="002D7712"/>
    <w:rsid w:val="002E675F"/>
    <w:rsid w:val="002F154A"/>
    <w:rsid w:val="002F1595"/>
    <w:rsid w:val="002F2217"/>
    <w:rsid w:val="002F316B"/>
    <w:rsid w:val="002F57C1"/>
    <w:rsid w:val="0030117A"/>
    <w:rsid w:val="003032A3"/>
    <w:rsid w:val="0030398B"/>
    <w:rsid w:val="00304CE4"/>
    <w:rsid w:val="00304ECD"/>
    <w:rsid w:val="00315504"/>
    <w:rsid w:val="00315D9C"/>
    <w:rsid w:val="00316701"/>
    <w:rsid w:val="00316D6D"/>
    <w:rsid w:val="0032262A"/>
    <w:rsid w:val="00323163"/>
    <w:rsid w:val="00324230"/>
    <w:rsid w:val="0032503F"/>
    <w:rsid w:val="003265B9"/>
    <w:rsid w:val="0032749E"/>
    <w:rsid w:val="00332FB2"/>
    <w:rsid w:val="00333257"/>
    <w:rsid w:val="003342B4"/>
    <w:rsid w:val="00335AAA"/>
    <w:rsid w:val="00336018"/>
    <w:rsid w:val="0033708B"/>
    <w:rsid w:val="003378C5"/>
    <w:rsid w:val="00340703"/>
    <w:rsid w:val="00341283"/>
    <w:rsid w:val="00342B16"/>
    <w:rsid w:val="0034391B"/>
    <w:rsid w:val="00350769"/>
    <w:rsid w:val="00353609"/>
    <w:rsid w:val="003544C4"/>
    <w:rsid w:val="00354F24"/>
    <w:rsid w:val="00355680"/>
    <w:rsid w:val="00355DF4"/>
    <w:rsid w:val="00360124"/>
    <w:rsid w:val="0036330E"/>
    <w:rsid w:val="0036369F"/>
    <w:rsid w:val="003648CE"/>
    <w:rsid w:val="00364CDA"/>
    <w:rsid w:val="0036716C"/>
    <w:rsid w:val="00367FB0"/>
    <w:rsid w:val="003720F8"/>
    <w:rsid w:val="00372863"/>
    <w:rsid w:val="003730F0"/>
    <w:rsid w:val="00380585"/>
    <w:rsid w:val="00381E78"/>
    <w:rsid w:val="003902D7"/>
    <w:rsid w:val="00390D40"/>
    <w:rsid w:val="00391E54"/>
    <w:rsid w:val="003964BA"/>
    <w:rsid w:val="003A0797"/>
    <w:rsid w:val="003A17A0"/>
    <w:rsid w:val="003A1B76"/>
    <w:rsid w:val="003A24C3"/>
    <w:rsid w:val="003A2AC0"/>
    <w:rsid w:val="003A69F9"/>
    <w:rsid w:val="003B04AF"/>
    <w:rsid w:val="003B29A3"/>
    <w:rsid w:val="003C1066"/>
    <w:rsid w:val="003C12FA"/>
    <w:rsid w:val="003C4A77"/>
    <w:rsid w:val="003D0D5E"/>
    <w:rsid w:val="003D2B86"/>
    <w:rsid w:val="003D3871"/>
    <w:rsid w:val="003D6225"/>
    <w:rsid w:val="003D6428"/>
    <w:rsid w:val="003D7551"/>
    <w:rsid w:val="003E2CE4"/>
    <w:rsid w:val="003E5E43"/>
    <w:rsid w:val="003E70BA"/>
    <w:rsid w:val="003F07FC"/>
    <w:rsid w:val="003F0DF3"/>
    <w:rsid w:val="003F2E80"/>
    <w:rsid w:val="00400149"/>
    <w:rsid w:val="004002BB"/>
    <w:rsid w:val="00400657"/>
    <w:rsid w:val="00402CFB"/>
    <w:rsid w:val="00403FCA"/>
    <w:rsid w:val="00405776"/>
    <w:rsid w:val="00405AE4"/>
    <w:rsid w:val="00407017"/>
    <w:rsid w:val="00407CF7"/>
    <w:rsid w:val="00411B16"/>
    <w:rsid w:val="00413382"/>
    <w:rsid w:val="00413686"/>
    <w:rsid w:val="004142E2"/>
    <w:rsid w:val="00414D0D"/>
    <w:rsid w:val="00415162"/>
    <w:rsid w:val="004158DB"/>
    <w:rsid w:val="0042071C"/>
    <w:rsid w:val="00421B51"/>
    <w:rsid w:val="0042459E"/>
    <w:rsid w:val="004245E2"/>
    <w:rsid w:val="004347CA"/>
    <w:rsid w:val="004367E7"/>
    <w:rsid w:val="00441BB8"/>
    <w:rsid w:val="00441C7C"/>
    <w:rsid w:val="00446115"/>
    <w:rsid w:val="00451D5F"/>
    <w:rsid w:val="004557E2"/>
    <w:rsid w:val="00456ED6"/>
    <w:rsid w:val="00460BD0"/>
    <w:rsid w:val="00470D09"/>
    <w:rsid w:val="00470EDE"/>
    <w:rsid w:val="00471186"/>
    <w:rsid w:val="004714E1"/>
    <w:rsid w:val="00471661"/>
    <w:rsid w:val="00472489"/>
    <w:rsid w:val="00472D95"/>
    <w:rsid w:val="004839AD"/>
    <w:rsid w:val="004863A5"/>
    <w:rsid w:val="0049212A"/>
    <w:rsid w:val="004933E0"/>
    <w:rsid w:val="004949B0"/>
    <w:rsid w:val="004976C6"/>
    <w:rsid w:val="004A192D"/>
    <w:rsid w:val="004A2E79"/>
    <w:rsid w:val="004A3DE0"/>
    <w:rsid w:val="004A4BA1"/>
    <w:rsid w:val="004A4C8A"/>
    <w:rsid w:val="004A5312"/>
    <w:rsid w:val="004A6227"/>
    <w:rsid w:val="004A7104"/>
    <w:rsid w:val="004A7688"/>
    <w:rsid w:val="004B24A6"/>
    <w:rsid w:val="004B26AC"/>
    <w:rsid w:val="004B67CE"/>
    <w:rsid w:val="004B731F"/>
    <w:rsid w:val="004B7D66"/>
    <w:rsid w:val="004C2639"/>
    <w:rsid w:val="004C7398"/>
    <w:rsid w:val="004D0BFA"/>
    <w:rsid w:val="004D4D1B"/>
    <w:rsid w:val="004D63A9"/>
    <w:rsid w:val="004E028E"/>
    <w:rsid w:val="004E0E3E"/>
    <w:rsid w:val="004E3EC1"/>
    <w:rsid w:val="004E7DDC"/>
    <w:rsid w:val="004F1E25"/>
    <w:rsid w:val="004F4B6C"/>
    <w:rsid w:val="0050142C"/>
    <w:rsid w:val="00501CF6"/>
    <w:rsid w:val="00503797"/>
    <w:rsid w:val="00506031"/>
    <w:rsid w:val="00507E2E"/>
    <w:rsid w:val="0051258C"/>
    <w:rsid w:val="00514115"/>
    <w:rsid w:val="00514C12"/>
    <w:rsid w:val="00514CF4"/>
    <w:rsid w:val="0051710E"/>
    <w:rsid w:val="00521BDE"/>
    <w:rsid w:val="00522170"/>
    <w:rsid w:val="005247BC"/>
    <w:rsid w:val="005304F2"/>
    <w:rsid w:val="00530ABD"/>
    <w:rsid w:val="00531EAC"/>
    <w:rsid w:val="0053213E"/>
    <w:rsid w:val="00533E6F"/>
    <w:rsid w:val="00536571"/>
    <w:rsid w:val="0054064E"/>
    <w:rsid w:val="005415A8"/>
    <w:rsid w:val="00541811"/>
    <w:rsid w:val="005429F8"/>
    <w:rsid w:val="00546F69"/>
    <w:rsid w:val="0055317C"/>
    <w:rsid w:val="005531CA"/>
    <w:rsid w:val="0055485A"/>
    <w:rsid w:val="00560241"/>
    <w:rsid w:val="00562BE6"/>
    <w:rsid w:val="00564647"/>
    <w:rsid w:val="0056493D"/>
    <w:rsid w:val="005654E0"/>
    <w:rsid w:val="00567434"/>
    <w:rsid w:val="0056755D"/>
    <w:rsid w:val="00573CDF"/>
    <w:rsid w:val="005744B1"/>
    <w:rsid w:val="00574AF8"/>
    <w:rsid w:val="005764AB"/>
    <w:rsid w:val="00577B6B"/>
    <w:rsid w:val="00580BDE"/>
    <w:rsid w:val="005819AF"/>
    <w:rsid w:val="00582E0F"/>
    <w:rsid w:val="0058327D"/>
    <w:rsid w:val="00585F37"/>
    <w:rsid w:val="00586670"/>
    <w:rsid w:val="005876C7"/>
    <w:rsid w:val="005876FF"/>
    <w:rsid w:val="00590A95"/>
    <w:rsid w:val="00594C4B"/>
    <w:rsid w:val="005960F5"/>
    <w:rsid w:val="005A3981"/>
    <w:rsid w:val="005A4E92"/>
    <w:rsid w:val="005B0875"/>
    <w:rsid w:val="005B09E2"/>
    <w:rsid w:val="005B1A07"/>
    <w:rsid w:val="005B2543"/>
    <w:rsid w:val="005B4493"/>
    <w:rsid w:val="005B5159"/>
    <w:rsid w:val="005C0A80"/>
    <w:rsid w:val="005C3039"/>
    <w:rsid w:val="005C35F6"/>
    <w:rsid w:val="005C494A"/>
    <w:rsid w:val="005D0F5F"/>
    <w:rsid w:val="005D1504"/>
    <w:rsid w:val="005D19FE"/>
    <w:rsid w:val="005D25F6"/>
    <w:rsid w:val="005D27AC"/>
    <w:rsid w:val="005D2FAE"/>
    <w:rsid w:val="005D42AB"/>
    <w:rsid w:val="005D5BF0"/>
    <w:rsid w:val="005D5F7A"/>
    <w:rsid w:val="005D61D7"/>
    <w:rsid w:val="005D6980"/>
    <w:rsid w:val="005D7A1E"/>
    <w:rsid w:val="005E2657"/>
    <w:rsid w:val="005E2F2D"/>
    <w:rsid w:val="005E4CA6"/>
    <w:rsid w:val="005F1944"/>
    <w:rsid w:val="005F4C7B"/>
    <w:rsid w:val="005F5D4F"/>
    <w:rsid w:val="005F5F43"/>
    <w:rsid w:val="005F77D2"/>
    <w:rsid w:val="00600C30"/>
    <w:rsid w:val="00601E26"/>
    <w:rsid w:val="00602C19"/>
    <w:rsid w:val="006040B6"/>
    <w:rsid w:val="00604B49"/>
    <w:rsid w:val="006059E4"/>
    <w:rsid w:val="00606287"/>
    <w:rsid w:val="00607399"/>
    <w:rsid w:val="0061056E"/>
    <w:rsid w:val="00616CAC"/>
    <w:rsid w:val="00616D60"/>
    <w:rsid w:val="0062097D"/>
    <w:rsid w:val="0062223D"/>
    <w:rsid w:val="006239A3"/>
    <w:rsid w:val="006262C0"/>
    <w:rsid w:val="00630DED"/>
    <w:rsid w:val="006319A1"/>
    <w:rsid w:val="00633594"/>
    <w:rsid w:val="00633E47"/>
    <w:rsid w:val="006358DE"/>
    <w:rsid w:val="0063674A"/>
    <w:rsid w:val="006403C2"/>
    <w:rsid w:val="006476ED"/>
    <w:rsid w:val="00651B5A"/>
    <w:rsid w:val="00654086"/>
    <w:rsid w:val="00655924"/>
    <w:rsid w:val="00655FA9"/>
    <w:rsid w:val="0065658A"/>
    <w:rsid w:val="00656596"/>
    <w:rsid w:val="00657B81"/>
    <w:rsid w:val="0066198D"/>
    <w:rsid w:val="00662FC7"/>
    <w:rsid w:val="006640C9"/>
    <w:rsid w:val="0066427E"/>
    <w:rsid w:val="00667D30"/>
    <w:rsid w:val="00671120"/>
    <w:rsid w:val="006720C8"/>
    <w:rsid w:val="00672923"/>
    <w:rsid w:val="00672E98"/>
    <w:rsid w:val="0067537D"/>
    <w:rsid w:val="00676708"/>
    <w:rsid w:val="006768BA"/>
    <w:rsid w:val="00681B2A"/>
    <w:rsid w:val="00686396"/>
    <w:rsid w:val="00686B28"/>
    <w:rsid w:val="006878F6"/>
    <w:rsid w:val="00690106"/>
    <w:rsid w:val="006914EB"/>
    <w:rsid w:val="00691F0E"/>
    <w:rsid w:val="0069218C"/>
    <w:rsid w:val="00694497"/>
    <w:rsid w:val="0069572D"/>
    <w:rsid w:val="00695DAC"/>
    <w:rsid w:val="0069683F"/>
    <w:rsid w:val="006971AB"/>
    <w:rsid w:val="00697DEC"/>
    <w:rsid w:val="006A0CA7"/>
    <w:rsid w:val="006A33EF"/>
    <w:rsid w:val="006A5EAD"/>
    <w:rsid w:val="006A70C4"/>
    <w:rsid w:val="006B0214"/>
    <w:rsid w:val="006B1547"/>
    <w:rsid w:val="006B1BEC"/>
    <w:rsid w:val="006B4D2D"/>
    <w:rsid w:val="006B57C7"/>
    <w:rsid w:val="006B60A8"/>
    <w:rsid w:val="006B7B5B"/>
    <w:rsid w:val="006C0570"/>
    <w:rsid w:val="006C0DA8"/>
    <w:rsid w:val="006C1B71"/>
    <w:rsid w:val="006C21C5"/>
    <w:rsid w:val="006C2607"/>
    <w:rsid w:val="006C2F03"/>
    <w:rsid w:val="006C397D"/>
    <w:rsid w:val="006C40C2"/>
    <w:rsid w:val="006D0EC4"/>
    <w:rsid w:val="006D3130"/>
    <w:rsid w:val="006D325D"/>
    <w:rsid w:val="006D3FD2"/>
    <w:rsid w:val="006D4679"/>
    <w:rsid w:val="006D5192"/>
    <w:rsid w:val="006D5693"/>
    <w:rsid w:val="006D72B1"/>
    <w:rsid w:val="006E4B42"/>
    <w:rsid w:val="006E4CD9"/>
    <w:rsid w:val="006E5B9C"/>
    <w:rsid w:val="006F1B00"/>
    <w:rsid w:val="006F4195"/>
    <w:rsid w:val="006F4D01"/>
    <w:rsid w:val="006F5CEE"/>
    <w:rsid w:val="006F719D"/>
    <w:rsid w:val="00701625"/>
    <w:rsid w:val="007018B8"/>
    <w:rsid w:val="007029D0"/>
    <w:rsid w:val="00703A4B"/>
    <w:rsid w:val="00704170"/>
    <w:rsid w:val="00704377"/>
    <w:rsid w:val="00705DEE"/>
    <w:rsid w:val="00705E3D"/>
    <w:rsid w:val="00707D05"/>
    <w:rsid w:val="007147EC"/>
    <w:rsid w:val="007164F6"/>
    <w:rsid w:val="0071791E"/>
    <w:rsid w:val="00721923"/>
    <w:rsid w:val="007247B2"/>
    <w:rsid w:val="00725103"/>
    <w:rsid w:val="00726A12"/>
    <w:rsid w:val="00727A4D"/>
    <w:rsid w:val="00727B7C"/>
    <w:rsid w:val="00730D00"/>
    <w:rsid w:val="00736E02"/>
    <w:rsid w:val="007418EA"/>
    <w:rsid w:val="007425CC"/>
    <w:rsid w:val="007444CA"/>
    <w:rsid w:val="00747366"/>
    <w:rsid w:val="0074750F"/>
    <w:rsid w:val="00747888"/>
    <w:rsid w:val="0075026D"/>
    <w:rsid w:val="007561AE"/>
    <w:rsid w:val="00760DBA"/>
    <w:rsid w:val="00760FDA"/>
    <w:rsid w:val="00761445"/>
    <w:rsid w:val="0076253E"/>
    <w:rsid w:val="00763A8C"/>
    <w:rsid w:val="00766CAA"/>
    <w:rsid w:val="00771958"/>
    <w:rsid w:val="0077256F"/>
    <w:rsid w:val="00773AF7"/>
    <w:rsid w:val="007805E4"/>
    <w:rsid w:val="00781284"/>
    <w:rsid w:val="007822E4"/>
    <w:rsid w:val="007828B8"/>
    <w:rsid w:val="00783360"/>
    <w:rsid w:val="00783846"/>
    <w:rsid w:val="00784291"/>
    <w:rsid w:val="00784C66"/>
    <w:rsid w:val="00785846"/>
    <w:rsid w:val="00785F49"/>
    <w:rsid w:val="00791467"/>
    <w:rsid w:val="0079175C"/>
    <w:rsid w:val="00791C34"/>
    <w:rsid w:val="00794F3B"/>
    <w:rsid w:val="00795152"/>
    <w:rsid w:val="00795550"/>
    <w:rsid w:val="007956DE"/>
    <w:rsid w:val="00795A6F"/>
    <w:rsid w:val="007A0997"/>
    <w:rsid w:val="007A2F85"/>
    <w:rsid w:val="007A484F"/>
    <w:rsid w:val="007A575F"/>
    <w:rsid w:val="007A5EDA"/>
    <w:rsid w:val="007B1485"/>
    <w:rsid w:val="007B16F3"/>
    <w:rsid w:val="007B4038"/>
    <w:rsid w:val="007B5790"/>
    <w:rsid w:val="007B7034"/>
    <w:rsid w:val="007B73A1"/>
    <w:rsid w:val="007B758E"/>
    <w:rsid w:val="007B7F8D"/>
    <w:rsid w:val="007C23C4"/>
    <w:rsid w:val="007C2C61"/>
    <w:rsid w:val="007C77B1"/>
    <w:rsid w:val="007D0C0E"/>
    <w:rsid w:val="007D13CC"/>
    <w:rsid w:val="007D5703"/>
    <w:rsid w:val="007D7781"/>
    <w:rsid w:val="007D7F65"/>
    <w:rsid w:val="007E0242"/>
    <w:rsid w:val="007E15FA"/>
    <w:rsid w:val="007E2A04"/>
    <w:rsid w:val="007E5E17"/>
    <w:rsid w:val="007E7A12"/>
    <w:rsid w:val="007F020D"/>
    <w:rsid w:val="007F1647"/>
    <w:rsid w:val="007F2B43"/>
    <w:rsid w:val="007F2C8D"/>
    <w:rsid w:val="007F3178"/>
    <w:rsid w:val="007F534A"/>
    <w:rsid w:val="007F5576"/>
    <w:rsid w:val="007F7696"/>
    <w:rsid w:val="00800A3B"/>
    <w:rsid w:val="00800DEC"/>
    <w:rsid w:val="008021D1"/>
    <w:rsid w:val="00805D0C"/>
    <w:rsid w:val="00807920"/>
    <w:rsid w:val="0081124E"/>
    <w:rsid w:val="00811690"/>
    <w:rsid w:val="00814B61"/>
    <w:rsid w:val="00814C7C"/>
    <w:rsid w:val="00814E44"/>
    <w:rsid w:val="0081536D"/>
    <w:rsid w:val="00815FE5"/>
    <w:rsid w:val="00816ED3"/>
    <w:rsid w:val="00820870"/>
    <w:rsid w:val="00822835"/>
    <w:rsid w:val="0082305B"/>
    <w:rsid w:val="00826BE8"/>
    <w:rsid w:val="008324E7"/>
    <w:rsid w:val="0083495B"/>
    <w:rsid w:val="00835501"/>
    <w:rsid w:val="00836F67"/>
    <w:rsid w:val="00837612"/>
    <w:rsid w:val="008402A2"/>
    <w:rsid w:val="008412AE"/>
    <w:rsid w:val="0084231D"/>
    <w:rsid w:val="00842714"/>
    <w:rsid w:val="00846E79"/>
    <w:rsid w:val="00847638"/>
    <w:rsid w:val="00847938"/>
    <w:rsid w:val="0085111F"/>
    <w:rsid w:val="0085140A"/>
    <w:rsid w:val="008520E8"/>
    <w:rsid w:val="008548C5"/>
    <w:rsid w:val="008548E4"/>
    <w:rsid w:val="008551F0"/>
    <w:rsid w:val="0085650B"/>
    <w:rsid w:val="00857E41"/>
    <w:rsid w:val="00860C73"/>
    <w:rsid w:val="008645FC"/>
    <w:rsid w:val="00864EBC"/>
    <w:rsid w:val="00865B0F"/>
    <w:rsid w:val="00870D10"/>
    <w:rsid w:val="00872D60"/>
    <w:rsid w:val="00873FD5"/>
    <w:rsid w:val="0087650F"/>
    <w:rsid w:val="00881C20"/>
    <w:rsid w:val="00884EE1"/>
    <w:rsid w:val="00886BDC"/>
    <w:rsid w:val="00886DFF"/>
    <w:rsid w:val="00887A8C"/>
    <w:rsid w:val="0089664C"/>
    <w:rsid w:val="008A0C02"/>
    <w:rsid w:val="008A124E"/>
    <w:rsid w:val="008A26C4"/>
    <w:rsid w:val="008A44AF"/>
    <w:rsid w:val="008A56EB"/>
    <w:rsid w:val="008A6442"/>
    <w:rsid w:val="008A79CA"/>
    <w:rsid w:val="008B3361"/>
    <w:rsid w:val="008B56FF"/>
    <w:rsid w:val="008B5CC5"/>
    <w:rsid w:val="008C05C0"/>
    <w:rsid w:val="008C16A4"/>
    <w:rsid w:val="008C2160"/>
    <w:rsid w:val="008C4BB0"/>
    <w:rsid w:val="008C4E1A"/>
    <w:rsid w:val="008D10F9"/>
    <w:rsid w:val="008D2071"/>
    <w:rsid w:val="008D45CD"/>
    <w:rsid w:val="008D523E"/>
    <w:rsid w:val="008E0F12"/>
    <w:rsid w:val="008E176F"/>
    <w:rsid w:val="008E64D2"/>
    <w:rsid w:val="008E7CA7"/>
    <w:rsid w:val="008F0AFA"/>
    <w:rsid w:val="008F2F43"/>
    <w:rsid w:val="008F7BAB"/>
    <w:rsid w:val="00900A13"/>
    <w:rsid w:val="009014B6"/>
    <w:rsid w:val="00901C5F"/>
    <w:rsid w:val="00913E72"/>
    <w:rsid w:val="00913F6D"/>
    <w:rsid w:val="00916206"/>
    <w:rsid w:val="00916DD9"/>
    <w:rsid w:val="00917A22"/>
    <w:rsid w:val="0092751E"/>
    <w:rsid w:val="009309FE"/>
    <w:rsid w:val="00931935"/>
    <w:rsid w:val="00932E3F"/>
    <w:rsid w:val="00932FC7"/>
    <w:rsid w:val="00933A8A"/>
    <w:rsid w:val="00935D5D"/>
    <w:rsid w:val="009372A1"/>
    <w:rsid w:val="009424EA"/>
    <w:rsid w:val="0094564B"/>
    <w:rsid w:val="00947CBF"/>
    <w:rsid w:val="009511F2"/>
    <w:rsid w:val="00951ABE"/>
    <w:rsid w:val="00956B0B"/>
    <w:rsid w:val="00956FB1"/>
    <w:rsid w:val="00957BC2"/>
    <w:rsid w:val="00960FC7"/>
    <w:rsid w:val="0096111D"/>
    <w:rsid w:val="00962209"/>
    <w:rsid w:val="00964A15"/>
    <w:rsid w:val="00967E31"/>
    <w:rsid w:val="009705C1"/>
    <w:rsid w:val="00970A2B"/>
    <w:rsid w:val="00970BCF"/>
    <w:rsid w:val="009725C2"/>
    <w:rsid w:val="00980EC9"/>
    <w:rsid w:val="00981D04"/>
    <w:rsid w:val="00985126"/>
    <w:rsid w:val="00986A22"/>
    <w:rsid w:val="00986DCD"/>
    <w:rsid w:val="00990D4B"/>
    <w:rsid w:val="009929A1"/>
    <w:rsid w:val="009932EE"/>
    <w:rsid w:val="0099368B"/>
    <w:rsid w:val="009962BE"/>
    <w:rsid w:val="00996403"/>
    <w:rsid w:val="00997298"/>
    <w:rsid w:val="009A0C72"/>
    <w:rsid w:val="009A1F08"/>
    <w:rsid w:val="009A2CD8"/>
    <w:rsid w:val="009A2D3B"/>
    <w:rsid w:val="009A2F9A"/>
    <w:rsid w:val="009A7A20"/>
    <w:rsid w:val="009B1255"/>
    <w:rsid w:val="009B4532"/>
    <w:rsid w:val="009B58F3"/>
    <w:rsid w:val="009C3DF5"/>
    <w:rsid w:val="009C41A6"/>
    <w:rsid w:val="009D3DCB"/>
    <w:rsid w:val="009D474A"/>
    <w:rsid w:val="009D4EF1"/>
    <w:rsid w:val="009E390A"/>
    <w:rsid w:val="009E3B4F"/>
    <w:rsid w:val="009E40C0"/>
    <w:rsid w:val="009E686E"/>
    <w:rsid w:val="009F1A66"/>
    <w:rsid w:val="009F3DE1"/>
    <w:rsid w:val="009F57DD"/>
    <w:rsid w:val="00A00DBB"/>
    <w:rsid w:val="00A04266"/>
    <w:rsid w:val="00A042B4"/>
    <w:rsid w:val="00A063B5"/>
    <w:rsid w:val="00A06B4C"/>
    <w:rsid w:val="00A07347"/>
    <w:rsid w:val="00A10016"/>
    <w:rsid w:val="00A10E4D"/>
    <w:rsid w:val="00A12B36"/>
    <w:rsid w:val="00A146CA"/>
    <w:rsid w:val="00A20BCE"/>
    <w:rsid w:val="00A214DD"/>
    <w:rsid w:val="00A21766"/>
    <w:rsid w:val="00A22830"/>
    <w:rsid w:val="00A23FC3"/>
    <w:rsid w:val="00A31A2D"/>
    <w:rsid w:val="00A31C7C"/>
    <w:rsid w:val="00A33BA0"/>
    <w:rsid w:val="00A343C8"/>
    <w:rsid w:val="00A358C8"/>
    <w:rsid w:val="00A36902"/>
    <w:rsid w:val="00A36B45"/>
    <w:rsid w:val="00A40C4B"/>
    <w:rsid w:val="00A441F1"/>
    <w:rsid w:val="00A45051"/>
    <w:rsid w:val="00A4563F"/>
    <w:rsid w:val="00A46269"/>
    <w:rsid w:val="00A46FF2"/>
    <w:rsid w:val="00A47001"/>
    <w:rsid w:val="00A516B9"/>
    <w:rsid w:val="00A52881"/>
    <w:rsid w:val="00A552DC"/>
    <w:rsid w:val="00A60D22"/>
    <w:rsid w:val="00A613CD"/>
    <w:rsid w:val="00A647E1"/>
    <w:rsid w:val="00A6480A"/>
    <w:rsid w:val="00A65EF8"/>
    <w:rsid w:val="00A66590"/>
    <w:rsid w:val="00A678E1"/>
    <w:rsid w:val="00A700C7"/>
    <w:rsid w:val="00A70106"/>
    <w:rsid w:val="00A71496"/>
    <w:rsid w:val="00A72BF9"/>
    <w:rsid w:val="00A73530"/>
    <w:rsid w:val="00A73DD6"/>
    <w:rsid w:val="00A75531"/>
    <w:rsid w:val="00A83B9D"/>
    <w:rsid w:val="00A91FFB"/>
    <w:rsid w:val="00A9230F"/>
    <w:rsid w:val="00A925D0"/>
    <w:rsid w:val="00A92D41"/>
    <w:rsid w:val="00A93CBA"/>
    <w:rsid w:val="00A95464"/>
    <w:rsid w:val="00A95591"/>
    <w:rsid w:val="00AA1002"/>
    <w:rsid w:val="00AA77B0"/>
    <w:rsid w:val="00AB0566"/>
    <w:rsid w:val="00AB1B9C"/>
    <w:rsid w:val="00AB73B3"/>
    <w:rsid w:val="00AB7673"/>
    <w:rsid w:val="00AC3B13"/>
    <w:rsid w:val="00AC61DA"/>
    <w:rsid w:val="00AD2183"/>
    <w:rsid w:val="00AD2389"/>
    <w:rsid w:val="00AD30A2"/>
    <w:rsid w:val="00AD351F"/>
    <w:rsid w:val="00AD526C"/>
    <w:rsid w:val="00AE2CD9"/>
    <w:rsid w:val="00AE3EF6"/>
    <w:rsid w:val="00AE4238"/>
    <w:rsid w:val="00AE4D46"/>
    <w:rsid w:val="00AE6A16"/>
    <w:rsid w:val="00AE74DD"/>
    <w:rsid w:val="00AF05A2"/>
    <w:rsid w:val="00AF05B4"/>
    <w:rsid w:val="00AF0CBF"/>
    <w:rsid w:val="00AF3223"/>
    <w:rsid w:val="00AF3A37"/>
    <w:rsid w:val="00AF6336"/>
    <w:rsid w:val="00AF7946"/>
    <w:rsid w:val="00B00A54"/>
    <w:rsid w:val="00B00B24"/>
    <w:rsid w:val="00B01849"/>
    <w:rsid w:val="00B02DB0"/>
    <w:rsid w:val="00B037EF"/>
    <w:rsid w:val="00B03867"/>
    <w:rsid w:val="00B07576"/>
    <w:rsid w:val="00B13AAD"/>
    <w:rsid w:val="00B1456F"/>
    <w:rsid w:val="00B15F56"/>
    <w:rsid w:val="00B17B3C"/>
    <w:rsid w:val="00B203FA"/>
    <w:rsid w:val="00B20765"/>
    <w:rsid w:val="00B23E8A"/>
    <w:rsid w:val="00B25256"/>
    <w:rsid w:val="00B261F5"/>
    <w:rsid w:val="00B274E5"/>
    <w:rsid w:val="00B327A7"/>
    <w:rsid w:val="00B36296"/>
    <w:rsid w:val="00B4041D"/>
    <w:rsid w:val="00B4308C"/>
    <w:rsid w:val="00B43735"/>
    <w:rsid w:val="00B47208"/>
    <w:rsid w:val="00B478FE"/>
    <w:rsid w:val="00B51411"/>
    <w:rsid w:val="00B51B48"/>
    <w:rsid w:val="00B5287E"/>
    <w:rsid w:val="00B547D8"/>
    <w:rsid w:val="00B54C20"/>
    <w:rsid w:val="00B553C9"/>
    <w:rsid w:val="00B64BCA"/>
    <w:rsid w:val="00B651CB"/>
    <w:rsid w:val="00B6639B"/>
    <w:rsid w:val="00B7199E"/>
    <w:rsid w:val="00B72F23"/>
    <w:rsid w:val="00B76EFD"/>
    <w:rsid w:val="00B77C7B"/>
    <w:rsid w:val="00B80EB1"/>
    <w:rsid w:val="00B81D3D"/>
    <w:rsid w:val="00B842DA"/>
    <w:rsid w:val="00B84503"/>
    <w:rsid w:val="00B847DE"/>
    <w:rsid w:val="00B85900"/>
    <w:rsid w:val="00B90EED"/>
    <w:rsid w:val="00B93357"/>
    <w:rsid w:val="00B9409E"/>
    <w:rsid w:val="00B952B7"/>
    <w:rsid w:val="00B9535B"/>
    <w:rsid w:val="00B9633E"/>
    <w:rsid w:val="00BA08C7"/>
    <w:rsid w:val="00BA18C4"/>
    <w:rsid w:val="00BA6B4B"/>
    <w:rsid w:val="00BA7028"/>
    <w:rsid w:val="00BA7FA0"/>
    <w:rsid w:val="00BB262A"/>
    <w:rsid w:val="00BB3062"/>
    <w:rsid w:val="00BB4EA2"/>
    <w:rsid w:val="00BB60D6"/>
    <w:rsid w:val="00BB78F1"/>
    <w:rsid w:val="00BB793C"/>
    <w:rsid w:val="00BC2333"/>
    <w:rsid w:val="00BC2351"/>
    <w:rsid w:val="00BC2354"/>
    <w:rsid w:val="00BC51B1"/>
    <w:rsid w:val="00BC577B"/>
    <w:rsid w:val="00BC7440"/>
    <w:rsid w:val="00BC79DA"/>
    <w:rsid w:val="00BD1ACC"/>
    <w:rsid w:val="00BD1D7E"/>
    <w:rsid w:val="00BD537F"/>
    <w:rsid w:val="00BD62A5"/>
    <w:rsid w:val="00BD6D1C"/>
    <w:rsid w:val="00BD6D30"/>
    <w:rsid w:val="00BD7E40"/>
    <w:rsid w:val="00BE1602"/>
    <w:rsid w:val="00BE370E"/>
    <w:rsid w:val="00BE487F"/>
    <w:rsid w:val="00BE4A62"/>
    <w:rsid w:val="00BE62EB"/>
    <w:rsid w:val="00BE6EEB"/>
    <w:rsid w:val="00BF0DA8"/>
    <w:rsid w:val="00BF154D"/>
    <w:rsid w:val="00BF18FC"/>
    <w:rsid w:val="00BF31F4"/>
    <w:rsid w:val="00BF7965"/>
    <w:rsid w:val="00C0115F"/>
    <w:rsid w:val="00C02BF3"/>
    <w:rsid w:val="00C03EBA"/>
    <w:rsid w:val="00C03FAB"/>
    <w:rsid w:val="00C0407C"/>
    <w:rsid w:val="00C05A4B"/>
    <w:rsid w:val="00C10C2A"/>
    <w:rsid w:val="00C10EF8"/>
    <w:rsid w:val="00C11F3B"/>
    <w:rsid w:val="00C129D4"/>
    <w:rsid w:val="00C15B3C"/>
    <w:rsid w:val="00C15BC6"/>
    <w:rsid w:val="00C16186"/>
    <w:rsid w:val="00C17278"/>
    <w:rsid w:val="00C25D2E"/>
    <w:rsid w:val="00C26520"/>
    <w:rsid w:val="00C2708A"/>
    <w:rsid w:val="00C30270"/>
    <w:rsid w:val="00C305D4"/>
    <w:rsid w:val="00C316B2"/>
    <w:rsid w:val="00C31816"/>
    <w:rsid w:val="00C31FD4"/>
    <w:rsid w:val="00C336B3"/>
    <w:rsid w:val="00C33D79"/>
    <w:rsid w:val="00C35A6A"/>
    <w:rsid w:val="00C36275"/>
    <w:rsid w:val="00C3686C"/>
    <w:rsid w:val="00C37577"/>
    <w:rsid w:val="00C40B44"/>
    <w:rsid w:val="00C45246"/>
    <w:rsid w:val="00C46850"/>
    <w:rsid w:val="00C521C1"/>
    <w:rsid w:val="00C523C9"/>
    <w:rsid w:val="00C527E3"/>
    <w:rsid w:val="00C558D8"/>
    <w:rsid w:val="00C5656D"/>
    <w:rsid w:val="00C569AD"/>
    <w:rsid w:val="00C57E98"/>
    <w:rsid w:val="00C6138F"/>
    <w:rsid w:val="00C6605A"/>
    <w:rsid w:val="00C66CC1"/>
    <w:rsid w:val="00C67034"/>
    <w:rsid w:val="00C72CB4"/>
    <w:rsid w:val="00C747AE"/>
    <w:rsid w:val="00C75739"/>
    <w:rsid w:val="00C7655A"/>
    <w:rsid w:val="00C77099"/>
    <w:rsid w:val="00C77491"/>
    <w:rsid w:val="00C810D9"/>
    <w:rsid w:val="00C848BA"/>
    <w:rsid w:val="00C86CA8"/>
    <w:rsid w:val="00C9337A"/>
    <w:rsid w:val="00C93AA5"/>
    <w:rsid w:val="00C940FF"/>
    <w:rsid w:val="00CA3576"/>
    <w:rsid w:val="00CB015D"/>
    <w:rsid w:val="00CB16FB"/>
    <w:rsid w:val="00CB1E07"/>
    <w:rsid w:val="00CB7FF9"/>
    <w:rsid w:val="00CC4FD7"/>
    <w:rsid w:val="00CC6738"/>
    <w:rsid w:val="00CD24DC"/>
    <w:rsid w:val="00CD4606"/>
    <w:rsid w:val="00CE03C1"/>
    <w:rsid w:val="00CE0F5F"/>
    <w:rsid w:val="00CE34CD"/>
    <w:rsid w:val="00CE419E"/>
    <w:rsid w:val="00CE42EC"/>
    <w:rsid w:val="00CE563C"/>
    <w:rsid w:val="00CE750E"/>
    <w:rsid w:val="00CF0C4F"/>
    <w:rsid w:val="00CF0C99"/>
    <w:rsid w:val="00CF1209"/>
    <w:rsid w:val="00CF2D77"/>
    <w:rsid w:val="00CF2DE4"/>
    <w:rsid w:val="00CF3140"/>
    <w:rsid w:val="00CF5062"/>
    <w:rsid w:val="00D00F40"/>
    <w:rsid w:val="00D012FE"/>
    <w:rsid w:val="00D019CB"/>
    <w:rsid w:val="00D0366C"/>
    <w:rsid w:val="00D04E49"/>
    <w:rsid w:val="00D05A0F"/>
    <w:rsid w:val="00D105AA"/>
    <w:rsid w:val="00D110F9"/>
    <w:rsid w:val="00D12D25"/>
    <w:rsid w:val="00D13694"/>
    <w:rsid w:val="00D147DD"/>
    <w:rsid w:val="00D15150"/>
    <w:rsid w:val="00D16831"/>
    <w:rsid w:val="00D17002"/>
    <w:rsid w:val="00D22EA9"/>
    <w:rsid w:val="00D236C4"/>
    <w:rsid w:val="00D24298"/>
    <w:rsid w:val="00D26A33"/>
    <w:rsid w:val="00D26D30"/>
    <w:rsid w:val="00D33860"/>
    <w:rsid w:val="00D33C3F"/>
    <w:rsid w:val="00D348C7"/>
    <w:rsid w:val="00D34C64"/>
    <w:rsid w:val="00D36158"/>
    <w:rsid w:val="00D4147E"/>
    <w:rsid w:val="00D44E75"/>
    <w:rsid w:val="00D45133"/>
    <w:rsid w:val="00D45706"/>
    <w:rsid w:val="00D51D36"/>
    <w:rsid w:val="00D52650"/>
    <w:rsid w:val="00D55516"/>
    <w:rsid w:val="00D555E5"/>
    <w:rsid w:val="00D56B02"/>
    <w:rsid w:val="00D56D18"/>
    <w:rsid w:val="00D5700E"/>
    <w:rsid w:val="00D6159A"/>
    <w:rsid w:val="00D64159"/>
    <w:rsid w:val="00D641A2"/>
    <w:rsid w:val="00D65473"/>
    <w:rsid w:val="00D65EBE"/>
    <w:rsid w:val="00D678BE"/>
    <w:rsid w:val="00D721A9"/>
    <w:rsid w:val="00D721E2"/>
    <w:rsid w:val="00D72205"/>
    <w:rsid w:val="00D72EBD"/>
    <w:rsid w:val="00D73A42"/>
    <w:rsid w:val="00D73ACF"/>
    <w:rsid w:val="00D75316"/>
    <w:rsid w:val="00D76D02"/>
    <w:rsid w:val="00D80907"/>
    <w:rsid w:val="00D809F1"/>
    <w:rsid w:val="00D81CAD"/>
    <w:rsid w:val="00D842F0"/>
    <w:rsid w:val="00D84448"/>
    <w:rsid w:val="00D85917"/>
    <w:rsid w:val="00D86B1C"/>
    <w:rsid w:val="00D86C8B"/>
    <w:rsid w:val="00D8708B"/>
    <w:rsid w:val="00D871EA"/>
    <w:rsid w:val="00D90032"/>
    <w:rsid w:val="00D90565"/>
    <w:rsid w:val="00D94349"/>
    <w:rsid w:val="00D94B62"/>
    <w:rsid w:val="00D9767A"/>
    <w:rsid w:val="00D9793F"/>
    <w:rsid w:val="00DA01C2"/>
    <w:rsid w:val="00DA064A"/>
    <w:rsid w:val="00DA06D7"/>
    <w:rsid w:val="00DA2907"/>
    <w:rsid w:val="00DA2E73"/>
    <w:rsid w:val="00DA39FD"/>
    <w:rsid w:val="00DA4990"/>
    <w:rsid w:val="00DA74E7"/>
    <w:rsid w:val="00DAD521"/>
    <w:rsid w:val="00DB14FE"/>
    <w:rsid w:val="00DC0E89"/>
    <w:rsid w:val="00DC2064"/>
    <w:rsid w:val="00DC4BC2"/>
    <w:rsid w:val="00DC5B87"/>
    <w:rsid w:val="00DC7A1C"/>
    <w:rsid w:val="00DD0ABA"/>
    <w:rsid w:val="00DD28F3"/>
    <w:rsid w:val="00DD35DF"/>
    <w:rsid w:val="00DD5E99"/>
    <w:rsid w:val="00DD60DB"/>
    <w:rsid w:val="00DD7AB2"/>
    <w:rsid w:val="00DD7C71"/>
    <w:rsid w:val="00DE131E"/>
    <w:rsid w:val="00DF0FCC"/>
    <w:rsid w:val="00DF3C6F"/>
    <w:rsid w:val="00DF447F"/>
    <w:rsid w:val="00DF5C5C"/>
    <w:rsid w:val="00DF6E0D"/>
    <w:rsid w:val="00DF782C"/>
    <w:rsid w:val="00E00DAF"/>
    <w:rsid w:val="00E01450"/>
    <w:rsid w:val="00E01A35"/>
    <w:rsid w:val="00E0242F"/>
    <w:rsid w:val="00E10396"/>
    <w:rsid w:val="00E12953"/>
    <w:rsid w:val="00E12DE1"/>
    <w:rsid w:val="00E13D9D"/>
    <w:rsid w:val="00E15282"/>
    <w:rsid w:val="00E1750B"/>
    <w:rsid w:val="00E2058D"/>
    <w:rsid w:val="00E23BA4"/>
    <w:rsid w:val="00E24A82"/>
    <w:rsid w:val="00E24B05"/>
    <w:rsid w:val="00E27B42"/>
    <w:rsid w:val="00E31FAC"/>
    <w:rsid w:val="00E32D04"/>
    <w:rsid w:val="00E32FA1"/>
    <w:rsid w:val="00E356EB"/>
    <w:rsid w:val="00E3616B"/>
    <w:rsid w:val="00E41F69"/>
    <w:rsid w:val="00E42E9F"/>
    <w:rsid w:val="00E43515"/>
    <w:rsid w:val="00E464B9"/>
    <w:rsid w:val="00E47C68"/>
    <w:rsid w:val="00E50534"/>
    <w:rsid w:val="00E51037"/>
    <w:rsid w:val="00E510A6"/>
    <w:rsid w:val="00E51AEE"/>
    <w:rsid w:val="00E54A97"/>
    <w:rsid w:val="00E5587A"/>
    <w:rsid w:val="00E57521"/>
    <w:rsid w:val="00E57875"/>
    <w:rsid w:val="00E5792C"/>
    <w:rsid w:val="00E6054D"/>
    <w:rsid w:val="00E6231E"/>
    <w:rsid w:val="00E62373"/>
    <w:rsid w:val="00E62B4E"/>
    <w:rsid w:val="00E64A8F"/>
    <w:rsid w:val="00E64B9E"/>
    <w:rsid w:val="00E666F3"/>
    <w:rsid w:val="00E66CC0"/>
    <w:rsid w:val="00E72B9A"/>
    <w:rsid w:val="00E76CAA"/>
    <w:rsid w:val="00E7793B"/>
    <w:rsid w:val="00E80405"/>
    <w:rsid w:val="00E808E8"/>
    <w:rsid w:val="00E80CD1"/>
    <w:rsid w:val="00E840E0"/>
    <w:rsid w:val="00E859AD"/>
    <w:rsid w:val="00E865EF"/>
    <w:rsid w:val="00E86798"/>
    <w:rsid w:val="00E87392"/>
    <w:rsid w:val="00E92509"/>
    <w:rsid w:val="00E92D87"/>
    <w:rsid w:val="00E94773"/>
    <w:rsid w:val="00E95647"/>
    <w:rsid w:val="00E96043"/>
    <w:rsid w:val="00E9759E"/>
    <w:rsid w:val="00EA04A7"/>
    <w:rsid w:val="00EA1053"/>
    <w:rsid w:val="00EA2449"/>
    <w:rsid w:val="00EA7AB5"/>
    <w:rsid w:val="00EA7DDF"/>
    <w:rsid w:val="00EB0E8C"/>
    <w:rsid w:val="00EB51F3"/>
    <w:rsid w:val="00EB7370"/>
    <w:rsid w:val="00EB7B64"/>
    <w:rsid w:val="00EC29C7"/>
    <w:rsid w:val="00EC3128"/>
    <w:rsid w:val="00EC3377"/>
    <w:rsid w:val="00EC3D8D"/>
    <w:rsid w:val="00EC3E64"/>
    <w:rsid w:val="00EC6FAD"/>
    <w:rsid w:val="00ED1D6B"/>
    <w:rsid w:val="00ED2D11"/>
    <w:rsid w:val="00ED36A2"/>
    <w:rsid w:val="00ED4109"/>
    <w:rsid w:val="00ED4683"/>
    <w:rsid w:val="00ED49F2"/>
    <w:rsid w:val="00ED63D9"/>
    <w:rsid w:val="00ED651D"/>
    <w:rsid w:val="00ED7749"/>
    <w:rsid w:val="00EE09B9"/>
    <w:rsid w:val="00EE0AE0"/>
    <w:rsid w:val="00EE1A71"/>
    <w:rsid w:val="00EE2CAB"/>
    <w:rsid w:val="00EE447B"/>
    <w:rsid w:val="00EE4E3B"/>
    <w:rsid w:val="00EF05C1"/>
    <w:rsid w:val="00EF1284"/>
    <w:rsid w:val="00EF4853"/>
    <w:rsid w:val="00F00CDA"/>
    <w:rsid w:val="00F00EED"/>
    <w:rsid w:val="00F0265D"/>
    <w:rsid w:val="00F027D6"/>
    <w:rsid w:val="00F02AFE"/>
    <w:rsid w:val="00F037EA"/>
    <w:rsid w:val="00F046E6"/>
    <w:rsid w:val="00F05C9C"/>
    <w:rsid w:val="00F06529"/>
    <w:rsid w:val="00F10483"/>
    <w:rsid w:val="00F10782"/>
    <w:rsid w:val="00F11DAB"/>
    <w:rsid w:val="00F12CAF"/>
    <w:rsid w:val="00F132B2"/>
    <w:rsid w:val="00F14105"/>
    <w:rsid w:val="00F21F14"/>
    <w:rsid w:val="00F220B9"/>
    <w:rsid w:val="00F22605"/>
    <w:rsid w:val="00F24191"/>
    <w:rsid w:val="00F24610"/>
    <w:rsid w:val="00F25B04"/>
    <w:rsid w:val="00F26673"/>
    <w:rsid w:val="00F27D2E"/>
    <w:rsid w:val="00F30165"/>
    <w:rsid w:val="00F343DB"/>
    <w:rsid w:val="00F350FC"/>
    <w:rsid w:val="00F360BE"/>
    <w:rsid w:val="00F37A68"/>
    <w:rsid w:val="00F37AEA"/>
    <w:rsid w:val="00F41E96"/>
    <w:rsid w:val="00F42E48"/>
    <w:rsid w:val="00F43471"/>
    <w:rsid w:val="00F44166"/>
    <w:rsid w:val="00F44B9D"/>
    <w:rsid w:val="00F44D2D"/>
    <w:rsid w:val="00F46AEB"/>
    <w:rsid w:val="00F46DB7"/>
    <w:rsid w:val="00F521C2"/>
    <w:rsid w:val="00F55468"/>
    <w:rsid w:val="00F5779E"/>
    <w:rsid w:val="00F63B99"/>
    <w:rsid w:val="00F71C47"/>
    <w:rsid w:val="00F72C9B"/>
    <w:rsid w:val="00F7345E"/>
    <w:rsid w:val="00F805DF"/>
    <w:rsid w:val="00F81C1E"/>
    <w:rsid w:val="00F82926"/>
    <w:rsid w:val="00F83377"/>
    <w:rsid w:val="00F85F8C"/>
    <w:rsid w:val="00F944CF"/>
    <w:rsid w:val="00F95CF4"/>
    <w:rsid w:val="00F975D7"/>
    <w:rsid w:val="00FA2940"/>
    <w:rsid w:val="00FA4F12"/>
    <w:rsid w:val="00FA5C89"/>
    <w:rsid w:val="00FA66A4"/>
    <w:rsid w:val="00FB00EE"/>
    <w:rsid w:val="00FC0D0E"/>
    <w:rsid w:val="00FC3DF6"/>
    <w:rsid w:val="00FC414D"/>
    <w:rsid w:val="00FC692D"/>
    <w:rsid w:val="00FC783E"/>
    <w:rsid w:val="00FD0368"/>
    <w:rsid w:val="00FD0D35"/>
    <w:rsid w:val="00FD178F"/>
    <w:rsid w:val="00FD24BC"/>
    <w:rsid w:val="00FD2F6C"/>
    <w:rsid w:val="00FD4488"/>
    <w:rsid w:val="00FD4E0E"/>
    <w:rsid w:val="00FD5F1F"/>
    <w:rsid w:val="00FD6129"/>
    <w:rsid w:val="00FD6A23"/>
    <w:rsid w:val="00FD6BAD"/>
    <w:rsid w:val="00FE047A"/>
    <w:rsid w:val="00FE04EB"/>
    <w:rsid w:val="00FE0FE2"/>
    <w:rsid w:val="00FE691D"/>
    <w:rsid w:val="00FF01DF"/>
    <w:rsid w:val="00FF036D"/>
    <w:rsid w:val="00FF2C3F"/>
    <w:rsid w:val="00FF42E3"/>
    <w:rsid w:val="00FF4CC5"/>
    <w:rsid w:val="00FF5D8C"/>
    <w:rsid w:val="00FF6121"/>
    <w:rsid w:val="00FF6B6F"/>
    <w:rsid w:val="00FF6E78"/>
    <w:rsid w:val="00FF717E"/>
    <w:rsid w:val="35DB239F"/>
    <w:rsid w:val="3AB39124"/>
    <w:rsid w:val="57208FE8"/>
    <w:rsid w:val="7F6AA3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42720"/>
  <w15:chartTrackingRefBased/>
  <w15:docId w15:val="{B1F0A770-ADE2-40B8-BEF3-044F0E8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character" w:customStyle="1" w:styleId="UnresolvedMention1">
    <w:name w:val="Unresolved Mention1"/>
    <w:basedOn w:val="DefaultParagraphFont"/>
    <w:uiPriority w:val="99"/>
    <w:semiHidden/>
    <w:unhideWhenUsed/>
    <w:rsid w:val="00A3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80994">
      <w:bodyDiv w:val="1"/>
      <w:marLeft w:val="0"/>
      <w:marRight w:val="0"/>
      <w:marTop w:val="0"/>
      <w:marBottom w:val="0"/>
      <w:divBdr>
        <w:top w:val="none" w:sz="0" w:space="0" w:color="auto"/>
        <w:left w:val="none" w:sz="0" w:space="0" w:color="auto"/>
        <w:bottom w:val="none" w:sz="0" w:space="0" w:color="auto"/>
        <w:right w:val="none" w:sz="0" w:space="0" w:color="auto"/>
      </w:divBdr>
      <w:divsChild>
        <w:div w:id="1392193290">
          <w:marLeft w:val="0"/>
          <w:marRight w:val="0"/>
          <w:marTop w:val="0"/>
          <w:marBottom w:val="0"/>
          <w:divBdr>
            <w:top w:val="none" w:sz="0" w:space="0" w:color="auto"/>
            <w:left w:val="none" w:sz="0" w:space="0" w:color="auto"/>
            <w:bottom w:val="none" w:sz="0" w:space="0" w:color="auto"/>
            <w:right w:val="none" w:sz="0" w:space="0" w:color="auto"/>
          </w:divBdr>
        </w:div>
      </w:divsChild>
    </w:div>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xworkinggroup.govt.nz/sites/default/files/2018-09/twg-subm-3983184-businessnz-6-of-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8499B24A-C722-4488-84B6-1B0C0BD83651}"/>
</file>

<file path=customXml/itemProps2.xml><?xml version="1.0" encoding="utf-8"?>
<ds:datastoreItem xmlns:ds="http://schemas.openxmlformats.org/officeDocument/2006/customXml" ds:itemID="{9C90A887-19CE-4A9B-93CF-BB429EDACEF2}"/>
</file>

<file path=customXml/itemProps3.xml><?xml version="1.0" encoding="utf-8"?>
<ds:datastoreItem xmlns:ds="http://schemas.openxmlformats.org/officeDocument/2006/customXml" ds:itemID="{377F4EE1-8EA7-4350-BA7E-AAF670605345}"/>
</file>

<file path=docProps/app.xml><?xml version="1.0" encoding="utf-8"?>
<Properties xmlns="http://schemas.openxmlformats.org/officeDocument/2006/extended-properties" xmlns:vt="http://schemas.openxmlformats.org/officeDocument/2006/docPropsVTypes">
  <Template>Normal.dotm</Template>
  <TotalTime>1</TotalTime>
  <Pages>14</Pages>
  <Words>5065</Words>
  <Characters>26358</Characters>
  <Application>Microsoft Office Word</Application>
  <DocSecurity>0</DocSecurity>
  <Lines>592</Lines>
  <Paragraphs>155</Paragraphs>
  <ScaleCrop>false</ScaleCrop>
  <HeadingPairs>
    <vt:vector size="2" baseType="variant">
      <vt:variant>
        <vt:lpstr>Title</vt:lpstr>
      </vt:variant>
      <vt:variant>
        <vt:i4>1</vt:i4>
      </vt:variant>
    </vt:vector>
  </HeadingPairs>
  <TitlesOfParts>
    <vt:vector size="1" baseType="lpstr">
      <vt:lpstr>Supplementary analysis report – Loosening the loss continuity rules (11 February 2021)</vt:lpstr>
    </vt:vector>
  </TitlesOfParts>
  <Company>Inland Revenue</Company>
  <LinksUpToDate>false</LinksUpToDate>
  <CharactersWithSpaces>31383</CharactersWithSpaces>
  <SharedDoc>false</SharedDoc>
  <HLinks>
    <vt:vector size="6" baseType="variant">
      <vt:variant>
        <vt:i4>3145852</vt:i4>
      </vt:variant>
      <vt:variant>
        <vt:i4>0</vt:i4>
      </vt:variant>
      <vt:variant>
        <vt:i4>0</vt:i4>
      </vt:variant>
      <vt:variant>
        <vt:i4>5</vt:i4>
      </vt:variant>
      <vt:variant>
        <vt:lpwstr>https://taxworkinggroup.govt.nz/sites/default/files/2018-09/twg-subm-3983184-businessnz-6-of-6.pdf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analysis report – Loosening the loss continuity rules (11 February 2021)</dc:title>
  <dc:subject/>
  <dc:creator>Policy and Strategy</dc:creator>
  <cp:keywords/>
  <dc:description/>
  <dcterms:created xsi:type="dcterms:W3CDTF">2021-03-17T07:31:00Z</dcterms:created>
  <dcterms:modified xsi:type="dcterms:W3CDTF">2021-03-17T07:32:00Z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BusinessUnit">
    <vt:lpwstr>2;#Policy ＆ Regulatory Stewardship|5c6da56c-2219-46c1-9c7b-c15fc3fd45a5</vt:lpwstr>
  </property>
  <property fmtid="{D5CDD505-2E9C-101B-9397-08002B2CF9AE}" pid="4" name="ContentTypeId">
    <vt:lpwstr>0x0101000B461733DE48CC4985E239AAFC9C41590100670D0BD9AB7101418FC69E4F42B3A5BC</vt:lpwstr>
  </property>
  <property fmtid="{D5CDD505-2E9C-101B-9397-08002B2CF9AE}" pid="5" name="SecurityClassification">
    <vt:lpwstr>3;#In Confidence|5fccf67f-7cb1-4561-8450-fe0d2ea19178</vt:lpwstr>
  </property>
  <property fmtid="{D5CDD505-2E9C-101B-9397-08002B2CF9AE}" pid="6" name="BusinessActivity">
    <vt:lpwstr>1;#Tax policy work|c05dfd7c-a5ba-47bf-969f-3422104229d3</vt:lpwstr>
  </property>
  <property fmtid="{D5CDD505-2E9C-101B-9397-08002B2CF9AE}" pid="7" name="InformationType">
    <vt:lpwstr/>
  </property>
  <property fmtid="{D5CDD505-2E9C-101B-9397-08002B2CF9AE}" pid="8" name="DocumentStatus">
    <vt:lpwstr/>
  </property>
  <property fmtid="{D5CDD505-2E9C-101B-9397-08002B2CF9AE}" pid="9" name="MediaServiceImageTags">
    <vt:lpwstr/>
  </property>
</Properties>
</file>