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8C3B" w14:textId="684FD9CA" w:rsidR="00E92509" w:rsidRPr="0067537D" w:rsidRDefault="00BA08C7" w:rsidP="00293FDC">
      <w:pPr>
        <w:pStyle w:val="Heading1"/>
        <w:spacing w:before="0"/>
      </w:pPr>
      <w:r w:rsidRPr="00B952B7">
        <w:t>Impact Sum</w:t>
      </w:r>
      <w:r w:rsidRPr="006D3130">
        <w:t>m</w:t>
      </w:r>
      <w:r w:rsidRPr="00B952B7">
        <w:t>ary</w:t>
      </w:r>
      <w:r w:rsidR="00783846" w:rsidRPr="00957BC2">
        <w:t>:</w:t>
      </w:r>
      <w:r w:rsidR="007C77B1" w:rsidRPr="00957BC2">
        <w:t xml:space="preserve"> </w:t>
      </w:r>
      <w:r w:rsidR="00D1534F">
        <w:t>Domestic transport services supplied as part of the international transport of goods</w:t>
      </w:r>
    </w:p>
    <w:p w14:paraId="181D721E" w14:textId="77777777" w:rsidR="00E57521" w:rsidRPr="00E57521" w:rsidRDefault="00E57521" w:rsidP="00EC6FAD">
      <w:pPr>
        <w:pStyle w:val="spacer"/>
        <w:rPr>
          <w:w w:val="90"/>
          <w:sz w:val="22"/>
        </w:rPr>
      </w:pPr>
    </w:p>
    <w:p w14:paraId="3CAFAA9C" w14:textId="77777777" w:rsidR="00E92509" w:rsidRPr="00B952B7" w:rsidRDefault="00E92509" w:rsidP="00414D0D">
      <w:pPr>
        <w:pStyle w:val="Heading2"/>
      </w:pPr>
      <w:r w:rsidRPr="00B952B7">
        <w:t>Section 1: Ge</w:t>
      </w:r>
      <w:r w:rsidRPr="00414D0D">
        <w:t>nera</w:t>
      </w:r>
      <w:r w:rsidRPr="00B952B7">
        <w:t>l infor</w:t>
      </w:r>
      <w:r w:rsidRPr="00414D0D">
        <w:t>ma</w:t>
      </w:r>
      <w:r w:rsidRPr="00B952B7">
        <w:t>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DA39FD" w:rsidRPr="0069218C" w14:paraId="060BCB7B" w14:textId="77777777" w:rsidTr="00BB4EA2">
        <w:tc>
          <w:tcPr>
            <w:tcW w:w="5000" w:type="pct"/>
            <w:shd w:val="clear" w:color="auto" w:fill="99CDDD"/>
            <w:hideMark/>
          </w:tcPr>
          <w:p w14:paraId="3A3107FA" w14:textId="77777777" w:rsidR="00DA39FD" w:rsidRPr="00AE4D46" w:rsidRDefault="00217894" w:rsidP="00EC6FAD">
            <w:pPr>
              <w:pStyle w:val="TableHeadings"/>
              <w:rPr>
                <w:color w:val="002060"/>
                <w:szCs w:val="22"/>
              </w:rPr>
            </w:pPr>
            <w:r w:rsidRPr="00886DFF">
              <w:rPr>
                <w:szCs w:val="22"/>
              </w:rPr>
              <w:t>Purpose</w:t>
            </w:r>
          </w:p>
        </w:tc>
      </w:tr>
      <w:tr w:rsidR="00DA39FD" w:rsidRPr="0069218C" w14:paraId="56BFAA63" w14:textId="77777777" w:rsidTr="00BB4EA2">
        <w:trPr>
          <w:trHeight w:val="680"/>
        </w:trPr>
        <w:tc>
          <w:tcPr>
            <w:tcW w:w="5000" w:type="pct"/>
            <w:shd w:val="clear" w:color="auto" w:fill="EBF5F8"/>
          </w:tcPr>
          <w:p w14:paraId="4B3BF8AC" w14:textId="1FA0C894" w:rsidR="00DA39FD" w:rsidRPr="00E866E1" w:rsidRDefault="00E866E1" w:rsidP="00E866E1">
            <w:pPr>
              <w:spacing w:after="180"/>
              <w:rPr>
                <w:rFonts w:cs="Arial"/>
                <w:iCs/>
                <w:color w:val="000000"/>
                <w:szCs w:val="22"/>
              </w:rPr>
            </w:pPr>
            <w:r>
              <w:rPr>
                <w:rFonts w:cs="Arial"/>
                <w:i/>
                <w:color w:val="000000"/>
                <w:szCs w:val="22"/>
              </w:rPr>
              <w:t>Inland Revenue</w:t>
            </w:r>
            <w:r>
              <w:rPr>
                <w:rFonts w:cs="Arial"/>
                <w:iCs/>
                <w:color w:val="000000"/>
                <w:szCs w:val="22"/>
              </w:rPr>
              <w:t xml:space="preserve"> is solely responsible for the analysis and advice set out in this Impact Summary, except as otherwise explicitly indicated. This analysis and advice has been produced for the purpose of informing </w:t>
            </w:r>
            <w:r w:rsidRPr="00E866E1">
              <w:rPr>
                <w:rFonts w:cs="Arial"/>
                <w:iCs/>
                <w:color w:val="000000"/>
                <w:szCs w:val="22"/>
              </w:rPr>
              <w:t>policy decisions to be made by Cabinet.</w:t>
            </w:r>
            <w:r w:rsidR="00F7345E">
              <w:t xml:space="preserve"> </w:t>
            </w:r>
          </w:p>
        </w:tc>
      </w:tr>
    </w:tbl>
    <w:p w14:paraId="11F871E2" w14:textId="77777777" w:rsidR="00F81C1E" w:rsidRDefault="00F81C1E"/>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DA39FD" w:rsidRPr="0069218C" w14:paraId="3AE36782" w14:textId="77777777" w:rsidTr="00BB4EA2">
        <w:tc>
          <w:tcPr>
            <w:tcW w:w="5000" w:type="pct"/>
            <w:shd w:val="clear" w:color="auto" w:fill="99CDDD"/>
            <w:hideMark/>
          </w:tcPr>
          <w:p w14:paraId="03359D62" w14:textId="77777777" w:rsidR="00DA39FD" w:rsidRPr="00886DFF" w:rsidRDefault="00DA39FD" w:rsidP="00957BC2">
            <w:pPr>
              <w:pStyle w:val="TableHeadings"/>
              <w:keepNext/>
              <w:rPr>
                <w:szCs w:val="22"/>
              </w:rPr>
            </w:pPr>
            <w:r w:rsidRPr="00886DFF">
              <w:rPr>
                <w:szCs w:val="22"/>
              </w:rPr>
              <w:t>Key Limitations or Constraints on Analysis</w:t>
            </w:r>
          </w:p>
        </w:tc>
      </w:tr>
      <w:tr w:rsidR="0069218C" w:rsidRPr="0069218C" w14:paraId="4593227A" w14:textId="77777777" w:rsidTr="00BB4EA2">
        <w:trPr>
          <w:trHeight w:val="1780"/>
        </w:trPr>
        <w:tc>
          <w:tcPr>
            <w:tcW w:w="5000" w:type="pct"/>
            <w:shd w:val="clear" w:color="auto" w:fill="auto"/>
          </w:tcPr>
          <w:p w14:paraId="4E4AC693" w14:textId="797F7EC3" w:rsidR="00F61898" w:rsidRPr="00487D0A" w:rsidRDefault="00F61898" w:rsidP="00751CB1">
            <w:pPr>
              <w:spacing w:after="0" w:line="276" w:lineRule="auto"/>
              <w:jc w:val="both"/>
              <w:rPr>
                <w:rFonts w:cs="Arial"/>
                <w:b/>
                <w:bCs/>
                <w:szCs w:val="22"/>
              </w:rPr>
            </w:pPr>
            <w:r w:rsidRPr="00487D0A">
              <w:rPr>
                <w:rFonts w:cs="Arial"/>
                <w:b/>
                <w:bCs/>
                <w:szCs w:val="22"/>
              </w:rPr>
              <w:t>Number of affected parties and potential future fiscal risks are unknown</w:t>
            </w:r>
          </w:p>
          <w:p w14:paraId="2ADBF1C2" w14:textId="44B200FF" w:rsidR="00F61898" w:rsidRDefault="00F61898" w:rsidP="00751CB1">
            <w:pPr>
              <w:spacing w:after="0" w:line="276" w:lineRule="auto"/>
              <w:jc w:val="both"/>
              <w:rPr>
                <w:rFonts w:cs="Arial"/>
                <w:szCs w:val="22"/>
              </w:rPr>
            </w:pPr>
            <w:r>
              <w:rPr>
                <w:rFonts w:cs="Arial"/>
                <w:szCs w:val="22"/>
              </w:rPr>
              <w:t xml:space="preserve">The potential fiscal risks that affected GST-registered taxpayers are choosing not to follow the existing rules is unknown. While officials have undertaken public consultation on this issue and members of the tax community have indicated that there is limited voluntary compliance, affected taxpayers have not indicated the level of voluntary compliance. Therefore, it is not possible to accurately estimate the level of non-compliance and the level of fiscal risk. </w:t>
            </w:r>
          </w:p>
          <w:p w14:paraId="26B43609" w14:textId="6A89B010" w:rsidR="0081431F" w:rsidRDefault="0081431F" w:rsidP="00751CB1">
            <w:pPr>
              <w:spacing w:after="0" w:line="276" w:lineRule="auto"/>
              <w:jc w:val="both"/>
              <w:rPr>
                <w:rFonts w:cs="Arial"/>
                <w:szCs w:val="22"/>
              </w:rPr>
            </w:pPr>
          </w:p>
          <w:p w14:paraId="5402FE13" w14:textId="65CD1A40" w:rsidR="0081431F" w:rsidRPr="0069218C" w:rsidRDefault="0081431F" w:rsidP="0081431F">
            <w:pPr>
              <w:spacing w:after="0" w:line="276" w:lineRule="auto"/>
              <w:jc w:val="both"/>
              <w:rPr>
                <w:rFonts w:cs="Arial"/>
                <w:szCs w:val="22"/>
              </w:rPr>
            </w:pPr>
            <w:r>
              <w:rPr>
                <w:rFonts w:cs="Arial"/>
                <w:szCs w:val="22"/>
              </w:rPr>
              <w:t>The options considered in this Impact Summary are limited to those which would be suitable for inclusion in the next omnibus tax bill. Accordingly, the analysis is limited to options which have already been identified and discussed during consultation with stakeholders.</w:t>
            </w:r>
          </w:p>
          <w:p w14:paraId="3F3449E0" w14:textId="77777777" w:rsidR="0081431F" w:rsidRDefault="0081431F" w:rsidP="00751CB1">
            <w:pPr>
              <w:spacing w:after="0" w:line="276" w:lineRule="auto"/>
              <w:jc w:val="both"/>
              <w:rPr>
                <w:rFonts w:cs="Arial"/>
                <w:szCs w:val="22"/>
              </w:rPr>
            </w:pPr>
          </w:p>
          <w:p w14:paraId="7AC72995" w14:textId="362B0141" w:rsidR="00F61898" w:rsidRPr="0069218C" w:rsidRDefault="00F61898" w:rsidP="00751CB1">
            <w:pPr>
              <w:spacing w:after="0" w:line="276" w:lineRule="auto"/>
              <w:jc w:val="both"/>
              <w:rPr>
                <w:rFonts w:cs="Arial"/>
                <w:szCs w:val="22"/>
              </w:rPr>
            </w:pPr>
          </w:p>
        </w:tc>
      </w:tr>
      <w:tr w:rsidR="00DA39FD" w:rsidRPr="0069218C" w14:paraId="354CE8B4" w14:textId="77777777" w:rsidTr="00BB4EA2">
        <w:tc>
          <w:tcPr>
            <w:tcW w:w="5000" w:type="pct"/>
            <w:shd w:val="clear" w:color="auto" w:fill="99CDDD"/>
            <w:hideMark/>
          </w:tcPr>
          <w:p w14:paraId="389E8B25" w14:textId="77777777" w:rsidR="00DA39FD" w:rsidRPr="00886DFF" w:rsidRDefault="00DA39FD" w:rsidP="00EC6FAD">
            <w:pPr>
              <w:pStyle w:val="TableHeadings"/>
              <w:rPr>
                <w:szCs w:val="22"/>
              </w:rPr>
            </w:pPr>
            <w:r w:rsidRPr="00886DFF">
              <w:rPr>
                <w:szCs w:val="22"/>
              </w:rPr>
              <w:t>Responsible Manager (signature and date):</w:t>
            </w:r>
          </w:p>
        </w:tc>
      </w:tr>
      <w:tr w:rsidR="00E92509" w:rsidRPr="0069218C" w14:paraId="4DB19724" w14:textId="77777777" w:rsidTr="00BB4EA2">
        <w:trPr>
          <w:trHeight w:val="3108"/>
        </w:trPr>
        <w:tc>
          <w:tcPr>
            <w:tcW w:w="5000" w:type="pct"/>
            <w:shd w:val="clear" w:color="auto" w:fill="FFFFFF"/>
          </w:tcPr>
          <w:p w14:paraId="6DAB9601" w14:textId="77777777" w:rsidR="00F93065" w:rsidRDefault="00F93065" w:rsidP="00F93065">
            <w:pPr>
              <w:spacing w:after="0"/>
              <w:rPr>
                <w:rFonts w:cs="Arial"/>
                <w:szCs w:val="22"/>
              </w:rPr>
            </w:pPr>
          </w:p>
          <w:p w14:paraId="14C7EEA7" w14:textId="77777777" w:rsidR="00F93065" w:rsidRDefault="00F93065" w:rsidP="00F93065">
            <w:pPr>
              <w:spacing w:after="0"/>
              <w:rPr>
                <w:rFonts w:cs="Arial"/>
                <w:szCs w:val="22"/>
              </w:rPr>
            </w:pPr>
          </w:p>
          <w:p w14:paraId="12FFEEEF" w14:textId="6AA69C52" w:rsidR="00F93065" w:rsidRPr="007138D4" w:rsidRDefault="00F93065" w:rsidP="00F93065">
            <w:pPr>
              <w:spacing w:after="0"/>
              <w:rPr>
                <w:rFonts w:cs="Arial"/>
                <w:szCs w:val="22"/>
              </w:rPr>
            </w:pPr>
            <w:r>
              <w:rPr>
                <w:rFonts w:cs="Arial"/>
                <w:szCs w:val="22"/>
              </w:rPr>
              <w:t>Graeme Morrison</w:t>
            </w:r>
          </w:p>
          <w:p w14:paraId="7F7E0071" w14:textId="6E159AB0" w:rsidR="00F93065" w:rsidRPr="007138D4" w:rsidRDefault="00F93065" w:rsidP="00F93065">
            <w:pPr>
              <w:spacing w:after="0"/>
              <w:rPr>
                <w:rFonts w:cs="Arial"/>
                <w:szCs w:val="22"/>
              </w:rPr>
            </w:pPr>
            <w:r>
              <w:rPr>
                <w:rFonts w:cs="Arial"/>
                <w:szCs w:val="22"/>
              </w:rPr>
              <w:t xml:space="preserve">Policy </w:t>
            </w:r>
            <w:r w:rsidR="00400AC9">
              <w:rPr>
                <w:rFonts w:cs="Arial"/>
                <w:szCs w:val="22"/>
              </w:rPr>
              <w:t>Lead</w:t>
            </w:r>
          </w:p>
          <w:p w14:paraId="1FE3E30B" w14:textId="04DD9A17" w:rsidR="00F93065" w:rsidRPr="007138D4" w:rsidRDefault="00F93065" w:rsidP="00F93065">
            <w:pPr>
              <w:spacing w:after="0"/>
              <w:rPr>
                <w:rFonts w:cs="Arial"/>
                <w:szCs w:val="22"/>
              </w:rPr>
            </w:pPr>
            <w:r>
              <w:rPr>
                <w:rFonts w:cs="Arial"/>
                <w:szCs w:val="22"/>
              </w:rPr>
              <w:t xml:space="preserve">Policy &amp; </w:t>
            </w:r>
            <w:r w:rsidR="00400AC9">
              <w:rPr>
                <w:rFonts w:cs="Arial"/>
                <w:szCs w:val="22"/>
              </w:rPr>
              <w:t>Regulatory Stewardship</w:t>
            </w:r>
          </w:p>
          <w:p w14:paraId="0489D75F" w14:textId="77777777" w:rsidR="00F93065" w:rsidRDefault="00F93065" w:rsidP="00F93065">
            <w:pPr>
              <w:spacing w:after="0"/>
              <w:rPr>
                <w:rFonts w:cs="Arial"/>
                <w:szCs w:val="22"/>
              </w:rPr>
            </w:pPr>
            <w:r>
              <w:rPr>
                <w:rFonts w:cs="Arial"/>
                <w:szCs w:val="22"/>
              </w:rPr>
              <w:t>Inland Revenue</w:t>
            </w:r>
          </w:p>
          <w:p w14:paraId="3717F7BB" w14:textId="77777777" w:rsidR="00F93065" w:rsidRDefault="00F93065" w:rsidP="00F93065">
            <w:pPr>
              <w:spacing w:after="0"/>
              <w:rPr>
                <w:rFonts w:cs="Arial"/>
                <w:szCs w:val="22"/>
              </w:rPr>
            </w:pPr>
          </w:p>
          <w:p w14:paraId="08054841" w14:textId="1EDE3880" w:rsidR="00E92509" w:rsidRPr="0069218C" w:rsidRDefault="00400AC9" w:rsidP="00F93065">
            <w:pPr>
              <w:spacing w:after="180"/>
              <w:rPr>
                <w:rFonts w:cs="Arial"/>
                <w:szCs w:val="22"/>
              </w:rPr>
            </w:pPr>
            <w:r>
              <w:rPr>
                <w:rFonts w:cs="Arial"/>
                <w:szCs w:val="22"/>
              </w:rPr>
              <w:t>31</w:t>
            </w:r>
            <w:r w:rsidR="00F93065">
              <w:rPr>
                <w:rFonts w:cs="Arial"/>
                <w:szCs w:val="22"/>
              </w:rPr>
              <w:t xml:space="preserve"> </w:t>
            </w:r>
            <w:r w:rsidR="00F61898">
              <w:rPr>
                <w:rFonts w:cs="Arial"/>
                <w:szCs w:val="22"/>
              </w:rPr>
              <w:t xml:space="preserve">May </w:t>
            </w:r>
            <w:r w:rsidR="00072452">
              <w:rPr>
                <w:rFonts w:cs="Arial"/>
                <w:szCs w:val="22"/>
              </w:rPr>
              <w:t>2021</w:t>
            </w:r>
          </w:p>
        </w:tc>
      </w:tr>
    </w:tbl>
    <w:p w14:paraId="4D1670C2" w14:textId="72F415F5" w:rsidR="00EE447B" w:rsidRDefault="00EE447B" w:rsidP="007A484F">
      <w:pPr>
        <w:spacing w:before="240" w:after="0" w:line="276" w:lineRule="auto"/>
        <w:rPr>
          <w:rFonts w:ascii="Arial Narrow" w:hAnsi="Arial Narrow"/>
          <w:i/>
          <w:szCs w:val="22"/>
        </w:rPr>
      </w:pPr>
      <w:bookmarkStart w:id="0" w:name="_Toc363047038"/>
      <w:bookmarkStart w:id="1" w:name="_Toc362940530"/>
      <w:bookmarkStart w:id="2" w:name="_Toc362618966"/>
      <w:bookmarkStart w:id="3" w:name="_Toc362434720"/>
      <w:bookmarkStart w:id="4" w:name="_Toc362368098"/>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EE447B" w14:paraId="59A9A119" w14:textId="77777777" w:rsidTr="00BB4EA2">
        <w:trPr>
          <w:trHeight w:val="77"/>
        </w:trPr>
        <w:tc>
          <w:tcPr>
            <w:tcW w:w="9072" w:type="dxa"/>
            <w:shd w:val="clear" w:color="auto" w:fill="99CDDD"/>
            <w:hideMark/>
          </w:tcPr>
          <w:p w14:paraId="70F09C50" w14:textId="77777777" w:rsidR="00EE447B" w:rsidRDefault="00EE447B">
            <w:pPr>
              <w:spacing w:before="60" w:after="60" w:line="240" w:lineRule="auto"/>
              <w:rPr>
                <w:szCs w:val="22"/>
              </w:rPr>
            </w:pPr>
            <w:r>
              <w:rPr>
                <w:szCs w:val="22"/>
              </w:rPr>
              <w:t>Quality Assurance Reviewing Agency:</w:t>
            </w:r>
          </w:p>
        </w:tc>
      </w:tr>
      <w:tr w:rsidR="00EE447B" w14:paraId="4AD5579C" w14:textId="77777777" w:rsidTr="00BB4EA2">
        <w:trPr>
          <w:trHeight w:val="850"/>
        </w:trPr>
        <w:tc>
          <w:tcPr>
            <w:tcW w:w="9072" w:type="dxa"/>
            <w:shd w:val="clear" w:color="auto" w:fill="FFFFFF"/>
          </w:tcPr>
          <w:p w14:paraId="5B96159F" w14:textId="66F5219E" w:rsidR="00EE447B" w:rsidRDefault="00400AC9" w:rsidP="00E6054D">
            <w:r>
              <w:t>Inland Revenue</w:t>
            </w:r>
          </w:p>
          <w:p w14:paraId="27C850ED" w14:textId="77777777" w:rsidR="00EE447B" w:rsidRDefault="00EE447B">
            <w:pPr>
              <w:pStyle w:val="spacer"/>
              <w:spacing w:line="276" w:lineRule="auto"/>
              <w:rPr>
                <w:sz w:val="22"/>
              </w:rPr>
            </w:pPr>
          </w:p>
        </w:tc>
      </w:tr>
      <w:tr w:rsidR="00EE447B" w14:paraId="01AACAE6" w14:textId="77777777" w:rsidTr="00BB4EA2">
        <w:trPr>
          <w:trHeight w:val="109"/>
        </w:trPr>
        <w:tc>
          <w:tcPr>
            <w:tcW w:w="9072" w:type="dxa"/>
            <w:shd w:val="clear" w:color="auto" w:fill="99CDDD"/>
            <w:hideMark/>
          </w:tcPr>
          <w:p w14:paraId="758EC865" w14:textId="77777777" w:rsidR="00EE447B" w:rsidRDefault="00EE447B">
            <w:pPr>
              <w:spacing w:before="60" w:after="60" w:line="240" w:lineRule="auto"/>
              <w:rPr>
                <w:szCs w:val="22"/>
              </w:rPr>
            </w:pPr>
            <w:r>
              <w:rPr>
                <w:szCs w:val="22"/>
              </w:rPr>
              <w:lastRenderedPageBreak/>
              <w:t>Quality Assurance Assessment:</w:t>
            </w:r>
          </w:p>
        </w:tc>
      </w:tr>
      <w:tr w:rsidR="00EE447B" w14:paraId="320B9AF8" w14:textId="77777777" w:rsidTr="00BB4EA2">
        <w:trPr>
          <w:trHeight w:val="850"/>
        </w:trPr>
        <w:tc>
          <w:tcPr>
            <w:tcW w:w="9072" w:type="dxa"/>
            <w:shd w:val="clear" w:color="auto" w:fill="FFFFFF"/>
          </w:tcPr>
          <w:p w14:paraId="5DF5D89B" w14:textId="56CA979E" w:rsidR="00400AC9" w:rsidRPr="00400AC9" w:rsidRDefault="00400AC9" w:rsidP="00400AC9">
            <w:r w:rsidRPr="00400AC9">
              <w:t xml:space="preserve">The Quality Assurance reviewer at Inland Revenue has reviewed the </w:t>
            </w:r>
            <w:r w:rsidRPr="00400AC9">
              <w:rPr>
                <w:i/>
                <w:iCs/>
              </w:rPr>
              <w:t>Domestic transport services supplied as part of the international transport of goods</w:t>
            </w:r>
            <w:r w:rsidRPr="00400AC9">
              <w:t xml:space="preserve"> Regulatory Impact Assessment prepared by Inland Revenue, and considers that the information and analysis summarised in the Regulatory Impact Assessment </w:t>
            </w:r>
            <w:r w:rsidRPr="00400AC9">
              <w:rPr>
                <w:b/>
                <w:bCs/>
              </w:rPr>
              <w:t>meets</w:t>
            </w:r>
            <w:r w:rsidRPr="00400AC9">
              <w:t xml:space="preserve"> the quality assurance criteria</w:t>
            </w:r>
            <w:r w:rsidR="005F2825">
              <w:t>.</w:t>
            </w:r>
          </w:p>
          <w:p w14:paraId="103684F1" w14:textId="77777777" w:rsidR="00EE447B" w:rsidRDefault="00EE447B" w:rsidP="00E6054D"/>
          <w:p w14:paraId="1696CB8D" w14:textId="77777777" w:rsidR="00EE447B" w:rsidRDefault="00EE447B">
            <w:pPr>
              <w:pStyle w:val="spacer"/>
              <w:spacing w:line="276" w:lineRule="auto"/>
              <w:rPr>
                <w:sz w:val="22"/>
              </w:rPr>
            </w:pPr>
          </w:p>
        </w:tc>
      </w:tr>
      <w:tr w:rsidR="00EE447B" w14:paraId="2731CAD0" w14:textId="77777777" w:rsidTr="00BB4EA2">
        <w:trPr>
          <w:trHeight w:val="56"/>
        </w:trPr>
        <w:tc>
          <w:tcPr>
            <w:tcW w:w="9072" w:type="dxa"/>
            <w:shd w:val="clear" w:color="auto" w:fill="99CDDD"/>
            <w:hideMark/>
          </w:tcPr>
          <w:p w14:paraId="0244DF29" w14:textId="77777777" w:rsidR="00EE447B" w:rsidRDefault="00EE447B">
            <w:pPr>
              <w:spacing w:before="60" w:after="60" w:line="240" w:lineRule="auto"/>
              <w:rPr>
                <w:szCs w:val="22"/>
              </w:rPr>
            </w:pPr>
            <w:r>
              <w:rPr>
                <w:szCs w:val="22"/>
              </w:rPr>
              <w:t>Reviewer Comments and Recommendations:</w:t>
            </w:r>
          </w:p>
        </w:tc>
      </w:tr>
      <w:tr w:rsidR="00EE447B" w14:paraId="7B66F7F0" w14:textId="77777777" w:rsidTr="00BB4EA2">
        <w:trPr>
          <w:trHeight w:val="850"/>
        </w:trPr>
        <w:tc>
          <w:tcPr>
            <w:tcW w:w="9072" w:type="dxa"/>
            <w:shd w:val="clear" w:color="auto" w:fill="FFFFFF"/>
          </w:tcPr>
          <w:p w14:paraId="2B6BCF00" w14:textId="5E8AA153" w:rsidR="00EE447B" w:rsidRDefault="001433A7" w:rsidP="00E6054D">
            <w:r>
              <w:t>The reviewer’s comments on earlier versions of this regulatory impact assessment have been incorporated into this version.</w:t>
            </w:r>
          </w:p>
          <w:p w14:paraId="3F069AA1" w14:textId="6E4014D3" w:rsidR="00E6054D" w:rsidRDefault="00E6054D">
            <w:pPr>
              <w:pStyle w:val="spacer"/>
              <w:spacing w:line="276" w:lineRule="auto"/>
              <w:rPr>
                <w:sz w:val="22"/>
              </w:rPr>
            </w:pPr>
          </w:p>
        </w:tc>
      </w:tr>
    </w:tbl>
    <w:p w14:paraId="31001C64" w14:textId="4B01982B" w:rsidR="00E92509" w:rsidRDefault="00F132B2" w:rsidP="00414D0D">
      <w:pPr>
        <w:pStyle w:val="Heading2"/>
      </w:pPr>
      <w:r w:rsidRPr="0069218C">
        <w:rPr>
          <w:rFonts w:cs="Arial"/>
          <w:lang w:val="en-NZ"/>
        </w:rPr>
        <w:br w:type="page"/>
      </w:r>
      <w:r w:rsidR="00E92509" w:rsidRPr="002D5734">
        <w:t xml:space="preserve">Section 2: </w:t>
      </w:r>
      <w:bookmarkEnd w:id="0"/>
      <w:bookmarkEnd w:id="1"/>
      <w:bookmarkEnd w:id="2"/>
      <w:bookmarkEnd w:id="3"/>
      <w:bookmarkEnd w:id="4"/>
      <w:r w:rsidR="00304CE4" w:rsidRPr="002D5734">
        <w:t xml:space="preserve">Problem </w:t>
      </w:r>
      <w:r w:rsidR="0032262A" w:rsidRPr="002D5734">
        <w:t>d</w:t>
      </w:r>
      <w:r w:rsidR="00304CE4" w:rsidRPr="002D5734">
        <w:t>efinition</w:t>
      </w:r>
      <w:r w:rsidR="0032262A" w:rsidRPr="002D5734">
        <w:t xml:space="preserve"> and objectives</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D5734" w:rsidRPr="0069218C" w14:paraId="06740BC8" w14:textId="77777777" w:rsidTr="00BB4EA2">
        <w:trPr>
          <w:trHeight w:val="77"/>
        </w:trPr>
        <w:tc>
          <w:tcPr>
            <w:tcW w:w="5000" w:type="pct"/>
            <w:shd w:val="clear" w:color="auto" w:fill="99CDDD"/>
            <w:hideMark/>
          </w:tcPr>
          <w:p w14:paraId="6C4DF9C6" w14:textId="77777777" w:rsidR="00E92509" w:rsidRPr="00886DFF" w:rsidRDefault="002A56F0" w:rsidP="00EC6FAD">
            <w:pPr>
              <w:pStyle w:val="TableHeadings"/>
              <w:rPr>
                <w:szCs w:val="22"/>
              </w:rPr>
            </w:pPr>
            <w:r w:rsidRPr="00886DFF">
              <w:rPr>
                <w:szCs w:val="22"/>
              </w:rPr>
              <w:t xml:space="preserve">2.1   </w:t>
            </w:r>
            <w:r w:rsidR="00051A88" w:rsidRPr="00886DFF">
              <w:rPr>
                <w:szCs w:val="22"/>
              </w:rPr>
              <w:t>What is the policy problem or opportunity</w:t>
            </w:r>
            <w:r w:rsidR="002106CB" w:rsidRPr="00886DFF">
              <w:rPr>
                <w:szCs w:val="22"/>
              </w:rPr>
              <w:t xml:space="preserve">? </w:t>
            </w:r>
          </w:p>
        </w:tc>
      </w:tr>
      <w:tr w:rsidR="00A552DC" w:rsidRPr="0069218C" w14:paraId="657BE5E1" w14:textId="77777777" w:rsidTr="00BB4EA2">
        <w:trPr>
          <w:trHeight w:val="1913"/>
        </w:trPr>
        <w:tc>
          <w:tcPr>
            <w:tcW w:w="5000" w:type="pct"/>
            <w:shd w:val="clear" w:color="auto" w:fill="auto"/>
          </w:tcPr>
          <w:p w14:paraId="2F58853A" w14:textId="3DC23EDB" w:rsidR="00F93065" w:rsidRDefault="001D393B" w:rsidP="00F93065">
            <w:pPr>
              <w:pStyle w:val="NumberedParagraph"/>
              <w:tabs>
                <w:tab w:val="clear" w:pos="851"/>
              </w:tabs>
              <w:ind w:left="0" w:firstLine="0"/>
              <w:rPr>
                <w:rFonts w:ascii="Arial" w:hAnsi="Arial" w:cs="Arial"/>
                <w:sz w:val="22"/>
                <w:szCs w:val="22"/>
              </w:rPr>
            </w:pPr>
            <w:r>
              <w:rPr>
                <w:rFonts w:ascii="Arial" w:hAnsi="Arial" w:cs="Arial"/>
                <w:sz w:val="22"/>
                <w:szCs w:val="22"/>
              </w:rPr>
              <w:t xml:space="preserve">The GST Act </w:t>
            </w:r>
            <w:r w:rsidR="00F61898">
              <w:rPr>
                <w:rFonts w:ascii="Arial" w:hAnsi="Arial" w:cs="Arial"/>
                <w:sz w:val="22"/>
                <w:szCs w:val="22"/>
              </w:rPr>
              <w:t xml:space="preserve">allows for GST to be charged at 0% (known as </w:t>
            </w:r>
            <w:r>
              <w:rPr>
                <w:rFonts w:ascii="Arial" w:hAnsi="Arial" w:cs="Arial"/>
                <w:sz w:val="22"/>
                <w:szCs w:val="22"/>
              </w:rPr>
              <w:t>zero-rat</w:t>
            </w:r>
            <w:r w:rsidR="00F61898">
              <w:rPr>
                <w:rFonts w:ascii="Arial" w:hAnsi="Arial" w:cs="Arial"/>
                <w:sz w:val="22"/>
                <w:szCs w:val="22"/>
              </w:rPr>
              <w:t>ed)</w:t>
            </w:r>
            <w:r>
              <w:rPr>
                <w:rFonts w:ascii="Arial" w:hAnsi="Arial" w:cs="Arial"/>
                <w:sz w:val="22"/>
                <w:szCs w:val="22"/>
              </w:rPr>
              <w:t xml:space="preserve"> </w:t>
            </w:r>
            <w:r w:rsidR="00400AC9">
              <w:rPr>
                <w:rFonts w:ascii="Arial" w:hAnsi="Arial" w:cs="Arial"/>
                <w:sz w:val="22"/>
                <w:szCs w:val="22"/>
              </w:rPr>
              <w:t xml:space="preserve">for </w:t>
            </w:r>
            <w:r>
              <w:rPr>
                <w:rFonts w:ascii="Arial" w:hAnsi="Arial" w:cs="Arial"/>
                <w:sz w:val="22"/>
                <w:szCs w:val="22"/>
              </w:rPr>
              <w:t xml:space="preserve">services provided to transport goods to and from </w:t>
            </w:r>
            <w:r w:rsidR="00400AC9">
              <w:rPr>
                <w:rFonts w:ascii="Arial" w:hAnsi="Arial" w:cs="Arial"/>
                <w:sz w:val="22"/>
                <w:szCs w:val="22"/>
              </w:rPr>
              <w:t>New Zealand (</w:t>
            </w:r>
            <w:r>
              <w:rPr>
                <w:rFonts w:ascii="Arial" w:hAnsi="Arial" w:cs="Arial"/>
                <w:sz w:val="22"/>
                <w:szCs w:val="22"/>
              </w:rPr>
              <w:t>NZ</w:t>
            </w:r>
            <w:r w:rsidR="00400AC9">
              <w:rPr>
                <w:rFonts w:ascii="Arial" w:hAnsi="Arial" w:cs="Arial"/>
                <w:sz w:val="22"/>
                <w:szCs w:val="22"/>
              </w:rPr>
              <w:t>)</w:t>
            </w:r>
            <w:r w:rsidR="000C4BE4">
              <w:rPr>
                <w:rFonts w:ascii="Arial" w:hAnsi="Arial" w:cs="Arial"/>
                <w:sz w:val="22"/>
                <w:szCs w:val="22"/>
              </w:rPr>
              <w:t xml:space="preserve"> and, in certain circumstances, the transport of goods within </w:t>
            </w:r>
            <w:r w:rsidR="00400AC9">
              <w:rPr>
                <w:rFonts w:ascii="Arial" w:hAnsi="Arial" w:cs="Arial"/>
                <w:sz w:val="22"/>
                <w:szCs w:val="22"/>
              </w:rPr>
              <w:t>NZ</w:t>
            </w:r>
            <w:r w:rsidR="000C4BE4">
              <w:rPr>
                <w:rFonts w:ascii="Arial" w:hAnsi="Arial" w:cs="Arial"/>
                <w:sz w:val="22"/>
                <w:szCs w:val="22"/>
              </w:rPr>
              <w:t xml:space="preserve"> </w:t>
            </w:r>
            <w:r w:rsidR="00E93200">
              <w:rPr>
                <w:rFonts w:ascii="Arial" w:hAnsi="Arial" w:cs="Arial"/>
                <w:sz w:val="22"/>
                <w:szCs w:val="22"/>
              </w:rPr>
              <w:t xml:space="preserve">(the domestic leg) </w:t>
            </w:r>
            <w:r w:rsidR="000C4BE4">
              <w:rPr>
                <w:rFonts w:ascii="Arial" w:hAnsi="Arial" w:cs="Arial"/>
                <w:sz w:val="22"/>
                <w:szCs w:val="22"/>
              </w:rPr>
              <w:t>as part of the international transport of goods may</w:t>
            </w:r>
            <w:r w:rsidR="00F61898">
              <w:rPr>
                <w:rFonts w:ascii="Arial" w:hAnsi="Arial" w:cs="Arial"/>
                <w:sz w:val="22"/>
                <w:szCs w:val="22"/>
              </w:rPr>
              <w:t xml:space="preserve"> also</w:t>
            </w:r>
            <w:r w:rsidR="000C4BE4">
              <w:rPr>
                <w:rFonts w:ascii="Arial" w:hAnsi="Arial" w:cs="Arial"/>
                <w:sz w:val="22"/>
                <w:szCs w:val="22"/>
              </w:rPr>
              <w:t xml:space="preserve"> be zero-rated. This is because exported goods are zero-rated, and the value of transport services is already included in the cost of</w:t>
            </w:r>
            <w:r w:rsidR="005001D7">
              <w:rPr>
                <w:rFonts w:ascii="Arial" w:hAnsi="Arial" w:cs="Arial"/>
                <w:sz w:val="22"/>
                <w:szCs w:val="22"/>
              </w:rPr>
              <w:t xml:space="preserve"> </w:t>
            </w:r>
            <w:r w:rsidR="002D3B95">
              <w:rPr>
                <w:rFonts w:ascii="Arial" w:hAnsi="Arial" w:cs="Arial"/>
                <w:sz w:val="22"/>
                <w:szCs w:val="22"/>
              </w:rPr>
              <w:t>imported</w:t>
            </w:r>
            <w:r w:rsidR="000C4BE4">
              <w:rPr>
                <w:rFonts w:ascii="Arial" w:hAnsi="Arial" w:cs="Arial"/>
                <w:sz w:val="22"/>
                <w:szCs w:val="22"/>
              </w:rPr>
              <w:t xml:space="preserve"> goods which are subject to 15% GST.</w:t>
            </w:r>
          </w:p>
          <w:p w14:paraId="01BF2B2D" w14:textId="6C1C4889" w:rsidR="00E93200" w:rsidRDefault="00E93200" w:rsidP="00F93065">
            <w:pPr>
              <w:pStyle w:val="NumberedParagraph"/>
              <w:tabs>
                <w:tab w:val="clear" w:pos="851"/>
              </w:tabs>
              <w:ind w:left="0" w:firstLine="0"/>
              <w:rPr>
                <w:rFonts w:ascii="Arial" w:hAnsi="Arial" w:cs="Arial"/>
                <w:sz w:val="22"/>
                <w:szCs w:val="22"/>
              </w:rPr>
            </w:pPr>
            <w:r>
              <w:rPr>
                <w:rFonts w:ascii="Arial" w:hAnsi="Arial" w:cs="Arial"/>
                <w:sz w:val="22"/>
                <w:szCs w:val="22"/>
              </w:rPr>
              <w:t>For the domestic leg of transport services to be zero-rated,</w:t>
            </w:r>
            <w:r w:rsidR="00532675">
              <w:rPr>
                <w:rFonts w:ascii="Arial" w:hAnsi="Arial" w:cs="Arial"/>
                <w:sz w:val="22"/>
                <w:szCs w:val="22"/>
              </w:rPr>
              <w:t xml:space="preserve"> the primary transport supplier must also supply the domestic portion of the international transport</w:t>
            </w:r>
            <w:r w:rsidR="00EE0119">
              <w:rPr>
                <w:rFonts w:ascii="Arial" w:hAnsi="Arial" w:cs="Arial"/>
                <w:sz w:val="22"/>
                <w:szCs w:val="22"/>
              </w:rPr>
              <w:t xml:space="preserve"> of goods. This means that if an NZ based courier is subcontracted by the international transporter </w:t>
            </w:r>
            <w:r w:rsidR="00EC5642">
              <w:rPr>
                <w:rFonts w:ascii="Arial" w:hAnsi="Arial" w:cs="Arial"/>
                <w:sz w:val="22"/>
                <w:szCs w:val="22"/>
              </w:rPr>
              <w:t xml:space="preserve">to provide the domestic transport services as part of the international transport of goods, the NZ-based courier </w:t>
            </w:r>
            <w:r w:rsidR="00400AC9">
              <w:rPr>
                <w:rFonts w:ascii="Arial" w:hAnsi="Arial" w:cs="Arial"/>
                <w:sz w:val="22"/>
                <w:szCs w:val="22"/>
              </w:rPr>
              <w:t xml:space="preserve">should </w:t>
            </w:r>
            <w:r w:rsidR="00EC5642">
              <w:rPr>
                <w:rFonts w:ascii="Arial" w:hAnsi="Arial" w:cs="Arial"/>
                <w:sz w:val="22"/>
                <w:szCs w:val="22"/>
              </w:rPr>
              <w:t>charge GST on the supply. This applies even if they are associated with or owned by the international supplier.</w:t>
            </w:r>
            <w:r w:rsidR="00641CB2">
              <w:rPr>
                <w:rFonts w:ascii="Arial" w:hAnsi="Arial" w:cs="Arial"/>
                <w:sz w:val="22"/>
                <w:szCs w:val="22"/>
              </w:rPr>
              <w:t xml:space="preserve"> </w:t>
            </w:r>
          </w:p>
          <w:p w14:paraId="6F5102BD" w14:textId="1417AF27" w:rsidR="00641CB2" w:rsidRDefault="00641CB2" w:rsidP="00F93065">
            <w:pPr>
              <w:pStyle w:val="NumberedParagraph"/>
              <w:tabs>
                <w:tab w:val="clear" w:pos="851"/>
              </w:tabs>
              <w:ind w:left="0" w:firstLine="0"/>
              <w:rPr>
                <w:rFonts w:ascii="Arial" w:hAnsi="Arial" w:cs="Arial"/>
                <w:sz w:val="22"/>
                <w:szCs w:val="22"/>
              </w:rPr>
            </w:pPr>
            <w:r>
              <w:rPr>
                <w:rFonts w:ascii="Arial" w:hAnsi="Arial" w:cs="Arial"/>
                <w:sz w:val="22"/>
                <w:szCs w:val="22"/>
              </w:rPr>
              <w:t>The problem is that under current practice, most international</w:t>
            </w:r>
            <w:r w:rsidR="00626EDC">
              <w:rPr>
                <w:rFonts w:ascii="Arial" w:hAnsi="Arial" w:cs="Arial"/>
                <w:sz w:val="22"/>
                <w:szCs w:val="22"/>
              </w:rPr>
              <w:t xml:space="preserve"> </w:t>
            </w:r>
            <w:r w:rsidR="002D3B95">
              <w:rPr>
                <w:rFonts w:ascii="Arial" w:hAnsi="Arial" w:cs="Arial"/>
                <w:sz w:val="22"/>
                <w:szCs w:val="22"/>
              </w:rPr>
              <w:t>transporters</w:t>
            </w:r>
            <w:r w:rsidR="00626EDC">
              <w:rPr>
                <w:rFonts w:ascii="Arial" w:hAnsi="Arial" w:cs="Arial"/>
                <w:sz w:val="22"/>
                <w:szCs w:val="22"/>
              </w:rPr>
              <w:t xml:space="preserve"> do not </w:t>
            </w:r>
            <w:r w:rsidR="00373E03">
              <w:rPr>
                <w:rFonts w:ascii="Arial" w:hAnsi="Arial" w:cs="Arial"/>
                <w:sz w:val="22"/>
                <w:szCs w:val="22"/>
              </w:rPr>
              <w:t>undertake the domestic leg of the transportation, and instead subcontract</w:t>
            </w:r>
            <w:r w:rsidR="00032B45">
              <w:rPr>
                <w:rFonts w:ascii="Arial" w:hAnsi="Arial" w:cs="Arial"/>
                <w:sz w:val="22"/>
                <w:szCs w:val="22"/>
              </w:rPr>
              <w:t xml:space="preserve"> to an NZ-based courier. The current rules have led to a lot of non-compliance in the industry, as many goods transporters within NZ are incorrectly zero-rating their domestic services.</w:t>
            </w:r>
            <w:r w:rsidR="00663A9C">
              <w:rPr>
                <w:rFonts w:ascii="Arial" w:hAnsi="Arial" w:cs="Arial"/>
                <w:sz w:val="22"/>
                <w:szCs w:val="22"/>
              </w:rPr>
              <w:t xml:space="preserve"> A lot of this is due to lack of understanding of the requirement that for the domestic leg to be zero-rated it must be supplied by the same supplier as the international transportation.</w:t>
            </w:r>
            <w:r w:rsidR="00A075B5">
              <w:rPr>
                <w:rFonts w:ascii="Arial" w:hAnsi="Arial" w:cs="Arial"/>
                <w:sz w:val="22"/>
                <w:szCs w:val="22"/>
              </w:rPr>
              <w:t xml:space="preserve"> There is also commercial pressure for suppliers of domestic transport services to zero-rate, especially when the recipient of the supply of the domestic transport (being an international supplier) is not registered for NZ GST.</w:t>
            </w:r>
          </w:p>
          <w:p w14:paraId="128DD047" w14:textId="25D7BE84" w:rsidR="00F132B2" w:rsidRPr="00034587" w:rsidRDefault="00F132B2" w:rsidP="00034587">
            <w:pPr>
              <w:pStyle w:val="NumberedParagraph"/>
              <w:tabs>
                <w:tab w:val="clear" w:pos="851"/>
              </w:tabs>
              <w:ind w:left="0" w:firstLine="0"/>
              <w:rPr>
                <w:rFonts w:ascii="Arial" w:hAnsi="Arial" w:cs="Arial"/>
                <w:sz w:val="22"/>
                <w:szCs w:val="22"/>
              </w:rPr>
            </w:pPr>
          </w:p>
        </w:tc>
      </w:tr>
    </w:tbl>
    <w:p w14:paraId="5D2EE621" w14:textId="77777777" w:rsidR="00F132B2" w:rsidRPr="00567434" w:rsidRDefault="00F132B2"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546F69" w:rsidRPr="0069218C" w14:paraId="7B206C42" w14:textId="77777777" w:rsidTr="00BB4EA2">
        <w:trPr>
          <w:trHeight w:val="77"/>
        </w:trPr>
        <w:tc>
          <w:tcPr>
            <w:tcW w:w="5000" w:type="pct"/>
            <w:shd w:val="clear" w:color="auto" w:fill="99CDDD"/>
          </w:tcPr>
          <w:p w14:paraId="6B3F6C08" w14:textId="77777777" w:rsidR="00546F69" w:rsidRPr="00886DFF" w:rsidRDefault="00546F69" w:rsidP="00EC6FAD">
            <w:pPr>
              <w:pStyle w:val="TableHeadings"/>
              <w:rPr>
                <w:b w:val="0"/>
                <w:color w:val="1F4E79"/>
                <w:szCs w:val="22"/>
                <w:lang w:val="en-NZ"/>
              </w:rPr>
            </w:pPr>
            <w:r w:rsidRPr="00886DFF">
              <w:rPr>
                <w:szCs w:val="22"/>
                <w:lang w:val="en-NZ"/>
              </w:rPr>
              <w:t xml:space="preserve">2.2    </w:t>
            </w:r>
            <w:r w:rsidR="00C45246" w:rsidRPr="00886DFF">
              <w:rPr>
                <w:rFonts w:eastAsia="Calibri"/>
                <w:szCs w:val="22"/>
                <w:lang w:val="en-NZ" w:eastAsia="en-US"/>
              </w:rPr>
              <w:t xml:space="preserve">Who is affected and how? </w:t>
            </w:r>
          </w:p>
        </w:tc>
      </w:tr>
      <w:tr w:rsidR="00F132B2" w:rsidRPr="0069218C" w14:paraId="1FC33663" w14:textId="77777777" w:rsidTr="00BB4EA2">
        <w:trPr>
          <w:trHeight w:val="1779"/>
        </w:trPr>
        <w:tc>
          <w:tcPr>
            <w:tcW w:w="5000" w:type="pct"/>
            <w:shd w:val="clear" w:color="auto" w:fill="auto"/>
          </w:tcPr>
          <w:p w14:paraId="60AC8A3E" w14:textId="7D2D1333" w:rsidR="00F132B2" w:rsidRDefault="008A66FE" w:rsidP="00683307">
            <w:r>
              <w:rPr>
                <w:b/>
                <w:bCs/>
              </w:rPr>
              <w:t>Final consumer:</w:t>
            </w:r>
            <w:r>
              <w:t xml:space="preserve"> The current rules </w:t>
            </w:r>
            <w:r w:rsidR="005E3FE1">
              <w:t xml:space="preserve">may </w:t>
            </w:r>
            <w:r>
              <w:t>create tax cascades</w:t>
            </w:r>
            <w:r w:rsidR="00A0232C">
              <w:rPr>
                <w:rStyle w:val="FootnoteReference"/>
              </w:rPr>
              <w:footnoteReference w:id="1"/>
            </w:r>
            <w:r>
              <w:t xml:space="preserve"> whereby a business that is not registered for GST (off-shore supplier) is charged GST by a domestic courier undertaking the domestic leg of transportation.</w:t>
            </w:r>
            <w:r w:rsidR="00AA6E15">
              <w:t xml:space="preserve"> The GST charged to a non-registered business by the supplier cannot be refunded by I</w:t>
            </w:r>
            <w:r w:rsidR="00400AC9">
              <w:t>nland Revenue</w:t>
            </w:r>
            <w:r w:rsidR="00AA6E15">
              <w:t xml:space="preserve"> (</w:t>
            </w:r>
            <w:r w:rsidR="00400AC9">
              <w:t xml:space="preserve">if you are </w:t>
            </w:r>
            <w:r w:rsidR="00AA6E15">
              <w:t xml:space="preserve">not registered for GST </w:t>
            </w:r>
            <w:r w:rsidR="00400AC9">
              <w:t>you</w:t>
            </w:r>
            <w:r w:rsidR="00AA6E15">
              <w:t xml:space="preserve"> cannot claim </w:t>
            </w:r>
            <w:r w:rsidR="00400AC9">
              <w:t xml:space="preserve">any </w:t>
            </w:r>
            <w:r w:rsidR="00AA6E15">
              <w:t>inputs) thereby leading to the GST being embedded in the price charged for the international transportation, and thus passed on to the final consumer.</w:t>
            </w:r>
            <w:r w:rsidR="00692896">
              <w:rPr>
                <w:rStyle w:val="FootnoteReference"/>
              </w:rPr>
              <w:footnoteReference w:id="2"/>
            </w:r>
          </w:p>
          <w:p w14:paraId="53C5A306" w14:textId="660C55EE" w:rsidR="00AA6E15" w:rsidRDefault="003B7089" w:rsidP="00683307">
            <w:r>
              <w:rPr>
                <w:b/>
                <w:bCs/>
              </w:rPr>
              <w:t>Domestic couriers:</w:t>
            </w:r>
            <w:r>
              <w:t xml:space="preserve"> The current rules create a bias towards the international transport supplier of the international transport services also supplying the domestic transport services (as it would be zero-rated). This theoretically lowers demand for the domestic </w:t>
            </w:r>
            <w:proofErr w:type="gramStart"/>
            <w:r>
              <w:t>couriers</w:t>
            </w:r>
            <w:proofErr w:type="gramEnd"/>
            <w:r>
              <w:t xml:space="preserve"> service. Secondly, in the event the domestic courier is chosen, there is a lot of pressure on them to</w:t>
            </w:r>
            <w:r w:rsidR="00815FA1">
              <w:t xml:space="preserve"> incorrectly zero-rate the domestic leg services (anecdotally this is what </w:t>
            </w:r>
            <w:r w:rsidR="00400AC9">
              <w:t>officials</w:t>
            </w:r>
            <w:r w:rsidR="00815FA1">
              <w:t xml:space="preserve"> understand happens in practice but could potentially open the domestic leg supplier up to liability).</w:t>
            </w:r>
          </w:p>
          <w:p w14:paraId="17C29B0E" w14:textId="7000D06E" w:rsidR="0024442A" w:rsidRPr="0024442A" w:rsidRDefault="0024442A" w:rsidP="00683307">
            <w:r>
              <w:rPr>
                <w:b/>
                <w:bCs/>
              </w:rPr>
              <w:t>International couriers:</w:t>
            </w:r>
            <w:r>
              <w:t xml:space="preserve"> </w:t>
            </w:r>
            <w:r w:rsidR="0071040C">
              <w:t>Creates inefficiencies as international transporters are required to either register for NZ GST (to claim inputs on the GST cost charged by domestic couriers for the domestic leg) or carry out the domestic leg of transportation themselves, despite it not necessarily making best business sense to do so.</w:t>
            </w:r>
            <w:r w:rsidR="00751CB1">
              <w:t xml:space="preserve"> As the current rules incentivise international couriers to undertake the transportation themselves, this also affects competition. There is also an incentive for the </w:t>
            </w:r>
            <w:r w:rsidR="00304E1B">
              <w:t>transporters</w:t>
            </w:r>
            <w:r w:rsidR="00751CB1">
              <w:t xml:space="preserve"> to deliver goods through the postal service, as the full value of international postal services is always zero-rated (whereas for courier services the domestic leg is currently subject to GST).</w:t>
            </w:r>
          </w:p>
        </w:tc>
      </w:tr>
    </w:tbl>
    <w:p w14:paraId="1F0A46B0" w14:textId="77777777" w:rsidR="000C3197" w:rsidRPr="00567434" w:rsidRDefault="000C3197"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304CE4" w:rsidRPr="0069218C" w14:paraId="76ED6E00" w14:textId="77777777" w:rsidTr="00BB4EA2">
        <w:trPr>
          <w:trHeight w:val="77"/>
        </w:trPr>
        <w:tc>
          <w:tcPr>
            <w:tcW w:w="5000" w:type="pct"/>
            <w:shd w:val="clear" w:color="auto" w:fill="99CDDD"/>
          </w:tcPr>
          <w:p w14:paraId="684695CB" w14:textId="1CFD94F7" w:rsidR="00304CE4" w:rsidRPr="00886DFF" w:rsidRDefault="00651B5A" w:rsidP="00EC6FAD">
            <w:pPr>
              <w:pStyle w:val="TableHeadings"/>
              <w:rPr>
                <w:szCs w:val="22"/>
              </w:rPr>
            </w:pPr>
            <w:r>
              <w:rPr>
                <w:szCs w:val="22"/>
              </w:rPr>
              <w:t xml:space="preserve">2.3 </w:t>
            </w:r>
            <w:r w:rsidR="000917DB">
              <w:rPr>
                <w:szCs w:val="22"/>
              </w:rPr>
              <w:t xml:space="preserve">   </w:t>
            </w:r>
            <w:r>
              <w:rPr>
                <w:szCs w:val="22"/>
              </w:rPr>
              <w:t>What are the objectives sought in relation to the identified problem?</w:t>
            </w:r>
          </w:p>
        </w:tc>
      </w:tr>
      <w:tr w:rsidR="00F132B2" w:rsidRPr="0069218C" w14:paraId="465AC71A" w14:textId="77777777" w:rsidTr="00BB4EA2">
        <w:trPr>
          <w:trHeight w:val="1780"/>
        </w:trPr>
        <w:tc>
          <w:tcPr>
            <w:tcW w:w="5000" w:type="pct"/>
            <w:shd w:val="clear" w:color="auto" w:fill="auto"/>
          </w:tcPr>
          <w:p w14:paraId="5C5F2AB0" w14:textId="4B5E79FA" w:rsidR="0071377D" w:rsidRDefault="00D8558B" w:rsidP="006561DA">
            <w:pPr>
              <w:pStyle w:val="ListParagraph"/>
              <w:numPr>
                <w:ilvl w:val="0"/>
                <w:numId w:val="7"/>
              </w:numPr>
            </w:pPr>
            <w:r>
              <w:t xml:space="preserve">That the tax settings do not bias business decisions by favouring </w:t>
            </w:r>
            <w:r w:rsidR="00277278">
              <w:t>the use of certain courier companies over others.</w:t>
            </w:r>
          </w:p>
          <w:p w14:paraId="7A88CB03" w14:textId="2A435433" w:rsidR="00F132B2" w:rsidRDefault="0097308D" w:rsidP="006561DA">
            <w:pPr>
              <w:pStyle w:val="ListParagraph"/>
              <w:numPr>
                <w:ilvl w:val="0"/>
                <w:numId w:val="7"/>
              </w:numPr>
            </w:pPr>
            <w:r>
              <w:t xml:space="preserve">To avoid tax cascades and </w:t>
            </w:r>
            <w:r w:rsidR="00400AC9">
              <w:t xml:space="preserve">other </w:t>
            </w:r>
            <w:r>
              <w:t>additional costs being passed on to the final consumer</w:t>
            </w:r>
            <w:r w:rsidR="00FB3061">
              <w:t xml:space="preserve"> (it is appropriate for the final consumer to bear the GST cost</w:t>
            </w:r>
            <w:r w:rsidR="00300D3F">
              <w:t>)</w:t>
            </w:r>
            <w:r w:rsidR="006704D2">
              <w:t>.</w:t>
            </w:r>
          </w:p>
          <w:p w14:paraId="223D1F7A" w14:textId="7401EF2F" w:rsidR="0016361A" w:rsidRDefault="00A72FDA" w:rsidP="006561DA">
            <w:pPr>
              <w:pStyle w:val="ListParagraph"/>
              <w:numPr>
                <w:ilvl w:val="0"/>
                <w:numId w:val="7"/>
              </w:numPr>
            </w:pPr>
            <w:r>
              <w:t>To ensure ease of compliance:</w:t>
            </w:r>
            <w:r w:rsidR="0016361A">
              <w:t xml:space="preserve"> to ensure that the rules in this area are clear and easy for transporters to follow and apply.</w:t>
            </w:r>
          </w:p>
          <w:p w14:paraId="6CCE6DE4" w14:textId="42AB0FCB" w:rsidR="00A72FDA" w:rsidRPr="00E25654" w:rsidRDefault="00A72FDA" w:rsidP="0016361A">
            <w:pPr>
              <w:pStyle w:val="ListParagraph"/>
            </w:pPr>
          </w:p>
        </w:tc>
      </w:tr>
    </w:tbl>
    <w:p w14:paraId="23951347" w14:textId="014101A8" w:rsidR="00E92509" w:rsidRDefault="00A552DC" w:rsidP="001B4792">
      <w:pPr>
        <w:pStyle w:val="Heading2"/>
      </w:pPr>
      <w:r w:rsidRPr="0069218C">
        <w:rPr>
          <w:lang w:val="en-NZ"/>
        </w:rPr>
        <w:br w:type="page"/>
      </w:r>
      <w:r w:rsidR="00BE62EB" w:rsidRPr="002D5734">
        <w:t xml:space="preserve">Section </w:t>
      </w:r>
      <w:r w:rsidR="00051A88">
        <w:t>3</w:t>
      </w:r>
      <w:r w:rsidR="00BE62EB" w:rsidRPr="002D5734">
        <w:t xml:space="preserve">: </w:t>
      </w:r>
      <w:r w:rsidR="00304CE4" w:rsidRPr="002D5734">
        <w:t xml:space="preserve">Options </w:t>
      </w:r>
      <w:r w:rsidR="00BE4A62" w:rsidRPr="002D5734">
        <w:t>identific</w:t>
      </w:r>
      <w:r w:rsidR="00304CE4" w:rsidRPr="002D5734">
        <w:t>ation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051A88" w:rsidRPr="0069218C" w14:paraId="18EA2813" w14:textId="77777777" w:rsidTr="00BB4EA2">
        <w:trPr>
          <w:trHeight w:val="77"/>
        </w:trPr>
        <w:tc>
          <w:tcPr>
            <w:tcW w:w="5000" w:type="pct"/>
            <w:shd w:val="clear" w:color="auto" w:fill="99CDDD"/>
          </w:tcPr>
          <w:p w14:paraId="291154AD" w14:textId="77777777" w:rsidR="00051A88" w:rsidRPr="00886DFF" w:rsidRDefault="00B23E8A" w:rsidP="00380585">
            <w:pPr>
              <w:pStyle w:val="TableHeadings"/>
              <w:keepNext/>
              <w:rPr>
                <w:szCs w:val="22"/>
                <w:lang w:val="en-NZ"/>
              </w:rPr>
            </w:pPr>
            <w:r w:rsidRPr="00886DFF">
              <w:rPr>
                <w:szCs w:val="22"/>
                <w:lang w:val="en-NZ"/>
              </w:rPr>
              <w:t>3</w:t>
            </w:r>
            <w:r w:rsidR="00051A88" w:rsidRPr="00886DFF">
              <w:rPr>
                <w:szCs w:val="22"/>
                <w:lang w:val="en-NZ"/>
              </w:rPr>
              <w:t xml:space="preserve">.1   What options have been considered? </w:t>
            </w:r>
          </w:p>
        </w:tc>
      </w:tr>
      <w:tr w:rsidR="00F132B2" w:rsidRPr="0069218C" w14:paraId="482F9B2B" w14:textId="77777777" w:rsidTr="00BB4EA2">
        <w:trPr>
          <w:trHeight w:val="3161"/>
        </w:trPr>
        <w:tc>
          <w:tcPr>
            <w:tcW w:w="5000" w:type="pct"/>
            <w:shd w:val="clear" w:color="auto" w:fill="auto"/>
          </w:tcPr>
          <w:p w14:paraId="3871735C" w14:textId="3634AD23" w:rsidR="00F132B2" w:rsidRDefault="00C50565" w:rsidP="00C7655A">
            <w:r>
              <w:t xml:space="preserve">The following criteria </w:t>
            </w:r>
            <w:r w:rsidR="001A1B3C">
              <w:t xml:space="preserve">were </w:t>
            </w:r>
            <w:r>
              <w:t>used to assess the options:</w:t>
            </w:r>
          </w:p>
          <w:p w14:paraId="24363ADA" w14:textId="339C98EC" w:rsidR="00C50565" w:rsidRDefault="00C50565" w:rsidP="006561DA">
            <w:pPr>
              <w:pStyle w:val="ListParagraph"/>
              <w:numPr>
                <w:ilvl w:val="0"/>
                <w:numId w:val="8"/>
              </w:numPr>
            </w:pPr>
            <w:r>
              <w:t>Certainty:</w:t>
            </w:r>
            <w:r w:rsidR="007E6CBF">
              <w:t xml:space="preserve"> It should be clear how the tax rules operate so that affected parties can plan their affairs accordingly.</w:t>
            </w:r>
            <w:r w:rsidR="008B79E6">
              <w:t xml:space="preserve"> </w:t>
            </w:r>
          </w:p>
          <w:p w14:paraId="3B33C042" w14:textId="2C547F4F" w:rsidR="00D80BFD" w:rsidRDefault="008D1568" w:rsidP="006561DA">
            <w:pPr>
              <w:pStyle w:val="ListParagraph"/>
              <w:numPr>
                <w:ilvl w:val="0"/>
                <w:numId w:val="8"/>
              </w:numPr>
            </w:pPr>
            <w:r>
              <w:t xml:space="preserve">Fairness: </w:t>
            </w:r>
            <w:r w:rsidR="002F7AB5">
              <w:t xml:space="preserve">It is appropriate under fundamental GST principles that the final consumer bears the GST cost. However, </w:t>
            </w:r>
            <w:r w:rsidR="00D80BFD">
              <w:t xml:space="preserve">we </w:t>
            </w:r>
            <w:r w:rsidR="002F7AB5">
              <w:t xml:space="preserve">want to avoid tax cascades </w:t>
            </w:r>
            <w:r w:rsidR="00D80BFD">
              <w:t>that occur when</w:t>
            </w:r>
            <w:r w:rsidR="002A5987">
              <w:t>, by virtue of not being registered for GST, a taxpayer is unable to claim input tax deductions for goods/services that are used in their taxable activity.</w:t>
            </w:r>
            <w:r w:rsidR="009A50FB">
              <w:t xml:space="preserve"> This results in</w:t>
            </w:r>
            <w:r w:rsidR="00A47DE4">
              <w:t xml:space="preserve"> additional GST costs, which would otherwise be recoverable by the GST registered party, being imbedded in the final price paid by the consumer.</w:t>
            </w:r>
          </w:p>
          <w:p w14:paraId="6350AB18" w14:textId="2B6184C3" w:rsidR="007B4426" w:rsidRDefault="0098436E" w:rsidP="006561DA">
            <w:pPr>
              <w:pStyle w:val="ListParagraph"/>
              <w:numPr>
                <w:ilvl w:val="0"/>
                <w:numId w:val="8"/>
              </w:numPr>
            </w:pPr>
            <w:r>
              <w:t xml:space="preserve">Tax considerations should not bias business decisions: </w:t>
            </w:r>
            <w:r w:rsidR="00400AC9">
              <w:t xml:space="preserve">The </w:t>
            </w:r>
            <w:r w:rsidR="0078591D">
              <w:t>GST treatment of transport services should not bias investment decisions.</w:t>
            </w:r>
          </w:p>
          <w:p w14:paraId="4394802B" w14:textId="597749F8" w:rsidR="0078591D" w:rsidRDefault="0078591D" w:rsidP="006561DA">
            <w:pPr>
              <w:pStyle w:val="ListParagraph"/>
              <w:numPr>
                <w:ilvl w:val="0"/>
                <w:numId w:val="8"/>
              </w:numPr>
            </w:pPr>
            <w:r>
              <w:t>Consistency with</w:t>
            </w:r>
            <w:r w:rsidR="004A5E8C">
              <w:t xml:space="preserve"> other jurisdictions: </w:t>
            </w:r>
            <w:r w:rsidR="00400AC9">
              <w:t>It is i</w:t>
            </w:r>
            <w:r w:rsidR="004A5E8C">
              <w:t>mportant</w:t>
            </w:r>
            <w:r w:rsidR="000A40B3">
              <w:t xml:space="preserve"> for these rules</w:t>
            </w:r>
            <w:r w:rsidR="004A5E8C">
              <w:t xml:space="preserve"> to be consistent </w:t>
            </w:r>
            <w:r w:rsidR="000A40B3">
              <w:t xml:space="preserve">with other jurisdictions, so </w:t>
            </w:r>
            <w:r w:rsidR="004A5E8C">
              <w:t xml:space="preserve">NZ </w:t>
            </w:r>
            <w:r w:rsidR="000A40B3">
              <w:t xml:space="preserve">will </w:t>
            </w:r>
            <w:r w:rsidR="004A5E8C">
              <w:t>remain a competitive market for the buying and selling of goods</w:t>
            </w:r>
            <w:r w:rsidR="00A12C85">
              <w:t xml:space="preserve"> which are required to be transported overseas</w:t>
            </w:r>
            <w:r w:rsidR="004470B2">
              <w:t xml:space="preserve"> (for example Australia have provisions that allow for zero-rating of the domestic leg).</w:t>
            </w:r>
          </w:p>
          <w:p w14:paraId="6A46E68D" w14:textId="7D8260F2" w:rsidR="0075669C" w:rsidRDefault="0075669C" w:rsidP="0075669C"/>
          <w:p w14:paraId="0DCE1FD9" w14:textId="58075714" w:rsidR="00392098" w:rsidRPr="00487D0A" w:rsidRDefault="00392098" w:rsidP="0075669C">
            <w:pPr>
              <w:rPr>
                <w:b/>
                <w:bCs/>
              </w:rPr>
            </w:pPr>
            <w:r w:rsidRPr="00487D0A">
              <w:rPr>
                <w:b/>
                <w:bCs/>
              </w:rPr>
              <w:t>Option one: Status Quo</w:t>
            </w:r>
          </w:p>
          <w:p w14:paraId="2CA48857" w14:textId="513DA241" w:rsidR="00F6028C" w:rsidRDefault="00F6028C" w:rsidP="0075669C">
            <w:r>
              <w:t xml:space="preserve">Under the status quo </w:t>
            </w:r>
            <w:r w:rsidR="00A56E99">
              <w:t xml:space="preserve">the domestic leg of the international transportation of goods can only be zero-rated </w:t>
            </w:r>
            <w:r w:rsidR="006644DC">
              <w:t xml:space="preserve">where the domestic leg of the transportation is supplied by the same supplier as the international leg of the transportation, </w:t>
            </w:r>
            <w:r w:rsidR="00016C09">
              <w:t xml:space="preserve">excluding subcontract arrangements widely used in New Zealand. </w:t>
            </w:r>
          </w:p>
          <w:p w14:paraId="4C6B12BF" w14:textId="0D5330C1" w:rsidR="0075669C" w:rsidRPr="0075669C" w:rsidRDefault="0075669C" w:rsidP="0075669C">
            <w:pPr>
              <w:rPr>
                <w:b/>
                <w:bCs/>
              </w:rPr>
            </w:pPr>
            <w:r>
              <w:rPr>
                <w:b/>
                <w:bCs/>
              </w:rPr>
              <w:t xml:space="preserve">Option </w:t>
            </w:r>
            <w:r w:rsidR="00392098">
              <w:rPr>
                <w:b/>
                <w:bCs/>
              </w:rPr>
              <w:t>two</w:t>
            </w:r>
            <w:r>
              <w:rPr>
                <w:b/>
                <w:bCs/>
              </w:rPr>
              <w:t>:</w:t>
            </w:r>
            <w:r w:rsidR="00A47B2B">
              <w:rPr>
                <w:b/>
                <w:bCs/>
              </w:rPr>
              <w:t xml:space="preserve"> Zero-rating domestic transport services</w:t>
            </w:r>
            <w:r w:rsidR="00BD755F">
              <w:rPr>
                <w:b/>
                <w:bCs/>
              </w:rPr>
              <w:t xml:space="preserve"> if </w:t>
            </w:r>
            <w:r w:rsidR="00B01B4A">
              <w:rPr>
                <w:b/>
                <w:bCs/>
              </w:rPr>
              <w:t xml:space="preserve">the </w:t>
            </w:r>
            <w:r w:rsidR="00BD755F">
              <w:rPr>
                <w:b/>
                <w:bCs/>
              </w:rPr>
              <w:t>primary transport supplier</w:t>
            </w:r>
            <w:r w:rsidR="00B01B4A">
              <w:rPr>
                <w:b/>
                <w:bCs/>
              </w:rPr>
              <w:t xml:space="preserve"> contracted to transport goods to </w:t>
            </w:r>
            <w:r w:rsidR="00113AD9">
              <w:rPr>
                <w:b/>
                <w:bCs/>
              </w:rPr>
              <w:t xml:space="preserve">or </w:t>
            </w:r>
            <w:r w:rsidR="00B01B4A">
              <w:rPr>
                <w:b/>
                <w:bCs/>
              </w:rPr>
              <w:t>from NZ is</w:t>
            </w:r>
            <w:r w:rsidR="00BD755F">
              <w:rPr>
                <w:b/>
                <w:bCs/>
              </w:rPr>
              <w:t xml:space="preserve"> non-resident</w:t>
            </w:r>
          </w:p>
          <w:p w14:paraId="742CD742" w14:textId="2F9B104F" w:rsidR="007F321A" w:rsidRPr="00196EEF" w:rsidRDefault="00BD755F" w:rsidP="0075669C">
            <w:r>
              <w:t xml:space="preserve">Under this option, domestic transport services supplied to the primary transport supplier contracted to transport goods to or from NZ </w:t>
            </w:r>
            <w:r w:rsidR="00DB1253">
              <w:t>will be zero-rated if the primary transport supplier is a non-resident.</w:t>
            </w:r>
            <w:r w:rsidR="00046F89">
              <w:t xml:space="preserve"> </w:t>
            </w:r>
            <w:r w:rsidR="006F4407">
              <w:t>For the sake of clarity, t</w:t>
            </w:r>
            <w:r w:rsidR="00203F33">
              <w:t>his policy setting would apply</w:t>
            </w:r>
            <w:r w:rsidR="00196EEF">
              <w:t xml:space="preserve"> where an international transport supplier is contracted to deliver goods from point A outside NZ to point B inside NZ, and, point </w:t>
            </w:r>
            <w:r w:rsidR="006F4407">
              <w:t>B</w:t>
            </w:r>
            <w:r w:rsidR="00196EEF">
              <w:t xml:space="preserve"> </w:t>
            </w:r>
            <w:r w:rsidR="00196EEF">
              <w:rPr>
                <w:i/>
                <w:iCs/>
              </w:rPr>
              <w:t>inside</w:t>
            </w:r>
            <w:r w:rsidR="00196EEF">
              <w:t xml:space="preserve"> NZ to point </w:t>
            </w:r>
            <w:r w:rsidR="006F4407">
              <w:t>A</w:t>
            </w:r>
            <w:r w:rsidR="00196EEF">
              <w:t xml:space="preserve"> </w:t>
            </w:r>
            <w:r w:rsidR="00196EEF">
              <w:rPr>
                <w:i/>
                <w:iCs/>
              </w:rPr>
              <w:t>outside</w:t>
            </w:r>
            <w:r w:rsidR="00196EEF">
              <w:t xml:space="preserve"> NZ.</w:t>
            </w:r>
          </w:p>
          <w:p w14:paraId="3DE66B86" w14:textId="4223F13A" w:rsidR="007F321A" w:rsidRDefault="007F321A" w:rsidP="0075669C">
            <w:r>
              <w:t>Pros:</w:t>
            </w:r>
          </w:p>
          <w:p w14:paraId="7B4DA207" w14:textId="207A3732" w:rsidR="004A7720" w:rsidRDefault="004A7720" w:rsidP="006561DA">
            <w:pPr>
              <w:pStyle w:val="ListParagraph"/>
              <w:numPr>
                <w:ilvl w:val="0"/>
                <w:numId w:val="8"/>
              </w:numPr>
            </w:pPr>
            <w:r>
              <w:t>Provides certainty and reduces compliance costs by aligning with existing business practices of zero-rating all transport on international courier items</w:t>
            </w:r>
            <w:r w:rsidR="000E2465">
              <w:t xml:space="preserve"> (to the extent the primary transport supplier is non-resident)</w:t>
            </w:r>
            <w:r>
              <w:t>.</w:t>
            </w:r>
          </w:p>
          <w:p w14:paraId="76A3F566" w14:textId="5DCEEA10" w:rsidR="004A7720" w:rsidRDefault="004A7720" w:rsidP="006561DA">
            <w:pPr>
              <w:pStyle w:val="ListParagraph"/>
              <w:numPr>
                <w:ilvl w:val="0"/>
                <w:numId w:val="8"/>
              </w:numPr>
            </w:pPr>
            <w:r>
              <w:t>Removes the tax incentive for the primary transporter to also undertake the domestic leg.</w:t>
            </w:r>
          </w:p>
          <w:p w14:paraId="65F6494B" w14:textId="641BCAF9" w:rsidR="000E2465" w:rsidRDefault="000E2465" w:rsidP="006561DA">
            <w:pPr>
              <w:pStyle w:val="ListParagraph"/>
              <w:numPr>
                <w:ilvl w:val="0"/>
                <w:numId w:val="8"/>
              </w:numPr>
            </w:pPr>
            <w:r>
              <w:t>By reducing the compliance costs associated with sub-contracting, the proposal may improve competition and increase efficiency.</w:t>
            </w:r>
          </w:p>
          <w:p w14:paraId="29BAD192" w14:textId="116173D6" w:rsidR="00224892" w:rsidRDefault="003F47B9" w:rsidP="006561DA">
            <w:pPr>
              <w:pStyle w:val="ListParagraph"/>
              <w:numPr>
                <w:ilvl w:val="0"/>
                <w:numId w:val="8"/>
              </w:numPr>
            </w:pPr>
            <w:r>
              <w:t>This approach is similar to Australia and Singapore. Alignment with other countries</w:t>
            </w:r>
            <w:r w:rsidR="00853821">
              <w:t xml:space="preserve"> may make compliance easier for international transporters if they are already familiar with the rules in those countries.</w:t>
            </w:r>
          </w:p>
          <w:p w14:paraId="62A58CE4" w14:textId="59DC6FC4" w:rsidR="00A62144" w:rsidRDefault="00A62144" w:rsidP="006561DA">
            <w:pPr>
              <w:pStyle w:val="ListParagraph"/>
              <w:numPr>
                <w:ilvl w:val="0"/>
                <w:numId w:val="8"/>
              </w:numPr>
            </w:pPr>
            <w:r>
              <w:t>D</w:t>
            </w:r>
            <w:r w:rsidR="00FB727F">
              <w:t>omestic providers will be able to provide more competitive pricing without having to account for the GST component of the transaction.</w:t>
            </w:r>
          </w:p>
          <w:p w14:paraId="6C734C1C" w14:textId="7273DA34" w:rsidR="009A1E3E" w:rsidRDefault="000E2465" w:rsidP="009A1E3E">
            <w:pPr>
              <w:pStyle w:val="ListParagraph"/>
              <w:numPr>
                <w:ilvl w:val="0"/>
                <w:numId w:val="8"/>
              </w:numPr>
            </w:pPr>
            <w:r>
              <w:t>Solves tax cascades and commercial pressure put on domestic transporters: The rationale for allowing zero-rating of domestic transport services only if the primary transport supplier is non-resident is because non-residents are much less likely to be registered for NZ GST. The issues of tax cascades and commercial pressure to zero-rate only arise when the recipients of the transport services are not registered for GST. In cases where the transporter for the international leg of transportation is NZ resident (and thus highly likely to be registered for GST), this transporter can claim an input tax credit and there is no GST cost of transportation being absorbed in the cost borne by the end consumer.</w:t>
            </w:r>
          </w:p>
          <w:p w14:paraId="61870290" w14:textId="77777777" w:rsidR="000E2465" w:rsidRDefault="000E2465" w:rsidP="000E2465">
            <w:pPr>
              <w:pStyle w:val="ListParagraph"/>
            </w:pPr>
          </w:p>
          <w:p w14:paraId="3FF6541F" w14:textId="27CF1B48" w:rsidR="009A1E3E" w:rsidRDefault="009A1E3E" w:rsidP="009A1E3E">
            <w:r>
              <w:t>Cons:</w:t>
            </w:r>
          </w:p>
          <w:p w14:paraId="4F564FA1" w14:textId="575D84EC" w:rsidR="009A1E3E" w:rsidRDefault="009A1E3E" w:rsidP="006561DA">
            <w:pPr>
              <w:pStyle w:val="ListParagraph"/>
              <w:numPr>
                <w:ilvl w:val="0"/>
                <w:numId w:val="8"/>
              </w:numPr>
            </w:pPr>
            <w:r>
              <w:t>Some GST revenue is for</w:t>
            </w:r>
            <w:r w:rsidR="00817192">
              <w:t>e</w:t>
            </w:r>
            <w:r>
              <w:t>gone by virtue of the wider scope for zero-rating</w:t>
            </w:r>
            <w:r w:rsidR="004A7720">
              <w:t xml:space="preserve"> (</w:t>
            </w:r>
            <w:r w:rsidR="004470B2">
              <w:t xml:space="preserve">up to </w:t>
            </w:r>
            <w:r w:rsidR="00E85DF7">
              <w:t>$</w:t>
            </w:r>
            <w:r w:rsidR="004A7720">
              <w:t>200k pa fiscal cost</w:t>
            </w:r>
            <w:r w:rsidR="004470B2">
              <w:t>, but slightly less than option three</w:t>
            </w:r>
            <w:r w:rsidR="004A7720">
              <w:t>).</w:t>
            </w:r>
          </w:p>
          <w:p w14:paraId="093FC3C3" w14:textId="632E51D9" w:rsidR="009A1E3E" w:rsidRDefault="00790EB5" w:rsidP="006561DA">
            <w:pPr>
              <w:pStyle w:val="ListParagraph"/>
              <w:numPr>
                <w:ilvl w:val="0"/>
                <w:numId w:val="8"/>
              </w:numPr>
            </w:pPr>
            <w:r>
              <w:t>There still may be some lack of certainty as it may be difficult for the domestic leg transporter to always determine whether the primary transporter is non-resident.</w:t>
            </w:r>
          </w:p>
          <w:p w14:paraId="48CB8BD0" w14:textId="499C9320" w:rsidR="001F6EF8" w:rsidRDefault="00947017" w:rsidP="006561DA">
            <w:pPr>
              <w:pStyle w:val="ListParagraph"/>
              <w:numPr>
                <w:ilvl w:val="0"/>
                <w:numId w:val="8"/>
              </w:numPr>
            </w:pPr>
            <w:r>
              <w:t xml:space="preserve">There may be theoretical gaps </w:t>
            </w:r>
            <w:r w:rsidR="001F6EF8">
              <w:t>in cases where a NZ-resident international transporter is not GST registered (highly unlikely).</w:t>
            </w:r>
            <w:r w:rsidR="000E01A7">
              <w:t xml:space="preserve"> In these </w:t>
            </w:r>
            <w:proofErr w:type="gramStart"/>
            <w:r w:rsidR="000E01A7">
              <w:t>cases</w:t>
            </w:r>
            <w:proofErr w:type="gramEnd"/>
            <w:r w:rsidR="000E01A7">
              <w:t xml:space="preserve"> GST would be charged and there would be no ability to claim inputs (tax cascade issue therefore remains).</w:t>
            </w:r>
          </w:p>
          <w:p w14:paraId="42694E77" w14:textId="77777777" w:rsidR="00B11377" w:rsidRDefault="00B11377" w:rsidP="0075669C"/>
          <w:p w14:paraId="7E076FED" w14:textId="4B820446" w:rsidR="0075669C" w:rsidRPr="008E7AC8" w:rsidRDefault="008E7AC8" w:rsidP="0075669C">
            <w:pPr>
              <w:rPr>
                <w:b/>
                <w:bCs/>
              </w:rPr>
            </w:pPr>
            <w:r>
              <w:rPr>
                <w:b/>
                <w:bCs/>
              </w:rPr>
              <w:t xml:space="preserve">Option </w:t>
            </w:r>
            <w:r w:rsidR="00392098">
              <w:rPr>
                <w:b/>
                <w:bCs/>
              </w:rPr>
              <w:t>three</w:t>
            </w:r>
            <w:r>
              <w:rPr>
                <w:b/>
                <w:bCs/>
              </w:rPr>
              <w:t>: Zero-rating all</w:t>
            </w:r>
            <w:r w:rsidR="005C7813">
              <w:rPr>
                <w:b/>
                <w:bCs/>
              </w:rPr>
              <w:t xml:space="preserve"> domestic transport services supplied to a primary transport supplier contracted to transport goods to and from NZ, regardless of the residency of that primary transport supplier</w:t>
            </w:r>
          </w:p>
          <w:p w14:paraId="3386ECE2" w14:textId="6B99EF3B" w:rsidR="00DD6CE9" w:rsidRDefault="00DD6CE9" w:rsidP="0075669C">
            <w:r>
              <w:t xml:space="preserve">Under this option, </w:t>
            </w:r>
            <w:r w:rsidR="000B194E">
              <w:t>all domestic transport services supplied to the primary transport supplier contracted to transport goods to or from New Zealand will be zero-rated</w:t>
            </w:r>
            <w:r w:rsidR="0035378F">
              <w:t>.</w:t>
            </w:r>
          </w:p>
          <w:p w14:paraId="7349FD93" w14:textId="68DE4EEE" w:rsidR="0075669C" w:rsidRDefault="00A82037" w:rsidP="0075669C">
            <w:r>
              <w:t>Pros:</w:t>
            </w:r>
          </w:p>
          <w:p w14:paraId="0623133F" w14:textId="1749C142" w:rsidR="004D57CE" w:rsidRDefault="004D57CE" w:rsidP="006561DA">
            <w:pPr>
              <w:pStyle w:val="ListParagraph"/>
              <w:numPr>
                <w:ilvl w:val="0"/>
                <w:numId w:val="8"/>
              </w:numPr>
            </w:pPr>
            <w:r>
              <w:t>Lower compliance costs on domestic transporter: The domestic transporter would only be required</w:t>
            </w:r>
            <w:r w:rsidR="00371DEF">
              <w:t xml:space="preserve"> </w:t>
            </w:r>
            <w:r>
              <w:t xml:space="preserve">to determine whether the goods </w:t>
            </w:r>
            <w:r w:rsidR="00371DEF">
              <w:t xml:space="preserve">delivery service they are undertaking relates to an international transport service. They would not be required to verify the residency of the primary transport supplier (which is an additional compliance step required </w:t>
            </w:r>
            <w:r w:rsidR="004470B2">
              <w:t xml:space="preserve">under </w:t>
            </w:r>
            <w:r w:rsidR="00371DEF">
              <w:t xml:space="preserve">option </w:t>
            </w:r>
            <w:r w:rsidR="00B720A7">
              <w:t>two</w:t>
            </w:r>
            <w:r w:rsidR="00371DEF">
              <w:t>).</w:t>
            </w:r>
          </w:p>
          <w:p w14:paraId="54FB765C" w14:textId="0387D0EE" w:rsidR="00E0775C" w:rsidRDefault="00FD296F" w:rsidP="006561DA">
            <w:pPr>
              <w:pStyle w:val="ListParagraph"/>
              <w:numPr>
                <w:ilvl w:val="0"/>
                <w:numId w:val="8"/>
              </w:numPr>
            </w:pPr>
            <w:r>
              <w:t xml:space="preserve">Also has </w:t>
            </w:r>
            <w:r w:rsidR="00A05663">
              <w:t xml:space="preserve">the following pros similar to option </w:t>
            </w:r>
            <w:r w:rsidR="00FD3007">
              <w:t>two</w:t>
            </w:r>
            <w:r w:rsidR="00A05663">
              <w:t xml:space="preserve">: </w:t>
            </w:r>
          </w:p>
          <w:p w14:paraId="12D9F440" w14:textId="51738987" w:rsidR="00FD296F" w:rsidRDefault="00A05663" w:rsidP="00E0775C">
            <w:pPr>
              <w:pStyle w:val="ListParagraph"/>
              <w:ind w:left="1051"/>
            </w:pPr>
            <w:r>
              <w:t xml:space="preserve">- </w:t>
            </w:r>
            <w:r w:rsidR="000E2465">
              <w:t>removes tax incentive for the primary transporter to also undertake the domestic leg</w:t>
            </w:r>
            <w:r>
              <w:t xml:space="preserve"> </w:t>
            </w:r>
            <w:r w:rsidR="00E0775C">
              <w:t xml:space="preserve"> </w:t>
            </w:r>
          </w:p>
          <w:p w14:paraId="50A82EBC" w14:textId="34AABC1D" w:rsidR="000E2465" w:rsidRDefault="000E2465" w:rsidP="00E0775C">
            <w:pPr>
              <w:pStyle w:val="ListParagraph"/>
              <w:ind w:left="1051"/>
            </w:pPr>
            <w:r>
              <w:t>- solves the problem of tax cascades</w:t>
            </w:r>
          </w:p>
          <w:p w14:paraId="5B9FC922" w14:textId="6F706F55" w:rsidR="00D64B40" w:rsidRDefault="00E0775C" w:rsidP="00E0775C">
            <w:pPr>
              <w:pStyle w:val="ListParagraph"/>
              <w:ind w:left="1051"/>
            </w:pPr>
            <w:r>
              <w:t xml:space="preserve">- </w:t>
            </w:r>
            <w:r w:rsidR="000E2465">
              <w:t>reduces compliance costs of sub-contracting which improves competition and efficiency</w:t>
            </w:r>
          </w:p>
          <w:p w14:paraId="7C8BB185" w14:textId="753FC3C4" w:rsidR="0045660B" w:rsidRDefault="0045660B" w:rsidP="00E0775C">
            <w:pPr>
              <w:pStyle w:val="ListParagraph"/>
              <w:ind w:left="1051"/>
            </w:pPr>
            <w:r>
              <w:t>-similar to law in Australia/Singapore</w:t>
            </w:r>
          </w:p>
          <w:p w14:paraId="2A4634D5" w14:textId="2F7AB43E" w:rsidR="00A62144" w:rsidRDefault="00A62144" w:rsidP="00E0775C">
            <w:pPr>
              <w:pStyle w:val="ListParagraph"/>
              <w:ind w:left="1051"/>
            </w:pPr>
            <w:r>
              <w:t>- allows the domestic leg transporter to offer more competitive pricing</w:t>
            </w:r>
          </w:p>
          <w:p w14:paraId="11FF69A7" w14:textId="3A3E5012" w:rsidR="00E5711C" w:rsidRDefault="00E5711C" w:rsidP="006561DA">
            <w:pPr>
              <w:pStyle w:val="ListParagraph"/>
              <w:numPr>
                <w:ilvl w:val="0"/>
                <w:numId w:val="10"/>
              </w:numPr>
            </w:pPr>
            <w:r>
              <w:t>This option accords with current commercial practice of simply zero-rating</w:t>
            </w:r>
            <w:r w:rsidR="003771FF">
              <w:t xml:space="preserve"> the domestic leg of transportation (although this commercial practice is currently non-compliant, it does not require the domestic leg transporter to consider </w:t>
            </w:r>
            <w:r w:rsidR="00B362A0">
              <w:t>whether international transporter is non-resident).</w:t>
            </w:r>
          </w:p>
          <w:p w14:paraId="30425789" w14:textId="2F46FD83" w:rsidR="00E5711C" w:rsidRDefault="00E5711C" w:rsidP="00E0775C">
            <w:pPr>
              <w:pStyle w:val="ListParagraph"/>
              <w:ind w:left="1051"/>
            </w:pPr>
          </w:p>
          <w:p w14:paraId="1244ECAC" w14:textId="0E524F58" w:rsidR="00D64B40" w:rsidRDefault="00D64B40" w:rsidP="00D64B40">
            <w:r>
              <w:t xml:space="preserve">Cons: </w:t>
            </w:r>
          </w:p>
          <w:p w14:paraId="6849AC30" w14:textId="0C66E6AC" w:rsidR="00694F3D" w:rsidRDefault="006504FA" w:rsidP="00694F3D">
            <w:pPr>
              <w:pStyle w:val="ListParagraph"/>
              <w:numPr>
                <w:ilvl w:val="0"/>
                <w:numId w:val="9"/>
              </w:numPr>
            </w:pPr>
            <w:r>
              <w:t xml:space="preserve">As with option </w:t>
            </w:r>
            <w:r w:rsidR="00FD3007">
              <w:t>two</w:t>
            </w:r>
            <w:r>
              <w:t xml:space="preserve">, some GST revenue will be foregone </w:t>
            </w:r>
            <w:r w:rsidR="000E2465">
              <w:t>(</w:t>
            </w:r>
            <w:r w:rsidR="00A74596">
              <w:t>$</w:t>
            </w:r>
            <w:r w:rsidR="000E2465">
              <w:t>200k pa)</w:t>
            </w:r>
            <w:r w:rsidR="004470B2">
              <w:rPr>
                <w:rStyle w:val="FootnoteReference"/>
              </w:rPr>
              <w:footnoteReference w:id="3"/>
            </w:r>
            <w:r w:rsidR="000E2465">
              <w:t xml:space="preserve"> </w:t>
            </w:r>
            <w:r w:rsidR="00F355DB">
              <w:t>on the domestic leg of transportation due to zero-rating</w:t>
            </w:r>
            <w:r w:rsidR="004F3BB0">
              <w:t xml:space="preserve"> (or in the case of NZ registered transporters, the GST impost would be removed by claiming an input tax deduction).</w:t>
            </w:r>
          </w:p>
          <w:p w14:paraId="6351FA25" w14:textId="0ACC4E1E" w:rsidR="00694F3D" w:rsidRDefault="00694F3D" w:rsidP="00694F3D"/>
          <w:p w14:paraId="5ADD7916" w14:textId="62AC0E67" w:rsidR="00694F3D" w:rsidRDefault="00694F3D" w:rsidP="00694F3D">
            <w:r>
              <w:rPr>
                <w:b/>
                <w:bCs/>
              </w:rPr>
              <w:t xml:space="preserve">Option </w:t>
            </w:r>
            <w:r w:rsidR="00392098">
              <w:rPr>
                <w:b/>
                <w:bCs/>
              </w:rPr>
              <w:t>four</w:t>
            </w:r>
            <w:r>
              <w:rPr>
                <w:b/>
                <w:bCs/>
              </w:rPr>
              <w:t>: Encourage non-resident businesses to register for NZ GST</w:t>
            </w:r>
          </w:p>
          <w:p w14:paraId="22650B78" w14:textId="21B03DE5" w:rsidR="0035378F" w:rsidRDefault="0035378F" w:rsidP="00694F3D">
            <w:r>
              <w:t xml:space="preserve">Under this option, non-resident businesses will be encouraged to register for New Zealand GST so they can claim their GST input deductions, </w:t>
            </w:r>
            <w:r w:rsidR="00CE34BA">
              <w:t xml:space="preserve">removing the possibility of the GST becoming irrecoverable and embedded in the price of the service. </w:t>
            </w:r>
          </w:p>
          <w:p w14:paraId="3C24A701" w14:textId="0B7BAB3D" w:rsidR="00694F3D" w:rsidRDefault="00694F3D" w:rsidP="00694F3D">
            <w:r>
              <w:t>Pros:</w:t>
            </w:r>
          </w:p>
          <w:p w14:paraId="6DB6DA04" w14:textId="747614C2" w:rsidR="00694F3D" w:rsidRDefault="006009F2" w:rsidP="006009F2">
            <w:pPr>
              <w:pStyle w:val="ListParagraph"/>
              <w:numPr>
                <w:ilvl w:val="0"/>
                <w:numId w:val="9"/>
              </w:numPr>
            </w:pPr>
            <w:r>
              <w:t>If non-resident businesses were GST registered then they would be able to claim their GST inputs, and thus the issue of tax cascades would not apply.</w:t>
            </w:r>
          </w:p>
          <w:p w14:paraId="71074E36" w14:textId="50D9B647" w:rsidR="006009F2" w:rsidRDefault="006009F2" w:rsidP="006009F2">
            <w:pPr>
              <w:pStyle w:val="ListParagraph"/>
              <w:numPr>
                <w:ilvl w:val="0"/>
                <w:numId w:val="9"/>
              </w:numPr>
            </w:pPr>
            <w:r>
              <w:t>Does not require legislative amendment, only guidance.</w:t>
            </w:r>
          </w:p>
          <w:p w14:paraId="1A025AC2" w14:textId="41C9A111" w:rsidR="006009F2" w:rsidRDefault="00101BB3" w:rsidP="006009F2">
            <w:pPr>
              <w:pStyle w:val="ListParagraph"/>
              <w:numPr>
                <w:ilvl w:val="0"/>
                <w:numId w:val="9"/>
              </w:numPr>
            </w:pPr>
            <w:r>
              <w:t xml:space="preserve">No fiscal cost (although being GST registered means the transporters could claim </w:t>
            </w:r>
            <w:proofErr w:type="gramStart"/>
            <w:r>
              <w:t>inputs</w:t>
            </w:r>
            <w:proofErr w:type="gramEnd"/>
            <w:r>
              <w:t xml:space="preserve"> they would also pay output tax as well as GST would still be charged on the domestic leg).</w:t>
            </w:r>
          </w:p>
          <w:p w14:paraId="6BA16F67" w14:textId="35500CF0" w:rsidR="006009F2" w:rsidRDefault="006009F2" w:rsidP="006009F2">
            <w:r>
              <w:t>Cons:</w:t>
            </w:r>
          </w:p>
          <w:p w14:paraId="5B0D2F46" w14:textId="732089D1" w:rsidR="006009F2" w:rsidRDefault="006009F2" w:rsidP="006009F2">
            <w:pPr>
              <w:pStyle w:val="ListParagraph"/>
              <w:numPr>
                <w:ilvl w:val="0"/>
                <w:numId w:val="12"/>
              </w:numPr>
            </w:pPr>
            <w:r>
              <w:t xml:space="preserve">Any success of this proposal is contingent on non-resident businesses </w:t>
            </w:r>
            <w:r w:rsidR="000E2465">
              <w:t>registering</w:t>
            </w:r>
            <w:r>
              <w:t xml:space="preserve"> for NZ GST</w:t>
            </w:r>
            <w:r w:rsidR="001433A7">
              <w:t>. T</w:t>
            </w:r>
            <w:r w:rsidR="004761A3">
              <w:t>his is considered unlikely</w:t>
            </w:r>
            <w:r>
              <w:t>.</w:t>
            </w:r>
          </w:p>
          <w:p w14:paraId="75BCD832" w14:textId="37216B1B" w:rsidR="00101BB3" w:rsidRDefault="00101BB3" w:rsidP="006009F2">
            <w:pPr>
              <w:pStyle w:val="ListParagraph"/>
              <w:numPr>
                <w:ilvl w:val="0"/>
                <w:numId w:val="12"/>
              </w:numPr>
            </w:pPr>
            <w:r>
              <w:t>Increases compliance costs as transporters would have to enquire as to the GST registration status of the primary transporter</w:t>
            </w:r>
            <w:r w:rsidR="00BB7733">
              <w:t xml:space="preserve"> (therefore also a lack of certainty)</w:t>
            </w:r>
            <w:r>
              <w:t>.</w:t>
            </w:r>
          </w:p>
          <w:p w14:paraId="75213ED7" w14:textId="77777777" w:rsidR="006009F2" w:rsidRDefault="00BB7733" w:rsidP="00A82037">
            <w:pPr>
              <w:pStyle w:val="ListParagraph"/>
              <w:numPr>
                <w:ilvl w:val="0"/>
                <w:numId w:val="12"/>
              </w:numPr>
            </w:pPr>
            <w:r>
              <w:t>Does not increase competition – non-resident business is disincentivised from choosing another transport supplier, even if it makes good commercial sense to do so, due to tax considerations.</w:t>
            </w:r>
          </w:p>
          <w:p w14:paraId="73636BE8" w14:textId="5629668E" w:rsidR="0050784F" w:rsidRPr="0069218C" w:rsidRDefault="0050784F" w:rsidP="00487D0A">
            <w:pPr>
              <w:pStyle w:val="ListParagraph"/>
            </w:pPr>
          </w:p>
        </w:tc>
      </w:tr>
    </w:tbl>
    <w:p w14:paraId="65608C12" w14:textId="77777777" w:rsidR="00F132B2" w:rsidRPr="00567434" w:rsidRDefault="00F132B2"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D5734" w:rsidRPr="0069218C" w14:paraId="17F18685" w14:textId="77777777" w:rsidTr="00BB4EA2">
        <w:trPr>
          <w:trHeight w:val="84"/>
        </w:trPr>
        <w:tc>
          <w:tcPr>
            <w:tcW w:w="5000" w:type="pct"/>
            <w:shd w:val="clear" w:color="auto" w:fill="99CDDD"/>
          </w:tcPr>
          <w:p w14:paraId="43EA8B5F" w14:textId="77777777" w:rsidR="00E92509" w:rsidRPr="00886DFF" w:rsidRDefault="00B23E8A" w:rsidP="00EC6FAD">
            <w:pPr>
              <w:pStyle w:val="TableHeadings"/>
              <w:rPr>
                <w:szCs w:val="22"/>
                <w:lang w:val="en-NZ"/>
              </w:rPr>
            </w:pPr>
            <w:r w:rsidRPr="00886DFF">
              <w:rPr>
                <w:szCs w:val="22"/>
                <w:lang w:val="en-NZ"/>
              </w:rPr>
              <w:t>3</w:t>
            </w:r>
            <w:r w:rsidR="002A56F0" w:rsidRPr="00886DFF">
              <w:rPr>
                <w:szCs w:val="22"/>
                <w:lang w:val="en-NZ"/>
              </w:rPr>
              <w:t>.</w:t>
            </w:r>
            <w:r w:rsidR="00051A88" w:rsidRPr="00886DFF">
              <w:rPr>
                <w:szCs w:val="22"/>
                <w:lang w:val="en-NZ"/>
              </w:rPr>
              <w:t>2</w:t>
            </w:r>
            <w:r w:rsidR="002A56F0" w:rsidRPr="00886DFF">
              <w:rPr>
                <w:szCs w:val="22"/>
                <w:lang w:val="en-NZ"/>
              </w:rPr>
              <w:t xml:space="preserve">  </w:t>
            </w:r>
            <w:r w:rsidR="00962209" w:rsidRPr="00886DFF">
              <w:rPr>
                <w:szCs w:val="22"/>
                <w:lang w:val="en-NZ"/>
              </w:rPr>
              <w:t xml:space="preserve"> </w:t>
            </w:r>
            <w:r w:rsidR="00D019CB" w:rsidRPr="00886DFF">
              <w:rPr>
                <w:szCs w:val="22"/>
                <w:lang w:val="en-NZ"/>
              </w:rPr>
              <w:t>Which of these options is</w:t>
            </w:r>
            <w:r w:rsidR="00962209" w:rsidRPr="00886DFF">
              <w:rPr>
                <w:szCs w:val="22"/>
                <w:lang w:val="en-NZ"/>
              </w:rPr>
              <w:t xml:space="preserve"> the </w:t>
            </w:r>
            <w:r w:rsidR="00051A88" w:rsidRPr="00886DFF">
              <w:rPr>
                <w:szCs w:val="22"/>
                <w:lang w:val="en-NZ"/>
              </w:rPr>
              <w:t>proposed approach</w:t>
            </w:r>
            <w:r w:rsidR="00962209" w:rsidRPr="00886DFF">
              <w:rPr>
                <w:szCs w:val="22"/>
                <w:lang w:val="en-NZ"/>
              </w:rPr>
              <w:t xml:space="preserve">?  </w:t>
            </w:r>
          </w:p>
        </w:tc>
      </w:tr>
      <w:tr w:rsidR="00F132B2" w:rsidRPr="0069218C" w14:paraId="66B87503" w14:textId="77777777" w:rsidTr="001433A7">
        <w:trPr>
          <w:trHeight w:val="4853"/>
        </w:trPr>
        <w:tc>
          <w:tcPr>
            <w:tcW w:w="5000" w:type="pct"/>
            <w:shd w:val="clear" w:color="auto" w:fill="auto"/>
          </w:tcPr>
          <w:p w14:paraId="5B4CAF05" w14:textId="1AF8FD9F" w:rsidR="00880366" w:rsidRDefault="00880366" w:rsidP="00F44CEF">
            <w:pPr>
              <w:rPr>
                <w:szCs w:val="22"/>
              </w:rPr>
            </w:pPr>
            <w:r>
              <w:rPr>
                <w:szCs w:val="22"/>
              </w:rPr>
              <w:t xml:space="preserve">Option </w:t>
            </w:r>
            <w:r w:rsidR="00A27DF6">
              <w:rPr>
                <w:szCs w:val="22"/>
              </w:rPr>
              <w:t>three</w:t>
            </w:r>
            <w:r>
              <w:rPr>
                <w:szCs w:val="22"/>
              </w:rPr>
              <w:t xml:space="preserve"> is the preferred option – to zero-rate all domestic transport services supplied to a primary</w:t>
            </w:r>
            <w:r w:rsidR="002B2270">
              <w:rPr>
                <w:szCs w:val="22"/>
              </w:rPr>
              <w:t xml:space="preserve"> transport supplier contracted to transport goods to and from NZ, regardless of the residency of the primary transport supplier.</w:t>
            </w:r>
          </w:p>
          <w:p w14:paraId="0AC5B4E6" w14:textId="79EBFC7C" w:rsidR="00816F6D" w:rsidRDefault="002B2270" w:rsidP="00F44CEF">
            <w:pPr>
              <w:rPr>
                <w:szCs w:val="22"/>
              </w:rPr>
            </w:pPr>
            <w:r>
              <w:rPr>
                <w:szCs w:val="22"/>
              </w:rPr>
              <w:t>This option is preferrable because it results in lower compliance costs on transporters, as they will not suffer the compliance costs of trying to determine</w:t>
            </w:r>
            <w:r w:rsidR="00F33548">
              <w:rPr>
                <w:szCs w:val="22"/>
              </w:rPr>
              <w:t xml:space="preserve"> whether the primary transport supplier </w:t>
            </w:r>
            <w:r w:rsidR="0042003E">
              <w:rPr>
                <w:szCs w:val="22"/>
              </w:rPr>
              <w:t>is</w:t>
            </w:r>
            <w:r w:rsidR="00F33548">
              <w:rPr>
                <w:szCs w:val="22"/>
              </w:rPr>
              <w:t xml:space="preserve"> non-resident (as they would under option 1)</w:t>
            </w:r>
            <w:r w:rsidR="00816F6D">
              <w:rPr>
                <w:szCs w:val="22"/>
              </w:rPr>
              <w:t xml:space="preserve">. </w:t>
            </w:r>
            <w:r w:rsidR="00037F7D">
              <w:rPr>
                <w:szCs w:val="22"/>
              </w:rPr>
              <w:t xml:space="preserve">It also </w:t>
            </w:r>
            <w:r w:rsidR="00D369DC">
              <w:rPr>
                <w:szCs w:val="22"/>
              </w:rPr>
              <w:t>increases efficiency as tax considerations would no longer drive business decisions (i.e. this option completely removes the tax incentive for the primary transporter to also undertake the domestic leg).</w:t>
            </w:r>
          </w:p>
          <w:p w14:paraId="69791F73" w14:textId="6B829B2E" w:rsidR="00E14326" w:rsidRPr="00F44CEF" w:rsidRDefault="00060943" w:rsidP="00F44CEF">
            <w:pPr>
              <w:rPr>
                <w:szCs w:val="22"/>
              </w:rPr>
            </w:pPr>
            <w:r>
              <w:rPr>
                <w:szCs w:val="22"/>
              </w:rPr>
              <w:t xml:space="preserve">It is noted that option </w:t>
            </w:r>
            <w:r w:rsidR="00A27DF6">
              <w:rPr>
                <w:szCs w:val="22"/>
              </w:rPr>
              <w:t>three</w:t>
            </w:r>
            <w:r>
              <w:rPr>
                <w:szCs w:val="22"/>
              </w:rPr>
              <w:t xml:space="preserve"> would also not have any m</w:t>
            </w:r>
            <w:r w:rsidR="00B87693">
              <w:rPr>
                <w:szCs w:val="22"/>
              </w:rPr>
              <w:t xml:space="preserve">easurable increase in fiscal costs when compared to option </w:t>
            </w:r>
            <w:r w:rsidR="00A27DF6">
              <w:rPr>
                <w:szCs w:val="22"/>
              </w:rPr>
              <w:t>two</w:t>
            </w:r>
            <w:r w:rsidR="00B87693">
              <w:rPr>
                <w:szCs w:val="22"/>
              </w:rPr>
              <w:t xml:space="preserve">. </w:t>
            </w:r>
            <w:r w:rsidR="00AC0E7F">
              <w:rPr>
                <w:szCs w:val="22"/>
              </w:rPr>
              <w:t>Our understanding of current business practices is that in nearly all cases, the primary transport supplier is registered for GST and/or the subcontracted courier treats their domestic leg services as zero-rated. In either of these cases, the proposed change will not change the total amount of GST collected, but will reduce compliance costs.</w:t>
            </w:r>
          </w:p>
        </w:tc>
      </w:tr>
    </w:tbl>
    <w:p w14:paraId="4D6DE60E" w14:textId="40ECB482" w:rsidR="00BE4A62" w:rsidRPr="00030EC1" w:rsidRDefault="00D9793F" w:rsidP="00414D0D">
      <w:pPr>
        <w:pStyle w:val="Heading2"/>
      </w:pPr>
      <w:r w:rsidRPr="0069218C">
        <w:rPr>
          <w:rFonts w:cs="Arial"/>
          <w:sz w:val="22"/>
          <w:lang w:val="en-NZ"/>
        </w:rPr>
        <w:br w:type="page"/>
      </w:r>
      <w:r w:rsidR="00E92509" w:rsidRPr="002D5734">
        <w:t xml:space="preserve">Section </w:t>
      </w:r>
      <w:r w:rsidR="00C77099">
        <w:t>4</w:t>
      </w:r>
      <w:r w:rsidR="00E92509" w:rsidRPr="002D5734">
        <w:t xml:space="preserve">: </w:t>
      </w:r>
      <w:r w:rsidR="00A33BA0" w:rsidRPr="002D5734">
        <w:t>Impact Analysis</w:t>
      </w:r>
      <w:r w:rsidR="005D5BF0" w:rsidRPr="002D5734">
        <w:t xml:space="preserve"> (</w:t>
      </w:r>
      <w:r w:rsidR="00C77099">
        <w:t>Proposed approach</w:t>
      </w:r>
      <w:r w:rsidR="005D5BF0" w:rsidRPr="002D5734">
        <w:t>)</w:t>
      </w:r>
    </w:p>
    <w:tbl>
      <w:tblPr>
        <w:tblW w:w="5000"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60"/>
      </w:tblGrid>
      <w:tr w:rsidR="005D5BF0" w:rsidRPr="0069218C" w14:paraId="31372389" w14:textId="77777777" w:rsidTr="001433A7">
        <w:trPr>
          <w:trHeight w:val="77"/>
        </w:trPr>
        <w:tc>
          <w:tcPr>
            <w:tcW w:w="5000" w:type="pct"/>
            <w:shd w:val="clear" w:color="auto" w:fill="99CDDD"/>
            <w:hideMark/>
          </w:tcPr>
          <w:p w14:paraId="0C1F8B7E" w14:textId="77777777" w:rsidR="005D5BF0" w:rsidRPr="0069218C" w:rsidRDefault="00D9793F" w:rsidP="00800DEC">
            <w:pPr>
              <w:pStyle w:val="TableHeadings"/>
              <w:rPr>
                <w:color w:val="002469"/>
                <w:szCs w:val="22"/>
                <w:lang w:val="en-NZ"/>
              </w:rPr>
            </w:pPr>
            <w:r w:rsidRPr="00886DFF">
              <w:rPr>
                <w:szCs w:val="22"/>
                <w:lang w:val="en-NZ"/>
              </w:rPr>
              <w:t>4</w:t>
            </w:r>
            <w:r w:rsidR="005D5BF0" w:rsidRPr="00886DFF">
              <w:rPr>
                <w:szCs w:val="22"/>
                <w:lang w:val="en-NZ"/>
              </w:rPr>
              <w:t>.</w:t>
            </w:r>
            <w:r w:rsidR="00C77099" w:rsidRPr="00886DFF">
              <w:rPr>
                <w:szCs w:val="22"/>
                <w:lang w:val="en-NZ"/>
              </w:rPr>
              <w:t>1</w:t>
            </w:r>
            <w:r w:rsidR="005D5BF0" w:rsidRPr="00886DFF">
              <w:rPr>
                <w:szCs w:val="22"/>
                <w:lang w:val="en-NZ"/>
              </w:rPr>
              <w:t xml:space="preserve">   Summary </w:t>
            </w:r>
            <w:r w:rsidR="005D5BF0" w:rsidRPr="00886DFF">
              <w:rPr>
                <w:szCs w:val="22"/>
              </w:rPr>
              <w:t>table</w:t>
            </w:r>
            <w:r w:rsidR="005D5BF0" w:rsidRPr="00886DFF">
              <w:rPr>
                <w:szCs w:val="22"/>
                <w:lang w:val="en-NZ"/>
              </w:rPr>
              <w:t xml:space="preserve"> of costs and benefits</w:t>
            </w:r>
          </w:p>
        </w:tc>
      </w:tr>
    </w:tbl>
    <w:p w14:paraId="1536052C" w14:textId="77777777" w:rsidR="00D9793F" w:rsidRPr="0069218C" w:rsidRDefault="00D9793F" w:rsidP="00567434">
      <w:pPr>
        <w:pStyle w:val="spacer"/>
      </w:pPr>
    </w:p>
    <w:tbl>
      <w:tblPr>
        <w:tblpPr w:leftFromText="180" w:rightFromText="180" w:vertAnchor="text" w:tblpX="114" w:tblpY="1"/>
        <w:tblOverlap w:val="never"/>
        <w:tblW w:w="907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093"/>
        <w:gridCol w:w="4394"/>
        <w:gridCol w:w="2585"/>
      </w:tblGrid>
      <w:tr w:rsidR="00380585" w:rsidRPr="0069218C" w14:paraId="575E4657" w14:textId="77777777" w:rsidTr="00E6054D">
        <w:trPr>
          <w:trHeight w:val="732"/>
        </w:trPr>
        <w:tc>
          <w:tcPr>
            <w:tcW w:w="2093" w:type="dxa"/>
            <w:shd w:val="clear" w:color="auto" w:fill="99CDDD"/>
          </w:tcPr>
          <w:p w14:paraId="54712201" w14:textId="56FF1754" w:rsidR="00380585" w:rsidRPr="00886DFF" w:rsidRDefault="00380585" w:rsidP="002127DC">
            <w:pPr>
              <w:pStyle w:val="TableText"/>
              <w:keepNext/>
              <w:rPr>
                <w:rFonts w:eastAsia="Calibri"/>
                <w:color w:val="000000"/>
                <w:sz w:val="22"/>
              </w:rPr>
            </w:pPr>
            <w:r w:rsidRPr="00886DFF">
              <w:rPr>
                <w:rFonts w:eastAsia="Calibri"/>
                <w:b/>
                <w:color w:val="000000"/>
                <w:sz w:val="22"/>
              </w:rPr>
              <w:t>Affected parties</w:t>
            </w:r>
            <w:r w:rsidRPr="00886DFF">
              <w:rPr>
                <w:rFonts w:eastAsia="Calibri"/>
                <w:color w:val="000000"/>
                <w:sz w:val="22"/>
              </w:rPr>
              <w:t xml:space="preserve"> </w:t>
            </w:r>
          </w:p>
        </w:tc>
        <w:tc>
          <w:tcPr>
            <w:tcW w:w="4394" w:type="dxa"/>
            <w:shd w:val="clear" w:color="auto" w:fill="99CDDD"/>
          </w:tcPr>
          <w:p w14:paraId="133262F9" w14:textId="54338195" w:rsidR="00380585" w:rsidRPr="00886DFF" w:rsidRDefault="00380585" w:rsidP="00E6054D">
            <w:pPr>
              <w:pStyle w:val="TableText"/>
              <w:keepNext/>
              <w:rPr>
                <w:rFonts w:eastAsia="Calibri"/>
                <w:color w:val="000000"/>
                <w:sz w:val="22"/>
              </w:rPr>
            </w:pPr>
            <w:r w:rsidRPr="00886DFF">
              <w:rPr>
                <w:rFonts w:eastAsia="Calibri"/>
                <w:b/>
                <w:color w:val="000000"/>
                <w:sz w:val="22"/>
              </w:rPr>
              <w:t>Comment</w:t>
            </w:r>
            <w:r w:rsidRPr="00886DFF">
              <w:rPr>
                <w:rFonts w:eastAsia="Calibri"/>
                <w:color w:val="000000"/>
                <w:sz w:val="22"/>
              </w:rPr>
              <w:t xml:space="preserve">: </w:t>
            </w:r>
          </w:p>
        </w:tc>
        <w:tc>
          <w:tcPr>
            <w:tcW w:w="2585" w:type="dxa"/>
            <w:shd w:val="clear" w:color="auto" w:fill="99CDDD"/>
          </w:tcPr>
          <w:p w14:paraId="0F0B9F6F" w14:textId="77777777" w:rsidR="00380585" w:rsidRPr="00886DFF" w:rsidRDefault="00380585" w:rsidP="002127DC">
            <w:pPr>
              <w:pStyle w:val="TableText"/>
              <w:keepNext/>
              <w:rPr>
                <w:rFonts w:eastAsia="Calibri"/>
                <w:b/>
                <w:color w:val="000000"/>
                <w:sz w:val="22"/>
              </w:rPr>
            </w:pPr>
            <w:r w:rsidRPr="00886DFF">
              <w:rPr>
                <w:rFonts w:eastAsia="Calibri"/>
                <w:b/>
                <w:color w:val="000000"/>
                <w:sz w:val="22"/>
              </w:rPr>
              <w:t>Impact</w:t>
            </w:r>
          </w:p>
          <w:p w14:paraId="4BF028E9" w14:textId="3BAF6E9E" w:rsidR="00380585" w:rsidRPr="00886DFF" w:rsidRDefault="00380585" w:rsidP="002127DC">
            <w:pPr>
              <w:pStyle w:val="TableText"/>
              <w:keepNext/>
              <w:rPr>
                <w:rFonts w:eastAsia="Calibri"/>
                <w:i/>
                <w:color w:val="000000"/>
                <w:sz w:val="22"/>
              </w:rPr>
            </w:pPr>
          </w:p>
        </w:tc>
      </w:tr>
      <w:tr w:rsidR="00380585" w:rsidRPr="0069218C" w14:paraId="374C3B33" w14:textId="77777777" w:rsidTr="00E6054D">
        <w:trPr>
          <w:trHeight w:val="197"/>
        </w:trPr>
        <w:tc>
          <w:tcPr>
            <w:tcW w:w="9072" w:type="dxa"/>
            <w:gridSpan w:val="3"/>
            <w:tcBorders>
              <w:bottom w:val="single" w:sz="4" w:space="0" w:color="DDDDDD"/>
            </w:tcBorders>
          </w:tcPr>
          <w:p w14:paraId="56BD4D53" w14:textId="77777777" w:rsidR="00380585" w:rsidRPr="00567434" w:rsidRDefault="00380585" w:rsidP="002127DC">
            <w:pPr>
              <w:pStyle w:val="spacer"/>
              <w:rPr>
                <w:rFonts w:eastAsia="Calibri"/>
              </w:rPr>
            </w:pPr>
          </w:p>
        </w:tc>
      </w:tr>
      <w:tr w:rsidR="00380585" w:rsidRPr="0069218C" w14:paraId="3311A7AD" w14:textId="77777777" w:rsidTr="00E6054D">
        <w:trPr>
          <w:trHeight w:val="253"/>
        </w:trPr>
        <w:tc>
          <w:tcPr>
            <w:tcW w:w="9072" w:type="dxa"/>
            <w:gridSpan w:val="3"/>
            <w:shd w:val="clear" w:color="auto" w:fill="99CDDD"/>
          </w:tcPr>
          <w:p w14:paraId="0287E966" w14:textId="77777777" w:rsidR="00380585" w:rsidRPr="0069218C" w:rsidRDefault="00380585" w:rsidP="002127DC">
            <w:pPr>
              <w:keepNext/>
              <w:spacing w:before="40" w:after="20" w:line="240" w:lineRule="auto"/>
              <w:rPr>
                <w:rFonts w:ascii="Arial Narrow" w:eastAsia="Calibri" w:hAnsi="Arial Narrow"/>
                <w:szCs w:val="22"/>
              </w:rPr>
            </w:pPr>
            <w:r w:rsidRPr="00886DFF">
              <w:rPr>
                <w:rFonts w:eastAsia="Calibri"/>
                <w:color w:val="000000"/>
                <w:szCs w:val="22"/>
              </w:rPr>
              <w:t>Additional costs of proposed approach, compared to taking no action</w:t>
            </w:r>
          </w:p>
        </w:tc>
      </w:tr>
      <w:tr w:rsidR="00380585" w:rsidRPr="0069218C" w14:paraId="7CACDF7E" w14:textId="77777777" w:rsidTr="00BB4EA2">
        <w:trPr>
          <w:trHeight w:val="253"/>
        </w:trPr>
        <w:tc>
          <w:tcPr>
            <w:tcW w:w="2093" w:type="dxa"/>
            <w:shd w:val="clear" w:color="auto" w:fill="auto"/>
          </w:tcPr>
          <w:p w14:paraId="6A79CE21" w14:textId="77777777" w:rsidR="00185F10" w:rsidRDefault="00D17CBE" w:rsidP="002127DC">
            <w:pPr>
              <w:pStyle w:val="TableText"/>
              <w:keepNext/>
              <w:rPr>
                <w:rFonts w:eastAsia="Calibri"/>
                <w:sz w:val="22"/>
              </w:rPr>
            </w:pPr>
            <w:r>
              <w:rPr>
                <w:rFonts w:eastAsia="Calibri"/>
                <w:sz w:val="22"/>
              </w:rPr>
              <w:t>Regulated parties</w:t>
            </w:r>
          </w:p>
          <w:p w14:paraId="475A657A" w14:textId="11CD14C2" w:rsidR="00D17CBE" w:rsidRPr="0069218C" w:rsidRDefault="00D17CBE" w:rsidP="002127DC">
            <w:pPr>
              <w:pStyle w:val="TableText"/>
              <w:keepNext/>
              <w:rPr>
                <w:rFonts w:eastAsia="Calibri"/>
                <w:sz w:val="22"/>
              </w:rPr>
            </w:pPr>
            <w:r>
              <w:rPr>
                <w:rFonts w:eastAsia="Calibri"/>
                <w:sz w:val="22"/>
              </w:rPr>
              <w:t>(transporters of goods)</w:t>
            </w:r>
          </w:p>
        </w:tc>
        <w:tc>
          <w:tcPr>
            <w:tcW w:w="4394" w:type="dxa"/>
            <w:shd w:val="clear" w:color="auto" w:fill="auto"/>
          </w:tcPr>
          <w:p w14:paraId="71F3CAB1" w14:textId="7002FEF3" w:rsidR="00943D6C" w:rsidRPr="0069218C" w:rsidRDefault="000C34EF" w:rsidP="00D17CBE">
            <w:pPr>
              <w:pStyle w:val="TableText"/>
              <w:keepNext/>
              <w:rPr>
                <w:rFonts w:eastAsia="Calibri"/>
                <w:sz w:val="22"/>
              </w:rPr>
            </w:pPr>
            <w:r>
              <w:rPr>
                <w:rFonts w:eastAsia="Calibri"/>
                <w:sz w:val="22"/>
              </w:rPr>
              <w:t>No cost.</w:t>
            </w:r>
          </w:p>
        </w:tc>
        <w:tc>
          <w:tcPr>
            <w:tcW w:w="2585" w:type="dxa"/>
            <w:shd w:val="clear" w:color="auto" w:fill="auto"/>
          </w:tcPr>
          <w:p w14:paraId="30B3CC2E" w14:textId="515D271F" w:rsidR="00380585" w:rsidRPr="006A7FFB" w:rsidRDefault="006A7FFB" w:rsidP="002127DC">
            <w:pPr>
              <w:pStyle w:val="TableText"/>
              <w:keepNext/>
              <w:rPr>
                <w:rFonts w:eastAsia="Calibri"/>
                <w:sz w:val="22"/>
              </w:rPr>
            </w:pPr>
            <w:r>
              <w:rPr>
                <w:rFonts w:eastAsia="Calibri"/>
                <w:sz w:val="22"/>
              </w:rPr>
              <w:t>None</w:t>
            </w:r>
          </w:p>
        </w:tc>
      </w:tr>
      <w:tr w:rsidR="00380585" w:rsidRPr="0069218C" w14:paraId="7AF8FD29" w14:textId="77777777" w:rsidTr="00BB4EA2">
        <w:trPr>
          <w:trHeight w:val="253"/>
        </w:trPr>
        <w:tc>
          <w:tcPr>
            <w:tcW w:w="2093" w:type="dxa"/>
            <w:shd w:val="clear" w:color="auto" w:fill="auto"/>
          </w:tcPr>
          <w:p w14:paraId="2E2F6BEF" w14:textId="77777777" w:rsidR="00380585" w:rsidRDefault="00380585" w:rsidP="002127DC">
            <w:pPr>
              <w:pStyle w:val="TableText"/>
              <w:keepNext/>
              <w:rPr>
                <w:rFonts w:eastAsia="Calibri"/>
                <w:color w:val="000000"/>
                <w:sz w:val="22"/>
              </w:rPr>
            </w:pPr>
            <w:r w:rsidRPr="0069218C">
              <w:rPr>
                <w:rFonts w:eastAsia="Calibri"/>
                <w:color w:val="000000"/>
                <w:sz w:val="22"/>
              </w:rPr>
              <w:t>Regulators</w:t>
            </w:r>
          </w:p>
          <w:p w14:paraId="0F06DC5D" w14:textId="1618D073" w:rsidR="00BF1D8C" w:rsidRPr="0069218C" w:rsidRDefault="00BF1D8C" w:rsidP="002127DC">
            <w:pPr>
              <w:pStyle w:val="TableText"/>
              <w:keepNext/>
              <w:rPr>
                <w:rFonts w:eastAsia="Calibri" w:cs="Arial"/>
                <w:color w:val="000000"/>
                <w:sz w:val="22"/>
              </w:rPr>
            </w:pPr>
            <w:r>
              <w:rPr>
                <w:rFonts w:eastAsia="Calibri"/>
                <w:color w:val="000000"/>
                <w:sz w:val="22"/>
              </w:rPr>
              <w:t>(Inland Revenue)</w:t>
            </w:r>
          </w:p>
        </w:tc>
        <w:tc>
          <w:tcPr>
            <w:tcW w:w="4394" w:type="dxa"/>
            <w:shd w:val="clear" w:color="auto" w:fill="auto"/>
          </w:tcPr>
          <w:p w14:paraId="38EB6009" w14:textId="0F6FD06F" w:rsidR="00D467B1" w:rsidRDefault="00D467B1" w:rsidP="002127DC">
            <w:pPr>
              <w:pStyle w:val="TableText"/>
              <w:keepNext/>
              <w:rPr>
                <w:rFonts w:eastAsia="Calibri"/>
                <w:sz w:val="22"/>
              </w:rPr>
            </w:pPr>
            <w:r>
              <w:rPr>
                <w:rFonts w:eastAsia="Calibri"/>
                <w:sz w:val="22"/>
              </w:rPr>
              <w:t>Zero-rating</w:t>
            </w:r>
            <w:r w:rsidR="00852BB0">
              <w:rPr>
                <w:rFonts w:eastAsia="Calibri"/>
                <w:sz w:val="22"/>
              </w:rPr>
              <w:t xml:space="preserve"> domestic transport services will result in a lower tax take for the Government.</w:t>
            </w:r>
            <w:r w:rsidR="001303D4">
              <w:rPr>
                <w:rFonts w:eastAsia="Calibri"/>
                <w:sz w:val="22"/>
              </w:rPr>
              <w:t xml:space="preserve"> It is noted that this fiscal cost would be nominal as in nearly all cases the primary transported is either registered for GST and/or the subcontracted courier treats their domestic leg services as zero-rated.</w:t>
            </w:r>
          </w:p>
          <w:p w14:paraId="4F9BDE15" w14:textId="29A3A877" w:rsidR="00DD5C70" w:rsidRDefault="00DD5C70" w:rsidP="002127DC">
            <w:pPr>
              <w:pStyle w:val="TableText"/>
              <w:keepNext/>
              <w:rPr>
                <w:rFonts w:eastAsia="Calibri"/>
                <w:sz w:val="22"/>
              </w:rPr>
            </w:pPr>
          </w:p>
          <w:p w14:paraId="0682B919" w14:textId="060BBF87" w:rsidR="00DD5C70" w:rsidRDefault="00DD5C70" w:rsidP="002127DC">
            <w:pPr>
              <w:pStyle w:val="TableText"/>
              <w:keepNext/>
              <w:rPr>
                <w:rFonts w:eastAsia="Calibri"/>
                <w:sz w:val="22"/>
              </w:rPr>
            </w:pPr>
            <w:r>
              <w:rPr>
                <w:rFonts w:eastAsia="Calibri"/>
                <w:sz w:val="22"/>
              </w:rPr>
              <w:t xml:space="preserve">In terms of non-monetised costs, </w:t>
            </w:r>
            <w:r>
              <w:rPr>
                <w:rFonts w:eastAsia="Calibri"/>
                <w:iCs/>
                <w:sz w:val="22"/>
              </w:rPr>
              <w:t xml:space="preserve"> these changes will bring a very small administrative cost to I</w:t>
            </w:r>
            <w:r w:rsidR="001433A7">
              <w:rPr>
                <w:rFonts w:eastAsia="Calibri"/>
                <w:iCs/>
                <w:sz w:val="22"/>
              </w:rPr>
              <w:t xml:space="preserve">nland </w:t>
            </w:r>
            <w:r>
              <w:rPr>
                <w:rFonts w:eastAsia="Calibri"/>
                <w:iCs/>
                <w:sz w:val="22"/>
              </w:rPr>
              <w:t>R</w:t>
            </w:r>
            <w:r w:rsidR="001433A7">
              <w:rPr>
                <w:rFonts w:eastAsia="Calibri"/>
                <w:iCs/>
                <w:sz w:val="22"/>
              </w:rPr>
              <w:t>evenue</w:t>
            </w:r>
            <w:r>
              <w:rPr>
                <w:rFonts w:eastAsia="Calibri"/>
                <w:iCs/>
                <w:sz w:val="22"/>
              </w:rPr>
              <w:t xml:space="preserve"> in terms of providing guidance to transporters on what the new rules are in order to aid taxpayer understanding and promote compliance.</w:t>
            </w:r>
          </w:p>
          <w:p w14:paraId="15408B5E" w14:textId="115C3F47" w:rsidR="00380585" w:rsidRPr="0069218C" w:rsidRDefault="00380585" w:rsidP="001303D4">
            <w:pPr>
              <w:pStyle w:val="TableText"/>
              <w:keepNext/>
              <w:rPr>
                <w:rFonts w:eastAsia="Calibri"/>
                <w:sz w:val="22"/>
              </w:rPr>
            </w:pPr>
          </w:p>
        </w:tc>
        <w:tc>
          <w:tcPr>
            <w:tcW w:w="2585" w:type="dxa"/>
            <w:shd w:val="clear" w:color="auto" w:fill="auto"/>
          </w:tcPr>
          <w:p w14:paraId="682F55BC" w14:textId="65805584" w:rsidR="00380585" w:rsidRPr="0069218C" w:rsidRDefault="00084539" w:rsidP="002127DC">
            <w:pPr>
              <w:pStyle w:val="TableText"/>
              <w:keepNext/>
              <w:rPr>
                <w:rFonts w:eastAsia="Calibri"/>
                <w:sz w:val="22"/>
              </w:rPr>
            </w:pPr>
            <w:r>
              <w:rPr>
                <w:rFonts w:eastAsia="Calibri"/>
                <w:sz w:val="22"/>
              </w:rPr>
              <w:t>$200k pa approx.</w:t>
            </w:r>
            <w:r w:rsidR="00E00618">
              <w:rPr>
                <w:rFonts w:eastAsia="Calibri"/>
                <w:sz w:val="22"/>
              </w:rPr>
              <w:t xml:space="preserve"> GST foregone</w:t>
            </w:r>
            <w:r>
              <w:rPr>
                <w:rFonts w:eastAsia="Calibri"/>
                <w:sz w:val="22"/>
              </w:rPr>
              <w:t xml:space="preserve"> </w:t>
            </w:r>
          </w:p>
        </w:tc>
      </w:tr>
      <w:tr w:rsidR="00380585" w:rsidRPr="0069218C" w14:paraId="051F6DE9" w14:textId="77777777" w:rsidTr="00BB4EA2">
        <w:trPr>
          <w:trHeight w:val="253"/>
        </w:trPr>
        <w:tc>
          <w:tcPr>
            <w:tcW w:w="2093" w:type="dxa"/>
            <w:shd w:val="clear" w:color="auto" w:fill="auto"/>
          </w:tcPr>
          <w:p w14:paraId="3D15155E" w14:textId="77777777" w:rsidR="00380585" w:rsidRPr="0069218C" w:rsidRDefault="00380585" w:rsidP="002127DC">
            <w:pPr>
              <w:pStyle w:val="TableText"/>
              <w:keepNext/>
              <w:rPr>
                <w:rFonts w:eastAsia="Calibri"/>
                <w:color w:val="000000"/>
                <w:sz w:val="22"/>
              </w:rPr>
            </w:pPr>
            <w:r w:rsidRPr="0069218C">
              <w:rPr>
                <w:rFonts w:eastAsia="Calibri"/>
                <w:color w:val="000000"/>
                <w:sz w:val="22"/>
              </w:rPr>
              <w:t>Wider government</w:t>
            </w:r>
          </w:p>
        </w:tc>
        <w:tc>
          <w:tcPr>
            <w:tcW w:w="4394" w:type="dxa"/>
            <w:shd w:val="clear" w:color="auto" w:fill="auto"/>
          </w:tcPr>
          <w:p w14:paraId="6CE17A35" w14:textId="0C79DA64" w:rsidR="00380585" w:rsidRPr="0069218C" w:rsidRDefault="004E7B1A" w:rsidP="002127DC">
            <w:pPr>
              <w:pStyle w:val="TableText"/>
              <w:keepNext/>
              <w:rPr>
                <w:rFonts w:eastAsia="Calibri"/>
                <w:sz w:val="22"/>
              </w:rPr>
            </w:pPr>
            <w:r>
              <w:rPr>
                <w:rFonts w:eastAsia="Calibri"/>
                <w:sz w:val="22"/>
              </w:rPr>
              <w:t xml:space="preserve">No expected </w:t>
            </w:r>
            <w:r w:rsidR="00A1569C">
              <w:rPr>
                <w:rFonts w:eastAsia="Calibri"/>
                <w:sz w:val="22"/>
              </w:rPr>
              <w:t>costs</w:t>
            </w:r>
          </w:p>
        </w:tc>
        <w:tc>
          <w:tcPr>
            <w:tcW w:w="2585" w:type="dxa"/>
            <w:shd w:val="clear" w:color="auto" w:fill="auto"/>
          </w:tcPr>
          <w:p w14:paraId="211A32E6" w14:textId="6ADED7D9" w:rsidR="00380585" w:rsidRPr="0069218C" w:rsidRDefault="006A7FFB" w:rsidP="002127DC">
            <w:pPr>
              <w:pStyle w:val="TableText"/>
              <w:keepNext/>
              <w:rPr>
                <w:rFonts w:eastAsia="Calibri"/>
                <w:sz w:val="22"/>
              </w:rPr>
            </w:pPr>
            <w:r>
              <w:rPr>
                <w:rFonts w:eastAsia="Calibri"/>
                <w:sz w:val="22"/>
              </w:rPr>
              <w:t>None</w:t>
            </w:r>
          </w:p>
        </w:tc>
      </w:tr>
      <w:tr w:rsidR="00380585" w:rsidRPr="0069218C" w14:paraId="67B640BC" w14:textId="77777777" w:rsidTr="00BB4EA2">
        <w:trPr>
          <w:trHeight w:val="253"/>
        </w:trPr>
        <w:tc>
          <w:tcPr>
            <w:tcW w:w="2093" w:type="dxa"/>
            <w:shd w:val="clear" w:color="auto" w:fill="auto"/>
          </w:tcPr>
          <w:p w14:paraId="6983F463" w14:textId="77777777" w:rsidR="00380585" w:rsidRDefault="00380585" w:rsidP="002127DC">
            <w:pPr>
              <w:pStyle w:val="TableText"/>
              <w:keepNext/>
              <w:rPr>
                <w:rFonts w:eastAsia="Calibri"/>
                <w:color w:val="000000"/>
                <w:sz w:val="22"/>
              </w:rPr>
            </w:pPr>
            <w:r w:rsidRPr="0069218C">
              <w:rPr>
                <w:rFonts w:eastAsia="Calibri"/>
                <w:color w:val="000000"/>
                <w:sz w:val="22"/>
              </w:rPr>
              <w:t xml:space="preserve">Other parties </w:t>
            </w:r>
          </w:p>
          <w:p w14:paraId="21C83AA5" w14:textId="0E72F41C" w:rsidR="00D17CBE" w:rsidRPr="0069218C" w:rsidRDefault="00D17CBE" w:rsidP="002127DC">
            <w:pPr>
              <w:pStyle w:val="TableText"/>
              <w:keepNext/>
              <w:rPr>
                <w:rFonts w:eastAsia="Calibri" w:cs="Arial"/>
                <w:color w:val="000000"/>
                <w:sz w:val="22"/>
              </w:rPr>
            </w:pPr>
          </w:p>
        </w:tc>
        <w:tc>
          <w:tcPr>
            <w:tcW w:w="4394" w:type="dxa"/>
            <w:shd w:val="clear" w:color="auto" w:fill="auto"/>
          </w:tcPr>
          <w:p w14:paraId="197E8BDC" w14:textId="5C0733C6" w:rsidR="00380585" w:rsidRPr="0069218C" w:rsidRDefault="006A7FFB" w:rsidP="006A7FFB">
            <w:pPr>
              <w:pStyle w:val="TableText"/>
              <w:keepNext/>
              <w:rPr>
                <w:rFonts w:eastAsia="Calibri"/>
                <w:sz w:val="22"/>
              </w:rPr>
            </w:pPr>
            <w:r>
              <w:rPr>
                <w:rFonts w:eastAsia="Calibri"/>
                <w:sz w:val="22"/>
              </w:rPr>
              <w:t>Not applicable.</w:t>
            </w:r>
          </w:p>
        </w:tc>
        <w:tc>
          <w:tcPr>
            <w:tcW w:w="2585" w:type="dxa"/>
            <w:shd w:val="clear" w:color="auto" w:fill="auto"/>
          </w:tcPr>
          <w:p w14:paraId="26C82814" w14:textId="4CFD590B" w:rsidR="00380585" w:rsidRPr="0069218C" w:rsidRDefault="006A7FFB" w:rsidP="002127DC">
            <w:pPr>
              <w:pStyle w:val="TableText"/>
              <w:keepNext/>
              <w:rPr>
                <w:rFonts w:eastAsia="Calibri"/>
                <w:sz w:val="22"/>
              </w:rPr>
            </w:pPr>
            <w:r>
              <w:rPr>
                <w:rFonts w:eastAsia="Calibri"/>
                <w:sz w:val="22"/>
              </w:rPr>
              <w:t>Not applicable</w:t>
            </w:r>
          </w:p>
        </w:tc>
      </w:tr>
      <w:tr w:rsidR="00380585" w:rsidRPr="0069218C" w14:paraId="36C00356" w14:textId="77777777" w:rsidTr="00BB4EA2">
        <w:trPr>
          <w:trHeight w:val="253"/>
        </w:trPr>
        <w:tc>
          <w:tcPr>
            <w:tcW w:w="2093" w:type="dxa"/>
            <w:shd w:val="clear" w:color="auto" w:fill="auto"/>
          </w:tcPr>
          <w:p w14:paraId="55DE5259" w14:textId="77777777" w:rsidR="00380585" w:rsidRPr="0069218C" w:rsidRDefault="00380585" w:rsidP="002127DC">
            <w:pPr>
              <w:pStyle w:val="TableText"/>
              <w:keepNext/>
              <w:rPr>
                <w:rFonts w:eastAsia="Calibri"/>
                <w:b/>
                <w:sz w:val="22"/>
              </w:rPr>
            </w:pPr>
            <w:r w:rsidRPr="0069218C">
              <w:rPr>
                <w:rFonts w:eastAsia="Calibri"/>
                <w:b/>
                <w:sz w:val="22"/>
              </w:rPr>
              <w:t>Total Monetised Cost</w:t>
            </w:r>
          </w:p>
        </w:tc>
        <w:tc>
          <w:tcPr>
            <w:tcW w:w="4394" w:type="dxa"/>
            <w:shd w:val="clear" w:color="auto" w:fill="auto"/>
          </w:tcPr>
          <w:p w14:paraId="4D0A094E" w14:textId="77777777" w:rsidR="00380585" w:rsidRPr="0069218C" w:rsidRDefault="00380585" w:rsidP="002127DC">
            <w:pPr>
              <w:pStyle w:val="TableText"/>
              <w:keepNext/>
              <w:rPr>
                <w:rFonts w:eastAsia="Calibri"/>
                <w:i/>
                <w:sz w:val="22"/>
              </w:rPr>
            </w:pPr>
          </w:p>
        </w:tc>
        <w:tc>
          <w:tcPr>
            <w:tcW w:w="2585" w:type="dxa"/>
            <w:shd w:val="clear" w:color="auto" w:fill="auto"/>
          </w:tcPr>
          <w:p w14:paraId="1513E189" w14:textId="2A3E8D52" w:rsidR="00380585" w:rsidRPr="0069218C" w:rsidRDefault="004761E1" w:rsidP="002127DC">
            <w:pPr>
              <w:pStyle w:val="TableText"/>
              <w:keepNext/>
              <w:rPr>
                <w:rFonts w:eastAsia="Calibri"/>
                <w:sz w:val="22"/>
              </w:rPr>
            </w:pPr>
            <w:r>
              <w:rPr>
                <w:rFonts w:eastAsia="Calibri"/>
                <w:sz w:val="22"/>
              </w:rPr>
              <w:t>$200k pa</w:t>
            </w:r>
          </w:p>
        </w:tc>
      </w:tr>
      <w:tr w:rsidR="00380585" w:rsidRPr="0069218C" w14:paraId="744EB59C" w14:textId="77777777" w:rsidTr="00BB4EA2">
        <w:trPr>
          <w:trHeight w:val="253"/>
        </w:trPr>
        <w:tc>
          <w:tcPr>
            <w:tcW w:w="2093" w:type="dxa"/>
            <w:shd w:val="clear" w:color="auto" w:fill="auto"/>
          </w:tcPr>
          <w:p w14:paraId="7F4CC76A" w14:textId="77777777" w:rsidR="00380585" w:rsidRPr="0069218C" w:rsidRDefault="00380585" w:rsidP="002127DC">
            <w:pPr>
              <w:pStyle w:val="TableText"/>
              <w:keepNext/>
              <w:rPr>
                <w:rFonts w:eastAsia="Calibri"/>
                <w:b/>
                <w:sz w:val="22"/>
              </w:rPr>
            </w:pPr>
            <w:r w:rsidRPr="0069218C">
              <w:rPr>
                <w:rFonts w:eastAsia="Calibri"/>
                <w:b/>
                <w:sz w:val="22"/>
              </w:rPr>
              <w:t xml:space="preserve">Non-monetised costs </w:t>
            </w:r>
          </w:p>
        </w:tc>
        <w:tc>
          <w:tcPr>
            <w:tcW w:w="4394" w:type="dxa"/>
            <w:shd w:val="clear" w:color="auto" w:fill="auto"/>
          </w:tcPr>
          <w:p w14:paraId="3F8B3128" w14:textId="1C2A8CC2" w:rsidR="00380585" w:rsidRPr="00001D41" w:rsidRDefault="00380585" w:rsidP="002127DC">
            <w:pPr>
              <w:pStyle w:val="TableText"/>
              <w:keepNext/>
              <w:rPr>
                <w:rFonts w:eastAsia="Calibri"/>
                <w:iCs/>
                <w:sz w:val="22"/>
              </w:rPr>
            </w:pPr>
          </w:p>
        </w:tc>
        <w:tc>
          <w:tcPr>
            <w:tcW w:w="2585" w:type="dxa"/>
            <w:shd w:val="clear" w:color="auto" w:fill="auto"/>
          </w:tcPr>
          <w:p w14:paraId="59E9AAEA" w14:textId="31F4E6EF" w:rsidR="00380585" w:rsidRPr="00B349F6" w:rsidRDefault="00001D41" w:rsidP="002127DC">
            <w:pPr>
              <w:pStyle w:val="TableText"/>
              <w:keepNext/>
              <w:rPr>
                <w:rFonts w:eastAsia="Calibri"/>
                <w:iCs/>
                <w:sz w:val="22"/>
              </w:rPr>
            </w:pPr>
            <w:r>
              <w:rPr>
                <w:rFonts w:eastAsia="Calibri"/>
                <w:iCs/>
                <w:sz w:val="22"/>
              </w:rPr>
              <w:t>Low</w:t>
            </w:r>
          </w:p>
        </w:tc>
      </w:tr>
    </w:tbl>
    <w:p w14:paraId="0A9A2360" w14:textId="77777777" w:rsidR="00380585" w:rsidRPr="0069218C" w:rsidRDefault="00380585" w:rsidP="00567434">
      <w:pPr>
        <w:pStyle w:val="spacer"/>
      </w:pPr>
    </w:p>
    <w:tbl>
      <w:tblPr>
        <w:tblpPr w:leftFromText="180" w:rightFromText="180" w:vertAnchor="text" w:tblpX="114" w:tblpY="1"/>
        <w:tblOverlap w:val="never"/>
        <w:tblW w:w="907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093"/>
        <w:gridCol w:w="4394"/>
        <w:gridCol w:w="2585"/>
      </w:tblGrid>
      <w:tr w:rsidR="00380585" w:rsidRPr="0069218C" w14:paraId="377EAB6F" w14:textId="77777777" w:rsidTr="00E6054D">
        <w:trPr>
          <w:trHeight w:val="253"/>
        </w:trPr>
        <w:tc>
          <w:tcPr>
            <w:tcW w:w="9072" w:type="dxa"/>
            <w:gridSpan w:val="3"/>
            <w:shd w:val="clear" w:color="auto" w:fill="99CDDD"/>
          </w:tcPr>
          <w:p w14:paraId="564BDD89" w14:textId="77777777" w:rsidR="00380585" w:rsidRPr="000535CE" w:rsidRDefault="00380585" w:rsidP="002127DC">
            <w:pPr>
              <w:spacing w:before="40" w:after="20" w:line="240" w:lineRule="auto"/>
              <w:rPr>
                <w:rFonts w:ascii="Arial Narrow" w:eastAsia="Calibri" w:hAnsi="Arial Narrow"/>
                <w:szCs w:val="22"/>
              </w:rPr>
            </w:pPr>
            <w:r w:rsidRPr="00886DFF">
              <w:rPr>
                <w:rFonts w:eastAsia="Calibri"/>
                <w:color w:val="000000"/>
                <w:szCs w:val="22"/>
              </w:rPr>
              <w:t>Expected benefits of proposed approach, compared to taking no action</w:t>
            </w:r>
          </w:p>
        </w:tc>
      </w:tr>
      <w:tr w:rsidR="00380585" w:rsidRPr="0069218C" w14:paraId="6FCB9D30" w14:textId="77777777" w:rsidTr="00BB4EA2">
        <w:trPr>
          <w:trHeight w:val="253"/>
        </w:trPr>
        <w:tc>
          <w:tcPr>
            <w:tcW w:w="2093" w:type="dxa"/>
            <w:shd w:val="clear" w:color="auto" w:fill="auto"/>
          </w:tcPr>
          <w:p w14:paraId="3F078A75" w14:textId="77777777" w:rsidR="00380585" w:rsidRDefault="00380585" w:rsidP="002127DC">
            <w:pPr>
              <w:pStyle w:val="TableText"/>
              <w:rPr>
                <w:rFonts w:eastAsia="Calibri"/>
                <w:sz w:val="22"/>
              </w:rPr>
            </w:pPr>
            <w:r w:rsidRPr="0069218C">
              <w:rPr>
                <w:rFonts w:eastAsia="Calibri"/>
                <w:sz w:val="22"/>
              </w:rPr>
              <w:t>Regulated parties</w:t>
            </w:r>
          </w:p>
          <w:p w14:paraId="118392ED" w14:textId="5B489AEA" w:rsidR="008A0B22" w:rsidRPr="0069218C" w:rsidRDefault="008A0B22" w:rsidP="002127DC">
            <w:pPr>
              <w:pStyle w:val="TableText"/>
              <w:rPr>
                <w:rFonts w:eastAsia="Calibri"/>
                <w:sz w:val="22"/>
              </w:rPr>
            </w:pPr>
            <w:r>
              <w:rPr>
                <w:rFonts w:eastAsia="Calibri"/>
                <w:sz w:val="22"/>
              </w:rPr>
              <w:t>(</w:t>
            </w:r>
            <w:r w:rsidR="00220E65">
              <w:rPr>
                <w:rFonts w:eastAsia="Calibri"/>
                <w:sz w:val="22"/>
              </w:rPr>
              <w:t>transporters of goods</w:t>
            </w:r>
            <w:r w:rsidR="00F86C5A">
              <w:rPr>
                <w:rFonts w:eastAsia="Calibri"/>
                <w:sz w:val="22"/>
              </w:rPr>
              <w:t>)</w:t>
            </w:r>
          </w:p>
        </w:tc>
        <w:tc>
          <w:tcPr>
            <w:tcW w:w="4394" w:type="dxa"/>
            <w:shd w:val="clear" w:color="auto" w:fill="auto"/>
          </w:tcPr>
          <w:p w14:paraId="6008A28A" w14:textId="2E55E437" w:rsidR="00B26F73" w:rsidRDefault="008A5037" w:rsidP="00220E65">
            <w:pPr>
              <w:pStyle w:val="TableText"/>
              <w:keepNext/>
              <w:rPr>
                <w:rFonts w:eastAsia="Calibri"/>
                <w:sz w:val="22"/>
              </w:rPr>
            </w:pPr>
            <w:r>
              <w:rPr>
                <w:rFonts w:eastAsia="Calibri"/>
                <w:sz w:val="22"/>
              </w:rPr>
              <w:t xml:space="preserve">Transporters undertaking the domestic leg </w:t>
            </w:r>
            <w:r w:rsidR="00F5193D">
              <w:rPr>
                <w:rFonts w:eastAsia="Calibri"/>
                <w:sz w:val="22"/>
              </w:rPr>
              <w:t>of transportation</w:t>
            </w:r>
            <w:r w:rsidR="00073FD3">
              <w:rPr>
                <w:rFonts w:eastAsia="Calibri"/>
                <w:sz w:val="22"/>
              </w:rPr>
              <w:t xml:space="preserve"> may see an uplift in </w:t>
            </w:r>
            <w:r w:rsidR="00B26F73">
              <w:rPr>
                <w:rFonts w:eastAsia="Calibri"/>
                <w:sz w:val="22"/>
              </w:rPr>
              <w:t>their business. This is because the proposals remove the tax incentive for international transporters to also undertake the domestic leg of transportation.</w:t>
            </w:r>
            <w:r w:rsidR="002A5D0E">
              <w:rPr>
                <w:rFonts w:eastAsia="Calibri"/>
                <w:sz w:val="22"/>
              </w:rPr>
              <w:t xml:space="preserve"> </w:t>
            </w:r>
            <w:r w:rsidR="00312A1C">
              <w:rPr>
                <w:rFonts w:eastAsia="Calibri"/>
                <w:sz w:val="22"/>
              </w:rPr>
              <w:t xml:space="preserve">This will reduce compliance costs associated with sub-contracting which may improve competition and increase efficiency. </w:t>
            </w:r>
            <w:r w:rsidR="002A5D0E">
              <w:rPr>
                <w:rFonts w:eastAsia="Calibri"/>
                <w:sz w:val="22"/>
              </w:rPr>
              <w:t>There would also be no commercial pressure placed on domestic transporters to incorrectly zero-rate (as zero-rating would be permissible under the law).</w:t>
            </w:r>
            <w:r w:rsidR="00FB6BC0">
              <w:rPr>
                <w:rFonts w:eastAsia="Calibri"/>
                <w:sz w:val="22"/>
              </w:rPr>
              <w:t xml:space="preserve"> </w:t>
            </w:r>
          </w:p>
          <w:p w14:paraId="7FA83A27" w14:textId="04A18055" w:rsidR="00F67E28" w:rsidRPr="0069218C" w:rsidRDefault="00F67E28" w:rsidP="007B47BD">
            <w:pPr>
              <w:pStyle w:val="TableText"/>
              <w:keepNext/>
              <w:rPr>
                <w:rFonts w:eastAsia="Calibri"/>
                <w:sz w:val="22"/>
              </w:rPr>
            </w:pPr>
          </w:p>
        </w:tc>
        <w:tc>
          <w:tcPr>
            <w:tcW w:w="2585" w:type="dxa"/>
            <w:shd w:val="clear" w:color="auto" w:fill="auto"/>
          </w:tcPr>
          <w:p w14:paraId="73CBE2E0" w14:textId="1D1A7982" w:rsidR="00380585" w:rsidRPr="0069218C" w:rsidRDefault="005E28CD" w:rsidP="002127DC">
            <w:pPr>
              <w:pStyle w:val="TableText"/>
              <w:rPr>
                <w:rFonts w:eastAsia="Calibri"/>
                <w:sz w:val="22"/>
              </w:rPr>
            </w:pPr>
            <w:r>
              <w:rPr>
                <w:rFonts w:eastAsia="Calibri"/>
                <w:sz w:val="22"/>
              </w:rPr>
              <w:t>Low</w:t>
            </w:r>
          </w:p>
        </w:tc>
      </w:tr>
      <w:tr w:rsidR="00380585" w:rsidRPr="0069218C" w14:paraId="6D1801A4" w14:textId="77777777" w:rsidTr="00BB4EA2">
        <w:trPr>
          <w:trHeight w:val="253"/>
        </w:trPr>
        <w:tc>
          <w:tcPr>
            <w:tcW w:w="2093" w:type="dxa"/>
            <w:shd w:val="clear" w:color="auto" w:fill="auto"/>
          </w:tcPr>
          <w:p w14:paraId="715A3757" w14:textId="77777777" w:rsidR="00380585" w:rsidRPr="0069218C" w:rsidRDefault="00380585" w:rsidP="002127DC">
            <w:pPr>
              <w:pStyle w:val="TableText"/>
              <w:rPr>
                <w:rFonts w:eastAsia="Calibri"/>
                <w:sz w:val="22"/>
              </w:rPr>
            </w:pPr>
            <w:r w:rsidRPr="0069218C">
              <w:rPr>
                <w:rFonts w:eastAsia="Calibri"/>
                <w:sz w:val="22"/>
              </w:rPr>
              <w:t>Regulators</w:t>
            </w:r>
          </w:p>
        </w:tc>
        <w:tc>
          <w:tcPr>
            <w:tcW w:w="4394" w:type="dxa"/>
            <w:shd w:val="clear" w:color="auto" w:fill="auto"/>
          </w:tcPr>
          <w:p w14:paraId="1A46B913" w14:textId="539F36D1" w:rsidR="00230364" w:rsidRDefault="00230364" w:rsidP="002127DC">
            <w:pPr>
              <w:pStyle w:val="TableText"/>
              <w:rPr>
                <w:rFonts w:eastAsia="Calibri"/>
                <w:sz w:val="22"/>
              </w:rPr>
            </w:pPr>
            <w:r>
              <w:rPr>
                <w:rFonts w:eastAsia="Calibri"/>
                <w:sz w:val="22"/>
              </w:rPr>
              <w:t>Creates certainty in the law (as current law is misunderstood)</w:t>
            </w:r>
            <w:r w:rsidR="002166D4">
              <w:rPr>
                <w:rFonts w:eastAsia="Calibri"/>
                <w:sz w:val="22"/>
              </w:rPr>
              <w:t>.</w:t>
            </w:r>
          </w:p>
          <w:p w14:paraId="2D09FD04" w14:textId="01AB793B" w:rsidR="00380585" w:rsidRPr="0069218C" w:rsidRDefault="00380585" w:rsidP="002127DC">
            <w:pPr>
              <w:pStyle w:val="TableText"/>
              <w:rPr>
                <w:rFonts w:eastAsia="Calibri"/>
                <w:sz w:val="22"/>
              </w:rPr>
            </w:pPr>
          </w:p>
        </w:tc>
        <w:tc>
          <w:tcPr>
            <w:tcW w:w="2585" w:type="dxa"/>
            <w:shd w:val="clear" w:color="auto" w:fill="auto"/>
          </w:tcPr>
          <w:p w14:paraId="733C5865" w14:textId="63D75B31" w:rsidR="00380585" w:rsidRPr="0069218C" w:rsidRDefault="00001D41" w:rsidP="002127DC">
            <w:pPr>
              <w:pStyle w:val="TableText"/>
              <w:rPr>
                <w:rFonts w:eastAsia="Calibri"/>
                <w:sz w:val="22"/>
              </w:rPr>
            </w:pPr>
            <w:r>
              <w:rPr>
                <w:rFonts w:eastAsia="Calibri"/>
                <w:sz w:val="22"/>
              </w:rPr>
              <w:t>Low</w:t>
            </w:r>
          </w:p>
        </w:tc>
      </w:tr>
      <w:tr w:rsidR="00380585" w:rsidRPr="0069218C" w14:paraId="6617ED99" w14:textId="77777777" w:rsidTr="00BB4EA2">
        <w:trPr>
          <w:trHeight w:val="253"/>
        </w:trPr>
        <w:tc>
          <w:tcPr>
            <w:tcW w:w="2093" w:type="dxa"/>
            <w:shd w:val="clear" w:color="auto" w:fill="auto"/>
          </w:tcPr>
          <w:p w14:paraId="4D03E098" w14:textId="77777777" w:rsidR="00380585" w:rsidRPr="0069218C" w:rsidRDefault="00380585" w:rsidP="002127DC">
            <w:pPr>
              <w:pStyle w:val="TableText"/>
              <w:rPr>
                <w:rFonts w:eastAsia="Calibri"/>
                <w:sz w:val="22"/>
              </w:rPr>
            </w:pPr>
            <w:r w:rsidRPr="0069218C">
              <w:rPr>
                <w:rFonts w:eastAsia="Calibri"/>
                <w:sz w:val="22"/>
              </w:rPr>
              <w:t>Wider government</w:t>
            </w:r>
          </w:p>
        </w:tc>
        <w:tc>
          <w:tcPr>
            <w:tcW w:w="4394" w:type="dxa"/>
            <w:shd w:val="clear" w:color="auto" w:fill="auto"/>
          </w:tcPr>
          <w:p w14:paraId="28CC1657" w14:textId="7345AB85" w:rsidR="00380585" w:rsidRPr="0069218C" w:rsidRDefault="00C16105" w:rsidP="002127DC">
            <w:pPr>
              <w:pStyle w:val="TableText"/>
              <w:rPr>
                <w:rFonts w:eastAsia="Calibri"/>
                <w:sz w:val="22"/>
              </w:rPr>
            </w:pPr>
            <w:r>
              <w:rPr>
                <w:rFonts w:eastAsia="Calibri"/>
                <w:sz w:val="22"/>
              </w:rPr>
              <w:t>Not applicable.</w:t>
            </w:r>
          </w:p>
        </w:tc>
        <w:tc>
          <w:tcPr>
            <w:tcW w:w="2585" w:type="dxa"/>
            <w:shd w:val="clear" w:color="auto" w:fill="auto"/>
          </w:tcPr>
          <w:p w14:paraId="3881C965" w14:textId="5BABC3AF" w:rsidR="00380585" w:rsidRPr="0069218C" w:rsidRDefault="00C16105" w:rsidP="002127DC">
            <w:pPr>
              <w:pStyle w:val="TableText"/>
              <w:rPr>
                <w:rFonts w:eastAsia="Calibri"/>
                <w:sz w:val="22"/>
              </w:rPr>
            </w:pPr>
            <w:r>
              <w:rPr>
                <w:rFonts w:eastAsia="Calibri"/>
                <w:sz w:val="22"/>
              </w:rPr>
              <w:t>Not applicable.</w:t>
            </w:r>
          </w:p>
        </w:tc>
      </w:tr>
      <w:tr w:rsidR="00380585" w:rsidRPr="0069218C" w14:paraId="746B7EB9" w14:textId="77777777" w:rsidTr="00BB4EA2">
        <w:trPr>
          <w:trHeight w:val="253"/>
        </w:trPr>
        <w:tc>
          <w:tcPr>
            <w:tcW w:w="2093" w:type="dxa"/>
            <w:shd w:val="clear" w:color="auto" w:fill="auto"/>
          </w:tcPr>
          <w:p w14:paraId="0503D0E7" w14:textId="77777777" w:rsidR="00380585" w:rsidRDefault="00380585" w:rsidP="002127DC">
            <w:pPr>
              <w:pStyle w:val="TableText"/>
              <w:rPr>
                <w:rFonts w:eastAsia="Calibri"/>
                <w:sz w:val="22"/>
              </w:rPr>
            </w:pPr>
            <w:r w:rsidRPr="0069218C">
              <w:rPr>
                <w:rFonts w:eastAsia="Calibri"/>
                <w:sz w:val="22"/>
              </w:rPr>
              <w:t xml:space="preserve">Other parties </w:t>
            </w:r>
          </w:p>
          <w:p w14:paraId="3F02F27B" w14:textId="626C8F4E" w:rsidR="004E08C3" w:rsidRPr="0069218C" w:rsidRDefault="004E08C3" w:rsidP="002127DC">
            <w:pPr>
              <w:pStyle w:val="TableText"/>
              <w:rPr>
                <w:rFonts w:eastAsia="Calibri"/>
                <w:sz w:val="22"/>
              </w:rPr>
            </w:pPr>
            <w:r>
              <w:rPr>
                <w:rFonts w:eastAsia="Calibri"/>
                <w:sz w:val="22"/>
              </w:rPr>
              <w:t>(end consumer)</w:t>
            </w:r>
          </w:p>
        </w:tc>
        <w:tc>
          <w:tcPr>
            <w:tcW w:w="4394" w:type="dxa"/>
            <w:shd w:val="clear" w:color="auto" w:fill="auto"/>
          </w:tcPr>
          <w:p w14:paraId="20CB40AD" w14:textId="10A88683" w:rsidR="005A669A" w:rsidRDefault="004E08C3" w:rsidP="004E08C3">
            <w:pPr>
              <w:pStyle w:val="TableText"/>
              <w:keepNext/>
              <w:rPr>
                <w:rFonts w:eastAsia="Calibri"/>
                <w:sz w:val="22"/>
              </w:rPr>
            </w:pPr>
            <w:r>
              <w:rPr>
                <w:rFonts w:eastAsia="Calibri"/>
                <w:sz w:val="22"/>
              </w:rPr>
              <w:t xml:space="preserve">The end consumer </w:t>
            </w:r>
            <w:r w:rsidR="001433A7">
              <w:rPr>
                <w:rFonts w:eastAsia="Calibri"/>
                <w:sz w:val="22"/>
              </w:rPr>
              <w:t>should</w:t>
            </w:r>
            <w:r>
              <w:rPr>
                <w:rFonts w:eastAsia="Calibri"/>
                <w:sz w:val="22"/>
              </w:rPr>
              <w:t xml:space="preserve"> pay a lower overall cost for goods. This is because the proposed policy solution</w:t>
            </w:r>
            <w:r w:rsidR="005A669A">
              <w:rPr>
                <w:rFonts w:eastAsia="Calibri"/>
                <w:sz w:val="22"/>
              </w:rPr>
              <w:t xml:space="preserve"> will reduce the compliance costs associated with sub-contracting. This will lead to improved competition, increased </w:t>
            </w:r>
            <w:proofErr w:type="gramStart"/>
            <w:r w:rsidR="005A669A">
              <w:rPr>
                <w:rFonts w:eastAsia="Calibri"/>
                <w:sz w:val="22"/>
              </w:rPr>
              <w:t>efficiency</w:t>
            </w:r>
            <w:proofErr w:type="gramEnd"/>
            <w:r w:rsidR="005A669A">
              <w:rPr>
                <w:rFonts w:eastAsia="Calibri"/>
                <w:sz w:val="22"/>
              </w:rPr>
              <w:t xml:space="preserve"> and potentially lower prices. In circumstances where GST was previously charged, the proposals will eliminate tax cascades </w:t>
            </w:r>
            <w:r w:rsidR="002A739B">
              <w:rPr>
                <w:rFonts w:eastAsia="Calibri"/>
                <w:sz w:val="22"/>
              </w:rPr>
              <w:t>(GST charged on the domestic leg will not be imbedded in the final cost of the goods).</w:t>
            </w:r>
          </w:p>
          <w:p w14:paraId="6F1D21BC" w14:textId="3CA62924" w:rsidR="00380585" w:rsidRPr="0069218C" w:rsidRDefault="00380585" w:rsidP="002A739B">
            <w:pPr>
              <w:pStyle w:val="TableText"/>
              <w:keepNext/>
              <w:rPr>
                <w:rFonts w:eastAsia="Calibri"/>
                <w:sz w:val="22"/>
              </w:rPr>
            </w:pPr>
          </w:p>
        </w:tc>
        <w:tc>
          <w:tcPr>
            <w:tcW w:w="2585" w:type="dxa"/>
            <w:shd w:val="clear" w:color="auto" w:fill="auto"/>
          </w:tcPr>
          <w:p w14:paraId="4BA42D52" w14:textId="44B5D9CC" w:rsidR="00380585" w:rsidRPr="0069218C" w:rsidRDefault="004E08C3" w:rsidP="002127DC">
            <w:pPr>
              <w:pStyle w:val="TableText"/>
              <w:rPr>
                <w:rFonts w:eastAsia="Calibri"/>
                <w:sz w:val="22"/>
              </w:rPr>
            </w:pPr>
            <w:r>
              <w:rPr>
                <w:rFonts w:eastAsia="Calibri"/>
                <w:sz w:val="22"/>
              </w:rPr>
              <w:t>Low</w:t>
            </w:r>
          </w:p>
        </w:tc>
      </w:tr>
      <w:tr w:rsidR="00380585" w:rsidRPr="0069218C" w14:paraId="7DFE3740" w14:textId="77777777" w:rsidTr="00BB4EA2">
        <w:trPr>
          <w:trHeight w:val="253"/>
        </w:trPr>
        <w:tc>
          <w:tcPr>
            <w:tcW w:w="2093" w:type="dxa"/>
            <w:shd w:val="clear" w:color="auto" w:fill="auto"/>
          </w:tcPr>
          <w:p w14:paraId="5AE97A8A" w14:textId="77777777" w:rsidR="00380585" w:rsidRPr="0069218C" w:rsidRDefault="00380585" w:rsidP="002127DC">
            <w:pPr>
              <w:pStyle w:val="TableText"/>
              <w:rPr>
                <w:rFonts w:eastAsia="Calibri"/>
                <w:b/>
                <w:sz w:val="22"/>
              </w:rPr>
            </w:pPr>
            <w:r w:rsidRPr="0069218C">
              <w:rPr>
                <w:rFonts w:eastAsia="Calibri"/>
                <w:b/>
                <w:sz w:val="22"/>
              </w:rPr>
              <w:t>Total Monetised  Benefit</w:t>
            </w:r>
          </w:p>
        </w:tc>
        <w:tc>
          <w:tcPr>
            <w:tcW w:w="4394" w:type="dxa"/>
            <w:shd w:val="clear" w:color="auto" w:fill="auto"/>
          </w:tcPr>
          <w:p w14:paraId="4A0ED95F" w14:textId="17044826" w:rsidR="00380585" w:rsidRPr="0069218C" w:rsidRDefault="00CB3173" w:rsidP="002127DC">
            <w:pPr>
              <w:pStyle w:val="TableText"/>
              <w:rPr>
                <w:rFonts w:eastAsia="Calibri"/>
                <w:sz w:val="22"/>
              </w:rPr>
            </w:pPr>
            <w:r>
              <w:rPr>
                <w:rFonts w:eastAsia="Calibri"/>
                <w:sz w:val="22"/>
              </w:rPr>
              <w:t>None.</w:t>
            </w:r>
          </w:p>
        </w:tc>
        <w:tc>
          <w:tcPr>
            <w:tcW w:w="2585" w:type="dxa"/>
            <w:shd w:val="clear" w:color="auto" w:fill="auto"/>
          </w:tcPr>
          <w:p w14:paraId="36B5F82A" w14:textId="6F2C0380" w:rsidR="00380585" w:rsidRPr="00CB3173" w:rsidRDefault="00CB3173" w:rsidP="002127DC">
            <w:pPr>
              <w:pStyle w:val="TableText"/>
              <w:rPr>
                <w:rFonts w:eastAsia="Calibri"/>
                <w:sz w:val="22"/>
              </w:rPr>
            </w:pPr>
            <w:r w:rsidRPr="00CB3173">
              <w:rPr>
                <w:rFonts w:eastAsia="Calibri"/>
                <w:sz w:val="22"/>
              </w:rPr>
              <w:t>Not applicable.</w:t>
            </w:r>
          </w:p>
        </w:tc>
      </w:tr>
      <w:tr w:rsidR="00380585" w:rsidRPr="0069218C" w14:paraId="4A17A07A" w14:textId="77777777" w:rsidTr="00BB4EA2">
        <w:trPr>
          <w:trHeight w:val="253"/>
        </w:trPr>
        <w:tc>
          <w:tcPr>
            <w:tcW w:w="2093" w:type="dxa"/>
            <w:shd w:val="clear" w:color="auto" w:fill="auto"/>
          </w:tcPr>
          <w:p w14:paraId="1C9A83D8" w14:textId="77777777" w:rsidR="00380585" w:rsidRPr="0069218C" w:rsidRDefault="00380585" w:rsidP="002127DC">
            <w:pPr>
              <w:pStyle w:val="TableText"/>
              <w:rPr>
                <w:rFonts w:eastAsia="Calibri"/>
                <w:b/>
                <w:sz w:val="22"/>
              </w:rPr>
            </w:pPr>
            <w:r w:rsidRPr="0069218C">
              <w:rPr>
                <w:rFonts w:eastAsia="Calibri"/>
                <w:b/>
                <w:sz w:val="22"/>
              </w:rPr>
              <w:t>Non-monetised benefits</w:t>
            </w:r>
          </w:p>
        </w:tc>
        <w:tc>
          <w:tcPr>
            <w:tcW w:w="4394" w:type="dxa"/>
            <w:shd w:val="clear" w:color="auto" w:fill="auto"/>
          </w:tcPr>
          <w:p w14:paraId="6EC0B707" w14:textId="0D0A4E94" w:rsidR="00380585" w:rsidRPr="0069218C" w:rsidRDefault="00400BBB" w:rsidP="002127DC">
            <w:pPr>
              <w:pStyle w:val="TableText"/>
              <w:rPr>
                <w:rFonts w:eastAsia="Calibri"/>
                <w:sz w:val="22"/>
              </w:rPr>
            </w:pPr>
            <w:r>
              <w:rPr>
                <w:rFonts w:eastAsia="Calibri"/>
                <w:sz w:val="22"/>
              </w:rPr>
              <w:t>As above, the proposals would remove the tax incentive for the international transporter to also undertake the domestic leg. This could result in an uplift in business for domestic carriers.</w:t>
            </w:r>
          </w:p>
        </w:tc>
        <w:tc>
          <w:tcPr>
            <w:tcW w:w="2585" w:type="dxa"/>
            <w:shd w:val="clear" w:color="auto" w:fill="auto"/>
          </w:tcPr>
          <w:p w14:paraId="723A8545" w14:textId="0E313111" w:rsidR="00380585" w:rsidRPr="00E62373" w:rsidRDefault="00CA5203" w:rsidP="002127DC">
            <w:pPr>
              <w:pStyle w:val="TableText"/>
              <w:rPr>
                <w:rFonts w:eastAsia="Calibri"/>
                <w:i/>
                <w:sz w:val="22"/>
              </w:rPr>
            </w:pPr>
            <w:r>
              <w:rPr>
                <w:rFonts w:eastAsia="Calibri"/>
                <w:i/>
                <w:sz w:val="22"/>
              </w:rPr>
              <w:t>Medium</w:t>
            </w:r>
          </w:p>
        </w:tc>
      </w:tr>
    </w:tbl>
    <w:tbl>
      <w:tblPr>
        <w:tblpPr w:leftFromText="180" w:rightFromText="180" w:vertAnchor="text" w:horzAnchor="margin" w:tblpX="137" w:tblpY="1461"/>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60"/>
      </w:tblGrid>
      <w:tr w:rsidR="00A80BF5" w:rsidRPr="0069218C" w14:paraId="3E72E78D" w14:textId="77777777" w:rsidTr="00A80BF5">
        <w:trPr>
          <w:trHeight w:val="77"/>
        </w:trPr>
        <w:tc>
          <w:tcPr>
            <w:tcW w:w="5000" w:type="pct"/>
            <w:shd w:val="clear" w:color="auto" w:fill="99CDDD"/>
            <w:hideMark/>
          </w:tcPr>
          <w:p w14:paraId="2DFC2DB9" w14:textId="77777777" w:rsidR="00A80BF5" w:rsidRPr="00886DFF" w:rsidRDefault="00A80BF5" w:rsidP="00A80BF5">
            <w:pPr>
              <w:pStyle w:val="TableHeadings"/>
              <w:rPr>
                <w:szCs w:val="22"/>
                <w:lang w:val="en-NZ"/>
              </w:rPr>
            </w:pPr>
            <w:r w:rsidRPr="00886DFF">
              <w:rPr>
                <w:szCs w:val="22"/>
                <w:lang w:val="en-NZ"/>
              </w:rPr>
              <w:t>4.2   What other impacts is this approach likely to have?</w:t>
            </w:r>
          </w:p>
        </w:tc>
      </w:tr>
      <w:tr w:rsidR="00A80BF5" w:rsidRPr="0069218C" w14:paraId="36C7ECDB" w14:textId="77777777" w:rsidTr="00A80BF5">
        <w:trPr>
          <w:trHeight w:val="620"/>
        </w:trPr>
        <w:tc>
          <w:tcPr>
            <w:tcW w:w="5000" w:type="pct"/>
            <w:shd w:val="clear" w:color="auto" w:fill="auto"/>
          </w:tcPr>
          <w:p w14:paraId="5929E1CA" w14:textId="77777777" w:rsidR="00A80BF5" w:rsidRPr="0069218C" w:rsidRDefault="00A80BF5" w:rsidP="00A80BF5">
            <w:pPr>
              <w:rPr>
                <w:rFonts w:cs="Arial"/>
                <w:szCs w:val="22"/>
              </w:rPr>
            </w:pPr>
            <w:r>
              <w:rPr>
                <w:rFonts w:cs="Arial"/>
                <w:szCs w:val="22"/>
              </w:rPr>
              <w:t xml:space="preserve">There are unlikely to be any further material impacts of this approach. </w:t>
            </w:r>
          </w:p>
        </w:tc>
      </w:tr>
    </w:tbl>
    <w:p w14:paraId="1185774B" w14:textId="3C55850E" w:rsidR="00C77099" w:rsidRPr="00886DFF" w:rsidRDefault="005744B1" w:rsidP="005744B1">
      <w:pPr>
        <w:rPr>
          <w:rFonts w:cs="Arial"/>
          <w:i/>
          <w:color w:val="000000"/>
          <w:szCs w:val="22"/>
          <w:lang w:eastAsia="en-AU"/>
        </w:rPr>
      </w:pPr>
      <w:r>
        <w:br w:type="page"/>
      </w:r>
    </w:p>
    <w:p w14:paraId="67094455" w14:textId="77777777" w:rsidR="00B15F56" w:rsidRPr="00886DFF" w:rsidRDefault="00B15F56" w:rsidP="00B15F56">
      <w:pPr>
        <w:spacing w:after="0"/>
        <w:rPr>
          <w:rFonts w:cs="Arial"/>
          <w:i/>
          <w:color w:val="000000"/>
          <w:szCs w:val="22"/>
          <w:lang w:eastAsia="en-AU"/>
        </w:rPr>
      </w:pPr>
    </w:p>
    <w:p w14:paraId="698F59C7" w14:textId="31375EB7" w:rsidR="00051A88" w:rsidRDefault="00051A88" w:rsidP="001B4792">
      <w:pPr>
        <w:pStyle w:val="Heading2"/>
      </w:pPr>
      <w:r w:rsidRPr="002D5734">
        <w:t xml:space="preserve">Section </w:t>
      </w:r>
      <w:r w:rsidR="00C77099">
        <w:t>5</w:t>
      </w:r>
      <w:r w:rsidRPr="002D5734">
        <w:t xml:space="preserve">: Stakeholder views </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051A88" w:rsidRPr="0069218C" w14:paraId="6E11335D" w14:textId="77777777" w:rsidTr="00BB4EA2">
        <w:trPr>
          <w:trHeight w:val="77"/>
        </w:trPr>
        <w:tc>
          <w:tcPr>
            <w:tcW w:w="5000" w:type="pct"/>
            <w:shd w:val="clear" w:color="auto" w:fill="99CDDD"/>
          </w:tcPr>
          <w:p w14:paraId="3B740C86" w14:textId="77777777" w:rsidR="00051A88" w:rsidRPr="00886DFF" w:rsidRDefault="00D9793F" w:rsidP="00EC6FAD">
            <w:pPr>
              <w:pStyle w:val="TableHeadings"/>
              <w:rPr>
                <w:szCs w:val="22"/>
              </w:rPr>
            </w:pPr>
            <w:r w:rsidRPr="00886DFF">
              <w:rPr>
                <w:szCs w:val="22"/>
              </w:rPr>
              <w:t>5</w:t>
            </w:r>
            <w:r w:rsidR="00051A88" w:rsidRPr="00886DFF">
              <w:rPr>
                <w:szCs w:val="22"/>
              </w:rPr>
              <w:t xml:space="preserve">.1   What do stakeholders think about the problem and the proposed solution? </w:t>
            </w:r>
          </w:p>
        </w:tc>
      </w:tr>
      <w:tr w:rsidR="00F132B2" w:rsidRPr="0069218C" w14:paraId="69C0C9E6" w14:textId="77777777" w:rsidTr="00BB4EA2">
        <w:trPr>
          <w:trHeight w:val="5298"/>
        </w:trPr>
        <w:tc>
          <w:tcPr>
            <w:tcW w:w="5000" w:type="pct"/>
            <w:shd w:val="clear" w:color="auto" w:fill="auto"/>
          </w:tcPr>
          <w:p w14:paraId="6DD72935" w14:textId="77777777" w:rsidR="001433A7" w:rsidRDefault="002214DA" w:rsidP="00E6054D">
            <w:pPr>
              <w:rPr>
                <w:b/>
                <w:bCs/>
              </w:rPr>
            </w:pPr>
            <w:r>
              <w:rPr>
                <w:b/>
                <w:bCs/>
              </w:rPr>
              <w:t>Who has been consulted?</w:t>
            </w:r>
          </w:p>
          <w:p w14:paraId="1691E745" w14:textId="56F771D7" w:rsidR="00F519AF" w:rsidRDefault="009F6E07" w:rsidP="00E6054D">
            <w:r>
              <w:t xml:space="preserve">This issue was consulted on as part of the release of the </w:t>
            </w:r>
            <w:r w:rsidR="00EE3D0B">
              <w:rPr>
                <w:i/>
                <w:iCs/>
              </w:rPr>
              <w:t>GST policy issues – an officials’ issues paper</w:t>
            </w:r>
            <w:r>
              <w:t>.</w:t>
            </w:r>
            <w:r w:rsidR="003F48C3">
              <w:t xml:space="preserve"> Inland Revenue received </w:t>
            </w:r>
            <w:r w:rsidR="00C67A86">
              <w:t>9 submissions on the domestic leg of the international transport of goods proposals.</w:t>
            </w:r>
          </w:p>
          <w:p w14:paraId="121D8993" w14:textId="0440E246" w:rsidR="006B0E84" w:rsidRDefault="006B0E84" w:rsidP="0069218C">
            <w:pPr>
              <w:spacing w:after="0" w:line="276" w:lineRule="auto"/>
              <w:jc w:val="both"/>
              <w:rPr>
                <w:rFonts w:cs="Arial"/>
                <w:szCs w:val="22"/>
              </w:rPr>
            </w:pPr>
            <w:r>
              <w:rPr>
                <w:rFonts w:cs="Arial"/>
                <w:b/>
                <w:bCs/>
                <w:szCs w:val="22"/>
              </w:rPr>
              <w:t>What was the nature of their interest?</w:t>
            </w:r>
          </w:p>
          <w:p w14:paraId="760AB95A" w14:textId="77777777" w:rsidR="00755F52" w:rsidRPr="00755F52" w:rsidRDefault="00755F52" w:rsidP="00755F52">
            <w:r w:rsidRPr="00755F52">
              <w:t xml:space="preserve">Submissions were generally positive of the proposed changes, with several submitters noting that it needs to be a clear and easily understood definition of what constitutes the international transport of goods, to ensure the new rules do not inadvertently add another layer of complexity. </w:t>
            </w:r>
          </w:p>
          <w:p w14:paraId="0ABC42ED" w14:textId="1451E3E7" w:rsidR="00212AD9" w:rsidRPr="001433A7" w:rsidRDefault="00755F52" w:rsidP="001433A7">
            <w:r w:rsidRPr="00755F52">
              <w:t xml:space="preserve">Several submitters noted their preference for the </w:t>
            </w:r>
            <w:proofErr w:type="gramStart"/>
            <w:r w:rsidRPr="00755F52">
              <w:t>zero rating</w:t>
            </w:r>
            <w:proofErr w:type="gramEnd"/>
            <w:r w:rsidRPr="00755F52">
              <w:t xml:space="preserve"> treatment to be on all domestic transport services where they relate to an international transport service, instead of relying on the tax residency of the primary transport supplier. This approach would remove complexity in determining the correct GST treatment of the transport service. </w:t>
            </w:r>
          </w:p>
          <w:p w14:paraId="0EEC3B4A" w14:textId="4835479C" w:rsidR="00212AD9" w:rsidRDefault="00212AD9" w:rsidP="0069218C">
            <w:pPr>
              <w:spacing w:after="0" w:line="276" w:lineRule="auto"/>
              <w:jc w:val="both"/>
              <w:rPr>
                <w:rFonts w:cs="Arial"/>
                <w:szCs w:val="22"/>
              </w:rPr>
            </w:pPr>
            <w:r>
              <w:rPr>
                <w:rFonts w:cs="Arial"/>
                <w:b/>
                <w:bCs/>
                <w:szCs w:val="22"/>
              </w:rPr>
              <w:t>Do they agree with your analysis of the problem and its causes?</w:t>
            </w:r>
          </w:p>
          <w:p w14:paraId="23EB2E36" w14:textId="77777777" w:rsidR="00212AD9" w:rsidRDefault="00D7274A" w:rsidP="0069218C">
            <w:pPr>
              <w:spacing w:after="0" w:line="276" w:lineRule="auto"/>
              <w:jc w:val="both"/>
              <w:rPr>
                <w:rFonts w:cs="Arial"/>
                <w:szCs w:val="22"/>
              </w:rPr>
            </w:pPr>
            <w:r>
              <w:rPr>
                <w:rFonts w:cs="Arial"/>
                <w:szCs w:val="22"/>
              </w:rPr>
              <w:t>Yes.</w:t>
            </w:r>
            <w:r w:rsidR="002367EE">
              <w:rPr>
                <w:rFonts w:cs="Arial"/>
                <w:szCs w:val="22"/>
              </w:rPr>
              <w:t xml:space="preserve"> The submissions received on this issue in the GST issues paper outlined </w:t>
            </w:r>
            <w:r w:rsidR="005B5970">
              <w:rPr>
                <w:rFonts w:cs="Arial"/>
                <w:szCs w:val="22"/>
              </w:rPr>
              <w:t>similar concerns to what has been discussed in this RIA (see above and in the pros and cons section of the discussion options).</w:t>
            </w:r>
          </w:p>
          <w:p w14:paraId="2EBC2320" w14:textId="77777777" w:rsidR="005B5970" w:rsidRDefault="005B5970" w:rsidP="0069218C">
            <w:pPr>
              <w:spacing w:after="0" w:line="276" w:lineRule="auto"/>
              <w:jc w:val="both"/>
              <w:rPr>
                <w:rFonts w:cs="Arial"/>
                <w:szCs w:val="22"/>
              </w:rPr>
            </w:pPr>
          </w:p>
          <w:p w14:paraId="029C471D" w14:textId="7C25EFAD" w:rsidR="005B5970" w:rsidRDefault="005B5970" w:rsidP="005B5970">
            <w:pPr>
              <w:pStyle w:val="Bullet-list"/>
              <w:numPr>
                <w:ilvl w:val="0"/>
                <w:numId w:val="0"/>
              </w:numPr>
              <w:ind w:left="284" w:hanging="284"/>
              <w:rPr>
                <w:b/>
                <w:bCs/>
                <w:i w:val="0"/>
                <w:iCs/>
              </w:rPr>
            </w:pPr>
            <w:r w:rsidRPr="005B5970">
              <w:rPr>
                <w:b/>
                <w:bCs/>
              </w:rPr>
              <w:t>Do they agree with your proposed approach?</w:t>
            </w:r>
          </w:p>
          <w:p w14:paraId="55DA56C8" w14:textId="48975C63" w:rsidR="005D31E9" w:rsidRDefault="00DC629A" w:rsidP="001433A7">
            <w:pPr>
              <w:spacing w:after="0" w:line="276" w:lineRule="auto"/>
              <w:jc w:val="both"/>
              <w:rPr>
                <w:rFonts w:cs="Arial"/>
                <w:szCs w:val="22"/>
              </w:rPr>
            </w:pPr>
            <w:r w:rsidRPr="001433A7">
              <w:rPr>
                <w:rFonts w:cs="Arial"/>
                <w:szCs w:val="22"/>
              </w:rPr>
              <w:t xml:space="preserve">Submitters preferred a broad zero-rating rule </w:t>
            </w:r>
            <w:r w:rsidR="00AD780E" w:rsidRPr="001433A7">
              <w:rPr>
                <w:rFonts w:cs="Arial"/>
                <w:szCs w:val="22"/>
              </w:rPr>
              <w:t>and this is the approach we are</w:t>
            </w:r>
            <w:r w:rsidR="001433A7" w:rsidRPr="001433A7">
              <w:rPr>
                <w:rFonts w:cs="Arial"/>
                <w:szCs w:val="22"/>
              </w:rPr>
              <w:t xml:space="preserve"> </w:t>
            </w:r>
            <w:r w:rsidR="00AD780E" w:rsidRPr="001433A7">
              <w:rPr>
                <w:rFonts w:cs="Arial"/>
                <w:szCs w:val="22"/>
              </w:rPr>
              <w:t xml:space="preserve">implementing (see option </w:t>
            </w:r>
            <w:r w:rsidR="0058640A">
              <w:rPr>
                <w:rFonts w:cs="Arial"/>
                <w:szCs w:val="22"/>
              </w:rPr>
              <w:t>3</w:t>
            </w:r>
            <w:r w:rsidR="00AD780E" w:rsidRPr="001433A7">
              <w:rPr>
                <w:rFonts w:cs="Arial"/>
                <w:szCs w:val="22"/>
              </w:rPr>
              <w:t>).</w:t>
            </w:r>
          </w:p>
          <w:p w14:paraId="39D12DFA" w14:textId="77777777" w:rsidR="001433A7" w:rsidRPr="001433A7" w:rsidRDefault="001433A7" w:rsidP="001433A7">
            <w:pPr>
              <w:spacing w:after="0" w:line="276" w:lineRule="auto"/>
              <w:jc w:val="both"/>
              <w:rPr>
                <w:rFonts w:cs="Arial"/>
                <w:szCs w:val="22"/>
              </w:rPr>
            </w:pPr>
          </w:p>
          <w:p w14:paraId="1B46ACF9" w14:textId="77777777" w:rsidR="005D31E9" w:rsidRDefault="005D31E9" w:rsidP="0069218C">
            <w:pPr>
              <w:spacing w:after="0" w:line="276" w:lineRule="auto"/>
              <w:jc w:val="both"/>
              <w:rPr>
                <w:b/>
                <w:bCs/>
              </w:rPr>
            </w:pPr>
            <w:r w:rsidRPr="005D31E9">
              <w:rPr>
                <w:b/>
                <w:bCs/>
              </w:rPr>
              <w:t>Has your proposed approach been modified as a result of stakeholder feedback?</w:t>
            </w:r>
          </w:p>
          <w:p w14:paraId="285CDA57" w14:textId="3263B16E" w:rsidR="005D31E9" w:rsidRDefault="005D31E9" w:rsidP="0069218C">
            <w:pPr>
              <w:spacing w:after="0" w:line="276" w:lineRule="auto"/>
              <w:jc w:val="both"/>
              <w:rPr>
                <w:rFonts w:cs="Arial"/>
                <w:b/>
                <w:bCs/>
                <w:szCs w:val="22"/>
              </w:rPr>
            </w:pPr>
          </w:p>
          <w:p w14:paraId="02BBAA9D" w14:textId="77777777" w:rsidR="001433A7" w:rsidRDefault="00AD780E" w:rsidP="00BF32C4">
            <w:pPr>
              <w:spacing w:after="0" w:line="276" w:lineRule="auto"/>
              <w:jc w:val="both"/>
              <w:rPr>
                <w:rFonts w:cs="Arial"/>
                <w:szCs w:val="22"/>
              </w:rPr>
            </w:pPr>
            <w:r>
              <w:rPr>
                <w:rFonts w:cs="Arial"/>
                <w:szCs w:val="22"/>
              </w:rPr>
              <w:t xml:space="preserve">Yes. When </w:t>
            </w:r>
            <w:r w:rsidR="001433A7">
              <w:rPr>
                <w:rFonts w:cs="Arial"/>
                <w:szCs w:val="22"/>
              </w:rPr>
              <w:t>officials</w:t>
            </w:r>
            <w:r>
              <w:rPr>
                <w:rFonts w:cs="Arial"/>
                <w:szCs w:val="22"/>
              </w:rPr>
              <w:t xml:space="preserve"> initially consulted on this </w:t>
            </w:r>
            <w:r w:rsidR="0093548A">
              <w:rPr>
                <w:rFonts w:cs="Arial"/>
                <w:szCs w:val="22"/>
              </w:rPr>
              <w:t xml:space="preserve">in the issues </w:t>
            </w:r>
            <w:proofErr w:type="gramStart"/>
            <w:r w:rsidR="0093548A">
              <w:rPr>
                <w:rFonts w:cs="Arial"/>
                <w:szCs w:val="22"/>
              </w:rPr>
              <w:t>paper</w:t>
            </w:r>
            <w:proofErr w:type="gramEnd"/>
            <w:r w:rsidR="0093548A">
              <w:rPr>
                <w:rFonts w:cs="Arial"/>
                <w:szCs w:val="22"/>
              </w:rPr>
              <w:t xml:space="preserve"> we proposed</w:t>
            </w:r>
            <w:r w:rsidR="00B41882">
              <w:rPr>
                <w:rFonts w:cs="Arial"/>
                <w:szCs w:val="22"/>
              </w:rPr>
              <w:t xml:space="preserve"> allowing domestic transport services to be zero-rated only if supplied to a non-resident. The issues paper posed a question to submitters as to whether this rule should be extended more broadly to all domestic transport services supplied</w:t>
            </w:r>
            <w:r w:rsidR="002153E5">
              <w:rPr>
                <w:rFonts w:cs="Arial"/>
                <w:szCs w:val="22"/>
              </w:rPr>
              <w:t xml:space="preserve"> as part of the international transport of goods, regardless of the residency of the primary transport supplier.</w:t>
            </w:r>
            <w:r w:rsidR="001433A7">
              <w:rPr>
                <w:rFonts w:cs="Arial"/>
                <w:szCs w:val="22"/>
              </w:rPr>
              <w:t xml:space="preserve"> </w:t>
            </w:r>
          </w:p>
          <w:p w14:paraId="2CCA1A26" w14:textId="77777777" w:rsidR="00AD780E" w:rsidRDefault="00BF32C4" w:rsidP="00BF32C4">
            <w:pPr>
              <w:spacing w:after="0" w:line="276" w:lineRule="auto"/>
              <w:jc w:val="both"/>
              <w:rPr>
                <w:rFonts w:cs="Arial"/>
                <w:szCs w:val="22"/>
              </w:rPr>
            </w:pPr>
            <w:r>
              <w:rPr>
                <w:rFonts w:cs="Arial"/>
                <w:szCs w:val="22"/>
              </w:rPr>
              <w:t xml:space="preserve">Submitters supported the broader approach. Having considered this issue in greater detail </w:t>
            </w:r>
            <w:r w:rsidR="001433A7">
              <w:rPr>
                <w:rFonts w:cs="Arial"/>
                <w:szCs w:val="22"/>
              </w:rPr>
              <w:t>officials</w:t>
            </w:r>
            <w:r>
              <w:rPr>
                <w:rFonts w:cs="Arial"/>
                <w:szCs w:val="22"/>
              </w:rPr>
              <w:t xml:space="preserve"> have now opted </w:t>
            </w:r>
            <w:r w:rsidR="001433A7">
              <w:rPr>
                <w:rFonts w:cs="Arial"/>
                <w:szCs w:val="22"/>
              </w:rPr>
              <w:t>to recommend</w:t>
            </w:r>
            <w:r>
              <w:rPr>
                <w:rFonts w:cs="Arial"/>
                <w:szCs w:val="22"/>
              </w:rPr>
              <w:t xml:space="preserve"> the broader solution.</w:t>
            </w:r>
          </w:p>
          <w:p w14:paraId="53FB4632" w14:textId="78BAAEA0" w:rsidR="00A80BF5" w:rsidRPr="00BF32C4" w:rsidRDefault="00A80BF5" w:rsidP="00BF32C4">
            <w:pPr>
              <w:spacing w:after="0" w:line="276" w:lineRule="auto"/>
              <w:jc w:val="both"/>
              <w:rPr>
                <w:rFonts w:cs="Arial"/>
                <w:szCs w:val="22"/>
              </w:rPr>
            </w:pPr>
          </w:p>
        </w:tc>
      </w:tr>
    </w:tbl>
    <w:p w14:paraId="240E5F50" w14:textId="508C638A" w:rsidR="00EE4E3B" w:rsidRPr="008A6442" w:rsidRDefault="00D9793F" w:rsidP="001B4792">
      <w:pPr>
        <w:pStyle w:val="Heading2"/>
      </w:pPr>
      <w:r w:rsidRPr="0069218C">
        <w:rPr>
          <w:lang w:val="en-NZ"/>
        </w:rPr>
        <w:br w:type="page"/>
      </w:r>
      <w:r w:rsidR="00EE4E3B" w:rsidRPr="002D5734">
        <w:t xml:space="preserve">Section </w:t>
      </w:r>
      <w:r w:rsidR="0033708B" w:rsidRPr="002D5734">
        <w:t>6</w:t>
      </w:r>
      <w:r w:rsidR="00EE4E3B" w:rsidRPr="002D5734">
        <w:t xml:space="preserve">: </w:t>
      </w:r>
      <w:r w:rsidR="0033708B" w:rsidRPr="002D5734">
        <w:t>Implementation and o</w:t>
      </w:r>
      <w:r w:rsidR="005D5BF0" w:rsidRPr="002D5734">
        <w:t xml:space="preserve">peration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2D5734" w:rsidRPr="0069218C" w14:paraId="6BF52C29" w14:textId="77777777" w:rsidTr="00BB4EA2">
        <w:trPr>
          <w:trHeight w:val="197"/>
        </w:trPr>
        <w:tc>
          <w:tcPr>
            <w:tcW w:w="9072" w:type="dxa"/>
            <w:shd w:val="clear" w:color="auto" w:fill="99CDDD"/>
            <w:hideMark/>
          </w:tcPr>
          <w:p w14:paraId="566B42F9" w14:textId="77777777" w:rsidR="00EE4E3B" w:rsidRPr="00886DFF" w:rsidRDefault="00EE4E3B" w:rsidP="00B952B7">
            <w:pPr>
              <w:pStyle w:val="TableHeadings"/>
              <w:rPr>
                <w:szCs w:val="22"/>
                <w:lang w:eastAsia="en-AU"/>
              </w:rPr>
            </w:pPr>
            <w:r w:rsidRPr="00886DFF">
              <w:rPr>
                <w:szCs w:val="22"/>
                <w:lang w:eastAsia="en-AU"/>
              </w:rPr>
              <w:br w:type="page"/>
            </w:r>
            <w:r w:rsidR="0033708B" w:rsidRPr="00886DFF">
              <w:rPr>
                <w:szCs w:val="22"/>
                <w:lang w:eastAsia="en-AU"/>
              </w:rPr>
              <w:t>6</w:t>
            </w:r>
            <w:r w:rsidR="002A56F0" w:rsidRPr="00886DFF">
              <w:rPr>
                <w:szCs w:val="22"/>
                <w:lang w:eastAsia="en-AU"/>
              </w:rPr>
              <w:t xml:space="preserve">.1   </w:t>
            </w:r>
            <w:r w:rsidRPr="00886DFF">
              <w:rPr>
                <w:szCs w:val="22"/>
                <w:lang w:eastAsia="en-AU"/>
              </w:rPr>
              <w:t xml:space="preserve">How will the new arrangements </w:t>
            </w:r>
            <w:r w:rsidR="00217894" w:rsidRPr="00886DFF">
              <w:rPr>
                <w:szCs w:val="22"/>
                <w:lang w:eastAsia="en-AU"/>
              </w:rPr>
              <w:t>be given effect</w:t>
            </w:r>
            <w:r w:rsidRPr="00886DFF">
              <w:rPr>
                <w:szCs w:val="22"/>
                <w:lang w:eastAsia="en-AU"/>
              </w:rPr>
              <w:t>?</w:t>
            </w:r>
          </w:p>
        </w:tc>
      </w:tr>
      <w:tr w:rsidR="00F132B2" w:rsidRPr="0069218C" w14:paraId="2D716B3F" w14:textId="77777777" w:rsidTr="00A80BF5">
        <w:trPr>
          <w:trHeight w:val="4397"/>
        </w:trPr>
        <w:tc>
          <w:tcPr>
            <w:tcW w:w="9072" w:type="dxa"/>
            <w:shd w:val="clear" w:color="auto" w:fill="auto"/>
          </w:tcPr>
          <w:p w14:paraId="7ED47885" w14:textId="6DC56559" w:rsidR="00666B40" w:rsidRDefault="00DE71F4" w:rsidP="00B74056">
            <w:r>
              <w:t xml:space="preserve">An amendment will be required to the Goods and Services Tax Act 1985 to give effect to this proposal. This could be included in the next available omnibus tax bill </w:t>
            </w:r>
            <w:r w:rsidR="001433A7">
              <w:t>(</w:t>
            </w:r>
            <w:r>
              <w:t xml:space="preserve">expected to be introduced in </w:t>
            </w:r>
            <w:r w:rsidR="00E81EEC">
              <w:t xml:space="preserve">August </w:t>
            </w:r>
            <w:r>
              <w:t>2021</w:t>
            </w:r>
            <w:r w:rsidR="001433A7">
              <w:t>)</w:t>
            </w:r>
            <w:r>
              <w:t>.</w:t>
            </w:r>
          </w:p>
          <w:p w14:paraId="238DB427" w14:textId="38B9FC19" w:rsidR="00F24204" w:rsidRDefault="00F24204" w:rsidP="00F24204">
            <w:r>
              <w:t xml:space="preserve">Guidance materials to explain how the amendments would operate will be published when the bill is introduced, in response to submissions raised with Select Committee and after the bill is enacted </w:t>
            </w:r>
            <w:r w:rsidR="001433A7">
              <w:t>(</w:t>
            </w:r>
            <w:r>
              <w:t xml:space="preserve">by way of </w:t>
            </w:r>
            <w:r w:rsidR="001433A7">
              <w:t xml:space="preserve">inclusion in a </w:t>
            </w:r>
            <w:r>
              <w:t>Tax Information Bulletin</w:t>
            </w:r>
            <w:r w:rsidR="001433A7">
              <w:t>)</w:t>
            </w:r>
            <w:r>
              <w:t>.</w:t>
            </w:r>
          </w:p>
          <w:p w14:paraId="0E4502FB" w14:textId="52092F1C" w:rsidR="00F24204" w:rsidRDefault="00A14071" w:rsidP="00F24204">
            <w:r>
              <w:t>T</w:t>
            </w:r>
            <w:r w:rsidR="00F24204">
              <w:t>he proposals have been subject to consultation via a GST issues paper and would be subject to the standard legislative process. It therefore follows that there will be sufficient time for people to react to and understand the changes (which it is noted are simple in nature).</w:t>
            </w:r>
          </w:p>
          <w:p w14:paraId="21A0B5F6" w14:textId="417D1A45" w:rsidR="00A80BF5" w:rsidRPr="00A80BF5" w:rsidRDefault="003E2FF9" w:rsidP="003E2FF9">
            <w:r>
              <w:t xml:space="preserve">As these changes </w:t>
            </w:r>
            <w:r w:rsidR="009113C0">
              <w:t xml:space="preserve">generally </w:t>
            </w:r>
            <w:r w:rsidR="009113C0" w:rsidRPr="009113C0">
              <w:t xml:space="preserve">align with existing taxpayer practices </w:t>
            </w:r>
            <w:r>
              <w:t xml:space="preserve">there </w:t>
            </w:r>
            <w:r w:rsidR="009113C0">
              <w:t>are</w:t>
            </w:r>
            <w:r>
              <w:t xml:space="preserve"> unlikely to be any significant implementation risks.</w:t>
            </w:r>
          </w:p>
        </w:tc>
      </w:tr>
    </w:tbl>
    <w:p w14:paraId="6E35A759" w14:textId="77777777" w:rsidR="00A80BF5" w:rsidRDefault="00A80BF5" w:rsidP="00A80BF5">
      <w:pPr>
        <w:pStyle w:val="Heading2"/>
      </w:pPr>
    </w:p>
    <w:p w14:paraId="6F734D87" w14:textId="61BB6C46" w:rsidR="00A80BF5" w:rsidRPr="008A6442" w:rsidRDefault="00A80BF5" w:rsidP="00A80BF5">
      <w:pPr>
        <w:pStyle w:val="Heading2"/>
      </w:pPr>
      <w:r w:rsidRPr="00B952B7">
        <w:t xml:space="preserve">Section 7: Monitoring, </w:t>
      </w:r>
      <w:proofErr w:type="gramStart"/>
      <w:r w:rsidRPr="00030EC1">
        <w:t>evalu</w:t>
      </w:r>
      <w:r w:rsidRPr="00B952B7">
        <w:t>ation</w:t>
      </w:r>
      <w:proofErr w:type="gramEnd"/>
      <w:r w:rsidRPr="00B952B7">
        <w:t xml:space="preserve"> and review</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A80BF5" w:rsidRPr="0069218C" w14:paraId="7617EB90" w14:textId="77777777" w:rsidTr="0088596C">
        <w:trPr>
          <w:trHeight w:val="77"/>
        </w:trPr>
        <w:tc>
          <w:tcPr>
            <w:tcW w:w="9072" w:type="dxa"/>
            <w:shd w:val="clear" w:color="auto" w:fill="99CDDD"/>
          </w:tcPr>
          <w:p w14:paraId="35721EE4" w14:textId="77777777" w:rsidR="00A80BF5" w:rsidRPr="00886DFF" w:rsidRDefault="00A80BF5" w:rsidP="0088596C">
            <w:pPr>
              <w:pStyle w:val="TableHeadings"/>
              <w:rPr>
                <w:szCs w:val="22"/>
                <w:lang w:eastAsia="en-AU"/>
              </w:rPr>
            </w:pPr>
            <w:r w:rsidRPr="00886DFF">
              <w:rPr>
                <w:szCs w:val="22"/>
                <w:lang w:eastAsia="en-AU"/>
              </w:rPr>
              <w:br w:type="page"/>
              <w:t>7.1   How will the impact of the new arrangements be monitored?</w:t>
            </w:r>
          </w:p>
        </w:tc>
      </w:tr>
      <w:tr w:rsidR="00A80BF5" w:rsidRPr="0069218C" w14:paraId="18738C99" w14:textId="77777777" w:rsidTr="0088596C">
        <w:trPr>
          <w:trHeight w:val="2936"/>
        </w:trPr>
        <w:tc>
          <w:tcPr>
            <w:tcW w:w="9072" w:type="dxa"/>
            <w:shd w:val="clear" w:color="auto" w:fill="auto"/>
          </w:tcPr>
          <w:p w14:paraId="0EB4F23F" w14:textId="77777777" w:rsidR="00A80BF5" w:rsidRDefault="00A80BF5" w:rsidP="0088596C">
            <w:r>
              <w:t>We will continue to engage with submitters and other stakeholders to ensure the rules are operating correctly and to determine whether any remedials or further changes are required. As the proposal is taxpayer friendly, compliance will be voluntary and enforcement/extensive monitoring is not necessary.</w:t>
            </w:r>
          </w:p>
          <w:p w14:paraId="4EBE02F9" w14:textId="77777777" w:rsidR="00A80BF5" w:rsidRDefault="00A80BF5" w:rsidP="0088596C"/>
          <w:p w14:paraId="6A84EB1D" w14:textId="77777777" w:rsidR="00A80BF5" w:rsidRDefault="00A80BF5" w:rsidP="0088596C">
            <w:r>
              <w:t xml:space="preserve"> </w:t>
            </w:r>
          </w:p>
          <w:p w14:paraId="083C9D84" w14:textId="77777777" w:rsidR="00A80BF5" w:rsidRPr="0069218C" w:rsidRDefault="00A80BF5" w:rsidP="0088596C">
            <w:pPr>
              <w:rPr>
                <w:rFonts w:cs="Arial"/>
                <w:szCs w:val="22"/>
              </w:rPr>
            </w:pPr>
          </w:p>
        </w:tc>
      </w:tr>
    </w:tbl>
    <w:p w14:paraId="23E5938A" w14:textId="77777777" w:rsidR="00A80BF5" w:rsidRPr="00567434" w:rsidRDefault="00A80BF5" w:rsidP="00A80BF5">
      <w:pPr>
        <w:pStyle w:val="space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A80BF5" w:rsidRPr="0069218C" w14:paraId="460CE7DA" w14:textId="77777777" w:rsidTr="0088596C">
        <w:trPr>
          <w:trHeight w:val="77"/>
        </w:trPr>
        <w:tc>
          <w:tcPr>
            <w:tcW w:w="9072" w:type="dxa"/>
            <w:shd w:val="clear" w:color="auto" w:fill="99CDDD"/>
          </w:tcPr>
          <w:p w14:paraId="3959D353" w14:textId="77777777" w:rsidR="00A80BF5" w:rsidRPr="00886DFF" w:rsidRDefault="00A80BF5" w:rsidP="0088596C">
            <w:pPr>
              <w:pStyle w:val="TableHeadings"/>
              <w:keepNext/>
              <w:rPr>
                <w:szCs w:val="22"/>
                <w:lang w:eastAsia="en-AU"/>
              </w:rPr>
            </w:pPr>
            <w:r w:rsidRPr="00886DFF">
              <w:rPr>
                <w:szCs w:val="22"/>
                <w:lang w:eastAsia="en-AU"/>
              </w:rPr>
              <w:br w:type="page"/>
              <w:t xml:space="preserve">7.2   When and how will the new arrangements be reviewed? </w:t>
            </w:r>
          </w:p>
        </w:tc>
      </w:tr>
      <w:tr w:rsidR="00A80BF5" w:rsidRPr="0069218C" w14:paraId="70801F75" w14:textId="77777777" w:rsidTr="0088596C">
        <w:trPr>
          <w:trHeight w:val="3677"/>
        </w:trPr>
        <w:tc>
          <w:tcPr>
            <w:tcW w:w="9072" w:type="dxa"/>
            <w:shd w:val="clear" w:color="auto" w:fill="auto"/>
          </w:tcPr>
          <w:p w14:paraId="782761B8" w14:textId="77777777" w:rsidR="00A80BF5" w:rsidRDefault="00A80BF5" w:rsidP="0088596C">
            <w:pPr>
              <w:spacing w:after="0" w:line="276" w:lineRule="auto"/>
              <w:jc w:val="both"/>
              <w:rPr>
                <w:rFonts w:cs="Arial"/>
                <w:szCs w:val="22"/>
              </w:rPr>
            </w:pPr>
            <w:r>
              <w:rPr>
                <w:rFonts w:cs="Arial"/>
                <w:szCs w:val="22"/>
              </w:rPr>
              <w:t>There are no plans to review these changes. This is because the changes are taxpayer friendly and therefore compliance will be voluntary. That said, we will continue to engage with submitters to ensure the proposals deliver the desired outcome in terms of improved efficiency and a reduction in compliance costs.</w:t>
            </w:r>
          </w:p>
          <w:p w14:paraId="19DCD3A5" w14:textId="77777777" w:rsidR="00A80BF5" w:rsidRDefault="00A80BF5" w:rsidP="0088596C">
            <w:pPr>
              <w:spacing w:after="0" w:line="276" w:lineRule="auto"/>
              <w:jc w:val="both"/>
              <w:rPr>
                <w:rFonts w:cs="Arial"/>
                <w:szCs w:val="22"/>
              </w:rPr>
            </w:pPr>
          </w:p>
          <w:p w14:paraId="47B027E6" w14:textId="77777777" w:rsidR="00A80BF5" w:rsidRPr="0069218C" w:rsidRDefault="00A80BF5" w:rsidP="0088596C">
            <w:pPr>
              <w:spacing w:after="0" w:line="276" w:lineRule="auto"/>
              <w:jc w:val="both"/>
              <w:rPr>
                <w:rFonts w:cs="Arial"/>
                <w:szCs w:val="22"/>
              </w:rPr>
            </w:pPr>
            <w:r>
              <w:rPr>
                <w:rFonts w:cs="Arial"/>
                <w:szCs w:val="22"/>
              </w:rPr>
              <w:t>As officials have developed relationships with stakeholders throughout consultation on the issues paper, this engagement channel is open to stakeholders should they wish to provide feedback on the legislation.</w:t>
            </w:r>
          </w:p>
          <w:p w14:paraId="4BF77CEB" w14:textId="77777777" w:rsidR="00A80BF5" w:rsidRPr="0069218C" w:rsidRDefault="00A80BF5" w:rsidP="0088596C">
            <w:pPr>
              <w:spacing w:after="0" w:line="276" w:lineRule="auto"/>
              <w:jc w:val="both"/>
              <w:rPr>
                <w:rFonts w:cs="Arial"/>
                <w:szCs w:val="22"/>
              </w:rPr>
            </w:pPr>
          </w:p>
        </w:tc>
      </w:tr>
    </w:tbl>
    <w:p w14:paraId="0D165C3B" w14:textId="12A89EA0" w:rsidR="00C2708A" w:rsidRPr="00B47208" w:rsidRDefault="00C2708A" w:rsidP="00A80BF5">
      <w:pPr>
        <w:pStyle w:val="Heading2"/>
      </w:pPr>
    </w:p>
    <w:sectPr w:rsidR="00C2708A" w:rsidRPr="00B47208" w:rsidSect="00B952B7">
      <w:headerReference w:type="default" r:id="rId7"/>
      <w:footerReference w:type="default" r:id="rId8"/>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580B" w14:textId="77777777" w:rsidR="006B396B" w:rsidRDefault="006B396B">
      <w:pPr>
        <w:spacing w:after="0" w:line="240" w:lineRule="auto"/>
      </w:pPr>
      <w:r>
        <w:separator/>
      </w:r>
    </w:p>
  </w:endnote>
  <w:endnote w:type="continuationSeparator" w:id="0">
    <w:p w14:paraId="4F0FBC41" w14:textId="77777777" w:rsidR="006B396B" w:rsidRDefault="006B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9442" w14:textId="5C6C5FD7" w:rsidR="00784C66" w:rsidRPr="00957BC2" w:rsidRDefault="002127DC" w:rsidP="002127DC">
    <w:pPr>
      <w:pStyle w:val="Footer"/>
    </w:pPr>
    <w:r>
      <w:rPr>
        <w:sz w:val="14"/>
      </w:rPr>
      <w:tab/>
    </w:r>
    <w:r w:rsidR="00957BC2" w:rsidRPr="00957BC2">
      <w:t xml:space="preserve">  Impact Summary</w:t>
    </w:r>
    <w:r w:rsidR="00F61898">
      <w:t>:</w:t>
    </w:r>
    <w:r w:rsidR="00F61898" w:rsidRPr="00F61898">
      <w:t xml:space="preserve"> </w:t>
    </w:r>
    <w:r w:rsidR="00F61898">
      <w:t>Domestic transport services supplied as part of the international transport of goods</w:t>
    </w:r>
    <w:r w:rsidR="00957BC2">
      <w:t xml:space="preserve"> </w:t>
    </w:r>
    <w:r w:rsidR="00380585" w:rsidRPr="00957BC2">
      <w:t xml:space="preserve">|   </w:t>
    </w:r>
    <w:r w:rsidR="00380585" w:rsidRPr="00957BC2">
      <w:fldChar w:fldCharType="begin"/>
    </w:r>
    <w:r w:rsidR="00380585" w:rsidRPr="00957BC2">
      <w:instrText xml:space="preserve"> PAGE </w:instrText>
    </w:r>
    <w:r w:rsidR="00380585" w:rsidRPr="00957BC2">
      <w:fldChar w:fldCharType="separate"/>
    </w:r>
    <w:r w:rsidR="008A44AF">
      <w:t>1</w:t>
    </w:r>
    <w:r w:rsidR="00380585" w:rsidRPr="00957B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B35F" w14:textId="77777777" w:rsidR="006B396B" w:rsidRDefault="006B396B">
      <w:pPr>
        <w:spacing w:after="0" w:line="240" w:lineRule="auto"/>
      </w:pPr>
      <w:r>
        <w:separator/>
      </w:r>
    </w:p>
  </w:footnote>
  <w:footnote w:type="continuationSeparator" w:id="0">
    <w:p w14:paraId="6446900D" w14:textId="77777777" w:rsidR="006B396B" w:rsidRDefault="006B396B">
      <w:pPr>
        <w:spacing w:after="0" w:line="240" w:lineRule="auto"/>
      </w:pPr>
      <w:r>
        <w:continuationSeparator/>
      </w:r>
    </w:p>
  </w:footnote>
  <w:footnote w:id="1">
    <w:p w14:paraId="626C7022" w14:textId="146D5D10" w:rsidR="00A0232C" w:rsidRPr="00487D0A" w:rsidRDefault="00A0232C" w:rsidP="00487D0A">
      <w:pPr>
        <w:pStyle w:val="FootnoteText"/>
        <w:tabs>
          <w:tab w:val="clear" w:pos="425"/>
          <w:tab w:val="left" w:pos="0"/>
        </w:tabs>
        <w:ind w:left="0" w:firstLine="0"/>
        <w:rPr>
          <w:lang w:val="en-NZ"/>
        </w:rPr>
      </w:pPr>
      <w:r>
        <w:rPr>
          <w:rStyle w:val="FootnoteReference"/>
        </w:rPr>
        <w:footnoteRef/>
      </w:r>
      <w:r>
        <w:t xml:space="preserve"> Whereby a business absorbs the GST cost that is otherwise irrecoverable and passes this additional cost on to its customers as part of the sales price.</w:t>
      </w:r>
    </w:p>
  </w:footnote>
  <w:footnote w:id="2">
    <w:p w14:paraId="35292F06" w14:textId="3E2FB157" w:rsidR="00692896" w:rsidRPr="00692896" w:rsidRDefault="00692896" w:rsidP="00487D0A">
      <w:pPr>
        <w:pStyle w:val="FootnoteText"/>
        <w:tabs>
          <w:tab w:val="clear" w:pos="425"/>
          <w:tab w:val="left" w:pos="0"/>
        </w:tabs>
        <w:ind w:left="0" w:firstLine="0"/>
        <w:rPr>
          <w:lang w:val="en-NZ"/>
        </w:rPr>
      </w:pPr>
      <w:r>
        <w:rPr>
          <w:rStyle w:val="FootnoteReference"/>
        </w:rPr>
        <w:footnoteRef/>
      </w:r>
      <w:r>
        <w:t xml:space="preserve"> </w:t>
      </w:r>
      <w:r>
        <w:rPr>
          <w:lang w:val="en-NZ"/>
        </w:rPr>
        <w:t>This tax cascade could be avoided if the non-resident business chose to register for NZ GST (</w:t>
      </w:r>
      <w:r w:rsidR="001D59C3">
        <w:rPr>
          <w:lang w:val="en-NZ"/>
        </w:rPr>
        <w:t>either under section 51 of the GST Act if they have a taxable activity in NZ or under section 54B if they do not make taxable supplies in NZ but do incur GST). However, this solution is not</w:t>
      </w:r>
      <w:r w:rsidR="00400AC9">
        <w:rPr>
          <w:lang w:val="en-NZ"/>
        </w:rPr>
        <w:t xml:space="preserve"> always</w:t>
      </w:r>
      <w:r w:rsidR="001D59C3">
        <w:rPr>
          <w:lang w:val="en-NZ"/>
        </w:rPr>
        <w:t xml:space="preserve"> pragmatic.</w:t>
      </w:r>
    </w:p>
  </w:footnote>
  <w:footnote w:id="3">
    <w:p w14:paraId="4599F694" w14:textId="7EA90EA1" w:rsidR="004470B2" w:rsidRPr="00487D0A" w:rsidRDefault="004470B2">
      <w:pPr>
        <w:pStyle w:val="FootnoteText"/>
        <w:rPr>
          <w:lang w:val="en-NZ"/>
        </w:rPr>
      </w:pPr>
      <w:r>
        <w:rPr>
          <w:rStyle w:val="FootnoteReference"/>
        </w:rPr>
        <w:footnoteRef/>
      </w:r>
      <w:r>
        <w:t xml:space="preserve"> </w:t>
      </w:r>
      <w:r>
        <w:rPr>
          <w:lang w:val="en-NZ"/>
        </w:rPr>
        <w:t xml:space="preserve">This is slightly higher than option 2 due to its broader scope but differences should be nominal.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9DBC" w14:textId="5531AA35" w:rsidR="00784C66" w:rsidRPr="00EB1B21" w:rsidRDefault="00F93065" w:rsidP="00784C66">
    <w:pPr>
      <w:tabs>
        <w:tab w:val="center" w:pos="4253"/>
      </w:tabs>
      <w:rPr>
        <w:b/>
      </w:rPr>
    </w:pPr>
    <w:r>
      <w:rPr>
        <w:noProof/>
      </w:rPr>
      <mc:AlternateContent>
        <mc:Choice Requires="wps">
          <w:drawing>
            <wp:anchor distT="0" distB="0" distL="114300" distR="114300" simplePos="0" relativeHeight="251662848" behindDoc="0" locked="0" layoutInCell="0" allowOverlap="1" wp14:anchorId="6D5B9795" wp14:editId="296891EB">
              <wp:simplePos x="0" y="0"/>
              <wp:positionH relativeFrom="page">
                <wp:posOffset>0</wp:posOffset>
              </wp:positionH>
              <wp:positionV relativeFrom="page">
                <wp:posOffset>190500</wp:posOffset>
              </wp:positionV>
              <wp:extent cx="7560310" cy="271780"/>
              <wp:effectExtent l="0" t="0" r="0" b="13970"/>
              <wp:wrapNone/>
              <wp:docPr id="1" name="MSIPCMadaa42ecbb99a23169c0efc8" descr="{&quot;HashCode&quot;:-17513135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5CA29B" w14:textId="7705166C" w:rsidR="00F93065" w:rsidRPr="00487D0A" w:rsidRDefault="00487D0A" w:rsidP="00487D0A">
                          <w:pPr>
                            <w:spacing w:after="0"/>
                            <w:jc w:val="center"/>
                            <w:rPr>
                              <w:rFonts w:ascii="Verdana" w:hAnsi="Verdana"/>
                              <w:color w:val="000000"/>
                              <w:sz w:val="20"/>
                            </w:rPr>
                          </w:pPr>
                          <w:r w:rsidRPr="00487D0A">
                            <w:rPr>
                              <w:rFonts w:ascii="Verdana" w:hAnsi="Verdana"/>
                              <w:color w:val="000000"/>
                              <w:sz w:val="2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D5B9795" id="_x0000_t202" coordsize="21600,21600" o:spt="202" path="m,l,21600r21600,l21600,xe">
              <v:stroke joinstyle="miter"/>
              <v:path gradientshapeok="t" o:connecttype="rect"/>
            </v:shapetype>
            <v:shape id="MSIPCMadaa42ecbb99a23169c0efc8" o:spid="_x0000_s1026" type="#_x0000_t202" alt="{&quot;HashCode&quot;:-1751313585,&quot;Height&quot;:841.0,&quot;Width&quot;:595.0,&quot;Placement&quot;:&quot;Header&quot;,&quot;Index&quot;:&quot;Primary&quot;,&quot;Section&quot;:1,&quot;Top&quot;:0.0,&quot;Left&quot;:0.0}" style="position:absolute;margin-left:0;margin-top:15pt;width:595.3pt;height:21.4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AzrAIAAEcFAAAOAAAAZHJzL2Uyb0RvYy54bWysVEtv2zAMvg/YfxB02Gmt7byT1SmyFN0K&#10;pG2AdOiZkeXYgC2pktI4G/bfR8ly2nU7DbvYFEnx8fGjLi6buiLPXJtSipQm5zElXDCZlWKX0m8P&#10;12cTSowFkUElBU/pkRt6OX//7uKgZrwnC1llXBMMIszsoFJaWKtmUWRYwWsw51JxgcZc6hosHvUu&#10;yjQcMHpdRb04HkUHqTOlJePGoPaqNdK5j5/nnNn7PDfckiqlWJv1X+2/W/eN5hcw22lQRclCGfAP&#10;VdRQCkx6CnUFFshel3+EqkumpZG5PWeyjmSel4z7HrCbJH7TzaYAxX0vCI5RJ5jM/wvL7p7XmpQZ&#10;zo4SATWO6HZzs17eQgYw6HG23U6n0OsnoymLec5wnBk3DBH88eFpL+2nr2CKpcx4e5qdJeNh0k/6&#10;w8nwY3Dg5a6wwTwZIEWC4bHMbBH0w+nwpF9XwHjNRXenCwPIlFYOAW5ExpsQoP2tdVmDPv7mtUEO&#10;IDmDXxLuPkgVNPEp8YrnXU5U/nTcOCgzQ4g2CkGyzWfZOJyC3qDSjbzJde3+OEyCdmTZ8cQs3ljC&#10;UDkejuJ+giaGtt44GU889aKX20ob+4XLmjghpRqr9oSC55WxmBFdOxeXTMjrsqo8eytBDikd9Yex&#10;v3Cy4I1K4EXXQ1urk2yzbUIDW5kdsS8t260wil2XmHwFxq5B4xpgvbja9h4/eSUxiQwSJYXU3/+m&#10;d/7ITrRScsC1Sql52oPmlFQ3Ank7TQYDt4f+gIJ+rd12WrGvlxI3FjmJVXnR+dqqE3Mt60fc/IXL&#10;hiYQDHOm1Hbi0uIJDfhyML5YeBk3ToFdiY1iLrSD0UH60DyCVgF3ixO7k93iwewN/K1vO4DF3sq8&#10;9LNxwLZoBrxxW/3IwsvinoPXZ+/18v7NfwEAAP//AwBQSwMEFAAGAAgAAAAhAIgEz4rcAAAABwEA&#10;AA8AAABkcnMvZG93bnJldi54bWxMj8FOwzAMhu9IvENkJG4s2ZDWrTSdEGgXJCS67cIta0xbkThV&#10;k7Xl7fFOcLKs/9fnz8Vu9k6MOMQukIblQoFAqoPtqNFwOu4fNiBiMmSNC4QafjDCrry9KUxuw0QV&#10;jofUCIZQzI2GNqU+lzLWLXoTF6FH4uwrDN4kXodG2sFMDPdOrpRaS2864gut6fGlxfr7cPFM2b6+&#10;zek9+wjRVftp9J+nrOq1vr+bn59AJJzTXxmu+qwOJTudw4VsFE4DP5I0PCqe13S5VWsQZw3ZagOy&#10;LOR///IXAAD//wMAUEsBAi0AFAAGAAgAAAAhALaDOJL+AAAA4QEAABMAAAAAAAAAAAAAAAAAAAAA&#10;AFtDb250ZW50X1R5cGVzXS54bWxQSwECLQAUAAYACAAAACEAOP0h/9YAAACUAQAACwAAAAAAAAAA&#10;AAAAAAAvAQAAX3JlbHMvLnJlbHNQSwECLQAUAAYACAAAACEA4wBgM6wCAABHBQAADgAAAAAAAAAA&#10;AAAAAAAuAgAAZHJzL2Uyb0RvYy54bWxQSwECLQAUAAYACAAAACEAiATPitwAAAAHAQAADwAAAAAA&#10;AAAAAAAAAAAGBQAAZHJzL2Rvd25yZXYueG1sUEsFBgAAAAAEAAQA8wAAAA8GAAAAAA==&#10;" o:allowincell="f" filled="f" stroked="f" strokeweight=".5pt">
              <v:textbox inset=",0,,0">
                <w:txbxContent>
                  <w:p w14:paraId="295CA29B" w14:textId="7705166C" w:rsidR="00F93065" w:rsidRPr="00487D0A" w:rsidRDefault="00487D0A" w:rsidP="00487D0A">
                    <w:pPr>
                      <w:spacing w:after="0"/>
                      <w:jc w:val="center"/>
                      <w:rPr>
                        <w:rFonts w:ascii="Verdana" w:hAnsi="Verdana"/>
                        <w:color w:val="000000"/>
                        <w:sz w:val="20"/>
                      </w:rPr>
                    </w:pPr>
                    <w:r w:rsidRPr="00487D0A">
                      <w:rPr>
                        <w:rFonts w:ascii="Verdana" w:hAnsi="Verdana"/>
                        <w:color w:val="000000"/>
                        <w:sz w:val="20"/>
                      </w:rPr>
                      <w:t xml:space="preserve">[IN CONFIDENCE] </w:t>
                    </w:r>
                  </w:p>
                </w:txbxContent>
              </v:textbox>
              <w10:wrap anchorx="page" anchory="page"/>
            </v:shape>
          </w:pict>
        </mc:Fallback>
      </mc:AlternateContent>
    </w:r>
    <w:r w:rsidR="002F57C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1669"/>
    <w:multiLevelType w:val="hybridMultilevel"/>
    <w:tmpl w:val="F7DEA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602368"/>
    <w:multiLevelType w:val="multilevel"/>
    <w:tmpl w:val="FD844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DB34E4"/>
    <w:multiLevelType w:val="hybridMultilevel"/>
    <w:tmpl w:val="78A4A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8DE5A8D"/>
    <w:multiLevelType w:val="hybridMultilevel"/>
    <w:tmpl w:val="474CBF86"/>
    <w:lvl w:ilvl="0" w:tplc="0EBA6BEA">
      <w:start w:val="1"/>
      <w:numFmt w:val="bullet"/>
      <w:pStyle w:val="Bullet-list"/>
      <w:lvlText w:val=""/>
      <w:lvlJc w:val="left"/>
      <w:pPr>
        <w:ind w:left="360" w:hanging="360"/>
      </w:pPr>
      <w:rPr>
        <w:rFonts w:ascii="Symbol" w:hAnsi="Symbol" w:hint="default"/>
      </w:rPr>
    </w:lvl>
    <w:lvl w:ilvl="1" w:tplc="1409000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186FC3"/>
    <w:multiLevelType w:val="hybridMultilevel"/>
    <w:tmpl w:val="831E87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93D677C"/>
    <w:multiLevelType w:val="multilevel"/>
    <w:tmpl w:val="EB76AB1A"/>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C86E61"/>
    <w:multiLevelType w:val="hybridMultilevel"/>
    <w:tmpl w:val="8A10E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9"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01153C"/>
    <w:multiLevelType w:val="hybridMultilevel"/>
    <w:tmpl w:val="C7185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7A50038"/>
    <w:multiLevelType w:val="hybridMultilevel"/>
    <w:tmpl w:val="675C95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8"/>
  </w:num>
  <w:num w:numId="5">
    <w:abstractNumId w:val="3"/>
  </w:num>
  <w:num w:numId="6">
    <w:abstractNumId w:val="1"/>
  </w:num>
  <w:num w:numId="7">
    <w:abstractNumId w:val="0"/>
  </w:num>
  <w:num w:numId="8">
    <w:abstractNumId w:val="7"/>
  </w:num>
  <w:num w:numId="9">
    <w:abstractNumId w:val="5"/>
  </w:num>
  <w:num w:numId="10">
    <w:abstractNumId w:val="10"/>
  </w:num>
  <w:num w:numId="11">
    <w:abstractNumId w:val="11"/>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A5"/>
    <w:rsid w:val="00001D41"/>
    <w:rsid w:val="000039A8"/>
    <w:rsid w:val="00006CD8"/>
    <w:rsid w:val="000108DB"/>
    <w:rsid w:val="00012718"/>
    <w:rsid w:val="00013D94"/>
    <w:rsid w:val="00016C09"/>
    <w:rsid w:val="00020B18"/>
    <w:rsid w:val="00024F47"/>
    <w:rsid w:val="00025133"/>
    <w:rsid w:val="00030EC1"/>
    <w:rsid w:val="00032B45"/>
    <w:rsid w:val="00034587"/>
    <w:rsid w:val="0003500F"/>
    <w:rsid w:val="00035A36"/>
    <w:rsid w:val="0003604B"/>
    <w:rsid w:val="00037F7D"/>
    <w:rsid w:val="000463AD"/>
    <w:rsid w:val="00046F89"/>
    <w:rsid w:val="0004747C"/>
    <w:rsid w:val="00051A88"/>
    <w:rsid w:val="000535CE"/>
    <w:rsid w:val="00056173"/>
    <w:rsid w:val="00056353"/>
    <w:rsid w:val="00057D30"/>
    <w:rsid w:val="00060943"/>
    <w:rsid w:val="000609BA"/>
    <w:rsid w:val="0007094A"/>
    <w:rsid w:val="00072452"/>
    <w:rsid w:val="00073FD3"/>
    <w:rsid w:val="00075491"/>
    <w:rsid w:val="00080F5E"/>
    <w:rsid w:val="00082B07"/>
    <w:rsid w:val="00084539"/>
    <w:rsid w:val="0009009A"/>
    <w:rsid w:val="000917DB"/>
    <w:rsid w:val="0009467F"/>
    <w:rsid w:val="00096DFD"/>
    <w:rsid w:val="000A1C61"/>
    <w:rsid w:val="000A2910"/>
    <w:rsid w:val="000A3146"/>
    <w:rsid w:val="000A40B3"/>
    <w:rsid w:val="000A4841"/>
    <w:rsid w:val="000B194E"/>
    <w:rsid w:val="000B3D93"/>
    <w:rsid w:val="000B64DD"/>
    <w:rsid w:val="000C0C59"/>
    <w:rsid w:val="000C3197"/>
    <w:rsid w:val="000C34EF"/>
    <w:rsid w:val="000C4BE4"/>
    <w:rsid w:val="000C529D"/>
    <w:rsid w:val="000D4E23"/>
    <w:rsid w:val="000D7CF2"/>
    <w:rsid w:val="000E01A7"/>
    <w:rsid w:val="000E180F"/>
    <w:rsid w:val="000E2465"/>
    <w:rsid w:val="000E31B1"/>
    <w:rsid w:val="000E5F98"/>
    <w:rsid w:val="000E71DA"/>
    <w:rsid w:val="000F2317"/>
    <w:rsid w:val="000F6973"/>
    <w:rsid w:val="00100007"/>
    <w:rsid w:val="0010162B"/>
    <w:rsid w:val="00101BB3"/>
    <w:rsid w:val="00103731"/>
    <w:rsid w:val="00111E9A"/>
    <w:rsid w:val="00113AD9"/>
    <w:rsid w:val="001303D4"/>
    <w:rsid w:val="001342B2"/>
    <w:rsid w:val="001433A7"/>
    <w:rsid w:val="00144191"/>
    <w:rsid w:val="00161BF4"/>
    <w:rsid w:val="001624D2"/>
    <w:rsid w:val="0016361A"/>
    <w:rsid w:val="00165231"/>
    <w:rsid w:val="0016692C"/>
    <w:rsid w:val="00185F10"/>
    <w:rsid w:val="00190453"/>
    <w:rsid w:val="00195B50"/>
    <w:rsid w:val="00196EEF"/>
    <w:rsid w:val="001A1B3C"/>
    <w:rsid w:val="001A3014"/>
    <w:rsid w:val="001A4C04"/>
    <w:rsid w:val="001B141D"/>
    <w:rsid w:val="001B3E1F"/>
    <w:rsid w:val="001B4792"/>
    <w:rsid w:val="001B5688"/>
    <w:rsid w:val="001D200F"/>
    <w:rsid w:val="001D393B"/>
    <w:rsid w:val="001D59C3"/>
    <w:rsid w:val="001E0D43"/>
    <w:rsid w:val="001E14AC"/>
    <w:rsid w:val="001E20CA"/>
    <w:rsid w:val="001F6581"/>
    <w:rsid w:val="001F6EF8"/>
    <w:rsid w:val="00203F33"/>
    <w:rsid w:val="00207CEA"/>
    <w:rsid w:val="002106CB"/>
    <w:rsid w:val="002127DC"/>
    <w:rsid w:val="00212AD9"/>
    <w:rsid w:val="002153E5"/>
    <w:rsid w:val="002166D4"/>
    <w:rsid w:val="00217894"/>
    <w:rsid w:val="00220E65"/>
    <w:rsid w:val="002214DA"/>
    <w:rsid w:val="00223A3A"/>
    <w:rsid w:val="00223E66"/>
    <w:rsid w:val="00224892"/>
    <w:rsid w:val="00230364"/>
    <w:rsid w:val="00235A9D"/>
    <w:rsid w:val="002367EE"/>
    <w:rsid w:val="0024289C"/>
    <w:rsid w:val="0024442A"/>
    <w:rsid w:val="00250CBD"/>
    <w:rsid w:val="00257060"/>
    <w:rsid w:val="002717B4"/>
    <w:rsid w:val="00273639"/>
    <w:rsid w:val="00273A42"/>
    <w:rsid w:val="00275D0D"/>
    <w:rsid w:val="00277278"/>
    <w:rsid w:val="00277D36"/>
    <w:rsid w:val="002823DF"/>
    <w:rsid w:val="002827CE"/>
    <w:rsid w:val="00291DEA"/>
    <w:rsid w:val="00291E94"/>
    <w:rsid w:val="00293FDC"/>
    <w:rsid w:val="00294114"/>
    <w:rsid w:val="00296227"/>
    <w:rsid w:val="00297506"/>
    <w:rsid w:val="002A56F0"/>
    <w:rsid w:val="002A5987"/>
    <w:rsid w:val="002A5D0E"/>
    <w:rsid w:val="002A6A33"/>
    <w:rsid w:val="002A739B"/>
    <w:rsid w:val="002B2270"/>
    <w:rsid w:val="002B4AC1"/>
    <w:rsid w:val="002B797C"/>
    <w:rsid w:val="002C0155"/>
    <w:rsid w:val="002C13C1"/>
    <w:rsid w:val="002D1014"/>
    <w:rsid w:val="002D3B95"/>
    <w:rsid w:val="002D54C0"/>
    <w:rsid w:val="002D5734"/>
    <w:rsid w:val="002D63C9"/>
    <w:rsid w:val="002F4245"/>
    <w:rsid w:val="002F5292"/>
    <w:rsid w:val="002F57C1"/>
    <w:rsid w:val="002F7AB5"/>
    <w:rsid w:val="00300D3F"/>
    <w:rsid w:val="0030117A"/>
    <w:rsid w:val="00304CE4"/>
    <w:rsid w:val="00304E1B"/>
    <w:rsid w:val="00311017"/>
    <w:rsid w:val="00312A1C"/>
    <w:rsid w:val="00316701"/>
    <w:rsid w:val="0032262A"/>
    <w:rsid w:val="00322A93"/>
    <w:rsid w:val="00324185"/>
    <w:rsid w:val="00324230"/>
    <w:rsid w:val="0032503F"/>
    <w:rsid w:val="00331C8A"/>
    <w:rsid w:val="00334E1C"/>
    <w:rsid w:val="00336018"/>
    <w:rsid w:val="0033708B"/>
    <w:rsid w:val="0033792F"/>
    <w:rsid w:val="00340EC4"/>
    <w:rsid w:val="0035378F"/>
    <w:rsid w:val="003543B8"/>
    <w:rsid w:val="003600E4"/>
    <w:rsid w:val="00371DEF"/>
    <w:rsid w:val="003730F0"/>
    <w:rsid w:val="003739FB"/>
    <w:rsid w:val="00373E03"/>
    <w:rsid w:val="003771FF"/>
    <w:rsid w:val="00380585"/>
    <w:rsid w:val="00392098"/>
    <w:rsid w:val="0039507E"/>
    <w:rsid w:val="003A3721"/>
    <w:rsid w:val="003A6096"/>
    <w:rsid w:val="003B29A3"/>
    <w:rsid w:val="003B6DA2"/>
    <w:rsid w:val="003B7089"/>
    <w:rsid w:val="003C0E9F"/>
    <w:rsid w:val="003C12FA"/>
    <w:rsid w:val="003C228A"/>
    <w:rsid w:val="003D2B86"/>
    <w:rsid w:val="003D2C78"/>
    <w:rsid w:val="003E2FF9"/>
    <w:rsid w:val="003E32C3"/>
    <w:rsid w:val="003E677D"/>
    <w:rsid w:val="003F0DF3"/>
    <w:rsid w:val="003F47B9"/>
    <w:rsid w:val="003F48C3"/>
    <w:rsid w:val="003F6F8C"/>
    <w:rsid w:val="003F7DC8"/>
    <w:rsid w:val="00400AC9"/>
    <w:rsid w:val="00400BBB"/>
    <w:rsid w:val="00403FCA"/>
    <w:rsid w:val="004111D2"/>
    <w:rsid w:val="004142E2"/>
    <w:rsid w:val="00414CFB"/>
    <w:rsid w:val="00414D0D"/>
    <w:rsid w:val="0042003E"/>
    <w:rsid w:val="0043081D"/>
    <w:rsid w:val="004347CA"/>
    <w:rsid w:val="00441C7C"/>
    <w:rsid w:val="004470B2"/>
    <w:rsid w:val="00447649"/>
    <w:rsid w:val="0045660B"/>
    <w:rsid w:val="00456ED6"/>
    <w:rsid w:val="00457E15"/>
    <w:rsid w:val="00463479"/>
    <w:rsid w:val="00463E14"/>
    <w:rsid w:val="00470D09"/>
    <w:rsid w:val="00472D95"/>
    <w:rsid w:val="004761A3"/>
    <w:rsid w:val="004761E1"/>
    <w:rsid w:val="004846CD"/>
    <w:rsid w:val="00487D0A"/>
    <w:rsid w:val="004933E0"/>
    <w:rsid w:val="004949B0"/>
    <w:rsid w:val="00495987"/>
    <w:rsid w:val="004976C6"/>
    <w:rsid w:val="004A192D"/>
    <w:rsid w:val="004A5E8C"/>
    <w:rsid w:val="004A7720"/>
    <w:rsid w:val="004B1665"/>
    <w:rsid w:val="004B26AC"/>
    <w:rsid w:val="004B53D6"/>
    <w:rsid w:val="004B731F"/>
    <w:rsid w:val="004B7D66"/>
    <w:rsid w:val="004C0262"/>
    <w:rsid w:val="004C08FB"/>
    <w:rsid w:val="004C0F8F"/>
    <w:rsid w:val="004D57CE"/>
    <w:rsid w:val="004D637F"/>
    <w:rsid w:val="004D67EE"/>
    <w:rsid w:val="004E08C3"/>
    <w:rsid w:val="004E6413"/>
    <w:rsid w:val="004E6A51"/>
    <w:rsid w:val="004E7B1A"/>
    <w:rsid w:val="004F3BB0"/>
    <w:rsid w:val="005001D7"/>
    <w:rsid w:val="00503BB6"/>
    <w:rsid w:val="0050784F"/>
    <w:rsid w:val="0051158D"/>
    <w:rsid w:val="0051258C"/>
    <w:rsid w:val="00513C4D"/>
    <w:rsid w:val="00521BDE"/>
    <w:rsid w:val="0053213E"/>
    <w:rsid w:val="00532675"/>
    <w:rsid w:val="00541ABD"/>
    <w:rsid w:val="005429F8"/>
    <w:rsid w:val="00546F69"/>
    <w:rsid w:val="0055057E"/>
    <w:rsid w:val="00550F55"/>
    <w:rsid w:val="00562BE6"/>
    <w:rsid w:val="00562EDA"/>
    <w:rsid w:val="00564647"/>
    <w:rsid w:val="00567434"/>
    <w:rsid w:val="0057350F"/>
    <w:rsid w:val="005744B1"/>
    <w:rsid w:val="00580BDE"/>
    <w:rsid w:val="0058316E"/>
    <w:rsid w:val="00585F37"/>
    <w:rsid w:val="0058640A"/>
    <w:rsid w:val="005876C7"/>
    <w:rsid w:val="005876FF"/>
    <w:rsid w:val="005A1FE8"/>
    <w:rsid w:val="005A3981"/>
    <w:rsid w:val="005A669A"/>
    <w:rsid w:val="005B0875"/>
    <w:rsid w:val="005B4427"/>
    <w:rsid w:val="005B5159"/>
    <w:rsid w:val="005B5970"/>
    <w:rsid w:val="005C2B29"/>
    <w:rsid w:val="005C35F6"/>
    <w:rsid w:val="005C6155"/>
    <w:rsid w:val="005C69F6"/>
    <w:rsid w:val="005C7813"/>
    <w:rsid w:val="005D0F5F"/>
    <w:rsid w:val="005D31E9"/>
    <w:rsid w:val="005D5BF0"/>
    <w:rsid w:val="005D6980"/>
    <w:rsid w:val="005E0462"/>
    <w:rsid w:val="005E28CD"/>
    <w:rsid w:val="005E3FE1"/>
    <w:rsid w:val="005F2825"/>
    <w:rsid w:val="005F6C80"/>
    <w:rsid w:val="00600209"/>
    <w:rsid w:val="006009F2"/>
    <w:rsid w:val="00601E26"/>
    <w:rsid w:val="0061479E"/>
    <w:rsid w:val="006262C0"/>
    <w:rsid w:val="00626EDC"/>
    <w:rsid w:val="00634985"/>
    <w:rsid w:val="00635633"/>
    <w:rsid w:val="006371C7"/>
    <w:rsid w:val="00641CB2"/>
    <w:rsid w:val="006504FA"/>
    <w:rsid w:val="00651B5A"/>
    <w:rsid w:val="00655924"/>
    <w:rsid w:val="006561DA"/>
    <w:rsid w:val="00656BE7"/>
    <w:rsid w:val="00660560"/>
    <w:rsid w:val="006611D2"/>
    <w:rsid w:val="00663A9C"/>
    <w:rsid w:val="006644DC"/>
    <w:rsid w:val="00665878"/>
    <w:rsid w:val="00666B40"/>
    <w:rsid w:val="006704D2"/>
    <w:rsid w:val="0067537D"/>
    <w:rsid w:val="00676708"/>
    <w:rsid w:val="006810C6"/>
    <w:rsid w:val="00681179"/>
    <w:rsid w:val="00681B2A"/>
    <w:rsid w:val="00683307"/>
    <w:rsid w:val="00684956"/>
    <w:rsid w:val="00686B28"/>
    <w:rsid w:val="00687F0F"/>
    <w:rsid w:val="0069218C"/>
    <w:rsid w:val="00692896"/>
    <w:rsid w:val="00694F3D"/>
    <w:rsid w:val="00695DAC"/>
    <w:rsid w:val="006A1BD0"/>
    <w:rsid w:val="006A515C"/>
    <w:rsid w:val="006A70C4"/>
    <w:rsid w:val="006A7FFB"/>
    <w:rsid w:val="006B0E84"/>
    <w:rsid w:val="006B1547"/>
    <w:rsid w:val="006B396B"/>
    <w:rsid w:val="006B4D2D"/>
    <w:rsid w:val="006B6D13"/>
    <w:rsid w:val="006C40C2"/>
    <w:rsid w:val="006D06D5"/>
    <w:rsid w:val="006D3130"/>
    <w:rsid w:val="006D5192"/>
    <w:rsid w:val="006D72B1"/>
    <w:rsid w:val="006E2187"/>
    <w:rsid w:val="006E649B"/>
    <w:rsid w:val="006F1B00"/>
    <w:rsid w:val="006F4195"/>
    <w:rsid w:val="006F4407"/>
    <w:rsid w:val="006F5759"/>
    <w:rsid w:val="006F5CEE"/>
    <w:rsid w:val="00701C46"/>
    <w:rsid w:val="00701F85"/>
    <w:rsid w:val="00704377"/>
    <w:rsid w:val="00705DEE"/>
    <w:rsid w:val="0071040C"/>
    <w:rsid w:val="00711A5C"/>
    <w:rsid w:val="0071377D"/>
    <w:rsid w:val="007164F6"/>
    <w:rsid w:val="007255E1"/>
    <w:rsid w:val="00727B7C"/>
    <w:rsid w:val="00733938"/>
    <w:rsid w:val="00735CAB"/>
    <w:rsid w:val="00736E02"/>
    <w:rsid w:val="00740E77"/>
    <w:rsid w:val="0074400C"/>
    <w:rsid w:val="00751CB1"/>
    <w:rsid w:val="00755F52"/>
    <w:rsid w:val="0075669C"/>
    <w:rsid w:val="00764393"/>
    <w:rsid w:val="00767C98"/>
    <w:rsid w:val="00771958"/>
    <w:rsid w:val="00781A18"/>
    <w:rsid w:val="00783846"/>
    <w:rsid w:val="00784C66"/>
    <w:rsid w:val="0078591D"/>
    <w:rsid w:val="00790EB5"/>
    <w:rsid w:val="00795A6F"/>
    <w:rsid w:val="007A1D4B"/>
    <w:rsid w:val="007A484F"/>
    <w:rsid w:val="007B1E2A"/>
    <w:rsid w:val="007B4426"/>
    <w:rsid w:val="007B47BD"/>
    <w:rsid w:val="007B621B"/>
    <w:rsid w:val="007C0F9E"/>
    <w:rsid w:val="007C4023"/>
    <w:rsid w:val="007C44D5"/>
    <w:rsid w:val="007C77B1"/>
    <w:rsid w:val="007D2516"/>
    <w:rsid w:val="007D6C1C"/>
    <w:rsid w:val="007E646D"/>
    <w:rsid w:val="007E671F"/>
    <w:rsid w:val="007E6CBF"/>
    <w:rsid w:val="007E7634"/>
    <w:rsid w:val="007F321A"/>
    <w:rsid w:val="007F500D"/>
    <w:rsid w:val="00800A3B"/>
    <w:rsid w:val="00800DEC"/>
    <w:rsid w:val="00805B68"/>
    <w:rsid w:val="0081431F"/>
    <w:rsid w:val="00815FA1"/>
    <w:rsid w:val="00816F6D"/>
    <w:rsid w:val="00817192"/>
    <w:rsid w:val="0082456C"/>
    <w:rsid w:val="00826BE8"/>
    <w:rsid w:val="008314B8"/>
    <w:rsid w:val="0083626F"/>
    <w:rsid w:val="008378C5"/>
    <w:rsid w:val="00852BB0"/>
    <w:rsid w:val="00853821"/>
    <w:rsid w:val="008574E0"/>
    <w:rsid w:val="00864EBC"/>
    <w:rsid w:val="00865B0F"/>
    <w:rsid w:val="00870D10"/>
    <w:rsid w:val="008714F9"/>
    <w:rsid w:val="00872D60"/>
    <w:rsid w:val="00880366"/>
    <w:rsid w:val="00886AFB"/>
    <w:rsid w:val="00886DFF"/>
    <w:rsid w:val="0089020B"/>
    <w:rsid w:val="008936DE"/>
    <w:rsid w:val="008A0B22"/>
    <w:rsid w:val="008A124E"/>
    <w:rsid w:val="008A3A1F"/>
    <w:rsid w:val="008A44AF"/>
    <w:rsid w:val="008A5037"/>
    <w:rsid w:val="008A56EB"/>
    <w:rsid w:val="008A5972"/>
    <w:rsid w:val="008A6442"/>
    <w:rsid w:val="008A66FE"/>
    <w:rsid w:val="008A6F45"/>
    <w:rsid w:val="008B2E14"/>
    <w:rsid w:val="008B79E6"/>
    <w:rsid w:val="008C16A4"/>
    <w:rsid w:val="008C32CD"/>
    <w:rsid w:val="008D1568"/>
    <w:rsid w:val="008D2AEB"/>
    <w:rsid w:val="008D523E"/>
    <w:rsid w:val="008E0F12"/>
    <w:rsid w:val="008E7126"/>
    <w:rsid w:val="008E7AC8"/>
    <w:rsid w:val="00901A9E"/>
    <w:rsid w:val="009054CA"/>
    <w:rsid w:val="009113C0"/>
    <w:rsid w:val="00913F6D"/>
    <w:rsid w:val="00917A22"/>
    <w:rsid w:val="00917E9C"/>
    <w:rsid w:val="00923805"/>
    <w:rsid w:val="00923C71"/>
    <w:rsid w:val="009267BD"/>
    <w:rsid w:val="0093548A"/>
    <w:rsid w:val="00943D6C"/>
    <w:rsid w:val="00944CE4"/>
    <w:rsid w:val="00947017"/>
    <w:rsid w:val="00951ABE"/>
    <w:rsid w:val="00951CE2"/>
    <w:rsid w:val="00956FB1"/>
    <w:rsid w:val="009574C0"/>
    <w:rsid w:val="00957BC2"/>
    <w:rsid w:val="0096111D"/>
    <w:rsid w:val="00962209"/>
    <w:rsid w:val="009643DA"/>
    <w:rsid w:val="00970915"/>
    <w:rsid w:val="0097308D"/>
    <w:rsid w:val="0098436E"/>
    <w:rsid w:val="00986DCD"/>
    <w:rsid w:val="00990AEC"/>
    <w:rsid w:val="009932EE"/>
    <w:rsid w:val="009A1E3E"/>
    <w:rsid w:val="009A50FB"/>
    <w:rsid w:val="009A75BF"/>
    <w:rsid w:val="009A7A20"/>
    <w:rsid w:val="009B4532"/>
    <w:rsid w:val="009C0CFF"/>
    <w:rsid w:val="009C1989"/>
    <w:rsid w:val="009C3DF5"/>
    <w:rsid w:val="009F1A30"/>
    <w:rsid w:val="009F6E07"/>
    <w:rsid w:val="00A0232C"/>
    <w:rsid w:val="00A05663"/>
    <w:rsid w:val="00A063B5"/>
    <w:rsid w:val="00A075B5"/>
    <w:rsid w:val="00A12C85"/>
    <w:rsid w:val="00A14071"/>
    <w:rsid w:val="00A146CA"/>
    <w:rsid w:val="00A1569C"/>
    <w:rsid w:val="00A27DF6"/>
    <w:rsid w:val="00A31BB7"/>
    <w:rsid w:val="00A33BA0"/>
    <w:rsid w:val="00A358C8"/>
    <w:rsid w:val="00A4272B"/>
    <w:rsid w:val="00A441F1"/>
    <w:rsid w:val="00A47B2B"/>
    <w:rsid w:val="00A47DE4"/>
    <w:rsid w:val="00A52B9B"/>
    <w:rsid w:val="00A52CC2"/>
    <w:rsid w:val="00A552DC"/>
    <w:rsid w:val="00A56D75"/>
    <w:rsid w:val="00A56E99"/>
    <w:rsid w:val="00A57D3E"/>
    <w:rsid w:val="00A62144"/>
    <w:rsid w:val="00A66590"/>
    <w:rsid w:val="00A72FDA"/>
    <w:rsid w:val="00A74596"/>
    <w:rsid w:val="00A74E0F"/>
    <w:rsid w:val="00A80BF5"/>
    <w:rsid w:val="00A82037"/>
    <w:rsid w:val="00A820EB"/>
    <w:rsid w:val="00A85CE5"/>
    <w:rsid w:val="00A92D41"/>
    <w:rsid w:val="00AA53BB"/>
    <w:rsid w:val="00AA6E15"/>
    <w:rsid w:val="00AB73B3"/>
    <w:rsid w:val="00AC0E7F"/>
    <w:rsid w:val="00AC55A0"/>
    <w:rsid w:val="00AD415D"/>
    <w:rsid w:val="00AD768D"/>
    <w:rsid w:val="00AD780E"/>
    <w:rsid w:val="00AE06E7"/>
    <w:rsid w:val="00AE4238"/>
    <w:rsid w:val="00AE4D46"/>
    <w:rsid w:val="00AE74DD"/>
    <w:rsid w:val="00AF3223"/>
    <w:rsid w:val="00AF3A37"/>
    <w:rsid w:val="00B01B4A"/>
    <w:rsid w:val="00B037EF"/>
    <w:rsid w:val="00B052B8"/>
    <w:rsid w:val="00B11377"/>
    <w:rsid w:val="00B15F56"/>
    <w:rsid w:val="00B16F35"/>
    <w:rsid w:val="00B17B3C"/>
    <w:rsid w:val="00B20765"/>
    <w:rsid w:val="00B207D3"/>
    <w:rsid w:val="00B23E8A"/>
    <w:rsid w:val="00B26F73"/>
    <w:rsid w:val="00B274E5"/>
    <w:rsid w:val="00B349F6"/>
    <w:rsid w:val="00B362A0"/>
    <w:rsid w:val="00B4041D"/>
    <w:rsid w:val="00B41882"/>
    <w:rsid w:val="00B446B8"/>
    <w:rsid w:val="00B47208"/>
    <w:rsid w:val="00B478FE"/>
    <w:rsid w:val="00B51411"/>
    <w:rsid w:val="00B51B48"/>
    <w:rsid w:val="00B6282E"/>
    <w:rsid w:val="00B6654E"/>
    <w:rsid w:val="00B720A7"/>
    <w:rsid w:val="00B73D9C"/>
    <w:rsid w:val="00B74056"/>
    <w:rsid w:val="00B84503"/>
    <w:rsid w:val="00B87693"/>
    <w:rsid w:val="00B952B7"/>
    <w:rsid w:val="00BA08C7"/>
    <w:rsid w:val="00BA18C4"/>
    <w:rsid w:val="00BA393D"/>
    <w:rsid w:val="00BA5AAC"/>
    <w:rsid w:val="00BB05D8"/>
    <w:rsid w:val="00BB2974"/>
    <w:rsid w:val="00BB4EA2"/>
    <w:rsid w:val="00BB7733"/>
    <w:rsid w:val="00BC19FB"/>
    <w:rsid w:val="00BC2351"/>
    <w:rsid w:val="00BC51B1"/>
    <w:rsid w:val="00BC7DA2"/>
    <w:rsid w:val="00BD3EF3"/>
    <w:rsid w:val="00BD5F58"/>
    <w:rsid w:val="00BD6968"/>
    <w:rsid w:val="00BD70B0"/>
    <w:rsid w:val="00BD755F"/>
    <w:rsid w:val="00BE4A62"/>
    <w:rsid w:val="00BE62EB"/>
    <w:rsid w:val="00BF0F72"/>
    <w:rsid w:val="00BF1D8C"/>
    <w:rsid w:val="00BF32C4"/>
    <w:rsid w:val="00BF7965"/>
    <w:rsid w:val="00C05A4B"/>
    <w:rsid w:val="00C07253"/>
    <w:rsid w:val="00C14FDF"/>
    <w:rsid w:val="00C16105"/>
    <w:rsid w:val="00C16186"/>
    <w:rsid w:val="00C21111"/>
    <w:rsid w:val="00C24B83"/>
    <w:rsid w:val="00C24BAF"/>
    <w:rsid w:val="00C2708A"/>
    <w:rsid w:val="00C30242"/>
    <w:rsid w:val="00C33D79"/>
    <w:rsid w:val="00C45246"/>
    <w:rsid w:val="00C50565"/>
    <w:rsid w:val="00C52097"/>
    <w:rsid w:val="00C57E98"/>
    <w:rsid w:val="00C67A86"/>
    <w:rsid w:val="00C73EF3"/>
    <w:rsid w:val="00C75739"/>
    <w:rsid w:val="00C7655A"/>
    <w:rsid w:val="00C768EA"/>
    <w:rsid w:val="00C76C52"/>
    <w:rsid w:val="00C76F63"/>
    <w:rsid w:val="00C77099"/>
    <w:rsid w:val="00C810D9"/>
    <w:rsid w:val="00C81CEC"/>
    <w:rsid w:val="00C834E6"/>
    <w:rsid w:val="00C8418D"/>
    <w:rsid w:val="00C845CE"/>
    <w:rsid w:val="00C93AA5"/>
    <w:rsid w:val="00CA06F2"/>
    <w:rsid w:val="00CA096F"/>
    <w:rsid w:val="00CA5203"/>
    <w:rsid w:val="00CA7B18"/>
    <w:rsid w:val="00CB1E07"/>
    <w:rsid w:val="00CB3173"/>
    <w:rsid w:val="00CB7FF9"/>
    <w:rsid w:val="00CD24DC"/>
    <w:rsid w:val="00CD44EB"/>
    <w:rsid w:val="00CD5D0B"/>
    <w:rsid w:val="00CE0F5F"/>
    <w:rsid w:val="00CE34BA"/>
    <w:rsid w:val="00CE7F89"/>
    <w:rsid w:val="00CF0C99"/>
    <w:rsid w:val="00D019CB"/>
    <w:rsid w:val="00D029FD"/>
    <w:rsid w:val="00D030D2"/>
    <w:rsid w:val="00D03F0E"/>
    <w:rsid w:val="00D14824"/>
    <w:rsid w:val="00D1534F"/>
    <w:rsid w:val="00D17CBE"/>
    <w:rsid w:val="00D236C4"/>
    <w:rsid w:val="00D23D4B"/>
    <w:rsid w:val="00D24298"/>
    <w:rsid w:val="00D26A33"/>
    <w:rsid w:val="00D32DBB"/>
    <w:rsid w:val="00D369DC"/>
    <w:rsid w:val="00D45133"/>
    <w:rsid w:val="00D467B1"/>
    <w:rsid w:val="00D5164E"/>
    <w:rsid w:val="00D52650"/>
    <w:rsid w:val="00D5449C"/>
    <w:rsid w:val="00D64B40"/>
    <w:rsid w:val="00D7274A"/>
    <w:rsid w:val="00D80BFD"/>
    <w:rsid w:val="00D84994"/>
    <w:rsid w:val="00D84DEB"/>
    <w:rsid w:val="00D8558B"/>
    <w:rsid w:val="00D86B1C"/>
    <w:rsid w:val="00D90032"/>
    <w:rsid w:val="00D9793F"/>
    <w:rsid w:val="00D97BA5"/>
    <w:rsid w:val="00DA06D7"/>
    <w:rsid w:val="00DA39FD"/>
    <w:rsid w:val="00DB1253"/>
    <w:rsid w:val="00DB4CAA"/>
    <w:rsid w:val="00DC06E7"/>
    <w:rsid w:val="00DC3DD7"/>
    <w:rsid w:val="00DC629A"/>
    <w:rsid w:val="00DD28F3"/>
    <w:rsid w:val="00DD5C70"/>
    <w:rsid w:val="00DD6CE9"/>
    <w:rsid w:val="00DD70F7"/>
    <w:rsid w:val="00DD7C7E"/>
    <w:rsid w:val="00DE0C51"/>
    <w:rsid w:val="00DE71F4"/>
    <w:rsid w:val="00DE784A"/>
    <w:rsid w:val="00DF1CF4"/>
    <w:rsid w:val="00DF33D0"/>
    <w:rsid w:val="00E00618"/>
    <w:rsid w:val="00E01A35"/>
    <w:rsid w:val="00E04EEC"/>
    <w:rsid w:val="00E0509F"/>
    <w:rsid w:val="00E0775C"/>
    <w:rsid w:val="00E14326"/>
    <w:rsid w:val="00E15AE5"/>
    <w:rsid w:val="00E2030A"/>
    <w:rsid w:val="00E237B6"/>
    <w:rsid w:val="00E25654"/>
    <w:rsid w:val="00E42E9F"/>
    <w:rsid w:val="00E464B9"/>
    <w:rsid w:val="00E46521"/>
    <w:rsid w:val="00E556AB"/>
    <w:rsid w:val="00E5711C"/>
    <w:rsid w:val="00E57521"/>
    <w:rsid w:val="00E6054D"/>
    <w:rsid w:val="00E62373"/>
    <w:rsid w:val="00E666F3"/>
    <w:rsid w:val="00E66CC0"/>
    <w:rsid w:val="00E8034E"/>
    <w:rsid w:val="00E81EEC"/>
    <w:rsid w:val="00E85DF7"/>
    <w:rsid w:val="00E866E1"/>
    <w:rsid w:val="00E92509"/>
    <w:rsid w:val="00E92D64"/>
    <w:rsid w:val="00E93200"/>
    <w:rsid w:val="00E95647"/>
    <w:rsid w:val="00E96043"/>
    <w:rsid w:val="00E971D6"/>
    <w:rsid w:val="00E9759E"/>
    <w:rsid w:val="00EA2449"/>
    <w:rsid w:val="00EB0E8C"/>
    <w:rsid w:val="00EB71F8"/>
    <w:rsid w:val="00EB7B64"/>
    <w:rsid w:val="00EC3D8D"/>
    <w:rsid w:val="00EC5642"/>
    <w:rsid w:val="00EC6FAD"/>
    <w:rsid w:val="00ED1D6B"/>
    <w:rsid w:val="00ED6328"/>
    <w:rsid w:val="00ED7749"/>
    <w:rsid w:val="00EE0119"/>
    <w:rsid w:val="00EE09B9"/>
    <w:rsid w:val="00EE388F"/>
    <w:rsid w:val="00EE3D0B"/>
    <w:rsid w:val="00EE447B"/>
    <w:rsid w:val="00EE4E3B"/>
    <w:rsid w:val="00EF33D9"/>
    <w:rsid w:val="00EF7121"/>
    <w:rsid w:val="00F0590D"/>
    <w:rsid w:val="00F12503"/>
    <w:rsid w:val="00F132B2"/>
    <w:rsid w:val="00F14105"/>
    <w:rsid w:val="00F21EEC"/>
    <w:rsid w:val="00F22605"/>
    <w:rsid w:val="00F24204"/>
    <w:rsid w:val="00F32294"/>
    <w:rsid w:val="00F33548"/>
    <w:rsid w:val="00F355DB"/>
    <w:rsid w:val="00F44166"/>
    <w:rsid w:val="00F44CEF"/>
    <w:rsid w:val="00F5193D"/>
    <w:rsid w:val="00F519AF"/>
    <w:rsid w:val="00F54DC3"/>
    <w:rsid w:val="00F6028C"/>
    <w:rsid w:val="00F61898"/>
    <w:rsid w:val="00F636B5"/>
    <w:rsid w:val="00F63B99"/>
    <w:rsid w:val="00F6550A"/>
    <w:rsid w:val="00F667F6"/>
    <w:rsid w:val="00F67E28"/>
    <w:rsid w:val="00F72C9B"/>
    <w:rsid w:val="00F7345E"/>
    <w:rsid w:val="00F77580"/>
    <w:rsid w:val="00F81C1E"/>
    <w:rsid w:val="00F83EA4"/>
    <w:rsid w:val="00F86C5A"/>
    <w:rsid w:val="00F87C5E"/>
    <w:rsid w:val="00F93065"/>
    <w:rsid w:val="00F94BB1"/>
    <w:rsid w:val="00F963B0"/>
    <w:rsid w:val="00F963DC"/>
    <w:rsid w:val="00FB3061"/>
    <w:rsid w:val="00FB673B"/>
    <w:rsid w:val="00FB6BC0"/>
    <w:rsid w:val="00FB727F"/>
    <w:rsid w:val="00FD0D35"/>
    <w:rsid w:val="00FD296F"/>
    <w:rsid w:val="00FD3007"/>
    <w:rsid w:val="00FD5F1F"/>
    <w:rsid w:val="00FD6718"/>
    <w:rsid w:val="00FD6E4E"/>
    <w:rsid w:val="00FE263B"/>
    <w:rsid w:val="00FE691D"/>
    <w:rsid w:val="00FF5D8C"/>
    <w:rsid w:val="00FF6121"/>
    <w:rsid w:val="00FF7F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42720"/>
  <w15:chartTrackingRefBased/>
  <w15:docId w15:val="{32110759-7780-41E6-9DC1-33D31F74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AD"/>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6D3130"/>
    <w:pPr>
      <w:spacing w:before="120" w:line="240" w:lineRule="auto"/>
      <w:outlineLvl w:val="0"/>
    </w:pPr>
    <w:rPr>
      <w:b/>
      <w:color w:val="0082AB"/>
      <w:spacing w:val="20"/>
      <w:w w:val="90"/>
      <w:sz w:val="44"/>
      <w:szCs w:val="44"/>
      <w:lang w:val="en-NZ"/>
    </w:rPr>
  </w:style>
  <w:style w:type="paragraph" w:styleId="Heading2">
    <w:name w:val="heading 2"/>
    <w:basedOn w:val="Normal"/>
    <w:next w:val="Normal"/>
    <w:link w:val="Heading2Char"/>
    <w:autoRedefine/>
    <w:qFormat/>
    <w:rsid w:val="00414D0D"/>
    <w:pPr>
      <w:keepNext/>
      <w:spacing w:after="120" w:line="240" w:lineRule="auto"/>
      <w:outlineLvl w:val="1"/>
    </w:pPr>
    <w:rPr>
      <w:b/>
      <w:color w:val="0082AB"/>
      <w:spacing w:val="20"/>
      <w:w w:val="90"/>
      <w:sz w:val="32"/>
      <w:szCs w:val="24"/>
    </w:rPr>
  </w:style>
  <w:style w:type="paragraph" w:styleId="Heading3">
    <w:name w:val="heading 3"/>
    <w:basedOn w:val="Heading2"/>
    <w:next w:val="Normal"/>
    <w:link w:val="Heading3Char"/>
    <w:qFormat/>
    <w:rsid w:val="00EC6FAD"/>
    <w:pPr>
      <w:spacing w:before="200"/>
      <w:outlineLvl w:val="2"/>
    </w:pPr>
    <w:rPr>
      <w:sz w:val="24"/>
      <w:szCs w:val="22"/>
    </w:rPr>
  </w:style>
  <w:style w:type="paragraph" w:styleId="Heading4">
    <w:name w:val="heading 4"/>
    <w:basedOn w:val="Normal"/>
    <w:next w:val="Normal"/>
    <w:link w:val="Heading4Char"/>
    <w:qFormat/>
    <w:rsid w:val="00EC6FAD"/>
    <w:pPr>
      <w:spacing w:before="120" w:after="200" w:line="240" w:lineRule="auto"/>
      <w:outlineLvl w:val="3"/>
    </w:pPr>
    <w:rPr>
      <w:b/>
      <w:bCs/>
      <w:color w:val="335087"/>
      <w:sz w:val="20"/>
    </w:rPr>
  </w:style>
  <w:style w:type="paragraph" w:styleId="Heading5">
    <w:name w:val="heading 5"/>
    <w:basedOn w:val="Normal"/>
    <w:next w:val="Normal"/>
    <w:link w:val="Heading5Char"/>
    <w:rsid w:val="00EC6FAD"/>
    <w:pPr>
      <w:keepNext/>
      <w:widowControl w:val="0"/>
      <w:spacing w:before="80" w:after="120"/>
      <w:outlineLvl w:val="4"/>
    </w:pPr>
    <w:rPr>
      <w:color w:val="000000"/>
      <w:szCs w:val="22"/>
    </w:rPr>
  </w:style>
  <w:style w:type="paragraph" w:styleId="Heading6">
    <w:name w:val="heading 6"/>
    <w:basedOn w:val="Normal"/>
    <w:next w:val="Normal"/>
    <w:link w:val="Heading6Char"/>
    <w:rsid w:val="00EC6FAD"/>
    <w:pPr>
      <w:spacing w:before="240"/>
      <w:outlineLvl w:val="5"/>
    </w:pPr>
    <w:rPr>
      <w:i/>
      <w:sz w:val="20"/>
    </w:rPr>
  </w:style>
  <w:style w:type="paragraph" w:styleId="Heading7">
    <w:name w:val="heading 7"/>
    <w:basedOn w:val="Normal"/>
    <w:next w:val="Normal"/>
    <w:link w:val="Heading7Char"/>
    <w:rsid w:val="00EC6FAD"/>
    <w:pPr>
      <w:spacing w:before="240"/>
      <w:outlineLvl w:val="6"/>
    </w:pPr>
    <w:rPr>
      <w:sz w:val="20"/>
    </w:rPr>
  </w:style>
  <w:style w:type="paragraph" w:styleId="Heading8">
    <w:name w:val="heading 8"/>
    <w:basedOn w:val="Normal"/>
    <w:next w:val="Normal"/>
    <w:link w:val="Heading8Char"/>
    <w:rsid w:val="00EC6FAD"/>
    <w:pPr>
      <w:spacing w:before="80" w:after="80"/>
      <w:outlineLvl w:val="7"/>
    </w:pPr>
    <w:rPr>
      <w:sz w:val="20"/>
    </w:rPr>
  </w:style>
  <w:style w:type="paragraph" w:styleId="Heading9">
    <w:name w:val="heading 9"/>
    <w:next w:val="Normal"/>
    <w:link w:val="Heading9Char"/>
    <w:rsid w:val="00EC6FAD"/>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FAD"/>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3E66"/>
    <w:pPr>
      <w:spacing w:after="0"/>
      <w:ind w:left="720"/>
      <w:contextualSpacing/>
    </w:pPr>
    <w:rPr>
      <w:rFonts w:cs="Arial"/>
    </w:rPr>
  </w:style>
  <w:style w:type="character" w:customStyle="1" w:styleId="ListParagraphChar">
    <w:name w:val="List Paragraph Char"/>
    <w:link w:val="ListParagraph"/>
    <w:uiPriority w:val="34"/>
    <w:locked/>
    <w:rsid w:val="00223E66"/>
    <w:rPr>
      <w:rFonts w:ascii="Arial" w:eastAsia="Times New Roman" w:hAnsi="Arial" w:cs="Arial"/>
    </w:rPr>
  </w:style>
  <w:style w:type="character" w:customStyle="1" w:styleId="Heading1Char">
    <w:name w:val="Heading 1 Char"/>
    <w:link w:val="Heading1"/>
    <w:rsid w:val="006D3130"/>
    <w:rPr>
      <w:rFonts w:ascii="Arial" w:eastAsia="Times New Roman" w:hAnsi="Arial" w:cs="Times New Roman"/>
      <w:b/>
      <w:color w:val="0082AB"/>
      <w:spacing w:val="20"/>
      <w:w w:val="90"/>
      <w:sz w:val="44"/>
      <w:szCs w:val="44"/>
      <w:lang w:eastAsia="en-GB"/>
    </w:rPr>
  </w:style>
  <w:style w:type="paragraph" w:styleId="Footer">
    <w:name w:val="footer"/>
    <w:basedOn w:val="Normal"/>
    <w:link w:val="FooterChar"/>
    <w:autoRedefine/>
    <w:rsid w:val="002127DC"/>
    <w:pPr>
      <w:tabs>
        <w:tab w:val="right" w:pos="9070"/>
      </w:tabs>
      <w:spacing w:after="0" w:line="240" w:lineRule="auto"/>
      <w:jc w:val="right"/>
    </w:pPr>
    <w:rPr>
      <w:noProof/>
      <w:color w:val="0082AB"/>
      <w:spacing w:val="6"/>
      <w:sz w:val="16"/>
      <w:szCs w:val="16"/>
    </w:rPr>
  </w:style>
  <w:style w:type="character" w:customStyle="1" w:styleId="FooterChar">
    <w:name w:val="Footer Char"/>
    <w:link w:val="Footer"/>
    <w:rsid w:val="002127DC"/>
    <w:rPr>
      <w:rFonts w:ascii="Arial" w:eastAsia="Times New Roman" w:hAnsi="Arial"/>
      <w:noProof/>
      <w:color w:val="0082AB"/>
      <w:spacing w:val="6"/>
      <w:sz w:val="16"/>
      <w:szCs w:val="16"/>
      <w:lang w:val="en-GB" w:eastAsia="en-GB"/>
    </w:rPr>
  </w:style>
  <w:style w:type="paragraph" w:styleId="Header">
    <w:name w:val="header"/>
    <w:basedOn w:val="Normal"/>
    <w:link w:val="HeaderChar"/>
    <w:rsid w:val="00EC6FAD"/>
    <w:pPr>
      <w:tabs>
        <w:tab w:val="center" w:pos="4153"/>
        <w:tab w:val="right" w:pos="8306"/>
      </w:tabs>
    </w:pPr>
  </w:style>
  <w:style w:type="character" w:customStyle="1" w:styleId="HeaderChar">
    <w:name w:val="Header Char"/>
    <w:link w:val="Header"/>
    <w:rsid w:val="00E92509"/>
    <w:rPr>
      <w:rFonts w:ascii="Arial" w:eastAsia="Times New Roman" w:hAnsi="Arial" w:cs="Times New Roman"/>
      <w:szCs w:val="20"/>
      <w:lang w:val="en-GB" w:eastAsia="en-GB"/>
    </w:rPr>
  </w:style>
  <w:style w:type="paragraph" w:customStyle="1" w:styleId="Boxtext">
    <w:name w:val="Box text"/>
    <w:basedOn w:val="Normal"/>
    <w:rsid w:val="00957BC2"/>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color w:val="000000"/>
      <w:szCs w:val="22"/>
    </w:rPr>
  </w:style>
  <w:style w:type="paragraph" w:customStyle="1" w:styleId="spacer">
    <w:name w:val="spacer"/>
    <w:basedOn w:val="Normal"/>
    <w:qFormat/>
    <w:rsid w:val="00EC6FAD"/>
    <w:pPr>
      <w:spacing w:after="0" w:line="240" w:lineRule="auto"/>
    </w:pPr>
    <w:rPr>
      <w:sz w:val="16"/>
      <w:szCs w:val="22"/>
      <w:lang w:eastAsia="en-AU"/>
    </w:rPr>
  </w:style>
  <w:style w:type="paragraph" w:customStyle="1" w:styleId="Bullet-list">
    <w:name w:val="Bullet-list"/>
    <w:qFormat/>
    <w:rsid w:val="007A484F"/>
    <w:pPr>
      <w:numPr>
        <w:numId w:val="3"/>
      </w:numPr>
      <w:spacing w:after="120" w:line="280" w:lineRule="exact"/>
      <w:ind w:left="284" w:hanging="284"/>
    </w:pPr>
    <w:rPr>
      <w:rFonts w:ascii="Arial" w:eastAsia="Times New Roman" w:hAnsi="Arial"/>
      <w:i/>
      <w:sz w:val="22"/>
      <w:szCs w:val="22"/>
      <w:lang w:val="en-AU" w:eastAsia="en-US"/>
    </w:rPr>
  </w:style>
  <w:style w:type="paragraph" w:styleId="BalloonText">
    <w:name w:val="Balloon Text"/>
    <w:basedOn w:val="Normal"/>
    <w:link w:val="BalloonTextChar"/>
    <w:semiHidden/>
    <w:rsid w:val="00EC6FAD"/>
    <w:rPr>
      <w:rFonts w:ascii="Tahoma" w:hAnsi="Tahoma" w:cs="Tahoma"/>
      <w:sz w:val="16"/>
      <w:szCs w:val="16"/>
    </w:rPr>
  </w:style>
  <w:style w:type="character" w:customStyle="1" w:styleId="BalloonTextChar">
    <w:name w:val="Balloon Text Char"/>
    <w:link w:val="BalloonText"/>
    <w:semiHidden/>
    <w:rsid w:val="0032262A"/>
    <w:rPr>
      <w:rFonts w:ascii="Tahoma" w:eastAsia="Times New Roman" w:hAnsi="Tahoma" w:cs="Tahoma"/>
      <w:sz w:val="16"/>
      <w:szCs w:val="16"/>
      <w:lang w:val="en-GB" w:eastAsia="en-GB"/>
    </w:rPr>
  </w:style>
  <w:style w:type="character" w:styleId="Hyperlink">
    <w:name w:val="Hyperlink"/>
    <w:uiPriority w:val="99"/>
    <w:rsid w:val="00030EC1"/>
    <w:rPr>
      <w:color w:val="0082AB"/>
      <w:u w:val="single"/>
    </w:rPr>
  </w:style>
  <w:style w:type="character" w:styleId="CommentReference">
    <w:name w:val="annotation reference"/>
    <w:semiHidden/>
    <w:rsid w:val="00EC6FAD"/>
    <w:rPr>
      <w:sz w:val="16"/>
      <w:szCs w:val="16"/>
    </w:rPr>
  </w:style>
  <w:style w:type="paragraph" w:styleId="CommentText">
    <w:name w:val="annotation text"/>
    <w:basedOn w:val="Normal"/>
    <w:link w:val="CommentTextChar"/>
    <w:semiHidden/>
    <w:rsid w:val="00EC6FAD"/>
    <w:rPr>
      <w:sz w:val="20"/>
    </w:rPr>
  </w:style>
  <w:style w:type="character" w:customStyle="1" w:styleId="CommentTextChar">
    <w:name w:val="Comment Text Char"/>
    <w:link w:val="CommentText"/>
    <w:semiHidden/>
    <w:rsid w:val="00956FB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semiHidden/>
    <w:rsid w:val="00EC6FAD"/>
    <w:rPr>
      <w:b/>
      <w:bCs/>
    </w:rPr>
  </w:style>
  <w:style w:type="character" w:customStyle="1" w:styleId="CommentSubjectChar">
    <w:name w:val="Comment Subject Char"/>
    <w:link w:val="CommentSubject"/>
    <w:semiHidden/>
    <w:rsid w:val="00956FB1"/>
    <w:rPr>
      <w:rFonts w:ascii="Arial" w:eastAsia="Times New Roman" w:hAnsi="Arial" w:cs="Times New Roman"/>
      <w:b/>
      <w:bCs/>
      <w:sz w:val="20"/>
      <w:szCs w:val="20"/>
      <w:lang w:val="en-GB" w:eastAsia="en-GB"/>
    </w:rPr>
  </w:style>
  <w:style w:type="paragraph" w:customStyle="1" w:styleId="Author">
    <w:name w:val="Author"/>
    <w:basedOn w:val="Normal"/>
    <w:semiHidden/>
    <w:rsid w:val="00EC6FAD"/>
    <w:pPr>
      <w:spacing w:before="240" w:after="1200"/>
      <w:ind w:left="-181"/>
      <w:jc w:val="right"/>
    </w:pPr>
    <w:rPr>
      <w:rFonts w:cs="Arial"/>
      <w:i/>
      <w:sz w:val="40"/>
      <w:szCs w:val="22"/>
    </w:rPr>
  </w:style>
  <w:style w:type="paragraph" w:customStyle="1" w:styleId="Boxbullet">
    <w:name w:val="Box bullet"/>
    <w:basedOn w:val="Boxtext"/>
    <w:rsid w:val="00EC6FAD"/>
    <w:pPr>
      <w:numPr>
        <w:numId w:val="2"/>
      </w:numPr>
      <w:tabs>
        <w:tab w:val="clear" w:pos="644"/>
        <w:tab w:val="num" w:pos="426"/>
      </w:tabs>
      <w:spacing w:before="80"/>
    </w:pPr>
  </w:style>
  <w:style w:type="paragraph" w:customStyle="1" w:styleId="Boxheading">
    <w:name w:val="Box heading"/>
    <w:basedOn w:val="Normal"/>
    <w:next w:val="Boxtext"/>
    <w:autoRedefine/>
    <w:rsid w:val="00EC6FAD"/>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EC6FAD"/>
    <w:pPr>
      <w:tabs>
        <w:tab w:val="left" w:pos="426"/>
      </w:tabs>
      <w:ind w:left="426" w:hanging="284"/>
    </w:pPr>
  </w:style>
  <w:style w:type="paragraph" w:styleId="Caption">
    <w:name w:val="caption"/>
    <w:basedOn w:val="Normal"/>
    <w:next w:val="Normal"/>
    <w:rsid w:val="00EC6FAD"/>
    <w:rPr>
      <w:b/>
      <w:bCs/>
      <w:sz w:val="20"/>
    </w:rPr>
  </w:style>
  <w:style w:type="paragraph" w:styleId="DocumentMap">
    <w:name w:val="Document Map"/>
    <w:basedOn w:val="Normal"/>
    <w:link w:val="DocumentMapChar"/>
    <w:semiHidden/>
    <w:rsid w:val="00EC6FAD"/>
    <w:pPr>
      <w:shd w:val="clear" w:color="auto" w:fill="000080"/>
    </w:pPr>
    <w:rPr>
      <w:rFonts w:ascii="Tahoma" w:hAnsi="Tahoma" w:cs="Tahoma"/>
      <w:sz w:val="20"/>
    </w:rPr>
  </w:style>
  <w:style w:type="character" w:customStyle="1" w:styleId="DocumentMapChar">
    <w:name w:val="Document Map Char"/>
    <w:link w:val="DocumentMap"/>
    <w:semiHidden/>
    <w:rsid w:val="00EC6FAD"/>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EC6FAD"/>
    <w:pPr>
      <w:jc w:val="left"/>
    </w:pPr>
  </w:style>
  <w:style w:type="paragraph" w:customStyle="1" w:styleId="Evenfooter-wide">
    <w:name w:val="Even footer-wide"/>
    <w:basedOn w:val="EvenFooter"/>
    <w:rsid w:val="00EC6FAD"/>
  </w:style>
  <w:style w:type="character" w:styleId="FollowedHyperlink">
    <w:name w:val="FollowedHyperlink"/>
    <w:rsid w:val="00EC6FAD"/>
    <w:rPr>
      <w:color w:val="800080"/>
      <w:u w:val="single"/>
    </w:rPr>
  </w:style>
  <w:style w:type="character" w:styleId="FootnoteReference">
    <w:name w:val="footnote reference"/>
    <w:semiHidden/>
    <w:rsid w:val="00EC6FAD"/>
    <w:rPr>
      <w:rFonts w:ascii="Arial" w:hAnsi="Arial"/>
      <w:color w:val="auto"/>
      <w:position w:val="8"/>
      <w:sz w:val="16"/>
    </w:rPr>
  </w:style>
  <w:style w:type="paragraph" w:styleId="FootnoteText">
    <w:name w:val="footnote text"/>
    <w:basedOn w:val="Normal"/>
    <w:link w:val="FootnoteTextChar"/>
    <w:semiHidden/>
    <w:rsid w:val="00EC6FAD"/>
    <w:pPr>
      <w:tabs>
        <w:tab w:val="left" w:pos="425"/>
      </w:tabs>
      <w:spacing w:after="60" w:line="240" w:lineRule="auto"/>
      <w:ind w:left="425" w:hanging="425"/>
    </w:pPr>
    <w:rPr>
      <w:sz w:val="18"/>
    </w:rPr>
  </w:style>
  <w:style w:type="character" w:customStyle="1" w:styleId="FootnoteTextChar">
    <w:name w:val="Footnote Text Char"/>
    <w:link w:val="FootnoteText"/>
    <w:semiHidden/>
    <w:rsid w:val="00EC6FAD"/>
    <w:rPr>
      <w:rFonts w:ascii="Arial" w:eastAsia="Times New Roman" w:hAnsi="Arial" w:cs="Times New Roman"/>
      <w:sz w:val="18"/>
      <w:szCs w:val="20"/>
      <w:lang w:val="en-GB" w:eastAsia="en-GB"/>
    </w:rPr>
  </w:style>
  <w:style w:type="character" w:customStyle="1" w:styleId="Heading2Char">
    <w:name w:val="Heading 2 Char"/>
    <w:link w:val="Heading2"/>
    <w:rsid w:val="00414D0D"/>
    <w:rPr>
      <w:rFonts w:ascii="Arial" w:eastAsia="Times New Roman" w:hAnsi="Arial"/>
      <w:b/>
      <w:color w:val="0082AB"/>
      <w:spacing w:val="20"/>
      <w:w w:val="90"/>
      <w:sz w:val="32"/>
      <w:szCs w:val="24"/>
      <w:lang w:val="en-GB" w:eastAsia="en-GB"/>
    </w:rPr>
  </w:style>
  <w:style w:type="character" w:customStyle="1" w:styleId="Heading3Char">
    <w:name w:val="Heading 3 Char"/>
    <w:link w:val="Heading3"/>
    <w:rsid w:val="00EC6FAD"/>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EC6FAD"/>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EC6FAD"/>
    <w:rPr>
      <w:rFonts w:ascii="Arial" w:eastAsia="Times New Roman" w:hAnsi="Arial" w:cs="Times New Roman"/>
      <w:color w:val="000000"/>
      <w:lang w:val="en-GB" w:eastAsia="en-GB"/>
    </w:rPr>
  </w:style>
  <w:style w:type="character" w:customStyle="1" w:styleId="Heading6Char">
    <w:name w:val="Heading 6 Char"/>
    <w:link w:val="Heading6"/>
    <w:rsid w:val="00EC6FAD"/>
    <w:rPr>
      <w:rFonts w:ascii="Arial" w:eastAsia="Times New Roman" w:hAnsi="Arial" w:cs="Times New Roman"/>
      <w:i/>
      <w:sz w:val="20"/>
      <w:szCs w:val="20"/>
      <w:lang w:val="en-GB" w:eastAsia="en-GB"/>
    </w:rPr>
  </w:style>
  <w:style w:type="character" w:customStyle="1" w:styleId="Heading7Char">
    <w:name w:val="Heading 7 Char"/>
    <w:link w:val="Heading7"/>
    <w:rsid w:val="00EC6FAD"/>
    <w:rPr>
      <w:rFonts w:ascii="Arial" w:eastAsia="Times New Roman" w:hAnsi="Arial" w:cs="Times New Roman"/>
      <w:sz w:val="20"/>
      <w:szCs w:val="20"/>
      <w:lang w:val="en-GB" w:eastAsia="en-GB"/>
    </w:rPr>
  </w:style>
  <w:style w:type="character" w:customStyle="1" w:styleId="Heading8Char">
    <w:name w:val="Heading 8 Char"/>
    <w:link w:val="Heading8"/>
    <w:rsid w:val="00EC6FAD"/>
    <w:rPr>
      <w:rFonts w:ascii="Arial" w:eastAsia="Times New Roman" w:hAnsi="Arial" w:cs="Times New Roman"/>
      <w:sz w:val="20"/>
      <w:szCs w:val="20"/>
      <w:lang w:val="en-GB" w:eastAsia="en-GB"/>
    </w:rPr>
  </w:style>
  <w:style w:type="character" w:customStyle="1" w:styleId="Heading9Char">
    <w:name w:val="Heading 9 Char"/>
    <w:link w:val="Heading9"/>
    <w:rsid w:val="00EC6FAD"/>
    <w:rPr>
      <w:rFonts w:ascii="Arial" w:eastAsia="Times New Roman" w:hAnsi="Arial" w:cs="Times New Roman"/>
      <w:b/>
      <w:i/>
      <w:sz w:val="20"/>
      <w:szCs w:val="20"/>
      <w:lang w:val="en-AU"/>
    </w:rPr>
  </w:style>
  <w:style w:type="paragraph" w:styleId="List">
    <w:name w:val="List"/>
    <w:basedOn w:val="Normal"/>
    <w:rsid w:val="00EC6FAD"/>
    <w:pPr>
      <w:ind w:left="283" w:hanging="283"/>
    </w:pPr>
  </w:style>
  <w:style w:type="paragraph" w:styleId="Title">
    <w:name w:val="Title"/>
    <w:basedOn w:val="Normal"/>
    <w:link w:val="TitleChar"/>
    <w:rsid w:val="00EC6FAD"/>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EC6FAD"/>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EC6FAD"/>
    <w:pPr>
      <w:spacing w:before="360" w:line="600" w:lineRule="atLeast"/>
    </w:pPr>
    <w:rPr>
      <w:sz w:val="36"/>
      <w:szCs w:val="36"/>
    </w:rPr>
  </w:style>
  <w:style w:type="character" w:customStyle="1" w:styleId="SubtitleChar">
    <w:name w:val="Subtitle Char"/>
    <w:link w:val="Subtitle"/>
    <w:rsid w:val="00EC6FAD"/>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EC6FAD"/>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EC6FAD"/>
    <w:pPr>
      <w:keepNext/>
      <w:spacing w:after="0" w:line="240" w:lineRule="auto"/>
    </w:pPr>
    <w:rPr>
      <w:sz w:val="20"/>
    </w:rPr>
  </w:style>
  <w:style w:type="paragraph" w:styleId="TOC1">
    <w:name w:val="toc 1"/>
    <w:basedOn w:val="Normal"/>
    <w:next w:val="Normal"/>
    <w:uiPriority w:val="39"/>
    <w:rsid w:val="00EC6FAD"/>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EC6FAD"/>
    <w:pPr>
      <w:tabs>
        <w:tab w:val="right" w:leader="dot" w:pos="9214"/>
      </w:tabs>
      <w:spacing w:before="100" w:after="100"/>
      <w:ind w:left="709" w:right="284"/>
    </w:pPr>
    <w:rPr>
      <w:noProof/>
      <w:sz w:val="24"/>
    </w:rPr>
  </w:style>
  <w:style w:type="paragraph" w:styleId="TOC3">
    <w:name w:val="toc 3"/>
    <w:basedOn w:val="Normal"/>
    <w:next w:val="Normal"/>
    <w:semiHidden/>
    <w:rsid w:val="00EC6FAD"/>
    <w:pPr>
      <w:tabs>
        <w:tab w:val="left" w:leader="dot" w:pos="8646"/>
        <w:tab w:val="right" w:pos="9072"/>
      </w:tabs>
      <w:ind w:left="1418" w:right="850"/>
    </w:pPr>
  </w:style>
  <w:style w:type="paragraph" w:customStyle="1" w:styleId="TableHeadings">
    <w:name w:val="Table Headings"/>
    <w:basedOn w:val="Normal"/>
    <w:qFormat/>
    <w:rsid w:val="00EC6FAD"/>
    <w:pPr>
      <w:spacing w:before="60" w:after="60"/>
    </w:pPr>
    <w:rPr>
      <w:rFonts w:cs="Arial"/>
      <w:b/>
      <w:color w:val="000000"/>
    </w:rPr>
  </w:style>
  <w:style w:type="paragraph" w:customStyle="1" w:styleId="Bulletlistlevel2">
    <w:name w:val="Bullet list level 2"/>
    <w:basedOn w:val="Normal"/>
    <w:qFormat/>
    <w:rsid w:val="00800DEC"/>
    <w:pPr>
      <w:numPr>
        <w:ilvl w:val="1"/>
        <w:numId w:val="1"/>
      </w:numPr>
      <w:spacing w:after="180" w:line="280" w:lineRule="exact"/>
      <w:ind w:left="568" w:hanging="284"/>
    </w:pPr>
    <w:rPr>
      <w:rFonts w:cs="Arial"/>
      <w:lang w:eastAsia="en-AU"/>
    </w:rPr>
  </w:style>
  <w:style w:type="paragraph" w:customStyle="1" w:styleId="BodyText-Numbered">
    <w:name w:val="Body Text - Numbered"/>
    <w:basedOn w:val="BodyText"/>
    <w:link w:val="BodyText-NumberedChar"/>
    <w:qFormat/>
    <w:rsid w:val="008A56EB"/>
    <w:pPr>
      <w:keepNext/>
      <w:numPr>
        <w:numId w:val="4"/>
      </w:numPr>
      <w:spacing w:before="60" w:line="240" w:lineRule="auto"/>
    </w:pPr>
    <w:rPr>
      <w:rFonts w:cs="Arial"/>
    </w:rPr>
  </w:style>
  <w:style w:type="character" w:customStyle="1" w:styleId="BodyText-NumberedChar">
    <w:name w:val="Body Text - Numbered Char"/>
    <w:link w:val="BodyText-Numbered"/>
    <w:rsid w:val="008A56EB"/>
    <w:rPr>
      <w:rFonts w:ascii="Arial" w:eastAsia="Times New Roman" w:hAnsi="Arial" w:cs="Arial"/>
      <w:sz w:val="22"/>
      <w:lang w:val="en-GB" w:eastAsia="en-GB"/>
    </w:rPr>
  </w:style>
  <w:style w:type="paragraph" w:customStyle="1" w:styleId="Tablebullet">
    <w:name w:val="Table bullet"/>
    <w:basedOn w:val="Normal"/>
    <w:qFormat/>
    <w:rsid w:val="008A56EB"/>
    <w:pPr>
      <w:numPr>
        <w:numId w:val="5"/>
      </w:numPr>
      <w:autoSpaceDE w:val="0"/>
      <w:autoSpaceDN w:val="0"/>
      <w:adjustRightInd w:val="0"/>
      <w:spacing w:before="60" w:after="60"/>
    </w:pPr>
    <w:rPr>
      <w:rFonts w:cs="GillSans"/>
      <w:szCs w:val="22"/>
      <w:lang w:eastAsia="en-AU"/>
    </w:rPr>
  </w:style>
  <w:style w:type="paragraph" w:styleId="BodyText">
    <w:name w:val="Body Text"/>
    <w:basedOn w:val="Normal"/>
    <w:link w:val="BodyTextChar"/>
    <w:uiPriority w:val="99"/>
    <w:semiHidden/>
    <w:unhideWhenUsed/>
    <w:rsid w:val="008A56EB"/>
    <w:pPr>
      <w:spacing w:after="120"/>
    </w:pPr>
  </w:style>
  <w:style w:type="character" w:customStyle="1" w:styleId="BodyTextChar">
    <w:name w:val="Body Text Char"/>
    <w:link w:val="BodyText"/>
    <w:uiPriority w:val="99"/>
    <w:semiHidden/>
    <w:rsid w:val="008A56EB"/>
    <w:rPr>
      <w:rFonts w:ascii="Arial" w:eastAsia="Times New Roman" w:hAnsi="Arial"/>
      <w:sz w:val="22"/>
      <w:lang w:val="en-GB" w:eastAsia="en-GB"/>
    </w:rPr>
  </w:style>
  <w:style w:type="paragraph" w:customStyle="1" w:styleId="NumberedParagraph">
    <w:name w:val="Numbered Paragraph"/>
    <w:basedOn w:val="Normal"/>
    <w:qFormat/>
    <w:rsid w:val="00F93065"/>
    <w:pPr>
      <w:tabs>
        <w:tab w:val="num" w:pos="851"/>
      </w:tabs>
      <w:spacing w:before="240" w:after="0" w:line="240" w:lineRule="auto"/>
      <w:ind w:left="851" w:hanging="851"/>
      <w:jc w:val="both"/>
    </w:pPr>
    <w:rPr>
      <w:rFonts w:ascii="Times New Roman" w:hAnsi="Times New Roman"/>
      <w:sz w:val="24"/>
      <w:szCs w:val="24"/>
      <w:lang w:val="en-NZ" w:eastAsia="en-NZ"/>
    </w:rPr>
  </w:style>
  <w:style w:type="paragraph" w:customStyle="1" w:styleId="NumberedParagraph-BulletL1">
    <w:name w:val="Numbered Paragraph - Bullet L1"/>
    <w:basedOn w:val="NumberedParagraph"/>
    <w:qFormat/>
    <w:rsid w:val="00F93065"/>
    <w:pPr>
      <w:tabs>
        <w:tab w:val="clear" w:pos="851"/>
        <w:tab w:val="num" w:pos="1418"/>
      </w:tabs>
      <w:spacing w:before="120"/>
      <w:ind w:left="1418" w:hanging="567"/>
    </w:pPr>
  </w:style>
  <w:style w:type="paragraph" w:customStyle="1" w:styleId="NumberedParagraph-BulletL2">
    <w:name w:val="Numbered Paragraph - Bullet L2"/>
    <w:basedOn w:val="NumberedParagraph"/>
    <w:qFormat/>
    <w:rsid w:val="00F93065"/>
    <w:pPr>
      <w:tabs>
        <w:tab w:val="clear" w:pos="851"/>
        <w:tab w:val="num" w:pos="1985"/>
      </w:tabs>
      <w:spacing w:before="120"/>
      <w:ind w:left="198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7320">
      <w:bodyDiv w:val="1"/>
      <w:marLeft w:val="0"/>
      <w:marRight w:val="0"/>
      <w:marTop w:val="0"/>
      <w:marBottom w:val="0"/>
      <w:divBdr>
        <w:top w:val="none" w:sz="0" w:space="0" w:color="auto"/>
        <w:left w:val="none" w:sz="0" w:space="0" w:color="auto"/>
        <w:bottom w:val="none" w:sz="0" w:space="0" w:color="auto"/>
        <w:right w:val="none" w:sz="0" w:space="0" w:color="auto"/>
      </w:divBdr>
    </w:div>
    <w:div w:id="912741077">
      <w:bodyDiv w:val="1"/>
      <w:marLeft w:val="0"/>
      <w:marRight w:val="0"/>
      <w:marTop w:val="0"/>
      <w:marBottom w:val="0"/>
      <w:divBdr>
        <w:top w:val="none" w:sz="0" w:space="0" w:color="auto"/>
        <w:left w:val="none" w:sz="0" w:space="0" w:color="auto"/>
        <w:bottom w:val="none" w:sz="0" w:space="0" w:color="auto"/>
        <w:right w:val="none" w:sz="0" w:space="0" w:color="auto"/>
      </w:divBdr>
    </w:div>
    <w:div w:id="1413430114">
      <w:bodyDiv w:val="1"/>
      <w:marLeft w:val="0"/>
      <w:marRight w:val="0"/>
      <w:marTop w:val="0"/>
      <w:marBottom w:val="0"/>
      <w:divBdr>
        <w:top w:val="none" w:sz="0" w:space="0" w:color="auto"/>
        <w:left w:val="none" w:sz="0" w:space="0" w:color="auto"/>
        <w:bottom w:val="none" w:sz="0" w:space="0" w:color="auto"/>
        <w:right w:val="none" w:sz="0" w:space="0" w:color="auto"/>
      </w:divBdr>
    </w:div>
    <w:div w:id="20423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wic_System_Copyright xmlns="http://schemas.microsoft.com/sharepoint/v3/fields">Inland Revenue NZ</wic_System_Copyright>
    <TaxCatchAll xmlns="a4a9dc13-bb31-46d7-b689-a0a4d48a0c28">
      <Value>3</Value>
      <Value>2</Value>
      <Value>1</Value>
    </TaxCatchAll>
    <_Version xmlns="http://schemas.microsoft.com/sharepoint/v3/fields" xsi:nil="true"/>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documentManagement>
</p:properties>
</file>

<file path=customXml/itemProps1.xml><?xml version="1.0" encoding="utf-8"?>
<ds:datastoreItem xmlns:ds="http://schemas.openxmlformats.org/officeDocument/2006/customXml" ds:itemID="{A54B1D63-FE5C-4001-9372-4C718201C444}"/>
</file>

<file path=customXml/itemProps2.xml><?xml version="1.0" encoding="utf-8"?>
<ds:datastoreItem xmlns:ds="http://schemas.openxmlformats.org/officeDocument/2006/customXml" ds:itemID="{31CAB52B-C548-42A9-9C66-C06668B4368D}"/>
</file>

<file path=customXml/itemProps3.xml><?xml version="1.0" encoding="utf-8"?>
<ds:datastoreItem xmlns:ds="http://schemas.openxmlformats.org/officeDocument/2006/customXml" ds:itemID="{F7F675F0-1830-46F1-9205-1D26F2846E65}"/>
</file>

<file path=docProps/app.xml><?xml version="1.0" encoding="utf-8"?>
<Properties xmlns="http://schemas.openxmlformats.org/officeDocument/2006/extended-properties" xmlns:vt="http://schemas.openxmlformats.org/officeDocument/2006/docPropsVTypes">
  <Template>Normal.dotm</Template>
  <TotalTime>0</TotalTime>
  <Pages>11</Pages>
  <Words>3272</Words>
  <Characters>17739</Characters>
  <Application>Microsoft Office Word</Application>
  <DocSecurity>0</DocSecurity>
  <Lines>454</Lines>
  <Paragraphs>181</Paragraphs>
  <ScaleCrop>false</ScaleCrop>
  <HeadingPairs>
    <vt:vector size="2" baseType="variant">
      <vt:variant>
        <vt:lpstr>Title</vt:lpstr>
      </vt:variant>
      <vt:variant>
        <vt:i4>1</vt:i4>
      </vt:variant>
    </vt:vector>
  </HeadingPairs>
  <TitlesOfParts>
    <vt:vector size="1" baseType="lpstr">
      <vt:lpstr>Regulatory impact assessment/statement: Domestic transport services supplied as part of the international transport of goods (31 May 2021)</vt:lpstr>
    </vt:vector>
  </TitlesOfParts>
  <Company>Inland Revenue</Company>
  <LinksUpToDate>false</LinksUpToDate>
  <CharactersWithSpaces>20830</CharactersWithSpaces>
  <SharedDoc>false</SharedDoc>
  <HLinks>
    <vt:vector size="36" baseType="variant">
      <vt:variant>
        <vt:i4>8257662</vt:i4>
      </vt:variant>
      <vt:variant>
        <vt:i4>15</vt:i4>
      </vt:variant>
      <vt:variant>
        <vt:i4>0</vt:i4>
      </vt:variant>
      <vt:variant>
        <vt:i4>5</vt:i4>
      </vt:variant>
      <vt:variant>
        <vt:lpwstr>http://www.treasury.govt.nz/publications/guidance/planning/costbenefitanalysis</vt:lpwstr>
      </vt:variant>
      <vt:variant>
        <vt:lpwstr/>
      </vt:variant>
      <vt:variant>
        <vt:i4>2949239</vt:i4>
      </vt:variant>
      <vt:variant>
        <vt:i4>12</vt:i4>
      </vt:variant>
      <vt:variant>
        <vt:i4>0</vt:i4>
      </vt:variant>
      <vt:variant>
        <vt:i4>5</vt:i4>
      </vt:variant>
      <vt:variant>
        <vt:lpwstr>http://www.treasury.govt.nz/publications/guidance/planning/costbenefitanalysis/x/x-guide-oct15.pdf</vt:lpwstr>
      </vt:variant>
      <vt:variant>
        <vt:lpwstr/>
      </vt:variant>
      <vt:variant>
        <vt:i4>2687029</vt:i4>
      </vt:variant>
      <vt:variant>
        <vt:i4>9</vt:i4>
      </vt:variant>
      <vt:variant>
        <vt:i4>0</vt:i4>
      </vt:variant>
      <vt:variant>
        <vt:i4>5</vt:i4>
      </vt:variant>
      <vt:variant>
        <vt:lpwstr>http://www.treasury.govt.nz/regulation/expectations</vt:lpwstr>
      </vt:variant>
      <vt:variant>
        <vt:lpwstr/>
      </vt:variant>
      <vt:variant>
        <vt:i4>2687029</vt:i4>
      </vt:variant>
      <vt:variant>
        <vt:i4>6</vt:i4>
      </vt:variant>
      <vt:variant>
        <vt:i4>0</vt:i4>
      </vt:variant>
      <vt:variant>
        <vt:i4>5</vt:i4>
      </vt:variant>
      <vt:variant>
        <vt:lpwstr>http://www.treasury.govt.nz/regulation/expectations</vt:lpwstr>
      </vt:variant>
      <vt:variant>
        <vt:lpwstr/>
      </vt:variant>
      <vt:variant>
        <vt:i4>4128805</vt:i4>
      </vt:variant>
      <vt:variant>
        <vt:i4>3</vt:i4>
      </vt:variant>
      <vt:variant>
        <vt:i4>0</vt:i4>
      </vt:variant>
      <vt:variant>
        <vt:i4>5</vt:i4>
      </vt:variant>
      <vt:variant>
        <vt:lpwstr>http://www.treasury.govt.nz/regulation/regulatoryproposal/ria/handbook</vt:lpwstr>
      </vt:variant>
      <vt:variant>
        <vt:lpwstr/>
      </vt:variant>
      <vt:variant>
        <vt:i4>3801155</vt:i4>
      </vt:variant>
      <vt:variant>
        <vt:i4>0</vt:i4>
      </vt:variant>
      <vt:variant>
        <vt:i4>0</vt:i4>
      </vt:variant>
      <vt:variant>
        <vt:i4>5</vt:i4>
      </vt:variant>
      <vt:variant>
        <vt:lpwstr>mailto:ria@treasury.govt.nz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assessment/statement: Domestic transport services supplied as part of the international transport of goods (31 May 2021)</dc:title>
  <dc:subject/>
  <dc:creator>Policy and Regulatory Stewardship</dc:creator>
  <cp:keywords/>
  <dc:description/>
  <dcterms:created xsi:type="dcterms:W3CDTF">2021-08-09T05:37:00Z</dcterms:created>
  <dcterms:modified xsi:type="dcterms:W3CDTF">2021-08-09T05:37:00Z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2;#Policy ＆ Regulatory Stewardship|5c6da56c-2219-46c1-9c7b-c15fc3fd45a5</vt:lpwstr>
  </property>
  <property fmtid="{D5CDD505-2E9C-101B-9397-08002B2CF9AE}" pid="3" name="ContentTypeId">
    <vt:lpwstr>0x0101000B461733DE48CC4985E239AAFC9C41590100670D0BD9AB7101418FC69E4F42B3A5BC</vt:lpwstr>
  </property>
  <property fmtid="{D5CDD505-2E9C-101B-9397-08002B2CF9AE}" pid="4" name="SecurityClassification">
    <vt:lpwstr>3;#In Confidence|5fccf67f-7cb1-4561-8450-fe0d2ea19178</vt:lpwstr>
  </property>
  <property fmtid="{D5CDD505-2E9C-101B-9397-08002B2CF9AE}" pid="5" name="BusinessActivity">
    <vt:lpwstr>1;#Tax policy work|c05dfd7c-a5ba-47bf-969f-3422104229d3</vt:lpwstr>
  </property>
  <property fmtid="{D5CDD505-2E9C-101B-9397-08002B2CF9AE}" pid="6" name="InformationType">
    <vt:lpwstr/>
  </property>
  <property fmtid="{D5CDD505-2E9C-101B-9397-08002B2CF9AE}" pid="7" name="DocumentStatus">
    <vt:lpwstr/>
  </property>
  <property fmtid="{D5CDD505-2E9C-101B-9397-08002B2CF9AE}" pid="8" name="MediaServiceImageTags">
    <vt:lpwstr/>
  </property>
</Properties>
</file>