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C3B" w14:textId="724FFFE6"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0D6B32">
        <w:t>Tax treatment of c</w:t>
      </w:r>
      <w:r w:rsidR="002E43AE">
        <w:t>ryptocurrencies</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BB4EA2">
        <w:trPr>
          <w:trHeight w:val="680"/>
        </w:trPr>
        <w:tc>
          <w:tcPr>
            <w:tcW w:w="5000" w:type="pct"/>
            <w:shd w:val="clear" w:color="auto" w:fill="EBF5F8"/>
          </w:tcPr>
          <w:p w14:paraId="4B3BF8AC" w14:textId="70EFA1E2" w:rsidR="00DA39FD" w:rsidRPr="00E866E1" w:rsidRDefault="00E866E1" w:rsidP="00E866E1">
            <w:pPr>
              <w:spacing w:after="180"/>
              <w:rPr>
                <w:rFonts w:cs="Arial"/>
                <w:iCs/>
                <w:color w:val="000000"/>
                <w:szCs w:val="22"/>
              </w:rPr>
            </w:pPr>
            <w:r>
              <w:rPr>
                <w:rFonts w:cs="Arial"/>
                <w:i/>
                <w:color w:val="000000"/>
                <w:szCs w:val="22"/>
              </w:rPr>
              <w:t>Inland Revenue</w:t>
            </w:r>
            <w:r>
              <w:rPr>
                <w:rFonts w:cs="Arial"/>
                <w:iCs/>
                <w:color w:val="000000"/>
                <w:szCs w:val="22"/>
              </w:rPr>
              <w:t xml:space="preserve"> is solely responsible for the analysis and advice set out in this Impact Summary, except as otherwise explicitly indicated. This analysis and advice has been produced for the purpose of informing </w:t>
            </w:r>
            <w:r w:rsidRPr="00E866E1">
              <w:rPr>
                <w:rFonts w:cs="Arial"/>
                <w:iCs/>
                <w:color w:val="000000"/>
                <w:szCs w:val="22"/>
              </w:rPr>
              <w:t>policy decisions to be made by Cabinet.</w:t>
            </w:r>
            <w:r w:rsidR="00F7345E">
              <w:t xml:space="preserve"> </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0E9DE160" w14:textId="12040116" w:rsidR="00B10530" w:rsidRDefault="00B10530" w:rsidP="009A6F79">
            <w:pPr>
              <w:spacing w:after="0" w:line="276" w:lineRule="auto"/>
              <w:jc w:val="both"/>
              <w:rPr>
                <w:rFonts w:cs="Arial"/>
                <w:szCs w:val="22"/>
              </w:rPr>
            </w:pPr>
            <w:r>
              <w:rPr>
                <w:rFonts w:cs="Arial"/>
                <w:szCs w:val="22"/>
              </w:rPr>
              <w:t>Due to the nature of blockchain and distributed ledge</w:t>
            </w:r>
            <w:r w:rsidR="00E12737">
              <w:rPr>
                <w:rFonts w:cs="Arial"/>
                <w:szCs w:val="22"/>
              </w:rPr>
              <w:t>r</w:t>
            </w:r>
            <w:r>
              <w:rPr>
                <w:rFonts w:cs="Arial"/>
                <w:szCs w:val="22"/>
              </w:rPr>
              <w:t xml:space="preserve"> technology, there are a number of constraints on the data that is available for analysing the policy problem. First, it is very difficult to determine the identify or tax residency of a crypto-asset user or the counterparty to any given transaction. Second, there are many </w:t>
            </w:r>
            <w:r w:rsidR="00E8783E">
              <w:rPr>
                <w:rFonts w:cs="Arial"/>
                <w:szCs w:val="22"/>
              </w:rPr>
              <w:t>crypto</w:t>
            </w:r>
            <w:r>
              <w:rPr>
                <w:rFonts w:cs="Arial"/>
                <w:szCs w:val="22"/>
              </w:rPr>
              <w:t>-assets (over 10,000) and the underlying technology is extremely complex and constantly evolving. These issues could pose an inherent challenge to crypto-asset tax compliance generally.</w:t>
            </w:r>
          </w:p>
          <w:p w14:paraId="3DD395E5" w14:textId="792A58D7" w:rsidR="00B10530" w:rsidRDefault="00B10530" w:rsidP="009A6F79">
            <w:pPr>
              <w:spacing w:after="0" w:line="276" w:lineRule="auto"/>
              <w:jc w:val="both"/>
              <w:rPr>
                <w:rFonts w:cs="Arial"/>
                <w:szCs w:val="22"/>
              </w:rPr>
            </w:pPr>
          </w:p>
          <w:p w14:paraId="689F2A76" w14:textId="3C543A49" w:rsidR="00B10530" w:rsidRDefault="00B10530" w:rsidP="009A6F79">
            <w:pPr>
              <w:spacing w:after="0" w:line="276" w:lineRule="auto"/>
              <w:jc w:val="both"/>
              <w:rPr>
                <w:rFonts w:cs="Arial"/>
                <w:szCs w:val="22"/>
              </w:rPr>
            </w:pPr>
            <w:r>
              <w:rPr>
                <w:rFonts w:cs="Arial"/>
                <w:szCs w:val="22"/>
              </w:rPr>
              <w:t xml:space="preserve">It is noted that these constraints have not had a large impact on the current proposals. This is because </w:t>
            </w:r>
            <w:r w:rsidR="00E12737">
              <w:rPr>
                <w:rFonts w:cs="Arial"/>
                <w:szCs w:val="22"/>
              </w:rPr>
              <w:t>the preferred option was</w:t>
            </w:r>
            <w:r>
              <w:rPr>
                <w:rFonts w:cs="Arial"/>
                <w:szCs w:val="22"/>
              </w:rPr>
              <w:t xml:space="preserve"> for a broad exemption to exclude crypto-assets from GST and the F</w:t>
            </w:r>
            <w:r w:rsidR="000D4A44">
              <w:rPr>
                <w:rFonts w:cs="Arial"/>
                <w:szCs w:val="22"/>
              </w:rPr>
              <w:t xml:space="preserve">inancial </w:t>
            </w:r>
            <w:r>
              <w:rPr>
                <w:rFonts w:cs="Arial"/>
                <w:szCs w:val="22"/>
              </w:rPr>
              <w:t>A</w:t>
            </w:r>
            <w:r w:rsidR="000D4A44">
              <w:rPr>
                <w:rFonts w:cs="Arial"/>
                <w:szCs w:val="22"/>
              </w:rPr>
              <w:t>rrangement (FA)</w:t>
            </w:r>
            <w:r>
              <w:rPr>
                <w:rFonts w:cs="Arial"/>
                <w:szCs w:val="22"/>
              </w:rPr>
              <w:t xml:space="preserve"> rules</w:t>
            </w:r>
            <w:r w:rsidR="000D4A44">
              <w:rPr>
                <w:rFonts w:cs="Arial"/>
                <w:szCs w:val="22"/>
              </w:rPr>
              <w:t>,</w:t>
            </w:r>
            <w:r>
              <w:rPr>
                <w:rFonts w:cs="Arial"/>
                <w:szCs w:val="22"/>
              </w:rPr>
              <w:t xml:space="preserve"> which makes identifying an individual’s identity and tax residency along with the underlying crypto-assets</w:t>
            </w:r>
            <w:r w:rsidR="00E8783E">
              <w:rPr>
                <w:rFonts w:cs="Arial"/>
                <w:szCs w:val="22"/>
              </w:rPr>
              <w:t xml:space="preserve"> that they invested in not as </w:t>
            </w:r>
            <w:r w:rsidR="000D4A44">
              <w:rPr>
                <w:rFonts w:cs="Arial"/>
                <w:szCs w:val="22"/>
              </w:rPr>
              <w:t>relevant</w:t>
            </w:r>
            <w:r w:rsidR="00E8783E">
              <w:rPr>
                <w:rFonts w:cs="Arial"/>
                <w:szCs w:val="22"/>
              </w:rPr>
              <w:t>. These constraints could be more important if one was looking at applying different treatment depending on the nature of the crypto-asset or required mechanisms to determine tax residency to enforce tax compliance. We suspect that these issues may be greater constraints when wider reform options for income tax</w:t>
            </w:r>
            <w:r w:rsidR="00D02E9F">
              <w:rPr>
                <w:rFonts w:cs="Arial"/>
                <w:szCs w:val="22"/>
              </w:rPr>
              <w:t xml:space="preserve"> are undertaken</w:t>
            </w:r>
            <w:r w:rsidR="00E8783E">
              <w:rPr>
                <w:rFonts w:cs="Arial"/>
                <w:szCs w:val="22"/>
              </w:rPr>
              <w:t>.</w:t>
            </w:r>
          </w:p>
          <w:p w14:paraId="2E97AD8B" w14:textId="684F2C24" w:rsidR="00B85C80" w:rsidRDefault="00B85C80" w:rsidP="009A6F79">
            <w:pPr>
              <w:spacing w:after="0" w:line="276" w:lineRule="auto"/>
              <w:jc w:val="both"/>
              <w:rPr>
                <w:rFonts w:cs="Arial"/>
                <w:szCs w:val="22"/>
              </w:rPr>
            </w:pPr>
          </w:p>
          <w:p w14:paraId="7AC72995" w14:textId="5DAFFC96" w:rsidR="002E43AE" w:rsidRPr="0069218C" w:rsidRDefault="002E43AE" w:rsidP="009A6F79">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B4EA2">
        <w:trPr>
          <w:trHeight w:val="3108"/>
        </w:trPr>
        <w:tc>
          <w:tcPr>
            <w:tcW w:w="5000" w:type="pct"/>
            <w:shd w:val="clear" w:color="auto" w:fill="FFFFFF"/>
          </w:tcPr>
          <w:p w14:paraId="6DAB9601" w14:textId="77777777" w:rsidR="00F93065" w:rsidRDefault="00F93065" w:rsidP="00F93065">
            <w:pPr>
              <w:spacing w:after="0"/>
              <w:rPr>
                <w:rFonts w:cs="Arial"/>
                <w:szCs w:val="22"/>
              </w:rPr>
            </w:pPr>
          </w:p>
          <w:p w14:paraId="14C7EEA7" w14:textId="77777777" w:rsidR="00F93065" w:rsidRDefault="00F93065" w:rsidP="00F93065">
            <w:pPr>
              <w:spacing w:after="0"/>
              <w:rPr>
                <w:rFonts w:cs="Arial"/>
                <w:szCs w:val="22"/>
              </w:rPr>
            </w:pPr>
          </w:p>
          <w:p w14:paraId="12FFEEEF" w14:textId="6AA69C52" w:rsidR="00F93065" w:rsidRPr="007138D4" w:rsidRDefault="00F93065" w:rsidP="00F93065">
            <w:pPr>
              <w:spacing w:after="0"/>
              <w:rPr>
                <w:rFonts w:cs="Arial"/>
                <w:szCs w:val="22"/>
              </w:rPr>
            </w:pPr>
            <w:r>
              <w:rPr>
                <w:rFonts w:cs="Arial"/>
                <w:szCs w:val="22"/>
              </w:rPr>
              <w:t>Graeme Morrison</w:t>
            </w:r>
          </w:p>
          <w:p w14:paraId="7F7E0071" w14:textId="2BF0A341" w:rsidR="00F93065" w:rsidRPr="007138D4" w:rsidRDefault="00F93065" w:rsidP="00F93065">
            <w:pPr>
              <w:spacing w:after="0"/>
              <w:rPr>
                <w:rFonts w:cs="Arial"/>
                <w:szCs w:val="22"/>
              </w:rPr>
            </w:pPr>
            <w:r>
              <w:rPr>
                <w:rFonts w:cs="Arial"/>
                <w:szCs w:val="22"/>
              </w:rPr>
              <w:t xml:space="preserve">Policy </w:t>
            </w:r>
            <w:r w:rsidR="00D02E9F">
              <w:rPr>
                <w:rFonts w:cs="Arial"/>
                <w:szCs w:val="22"/>
              </w:rPr>
              <w:t>Lead</w:t>
            </w:r>
          </w:p>
          <w:p w14:paraId="1FE3E30B" w14:textId="1A58C881" w:rsidR="00F93065" w:rsidRPr="007138D4" w:rsidRDefault="00F93065" w:rsidP="00F93065">
            <w:pPr>
              <w:spacing w:after="0"/>
              <w:rPr>
                <w:rFonts w:cs="Arial"/>
                <w:szCs w:val="22"/>
              </w:rPr>
            </w:pPr>
            <w:r>
              <w:rPr>
                <w:rFonts w:cs="Arial"/>
                <w:szCs w:val="22"/>
              </w:rPr>
              <w:t xml:space="preserve">Policy &amp; </w:t>
            </w:r>
            <w:r w:rsidR="00D02E9F">
              <w:rPr>
                <w:rFonts w:cs="Arial"/>
                <w:szCs w:val="22"/>
              </w:rPr>
              <w:t>Regulatory Stewardship</w:t>
            </w:r>
          </w:p>
          <w:p w14:paraId="0489D75F" w14:textId="77777777" w:rsidR="00F93065" w:rsidRDefault="00F93065" w:rsidP="00F93065">
            <w:pPr>
              <w:spacing w:after="0"/>
              <w:rPr>
                <w:rFonts w:cs="Arial"/>
                <w:szCs w:val="22"/>
              </w:rPr>
            </w:pPr>
            <w:r>
              <w:rPr>
                <w:rFonts w:cs="Arial"/>
                <w:szCs w:val="22"/>
              </w:rPr>
              <w:t>Inland Revenue</w:t>
            </w:r>
          </w:p>
          <w:p w14:paraId="3717F7BB" w14:textId="77777777" w:rsidR="00F93065" w:rsidRDefault="00F93065" w:rsidP="00F93065">
            <w:pPr>
              <w:spacing w:after="0"/>
              <w:rPr>
                <w:rFonts w:cs="Arial"/>
                <w:szCs w:val="22"/>
              </w:rPr>
            </w:pPr>
          </w:p>
          <w:p w14:paraId="08054841" w14:textId="0D4B8C4C" w:rsidR="00E92509" w:rsidRPr="0069218C" w:rsidRDefault="001A1514" w:rsidP="00F93065">
            <w:pPr>
              <w:spacing w:after="180"/>
              <w:rPr>
                <w:rFonts w:cs="Arial"/>
                <w:szCs w:val="22"/>
              </w:rPr>
            </w:pPr>
            <w:r>
              <w:rPr>
                <w:rFonts w:cs="Arial"/>
                <w:szCs w:val="22"/>
              </w:rPr>
              <w:t>31</w:t>
            </w:r>
            <w:r w:rsidR="00F93065">
              <w:rPr>
                <w:rFonts w:cs="Arial"/>
                <w:szCs w:val="22"/>
              </w:rPr>
              <w:t xml:space="preserve"> </w:t>
            </w:r>
            <w:r w:rsidR="00F55CC1">
              <w:rPr>
                <w:rFonts w:cs="Arial"/>
                <w:szCs w:val="22"/>
              </w:rPr>
              <w:t>May 2021</w:t>
            </w:r>
          </w:p>
        </w:tc>
      </w:tr>
    </w:tbl>
    <w:p w14:paraId="4D1670C2" w14:textId="078D66E8" w:rsidR="00EE447B" w:rsidRDefault="00EE447B" w:rsidP="007A484F">
      <w:pPr>
        <w:spacing w:before="240" w:after="0" w:line="276" w:lineRule="auto"/>
        <w:rPr>
          <w:rFonts w:ascii="Arial Narrow" w:hAnsi="Arial Narrow"/>
          <w:i/>
          <w:szCs w:val="22"/>
        </w:rPr>
      </w:pPr>
      <w:bookmarkStart w:id="0" w:name="_Toc363047038"/>
      <w:bookmarkStart w:id="1" w:name="_Toc362940530"/>
      <w:bookmarkStart w:id="2" w:name="_Toc362618966"/>
      <w:bookmarkStart w:id="3" w:name="_Toc362434720"/>
      <w:bookmarkStart w:id="4" w:name="_Toc362368098"/>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27C850ED" w14:textId="529B63C4" w:rsidR="00EE447B" w:rsidRDefault="00C66D74" w:rsidP="00C66D74">
            <w:r>
              <w:lastRenderedPageBreak/>
              <w:t>Inland Revenue</w:t>
            </w: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103684F1" w14:textId="336427F5" w:rsidR="00EE447B" w:rsidRDefault="00C66D74" w:rsidP="00E6054D">
            <w:r w:rsidRPr="00CB41E1">
              <w:t xml:space="preserve">The Quality Assurance reviewer at Inland Revenue has reviewed the </w:t>
            </w:r>
            <w:r w:rsidRPr="00A00DF4">
              <w:rPr>
                <w:i/>
                <w:iCs/>
              </w:rPr>
              <w:t>Tax treatment of cryptocurrencies</w:t>
            </w:r>
            <w:r w:rsidRPr="00CB41E1">
              <w:t xml:space="preserve"> Regulatory Impact Assessment prepared by Inland </w:t>
            </w:r>
            <w:proofErr w:type="gramStart"/>
            <w:r w:rsidRPr="00CB41E1">
              <w:t>Revenue, and</w:t>
            </w:r>
            <w:proofErr w:type="gramEnd"/>
            <w:r w:rsidRPr="00CB41E1">
              <w:t xml:space="preserve"> considers that the information and analysis summarised in the Regulatory Impact Assessment </w:t>
            </w:r>
            <w:r w:rsidRPr="00CB41E1">
              <w:rPr>
                <w:b/>
                <w:bCs/>
              </w:rPr>
              <w:t>meets</w:t>
            </w:r>
            <w:r w:rsidRPr="00CB41E1">
              <w:t xml:space="preserve"> the quality assurance criteria</w:t>
            </w:r>
            <w:r>
              <w:t>.</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2B6BCF00" w14:textId="3F1E46C2" w:rsidR="00EE447B" w:rsidRDefault="00C66D74" w:rsidP="00E6054D">
            <w:r>
              <w:t>The reviewer’s comments on earlier versions of this Regulatory Impact Assessment have been incorporated into this version.</w:t>
            </w:r>
          </w:p>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BB4EA2">
        <w:trPr>
          <w:trHeight w:val="1913"/>
        </w:trPr>
        <w:tc>
          <w:tcPr>
            <w:tcW w:w="5000" w:type="pct"/>
            <w:shd w:val="clear" w:color="auto" w:fill="auto"/>
          </w:tcPr>
          <w:p w14:paraId="2066606C" w14:textId="56B27715" w:rsidR="00F132B2" w:rsidRDefault="00F93065" w:rsidP="00E6054D">
            <w:r>
              <w:rPr>
                <w:b/>
                <w:bCs/>
              </w:rPr>
              <w:t>Background</w:t>
            </w:r>
          </w:p>
          <w:p w14:paraId="178F4509" w14:textId="6F243144" w:rsidR="00F93065" w:rsidRPr="004E6A51" w:rsidRDefault="00F93065" w:rsidP="00F93065">
            <w:pPr>
              <w:pStyle w:val="NumberedParagraph"/>
              <w:tabs>
                <w:tab w:val="clear" w:pos="851"/>
              </w:tabs>
              <w:ind w:left="0" w:firstLine="0"/>
              <w:rPr>
                <w:rFonts w:ascii="Arial" w:hAnsi="Arial" w:cs="Arial"/>
                <w:sz w:val="22"/>
                <w:szCs w:val="22"/>
              </w:rPr>
            </w:pPr>
            <w:proofErr w:type="gramStart"/>
            <w:r w:rsidRPr="004E6A51">
              <w:rPr>
                <w:rFonts w:ascii="Arial" w:hAnsi="Arial" w:cs="Arial"/>
                <w:sz w:val="22"/>
                <w:szCs w:val="22"/>
              </w:rPr>
              <w:t>Crypto-assets</w:t>
            </w:r>
            <w:proofErr w:type="gramEnd"/>
            <w:r w:rsidRPr="004E6A51">
              <w:rPr>
                <w:rFonts w:ascii="Arial" w:hAnsi="Arial" w:cs="Arial"/>
                <w:sz w:val="22"/>
                <w:szCs w:val="22"/>
              </w:rPr>
              <w:t xml:space="preserve"> are digital assets (commonly known as coins or tokens) that use cryptography to secure transactions and verify the transfer of the coins or tokens. Instead of relying on a financial institution to verify transactions, crypto-asset transactions are confirmed by computers operating on the currency's network (distributed ledger technology).</w:t>
            </w:r>
          </w:p>
          <w:p w14:paraId="2F58853A" w14:textId="5A63272D" w:rsidR="00F93065" w:rsidRDefault="00F93065" w:rsidP="00F93065">
            <w:pPr>
              <w:pStyle w:val="NumberedParagraph"/>
              <w:tabs>
                <w:tab w:val="clear" w:pos="851"/>
              </w:tabs>
              <w:ind w:left="0" w:firstLine="0"/>
              <w:rPr>
                <w:rFonts w:ascii="Arial" w:hAnsi="Arial" w:cs="Arial"/>
                <w:sz w:val="22"/>
                <w:szCs w:val="22"/>
              </w:rPr>
            </w:pPr>
            <w:r w:rsidRPr="004E6A51">
              <w:rPr>
                <w:rFonts w:ascii="Arial" w:hAnsi="Arial" w:cs="Arial"/>
                <w:sz w:val="22"/>
                <w:szCs w:val="22"/>
              </w:rPr>
              <w:t xml:space="preserve">Tax rules in New Zealand and </w:t>
            </w:r>
            <w:r w:rsidR="002E43AE">
              <w:rPr>
                <w:rFonts w:ascii="Arial" w:hAnsi="Arial" w:cs="Arial"/>
                <w:sz w:val="22"/>
                <w:szCs w:val="22"/>
              </w:rPr>
              <w:t>many other countries</w:t>
            </w:r>
            <w:r w:rsidR="002E43AE" w:rsidRPr="004E6A51">
              <w:rPr>
                <w:rFonts w:ascii="Arial" w:hAnsi="Arial" w:cs="Arial"/>
                <w:sz w:val="22"/>
                <w:szCs w:val="22"/>
              </w:rPr>
              <w:t xml:space="preserve"> </w:t>
            </w:r>
            <w:r w:rsidRPr="004E6A51">
              <w:rPr>
                <w:rFonts w:ascii="Arial" w:hAnsi="Arial" w:cs="Arial"/>
                <w:sz w:val="22"/>
                <w:szCs w:val="22"/>
              </w:rPr>
              <w:t xml:space="preserve">do not contemplate crypto-assets and can be difficult to apply as crypto-assets will often not fit into existing definitions that were designed for other investment products such as </w:t>
            </w:r>
            <w:r w:rsidR="00AC71A0">
              <w:rPr>
                <w:rFonts w:ascii="Arial" w:hAnsi="Arial" w:cs="Arial"/>
                <w:sz w:val="22"/>
                <w:szCs w:val="22"/>
              </w:rPr>
              <w:t xml:space="preserve">fiat </w:t>
            </w:r>
            <w:r w:rsidRPr="004E6A51">
              <w:rPr>
                <w:rFonts w:ascii="Arial" w:hAnsi="Arial" w:cs="Arial"/>
                <w:sz w:val="22"/>
                <w:szCs w:val="22"/>
              </w:rPr>
              <w:t>currency</w:t>
            </w:r>
            <w:r w:rsidR="002E43AE">
              <w:rPr>
                <w:rFonts w:ascii="Arial" w:hAnsi="Arial" w:cs="Arial"/>
                <w:sz w:val="22"/>
                <w:szCs w:val="22"/>
              </w:rPr>
              <w:t xml:space="preserve"> or shares.</w:t>
            </w:r>
            <w:r w:rsidRPr="004E6A51">
              <w:rPr>
                <w:rFonts w:ascii="Arial" w:hAnsi="Arial" w:cs="Arial"/>
                <w:sz w:val="22"/>
                <w:szCs w:val="22"/>
              </w:rPr>
              <w:t xml:space="preserve"> Because of their innovative nature, they will often also have different features to these other investment products.</w:t>
            </w:r>
          </w:p>
          <w:p w14:paraId="22DB557D" w14:textId="46CF0DE6" w:rsidR="00E8783E" w:rsidRDefault="00E8783E" w:rsidP="00F93065">
            <w:pPr>
              <w:pStyle w:val="NumberedParagraph"/>
              <w:tabs>
                <w:tab w:val="clear" w:pos="851"/>
              </w:tabs>
              <w:ind w:left="0" w:firstLine="0"/>
              <w:rPr>
                <w:rFonts w:ascii="Arial" w:hAnsi="Arial" w:cs="Arial"/>
                <w:sz w:val="22"/>
                <w:szCs w:val="22"/>
              </w:rPr>
            </w:pPr>
            <w:r>
              <w:rPr>
                <w:rFonts w:ascii="Arial" w:hAnsi="Arial" w:cs="Arial"/>
                <w:sz w:val="22"/>
                <w:szCs w:val="22"/>
              </w:rPr>
              <w:t>Due to the nature of blockchain, we do not have a sense of</w:t>
            </w:r>
            <w:r w:rsidR="00954154">
              <w:rPr>
                <w:rFonts w:ascii="Arial" w:hAnsi="Arial" w:cs="Arial"/>
                <w:sz w:val="22"/>
                <w:szCs w:val="22"/>
              </w:rPr>
              <w:t xml:space="preserve"> scale as to how many New Zealand tax residents are crypto-asset users or holders. However, on a global scale the number of crypto-assets and the amount of money that is invested in them has been growing prolifically over the last couple of years (at time of writing there are over 10,000 crypto-assets with a </w:t>
            </w:r>
            <w:r w:rsidR="00C2560F">
              <w:rPr>
                <w:rFonts w:ascii="Arial" w:hAnsi="Arial" w:cs="Arial"/>
                <w:sz w:val="22"/>
                <w:szCs w:val="22"/>
              </w:rPr>
              <w:t xml:space="preserve">global </w:t>
            </w:r>
            <w:r w:rsidR="00954154">
              <w:rPr>
                <w:rFonts w:ascii="Arial" w:hAnsi="Arial" w:cs="Arial"/>
                <w:sz w:val="22"/>
                <w:szCs w:val="22"/>
              </w:rPr>
              <w:t>market capitalisation of almost $1.7 trillion dollars).</w:t>
            </w:r>
          </w:p>
          <w:p w14:paraId="70134158" w14:textId="20619582" w:rsidR="00F93065" w:rsidRPr="004E6A51" w:rsidRDefault="00F93065" w:rsidP="00F93065">
            <w:pPr>
              <w:pStyle w:val="NumberedParagraph"/>
              <w:tabs>
                <w:tab w:val="clear" w:pos="851"/>
              </w:tabs>
              <w:ind w:left="0" w:firstLine="0"/>
              <w:rPr>
                <w:rFonts w:ascii="Arial" w:hAnsi="Arial" w:cs="Arial"/>
                <w:sz w:val="22"/>
                <w:szCs w:val="22"/>
              </w:rPr>
            </w:pPr>
            <w:r w:rsidRPr="004E6A51">
              <w:rPr>
                <w:rFonts w:ascii="Arial" w:hAnsi="Arial" w:cs="Arial"/>
                <w:b/>
                <w:bCs/>
                <w:sz w:val="22"/>
                <w:szCs w:val="22"/>
              </w:rPr>
              <w:t>Current law</w:t>
            </w:r>
          </w:p>
          <w:p w14:paraId="2A4AA403" w14:textId="7D40348D" w:rsidR="001B5688" w:rsidRDefault="00F93065" w:rsidP="00F93065">
            <w:pPr>
              <w:pStyle w:val="NumberedParagraph"/>
              <w:tabs>
                <w:tab w:val="clear" w:pos="851"/>
              </w:tabs>
              <w:ind w:left="0" w:firstLine="0"/>
              <w:rPr>
                <w:rFonts w:ascii="Arial" w:hAnsi="Arial" w:cs="Arial"/>
                <w:sz w:val="22"/>
                <w:szCs w:val="22"/>
              </w:rPr>
            </w:pPr>
            <w:r w:rsidRPr="004E6A51">
              <w:rPr>
                <w:rFonts w:ascii="Arial" w:hAnsi="Arial" w:cs="Arial"/>
                <w:sz w:val="22"/>
                <w:szCs w:val="22"/>
              </w:rPr>
              <w:t xml:space="preserve">The current position is that </w:t>
            </w:r>
            <w:proofErr w:type="gramStart"/>
            <w:r w:rsidRPr="004E6A51">
              <w:rPr>
                <w:rFonts w:ascii="Arial" w:hAnsi="Arial" w:cs="Arial"/>
                <w:sz w:val="22"/>
                <w:szCs w:val="22"/>
              </w:rPr>
              <w:t>crypto-assets</w:t>
            </w:r>
            <w:proofErr w:type="gramEnd"/>
            <w:r w:rsidRPr="004E6A51">
              <w:rPr>
                <w:rFonts w:ascii="Arial" w:hAnsi="Arial" w:cs="Arial"/>
                <w:sz w:val="22"/>
                <w:szCs w:val="22"/>
              </w:rPr>
              <w:t xml:space="preserve"> </w:t>
            </w:r>
            <w:r w:rsidR="0059587E">
              <w:rPr>
                <w:rFonts w:ascii="Arial" w:hAnsi="Arial" w:cs="Arial"/>
                <w:sz w:val="22"/>
                <w:szCs w:val="22"/>
              </w:rPr>
              <w:t xml:space="preserve">are </w:t>
            </w:r>
            <w:r w:rsidRPr="004E6A51">
              <w:rPr>
                <w:rFonts w:ascii="Arial" w:hAnsi="Arial" w:cs="Arial"/>
                <w:sz w:val="22"/>
                <w:szCs w:val="22"/>
              </w:rPr>
              <w:t xml:space="preserve">likely </w:t>
            </w:r>
            <w:r w:rsidR="000D6B32">
              <w:rPr>
                <w:rFonts w:ascii="Arial" w:hAnsi="Arial" w:cs="Arial"/>
                <w:sz w:val="22"/>
                <w:szCs w:val="22"/>
              </w:rPr>
              <w:t xml:space="preserve">to </w:t>
            </w:r>
            <w:r w:rsidRPr="004E6A51">
              <w:rPr>
                <w:rFonts w:ascii="Arial" w:hAnsi="Arial" w:cs="Arial"/>
                <w:sz w:val="22"/>
                <w:szCs w:val="22"/>
              </w:rPr>
              <w:t xml:space="preserve">fall within the scope of existing GST rules (although this position is unclear). </w:t>
            </w:r>
            <w:r w:rsidR="004D67EE">
              <w:rPr>
                <w:rFonts w:ascii="Arial" w:hAnsi="Arial" w:cs="Arial"/>
                <w:sz w:val="22"/>
                <w:szCs w:val="22"/>
              </w:rPr>
              <w:t xml:space="preserve">Although GST does not apply to money or financial services, </w:t>
            </w:r>
            <w:proofErr w:type="gramStart"/>
            <w:r w:rsidR="004D67EE">
              <w:rPr>
                <w:rFonts w:ascii="Arial" w:hAnsi="Arial" w:cs="Arial"/>
                <w:sz w:val="22"/>
                <w:szCs w:val="22"/>
              </w:rPr>
              <w:t>c</w:t>
            </w:r>
            <w:r w:rsidRPr="004E6A51">
              <w:rPr>
                <w:rFonts w:ascii="Arial" w:hAnsi="Arial" w:cs="Arial"/>
                <w:sz w:val="22"/>
                <w:szCs w:val="22"/>
              </w:rPr>
              <w:t>rypto-assets</w:t>
            </w:r>
            <w:proofErr w:type="gramEnd"/>
            <w:r w:rsidRPr="004E6A51">
              <w:rPr>
                <w:rFonts w:ascii="Arial" w:hAnsi="Arial" w:cs="Arial"/>
                <w:sz w:val="22"/>
                <w:szCs w:val="22"/>
              </w:rPr>
              <w:t xml:space="preserve"> are not money for the purposes of the GST </w:t>
            </w:r>
            <w:r w:rsidR="0059587E">
              <w:rPr>
                <w:rFonts w:ascii="Arial" w:hAnsi="Arial" w:cs="Arial"/>
                <w:sz w:val="22"/>
                <w:szCs w:val="22"/>
              </w:rPr>
              <w:t>A</w:t>
            </w:r>
            <w:r w:rsidRPr="004E6A51">
              <w:rPr>
                <w:rFonts w:ascii="Arial" w:hAnsi="Arial" w:cs="Arial"/>
                <w:sz w:val="22"/>
                <w:szCs w:val="22"/>
              </w:rPr>
              <w:t xml:space="preserve">ct. </w:t>
            </w:r>
            <w:r w:rsidR="00080F5E">
              <w:rPr>
                <w:rFonts w:ascii="Arial" w:hAnsi="Arial" w:cs="Arial"/>
                <w:sz w:val="22"/>
                <w:szCs w:val="22"/>
              </w:rPr>
              <w:t xml:space="preserve">Under current law, the application of GST to crypto-assets would vary depending on the facts, the features of the crypto-asset and the residency </w:t>
            </w:r>
            <w:r w:rsidR="00B64D7A">
              <w:rPr>
                <w:rFonts w:ascii="Arial" w:hAnsi="Arial" w:cs="Arial"/>
                <w:sz w:val="22"/>
                <w:szCs w:val="22"/>
              </w:rPr>
              <w:t xml:space="preserve">of </w:t>
            </w:r>
            <w:r w:rsidR="00080F5E">
              <w:rPr>
                <w:rFonts w:ascii="Arial" w:hAnsi="Arial" w:cs="Arial"/>
                <w:sz w:val="22"/>
                <w:szCs w:val="22"/>
              </w:rPr>
              <w:t xml:space="preserve">the parties to the transaction. The supply of a </w:t>
            </w:r>
            <w:proofErr w:type="gramStart"/>
            <w:r w:rsidR="00080F5E">
              <w:rPr>
                <w:rFonts w:ascii="Arial" w:hAnsi="Arial" w:cs="Arial"/>
                <w:sz w:val="22"/>
                <w:szCs w:val="22"/>
              </w:rPr>
              <w:t>crypto-asset</w:t>
            </w:r>
            <w:proofErr w:type="gramEnd"/>
            <w:r w:rsidR="00080F5E">
              <w:rPr>
                <w:rFonts w:ascii="Arial" w:hAnsi="Arial" w:cs="Arial"/>
                <w:sz w:val="22"/>
                <w:szCs w:val="22"/>
              </w:rPr>
              <w:t xml:space="preserve"> could </w:t>
            </w:r>
            <w:r w:rsidR="00B64D7A">
              <w:rPr>
                <w:rFonts w:ascii="Arial" w:hAnsi="Arial" w:cs="Arial"/>
                <w:sz w:val="22"/>
                <w:szCs w:val="22"/>
              </w:rPr>
              <w:t xml:space="preserve">either </w:t>
            </w:r>
            <w:r w:rsidR="00080F5E">
              <w:rPr>
                <w:rFonts w:ascii="Arial" w:hAnsi="Arial" w:cs="Arial"/>
                <w:sz w:val="22"/>
                <w:szCs w:val="22"/>
              </w:rPr>
              <w:t xml:space="preserve">be subject to GST at 15%, </w:t>
            </w:r>
            <w:r w:rsidR="00B6282E">
              <w:rPr>
                <w:rFonts w:ascii="Arial" w:hAnsi="Arial" w:cs="Arial"/>
                <w:sz w:val="22"/>
                <w:szCs w:val="22"/>
              </w:rPr>
              <w:t>an exempt financial service, or a zero-rated supply to a non-resident.</w:t>
            </w:r>
          </w:p>
          <w:p w14:paraId="786721C4" w14:textId="1B52CBBE" w:rsidR="002E43AE" w:rsidRDefault="00F93065" w:rsidP="00F93065">
            <w:pPr>
              <w:pStyle w:val="NumberedParagraph"/>
              <w:tabs>
                <w:tab w:val="clear" w:pos="851"/>
              </w:tabs>
              <w:ind w:left="0" w:firstLine="0"/>
              <w:rPr>
                <w:rFonts w:ascii="Arial" w:hAnsi="Arial" w:cs="Arial"/>
                <w:sz w:val="22"/>
                <w:szCs w:val="22"/>
              </w:rPr>
            </w:pPr>
            <w:r w:rsidRPr="004E6A51">
              <w:rPr>
                <w:rFonts w:ascii="Arial" w:hAnsi="Arial" w:cs="Arial"/>
                <w:sz w:val="22"/>
                <w:szCs w:val="22"/>
              </w:rPr>
              <w:t xml:space="preserve"> If GST were to apply to </w:t>
            </w:r>
            <w:proofErr w:type="gramStart"/>
            <w:r w:rsidRPr="004E6A51">
              <w:rPr>
                <w:rFonts w:ascii="Arial" w:hAnsi="Arial" w:cs="Arial"/>
                <w:sz w:val="22"/>
                <w:szCs w:val="22"/>
              </w:rPr>
              <w:t>crypto-assets</w:t>
            </w:r>
            <w:proofErr w:type="gramEnd"/>
            <w:r w:rsidRPr="004E6A51">
              <w:rPr>
                <w:rFonts w:ascii="Arial" w:hAnsi="Arial" w:cs="Arial"/>
                <w:sz w:val="22"/>
                <w:szCs w:val="22"/>
              </w:rPr>
              <w:t xml:space="preserve"> this could create biases to sell to non-residents (zero-rated) and would result in double taxation in some cases </w:t>
            </w:r>
            <w:r w:rsidR="002E43AE">
              <w:rPr>
                <w:rFonts w:ascii="Arial" w:hAnsi="Arial" w:cs="Arial"/>
                <w:sz w:val="22"/>
                <w:szCs w:val="22"/>
              </w:rPr>
              <w:t xml:space="preserve">(e.g. </w:t>
            </w:r>
            <w:r w:rsidR="00F84615">
              <w:rPr>
                <w:rFonts w:ascii="Arial" w:hAnsi="Arial" w:cs="Arial"/>
                <w:sz w:val="22"/>
                <w:szCs w:val="22"/>
              </w:rPr>
              <w:t>i</w:t>
            </w:r>
            <w:r w:rsidR="002E43AE">
              <w:rPr>
                <w:rFonts w:ascii="Arial" w:hAnsi="Arial" w:cs="Arial"/>
                <w:sz w:val="22"/>
                <w:szCs w:val="22"/>
              </w:rPr>
              <w:t xml:space="preserve">f a car dealer sold a car and accepted a payment in bitcoin the dealer would have to account for GST on the sale of the </w:t>
            </w:r>
            <w:r w:rsidR="00F84615">
              <w:rPr>
                <w:rFonts w:ascii="Arial" w:hAnsi="Arial" w:cs="Arial"/>
                <w:sz w:val="22"/>
                <w:szCs w:val="22"/>
              </w:rPr>
              <w:t>car</w:t>
            </w:r>
            <w:r w:rsidR="00405224">
              <w:rPr>
                <w:rFonts w:ascii="Arial" w:hAnsi="Arial" w:cs="Arial"/>
                <w:sz w:val="22"/>
                <w:szCs w:val="22"/>
              </w:rPr>
              <w:t xml:space="preserve"> </w:t>
            </w:r>
            <w:r w:rsidR="002E43AE">
              <w:rPr>
                <w:rFonts w:ascii="Arial" w:hAnsi="Arial" w:cs="Arial"/>
                <w:sz w:val="22"/>
                <w:szCs w:val="22"/>
              </w:rPr>
              <w:t>for bitcoin, and then a second time when transferring that bitcoin into NZD).</w:t>
            </w:r>
          </w:p>
          <w:p w14:paraId="128DD047" w14:textId="42400714" w:rsidR="00F132B2" w:rsidRPr="00034587" w:rsidRDefault="00F963B0" w:rsidP="00034587">
            <w:pPr>
              <w:pStyle w:val="NumberedParagraph"/>
              <w:tabs>
                <w:tab w:val="clear" w:pos="851"/>
              </w:tabs>
              <w:ind w:left="0" w:firstLine="0"/>
              <w:rPr>
                <w:rFonts w:ascii="Arial" w:hAnsi="Arial" w:cs="Arial"/>
                <w:sz w:val="22"/>
                <w:szCs w:val="22"/>
              </w:rPr>
            </w:pPr>
            <w:r>
              <w:rPr>
                <w:rFonts w:ascii="Arial" w:hAnsi="Arial" w:cs="Arial"/>
                <w:sz w:val="22"/>
                <w:szCs w:val="22"/>
              </w:rPr>
              <w:t>In this regard, the current GST rules provide an uncertain and variable GST treatment</w:t>
            </w:r>
            <w:r w:rsidR="0059587E">
              <w:rPr>
                <w:rFonts w:ascii="Arial" w:hAnsi="Arial" w:cs="Arial"/>
                <w:sz w:val="22"/>
                <w:szCs w:val="22"/>
              </w:rPr>
              <w:t>. This could make</w:t>
            </w:r>
            <w:r>
              <w:rPr>
                <w:rFonts w:ascii="Arial" w:hAnsi="Arial" w:cs="Arial"/>
                <w:sz w:val="22"/>
                <w:szCs w:val="22"/>
              </w:rPr>
              <w:t xml:space="preserve"> using </w:t>
            </w:r>
            <w:r w:rsidR="008A5972">
              <w:rPr>
                <w:rFonts w:ascii="Arial" w:hAnsi="Arial" w:cs="Arial"/>
                <w:sz w:val="22"/>
                <w:szCs w:val="22"/>
              </w:rPr>
              <w:t>or investing in crypto-assets less attractive than using money or investing in other financial assets.</w:t>
            </w:r>
            <w:r w:rsidR="009A6F79">
              <w:rPr>
                <w:rFonts w:ascii="Arial" w:hAnsi="Arial" w:cs="Arial"/>
                <w:sz w:val="22"/>
                <w:szCs w:val="22"/>
              </w:rPr>
              <w:t xml:space="preserve"> Similarly,</w:t>
            </w:r>
            <w:r w:rsidR="008A5972">
              <w:rPr>
                <w:rFonts w:ascii="Arial" w:hAnsi="Arial" w:cs="Arial"/>
                <w:sz w:val="22"/>
                <w:szCs w:val="22"/>
              </w:rPr>
              <w:t xml:space="preserve"> </w:t>
            </w:r>
            <w:r w:rsidR="006326DE">
              <w:rPr>
                <w:rFonts w:ascii="Arial" w:hAnsi="Arial" w:cs="Arial"/>
                <w:sz w:val="22"/>
                <w:szCs w:val="22"/>
              </w:rPr>
              <w:t xml:space="preserve">applying the </w:t>
            </w:r>
            <w:r w:rsidR="00B85C80">
              <w:rPr>
                <w:rFonts w:ascii="Arial" w:hAnsi="Arial" w:cs="Arial"/>
                <w:sz w:val="22"/>
                <w:szCs w:val="22"/>
              </w:rPr>
              <w:t xml:space="preserve">FA rules </w:t>
            </w:r>
            <w:r w:rsidR="006326DE">
              <w:rPr>
                <w:rFonts w:ascii="Arial" w:hAnsi="Arial" w:cs="Arial"/>
                <w:sz w:val="22"/>
                <w:szCs w:val="22"/>
              </w:rPr>
              <w:t xml:space="preserve">to </w:t>
            </w:r>
            <w:proofErr w:type="gramStart"/>
            <w:r w:rsidR="00F55CC1">
              <w:rPr>
                <w:rFonts w:ascii="Arial" w:hAnsi="Arial" w:cs="Arial"/>
                <w:sz w:val="22"/>
                <w:szCs w:val="22"/>
              </w:rPr>
              <w:t>crypto</w:t>
            </w:r>
            <w:r w:rsidR="006326DE">
              <w:rPr>
                <w:rFonts w:ascii="Arial" w:hAnsi="Arial" w:cs="Arial"/>
                <w:sz w:val="22"/>
                <w:szCs w:val="22"/>
              </w:rPr>
              <w:t>-assets</w:t>
            </w:r>
            <w:proofErr w:type="gramEnd"/>
            <w:r w:rsidR="006326DE">
              <w:rPr>
                <w:rFonts w:ascii="Arial" w:hAnsi="Arial" w:cs="Arial"/>
                <w:sz w:val="22"/>
                <w:szCs w:val="22"/>
              </w:rPr>
              <w:t xml:space="preserve"> would lead to accrual based taxation on large unrealised gains and losses and could bias investment decisions. The FA rules are complex to apply and do not apply to shares (which are a similar investment product). </w:t>
            </w: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2A9BCF9A" w14:textId="05EE0D7E" w:rsidR="00165231" w:rsidRDefault="00A52B9B" w:rsidP="00E6054D">
            <w:r>
              <w:rPr>
                <w:b/>
                <w:bCs/>
              </w:rPr>
              <w:t>Holders of crypto-assets:</w:t>
            </w:r>
            <w:r>
              <w:t xml:space="preserve"> Anyone who holds crypto-assets </w:t>
            </w:r>
            <w:r w:rsidR="006D06D5">
              <w:t xml:space="preserve">is potentially impacted by </w:t>
            </w:r>
            <w:r w:rsidR="007C44D5">
              <w:t>the GST treatment of these assets</w:t>
            </w:r>
            <w:r w:rsidR="009846AB">
              <w:t>. T</w:t>
            </w:r>
            <w:r w:rsidR="00ED6328">
              <w:t xml:space="preserve">his includes investors, </w:t>
            </w:r>
            <w:r w:rsidR="00F10B3D">
              <w:t>New Zealand businesses which issue crypto-assets or accept them as payment,</w:t>
            </w:r>
            <w:r w:rsidR="00ED6328">
              <w:t xml:space="preserve"> and NZ based exchanges</w:t>
            </w:r>
            <w:r w:rsidR="007C44D5">
              <w:t xml:space="preserve">. </w:t>
            </w:r>
            <w:r w:rsidR="00165231">
              <w:t xml:space="preserve">Anyone </w:t>
            </w:r>
            <w:r w:rsidR="00420103">
              <w:t xml:space="preserve">that is GST registered </w:t>
            </w:r>
            <w:r w:rsidR="00165231">
              <w:t xml:space="preserve">who holds crypto-assets will be confronted by the GST treatment upon the disposal of their asset (potentially including trading one crypto-asset for another, selling it for money or trading it for other goods). </w:t>
            </w:r>
            <w:r w:rsidR="00E0509F">
              <w:t>As the current law is unclear, there is likely to be a high degree of non-compliance or inconsistent treatment being applied across the board.</w:t>
            </w:r>
          </w:p>
          <w:p w14:paraId="17C29B0E" w14:textId="744D1E7F" w:rsidR="00F132B2" w:rsidRPr="00735CAB" w:rsidRDefault="001E20CA" w:rsidP="00683307">
            <w:r>
              <w:t>More generally, it can also be argued that</w:t>
            </w:r>
            <w:r w:rsidR="009574C0">
              <w:t xml:space="preserve"> the current ambiguity in the rules means </w:t>
            </w:r>
            <w:r w:rsidR="009A75BF">
              <w:t xml:space="preserve">that </w:t>
            </w:r>
            <w:r w:rsidR="009A75BF">
              <w:rPr>
                <w:i/>
                <w:iCs/>
              </w:rPr>
              <w:t>potential</w:t>
            </w:r>
            <w:r w:rsidR="009A75BF">
              <w:t xml:space="preserve"> </w:t>
            </w:r>
            <w:r w:rsidR="00F10B3D">
              <w:t xml:space="preserve">users </w:t>
            </w:r>
            <w:r w:rsidR="009A75BF">
              <w:t xml:space="preserve">of </w:t>
            </w:r>
            <w:proofErr w:type="gramStart"/>
            <w:r w:rsidR="009A75BF">
              <w:t>crypto-assets</w:t>
            </w:r>
            <w:proofErr w:type="gramEnd"/>
            <w:r w:rsidR="009A75BF">
              <w:t xml:space="preserve"> are disincentivised from </w:t>
            </w:r>
            <w:r w:rsidR="00F10B3D">
              <w:t>using or investing into</w:t>
            </w:r>
            <w:r w:rsidR="009A75BF">
              <w:t xml:space="preserve"> these assets.</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1FF3F36D" w14:textId="6B572941" w:rsidR="00F132B2" w:rsidRDefault="006A515C" w:rsidP="006A515C">
            <w:pPr>
              <w:pStyle w:val="ListParagraph"/>
              <w:numPr>
                <w:ilvl w:val="0"/>
                <w:numId w:val="39"/>
              </w:numPr>
            </w:pPr>
            <w:r>
              <w:t>It is intended that crypto-assets should have a similar tax treatment to other investment products or asset classes which are close substitutes for the crypto-asset</w:t>
            </w:r>
            <w:r w:rsidR="00665889">
              <w:t xml:space="preserve"> (i</w:t>
            </w:r>
            <w:r>
              <w:t>t is not intended that crypto-assets would receive a concessionary treatment</w:t>
            </w:r>
            <w:proofErr w:type="gramStart"/>
            <w:r w:rsidR="00665889">
              <w:t>);</w:t>
            </w:r>
            <w:proofErr w:type="gramEnd"/>
          </w:p>
          <w:p w14:paraId="5D68A9BF" w14:textId="0658A4BF" w:rsidR="006A515C" w:rsidRDefault="006A1BD0" w:rsidP="006A515C">
            <w:pPr>
              <w:pStyle w:val="ListParagraph"/>
              <w:numPr>
                <w:ilvl w:val="0"/>
                <w:numId w:val="39"/>
              </w:numPr>
            </w:pPr>
            <w:r>
              <w:t xml:space="preserve">NZ </w:t>
            </w:r>
            <w:r w:rsidR="000D7CF2">
              <w:t>crypto-asset holders are not disadvantaged from issuing or selling tokens in NZ (relative to selling tokens outside NZ or capital raising through other means)</w:t>
            </w:r>
            <w:r w:rsidR="00665889">
              <w:t>; and</w:t>
            </w:r>
          </w:p>
          <w:p w14:paraId="04419523" w14:textId="305CA243" w:rsidR="00FE263B" w:rsidRDefault="00295F16" w:rsidP="006A515C">
            <w:pPr>
              <w:pStyle w:val="ListParagraph"/>
              <w:numPr>
                <w:ilvl w:val="0"/>
                <w:numId w:val="39"/>
              </w:numPr>
            </w:pPr>
            <w:r>
              <w:t>a</w:t>
            </w:r>
            <w:r w:rsidR="00FE263B">
              <w:t>ny solution does not impose undue compliance costs</w:t>
            </w:r>
            <w:r w:rsidR="00681179">
              <w:t xml:space="preserve"> or create perverse incentives</w:t>
            </w:r>
            <w:r w:rsidR="004C0262">
              <w:t>.</w:t>
            </w:r>
          </w:p>
          <w:p w14:paraId="0E7369D4" w14:textId="77777777" w:rsidR="000D7CF2" w:rsidRDefault="000D7CF2" w:rsidP="00311017">
            <w:pPr>
              <w:pStyle w:val="ListParagraph"/>
            </w:pPr>
          </w:p>
          <w:p w14:paraId="6CCE6DE4" w14:textId="77777777" w:rsidR="00F132B2" w:rsidRPr="0069218C" w:rsidRDefault="00F132B2" w:rsidP="00C7655A">
            <w:pPr>
              <w:spacing w:after="0" w:line="276" w:lineRule="auto"/>
              <w:jc w:val="both"/>
              <w:rPr>
                <w:rFonts w:cs="Arial"/>
                <w:szCs w:val="22"/>
              </w:rPr>
            </w:pPr>
          </w:p>
        </w:tc>
      </w:tr>
    </w:tbl>
    <w:p w14:paraId="23951347" w14:textId="014101A8" w:rsidR="00E92509" w:rsidRDefault="00A552DC" w:rsidP="001B4792">
      <w:pPr>
        <w:pStyle w:val="Heading2"/>
      </w:pPr>
      <w:r w:rsidRPr="0069218C">
        <w:rPr>
          <w:lang w:val="en-NZ"/>
        </w:rPr>
        <w:br w:type="page"/>
      </w:r>
      <w:r w:rsidR="00BE62EB" w:rsidRPr="002D5734">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3871735C" w14:textId="44440C8E" w:rsidR="00F132B2" w:rsidRDefault="00C50565" w:rsidP="00C7655A">
            <w:r>
              <w:t>The following criteria w</w:t>
            </w:r>
            <w:r w:rsidR="00AC2F70">
              <w:t>ere</w:t>
            </w:r>
            <w:r>
              <w:t xml:space="preserve"> used to assess the options:</w:t>
            </w:r>
          </w:p>
          <w:p w14:paraId="24363ADA" w14:textId="4F94B99E" w:rsidR="00C50565" w:rsidRDefault="00C50565" w:rsidP="00DB2FE7">
            <w:pPr>
              <w:pStyle w:val="ListParagraph"/>
              <w:numPr>
                <w:ilvl w:val="0"/>
                <w:numId w:val="48"/>
              </w:numPr>
            </w:pPr>
            <w:r>
              <w:t>Certainty:</w:t>
            </w:r>
            <w:r w:rsidR="007E6CBF">
              <w:t xml:space="preserve"> It should be clear how the tax rules operate so that affected parties can plan their affairs accordingly.</w:t>
            </w:r>
          </w:p>
          <w:p w14:paraId="17A1B44C" w14:textId="3357576E" w:rsidR="007E6CBF" w:rsidRDefault="00C52097" w:rsidP="00DB2FE7">
            <w:pPr>
              <w:pStyle w:val="ListParagraph"/>
              <w:numPr>
                <w:ilvl w:val="0"/>
                <w:numId w:val="48"/>
              </w:numPr>
            </w:pPr>
            <w:r>
              <w:t>Policy sustainability:</w:t>
            </w:r>
            <w:r w:rsidR="001A4C04">
              <w:t xml:space="preserve"> </w:t>
            </w:r>
            <w:proofErr w:type="gramStart"/>
            <w:r w:rsidR="001A4C04">
              <w:t>Crypto-assets</w:t>
            </w:r>
            <w:proofErr w:type="gramEnd"/>
            <w:r w:rsidR="001A4C04">
              <w:t xml:space="preserve"> are an emerging market</w:t>
            </w:r>
            <w:r w:rsidR="00BB05D8">
              <w:t xml:space="preserve">. There are over </w:t>
            </w:r>
            <w:r w:rsidR="004A29C5">
              <w:t>10</w:t>
            </w:r>
            <w:r w:rsidR="00BB05D8">
              <w:t xml:space="preserve">,000 </w:t>
            </w:r>
            <w:proofErr w:type="gramStart"/>
            <w:r w:rsidR="00BB05D8">
              <w:t>crypto-assets</w:t>
            </w:r>
            <w:proofErr w:type="gramEnd"/>
            <w:r w:rsidR="00BB05D8">
              <w:t xml:space="preserve"> </w:t>
            </w:r>
            <w:r w:rsidR="00111E9A">
              <w:t>with various functions and constantly changing use</w:t>
            </w:r>
            <w:r w:rsidR="00954154">
              <w:t>s</w:t>
            </w:r>
            <w:r w:rsidR="00111E9A">
              <w:t xml:space="preserve">. </w:t>
            </w:r>
            <w:r w:rsidR="00DC06E7">
              <w:t xml:space="preserve">It is important that </w:t>
            </w:r>
            <w:r w:rsidR="00634985">
              <w:t>the rules are stable enough to future proof against changes in this area.</w:t>
            </w:r>
          </w:p>
          <w:p w14:paraId="05E85DFF" w14:textId="0BF4C1FF" w:rsidR="00316ED4" w:rsidRDefault="00B16F35" w:rsidP="00012973">
            <w:pPr>
              <w:pStyle w:val="ListParagraph"/>
              <w:numPr>
                <w:ilvl w:val="0"/>
                <w:numId w:val="48"/>
              </w:numPr>
            </w:pPr>
            <w:r>
              <w:t>Compliance costs and administration costs</w:t>
            </w:r>
            <w:r w:rsidR="00013D94">
              <w:t xml:space="preserve">: These should be minimised where possible. It is noted that </w:t>
            </w:r>
            <w:proofErr w:type="gramStart"/>
            <w:r w:rsidR="00013D94">
              <w:t>crypto-assets</w:t>
            </w:r>
            <w:proofErr w:type="gramEnd"/>
            <w:r w:rsidR="00013D94">
              <w:t xml:space="preserve"> have many different rights and features and are constantly changing.</w:t>
            </w:r>
            <w:r w:rsidR="00C30242">
              <w:t xml:space="preserve"> If prescriptive categorisations are </w:t>
            </w:r>
            <w:proofErr w:type="gramStart"/>
            <w:r w:rsidR="00C30242">
              <w:t>required</w:t>
            </w:r>
            <w:proofErr w:type="gramEnd"/>
            <w:r w:rsidR="00C30242">
              <w:t xml:space="preserve"> then this adds compliance costs for the taxpayer.</w:t>
            </w:r>
          </w:p>
          <w:p w14:paraId="47C31978" w14:textId="77777777" w:rsidR="00012973" w:rsidRPr="000D6B32" w:rsidRDefault="00012973" w:rsidP="00012973">
            <w:pPr>
              <w:pStyle w:val="ListParagraph"/>
            </w:pPr>
          </w:p>
          <w:p w14:paraId="6ABDDA09" w14:textId="29022418" w:rsidR="00316ED4" w:rsidRDefault="00316ED4" w:rsidP="00012973">
            <w:pPr>
              <w:rPr>
                <w:b/>
                <w:bCs/>
              </w:rPr>
            </w:pPr>
            <w:r w:rsidRPr="000D6B32">
              <w:rPr>
                <w:b/>
                <w:bCs/>
              </w:rPr>
              <w:t>Option one: Status quo</w:t>
            </w:r>
            <w:r w:rsidR="00DB2FE7">
              <w:rPr>
                <w:b/>
                <w:bCs/>
              </w:rPr>
              <w:t xml:space="preserve"> but provide more guidance</w:t>
            </w:r>
          </w:p>
          <w:p w14:paraId="3E1B3143" w14:textId="29977F13" w:rsidR="00316ED4" w:rsidRPr="00012973" w:rsidRDefault="00044E7F" w:rsidP="00316ED4">
            <w:pPr>
              <w:rPr>
                <w:b/>
                <w:bCs/>
              </w:rPr>
            </w:pPr>
            <w:r w:rsidRPr="00012973">
              <w:rPr>
                <w:b/>
                <w:bCs/>
                <w:i/>
                <w:iCs/>
              </w:rPr>
              <w:t>Pros</w:t>
            </w:r>
            <w:r w:rsidRPr="00012973">
              <w:rPr>
                <w:b/>
                <w:bCs/>
              </w:rPr>
              <w:t>:</w:t>
            </w:r>
          </w:p>
          <w:p w14:paraId="33F2BD77" w14:textId="22B4F586" w:rsidR="00044E7F" w:rsidRDefault="00044E7F" w:rsidP="00DB2FE7">
            <w:pPr>
              <w:pStyle w:val="ListParagraph"/>
              <w:numPr>
                <w:ilvl w:val="0"/>
                <w:numId w:val="48"/>
              </w:numPr>
            </w:pPr>
            <w:r>
              <w:t>No legislation change would be required</w:t>
            </w:r>
            <w:r w:rsidR="00DB2FE7">
              <w:t>.</w:t>
            </w:r>
          </w:p>
          <w:p w14:paraId="13B9C8C2" w14:textId="74394C6F" w:rsidR="00420103" w:rsidRPr="00012973" w:rsidRDefault="00044E7F" w:rsidP="00316ED4">
            <w:pPr>
              <w:rPr>
                <w:b/>
                <w:bCs/>
              </w:rPr>
            </w:pPr>
            <w:r w:rsidRPr="00012973">
              <w:rPr>
                <w:b/>
                <w:bCs/>
                <w:i/>
                <w:iCs/>
              </w:rPr>
              <w:t>Cons</w:t>
            </w:r>
            <w:r w:rsidRPr="00012973">
              <w:rPr>
                <w:b/>
                <w:bCs/>
              </w:rPr>
              <w:t>:</w:t>
            </w:r>
          </w:p>
          <w:p w14:paraId="39AE0D3E" w14:textId="00C0C9D3" w:rsidR="00DB2FE7" w:rsidRPr="00F55CC1" w:rsidRDefault="00DB2FE7" w:rsidP="00DB2FE7">
            <w:pPr>
              <w:pStyle w:val="ListParagraph"/>
              <w:numPr>
                <w:ilvl w:val="0"/>
                <w:numId w:val="48"/>
              </w:numPr>
            </w:pPr>
            <w:r w:rsidRPr="00F55CC1">
              <w:t xml:space="preserve">Given the many potential GST treatments that could apply to </w:t>
            </w:r>
            <w:proofErr w:type="gramStart"/>
            <w:r w:rsidRPr="00F55CC1">
              <w:t>crypto-assets</w:t>
            </w:r>
            <w:proofErr w:type="gramEnd"/>
            <w:r w:rsidRPr="00F55CC1">
              <w:t xml:space="preserve"> under existing law, this approach would potentially be more time consuming than enacting legislation.</w:t>
            </w:r>
          </w:p>
          <w:p w14:paraId="653EE959" w14:textId="67616D7C" w:rsidR="00DB2FE7" w:rsidRPr="00F55CC1" w:rsidRDefault="00DB2FE7" w:rsidP="00DB2FE7">
            <w:pPr>
              <w:pStyle w:val="ListParagraph"/>
              <w:numPr>
                <w:ilvl w:val="0"/>
                <w:numId w:val="48"/>
              </w:numPr>
            </w:pPr>
            <w:r w:rsidRPr="00F55CC1">
              <w:t>Would not have the legal weighting that legislation has</w:t>
            </w:r>
            <w:r w:rsidR="00303452">
              <w:t>.</w:t>
            </w:r>
          </w:p>
          <w:p w14:paraId="398AF5C4" w14:textId="1D81F7D5" w:rsidR="00DB2FE7" w:rsidRPr="00F55CC1" w:rsidRDefault="00DB2FE7" w:rsidP="00DB2FE7">
            <w:pPr>
              <w:pStyle w:val="ListParagraph"/>
              <w:numPr>
                <w:ilvl w:val="0"/>
                <w:numId w:val="48"/>
              </w:numPr>
            </w:pPr>
            <w:r w:rsidRPr="00F55CC1">
              <w:t>Would fail to future proof against future changes</w:t>
            </w:r>
            <w:r w:rsidR="00303452">
              <w:t xml:space="preserve"> in the crypto-asset market.</w:t>
            </w:r>
          </w:p>
          <w:p w14:paraId="23033267" w14:textId="1E0D7522" w:rsidR="00DB2FE7" w:rsidRPr="00F55CC1" w:rsidRDefault="00DB2FE7" w:rsidP="00DB2FE7">
            <w:pPr>
              <w:pStyle w:val="ListParagraph"/>
              <w:numPr>
                <w:ilvl w:val="0"/>
                <w:numId w:val="48"/>
              </w:numPr>
            </w:pPr>
            <w:r w:rsidRPr="00F55CC1">
              <w:t>Would fail to reduce the complexity of the existing law and therefore still burdens taxpayers with heavy compliance costs to determine how their respective assets fit within guidance.</w:t>
            </w:r>
          </w:p>
          <w:p w14:paraId="7F3F47AF" w14:textId="3CEA8250" w:rsidR="00DB2FE7" w:rsidRDefault="00DB2FE7" w:rsidP="00DB2FE7">
            <w:pPr>
              <w:pStyle w:val="ListParagraph"/>
              <w:numPr>
                <w:ilvl w:val="0"/>
                <w:numId w:val="48"/>
              </w:numPr>
            </w:pPr>
            <w:r>
              <w:t>Would not solve any of the problems identified to the extent that guidance on existing law determined that it did apply (</w:t>
            </w:r>
            <w:proofErr w:type="gramStart"/>
            <w:r>
              <w:t>e.g.</w:t>
            </w:r>
            <w:proofErr w:type="gramEnd"/>
            <w:r>
              <w:t xml:space="preserve"> if guidance on existing law determined that the FA rules applied to a particular crypto-asset then the taxpayer would still be subject to accrual based taxation on potentially large unrealised gains).</w:t>
            </w:r>
          </w:p>
          <w:p w14:paraId="4A53F315" w14:textId="00AE781C" w:rsidR="000D4E23" w:rsidRDefault="000D4E23" w:rsidP="000D6B32"/>
          <w:p w14:paraId="3E2B41AB" w14:textId="01A28632" w:rsidR="00D32DBB" w:rsidRDefault="000D4E23" w:rsidP="00D32DBB">
            <w:pPr>
              <w:rPr>
                <w:b/>
                <w:bCs/>
              </w:rPr>
            </w:pPr>
            <w:r>
              <w:rPr>
                <w:b/>
                <w:bCs/>
              </w:rPr>
              <w:t xml:space="preserve">Option </w:t>
            </w:r>
            <w:r w:rsidR="0006356E">
              <w:rPr>
                <w:b/>
                <w:bCs/>
              </w:rPr>
              <w:t>two</w:t>
            </w:r>
            <w:r>
              <w:rPr>
                <w:b/>
                <w:bCs/>
              </w:rPr>
              <w:t>: Token classification framework and deeming rules</w:t>
            </w:r>
          </w:p>
          <w:p w14:paraId="70F713D6" w14:textId="683D0A17" w:rsidR="000D4E23" w:rsidRPr="000D4E23" w:rsidRDefault="004846CD" w:rsidP="00D32DBB">
            <w:r>
              <w:t xml:space="preserve">This option would develop a framework for categorising different types of crypto-assets and use this to create deeming provisions that apply across all Revenue </w:t>
            </w:r>
            <w:r w:rsidR="004932B3">
              <w:t>A</w:t>
            </w:r>
            <w:r>
              <w:t>cts.</w:t>
            </w:r>
            <w:r w:rsidR="000039A8">
              <w:t xml:space="preserve"> For example, </w:t>
            </w:r>
            <w:proofErr w:type="gramStart"/>
            <w:r w:rsidR="000039A8">
              <w:t>crypto-assets</w:t>
            </w:r>
            <w:proofErr w:type="gramEnd"/>
            <w:r w:rsidR="000039A8">
              <w:t xml:space="preserve"> could be categorised as </w:t>
            </w:r>
            <w:r w:rsidR="00C14FDF">
              <w:t>a utility, security or asset token based on their particular rights and features</w:t>
            </w:r>
            <w:r w:rsidR="004932B3">
              <w:t>,</w:t>
            </w:r>
            <w:r w:rsidR="00C14FDF">
              <w:t xml:space="preserve"> and then be given a tax treatment similar to other asset classes that hold such features.</w:t>
            </w:r>
          </w:p>
          <w:p w14:paraId="489A67A5" w14:textId="5944D42E" w:rsidR="00D32DBB" w:rsidRPr="00012973" w:rsidRDefault="00BA393D" w:rsidP="00D32DBB">
            <w:pPr>
              <w:rPr>
                <w:b/>
                <w:bCs/>
              </w:rPr>
            </w:pPr>
            <w:r w:rsidRPr="00012973">
              <w:rPr>
                <w:b/>
                <w:bCs/>
                <w:i/>
                <w:iCs/>
              </w:rPr>
              <w:t>Pros:</w:t>
            </w:r>
          </w:p>
          <w:p w14:paraId="649C605C" w14:textId="66985934" w:rsidR="00D5449C" w:rsidRDefault="0010162B" w:rsidP="00DB2FE7">
            <w:pPr>
              <w:pStyle w:val="ListParagraph"/>
              <w:numPr>
                <w:ilvl w:val="0"/>
                <w:numId w:val="48"/>
              </w:numPr>
            </w:pPr>
            <w:r>
              <w:t>This approach</w:t>
            </w:r>
            <w:r w:rsidR="0039293F">
              <w:t xml:space="preserve"> is principled and tax neutral.</w:t>
            </w:r>
            <w:r w:rsidR="009A6F79">
              <w:t xml:space="preserve"> </w:t>
            </w:r>
            <w:r>
              <w:t xml:space="preserve">For example, it would provide a neutral tax treatment for those </w:t>
            </w:r>
            <w:proofErr w:type="gramStart"/>
            <w:r>
              <w:t>crypto-assets</w:t>
            </w:r>
            <w:proofErr w:type="gramEnd"/>
            <w:r>
              <w:t xml:space="preserve"> which are close substitutes for existing financial products such as currency or shares</w:t>
            </w:r>
            <w:r w:rsidR="00733938">
              <w:t>, whereas other tokens</w:t>
            </w:r>
            <w:r w:rsidR="004932B3">
              <w:t xml:space="preserve"> (</w:t>
            </w:r>
            <w:r w:rsidR="00733938">
              <w:t>such as utility tokens</w:t>
            </w:r>
            <w:r w:rsidR="004932B3">
              <w:t xml:space="preserve">) </w:t>
            </w:r>
            <w:r w:rsidR="00733938">
              <w:t>could be subject to GST.</w:t>
            </w:r>
          </w:p>
          <w:p w14:paraId="4E722AF1" w14:textId="5F7DE5B0" w:rsidR="0039293F" w:rsidRDefault="0039293F" w:rsidP="00DB2FE7">
            <w:pPr>
              <w:pStyle w:val="ListParagraph"/>
              <w:numPr>
                <w:ilvl w:val="0"/>
                <w:numId w:val="48"/>
              </w:numPr>
            </w:pPr>
            <w:r>
              <w:t>Comprehensive: A taxpayer would have the advantage of being able to apply all the existing law that stands behind each respective classification. For example, if a particular crypto-asset was deemed to be money, the taxpayer could apply all relevant tax law and guidance that applied to money to their crypto-asset.</w:t>
            </w:r>
          </w:p>
          <w:p w14:paraId="31FAE5C8" w14:textId="795A95A5" w:rsidR="00D5449C" w:rsidRPr="00012973" w:rsidRDefault="00D5449C" w:rsidP="00D5449C">
            <w:pPr>
              <w:rPr>
                <w:b/>
                <w:bCs/>
              </w:rPr>
            </w:pPr>
            <w:r w:rsidRPr="00012973">
              <w:rPr>
                <w:b/>
                <w:bCs/>
                <w:i/>
                <w:iCs/>
              </w:rPr>
              <w:t>Cons:</w:t>
            </w:r>
          </w:p>
          <w:p w14:paraId="232BDE5E" w14:textId="21C4DEF4" w:rsidR="00D5449C" w:rsidRDefault="00DD7C7E" w:rsidP="00DB2FE7">
            <w:pPr>
              <w:pStyle w:val="ListParagraph"/>
              <w:numPr>
                <w:ilvl w:val="0"/>
                <w:numId w:val="48"/>
              </w:numPr>
            </w:pPr>
            <w:r>
              <w:t xml:space="preserve">This approach assumes that </w:t>
            </w:r>
            <w:proofErr w:type="gramStart"/>
            <w:r>
              <w:t>crypto-assets</w:t>
            </w:r>
            <w:proofErr w:type="gramEnd"/>
            <w:r w:rsidR="00256DBC">
              <w:t xml:space="preserve"> all</w:t>
            </w:r>
            <w:r>
              <w:t xml:space="preserve"> have similar uses to existing financial products</w:t>
            </w:r>
            <w:r w:rsidR="00E556AB">
              <w:t>. This may not be the case, meaning that existing rules may be impractical to apply to</w:t>
            </w:r>
            <w:r w:rsidR="0006356E">
              <w:t xml:space="preserve"> </w:t>
            </w:r>
            <w:r w:rsidR="00256DBC">
              <w:t>a number of</w:t>
            </w:r>
            <w:r w:rsidR="00E556AB">
              <w:t xml:space="preserve"> </w:t>
            </w:r>
            <w:proofErr w:type="gramStart"/>
            <w:r w:rsidR="00E556AB">
              <w:t>crypto-assets</w:t>
            </w:r>
            <w:proofErr w:type="gramEnd"/>
            <w:r w:rsidR="00E556AB">
              <w:t>.</w:t>
            </w:r>
          </w:p>
          <w:p w14:paraId="7B7AC8D7" w14:textId="77777777" w:rsidR="00012973" w:rsidRDefault="00012973" w:rsidP="00012973">
            <w:pPr>
              <w:pStyle w:val="ListParagraph"/>
            </w:pPr>
          </w:p>
          <w:p w14:paraId="5B34A225" w14:textId="056200EB" w:rsidR="00E2030A" w:rsidRDefault="00E2030A" w:rsidP="00E2030A">
            <w:r>
              <w:rPr>
                <w:b/>
                <w:bCs/>
              </w:rPr>
              <w:t xml:space="preserve">Option </w:t>
            </w:r>
            <w:r w:rsidR="00E54986">
              <w:rPr>
                <w:b/>
                <w:bCs/>
              </w:rPr>
              <w:t>three</w:t>
            </w:r>
            <w:r>
              <w:rPr>
                <w:b/>
                <w:bCs/>
              </w:rPr>
              <w:t>: Broad definition</w:t>
            </w:r>
          </w:p>
          <w:p w14:paraId="48133E0D" w14:textId="23F2832C" w:rsidR="00B6654E" w:rsidRDefault="00B6654E" w:rsidP="00E2030A">
            <w:r>
              <w:t xml:space="preserve">This </w:t>
            </w:r>
            <w:r w:rsidR="00E54986">
              <w:t>option would prioritise</w:t>
            </w:r>
            <w:r>
              <w:t xml:space="preserve"> specific changes </w:t>
            </w:r>
            <w:r w:rsidR="001B141D">
              <w:t xml:space="preserve">that create the most significant policy issues when applied to crypto assets (applying GST and the </w:t>
            </w:r>
            <w:r w:rsidR="00B85C80">
              <w:t>FA</w:t>
            </w:r>
            <w:r w:rsidR="001B141D">
              <w:t xml:space="preserve"> rules lead to significant policy and practical issues when applied to </w:t>
            </w:r>
            <w:proofErr w:type="gramStart"/>
            <w:r w:rsidR="001B141D">
              <w:t>crypto-assets</w:t>
            </w:r>
            <w:proofErr w:type="gramEnd"/>
            <w:r w:rsidR="001B141D">
              <w:t>). The approach</w:t>
            </w:r>
            <w:r w:rsidR="004B1665">
              <w:t xml:space="preserve"> then creates a broad definition of “crypto-asset” and excludes those that meet the definition from GST and the </w:t>
            </w:r>
            <w:r w:rsidR="00B85C80">
              <w:t>FA</w:t>
            </w:r>
            <w:r w:rsidR="004B1665">
              <w:t xml:space="preserve"> rules</w:t>
            </w:r>
            <w:r w:rsidR="000D6B32">
              <w:t xml:space="preserve"> (by classifying them as an excepted </w:t>
            </w:r>
            <w:r w:rsidR="00B85C80">
              <w:t>FA</w:t>
            </w:r>
            <w:r w:rsidR="000D6B32">
              <w:t>)</w:t>
            </w:r>
            <w:r w:rsidR="004B1665">
              <w:t>.</w:t>
            </w:r>
          </w:p>
          <w:p w14:paraId="6D1954E4" w14:textId="18859DF8" w:rsidR="00923805" w:rsidRPr="00012973" w:rsidRDefault="00923805" w:rsidP="00E2030A">
            <w:pPr>
              <w:rPr>
                <w:b/>
                <w:bCs/>
              </w:rPr>
            </w:pPr>
            <w:r w:rsidRPr="00012973">
              <w:rPr>
                <w:b/>
                <w:bCs/>
              </w:rPr>
              <w:t>Pros</w:t>
            </w:r>
            <w:r w:rsidR="00012973">
              <w:rPr>
                <w:b/>
                <w:bCs/>
              </w:rPr>
              <w:t>:</w:t>
            </w:r>
          </w:p>
          <w:p w14:paraId="1FA1FB6A" w14:textId="72D7469D" w:rsidR="00805B68" w:rsidRPr="00D029FD" w:rsidRDefault="00805B68" w:rsidP="00DB2FE7">
            <w:pPr>
              <w:pStyle w:val="ListParagraph"/>
              <w:numPr>
                <w:ilvl w:val="0"/>
                <w:numId w:val="48"/>
              </w:numPr>
              <w:rPr>
                <w:b/>
                <w:bCs/>
              </w:rPr>
            </w:pPr>
            <w:r>
              <w:t xml:space="preserve">Utilising a broad definition of crypto-assets best future proofs against changes in </w:t>
            </w:r>
            <w:r w:rsidR="00256DBC">
              <w:t>the crypto-asset market</w:t>
            </w:r>
            <w:r>
              <w:t>.</w:t>
            </w:r>
            <w:r w:rsidR="007C0F9E">
              <w:t xml:space="preserve"> </w:t>
            </w:r>
            <w:r w:rsidR="00E96687">
              <w:t>A broad definition prevents the need for regular reviews.</w:t>
            </w:r>
          </w:p>
          <w:p w14:paraId="68B8E656" w14:textId="77777777" w:rsidR="00D029FD" w:rsidRPr="00805B68" w:rsidRDefault="00D029FD" w:rsidP="00D029FD">
            <w:pPr>
              <w:pStyle w:val="ListParagraph"/>
              <w:rPr>
                <w:b/>
                <w:bCs/>
              </w:rPr>
            </w:pPr>
          </w:p>
          <w:p w14:paraId="2F053771" w14:textId="786F0D76" w:rsidR="008C32CD" w:rsidRPr="008C32CD" w:rsidRDefault="00A57D3E" w:rsidP="00E2030A">
            <w:pPr>
              <w:rPr>
                <w:bCs/>
                <w:i/>
                <w:iCs/>
              </w:rPr>
            </w:pPr>
            <w:r>
              <w:rPr>
                <w:bCs/>
                <w:i/>
                <w:iCs/>
              </w:rPr>
              <w:t>Making supplies of crypto-assets not subject</w:t>
            </w:r>
            <w:r w:rsidR="008C32CD">
              <w:rPr>
                <w:bCs/>
                <w:i/>
                <w:iCs/>
              </w:rPr>
              <w:t xml:space="preserve"> GST</w:t>
            </w:r>
          </w:p>
          <w:p w14:paraId="7F36633B" w14:textId="56A18E10" w:rsidR="00923805" w:rsidRDefault="00A57D3E" w:rsidP="00DB2FE7">
            <w:pPr>
              <w:pStyle w:val="ListParagraph"/>
              <w:numPr>
                <w:ilvl w:val="0"/>
                <w:numId w:val="48"/>
              </w:numPr>
            </w:pPr>
            <w:r>
              <w:t>Making</w:t>
            </w:r>
            <w:r w:rsidR="00923805">
              <w:t xml:space="preserve"> crypto-assets </w:t>
            </w:r>
            <w:r>
              <w:t>not subject to GST</w:t>
            </w:r>
            <w:r w:rsidR="007E7634">
              <w:t xml:space="preserve"> creates certainty (under current principles the treatment would vary greatly depending on the residency of the buyer, the nature of the crypto-asset and the facts of the scenario at hand).</w:t>
            </w:r>
          </w:p>
          <w:p w14:paraId="782C84ED" w14:textId="23858AC4" w:rsidR="00447649" w:rsidRDefault="008B2E14" w:rsidP="00DB2FE7">
            <w:pPr>
              <w:pStyle w:val="ListParagraph"/>
              <w:numPr>
                <w:ilvl w:val="0"/>
                <w:numId w:val="48"/>
              </w:numPr>
            </w:pPr>
            <w:r>
              <w:t xml:space="preserve">Avoids compliance costs associated with categorising </w:t>
            </w:r>
            <w:proofErr w:type="gramStart"/>
            <w:r>
              <w:t>crypto-assets</w:t>
            </w:r>
            <w:proofErr w:type="gramEnd"/>
            <w:r>
              <w:t xml:space="preserve"> for purposes of determining GST treatment.</w:t>
            </w:r>
          </w:p>
          <w:p w14:paraId="55293D98" w14:textId="11475E84" w:rsidR="008B2E14" w:rsidRDefault="008B2E14" w:rsidP="00DB2FE7">
            <w:pPr>
              <w:pStyle w:val="ListParagraph"/>
              <w:numPr>
                <w:ilvl w:val="0"/>
                <w:numId w:val="48"/>
              </w:numPr>
            </w:pPr>
            <w:r>
              <w:t>Ensures NZ investors are not disadvantaged from</w:t>
            </w:r>
            <w:r w:rsidR="00D84994">
              <w:t xml:space="preserve"> selling tokens in NZ compared to overseas (zero-rated). It is also more attractive for businesses to undertake capital raising ventures with </w:t>
            </w:r>
            <w:proofErr w:type="gramStart"/>
            <w:r w:rsidR="00D84994">
              <w:t>crypto</w:t>
            </w:r>
            <w:r w:rsidR="00510781">
              <w:t>-assets</w:t>
            </w:r>
            <w:proofErr w:type="gramEnd"/>
            <w:r w:rsidR="00D84994">
              <w:t xml:space="preserve"> in NZ if they are </w:t>
            </w:r>
            <w:r w:rsidR="0074400C">
              <w:t>not subject to</w:t>
            </w:r>
            <w:r w:rsidR="00D84994">
              <w:t xml:space="preserve"> GST and</w:t>
            </w:r>
            <w:r w:rsidR="0074400C">
              <w:t xml:space="preserve"> exempt from</w:t>
            </w:r>
            <w:r w:rsidR="00D84994">
              <w:t xml:space="preserve"> FA rules.</w:t>
            </w:r>
            <w:r w:rsidR="00961E7C">
              <w:rPr>
                <w:rStyle w:val="FootnoteReference"/>
              </w:rPr>
              <w:footnoteReference w:id="1"/>
            </w:r>
          </w:p>
          <w:p w14:paraId="13803B77" w14:textId="1D4BDB11" w:rsidR="00257060" w:rsidRDefault="00257060" w:rsidP="00DB2FE7">
            <w:pPr>
              <w:pStyle w:val="ListParagraph"/>
              <w:numPr>
                <w:ilvl w:val="0"/>
                <w:numId w:val="48"/>
              </w:numPr>
            </w:pPr>
            <w:r>
              <w:t xml:space="preserve">Avoids double or multiple taxation that can occur when </w:t>
            </w:r>
            <w:proofErr w:type="gramStart"/>
            <w:r>
              <w:t>crypto-assets</w:t>
            </w:r>
            <w:proofErr w:type="gramEnd"/>
            <w:r>
              <w:t xml:space="preserve"> are </w:t>
            </w:r>
            <w:r w:rsidR="00E96687">
              <w:t xml:space="preserve">used </w:t>
            </w:r>
            <w:r>
              <w:t>as a payment for an underlying supply.</w:t>
            </w:r>
          </w:p>
          <w:p w14:paraId="64414087" w14:textId="77777777" w:rsidR="00EE388F" w:rsidRDefault="00EE388F" w:rsidP="00EE388F">
            <w:pPr>
              <w:pStyle w:val="ListParagraph"/>
            </w:pPr>
          </w:p>
          <w:p w14:paraId="625BA3D7" w14:textId="03931733" w:rsidR="00E04EEC" w:rsidRPr="00E04EEC" w:rsidRDefault="00E04EEC" w:rsidP="00E04EEC">
            <w:pPr>
              <w:rPr>
                <w:i/>
                <w:iCs/>
              </w:rPr>
            </w:pPr>
            <w:r>
              <w:rPr>
                <w:i/>
                <w:iCs/>
              </w:rPr>
              <w:t>Exempting from FA rules</w:t>
            </w:r>
          </w:p>
          <w:p w14:paraId="5266156A" w14:textId="6A7CECC1" w:rsidR="00D84994" w:rsidRDefault="0082456C" w:rsidP="00DB2FE7">
            <w:pPr>
              <w:pStyle w:val="ListParagraph"/>
              <w:numPr>
                <w:ilvl w:val="0"/>
                <w:numId w:val="48"/>
              </w:numPr>
            </w:pPr>
            <w:r>
              <w:t xml:space="preserve">Avoids the application of the FA rules: if the FA rules were to </w:t>
            </w:r>
            <w:r w:rsidR="00E96687">
              <w:t xml:space="preserve">apply </w:t>
            </w:r>
            <w:r>
              <w:t xml:space="preserve">to some crypto-assets </w:t>
            </w:r>
            <w:r w:rsidR="00E04EEC">
              <w:t xml:space="preserve">and not others </w:t>
            </w:r>
            <w:r>
              <w:t xml:space="preserve">(similar in kind to other assets to which </w:t>
            </w:r>
            <w:r w:rsidR="002E43AE">
              <w:t>financial arrangements</w:t>
            </w:r>
            <w:r>
              <w:t xml:space="preserve"> apply) then this </w:t>
            </w:r>
            <w:r w:rsidR="00665878">
              <w:t xml:space="preserve">creates </w:t>
            </w:r>
            <w:r w:rsidR="003E32C3">
              <w:t>inconsistencies</w:t>
            </w:r>
            <w:r w:rsidR="00501143">
              <w:t xml:space="preserve">. This </w:t>
            </w:r>
            <w:r w:rsidR="00D84DEB">
              <w:t>would result in accrual-based taxation on large unrealised gains and losses from volatile crypto assets</w:t>
            </w:r>
            <w:r w:rsidR="00F77580">
              <w:t xml:space="preserve"> and the consequent biasing of investment decisions if some are taxed on a realisation basis and others aren’t.</w:t>
            </w:r>
          </w:p>
          <w:p w14:paraId="451FBDC6" w14:textId="6CF64DF9" w:rsidR="00F77580" w:rsidRDefault="00C21111" w:rsidP="00DB2FE7">
            <w:pPr>
              <w:pStyle w:val="ListParagraph"/>
              <w:numPr>
                <w:ilvl w:val="0"/>
                <w:numId w:val="48"/>
              </w:numPr>
            </w:pPr>
            <w:r>
              <w:t xml:space="preserve">Subjecting crypto assets to </w:t>
            </w:r>
            <w:r w:rsidR="00501143">
              <w:t xml:space="preserve">the </w:t>
            </w:r>
            <w:r>
              <w:t>FA rules also</w:t>
            </w:r>
            <w:r w:rsidR="00F83EA4">
              <w:t xml:space="preserve"> creates compliance costs: individual</w:t>
            </w:r>
            <w:r w:rsidR="006611D2">
              <w:t xml:space="preserve"> would be required to convert their </w:t>
            </w:r>
            <w:proofErr w:type="gramStart"/>
            <w:r w:rsidR="006611D2">
              <w:t>crypto-assets</w:t>
            </w:r>
            <w:proofErr w:type="gramEnd"/>
            <w:r w:rsidR="006611D2">
              <w:t xml:space="preserve"> into NZ</w:t>
            </w:r>
            <w:r w:rsidR="00E96687">
              <w:t>D</w:t>
            </w:r>
            <w:r w:rsidR="00E971D6">
              <w:t>, spread income over the term of the arrangement and undertake a base price adjustment.</w:t>
            </w:r>
          </w:p>
          <w:p w14:paraId="0DDB6D0E" w14:textId="5909E1D9" w:rsidR="00767C98" w:rsidRDefault="00767C98" w:rsidP="00767C98">
            <w:r>
              <w:rPr>
                <w:b/>
                <w:bCs/>
              </w:rPr>
              <w:t>Cons</w:t>
            </w:r>
            <w:r w:rsidR="00012973">
              <w:rPr>
                <w:b/>
                <w:bCs/>
              </w:rPr>
              <w:t>:</w:t>
            </w:r>
          </w:p>
          <w:p w14:paraId="58EB1F66" w14:textId="0DD3BF58" w:rsidR="0039293F" w:rsidRDefault="0039293F" w:rsidP="00DB2FE7">
            <w:pPr>
              <w:pStyle w:val="ListParagraph"/>
              <w:numPr>
                <w:ilvl w:val="0"/>
                <w:numId w:val="48"/>
              </w:numPr>
            </w:pPr>
            <w:r>
              <w:t>If adopted, this proposal would not actually reduce the compliance cost of applying other tax rules (such as working out the income tax profit or loss, or record-keeping).</w:t>
            </w:r>
          </w:p>
          <w:p w14:paraId="3388B357" w14:textId="0E972ECD" w:rsidR="00767C98" w:rsidRPr="00767C98" w:rsidRDefault="00DF1CF4" w:rsidP="00DB2FE7">
            <w:pPr>
              <w:pStyle w:val="ListParagraph"/>
              <w:numPr>
                <w:ilvl w:val="0"/>
                <w:numId w:val="48"/>
              </w:numPr>
            </w:pPr>
            <w:r>
              <w:t>Does lack accuracy to some extent</w:t>
            </w:r>
            <w:r w:rsidR="00A56D75">
              <w:t xml:space="preserve"> as all </w:t>
            </w:r>
            <w:proofErr w:type="gramStart"/>
            <w:r w:rsidR="00A56D75">
              <w:t>crypto-assets</w:t>
            </w:r>
            <w:proofErr w:type="gramEnd"/>
            <w:r w:rsidR="00A56D75">
              <w:t xml:space="preserve"> regardless of their features would </w:t>
            </w:r>
            <w:r w:rsidR="0074400C">
              <w:t>not be subject to</w:t>
            </w:r>
            <w:r w:rsidR="00A56D75">
              <w:t xml:space="preserve"> GST and </w:t>
            </w:r>
            <w:r w:rsidR="0074400C">
              <w:t xml:space="preserve">exempt from </w:t>
            </w:r>
            <w:r w:rsidR="00A56D75">
              <w:t>the FA rules.</w:t>
            </w:r>
          </w:p>
          <w:p w14:paraId="31303E87" w14:textId="370B7F46" w:rsidR="00B6654E" w:rsidRDefault="00B6654E" w:rsidP="00E2030A"/>
          <w:p w14:paraId="4CD2A71C" w14:textId="77777777" w:rsidR="00736322" w:rsidRDefault="00736322" w:rsidP="00F55CC1">
            <w:pPr>
              <w:pStyle w:val="ListParagraph"/>
              <w:rPr>
                <w:u w:val="single"/>
              </w:rPr>
            </w:pPr>
          </w:p>
          <w:p w14:paraId="6960A81A" w14:textId="6E13B501" w:rsidR="00736322" w:rsidRPr="00F55CC1" w:rsidRDefault="00736322" w:rsidP="00736322">
            <w:pPr>
              <w:rPr>
                <w:b/>
                <w:bCs/>
              </w:rPr>
            </w:pPr>
            <w:r w:rsidRPr="00F55CC1">
              <w:rPr>
                <w:b/>
                <w:bCs/>
              </w:rPr>
              <w:t xml:space="preserve">Option </w:t>
            </w:r>
            <w:r w:rsidR="00DB2FE7" w:rsidRPr="00F55CC1">
              <w:rPr>
                <w:b/>
                <w:bCs/>
              </w:rPr>
              <w:t>f</w:t>
            </w:r>
            <w:r w:rsidR="00DB2FE7">
              <w:rPr>
                <w:b/>
                <w:bCs/>
              </w:rPr>
              <w:t>our</w:t>
            </w:r>
            <w:r w:rsidRPr="00F55CC1">
              <w:rPr>
                <w:b/>
                <w:bCs/>
              </w:rPr>
              <w:t>: Develop a standalone set of tax rules for cryptocurrencies</w:t>
            </w:r>
          </w:p>
          <w:p w14:paraId="69D04793" w14:textId="33F4285E" w:rsidR="00736322" w:rsidRPr="00012973" w:rsidRDefault="00736322" w:rsidP="00736322">
            <w:pPr>
              <w:rPr>
                <w:b/>
                <w:bCs/>
              </w:rPr>
            </w:pPr>
            <w:r w:rsidRPr="00012973">
              <w:rPr>
                <w:b/>
                <w:bCs/>
              </w:rPr>
              <w:t>Pros:</w:t>
            </w:r>
          </w:p>
          <w:p w14:paraId="38BD6927" w14:textId="26BC7037" w:rsidR="00736322" w:rsidRDefault="00736322" w:rsidP="00DB2FE7">
            <w:pPr>
              <w:pStyle w:val="ListParagraph"/>
              <w:numPr>
                <w:ilvl w:val="0"/>
                <w:numId w:val="48"/>
              </w:numPr>
            </w:pPr>
            <w:r>
              <w:t xml:space="preserve">Comprehensive: Having a ‘codified’ body of law in respect of </w:t>
            </w:r>
            <w:proofErr w:type="gramStart"/>
            <w:r>
              <w:t>crypto-assets</w:t>
            </w:r>
            <w:proofErr w:type="gramEnd"/>
            <w:r>
              <w:t xml:space="preserve"> (for both income tax and GST) that prescribes comprehensive treatment for these assets for all aspects of tax would be very comprehensive and more accessible given it would be centralised in one place.</w:t>
            </w:r>
          </w:p>
          <w:p w14:paraId="2629AEB9" w14:textId="5C618BE8" w:rsidR="00736322" w:rsidRDefault="00736322" w:rsidP="00DB2FE7">
            <w:pPr>
              <w:pStyle w:val="ListParagraph"/>
              <w:numPr>
                <w:ilvl w:val="0"/>
                <w:numId w:val="48"/>
              </w:numPr>
            </w:pPr>
            <w:r>
              <w:t>Future proofed: Any future changes to crypto-assets would be more amenable to amendment if the laws that applied to these assets were all set out in one space and not intertwined with existing tax settings that were designed without any contemplation of crypto-assets (which were probably not in existence at that time).</w:t>
            </w:r>
          </w:p>
          <w:p w14:paraId="254117E1" w14:textId="401A3727" w:rsidR="00736322" w:rsidRDefault="00736322" w:rsidP="00DB2FE7">
            <w:pPr>
              <w:pStyle w:val="ListParagraph"/>
              <w:numPr>
                <w:ilvl w:val="0"/>
                <w:numId w:val="48"/>
              </w:numPr>
            </w:pPr>
            <w:r>
              <w:t>Reduction in compliance costs</w:t>
            </w:r>
            <w:r w:rsidR="00501143">
              <w:t>.</w:t>
            </w:r>
          </w:p>
          <w:p w14:paraId="1D5D8F0B" w14:textId="7D160633" w:rsidR="00736322" w:rsidRDefault="00736322" w:rsidP="00736322">
            <w:r>
              <w:rPr>
                <w:b/>
                <w:bCs/>
              </w:rPr>
              <w:t>Cons:</w:t>
            </w:r>
          </w:p>
          <w:p w14:paraId="7CE2DF8A" w14:textId="4382E5EF" w:rsidR="00736322" w:rsidRDefault="00736322" w:rsidP="00DB2FE7">
            <w:pPr>
              <w:pStyle w:val="ListParagraph"/>
              <w:numPr>
                <w:ilvl w:val="0"/>
                <w:numId w:val="48"/>
              </w:numPr>
            </w:pPr>
            <w:r>
              <w:t xml:space="preserve">Risk of getting it wrong: It is noted that there would be risk in undertaking a comprehensive standalone set of rules for </w:t>
            </w:r>
            <w:proofErr w:type="gramStart"/>
            <w:r>
              <w:t>crypto-assets</w:t>
            </w:r>
            <w:proofErr w:type="gramEnd"/>
            <w:r>
              <w:t xml:space="preserve"> at this stage. This is still a developing area that is not yet well </w:t>
            </w:r>
            <w:r w:rsidR="00FF6B00">
              <w:t>understood,</w:t>
            </w:r>
            <w:r>
              <w:t xml:space="preserve"> and it would be best to understand it fully and how it develops in light of existing tax settings before attempting something more </w:t>
            </w:r>
            <w:r w:rsidR="003428DD">
              <w:t>comprehensive</w:t>
            </w:r>
            <w:r>
              <w:t xml:space="preserve">. </w:t>
            </w:r>
          </w:p>
          <w:p w14:paraId="034BF4A1" w14:textId="77777777" w:rsidR="00C7655A" w:rsidRDefault="003428DD" w:rsidP="00684956">
            <w:pPr>
              <w:pStyle w:val="ListParagraph"/>
              <w:numPr>
                <w:ilvl w:val="0"/>
                <w:numId w:val="48"/>
              </w:numPr>
            </w:pPr>
            <w:r>
              <w:t>Time consuming (would require a lot of analysis, consultation and policy resource and would take a long time to develop, consult and implement).</w:t>
            </w:r>
          </w:p>
          <w:p w14:paraId="73636BE8" w14:textId="0EA8F858" w:rsidR="003428DD" w:rsidRPr="0069218C" w:rsidRDefault="003428DD" w:rsidP="00FF6B00">
            <w:pPr>
              <w:ind w:left="360"/>
            </w:pPr>
          </w:p>
        </w:tc>
      </w:tr>
    </w:tbl>
    <w:p w14:paraId="65608C12" w14:textId="3A529DB3" w:rsidR="00F132B2" w:rsidRDefault="00F132B2" w:rsidP="00567434">
      <w:pPr>
        <w:pStyle w:val="spacer"/>
      </w:pPr>
    </w:p>
    <w:p w14:paraId="0E78A1B7" w14:textId="44E09A1C" w:rsidR="00C24E47" w:rsidRDefault="00C24E47" w:rsidP="00567434">
      <w:pPr>
        <w:pStyle w:val="spacer"/>
      </w:pPr>
    </w:p>
    <w:p w14:paraId="7784F996" w14:textId="4367F264" w:rsidR="00C24E47" w:rsidRDefault="00C24E47" w:rsidP="00567434">
      <w:pPr>
        <w:pStyle w:val="spacer"/>
      </w:pPr>
    </w:p>
    <w:p w14:paraId="05CACCC2" w14:textId="501DED91" w:rsidR="00C24E47" w:rsidRDefault="00C24E47" w:rsidP="00567434">
      <w:pPr>
        <w:pStyle w:val="spacer"/>
      </w:pPr>
    </w:p>
    <w:p w14:paraId="272FAB45" w14:textId="6ACA3681" w:rsidR="00C24E47" w:rsidRDefault="00C24E47" w:rsidP="00567434">
      <w:pPr>
        <w:pStyle w:val="spacer"/>
      </w:pPr>
    </w:p>
    <w:p w14:paraId="6A99D4CB" w14:textId="2A85592C" w:rsidR="00C24E47" w:rsidRDefault="00C24E47" w:rsidP="00567434">
      <w:pPr>
        <w:pStyle w:val="spacer"/>
      </w:pPr>
    </w:p>
    <w:p w14:paraId="58BAB643" w14:textId="0DEF1AE9" w:rsidR="00C24E47" w:rsidRDefault="00C24E47" w:rsidP="00567434">
      <w:pPr>
        <w:pStyle w:val="spacer"/>
      </w:pPr>
    </w:p>
    <w:p w14:paraId="28E805B5" w14:textId="682FB8E8" w:rsidR="00C24E47" w:rsidRDefault="00C24E47" w:rsidP="00567434">
      <w:pPr>
        <w:pStyle w:val="spacer"/>
      </w:pPr>
    </w:p>
    <w:p w14:paraId="09D5996A" w14:textId="626B3805" w:rsidR="00C24E47" w:rsidRDefault="00C24E47" w:rsidP="00567434">
      <w:pPr>
        <w:pStyle w:val="spacer"/>
      </w:pPr>
    </w:p>
    <w:p w14:paraId="465100B7" w14:textId="2C9551B6" w:rsidR="00C24E47" w:rsidRDefault="00C24E47" w:rsidP="00567434">
      <w:pPr>
        <w:pStyle w:val="spacer"/>
      </w:pPr>
    </w:p>
    <w:p w14:paraId="776C75CD" w14:textId="16F02CA4" w:rsidR="00C24E47" w:rsidRDefault="00C24E47" w:rsidP="00567434">
      <w:pPr>
        <w:pStyle w:val="spacer"/>
      </w:pPr>
    </w:p>
    <w:p w14:paraId="16ED4A1A" w14:textId="2840759A" w:rsidR="00C24E47" w:rsidRDefault="00C24E47" w:rsidP="00567434">
      <w:pPr>
        <w:pStyle w:val="spacer"/>
      </w:pPr>
    </w:p>
    <w:p w14:paraId="4BEC6A97" w14:textId="47C1EDEF" w:rsidR="00C24E47" w:rsidRDefault="00C24E47" w:rsidP="00567434">
      <w:pPr>
        <w:pStyle w:val="spacer"/>
      </w:pPr>
    </w:p>
    <w:p w14:paraId="75D1C3CF" w14:textId="0B51E22D" w:rsidR="00C24E47" w:rsidRDefault="00C24E47" w:rsidP="00567434">
      <w:pPr>
        <w:pStyle w:val="spacer"/>
      </w:pPr>
    </w:p>
    <w:p w14:paraId="5F5E8321" w14:textId="47D97E53" w:rsidR="00C24E47" w:rsidRDefault="00C24E47" w:rsidP="00567434">
      <w:pPr>
        <w:pStyle w:val="spacer"/>
      </w:pPr>
    </w:p>
    <w:p w14:paraId="7DD02139" w14:textId="34977734" w:rsidR="00C24E47" w:rsidRDefault="00C24E47" w:rsidP="00567434">
      <w:pPr>
        <w:pStyle w:val="spacer"/>
      </w:pPr>
    </w:p>
    <w:p w14:paraId="31C4C428" w14:textId="64A60A32" w:rsidR="00C24E47" w:rsidRDefault="00C24E47" w:rsidP="00567434">
      <w:pPr>
        <w:pStyle w:val="spacer"/>
      </w:pPr>
    </w:p>
    <w:p w14:paraId="50E20DEF" w14:textId="0B3D67A3" w:rsidR="00C24E47" w:rsidRDefault="00C24E47" w:rsidP="00567434">
      <w:pPr>
        <w:pStyle w:val="spacer"/>
      </w:pPr>
    </w:p>
    <w:p w14:paraId="4DBD9B93" w14:textId="7E063B8D" w:rsidR="00C24E47" w:rsidRDefault="00C24E47" w:rsidP="00567434">
      <w:pPr>
        <w:pStyle w:val="spacer"/>
      </w:pPr>
    </w:p>
    <w:p w14:paraId="502798AB" w14:textId="1A18A91F" w:rsidR="00C24E47" w:rsidRDefault="00C24E47" w:rsidP="00567434">
      <w:pPr>
        <w:pStyle w:val="spacer"/>
      </w:pPr>
    </w:p>
    <w:p w14:paraId="3F1CCB4D" w14:textId="77777777" w:rsidR="00C24E47" w:rsidRPr="00567434" w:rsidRDefault="00C24E4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BB4EA2">
        <w:trPr>
          <w:trHeight w:val="6724"/>
        </w:trPr>
        <w:tc>
          <w:tcPr>
            <w:tcW w:w="5000" w:type="pct"/>
            <w:shd w:val="clear" w:color="auto" w:fill="auto"/>
          </w:tcPr>
          <w:p w14:paraId="331F597E" w14:textId="77777777" w:rsidR="005461B3" w:rsidRDefault="005461B3" w:rsidP="00E6054D">
            <w:r>
              <w:t xml:space="preserve">Officials’ </w:t>
            </w:r>
            <w:r w:rsidR="00E237B6">
              <w:t xml:space="preserve">preferred option is option </w:t>
            </w:r>
            <w:r w:rsidR="00E96687">
              <w:t xml:space="preserve">three </w:t>
            </w:r>
            <w:r w:rsidR="009C1989">
              <w:t xml:space="preserve">– applying a broad definition to crypto-assets and then focussing on the issues that provide the most problems from a policy perspective (being to </w:t>
            </w:r>
            <w:r w:rsidR="00C834E6">
              <w:t>make crypto-assets not subject to</w:t>
            </w:r>
            <w:r w:rsidR="009C1989">
              <w:t xml:space="preserve"> GST and </w:t>
            </w:r>
            <w:r w:rsidR="00C834E6">
              <w:t xml:space="preserve">exempt from </w:t>
            </w:r>
            <w:r w:rsidR="009C1989">
              <w:t>the FA rules).</w:t>
            </w:r>
            <w:r w:rsidR="00B6570A">
              <w:t xml:space="preserve"> It is noted that this option would also</w:t>
            </w:r>
            <w:r w:rsidR="00960BBD">
              <w:t xml:space="preserve"> be supplemented to</w:t>
            </w:r>
            <w:r w:rsidR="00B6570A">
              <w:t xml:space="preserve"> include the use of guidance to ensure that these changes were communicated and easily understood.</w:t>
            </w:r>
            <w:r w:rsidR="00C76F63">
              <w:t xml:space="preserve"> </w:t>
            </w:r>
          </w:p>
          <w:p w14:paraId="4FC591D9" w14:textId="10E8194D" w:rsidR="00F132B2" w:rsidRDefault="00C76F63" w:rsidP="00E6054D">
            <w:r>
              <w:t>This</w:t>
            </w:r>
            <w:r w:rsidR="00B6570A">
              <w:t xml:space="preserve"> option</w:t>
            </w:r>
            <w:r>
              <w:t xml:space="preserve"> is preferable because:</w:t>
            </w:r>
          </w:p>
          <w:p w14:paraId="76596928" w14:textId="32F10E17" w:rsidR="00250CBD" w:rsidRDefault="00BC19FB" w:rsidP="00C76F63">
            <w:pPr>
              <w:pStyle w:val="ListParagraph"/>
              <w:numPr>
                <w:ilvl w:val="0"/>
                <w:numId w:val="43"/>
              </w:numPr>
            </w:pPr>
            <w:r>
              <w:t xml:space="preserve">Compliance costs: </w:t>
            </w:r>
            <w:r w:rsidR="00250CBD">
              <w:t xml:space="preserve">The compliance costs to categorise and apply existing tax law to all </w:t>
            </w:r>
            <w:proofErr w:type="gramStart"/>
            <w:r w:rsidR="00250CBD">
              <w:t>crypto-assets</w:t>
            </w:r>
            <w:proofErr w:type="gramEnd"/>
            <w:r w:rsidR="00E96687">
              <w:t xml:space="preserve"> (</w:t>
            </w:r>
            <w:r w:rsidR="002C0175">
              <w:t>as would apply under the status quo or when designing a token classification framework)</w:t>
            </w:r>
            <w:r w:rsidR="00250CBD">
              <w:t xml:space="preserve"> </w:t>
            </w:r>
            <w:r w:rsidR="002200C4">
              <w:t>together with</w:t>
            </w:r>
            <w:r w:rsidR="00250CBD">
              <w:t xml:space="preserve"> the compliance costs borne by individuals in determining which classification applies to their particular assets</w:t>
            </w:r>
            <w:r w:rsidR="002200C4">
              <w:t>,</w:t>
            </w:r>
            <w:r w:rsidR="00250CBD">
              <w:t xml:space="preserve"> outweighs the revenue neutrality benefit of a more prescriptive system.</w:t>
            </w:r>
            <w:r w:rsidR="00E92D64">
              <w:t xml:space="preserve"> Having to determine the residency of the counter party to a transaction would also be required if GST potentially applied, and this is almost impossible </w:t>
            </w:r>
            <w:r w:rsidR="002200C4">
              <w:t xml:space="preserve">with </w:t>
            </w:r>
            <w:proofErr w:type="gramStart"/>
            <w:r w:rsidR="002200C4">
              <w:t>crypto-assets</w:t>
            </w:r>
            <w:proofErr w:type="gramEnd"/>
            <w:r w:rsidR="002200C4">
              <w:t>.</w:t>
            </w:r>
          </w:p>
          <w:p w14:paraId="3A84B1C6" w14:textId="77777777" w:rsidR="006E649B" w:rsidRDefault="006E649B" w:rsidP="006E649B">
            <w:pPr>
              <w:pStyle w:val="ListParagraph"/>
            </w:pPr>
          </w:p>
          <w:p w14:paraId="05DC6876" w14:textId="77777777" w:rsidR="00F132B2" w:rsidRDefault="004C0262" w:rsidP="00E92D64">
            <w:pPr>
              <w:pStyle w:val="ListParagraph"/>
              <w:numPr>
                <w:ilvl w:val="0"/>
                <w:numId w:val="43"/>
              </w:numPr>
              <w:rPr>
                <w:szCs w:val="22"/>
              </w:rPr>
            </w:pPr>
            <w:r>
              <w:rPr>
                <w:szCs w:val="22"/>
              </w:rPr>
              <w:t>Certainty:</w:t>
            </w:r>
            <w:r w:rsidR="00E14326">
              <w:rPr>
                <w:szCs w:val="22"/>
              </w:rPr>
              <w:t xml:space="preserve"> This option provides the most certainty as all </w:t>
            </w:r>
            <w:proofErr w:type="gramStart"/>
            <w:r w:rsidR="00E14326">
              <w:rPr>
                <w:szCs w:val="22"/>
              </w:rPr>
              <w:t>crypto-assets</w:t>
            </w:r>
            <w:proofErr w:type="gramEnd"/>
            <w:r w:rsidR="00E14326">
              <w:rPr>
                <w:szCs w:val="22"/>
              </w:rPr>
              <w:t xml:space="preserve"> will be exempt from the FA rules and not subject to GST.</w:t>
            </w:r>
          </w:p>
          <w:p w14:paraId="73A0240C" w14:textId="77777777" w:rsidR="00E14326" w:rsidRPr="00E14326" w:rsidRDefault="00E14326" w:rsidP="00E14326">
            <w:pPr>
              <w:pStyle w:val="ListParagraph"/>
              <w:rPr>
                <w:szCs w:val="22"/>
              </w:rPr>
            </w:pPr>
          </w:p>
          <w:p w14:paraId="019C884D" w14:textId="77777777" w:rsidR="00396E1D" w:rsidRDefault="006E2187" w:rsidP="00E92D64">
            <w:pPr>
              <w:pStyle w:val="ListParagraph"/>
              <w:numPr>
                <w:ilvl w:val="0"/>
                <w:numId w:val="43"/>
              </w:numPr>
              <w:rPr>
                <w:szCs w:val="22"/>
              </w:rPr>
            </w:pPr>
            <w:r>
              <w:rPr>
                <w:szCs w:val="22"/>
              </w:rPr>
              <w:t>Sustainability: A broad exemption future-proofs the industry against future changes that would require constant reclassification under a token classification framework approach.</w:t>
            </w:r>
            <w:r w:rsidR="006326DE">
              <w:rPr>
                <w:szCs w:val="22"/>
              </w:rPr>
              <w:t xml:space="preserve"> </w:t>
            </w:r>
          </w:p>
          <w:p w14:paraId="6D25B0AF" w14:textId="77777777" w:rsidR="00396E1D" w:rsidRPr="00396E1D" w:rsidRDefault="00396E1D" w:rsidP="00396E1D">
            <w:pPr>
              <w:pStyle w:val="ListParagraph"/>
              <w:rPr>
                <w:szCs w:val="22"/>
              </w:rPr>
            </w:pPr>
          </w:p>
          <w:p w14:paraId="69791F73" w14:textId="0CE86CF2" w:rsidR="00E14326" w:rsidRPr="0069218C" w:rsidRDefault="006326DE" w:rsidP="00E92D64">
            <w:pPr>
              <w:pStyle w:val="ListParagraph"/>
              <w:numPr>
                <w:ilvl w:val="0"/>
                <w:numId w:val="43"/>
              </w:numPr>
              <w:rPr>
                <w:szCs w:val="22"/>
              </w:rPr>
            </w:pPr>
            <w:r>
              <w:rPr>
                <w:szCs w:val="22"/>
              </w:rPr>
              <w:t xml:space="preserve">Although option </w:t>
            </w:r>
            <w:r w:rsidR="00A360A5">
              <w:rPr>
                <w:szCs w:val="22"/>
              </w:rPr>
              <w:t xml:space="preserve">3 </w:t>
            </w:r>
            <w:r>
              <w:rPr>
                <w:szCs w:val="22"/>
              </w:rPr>
              <w:t xml:space="preserve">is the best in the short term and is what is proposed in the Cabinet paper, officials </w:t>
            </w:r>
            <w:r w:rsidR="00A360A5">
              <w:rPr>
                <w:szCs w:val="22"/>
              </w:rPr>
              <w:t>will continue</w:t>
            </w:r>
            <w:r>
              <w:rPr>
                <w:szCs w:val="22"/>
              </w:rPr>
              <w:t xml:space="preserve"> to work to develop and consult on option 4 as a second phase of potential reforms at a later date</w:t>
            </w:r>
            <w:r w:rsidR="00F55CC1">
              <w:rPr>
                <w:szCs w:val="22"/>
              </w:rPr>
              <w:t>. This could help address other issues and concerns in this area.</w:t>
            </w: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69218C" w14:paraId="31372389" w14:textId="77777777" w:rsidTr="00D47A74">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00E6054D">
        <w:trPr>
          <w:trHeight w:val="732"/>
        </w:trPr>
        <w:tc>
          <w:tcPr>
            <w:tcW w:w="2093" w:type="dxa"/>
            <w:shd w:val="clear" w:color="auto" w:fill="99CDDD"/>
          </w:tcPr>
          <w:p w14:paraId="54712201" w14:textId="18B62EB2"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p>
        </w:tc>
        <w:tc>
          <w:tcPr>
            <w:tcW w:w="4394" w:type="dxa"/>
            <w:shd w:val="clear" w:color="auto" w:fill="99CDDD"/>
          </w:tcPr>
          <w:p w14:paraId="133262F9" w14:textId="6F1BCDE1"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xml:space="preserve">: </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43996746" w:rsidR="00380585" w:rsidRPr="00886DFF" w:rsidRDefault="00380585" w:rsidP="002127DC">
            <w:pPr>
              <w:pStyle w:val="TableText"/>
              <w:keepNext/>
              <w:rPr>
                <w:rFonts w:eastAsia="Calibri"/>
                <w:i/>
                <w:color w:val="000000"/>
                <w:sz w:val="22"/>
              </w:rPr>
            </w:pPr>
            <w:r w:rsidRPr="00886DFF">
              <w:rPr>
                <w:rFonts w:eastAsia="Calibri"/>
                <w:i/>
                <w:color w:val="000000"/>
                <w:sz w:val="22"/>
              </w:rPr>
              <w:t xml:space="preserve"> </w:t>
            </w:r>
          </w:p>
        </w:tc>
      </w:tr>
      <w:tr w:rsidR="00380585" w:rsidRPr="0069218C" w14:paraId="374C3B33" w14:textId="77777777" w:rsidTr="00E6054D">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BB4EA2">
        <w:trPr>
          <w:trHeight w:val="253"/>
        </w:trPr>
        <w:tc>
          <w:tcPr>
            <w:tcW w:w="2093" w:type="dxa"/>
            <w:shd w:val="clear" w:color="auto" w:fill="auto"/>
          </w:tcPr>
          <w:p w14:paraId="55813CCE" w14:textId="77777777" w:rsidR="00380585" w:rsidRDefault="00380585" w:rsidP="002127DC">
            <w:pPr>
              <w:pStyle w:val="TableText"/>
              <w:keepNext/>
              <w:rPr>
                <w:rFonts w:eastAsia="Calibri"/>
                <w:sz w:val="22"/>
              </w:rPr>
            </w:pPr>
            <w:r w:rsidRPr="0069218C">
              <w:rPr>
                <w:rFonts w:eastAsia="Calibri"/>
                <w:sz w:val="22"/>
              </w:rPr>
              <w:t>Regulated parties</w:t>
            </w:r>
          </w:p>
          <w:p w14:paraId="475A657A" w14:textId="4E7F916D" w:rsidR="00185F10" w:rsidRPr="0069218C" w:rsidRDefault="00185F10" w:rsidP="002127DC">
            <w:pPr>
              <w:pStyle w:val="TableText"/>
              <w:keepNext/>
              <w:rPr>
                <w:rFonts w:eastAsia="Calibri"/>
                <w:sz w:val="22"/>
              </w:rPr>
            </w:pPr>
            <w:r>
              <w:rPr>
                <w:rFonts w:eastAsia="Calibri"/>
                <w:sz w:val="22"/>
              </w:rPr>
              <w:t>(GST re</w:t>
            </w:r>
            <w:r w:rsidR="00F67E28">
              <w:rPr>
                <w:rFonts w:eastAsia="Calibri"/>
                <w:sz w:val="22"/>
              </w:rPr>
              <w:t xml:space="preserve">gistered owners of </w:t>
            </w:r>
            <w:proofErr w:type="gramStart"/>
            <w:r w:rsidR="00F67E28">
              <w:rPr>
                <w:rFonts w:eastAsia="Calibri"/>
                <w:sz w:val="22"/>
              </w:rPr>
              <w:t>crypto-assets</w:t>
            </w:r>
            <w:proofErr w:type="gramEnd"/>
            <w:r w:rsidR="00F67E28">
              <w:rPr>
                <w:rFonts w:eastAsia="Calibri"/>
                <w:sz w:val="22"/>
              </w:rPr>
              <w:t>)</w:t>
            </w:r>
          </w:p>
        </w:tc>
        <w:tc>
          <w:tcPr>
            <w:tcW w:w="4394" w:type="dxa"/>
            <w:shd w:val="clear" w:color="auto" w:fill="auto"/>
          </w:tcPr>
          <w:p w14:paraId="1F144B5D" w14:textId="601F7287" w:rsidR="006B5964" w:rsidRDefault="009F2061" w:rsidP="002127DC">
            <w:pPr>
              <w:pStyle w:val="TableText"/>
              <w:keepNext/>
              <w:rPr>
                <w:rFonts w:eastAsia="Calibri"/>
                <w:sz w:val="22"/>
              </w:rPr>
            </w:pPr>
            <w:r>
              <w:rPr>
                <w:rFonts w:eastAsia="Calibri"/>
                <w:sz w:val="22"/>
              </w:rPr>
              <w:t>It is expected that the preferred option aligns with tax positions taken by nearly all taxpayers, so there would be no impact on them nor compliance costs. It is possible that some taxpayers will have taken tax positions based on the current law and a grandparenting provision would be provided to preserve those positions so they would be unaffected.</w:t>
            </w:r>
          </w:p>
          <w:p w14:paraId="3FC27052" w14:textId="77777777" w:rsidR="006B5964" w:rsidRDefault="006B5964" w:rsidP="002127DC">
            <w:pPr>
              <w:pStyle w:val="TableText"/>
              <w:keepNext/>
              <w:rPr>
                <w:rFonts w:eastAsia="Calibri"/>
                <w:sz w:val="22"/>
              </w:rPr>
            </w:pPr>
          </w:p>
          <w:p w14:paraId="5C53C7D4" w14:textId="77777777" w:rsidR="006B5964" w:rsidRDefault="006B5964" w:rsidP="002127DC">
            <w:pPr>
              <w:pStyle w:val="TableText"/>
              <w:keepNext/>
              <w:rPr>
                <w:rFonts w:eastAsia="Calibri"/>
                <w:sz w:val="22"/>
              </w:rPr>
            </w:pPr>
          </w:p>
          <w:p w14:paraId="71F3CAB1" w14:textId="10103878" w:rsidR="00943D6C" w:rsidRPr="0069218C" w:rsidRDefault="00943D6C" w:rsidP="002127DC">
            <w:pPr>
              <w:pStyle w:val="TableText"/>
              <w:keepNext/>
              <w:rPr>
                <w:rFonts w:eastAsia="Calibri"/>
                <w:sz w:val="22"/>
              </w:rPr>
            </w:pPr>
          </w:p>
        </w:tc>
        <w:tc>
          <w:tcPr>
            <w:tcW w:w="2585" w:type="dxa"/>
            <w:shd w:val="clear" w:color="auto" w:fill="auto"/>
          </w:tcPr>
          <w:p w14:paraId="30B3CC2E" w14:textId="5C4A8F63" w:rsidR="00380585" w:rsidRPr="003964BF" w:rsidRDefault="003964BF" w:rsidP="002127DC">
            <w:pPr>
              <w:pStyle w:val="TableText"/>
              <w:keepNext/>
              <w:rPr>
                <w:rFonts w:eastAsia="Calibri"/>
                <w:sz w:val="22"/>
              </w:rPr>
            </w:pPr>
            <w:r w:rsidRPr="003964BF">
              <w:rPr>
                <w:rFonts w:eastAsia="Calibri"/>
                <w:sz w:val="22"/>
              </w:rPr>
              <w:t>None/low</w:t>
            </w:r>
          </w:p>
        </w:tc>
      </w:tr>
      <w:tr w:rsidR="00380585" w:rsidRPr="0069218C" w14:paraId="7AF8FD29" w14:textId="77777777" w:rsidTr="00BB4EA2">
        <w:trPr>
          <w:trHeight w:val="253"/>
        </w:trPr>
        <w:tc>
          <w:tcPr>
            <w:tcW w:w="2093" w:type="dxa"/>
            <w:shd w:val="clear" w:color="auto" w:fill="auto"/>
          </w:tcPr>
          <w:p w14:paraId="2E2F6BEF" w14:textId="77777777" w:rsidR="00380585" w:rsidRDefault="00380585" w:rsidP="002127DC">
            <w:pPr>
              <w:pStyle w:val="TableText"/>
              <w:keepNext/>
              <w:rPr>
                <w:rFonts w:eastAsia="Calibri"/>
                <w:color w:val="000000"/>
                <w:sz w:val="22"/>
              </w:rPr>
            </w:pPr>
            <w:r w:rsidRPr="0069218C">
              <w:rPr>
                <w:rFonts w:eastAsia="Calibri"/>
                <w:color w:val="000000"/>
                <w:sz w:val="22"/>
              </w:rPr>
              <w:t>Regulators</w:t>
            </w:r>
          </w:p>
          <w:p w14:paraId="0F06DC5D" w14:textId="1618D073" w:rsidR="00BF1D8C" w:rsidRPr="0069218C" w:rsidRDefault="00BF1D8C" w:rsidP="002127DC">
            <w:pPr>
              <w:pStyle w:val="TableText"/>
              <w:keepNext/>
              <w:rPr>
                <w:rFonts w:eastAsia="Calibri" w:cs="Arial"/>
                <w:color w:val="000000"/>
                <w:sz w:val="22"/>
              </w:rPr>
            </w:pPr>
            <w:r>
              <w:rPr>
                <w:rFonts w:eastAsia="Calibri"/>
                <w:color w:val="000000"/>
                <w:sz w:val="22"/>
              </w:rPr>
              <w:t>(Inland Revenue)</w:t>
            </w:r>
          </w:p>
        </w:tc>
        <w:tc>
          <w:tcPr>
            <w:tcW w:w="4394" w:type="dxa"/>
            <w:shd w:val="clear" w:color="auto" w:fill="auto"/>
          </w:tcPr>
          <w:p w14:paraId="68D526B3" w14:textId="19A26B98" w:rsidR="00D23F1F" w:rsidRDefault="00D23F1F" w:rsidP="002127DC">
            <w:pPr>
              <w:pStyle w:val="TableText"/>
              <w:keepNext/>
              <w:rPr>
                <w:rFonts w:eastAsia="Calibri"/>
                <w:sz w:val="22"/>
              </w:rPr>
            </w:pPr>
            <w:r>
              <w:rPr>
                <w:rFonts w:eastAsia="Calibri"/>
                <w:sz w:val="22"/>
              </w:rPr>
              <w:t xml:space="preserve">There should be no revenue impact. Given that the current law regarding GST, </w:t>
            </w:r>
            <w:proofErr w:type="gramStart"/>
            <w:r>
              <w:rPr>
                <w:rFonts w:eastAsia="Calibri"/>
                <w:sz w:val="22"/>
              </w:rPr>
              <w:t>FAs</w:t>
            </w:r>
            <w:proofErr w:type="gramEnd"/>
            <w:r>
              <w:rPr>
                <w:rFonts w:eastAsia="Calibri"/>
                <w:sz w:val="22"/>
              </w:rPr>
              <w:t xml:space="preserve"> and their application in respect of crypto-assets is unclear, it is understood</w:t>
            </w:r>
            <w:r w:rsidR="003814A7">
              <w:rPr>
                <w:rFonts w:eastAsia="Calibri"/>
                <w:sz w:val="22"/>
              </w:rPr>
              <w:t xml:space="preserve"> anecdotally that not many taxpayers have taken a tax position in respect of their crypto-asset holdings.</w:t>
            </w:r>
          </w:p>
          <w:p w14:paraId="07067559" w14:textId="1DD0839E" w:rsidR="003814A7" w:rsidRDefault="003814A7" w:rsidP="002127DC">
            <w:pPr>
              <w:pStyle w:val="TableText"/>
              <w:keepNext/>
              <w:rPr>
                <w:rFonts w:eastAsia="Calibri"/>
                <w:sz w:val="22"/>
              </w:rPr>
            </w:pPr>
          </w:p>
          <w:p w14:paraId="63560549" w14:textId="65957DFC" w:rsidR="003814A7" w:rsidRDefault="003814A7" w:rsidP="002127DC">
            <w:pPr>
              <w:pStyle w:val="TableText"/>
              <w:keepNext/>
              <w:rPr>
                <w:rFonts w:eastAsia="Calibri"/>
                <w:sz w:val="22"/>
              </w:rPr>
            </w:pPr>
            <w:r>
              <w:rPr>
                <w:rFonts w:eastAsia="Calibri"/>
                <w:sz w:val="22"/>
              </w:rPr>
              <w:t>As mentioned above, a grand parenting clause will preserve tax positions already taken.</w:t>
            </w:r>
          </w:p>
          <w:p w14:paraId="330F0F01" w14:textId="63BF66C3" w:rsidR="004E52B0" w:rsidRDefault="004E52B0" w:rsidP="002127DC">
            <w:pPr>
              <w:pStyle w:val="TableText"/>
              <w:keepNext/>
              <w:rPr>
                <w:rFonts w:eastAsia="Calibri"/>
                <w:sz w:val="22"/>
              </w:rPr>
            </w:pPr>
          </w:p>
          <w:p w14:paraId="15408B5E" w14:textId="12212E8C" w:rsidR="00380585" w:rsidRPr="0069218C" w:rsidRDefault="00380585" w:rsidP="002127DC">
            <w:pPr>
              <w:pStyle w:val="TableText"/>
              <w:keepNext/>
              <w:rPr>
                <w:rFonts w:eastAsia="Calibri"/>
                <w:sz w:val="22"/>
              </w:rPr>
            </w:pPr>
          </w:p>
        </w:tc>
        <w:tc>
          <w:tcPr>
            <w:tcW w:w="2585" w:type="dxa"/>
            <w:shd w:val="clear" w:color="auto" w:fill="auto"/>
          </w:tcPr>
          <w:p w14:paraId="682F55BC" w14:textId="55F07C1D" w:rsidR="00380585" w:rsidRPr="0069218C" w:rsidRDefault="003964BF" w:rsidP="002127DC">
            <w:pPr>
              <w:pStyle w:val="TableText"/>
              <w:keepNext/>
              <w:rPr>
                <w:rFonts w:eastAsia="Calibri"/>
                <w:sz w:val="22"/>
              </w:rPr>
            </w:pPr>
            <w:r w:rsidRPr="003964BF">
              <w:rPr>
                <w:rFonts w:eastAsia="Calibri"/>
                <w:sz w:val="22"/>
              </w:rPr>
              <w:t>None/low</w:t>
            </w:r>
          </w:p>
        </w:tc>
      </w:tr>
      <w:tr w:rsidR="00380585" w:rsidRPr="0069218C" w14:paraId="051F6DE9" w14:textId="77777777" w:rsidTr="00BB4EA2">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5F031A66" w:rsidR="00380585" w:rsidRPr="0069218C" w:rsidRDefault="004E7B1A" w:rsidP="002127DC">
            <w:pPr>
              <w:pStyle w:val="TableText"/>
              <w:keepNext/>
              <w:rPr>
                <w:rFonts w:eastAsia="Calibri"/>
                <w:sz w:val="22"/>
              </w:rPr>
            </w:pPr>
            <w:r>
              <w:rPr>
                <w:rFonts w:eastAsia="Calibri"/>
                <w:sz w:val="22"/>
              </w:rPr>
              <w:t xml:space="preserve">No expected </w:t>
            </w:r>
            <w:r w:rsidR="002C0175">
              <w:rPr>
                <w:rFonts w:eastAsia="Calibri"/>
                <w:sz w:val="22"/>
              </w:rPr>
              <w:t>costs</w:t>
            </w:r>
          </w:p>
        </w:tc>
        <w:tc>
          <w:tcPr>
            <w:tcW w:w="2585" w:type="dxa"/>
            <w:shd w:val="clear" w:color="auto" w:fill="auto"/>
          </w:tcPr>
          <w:p w14:paraId="211A32E6" w14:textId="77777777" w:rsidR="00380585" w:rsidRPr="0069218C" w:rsidRDefault="00380585" w:rsidP="002127DC">
            <w:pPr>
              <w:pStyle w:val="TableText"/>
              <w:keepNext/>
              <w:rPr>
                <w:rFonts w:eastAsia="Calibri"/>
                <w:sz w:val="22"/>
              </w:rPr>
            </w:pPr>
          </w:p>
        </w:tc>
      </w:tr>
      <w:tr w:rsidR="00380585" w:rsidRPr="0069218C" w14:paraId="67B640BC" w14:textId="77777777" w:rsidTr="00BB4EA2">
        <w:trPr>
          <w:trHeight w:val="253"/>
        </w:trPr>
        <w:tc>
          <w:tcPr>
            <w:tcW w:w="2093" w:type="dxa"/>
            <w:shd w:val="clear" w:color="auto" w:fill="auto"/>
          </w:tcPr>
          <w:p w14:paraId="21C83AA5" w14:textId="77777777" w:rsidR="00380585" w:rsidRPr="0069218C" w:rsidRDefault="00380585" w:rsidP="002127DC">
            <w:pPr>
              <w:pStyle w:val="TableText"/>
              <w:keepNext/>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6D2B8ECE" w:rsidR="00380585" w:rsidRPr="0069218C" w:rsidRDefault="004E7B1A" w:rsidP="002127DC">
            <w:pPr>
              <w:pStyle w:val="TableText"/>
              <w:keepNext/>
              <w:rPr>
                <w:rFonts w:eastAsia="Calibri"/>
                <w:sz w:val="22"/>
              </w:rPr>
            </w:pPr>
            <w:r>
              <w:rPr>
                <w:rFonts w:eastAsia="Calibri"/>
                <w:sz w:val="22"/>
              </w:rPr>
              <w:t xml:space="preserve">No expected </w:t>
            </w:r>
            <w:r w:rsidR="002C0175">
              <w:rPr>
                <w:rFonts w:eastAsia="Calibri"/>
                <w:sz w:val="22"/>
              </w:rPr>
              <w:t>costs</w:t>
            </w:r>
          </w:p>
        </w:tc>
        <w:tc>
          <w:tcPr>
            <w:tcW w:w="2585" w:type="dxa"/>
            <w:shd w:val="clear" w:color="auto" w:fill="auto"/>
          </w:tcPr>
          <w:p w14:paraId="26C82814" w14:textId="77777777" w:rsidR="00380585" w:rsidRPr="0069218C" w:rsidRDefault="00380585" w:rsidP="002127DC">
            <w:pPr>
              <w:pStyle w:val="TableText"/>
              <w:keepNext/>
              <w:rPr>
                <w:rFonts w:eastAsia="Calibri"/>
                <w:sz w:val="22"/>
              </w:rPr>
            </w:pPr>
          </w:p>
        </w:tc>
      </w:tr>
      <w:tr w:rsidR="00380585" w:rsidRPr="0069218C" w14:paraId="36C00356" w14:textId="77777777" w:rsidTr="00BB4EA2">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69218C" w:rsidRDefault="00380585" w:rsidP="002127DC">
            <w:pPr>
              <w:pStyle w:val="TableText"/>
              <w:keepNext/>
              <w:rPr>
                <w:rFonts w:eastAsia="Calibri"/>
                <w:i/>
                <w:sz w:val="22"/>
              </w:rPr>
            </w:pPr>
          </w:p>
        </w:tc>
        <w:tc>
          <w:tcPr>
            <w:tcW w:w="2585" w:type="dxa"/>
            <w:shd w:val="clear" w:color="auto" w:fill="auto"/>
          </w:tcPr>
          <w:p w14:paraId="1513E189" w14:textId="63296263" w:rsidR="00380585" w:rsidRPr="0069218C" w:rsidRDefault="00712D0F" w:rsidP="002127DC">
            <w:pPr>
              <w:pStyle w:val="TableText"/>
              <w:keepNext/>
              <w:rPr>
                <w:rFonts w:eastAsia="Calibri"/>
                <w:sz w:val="22"/>
              </w:rPr>
            </w:pPr>
            <w:r w:rsidRPr="003964BF">
              <w:rPr>
                <w:rFonts w:eastAsia="Calibri"/>
                <w:sz w:val="22"/>
              </w:rPr>
              <w:t>None/low</w:t>
            </w:r>
          </w:p>
        </w:tc>
      </w:tr>
      <w:tr w:rsidR="00380585" w:rsidRPr="0069218C" w14:paraId="744EB59C" w14:textId="77777777" w:rsidTr="00BB4EA2">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8714925" w14:textId="77777777" w:rsidR="009B1C82" w:rsidRDefault="009B1C82" w:rsidP="009B1C82">
            <w:pPr>
              <w:pStyle w:val="TableText"/>
              <w:keepNext/>
              <w:rPr>
                <w:rFonts w:eastAsia="Calibri"/>
                <w:sz w:val="22"/>
              </w:rPr>
            </w:pPr>
            <w:r>
              <w:rPr>
                <w:rFonts w:eastAsia="Calibri"/>
                <w:sz w:val="22"/>
              </w:rPr>
              <w:t>It is noted that these changes will bring a small administrative cost to IR in terms of providing guidance and answering queries to aid taxpayer understanding and promote compliance.</w:t>
            </w:r>
          </w:p>
          <w:p w14:paraId="3F8B3128" w14:textId="1E0368AF" w:rsidR="00380585" w:rsidRPr="00001D41" w:rsidRDefault="00380585" w:rsidP="002127DC">
            <w:pPr>
              <w:pStyle w:val="TableText"/>
              <w:keepNext/>
              <w:rPr>
                <w:rFonts w:eastAsia="Calibri"/>
                <w:iCs/>
                <w:sz w:val="22"/>
              </w:rPr>
            </w:pPr>
          </w:p>
        </w:tc>
        <w:tc>
          <w:tcPr>
            <w:tcW w:w="2585" w:type="dxa"/>
            <w:shd w:val="clear" w:color="auto" w:fill="auto"/>
          </w:tcPr>
          <w:p w14:paraId="59E9AAEA" w14:textId="31F4E6EF" w:rsidR="00380585" w:rsidRPr="00B349F6" w:rsidRDefault="00001D41" w:rsidP="002127DC">
            <w:pPr>
              <w:pStyle w:val="TableText"/>
              <w:keepNext/>
              <w:rPr>
                <w:rFonts w:eastAsia="Calibri"/>
                <w:iCs/>
                <w:sz w:val="22"/>
              </w:rPr>
            </w:pPr>
            <w:r>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BB4EA2">
        <w:trPr>
          <w:trHeight w:val="253"/>
        </w:trPr>
        <w:tc>
          <w:tcPr>
            <w:tcW w:w="2093" w:type="dxa"/>
            <w:shd w:val="clear" w:color="auto" w:fill="auto"/>
          </w:tcPr>
          <w:p w14:paraId="3F078A75" w14:textId="77777777" w:rsidR="00380585" w:rsidRDefault="00380585" w:rsidP="002127DC">
            <w:pPr>
              <w:pStyle w:val="TableText"/>
              <w:rPr>
                <w:rFonts w:eastAsia="Calibri"/>
                <w:sz w:val="22"/>
              </w:rPr>
            </w:pPr>
            <w:r w:rsidRPr="0069218C">
              <w:rPr>
                <w:rFonts w:eastAsia="Calibri"/>
                <w:sz w:val="22"/>
              </w:rPr>
              <w:t>Regulated parties</w:t>
            </w:r>
          </w:p>
          <w:p w14:paraId="118392ED" w14:textId="12E5570F" w:rsidR="008A0B22" w:rsidRPr="0069218C" w:rsidRDefault="008A0B22" w:rsidP="002127DC">
            <w:pPr>
              <w:pStyle w:val="TableText"/>
              <w:rPr>
                <w:rFonts w:eastAsia="Calibri"/>
                <w:sz w:val="22"/>
              </w:rPr>
            </w:pPr>
            <w:r>
              <w:rPr>
                <w:rFonts w:eastAsia="Calibri"/>
                <w:sz w:val="22"/>
              </w:rPr>
              <w:t>(G</w:t>
            </w:r>
            <w:r w:rsidR="00F86C5A">
              <w:rPr>
                <w:rFonts w:eastAsia="Calibri"/>
                <w:sz w:val="22"/>
              </w:rPr>
              <w:t xml:space="preserve">ST registered owners of </w:t>
            </w:r>
            <w:proofErr w:type="gramStart"/>
            <w:r w:rsidR="00F86C5A">
              <w:rPr>
                <w:rFonts w:eastAsia="Calibri"/>
                <w:sz w:val="22"/>
              </w:rPr>
              <w:t>crypto-assets</w:t>
            </w:r>
            <w:proofErr w:type="gramEnd"/>
            <w:r w:rsidR="00F86C5A">
              <w:rPr>
                <w:rFonts w:eastAsia="Calibri"/>
                <w:sz w:val="22"/>
              </w:rPr>
              <w:t>)</w:t>
            </w:r>
          </w:p>
        </w:tc>
        <w:tc>
          <w:tcPr>
            <w:tcW w:w="4394" w:type="dxa"/>
            <w:shd w:val="clear" w:color="auto" w:fill="auto"/>
          </w:tcPr>
          <w:p w14:paraId="1E64CE94" w14:textId="34E59D96" w:rsidR="00380585" w:rsidRDefault="002B4AC1" w:rsidP="002127DC">
            <w:pPr>
              <w:pStyle w:val="TableText"/>
              <w:rPr>
                <w:rFonts w:eastAsia="Calibri"/>
                <w:sz w:val="22"/>
              </w:rPr>
            </w:pPr>
            <w:r>
              <w:rPr>
                <w:rFonts w:eastAsia="Calibri"/>
                <w:sz w:val="22"/>
              </w:rPr>
              <w:t xml:space="preserve">Although anecdotally the number of taxpayers that have returned GST on the sale of </w:t>
            </w:r>
            <w:proofErr w:type="gramStart"/>
            <w:r>
              <w:rPr>
                <w:rFonts w:eastAsia="Calibri"/>
                <w:sz w:val="22"/>
              </w:rPr>
              <w:t>crypto-assets</w:t>
            </w:r>
            <w:proofErr w:type="gramEnd"/>
            <w:r>
              <w:rPr>
                <w:rFonts w:eastAsia="Calibri"/>
                <w:sz w:val="22"/>
              </w:rPr>
              <w:t xml:space="preserve"> is low,</w:t>
            </w:r>
            <w:r w:rsidR="000A2910">
              <w:rPr>
                <w:rFonts w:eastAsia="Calibri"/>
                <w:sz w:val="22"/>
              </w:rPr>
              <w:t xml:space="preserve"> removing them from the GST net will result </w:t>
            </w:r>
            <w:r w:rsidR="00EF7121">
              <w:rPr>
                <w:rFonts w:eastAsia="Calibri"/>
                <w:sz w:val="22"/>
              </w:rPr>
              <w:t xml:space="preserve">in </w:t>
            </w:r>
            <w:r w:rsidR="0016042B">
              <w:rPr>
                <w:rFonts w:eastAsia="Calibri"/>
                <w:sz w:val="22"/>
              </w:rPr>
              <w:t>certainty for taxpayers.</w:t>
            </w:r>
          </w:p>
          <w:p w14:paraId="7263CCEE" w14:textId="77777777" w:rsidR="00E1622C" w:rsidRDefault="00E1622C" w:rsidP="002127DC">
            <w:pPr>
              <w:pStyle w:val="TableText"/>
              <w:rPr>
                <w:rFonts w:eastAsia="Calibri"/>
                <w:sz w:val="22"/>
              </w:rPr>
            </w:pPr>
          </w:p>
          <w:p w14:paraId="4C34A056" w14:textId="11BE88B4" w:rsidR="00EF7121" w:rsidRDefault="00EF7121" w:rsidP="002127DC">
            <w:pPr>
              <w:pStyle w:val="TableText"/>
              <w:rPr>
                <w:rFonts w:eastAsia="Calibri"/>
                <w:sz w:val="22"/>
              </w:rPr>
            </w:pPr>
            <w:r>
              <w:rPr>
                <w:rFonts w:eastAsia="Calibri"/>
                <w:sz w:val="22"/>
              </w:rPr>
              <w:t xml:space="preserve">Note that GST will continue to apply to supplies of goods and services which are brought using a </w:t>
            </w:r>
            <w:proofErr w:type="gramStart"/>
            <w:r w:rsidR="002C0155">
              <w:rPr>
                <w:rFonts w:eastAsia="Calibri"/>
                <w:sz w:val="22"/>
              </w:rPr>
              <w:t>crypto</w:t>
            </w:r>
            <w:r>
              <w:rPr>
                <w:rFonts w:eastAsia="Calibri"/>
                <w:sz w:val="22"/>
              </w:rPr>
              <w:t>-asset</w:t>
            </w:r>
            <w:proofErr w:type="gramEnd"/>
            <w:r w:rsidR="005E28CD">
              <w:rPr>
                <w:rFonts w:eastAsia="Calibri"/>
                <w:sz w:val="22"/>
              </w:rPr>
              <w:t xml:space="preserve"> as the ‘currency’.</w:t>
            </w:r>
          </w:p>
          <w:p w14:paraId="573F2566" w14:textId="77777777" w:rsidR="00F67E28" w:rsidRDefault="00F67E28" w:rsidP="002127DC">
            <w:pPr>
              <w:pStyle w:val="TableText"/>
              <w:rPr>
                <w:rFonts w:eastAsia="Calibri"/>
                <w:sz w:val="22"/>
              </w:rPr>
            </w:pPr>
          </w:p>
          <w:p w14:paraId="7FA83A27" w14:textId="4DD541ED" w:rsidR="00F67E28" w:rsidRPr="0069218C" w:rsidRDefault="00F67E28" w:rsidP="002127DC">
            <w:pPr>
              <w:pStyle w:val="TableText"/>
              <w:rPr>
                <w:rFonts w:eastAsia="Calibri"/>
                <w:sz w:val="22"/>
              </w:rPr>
            </w:pPr>
            <w:r>
              <w:rPr>
                <w:rFonts w:eastAsia="Calibri"/>
                <w:sz w:val="22"/>
              </w:rPr>
              <w:t xml:space="preserve">Taxpayers will also have </w:t>
            </w:r>
            <w:r w:rsidR="00CA5203">
              <w:rPr>
                <w:rFonts w:eastAsia="Calibri"/>
                <w:sz w:val="22"/>
              </w:rPr>
              <w:t>far fewer compliance costs, as they would not be required to consider the GST treatment of their various crypto-asset holdings</w:t>
            </w:r>
            <w:r w:rsidR="0016692C">
              <w:rPr>
                <w:rFonts w:eastAsia="Calibri"/>
                <w:sz w:val="22"/>
              </w:rPr>
              <w:t xml:space="preserve"> going forward</w:t>
            </w:r>
            <w:r w:rsidR="00CA5203">
              <w:rPr>
                <w:rFonts w:eastAsia="Calibri"/>
                <w:sz w:val="22"/>
              </w:rPr>
              <w:t>.</w:t>
            </w:r>
          </w:p>
        </w:tc>
        <w:tc>
          <w:tcPr>
            <w:tcW w:w="2585" w:type="dxa"/>
            <w:shd w:val="clear" w:color="auto" w:fill="auto"/>
          </w:tcPr>
          <w:p w14:paraId="73CBE2E0" w14:textId="3B127557" w:rsidR="00380585" w:rsidRPr="0069218C" w:rsidRDefault="002C0175" w:rsidP="002127DC">
            <w:pPr>
              <w:pStyle w:val="TableText"/>
              <w:rPr>
                <w:rFonts w:eastAsia="Calibri"/>
                <w:sz w:val="22"/>
              </w:rPr>
            </w:pPr>
            <w:r>
              <w:rPr>
                <w:rFonts w:eastAsia="Calibri"/>
                <w:sz w:val="22"/>
              </w:rPr>
              <w:t>Medium</w:t>
            </w:r>
          </w:p>
        </w:tc>
      </w:tr>
      <w:tr w:rsidR="00380585" w:rsidRPr="0069218C" w14:paraId="6D1801A4" w14:textId="77777777" w:rsidTr="00BB4EA2">
        <w:trPr>
          <w:trHeight w:val="253"/>
        </w:trPr>
        <w:tc>
          <w:tcPr>
            <w:tcW w:w="2093" w:type="dxa"/>
            <w:shd w:val="clear" w:color="auto" w:fill="auto"/>
          </w:tcPr>
          <w:p w14:paraId="715A3757" w14:textId="77777777" w:rsidR="00380585" w:rsidRPr="0069218C" w:rsidRDefault="00380585" w:rsidP="002127DC">
            <w:pPr>
              <w:pStyle w:val="TableText"/>
              <w:rPr>
                <w:rFonts w:eastAsia="Calibri"/>
                <w:sz w:val="22"/>
              </w:rPr>
            </w:pPr>
            <w:r w:rsidRPr="0069218C">
              <w:rPr>
                <w:rFonts w:eastAsia="Calibri"/>
                <w:sz w:val="22"/>
              </w:rPr>
              <w:t>Regulators</w:t>
            </w:r>
          </w:p>
        </w:tc>
        <w:tc>
          <w:tcPr>
            <w:tcW w:w="4394" w:type="dxa"/>
            <w:shd w:val="clear" w:color="auto" w:fill="auto"/>
          </w:tcPr>
          <w:p w14:paraId="2D09FD04" w14:textId="46B8F8E5" w:rsidR="00380585" w:rsidRPr="0069218C" w:rsidRDefault="00001D41" w:rsidP="002127DC">
            <w:pPr>
              <w:pStyle w:val="TableText"/>
              <w:rPr>
                <w:rFonts w:eastAsia="Calibri"/>
                <w:sz w:val="22"/>
              </w:rPr>
            </w:pPr>
            <w:r>
              <w:rPr>
                <w:rFonts w:eastAsia="Calibri"/>
                <w:sz w:val="22"/>
              </w:rPr>
              <w:t>Creates certainty in the law and therefore future proofs this space against future queries from taxpayers (which requires resources to respond to)</w:t>
            </w:r>
          </w:p>
        </w:tc>
        <w:tc>
          <w:tcPr>
            <w:tcW w:w="2585" w:type="dxa"/>
            <w:shd w:val="clear" w:color="auto" w:fill="auto"/>
          </w:tcPr>
          <w:p w14:paraId="733C5865" w14:textId="4E2C51DD" w:rsidR="00380585" w:rsidRPr="0069218C" w:rsidRDefault="002C0175" w:rsidP="002127DC">
            <w:pPr>
              <w:pStyle w:val="TableText"/>
              <w:rPr>
                <w:rFonts w:eastAsia="Calibri"/>
                <w:sz w:val="22"/>
              </w:rPr>
            </w:pPr>
            <w:r>
              <w:rPr>
                <w:rFonts w:eastAsia="Calibri"/>
                <w:sz w:val="22"/>
              </w:rPr>
              <w:t>Medium</w:t>
            </w:r>
          </w:p>
        </w:tc>
      </w:tr>
      <w:tr w:rsidR="00380585" w:rsidRPr="0069218C" w14:paraId="6617ED99" w14:textId="77777777" w:rsidTr="00BB4EA2">
        <w:trPr>
          <w:trHeight w:val="253"/>
        </w:trPr>
        <w:tc>
          <w:tcPr>
            <w:tcW w:w="2093" w:type="dxa"/>
            <w:shd w:val="clear" w:color="auto" w:fill="auto"/>
          </w:tcPr>
          <w:p w14:paraId="4D03E098" w14:textId="77777777" w:rsidR="00380585" w:rsidRPr="0069218C" w:rsidRDefault="00380585" w:rsidP="002127DC">
            <w:pPr>
              <w:pStyle w:val="TableText"/>
              <w:rPr>
                <w:rFonts w:eastAsia="Calibri"/>
                <w:sz w:val="22"/>
              </w:rPr>
            </w:pPr>
            <w:r w:rsidRPr="0069218C">
              <w:rPr>
                <w:rFonts w:eastAsia="Calibri"/>
                <w:sz w:val="22"/>
              </w:rPr>
              <w:t>Wider government</w:t>
            </w:r>
          </w:p>
        </w:tc>
        <w:tc>
          <w:tcPr>
            <w:tcW w:w="4394" w:type="dxa"/>
            <w:shd w:val="clear" w:color="auto" w:fill="auto"/>
          </w:tcPr>
          <w:p w14:paraId="28CC1657" w14:textId="5A2A3071" w:rsidR="00380585" w:rsidRPr="0069218C" w:rsidRDefault="00AD57A9" w:rsidP="002127DC">
            <w:pPr>
              <w:pStyle w:val="TableText"/>
              <w:rPr>
                <w:rFonts w:eastAsia="Calibri"/>
                <w:sz w:val="22"/>
              </w:rPr>
            </w:pPr>
            <w:r>
              <w:rPr>
                <w:rFonts w:eastAsia="Calibri"/>
                <w:sz w:val="22"/>
              </w:rPr>
              <w:t>Provides certainty regarding the wider crypto-asset market</w:t>
            </w:r>
          </w:p>
        </w:tc>
        <w:tc>
          <w:tcPr>
            <w:tcW w:w="2585" w:type="dxa"/>
            <w:shd w:val="clear" w:color="auto" w:fill="auto"/>
          </w:tcPr>
          <w:p w14:paraId="3881C965" w14:textId="77777777" w:rsidR="00380585" w:rsidRPr="0069218C" w:rsidRDefault="00380585" w:rsidP="002127DC">
            <w:pPr>
              <w:pStyle w:val="TableText"/>
              <w:rPr>
                <w:rFonts w:eastAsia="Calibri"/>
                <w:sz w:val="22"/>
              </w:rPr>
            </w:pPr>
          </w:p>
        </w:tc>
      </w:tr>
      <w:tr w:rsidR="00380585" w:rsidRPr="0069218C" w14:paraId="746B7EB9" w14:textId="77777777" w:rsidTr="00BB4EA2">
        <w:trPr>
          <w:trHeight w:val="253"/>
        </w:trPr>
        <w:tc>
          <w:tcPr>
            <w:tcW w:w="2093" w:type="dxa"/>
            <w:shd w:val="clear" w:color="auto" w:fill="auto"/>
          </w:tcPr>
          <w:p w14:paraId="3F02F27B" w14:textId="77777777" w:rsidR="00380585" w:rsidRPr="0069218C" w:rsidRDefault="00380585" w:rsidP="002127DC">
            <w:pPr>
              <w:pStyle w:val="TableText"/>
              <w:rPr>
                <w:rFonts w:eastAsia="Calibri"/>
                <w:sz w:val="22"/>
              </w:rPr>
            </w:pPr>
            <w:r w:rsidRPr="0069218C">
              <w:rPr>
                <w:rFonts w:eastAsia="Calibri"/>
                <w:sz w:val="22"/>
              </w:rPr>
              <w:t xml:space="preserve">Other parties </w:t>
            </w:r>
          </w:p>
        </w:tc>
        <w:tc>
          <w:tcPr>
            <w:tcW w:w="4394" w:type="dxa"/>
            <w:shd w:val="clear" w:color="auto" w:fill="auto"/>
          </w:tcPr>
          <w:p w14:paraId="6F1D21BC" w14:textId="63FE23CE" w:rsidR="00380585" w:rsidRPr="0069218C" w:rsidRDefault="00CA5203" w:rsidP="002127DC">
            <w:pPr>
              <w:pStyle w:val="TableText"/>
              <w:rPr>
                <w:rFonts w:eastAsia="Calibri"/>
                <w:sz w:val="22"/>
              </w:rPr>
            </w:pPr>
            <w:r>
              <w:rPr>
                <w:rFonts w:eastAsia="Calibri"/>
                <w:sz w:val="22"/>
              </w:rPr>
              <w:t>No expected benefits</w:t>
            </w:r>
          </w:p>
        </w:tc>
        <w:tc>
          <w:tcPr>
            <w:tcW w:w="2585" w:type="dxa"/>
            <w:shd w:val="clear" w:color="auto" w:fill="auto"/>
          </w:tcPr>
          <w:p w14:paraId="4BA42D52" w14:textId="77777777" w:rsidR="00380585" w:rsidRPr="0069218C" w:rsidRDefault="00380585" w:rsidP="002127DC">
            <w:pPr>
              <w:pStyle w:val="TableText"/>
              <w:rPr>
                <w:rFonts w:eastAsia="Calibri"/>
                <w:sz w:val="22"/>
              </w:rPr>
            </w:pP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5B765F45" w:rsidR="00380585" w:rsidRPr="0069218C" w:rsidRDefault="003E677D" w:rsidP="002127DC">
            <w:pPr>
              <w:pStyle w:val="TableText"/>
              <w:rPr>
                <w:rFonts w:eastAsia="Calibri"/>
                <w:sz w:val="22"/>
              </w:rPr>
            </w:pPr>
            <w:r>
              <w:rPr>
                <w:rFonts w:eastAsia="Calibri"/>
                <w:sz w:val="22"/>
              </w:rPr>
              <w:t>Hard to quantify as whether GST would have applied would largely depend on the nature of the transaction.</w:t>
            </w:r>
          </w:p>
        </w:tc>
        <w:tc>
          <w:tcPr>
            <w:tcW w:w="2585" w:type="dxa"/>
            <w:shd w:val="clear" w:color="auto" w:fill="auto"/>
          </w:tcPr>
          <w:p w14:paraId="36B5F82A" w14:textId="5D16FFD0" w:rsidR="00380585" w:rsidRPr="00F3502A" w:rsidRDefault="00F3502A" w:rsidP="002127DC">
            <w:pPr>
              <w:pStyle w:val="TableText"/>
              <w:rPr>
                <w:rFonts w:eastAsia="Calibri"/>
                <w:sz w:val="22"/>
              </w:rPr>
            </w:pPr>
            <w:r w:rsidRPr="00F3502A">
              <w:rPr>
                <w:rFonts w:eastAsia="Calibri"/>
                <w:sz w:val="22"/>
              </w:rPr>
              <w:t>Low</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460F9239" w:rsidR="00380585" w:rsidRPr="0069218C" w:rsidRDefault="00CA5203" w:rsidP="002127DC">
            <w:pPr>
              <w:pStyle w:val="TableText"/>
              <w:rPr>
                <w:rFonts w:eastAsia="Calibri"/>
                <w:sz w:val="22"/>
              </w:rPr>
            </w:pPr>
            <w:r>
              <w:rPr>
                <w:rFonts w:eastAsia="Calibri"/>
                <w:sz w:val="22"/>
              </w:rPr>
              <w:t>Reduction in compliance costs for taxpayers</w:t>
            </w:r>
            <w:r w:rsidR="0016692C">
              <w:rPr>
                <w:rFonts w:eastAsia="Calibri"/>
                <w:sz w:val="22"/>
              </w:rPr>
              <w:t xml:space="preserve"> over time</w:t>
            </w:r>
          </w:p>
        </w:tc>
        <w:tc>
          <w:tcPr>
            <w:tcW w:w="2585" w:type="dxa"/>
            <w:shd w:val="clear" w:color="auto" w:fill="auto"/>
          </w:tcPr>
          <w:p w14:paraId="723A8545" w14:textId="0E313111" w:rsidR="00380585" w:rsidRPr="00F3502A" w:rsidRDefault="00CA5203" w:rsidP="002127DC">
            <w:pPr>
              <w:pStyle w:val="TableText"/>
              <w:rPr>
                <w:rFonts w:eastAsia="Calibri"/>
                <w:iCs/>
                <w:sz w:val="22"/>
              </w:rPr>
            </w:pPr>
            <w:r w:rsidRPr="00F3502A">
              <w:rPr>
                <w:rFonts w:eastAsia="Calibri"/>
                <w:iCs/>
                <w:sz w:val="22"/>
              </w:rPr>
              <w:t>Medium</w:t>
            </w:r>
          </w:p>
        </w:tc>
      </w:tr>
    </w:tbl>
    <w:tbl>
      <w:tblPr>
        <w:tblpPr w:leftFromText="180" w:rightFromText="180" w:vertAnchor="text" w:horzAnchor="margin" w:tblpX="137" w:tblpY="3219"/>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F0A0E" w:rsidRPr="0069218C" w14:paraId="211EF3AB" w14:textId="77777777" w:rsidTr="000F0A0E">
        <w:trPr>
          <w:trHeight w:val="77"/>
        </w:trPr>
        <w:tc>
          <w:tcPr>
            <w:tcW w:w="5000" w:type="pct"/>
            <w:shd w:val="clear" w:color="auto" w:fill="99CDDD"/>
            <w:hideMark/>
          </w:tcPr>
          <w:p w14:paraId="0377AC70" w14:textId="77777777" w:rsidR="000F0A0E" w:rsidRPr="00886DFF" w:rsidRDefault="000F0A0E" w:rsidP="000F0A0E">
            <w:pPr>
              <w:pStyle w:val="TableHeadings"/>
              <w:rPr>
                <w:szCs w:val="22"/>
                <w:lang w:val="en-NZ"/>
              </w:rPr>
            </w:pPr>
            <w:r w:rsidRPr="00886DFF">
              <w:rPr>
                <w:szCs w:val="22"/>
                <w:lang w:val="en-NZ"/>
              </w:rPr>
              <w:t>4.2   What other impacts is this approach likely to have?</w:t>
            </w:r>
          </w:p>
        </w:tc>
      </w:tr>
      <w:tr w:rsidR="000F0A0E" w:rsidRPr="0069218C" w14:paraId="55319669" w14:textId="77777777" w:rsidTr="000F0A0E">
        <w:trPr>
          <w:trHeight w:val="194"/>
        </w:trPr>
        <w:tc>
          <w:tcPr>
            <w:tcW w:w="5000" w:type="pct"/>
            <w:shd w:val="clear" w:color="auto" w:fill="EBF5F8"/>
            <w:hideMark/>
          </w:tcPr>
          <w:p w14:paraId="3B76BCB1" w14:textId="77777777" w:rsidR="000F0A0E" w:rsidRPr="0069218C" w:rsidRDefault="000F0A0E" w:rsidP="000F0A0E">
            <w:pPr>
              <w:pStyle w:val="Bullet-list"/>
              <w:numPr>
                <w:ilvl w:val="0"/>
                <w:numId w:val="0"/>
              </w:numPr>
              <w:ind w:left="284"/>
            </w:pPr>
          </w:p>
        </w:tc>
      </w:tr>
      <w:tr w:rsidR="000F0A0E" w:rsidRPr="0069218C" w14:paraId="1D0354D9" w14:textId="77777777" w:rsidTr="000F0A0E">
        <w:trPr>
          <w:trHeight w:val="2811"/>
        </w:trPr>
        <w:tc>
          <w:tcPr>
            <w:tcW w:w="5000" w:type="pct"/>
            <w:shd w:val="clear" w:color="auto" w:fill="auto"/>
          </w:tcPr>
          <w:p w14:paraId="6A641841" w14:textId="77777777" w:rsidR="000F0A0E" w:rsidRPr="0069218C" w:rsidRDefault="000F0A0E" w:rsidP="000F0A0E">
            <w:pPr>
              <w:rPr>
                <w:rFonts w:cs="Arial"/>
                <w:szCs w:val="22"/>
              </w:rPr>
            </w:pPr>
            <w:r>
              <w:rPr>
                <w:rFonts w:cs="Arial"/>
                <w:szCs w:val="22"/>
              </w:rPr>
              <w:t>There are unlikely to be any further material impacts of this approach.</w:t>
            </w:r>
          </w:p>
        </w:tc>
      </w:tr>
    </w:tbl>
    <w:p w14:paraId="1185774B" w14:textId="3C55850E" w:rsidR="00C77099" w:rsidRPr="00886DFF" w:rsidRDefault="005744B1" w:rsidP="005744B1">
      <w:pPr>
        <w:rPr>
          <w:rFonts w:cs="Arial"/>
          <w:i/>
          <w:color w:val="000000"/>
          <w:szCs w:val="22"/>
          <w:lang w:eastAsia="en-AU"/>
        </w:rPr>
      </w:pPr>
      <w:r>
        <w:br w:type="page"/>
      </w:r>
    </w:p>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B4EA2">
        <w:trPr>
          <w:trHeight w:val="5298"/>
        </w:trPr>
        <w:tc>
          <w:tcPr>
            <w:tcW w:w="5000" w:type="pct"/>
            <w:shd w:val="clear" w:color="auto" w:fill="auto"/>
          </w:tcPr>
          <w:p w14:paraId="24BC0449" w14:textId="1B0C5B17" w:rsidR="00596CDC" w:rsidRDefault="002214DA" w:rsidP="00596CDC">
            <w:pPr>
              <w:spacing w:after="0" w:line="276" w:lineRule="auto"/>
              <w:jc w:val="both"/>
              <w:rPr>
                <w:rFonts w:cs="Arial"/>
                <w:szCs w:val="22"/>
              </w:rPr>
            </w:pPr>
            <w:r>
              <w:rPr>
                <w:b/>
                <w:bCs/>
              </w:rPr>
              <w:t>Who has been consulted?</w:t>
            </w:r>
            <w:r w:rsidR="00596CDC">
              <w:rPr>
                <w:rFonts w:cs="Arial"/>
                <w:b/>
                <w:bCs/>
                <w:szCs w:val="22"/>
              </w:rPr>
              <w:t xml:space="preserve"> What was the nature of their interest?</w:t>
            </w:r>
          </w:p>
          <w:p w14:paraId="121D8993" w14:textId="67FAD398" w:rsidR="006B0E84" w:rsidRDefault="009F6E07" w:rsidP="00891CBB">
            <w:pPr>
              <w:rPr>
                <w:rFonts w:cs="Arial"/>
                <w:szCs w:val="22"/>
              </w:rPr>
            </w:pPr>
            <w:r>
              <w:t xml:space="preserve">This issue was consulted on as part of the release of the </w:t>
            </w:r>
            <w:r w:rsidR="00EE3D0B">
              <w:rPr>
                <w:i/>
                <w:iCs/>
              </w:rPr>
              <w:t>GST policy issues – an officials’ issues paper</w:t>
            </w:r>
            <w:r>
              <w:t>.</w:t>
            </w:r>
            <w:r w:rsidR="003F48C3">
              <w:t xml:space="preserve"> Inland Revenue received submissions from</w:t>
            </w:r>
            <w:r w:rsidR="00596CDC">
              <w:t xml:space="preserve"> private sector</w:t>
            </w:r>
            <w:r w:rsidR="003F48C3">
              <w:t xml:space="preserve"> tax </w:t>
            </w:r>
            <w:r w:rsidR="00596CDC">
              <w:t xml:space="preserve"> advisers </w:t>
            </w:r>
            <w:r w:rsidR="00E8034E">
              <w:t xml:space="preserve"> as well as from some crypto-currency groups, such as </w:t>
            </w:r>
            <w:r w:rsidR="00961E7C">
              <w:t>Blockchain</w:t>
            </w:r>
            <w:r w:rsidR="00E8034E">
              <w:t xml:space="preserve"> NZ.</w:t>
            </w:r>
            <w:r w:rsidR="00596CDC">
              <w:t xml:space="preserve"> </w:t>
            </w:r>
          </w:p>
          <w:p w14:paraId="0ABC42ED" w14:textId="77777777" w:rsidR="00212AD9" w:rsidRDefault="00212AD9" w:rsidP="0069218C">
            <w:pPr>
              <w:spacing w:after="0" w:line="276" w:lineRule="auto"/>
              <w:jc w:val="both"/>
              <w:rPr>
                <w:rFonts w:cs="Arial"/>
                <w:szCs w:val="22"/>
              </w:rPr>
            </w:pPr>
          </w:p>
          <w:p w14:paraId="1D5C0822" w14:textId="77777777" w:rsidR="00212AD9" w:rsidRDefault="00212AD9" w:rsidP="0069218C">
            <w:pPr>
              <w:spacing w:after="0" w:line="276" w:lineRule="auto"/>
              <w:jc w:val="both"/>
              <w:rPr>
                <w:rFonts w:cs="Arial"/>
                <w:szCs w:val="22"/>
              </w:rPr>
            </w:pPr>
            <w:r>
              <w:rPr>
                <w:rFonts w:cs="Arial"/>
                <w:b/>
                <w:bCs/>
                <w:szCs w:val="22"/>
              </w:rPr>
              <w:t>Do they agree with your analysis of the problem and its causes?</w:t>
            </w:r>
          </w:p>
          <w:p w14:paraId="0EEC3B4A" w14:textId="77777777" w:rsidR="00212AD9" w:rsidRDefault="00212AD9" w:rsidP="0069218C">
            <w:pPr>
              <w:spacing w:after="0" w:line="276" w:lineRule="auto"/>
              <w:jc w:val="both"/>
              <w:rPr>
                <w:rFonts w:cs="Arial"/>
                <w:szCs w:val="22"/>
              </w:rPr>
            </w:pPr>
          </w:p>
          <w:p w14:paraId="23EB2E36" w14:textId="56E4B91C" w:rsidR="00212AD9" w:rsidRDefault="00D7274A" w:rsidP="0069218C">
            <w:pPr>
              <w:spacing w:after="0" w:line="276" w:lineRule="auto"/>
              <w:jc w:val="both"/>
              <w:rPr>
                <w:rFonts w:cs="Arial"/>
                <w:szCs w:val="22"/>
              </w:rPr>
            </w:pPr>
            <w:r>
              <w:rPr>
                <w:rFonts w:cs="Arial"/>
                <w:szCs w:val="22"/>
              </w:rPr>
              <w:t>Yes.</w:t>
            </w:r>
            <w:r w:rsidR="002367EE">
              <w:rPr>
                <w:rFonts w:cs="Arial"/>
                <w:szCs w:val="22"/>
              </w:rPr>
              <w:t xml:space="preserve"> The submissions received on this issue in the GST issues paper outlined </w:t>
            </w:r>
            <w:r w:rsidR="005B5970">
              <w:rPr>
                <w:rFonts w:cs="Arial"/>
                <w:szCs w:val="22"/>
              </w:rPr>
              <w:t xml:space="preserve">similar </w:t>
            </w:r>
            <w:r w:rsidR="00C81F0A">
              <w:rPr>
                <w:rFonts w:cs="Arial"/>
                <w:szCs w:val="22"/>
              </w:rPr>
              <w:t xml:space="preserve">considerations </w:t>
            </w:r>
            <w:r w:rsidR="005B5970">
              <w:rPr>
                <w:rFonts w:cs="Arial"/>
                <w:szCs w:val="22"/>
              </w:rPr>
              <w:t>to what has been discussed in this RIA (see above and in the pros and cons section of the discussion options).</w:t>
            </w:r>
          </w:p>
          <w:p w14:paraId="2EBC2320" w14:textId="77777777" w:rsidR="005B5970" w:rsidRDefault="005B5970" w:rsidP="0069218C">
            <w:pPr>
              <w:spacing w:after="0" w:line="276" w:lineRule="auto"/>
              <w:jc w:val="both"/>
              <w:rPr>
                <w:rFonts w:cs="Arial"/>
                <w:szCs w:val="22"/>
              </w:rPr>
            </w:pPr>
          </w:p>
          <w:p w14:paraId="029C471D" w14:textId="77777777" w:rsidR="005B5970" w:rsidRPr="005B5970" w:rsidRDefault="005B5970" w:rsidP="005B5970">
            <w:pPr>
              <w:pStyle w:val="Bullet-list"/>
              <w:numPr>
                <w:ilvl w:val="0"/>
                <w:numId w:val="0"/>
              </w:numPr>
              <w:ind w:left="284" w:hanging="284"/>
              <w:rPr>
                <w:b/>
                <w:bCs/>
              </w:rPr>
            </w:pPr>
            <w:r w:rsidRPr="005B5970">
              <w:rPr>
                <w:b/>
                <w:bCs/>
              </w:rPr>
              <w:t>Do they agree with your proposed approach?</w:t>
            </w:r>
          </w:p>
          <w:p w14:paraId="7C1FB66A" w14:textId="77777777" w:rsidR="00C81F0A" w:rsidRDefault="00C81F0A" w:rsidP="00C81F0A">
            <w:pPr>
              <w:spacing w:after="0" w:line="276" w:lineRule="auto"/>
              <w:jc w:val="both"/>
              <w:rPr>
                <w:rFonts w:cs="Arial"/>
                <w:szCs w:val="22"/>
              </w:rPr>
            </w:pPr>
            <w:r>
              <w:rPr>
                <w:rFonts w:cs="Arial"/>
                <w:szCs w:val="22"/>
              </w:rPr>
              <w:t xml:space="preserve">Submitters were largely supportive of our preferred approach which is to provide a broad definition of crypto-assets and make those crypto-assets not subject to GST and exempt from the FA rules. CA ANZ preferred the first option, being the development of a token classification system and deeming </w:t>
            </w:r>
            <w:proofErr w:type="gramStart"/>
            <w:r>
              <w:rPr>
                <w:rFonts w:cs="Arial"/>
                <w:szCs w:val="22"/>
              </w:rPr>
              <w:t>rules, but</w:t>
            </w:r>
            <w:proofErr w:type="gramEnd"/>
            <w:r>
              <w:rPr>
                <w:rFonts w:cs="Arial"/>
                <w:szCs w:val="22"/>
              </w:rPr>
              <w:t xml:space="preserve"> did note that if this principled framework was not developed then they would support a broad definition option.</w:t>
            </w:r>
          </w:p>
          <w:p w14:paraId="55DA56C8" w14:textId="77777777" w:rsidR="005D31E9" w:rsidRPr="005D31E9" w:rsidRDefault="005D31E9" w:rsidP="0069218C">
            <w:pPr>
              <w:spacing w:after="0" w:line="276" w:lineRule="auto"/>
              <w:jc w:val="both"/>
              <w:rPr>
                <w:rFonts w:cs="Arial"/>
                <w:b/>
                <w:bCs/>
                <w:szCs w:val="22"/>
              </w:rPr>
            </w:pPr>
          </w:p>
          <w:p w14:paraId="1B46ACF9" w14:textId="77777777" w:rsidR="005D31E9" w:rsidRDefault="005D31E9" w:rsidP="0069218C">
            <w:pPr>
              <w:spacing w:after="0" w:line="276" w:lineRule="auto"/>
              <w:jc w:val="both"/>
              <w:rPr>
                <w:b/>
                <w:bCs/>
              </w:rPr>
            </w:pPr>
            <w:r w:rsidRPr="005D31E9">
              <w:rPr>
                <w:b/>
                <w:bCs/>
              </w:rPr>
              <w:t>Has your proposed approach been modified as a result of stakeholder feedback?</w:t>
            </w:r>
          </w:p>
          <w:p w14:paraId="5477A34C" w14:textId="1250A5F2" w:rsidR="005D31E9" w:rsidRDefault="005D31E9" w:rsidP="0069218C">
            <w:pPr>
              <w:spacing w:after="0" w:line="276" w:lineRule="auto"/>
              <w:jc w:val="both"/>
              <w:rPr>
                <w:b/>
                <w:bCs/>
              </w:rPr>
            </w:pPr>
          </w:p>
          <w:p w14:paraId="12791DA2" w14:textId="77777777" w:rsidR="000832F2" w:rsidRDefault="00B4714A" w:rsidP="0069218C">
            <w:pPr>
              <w:spacing w:after="0" w:line="276" w:lineRule="auto"/>
              <w:jc w:val="both"/>
            </w:pPr>
            <w:r>
              <w:t>Yes.</w:t>
            </w:r>
            <w:r w:rsidR="003C024B">
              <w:t xml:space="preserve"> Submitters have provided some valuable input into the detailed design</w:t>
            </w:r>
            <w:r w:rsidR="00CD0DD8">
              <w:t xml:space="preserve"> of the proposals. </w:t>
            </w:r>
            <w:r w:rsidR="00E07FCA">
              <w:t xml:space="preserve">Some examples of how </w:t>
            </w:r>
            <w:r w:rsidR="000832F2">
              <w:t xml:space="preserve">the proposed </w:t>
            </w:r>
            <w:r w:rsidR="00E07FCA">
              <w:t>approach has been modified as a result of stakeholder feedback</w:t>
            </w:r>
            <w:r w:rsidR="00CD0DD8">
              <w:t xml:space="preserve"> includes how ‘crypto-asset’ should be defined</w:t>
            </w:r>
            <w:r w:rsidR="00AE370C">
              <w:t xml:space="preserve">, which is important to </w:t>
            </w:r>
            <w:r w:rsidR="004D58EC">
              <w:t>ensure</w:t>
            </w:r>
            <w:r w:rsidR="00AE370C">
              <w:t xml:space="preserve"> the workability of the proposals, along with</w:t>
            </w:r>
            <w:r w:rsidR="00A4354D">
              <w:t xml:space="preserve"> the potential inclusion of a grand parenting clause for prior tax positions (noting that these proposals would be retrospective to 1 Jan 2009, being the inception of bitcoin).</w:t>
            </w:r>
          </w:p>
          <w:p w14:paraId="02B2045D" w14:textId="77777777" w:rsidR="000832F2" w:rsidRDefault="000832F2" w:rsidP="0069218C">
            <w:pPr>
              <w:spacing w:after="0" w:line="276" w:lineRule="auto"/>
              <w:jc w:val="both"/>
            </w:pPr>
          </w:p>
          <w:p w14:paraId="3AFAF846" w14:textId="025E2234" w:rsidR="00B4714A" w:rsidRDefault="004D58EC" w:rsidP="0069218C">
            <w:pPr>
              <w:spacing w:after="0" w:line="276" w:lineRule="auto"/>
              <w:jc w:val="both"/>
            </w:pPr>
            <w:r>
              <w:t>As the proposal</w:t>
            </w:r>
            <w:r w:rsidR="004746C4">
              <w:t xml:space="preserve">s also intend to exempt crypto-assets from the application of the </w:t>
            </w:r>
            <w:r w:rsidR="00B85C80">
              <w:t>FA</w:t>
            </w:r>
            <w:r w:rsidR="004746C4">
              <w:t xml:space="preserve"> rules (with the exception of cr</w:t>
            </w:r>
            <w:r w:rsidR="00D9289B">
              <w:t>ypt</w:t>
            </w:r>
            <w:r w:rsidR="004746C4">
              <w:t>o-</w:t>
            </w:r>
            <w:r w:rsidR="00910AD8">
              <w:t>as</w:t>
            </w:r>
            <w:r w:rsidR="004746C4">
              <w:t>sets with features that make them economically equivalent to debt arrangements),</w:t>
            </w:r>
            <w:r w:rsidR="00910AD8">
              <w:t xml:space="preserve"> submitters noted the need for an anti-avoidance provision to prevent any deliberate abuse (</w:t>
            </w:r>
            <w:proofErr w:type="gramStart"/>
            <w:r w:rsidR="00910AD8">
              <w:t>e.g.</w:t>
            </w:r>
            <w:proofErr w:type="gramEnd"/>
            <w:r w:rsidR="00910AD8">
              <w:t xml:space="preserve"> an issuer of bonds converting its bond instruments into tokens for the purposes of reducing the tax impact for its investors).</w:t>
            </w:r>
          </w:p>
          <w:p w14:paraId="4B5E342B" w14:textId="78042557" w:rsidR="00D9289B" w:rsidRDefault="00D9289B" w:rsidP="0069218C">
            <w:pPr>
              <w:spacing w:after="0" w:line="276" w:lineRule="auto"/>
              <w:jc w:val="both"/>
            </w:pPr>
          </w:p>
          <w:p w14:paraId="521984FF" w14:textId="6DF469D3" w:rsidR="00D9289B" w:rsidRPr="00314D2E" w:rsidRDefault="00D9289B" w:rsidP="0069218C">
            <w:pPr>
              <w:spacing w:after="0" w:line="276" w:lineRule="auto"/>
              <w:jc w:val="both"/>
            </w:pPr>
            <w:r>
              <w:t>Submitters also stressed the need for greater levels of guidance, w</w:t>
            </w:r>
            <w:r w:rsidR="00314D2E">
              <w:t>hich</w:t>
            </w:r>
            <w:r>
              <w:t xml:space="preserve"> resulted in </w:t>
            </w:r>
            <w:r w:rsidR="00F12A15">
              <w:t>preparing for</w:t>
            </w:r>
            <w:r>
              <w:t xml:space="preserve"> a</w:t>
            </w:r>
            <w:r w:rsidR="00D256CF">
              <w:t xml:space="preserve"> more comprehensive approach than was in the issues paper (</w:t>
            </w:r>
            <w:proofErr w:type="gramStart"/>
            <w:r w:rsidR="00D256CF">
              <w:t>i.e.</w:t>
            </w:r>
            <w:proofErr w:type="gramEnd"/>
            <w:r w:rsidR="00D256CF">
              <w:t xml:space="preserve"> the issues paper advocated for the ‘broad definition’ approach as discussed earlier in this RIA, but this will now be supplemented with additional guidance to address submitters concerns</w:t>
            </w:r>
            <w:r w:rsidR="00B20E36">
              <w:t>)</w:t>
            </w:r>
            <w:r w:rsidR="00D256CF">
              <w:t>.</w:t>
            </w:r>
          </w:p>
          <w:p w14:paraId="705BF19A" w14:textId="77777777" w:rsidR="00B4714A" w:rsidRDefault="00B4714A" w:rsidP="0069218C">
            <w:pPr>
              <w:spacing w:after="0" w:line="276" w:lineRule="auto"/>
              <w:jc w:val="both"/>
              <w:rPr>
                <w:b/>
                <w:bCs/>
              </w:rPr>
            </w:pPr>
          </w:p>
          <w:p w14:paraId="53FB4632" w14:textId="1F114570" w:rsidR="005D31E9" w:rsidRPr="005D31E9" w:rsidRDefault="005D31E9" w:rsidP="0069218C">
            <w:pPr>
              <w:spacing w:after="0" w:line="276" w:lineRule="auto"/>
              <w:jc w:val="both"/>
              <w:rPr>
                <w:rFonts w:cs="Arial"/>
                <w:bCs/>
                <w:szCs w:val="22"/>
              </w:rPr>
            </w:pPr>
          </w:p>
        </w:tc>
      </w:tr>
    </w:tbl>
    <w:p w14:paraId="240E5F50" w14:textId="508C638A" w:rsidR="00EE4E3B" w:rsidRPr="008A6442" w:rsidRDefault="00D9793F" w:rsidP="001B4792">
      <w:pPr>
        <w:pStyle w:val="Heading2"/>
      </w:pPr>
      <w:r w:rsidRPr="0069218C">
        <w:rPr>
          <w:lang w:val="en-NZ"/>
        </w:rP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BB4EA2">
        <w:trPr>
          <w:trHeight w:val="9337"/>
        </w:trPr>
        <w:tc>
          <w:tcPr>
            <w:tcW w:w="9072" w:type="dxa"/>
            <w:shd w:val="clear" w:color="auto" w:fill="auto"/>
          </w:tcPr>
          <w:p w14:paraId="2A4B30ED" w14:textId="17C7E59B" w:rsidR="00F132B2" w:rsidRDefault="00B74056" w:rsidP="00B74056">
            <w:r>
              <w:t xml:space="preserve">The proposals will require amendments to the Goods and Services </w:t>
            </w:r>
            <w:r w:rsidR="003C228A">
              <w:t xml:space="preserve">Tax </w:t>
            </w:r>
            <w:r>
              <w:t>A</w:t>
            </w:r>
            <w:r w:rsidR="003C228A">
              <w:t>ct 1985 and</w:t>
            </w:r>
            <w:r w:rsidR="00596CDC">
              <w:t xml:space="preserve"> the Income Tax Act </w:t>
            </w:r>
            <w:proofErr w:type="gramStart"/>
            <w:r w:rsidR="00596CDC">
              <w:t>2007</w:t>
            </w:r>
            <w:r w:rsidR="00B20E36">
              <w:t>,</w:t>
            </w:r>
            <w:r w:rsidR="003C228A">
              <w:t xml:space="preserve"> </w:t>
            </w:r>
            <w:r w:rsidR="00596CDC">
              <w:t>and</w:t>
            </w:r>
            <w:proofErr w:type="gramEnd"/>
            <w:r w:rsidR="00596CDC">
              <w:t xml:space="preserve"> </w:t>
            </w:r>
            <w:r w:rsidR="003C228A">
              <w:t xml:space="preserve">could be included in the next available omnibus tax bill </w:t>
            </w:r>
            <w:r w:rsidR="00B20E36">
              <w:t>(</w:t>
            </w:r>
            <w:r w:rsidR="003C228A">
              <w:t xml:space="preserve">expected to be introduced in </w:t>
            </w:r>
            <w:r w:rsidR="002C0175">
              <w:t xml:space="preserve">August </w:t>
            </w:r>
            <w:r w:rsidR="003C228A">
              <w:t>2021</w:t>
            </w:r>
            <w:r w:rsidR="00B20E36">
              <w:t>)</w:t>
            </w:r>
            <w:r w:rsidR="003C228A">
              <w:t>.</w:t>
            </w:r>
          </w:p>
          <w:p w14:paraId="7C739178" w14:textId="796B7E9F" w:rsidR="003C228A" w:rsidRDefault="00024F47" w:rsidP="00B74056">
            <w:r>
              <w:t xml:space="preserve">Guidance materials to explain how the amendments would operate will be published when the bill is introduced, in response to submissions raised with Select Committee and after the bill is enacted </w:t>
            </w:r>
            <w:r w:rsidR="00B20E36">
              <w:t>(</w:t>
            </w:r>
            <w:r>
              <w:t xml:space="preserve">by way of </w:t>
            </w:r>
            <w:r w:rsidR="00A6486C">
              <w:t xml:space="preserve">inclusion in a </w:t>
            </w:r>
            <w:r>
              <w:t>Tax Information Bulletin</w:t>
            </w:r>
            <w:r w:rsidR="00B20E36">
              <w:t>)</w:t>
            </w:r>
            <w:r>
              <w:t>.</w:t>
            </w:r>
          </w:p>
          <w:p w14:paraId="6B99D85A" w14:textId="565933C5" w:rsidR="00024F47" w:rsidRDefault="00CE0228" w:rsidP="00B74056">
            <w:r>
              <w:t>T</w:t>
            </w:r>
            <w:r w:rsidR="001A3014">
              <w:t>he proposals have been subject to consultation via a GST issues paper and would be subject to the standard legislative process. It therefore follows that</w:t>
            </w:r>
            <w:r w:rsidR="00B446B8">
              <w:t xml:space="preserve"> there will be sufficient time for people to react to and understand the changes.</w:t>
            </w:r>
          </w:p>
          <w:p w14:paraId="21A0B5F6" w14:textId="698806E7" w:rsidR="00F132B2" w:rsidRPr="0069218C" w:rsidRDefault="00CE0228" w:rsidP="0069218C">
            <w:pPr>
              <w:spacing w:after="0" w:line="276" w:lineRule="auto"/>
              <w:jc w:val="both"/>
              <w:rPr>
                <w:rFonts w:cs="Arial"/>
                <w:szCs w:val="22"/>
              </w:rPr>
            </w:pPr>
            <w:r>
              <w:t>The proposals are quite simple in their execution (</w:t>
            </w:r>
            <w:proofErr w:type="gramStart"/>
            <w:r>
              <w:t>i.e.</w:t>
            </w:r>
            <w:proofErr w:type="gramEnd"/>
            <w:r>
              <w:t xml:space="preserve"> excluding crypto-assets from the </w:t>
            </w:r>
            <w:r w:rsidR="002E43AE">
              <w:t>Financial arrangements</w:t>
            </w:r>
            <w:r>
              <w:t xml:space="preserve"> rules and GST) and align with existing taxpayer practices so are therefore unlikely to create any implementation risks. </w:t>
            </w:r>
          </w:p>
        </w:tc>
      </w:tr>
    </w:tbl>
    <w:p w14:paraId="732C114C" w14:textId="3D4BB04C" w:rsidR="00F132B2" w:rsidRPr="008A6442" w:rsidRDefault="000535CE" w:rsidP="001B4792">
      <w:pPr>
        <w:pStyle w:val="Heading2"/>
      </w:pPr>
      <w:r w:rsidRPr="0069218C">
        <w:br w:type="page"/>
      </w:r>
      <w:r w:rsidR="00F132B2" w:rsidRPr="00B952B7">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7EB44FF7" w14:textId="088BC886" w:rsidR="0039293F" w:rsidRDefault="00A6486C" w:rsidP="00E6054D">
            <w:r>
              <w:t>Officials</w:t>
            </w:r>
            <w:r w:rsidR="0039293F">
              <w:t xml:space="preserve"> will continue to engage with submitters and other stakeholders to ensure the rules are operating correctly and to determine whether any remedials or further changes are required. </w:t>
            </w:r>
          </w:p>
          <w:p w14:paraId="749B9605" w14:textId="77777777" w:rsidR="0039293F" w:rsidRDefault="0039293F" w:rsidP="00E6054D"/>
          <w:p w14:paraId="45C87625" w14:textId="77777777" w:rsidR="00F132B2" w:rsidRPr="0069218C" w:rsidRDefault="00F132B2" w:rsidP="00F55CC1">
            <w:pPr>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B4EA2">
        <w:trPr>
          <w:trHeight w:val="3677"/>
        </w:trPr>
        <w:tc>
          <w:tcPr>
            <w:tcW w:w="9072" w:type="dxa"/>
            <w:shd w:val="clear" w:color="auto" w:fill="auto"/>
          </w:tcPr>
          <w:p w14:paraId="19F8D371" w14:textId="5A8DB557" w:rsidR="00F55CC1" w:rsidRDefault="00F55CC1" w:rsidP="00F55CC1">
            <w:pPr>
              <w:spacing w:after="0" w:line="276" w:lineRule="auto"/>
              <w:jc w:val="both"/>
              <w:rPr>
                <w:rFonts w:cs="Arial"/>
                <w:szCs w:val="22"/>
              </w:rPr>
            </w:pPr>
            <w:r>
              <w:rPr>
                <w:rFonts w:cs="Arial"/>
                <w:szCs w:val="22"/>
              </w:rPr>
              <w:t>There are no plans to undertake a formal post-implementation review of these changes. These changes are taxpayer friendly and simply ensure that the law accords with what most taxpayers have been doing in practice (</w:t>
            </w:r>
            <w:proofErr w:type="gramStart"/>
            <w:r>
              <w:rPr>
                <w:rFonts w:cs="Arial"/>
                <w:szCs w:val="22"/>
              </w:rPr>
              <w:t>i.e.</w:t>
            </w:r>
            <w:proofErr w:type="gramEnd"/>
            <w:r>
              <w:rPr>
                <w:rFonts w:cs="Arial"/>
                <w:szCs w:val="22"/>
              </w:rPr>
              <w:t xml:space="preserve"> by clarifying the application of the FA rules and GST to crypto-assets). That said, </w:t>
            </w:r>
            <w:r w:rsidR="006C411D">
              <w:rPr>
                <w:rFonts w:cs="Arial"/>
                <w:szCs w:val="22"/>
              </w:rPr>
              <w:t>officials</w:t>
            </w:r>
            <w:r>
              <w:rPr>
                <w:rFonts w:cs="Arial"/>
                <w:szCs w:val="22"/>
              </w:rPr>
              <w:t xml:space="preserve"> will continue to engage with submitters to ensure the </w:t>
            </w:r>
            <w:r>
              <w:t>rules are operating correctly and to determine whether any remedials or further changes are required</w:t>
            </w:r>
            <w:r w:rsidR="006C411D">
              <w:t>.</w:t>
            </w:r>
          </w:p>
          <w:p w14:paraId="79D44DA3" w14:textId="77777777" w:rsidR="00F55CC1" w:rsidRDefault="00F55CC1" w:rsidP="00F55CC1">
            <w:pPr>
              <w:spacing w:after="0" w:line="276" w:lineRule="auto"/>
              <w:jc w:val="both"/>
              <w:rPr>
                <w:rFonts w:cs="Arial"/>
                <w:szCs w:val="22"/>
              </w:rPr>
            </w:pPr>
          </w:p>
          <w:p w14:paraId="214829FF" w14:textId="473BC313" w:rsidR="00F55CC1" w:rsidRPr="0069218C" w:rsidRDefault="00F55CC1" w:rsidP="0069218C">
            <w:pPr>
              <w:spacing w:after="0" w:line="276" w:lineRule="auto"/>
              <w:jc w:val="both"/>
              <w:rPr>
                <w:rFonts w:cs="Arial"/>
                <w:szCs w:val="22"/>
              </w:rPr>
            </w:pPr>
            <w:r>
              <w:rPr>
                <w:rFonts w:cs="Arial"/>
                <w:szCs w:val="22"/>
              </w:rPr>
              <w:t>As we have developed relationships with stakeholders throughout consultation on the issues paper, this engagement channel is open to stakeholders should they wish to provide feedback on the legislation.</w:t>
            </w:r>
          </w:p>
        </w:tc>
      </w:tr>
    </w:tbl>
    <w:p w14:paraId="0D165C3B" w14:textId="77777777" w:rsidR="00C2708A" w:rsidRPr="00B47208" w:rsidRDefault="00C2708A" w:rsidP="00B47208">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9C01" w14:textId="77777777" w:rsidR="000D066A" w:rsidRDefault="000D066A">
      <w:pPr>
        <w:spacing w:after="0" w:line="240" w:lineRule="auto"/>
      </w:pPr>
      <w:r>
        <w:separator/>
      </w:r>
    </w:p>
  </w:endnote>
  <w:endnote w:type="continuationSeparator" w:id="0">
    <w:p w14:paraId="009D125C" w14:textId="77777777" w:rsidR="000D066A" w:rsidRDefault="000D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442" w14:textId="04A21F51" w:rsidR="004A29C5" w:rsidRPr="00957BC2" w:rsidRDefault="004A29C5" w:rsidP="002127DC">
    <w:pPr>
      <w:pStyle w:val="Footer"/>
    </w:pPr>
    <w:r>
      <w:rPr>
        <w:sz w:val="14"/>
      </w:rPr>
      <w:tab/>
    </w:r>
    <w:r w:rsidRPr="00957BC2">
      <w:t xml:space="preserve">  Impact Summary</w:t>
    </w:r>
    <w:r>
      <w:t xml:space="preserve">: </w:t>
    </w:r>
    <w:r w:rsidR="00B85C80">
      <w:t>Tax treatment of c</w:t>
    </w:r>
    <w:r>
      <w:t>ryptocurrencies</w:t>
    </w:r>
    <w:r w:rsidRPr="00957BC2">
      <w:t xml:space="preserve">   |   </w:t>
    </w:r>
    <w:r w:rsidRPr="00957BC2">
      <w:fldChar w:fldCharType="begin"/>
    </w:r>
    <w:r w:rsidRPr="00957BC2">
      <w:instrText xml:space="preserve"> PAGE </w:instrText>
    </w:r>
    <w:r w:rsidRPr="00957BC2">
      <w:fldChar w:fldCharType="separate"/>
    </w:r>
    <w:r>
      <w:t>1</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EEEA" w14:textId="77777777" w:rsidR="000D066A" w:rsidRDefault="000D066A">
      <w:pPr>
        <w:spacing w:after="0" w:line="240" w:lineRule="auto"/>
      </w:pPr>
      <w:r>
        <w:separator/>
      </w:r>
    </w:p>
  </w:footnote>
  <w:footnote w:type="continuationSeparator" w:id="0">
    <w:p w14:paraId="5C7FBF5A" w14:textId="77777777" w:rsidR="000D066A" w:rsidRDefault="000D066A">
      <w:pPr>
        <w:spacing w:after="0" w:line="240" w:lineRule="auto"/>
      </w:pPr>
      <w:r>
        <w:continuationSeparator/>
      </w:r>
    </w:p>
  </w:footnote>
  <w:footnote w:id="1">
    <w:p w14:paraId="650986B6" w14:textId="41B0DD80" w:rsidR="004A29C5" w:rsidRPr="00961E7C" w:rsidRDefault="004A29C5">
      <w:pPr>
        <w:pStyle w:val="FootnoteText"/>
        <w:rPr>
          <w:lang w:val="en-NZ"/>
        </w:rPr>
      </w:pPr>
      <w:r>
        <w:rPr>
          <w:rStyle w:val="FootnoteReference"/>
        </w:rPr>
        <w:footnoteRef/>
      </w:r>
      <w:r>
        <w:t xml:space="preserve"> </w:t>
      </w:r>
      <w:r>
        <w:tab/>
        <w:t>Another option would be to exempt them from GST. If crypto-assets were exempt from GST, a GST-registered person who makes supplies of crypto-assets to non-residents (zero-rated) would be able to claim GST input credits. This would make it more attractive for these persons to sell to non-residents. In order to ensure NZ businesses and investors are not disadvantaged when they sell crypto-assets to other NZ residents, removing crypto-assets from the GST net altogether is the preferred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DBC" w14:textId="5531AA35" w:rsidR="004A29C5" w:rsidRPr="00EB1B21" w:rsidRDefault="004A29C5" w:rsidP="00784C66">
    <w:pPr>
      <w:tabs>
        <w:tab w:val="center" w:pos="4253"/>
      </w:tabs>
      <w:rPr>
        <w:b/>
      </w:rPr>
    </w:pPr>
    <w:r>
      <w:rPr>
        <w:noProof/>
      </w:rPr>
      <mc:AlternateContent>
        <mc:Choice Requires="wps">
          <w:drawing>
            <wp:anchor distT="0" distB="0" distL="114300" distR="114300" simplePos="0" relativeHeight="251660288" behindDoc="0" locked="0" layoutInCell="0" allowOverlap="1" wp14:anchorId="6D5B9795" wp14:editId="28391E4D">
              <wp:simplePos x="0" y="0"/>
              <wp:positionH relativeFrom="page">
                <wp:posOffset>0</wp:posOffset>
              </wp:positionH>
              <wp:positionV relativeFrom="page">
                <wp:posOffset>190500</wp:posOffset>
              </wp:positionV>
              <wp:extent cx="7560310" cy="271780"/>
              <wp:effectExtent l="0" t="0" r="0" b="13970"/>
              <wp:wrapNone/>
              <wp:docPr id="1" name="MSIPCM968c42118c7418fe79205051"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CA29B" w14:textId="345056DB" w:rsidR="004A29C5" w:rsidRPr="00F93065" w:rsidRDefault="004A29C5" w:rsidP="00F93065">
                          <w:pPr>
                            <w:spacing w:after="0"/>
                            <w:jc w:val="center"/>
                            <w:rPr>
                              <w:rFonts w:ascii="Verdana" w:hAnsi="Verdana"/>
                              <w:color w:val="000000"/>
                              <w:sz w:val="20"/>
                            </w:rPr>
                          </w:pPr>
                          <w:r w:rsidRPr="00F93065">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5B9795" id="_x0000_t202" coordsize="21600,21600" o:spt="202" path="m,l,21600r21600,l21600,xe">
              <v:stroke joinstyle="miter"/>
              <v:path gradientshapeok="t" o:connecttype="rect"/>
            </v:shapetype>
            <v:shape id="MSIPCM968c42118c7418fe79205051" o:spid="_x0000_s1026" type="#_x0000_t202" alt="{&quot;HashCode&quot;:-1751313585,&quot;Height&quot;:841.0,&quot;Width&quot;:595.0,&quot;Placement&quot;:&quot;Header&quot;,&quot;Index&quot;:&quot;Primary&quot;,&quot;Section&quot;:1,&quot;Top&quot;:0.0,&quot;Left&quot;:0.0}" style="position:absolute;margin-left:0;margin-top:15pt;width:595.3pt;height:21.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" o:allowincell="f" filled="f" stroked="f" strokeweight=".5pt">
              <v:textbox inset=",0,,0">
                <w:txbxContent>
                  <w:p w14:paraId="295CA29B" w14:textId="345056DB" w:rsidR="004A29C5" w:rsidRPr="00F93065" w:rsidRDefault="004A29C5" w:rsidP="00F93065">
                    <w:pPr>
                      <w:spacing w:after="0"/>
                      <w:jc w:val="center"/>
                      <w:rPr>
                        <w:rFonts w:ascii="Verdana" w:hAnsi="Verdana"/>
                        <w:color w:val="000000"/>
                        <w:sz w:val="20"/>
                      </w:rPr>
                    </w:pPr>
                    <w:r w:rsidRPr="00F93065">
                      <w:rPr>
                        <w:rFonts w:ascii="Verdana" w:hAnsi="Verdana"/>
                        <w:color w:val="000000"/>
                        <w:sz w:val="20"/>
                      </w:rPr>
                      <w:t xml:space="preserve">[IN CONFIDENCE] </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54260"/>
    <w:multiLevelType w:val="hybridMultilevel"/>
    <w:tmpl w:val="466E6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36646B"/>
    <w:multiLevelType w:val="hybridMultilevel"/>
    <w:tmpl w:val="481A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67735C"/>
    <w:multiLevelType w:val="hybridMultilevel"/>
    <w:tmpl w:val="3594D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EA0673"/>
    <w:multiLevelType w:val="hybridMultilevel"/>
    <w:tmpl w:val="21B23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9634018"/>
    <w:multiLevelType w:val="hybridMultilevel"/>
    <w:tmpl w:val="11E84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4BB017B"/>
    <w:multiLevelType w:val="multilevel"/>
    <w:tmpl w:val="A22C1030"/>
    <w:lvl w:ilvl="0">
      <w:start w:val="1"/>
      <w:numFmt w:val="decimal"/>
      <w:suff w:val="nothing"/>
      <w:lvlText w:val="Chapter %1"/>
      <w:lvlJc w:val="left"/>
      <w:pPr>
        <w:ind w:left="3970" w:firstLine="0"/>
      </w:pPr>
      <w:rPr>
        <w:rFonts w:ascii="Times New Roman Bold" w:hAnsi="Times New Roman Bold" w:hint="default"/>
        <w:b/>
        <w:i w:val="0"/>
        <w:caps/>
        <w:strike w:val="0"/>
        <w:dstrike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44F35B45"/>
    <w:multiLevelType w:val="hybridMultilevel"/>
    <w:tmpl w:val="3EB05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E10AB6"/>
    <w:multiLevelType w:val="hybridMultilevel"/>
    <w:tmpl w:val="B2947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88126A"/>
    <w:multiLevelType w:val="hybridMultilevel"/>
    <w:tmpl w:val="4762F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7414D7B"/>
    <w:multiLevelType w:val="hybridMultilevel"/>
    <w:tmpl w:val="9FB0C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8749A6"/>
    <w:multiLevelType w:val="hybridMultilevel"/>
    <w:tmpl w:val="C9FA2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8"/>
  </w:num>
  <w:num w:numId="4">
    <w:abstractNumId w:val="14"/>
  </w:num>
  <w:num w:numId="5">
    <w:abstractNumId w:val="39"/>
  </w:num>
  <w:num w:numId="6">
    <w:abstractNumId w:val="33"/>
  </w:num>
  <w:num w:numId="7">
    <w:abstractNumId w:val="11"/>
  </w:num>
  <w:num w:numId="8">
    <w:abstractNumId w:val="17"/>
  </w:num>
  <w:num w:numId="9">
    <w:abstractNumId w:val="7"/>
  </w:num>
  <w:num w:numId="10">
    <w:abstractNumId w:val="25"/>
  </w:num>
  <w:num w:numId="11">
    <w:abstractNumId w:val="30"/>
  </w:num>
  <w:num w:numId="12">
    <w:abstractNumId w:val="4"/>
  </w:num>
  <w:num w:numId="13">
    <w:abstractNumId w:val="10"/>
  </w:num>
  <w:num w:numId="14">
    <w:abstractNumId w:val="19"/>
  </w:num>
  <w:num w:numId="15">
    <w:abstractNumId w:val="15"/>
  </w:num>
  <w:num w:numId="16">
    <w:abstractNumId w:val="6"/>
  </w:num>
  <w:num w:numId="17">
    <w:abstractNumId w:val="37"/>
  </w:num>
  <w:num w:numId="18">
    <w:abstractNumId w:val="2"/>
  </w:num>
  <w:num w:numId="19">
    <w:abstractNumId w:val="22"/>
  </w:num>
  <w:num w:numId="20">
    <w:abstractNumId w:val="36"/>
  </w:num>
  <w:num w:numId="21">
    <w:abstractNumId w:val="28"/>
  </w:num>
  <w:num w:numId="22">
    <w:abstractNumId w:val="9"/>
  </w:num>
  <w:num w:numId="23">
    <w:abstractNumId w:val="35"/>
  </w:num>
  <w:num w:numId="24">
    <w:abstractNumId w:val="31"/>
  </w:num>
  <w:num w:numId="25">
    <w:abstractNumId w:val="0"/>
  </w:num>
  <w:num w:numId="26">
    <w:abstractNumId w:val="23"/>
  </w:num>
  <w:num w:numId="27">
    <w:abstractNumId w:val="26"/>
  </w:num>
  <w:num w:numId="28">
    <w:abstractNumId w:val="29"/>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7"/>
  </w:num>
  <w:num w:numId="36">
    <w:abstractNumId w:val="16"/>
  </w:num>
  <w:num w:numId="37">
    <w:abstractNumId w:val="3"/>
  </w:num>
  <w:num w:numId="38">
    <w:abstractNumId w:val="20"/>
  </w:num>
  <w:num w:numId="39">
    <w:abstractNumId w:val="21"/>
  </w:num>
  <w:num w:numId="40">
    <w:abstractNumId w:val="5"/>
  </w:num>
  <w:num w:numId="41">
    <w:abstractNumId w:val="41"/>
  </w:num>
  <w:num w:numId="42">
    <w:abstractNumId w:val="34"/>
  </w:num>
  <w:num w:numId="43">
    <w:abstractNumId w:val="32"/>
  </w:num>
  <w:num w:numId="44">
    <w:abstractNumId w:val="8"/>
  </w:num>
  <w:num w:numId="45">
    <w:abstractNumId w:val="40"/>
  </w:num>
  <w:num w:numId="46">
    <w:abstractNumId w:val="13"/>
  </w:num>
  <w:num w:numId="47">
    <w:abstractNumId w:val="1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1D41"/>
    <w:rsid w:val="00002D40"/>
    <w:rsid w:val="000039A8"/>
    <w:rsid w:val="0000576F"/>
    <w:rsid w:val="00005CE6"/>
    <w:rsid w:val="000108DB"/>
    <w:rsid w:val="00012718"/>
    <w:rsid w:val="00012973"/>
    <w:rsid w:val="00013D94"/>
    <w:rsid w:val="00024F47"/>
    <w:rsid w:val="00025133"/>
    <w:rsid w:val="00030EC1"/>
    <w:rsid w:val="00034587"/>
    <w:rsid w:val="0003500F"/>
    <w:rsid w:val="00035A36"/>
    <w:rsid w:val="00044E7F"/>
    <w:rsid w:val="000463AD"/>
    <w:rsid w:val="0004747C"/>
    <w:rsid w:val="00051A88"/>
    <w:rsid w:val="0005314C"/>
    <w:rsid w:val="000535CE"/>
    <w:rsid w:val="00056173"/>
    <w:rsid w:val="00056353"/>
    <w:rsid w:val="00057D30"/>
    <w:rsid w:val="000609BA"/>
    <w:rsid w:val="0006356E"/>
    <w:rsid w:val="0007094A"/>
    <w:rsid w:val="00080F5E"/>
    <w:rsid w:val="00082B07"/>
    <w:rsid w:val="000832F2"/>
    <w:rsid w:val="0009009A"/>
    <w:rsid w:val="000917DB"/>
    <w:rsid w:val="0009467F"/>
    <w:rsid w:val="000A2910"/>
    <w:rsid w:val="000A3146"/>
    <w:rsid w:val="000A4032"/>
    <w:rsid w:val="000A4841"/>
    <w:rsid w:val="000B3D93"/>
    <w:rsid w:val="000B4451"/>
    <w:rsid w:val="000C3197"/>
    <w:rsid w:val="000C529D"/>
    <w:rsid w:val="000D066A"/>
    <w:rsid w:val="000D4A44"/>
    <w:rsid w:val="000D4E23"/>
    <w:rsid w:val="000D6B32"/>
    <w:rsid w:val="000D7CF2"/>
    <w:rsid w:val="000E180F"/>
    <w:rsid w:val="000E5F98"/>
    <w:rsid w:val="000E7BCE"/>
    <w:rsid w:val="000F0A0E"/>
    <w:rsid w:val="000F2317"/>
    <w:rsid w:val="00100007"/>
    <w:rsid w:val="0010162B"/>
    <w:rsid w:val="00111E9A"/>
    <w:rsid w:val="0012310C"/>
    <w:rsid w:val="001342B2"/>
    <w:rsid w:val="00144191"/>
    <w:rsid w:val="0016042B"/>
    <w:rsid w:val="001624D2"/>
    <w:rsid w:val="00165231"/>
    <w:rsid w:val="0016692C"/>
    <w:rsid w:val="001852FA"/>
    <w:rsid w:val="00185F10"/>
    <w:rsid w:val="00190453"/>
    <w:rsid w:val="001A1514"/>
    <w:rsid w:val="001A3014"/>
    <w:rsid w:val="001A4C04"/>
    <w:rsid w:val="001B141D"/>
    <w:rsid w:val="001B3E1F"/>
    <w:rsid w:val="001B4792"/>
    <w:rsid w:val="001B5688"/>
    <w:rsid w:val="001D200F"/>
    <w:rsid w:val="001E0D43"/>
    <w:rsid w:val="001E14AC"/>
    <w:rsid w:val="001E20CA"/>
    <w:rsid w:val="001F5C6F"/>
    <w:rsid w:val="001F6581"/>
    <w:rsid w:val="00207CEA"/>
    <w:rsid w:val="002106CB"/>
    <w:rsid w:val="002127DC"/>
    <w:rsid w:val="00212AD9"/>
    <w:rsid w:val="00217894"/>
    <w:rsid w:val="002200C4"/>
    <w:rsid w:val="002214DA"/>
    <w:rsid w:val="00222C28"/>
    <w:rsid w:val="00223A3A"/>
    <w:rsid w:val="00223E66"/>
    <w:rsid w:val="002367EE"/>
    <w:rsid w:val="0024289C"/>
    <w:rsid w:val="00250CBD"/>
    <w:rsid w:val="00256DBC"/>
    <w:rsid w:val="00257060"/>
    <w:rsid w:val="002717B4"/>
    <w:rsid w:val="00272A2B"/>
    <w:rsid w:val="00273A42"/>
    <w:rsid w:val="00275D0D"/>
    <w:rsid w:val="00291E94"/>
    <w:rsid w:val="00293FDC"/>
    <w:rsid w:val="00295F16"/>
    <w:rsid w:val="00297506"/>
    <w:rsid w:val="002A56F0"/>
    <w:rsid w:val="002A6A33"/>
    <w:rsid w:val="002B4AC1"/>
    <w:rsid w:val="002C0155"/>
    <w:rsid w:val="002C0175"/>
    <w:rsid w:val="002D54C0"/>
    <w:rsid w:val="002D5734"/>
    <w:rsid w:val="002D63C9"/>
    <w:rsid w:val="002E43AE"/>
    <w:rsid w:val="002F4245"/>
    <w:rsid w:val="002F5292"/>
    <w:rsid w:val="002F57C1"/>
    <w:rsid w:val="0030117A"/>
    <w:rsid w:val="00303452"/>
    <w:rsid w:val="00304CE4"/>
    <w:rsid w:val="00305B52"/>
    <w:rsid w:val="00311017"/>
    <w:rsid w:val="00314D2E"/>
    <w:rsid w:val="00316701"/>
    <w:rsid w:val="00316ED4"/>
    <w:rsid w:val="0032262A"/>
    <w:rsid w:val="00324230"/>
    <w:rsid w:val="0032503F"/>
    <w:rsid w:val="00336018"/>
    <w:rsid w:val="0033708B"/>
    <w:rsid w:val="003428DD"/>
    <w:rsid w:val="003469B0"/>
    <w:rsid w:val="003730F0"/>
    <w:rsid w:val="00380585"/>
    <w:rsid w:val="003814A7"/>
    <w:rsid w:val="00385BC1"/>
    <w:rsid w:val="0039293F"/>
    <w:rsid w:val="003964BF"/>
    <w:rsid w:val="00396E1D"/>
    <w:rsid w:val="003B29A3"/>
    <w:rsid w:val="003C024B"/>
    <w:rsid w:val="003C12FA"/>
    <w:rsid w:val="003C228A"/>
    <w:rsid w:val="003D2B86"/>
    <w:rsid w:val="003D2C78"/>
    <w:rsid w:val="003D458B"/>
    <w:rsid w:val="003E2D16"/>
    <w:rsid w:val="003E32C3"/>
    <w:rsid w:val="003E677D"/>
    <w:rsid w:val="003F0DF3"/>
    <w:rsid w:val="003F48C3"/>
    <w:rsid w:val="003F7DC8"/>
    <w:rsid w:val="00403FCA"/>
    <w:rsid w:val="00405224"/>
    <w:rsid w:val="004142E2"/>
    <w:rsid w:val="00414D0D"/>
    <w:rsid w:val="00420103"/>
    <w:rsid w:val="0043081D"/>
    <w:rsid w:val="00430D95"/>
    <w:rsid w:val="004347CA"/>
    <w:rsid w:val="00441C7C"/>
    <w:rsid w:val="00447649"/>
    <w:rsid w:val="00456ED6"/>
    <w:rsid w:val="00457E15"/>
    <w:rsid w:val="00460C21"/>
    <w:rsid w:val="00463479"/>
    <w:rsid w:val="00463E14"/>
    <w:rsid w:val="00470D09"/>
    <w:rsid w:val="00472D95"/>
    <w:rsid w:val="004746C4"/>
    <w:rsid w:val="004846CD"/>
    <w:rsid w:val="004932B3"/>
    <w:rsid w:val="004933E0"/>
    <w:rsid w:val="004949B0"/>
    <w:rsid w:val="004976C6"/>
    <w:rsid w:val="004A192D"/>
    <w:rsid w:val="004A203C"/>
    <w:rsid w:val="004A29C5"/>
    <w:rsid w:val="004B1665"/>
    <w:rsid w:val="004B26AC"/>
    <w:rsid w:val="004B731F"/>
    <w:rsid w:val="004B7D66"/>
    <w:rsid w:val="004C0262"/>
    <w:rsid w:val="004C0F8F"/>
    <w:rsid w:val="004D58EC"/>
    <w:rsid w:val="004D67EE"/>
    <w:rsid w:val="004E52B0"/>
    <w:rsid w:val="004E6413"/>
    <w:rsid w:val="004E6A51"/>
    <w:rsid w:val="004E700C"/>
    <w:rsid w:val="004E73D8"/>
    <w:rsid w:val="004E7B1A"/>
    <w:rsid w:val="00501143"/>
    <w:rsid w:val="005011AC"/>
    <w:rsid w:val="00501D84"/>
    <w:rsid w:val="00510781"/>
    <w:rsid w:val="0051258C"/>
    <w:rsid w:val="00521BDE"/>
    <w:rsid w:val="0053213E"/>
    <w:rsid w:val="005353B3"/>
    <w:rsid w:val="005429F8"/>
    <w:rsid w:val="005461B3"/>
    <w:rsid w:val="00546F69"/>
    <w:rsid w:val="00562BE6"/>
    <w:rsid w:val="00564647"/>
    <w:rsid w:val="00567434"/>
    <w:rsid w:val="005744B1"/>
    <w:rsid w:val="00580BDE"/>
    <w:rsid w:val="00585F37"/>
    <w:rsid w:val="005876C7"/>
    <w:rsid w:val="005876FF"/>
    <w:rsid w:val="0059587E"/>
    <w:rsid w:val="00596CDC"/>
    <w:rsid w:val="005A1FE8"/>
    <w:rsid w:val="005A3981"/>
    <w:rsid w:val="005B0875"/>
    <w:rsid w:val="005B5159"/>
    <w:rsid w:val="005B5970"/>
    <w:rsid w:val="005C35F6"/>
    <w:rsid w:val="005C6155"/>
    <w:rsid w:val="005C69F6"/>
    <w:rsid w:val="005D0F5F"/>
    <w:rsid w:val="005D31E9"/>
    <w:rsid w:val="005D5BF0"/>
    <w:rsid w:val="005D643C"/>
    <w:rsid w:val="005D6980"/>
    <w:rsid w:val="005E0462"/>
    <w:rsid w:val="005E28CD"/>
    <w:rsid w:val="00601E26"/>
    <w:rsid w:val="0061479E"/>
    <w:rsid w:val="006262C0"/>
    <w:rsid w:val="006326DE"/>
    <w:rsid w:val="00634985"/>
    <w:rsid w:val="00651B5A"/>
    <w:rsid w:val="00655924"/>
    <w:rsid w:val="00656BE7"/>
    <w:rsid w:val="00660560"/>
    <w:rsid w:val="006611D2"/>
    <w:rsid w:val="00665878"/>
    <w:rsid w:val="00665889"/>
    <w:rsid w:val="0067537D"/>
    <w:rsid w:val="00676708"/>
    <w:rsid w:val="006810C6"/>
    <w:rsid w:val="00681179"/>
    <w:rsid w:val="00681B2A"/>
    <w:rsid w:val="00683307"/>
    <w:rsid w:val="00684956"/>
    <w:rsid w:val="00686B28"/>
    <w:rsid w:val="0069218C"/>
    <w:rsid w:val="00695DAC"/>
    <w:rsid w:val="006A1BD0"/>
    <w:rsid w:val="006A515C"/>
    <w:rsid w:val="006A70C4"/>
    <w:rsid w:val="006B0E84"/>
    <w:rsid w:val="006B1547"/>
    <w:rsid w:val="006B4D2D"/>
    <w:rsid w:val="006B5964"/>
    <w:rsid w:val="006B6D13"/>
    <w:rsid w:val="006C40C2"/>
    <w:rsid w:val="006C411D"/>
    <w:rsid w:val="006D06D5"/>
    <w:rsid w:val="006D3130"/>
    <w:rsid w:val="006D5192"/>
    <w:rsid w:val="006D72B1"/>
    <w:rsid w:val="006E2187"/>
    <w:rsid w:val="006E649B"/>
    <w:rsid w:val="006F0AA4"/>
    <w:rsid w:val="006F1B00"/>
    <w:rsid w:val="006F4195"/>
    <w:rsid w:val="006F5759"/>
    <w:rsid w:val="006F5CEE"/>
    <w:rsid w:val="00704377"/>
    <w:rsid w:val="00705DEE"/>
    <w:rsid w:val="00712D0F"/>
    <w:rsid w:val="007164F6"/>
    <w:rsid w:val="007255E1"/>
    <w:rsid w:val="00727B7C"/>
    <w:rsid w:val="00733938"/>
    <w:rsid w:val="007340F7"/>
    <w:rsid w:val="00735CAB"/>
    <w:rsid w:val="00736322"/>
    <w:rsid w:val="00736E02"/>
    <w:rsid w:val="0074400C"/>
    <w:rsid w:val="00767C98"/>
    <w:rsid w:val="00771958"/>
    <w:rsid w:val="00783846"/>
    <w:rsid w:val="00784C66"/>
    <w:rsid w:val="00794CAA"/>
    <w:rsid w:val="00795A6F"/>
    <w:rsid w:val="007A484F"/>
    <w:rsid w:val="007B2675"/>
    <w:rsid w:val="007C0F9E"/>
    <w:rsid w:val="007C44D5"/>
    <w:rsid w:val="007C77B1"/>
    <w:rsid w:val="007D6184"/>
    <w:rsid w:val="007E6CBF"/>
    <w:rsid w:val="007E7634"/>
    <w:rsid w:val="00800A3B"/>
    <w:rsid w:val="00800DEC"/>
    <w:rsid w:val="00805B68"/>
    <w:rsid w:val="0082456C"/>
    <w:rsid w:val="00826BE8"/>
    <w:rsid w:val="0083626F"/>
    <w:rsid w:val="008378C5"/>
    <w:rsid w:val="00864EBC"/>
    <w:rsid w:val="00865B0F"/>
    <w:rsid w:val="00870D10"/>
    <w:rsid w:val="008714F9"/>
    <w:rsid w:val="00872D60"/>
    <w:rsid w:val="00886AFB"/>
    <w:rsid w:val="00886DFF"/>
    <w:rsid w:val="00891CBB"/>
    <w:rsid w:val="008A0B22"/>
    <w:rsid w:val="008A124E"/>
    <w:rsid w:val="008A44AF"/>
    <w:rsid w:val="008A56EB"/>
    <w:rsid w:val="008A5972"/>
    <w:rsid w:val="008A6442"/>
    <w:rsid w:val="008A6F45"/>
    <w:rsid w:val="008B2E14"/>
    <w:rsid w:val="008C16A4"/>
    <w:rsid w:val="008C32CD"/>
    <w:rsid w:val="008C3F59"/>
    <w:rsid w:val="008D2AEB"/>
    <w:rsid w:val="008D523E"/>
    <w:rsid w:val="008E0F12"/>
    <w:rsid w:val="008E6E75"/>
    <w:rsid w:val="00901A9E"/>
    <w:rsid w:val="009054CA"/>
    <w:rsid w:val="00910AD8"/>
    <w:rsid w:val="00913F6D"/>
    <w:rsid w:val="00917A22"/>
    <w:rsid w:val="00917FB5"/>
    <w:rsid w:val="00923805"/>
    <w:rsid w:val="00943D6C"/>
    <w:rsid w:val="00944CE4"/>
    <w:rsid w:val="00951ABE"/>
    <w:rsid w:val="00954154"/>
    <w:rsid w:val="00956FB1"/>
    <w:rsid w:val="009574C0"/>
    <w:rsid w:val="00957BC2"/>
    <w:rsid w:val="00960BBD"/>
    <w:rsid w:val="0096111D"/>
    <w:rsid w:val="00961E7C"/>
    <w:rsid w:val="00962209"/>
    <w:rsid w:val="009643DA"/>
    <w:rsid w:val="009846AB"/>
    <w:rsid w:val="00986DCD"/>
    <w:rsid w:val="009932EE"/>
    <w:rsid w:val="009A6F79"/>
    <w:rsid w:val="009A75BF"/>
    <w:rsid w:val="009A7A20"/>
    <w:rsid w:val="009B1C82"/>
    <w:rsid w:val="009B4532"/>
    <w:rsid w:val="009C1989"/>
    <w:rsid w:val="009C3DF5"/>
    <w:rsid w:val="009F2061"/>
    <w:rsid w:val="009F6E07"/>
    <w:rsid w:val="00A00DF4"/>
    <w:rsid w:val="00A063B5"/>
    <w:rsid w:val="00A146CA"/>
    <w:rsid w:val="00A31BB7"/>
    <w:rsid w:val="00A33BA0"/>
    <w:rsid w:val="00A358C8"/>
    <w:rsid w:val="00A360A5"/>
    <w:rsid w:val="00A4272B"/>
    <w:rsid w:val="00A4354D"/>
    <w:rsid w:val="00A441F1"/>
    <w:rsid w:val="00A52B9B"/>
    <w:rsid w:val="00A552DC"/>
    <w:rsid w:val="00A56D75"/>
    <w:rsid w:val="00A57D3E"/>
    <w:rsid w:val="00A6486C"/>
    <w:rsid w:val="00A66590"/>
    <w:rsid w:val="00A73109"/>
    <w:rsid w:val="00A840C9"/>
    <w:rsid w:val="00A85CE5"/>
    <w:rsid w:val="00A92D41"/>
    <w:rsid w:val="00AA1973"/>
    <w:rsid w:val="00AB73B3"/>
    <w:rsid w:val="00AC257F"/>
    <w:rsid w:val="00AC2F70"/>
    <w:rsid w:val="00AC71A0"/>
    <w:rsid w:val="00AD322A"/>
    <w:rsid w:val="00AD4779"/>
    <w:rsid w:val="00AD57A9"/>
    <w:rsid w:val="00AE370C"/>
    <w:rsid w:val="00AE4238"/>
    <w:rsid w:val="00AE4D46"/>
    <w:rsid w:val="00AE74DD"/>
    <w:rsid w:val="00AF3223"/>
    <w:rsid w:val="00AF3A37"/>
    <w:rsid w:val="00B037EF"/>
    <w:rsid w:val="00B10530"/>
    <w:rsid w:val="00B15F56"/>
    <w:rsid w:val="00B16F35"/>
    <w:rsid w:val="00B17B3C"/>
    <w:rsid w:val="00B20765"/>
    <w:rsid w:val="00B20E36"/>
    <w:rsid w:val="00B23E8A"/>
    <w:rsid w:val="00B274E5"/>
    <w:rsid w:val="00B349F6"/>
    <w:rsid w:val="00B4041D"/>
    <w:rsid w:val="00B446B8"/>
    <w:rsid w:val="00B4714A"/>
    <w:rsid w:val="00B47208"/>
    <w:rsid w:val="00B478FE"/>
    <w:rsid w:val="00B51411"/>
    <w:rsid w:val="00B51B48"/>
    <w:rsid w:val="00B6282E"/>
    <w:rsid w:val="00B64D7A"/>
    <w:rsid w:val="00B6570A"/>
    <w:rsid w:val="00B6654E"/>
    <w:rsid w:val="00B74056"/>
    <w:rsid w:val="00B74241"/>
    <w:rsid w:val="00B84503"/>
    <w:rsid w:val="00B85C80"/>
    <w:rsid w:val="00B952B7"/>
    <w:rsid w:val="00BA08C7"/>
    <w:rsid w:val="00BA18C4"/>
    <w:rsid w:val="00BA393D"/>
    <w:rsid w:val="00BB05D8"/>
    <w:rsid w:val="00BB4EA2"/>
    <w:rsid w:val="00BC19FB"/>
    <w:rsid w:val="00BC2351"/>
    <w:rsid w:val="00BC51B1"/>
    <w:rsid w:val="00BC7DA2"/>
    <w:rsid w:val="00BD3EF3"/>
    <w:rsid w:val="00BD5F58"/>
    <w:rsid w:val="00BE4A62"/>
    <w:rsid w:val="00BE62EB"/>
    <w:rsid w:val="00BF0F72"/>
    <w:rsid w:val="00BF1D8C"/>
    <w:rsid w:val="00BF7965"/>
    <w:rsid w:val="00C00F98"/>
    <w:rsid w:val="00C05A4B"/>
    <w:rsid w:val="00C14FDF"/>
    <w:rsid w:val="00C16186"/>
    <w:rsid w:val="00C21111"/>
    <w:rsid w:val="00C2284D"/>
    <w:rsid w:val="00C24E47"/>
    <w:rsid w:val="00C2560F"/>
    <w:rsid w:val="00C2708A"/>
    <w:rsid w:val="00C30242"/>
    <w:rsid w:val="00C33D79"/>
    <w:rsid w:val="00C45246"/>
    <w:rsid w:val="00C471A4"/>
    <w:rsid w:val="00C50565"/>
    <w:rsid w:val="00C52097"/>
    <w:rsid w:val="00C57E98"/>
    <w:rsid w:val="00C66D74"/>
    <w:rsid w:val="00C75739"/>
    <w:rsid w:val="00C7655A"/>
    <w:rsid w:val="00C76F63"/>
    <w:rsid w:val="00C77099"/>
    <w:rsid w:val="00C810D9"/>
    <w:rsid w:val="00C81F0A"/>
    <w:rsid w:val="00C834E6"/>
    <w:rsid w:val="00C8418D"/>
    <w:rsid w:val="00C93AA5"/>
    <w:rsid w:val="00CA5203"/>
    <w:rsid w:val="00CA634E"/>
    <w:rsid w:val="00CB1E07"/>
    <w:rsid w:val="00CB41E1"/>
    <w:rsid w:val="00CB7FF9"/>
    <w:rsid w:val="00CD0DD8"/>
    <w:rsid w:val="00CD24DC"/>
    <w:rsid w:val="00CD44EB"/>
    <w:rsid w:val="00CD5D0B"/>
    <w:rsid w:val="00CE0228"/>
    <w:rsid w:val="00CE0F5F"/>
    <w:rsid w:val="00CF0C99"/>
    <w:rsid w:val="00D019CB"/>
    <w:rsid w:val="00D029FD"/>
    <w:rsid w:val="00D02E9F"/>
    <w:rsid w:val="00D03F0E"/>
    <w:rsid w:val="00D055C6"/>
    <w:rsid w:val="00D236C4"/>
    <w:rsid w:val="00D23F1F"/>
    <w:rsid w:val="00D24298"/>
    <w:rsid w:val="00D256CF"/>
    <w:rsid w:val="00D26A33"/>
    <w:rsid w:val="00D31839"/>
    <w:rsid w:val="00D32DBB"/>
    <w:rsid w:val="00D32FDE"/>
    <w:rsid w:val="00D45133"/>
    <w:rsid w:val="00D47A74"/>
    <w:rsid w:val="00D5164E"/>
    <w:rsid w:val="00D52650"/>
    <w:rsid w:val="00D5449C"/>
    <w:rsid w:val="00D6631F"/>
    <w:rsid w:val="00D7274A"/>
    <w:rsid w:val="00D84994"/>
    <w:rsid w:val="00D84DEB"/>
    <w:rsid w:val="00D86B1C"/>
    <w:rsid w:val="00D90032"/>
    <w:rsid w:val="00D9289B"/>
    <w:rsid w:val="00D9793F"/>
    <w:rsid w:val="00DA06D7"/>
    <w:rsid w:val="00DA39FD"/>
    <w:rsid w:val="00DB00EC"/>
    <w:rsid w:val="00DB2D31"/>
    <w:rsid w:val="00DB2FE7"/>
    <w:rsid w:val="00DB4E80"/>
    <w:rsid w:val="00DC06E7"/>
    <w:rsid w:val="00DD28F3"/>
    <w:rsid w:val="00DD70F7"/>
    <w:rsid w:val="00DD7C7E"/>
    <w:rsid w:val="00DE0C51"/>
    <w:rsid w:val="00DE4A62"/>
    <w:rsid w:val="00DF1CF4"/>
    <w:rsid w:val="00E01A35"/>
    <w:rsid w:val="00E04EEC"/>
    <w:rsid w:val="00E0509F"/>
    <w:rsid w:val="00E07FCA"/>
    <w:rsid w:val="00E12737"/>
    <w:rsid w:val="00E14326"/>
    <w:rsid w:val="00E1622C"/>
    <w:rsid w:val="00E2030A"/>
    <w:rsid w:val="00E237B6"/>
    <w:rsid w:val="00E252C4"/>
    <w:rsid w:val="00E42E9F"/>
    <w:rsid w:val="00E464B9"/>
    <w:rsid w:val="00E54986"/>
    <w:rsid w:val="00E556AB"/>
    <w:rsid w:val="00E57521"/>
    <w:rsid w:val="00E6054D"/>
    <w:rsid w:val="00E62373"/>
    <w:rsid w:val="00E666F3"/>
    <w:rsid w:val="00E66CC0"/>
    <w:rsid w:val="00E72E39"/>
    <w:rsid w:val="00E8034E"/>
    <w:rsid w:val="00E85F0E"/>
    <w:rsid w:val="00E866E1"/>
    <w:rsid w:val="00E8783E"/>
    <w:rsid w:val="00E92509"/>
    <w:rsid w:val="00E92D64"/>
    <w:rsid w:val="00E95647"/>
    <w:rsid w:val="00E96043"/>
    <w:rsid w:val="00E96687"/>
    <w:rsid w:val="00E971D6"/>
    <w:rsid w:val="00E9759E"/>
    <w:rsid w:val="00EA2449"/>
    <w:rsid w:val="00EB0E8C"/>
    <w:rsid w:val="00EB7B64"/>
    <w:rsid w:val="00EC3D8D"/>
    <w:rsid w:val="00EC6FAD"/>
    <w:rsid w:val="00ED1D6B"/>
    <w:rsid w:val="00ED6328"/>
    <w:rsid w:val="00ED7749"/>
    <w:rsid w:val="00EE09B9"/>
    <w:rsid w:val="00EE388F"/>
    <w:rsid w:val="00EE3D0B"/>
    <w:rsid w:val="00EE447B"/>
    <w:rsid w:val="00EE4E3B"/>
    <w:rsid w:val="00EF3082"/>
    <w:rsid w:val="00EF7121"/>
    <w:rsid w:val="00F10B3D"/>
    <w:rsid w:val="00F12503"/>
    <w:rsid w:val="00F12A15"/>
    <w:rsid w:val="00F132B2"/>
    <w:rsid w:val="00F14105"/>
    <w:rsid w:val="00F22605"/>
    <w:rsid w:val="00F32294"/>
    <w:rsid w:val="00F3502A"/>
    <w:rsid w:val="00F44166"/>
    <w:rsid w:val="00F55CC1"/>
    <w:rsid w:val="00F63B99"/>
    <w:rsid w:val="00F67E28"/>
    <w:rsid w:val="00F72C9B"/>
    <w:rsid w:val="00F7345E"/>
    <w:rsid w:val="00F77580"/>
    <w:rsid w:val="00F81C1E"/>
    <w:rsid w:val="00F83EA4"/>
    <w:rsid w:val="00F84615"/>
    <w:rsid w:val="00F86C5A"/>
    <w:rsid w:val="00F93065"/>
    <w:rsid w:val="00F94BB1"/>
    <w:rsid w:val="00F963B0"/>
    <w:rsid w:val="00FD0D35"/>
    <w:rsid w:val="00FD5F1F"/>
    <w:rsid w:val="00FD6E4E"/>
    <w:rsid w:val="00FE263B"/>
    <w:rsid w:val="00FE691D"/>
    <w:rsid w:val="00FF5D8C"/>
    <w:rsid w:val="00FF6121"/>
    <w:rsid w:val="00FF6B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2720"/>
  <w15:chartTrackingRefBased/>
  <w15:docId w15:val="{F73C140F-2429-449C-B5A5-D7498B9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NumberedParagraph">
    <w:name w:val="Numbered Paragraph"/>
    <w:basedOn w:val="Normal"/>
    <w:qFormat/>
    <w:rsid w:val="00F93065"/>
    <w:pPr>
      <w:tabs>
        <w:tab w:val="num" w:pos="851"/>
      </w:tabs>
      <w:spacing w:before="240" w:after="0" w:line="240" w:lineRule="auto"/>
      <w:ind w:left="851" w:hanging="851"/>
      <w:jc w:val="both"/>
    </w:pPr>
    <w:rPr>
      <w:rFonts w:ascii="Times New Roman" w:hAnsi="Times New Roman"/>
      <w:sz w:val="24"/>
      <w:szCs w:val="24"/>
      <w:lang w:val="en-NZ" w:eastAsia="en-NZ"/>
    </w:rPr>
  </w:style>
  <w:style w:type="paragraph" w:customStyle="1" w:styleId="NumberedParagraph-BulletL1">
    <w:name w:val="Numbered Paragraph - Bullet L1"/>
    <w:basedOn w:val="NumberedParagraph"/>
    <w:qFormat/>
    <w:rsid w:val="00F93065"/>
    <w:pPr>
      <w:tabs>
        <w:tab w:val="clear" w:pos="851"/>
        <w:tab w:val="num" w:pos="1418"/>
      </w:tabs>
      <w:spacing w:before="120"/>
      <w:ind w:left="1418" w:hanging="567"/>
    </w:pPr>
  </w:style>
  <w:style w:type="paragraph" w:customStyle="1" w:styleId="NumberedParagraph-BulletL2">
    <w:name w:val="Numbered Paragraph - Bullet L2"/>
    <w:basedOn w:val="NumberedParagraph"/>
    <w:qFormat/>
    <w:rsid w:val="00F93065"/>
    <w:pPr>
      <w:tabs>
        <w:tab w:val="clear" w:pos="851"/>
        <w:tab w:val="num" w:pos="1985"/>
      </w:tabs>
      <w:spacing w:before="120"/>
      <w:ind w:left="1985" w:hanging="567"/>
    </w:pPr>
  </w:style>
  <w:style w:type="character" w:styleId="UnresolvedMention">
    <w:name w:val="Unresolved Mention"/>
    <w:basedOn w:val="DefaultParagraphFont"/>
    <w:uiPriority w:val="99"/>
    <w:semiHidden/>
    <w:unhideWhenUsed/>
    <w:rsid w:val="00B1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230E0E82-1537-40F6-88D3-BC142D9F1C41}"/>
</file>

<file path=customXml/itemProps2.xml><?xml version="1.0" encoding="utf-8"?>
<ds:datastoreItem xmlns:ds="http://schemas.openxmlformats.org/officeDocument/2006/customXml" ds:itemID="{512A5A11-3F2F-4BE4-8B5A-FB0EE01D8DF9}"/>
</file>

<file path=customXml/itemProps3.xml><?xml version="1.0" encoding="utf-8"?>
<ds:datastoreItem xmlns:ds="http://schemas.openxmlformats.org/officeDocument/2006/customXml" ds:itemID="{7BEDCA39-537F-480B-B856-0B79E1B2566E}"/>
</file>

<file path=docProps/app.xml><?xml version="1.0" encoding="utf-8"?>
<Properties xmlns="http://schemas.openxmlformats.org/officeDocument/2006/extended-properties" xmlns:vt="http://schemas.openxmlformats.org/officeDocument/2006/docPropsVTypes">
  <Template>Normal.dotm</Template>
  <TotalTime>0</TotalTime>
  <Pages>13</Pages>
  <Words>3403</Words>
  <Characters>18450</Characters>
  <Application>Microsoft Office Word</Application>
  <DocSecurity>0</DocSecurity>
  <Lines>473</Lines>
  <Paragraphs>188</Paragraphs>
  <ScaleCrop>false</ScaleCrop>
  <HeadingPairs>
    <vt:vector size="2" baseType="variant">
      <vt:variant>
        <vt:lpstr>Title</vt:lpstr>
      </vt:variant>
      <vt:variant>
        <vt:i4>1</vt:i4>
      </vt:variant>
    </vt:vector>
  </HeadingPairs>
  <TitlesOfParts>
    <vt:vector size="1" baseType="lpstr">
      <vt:lpstr>Regulatory impact assessment/statement: Tax treatment of cryptocurrencies (31 May 2021)</vt:lpstr>
    </vt:vector>
  </TitlesOfParts>
  <Company>Inland Revenue</Company>
  <LinksUpToDate>false</LinksUpToDate>
  <CharactersWithSpaces>21665</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Tax treatment of cryptocurrencies (31 May 2021)</dc:title>
  <dc:subject/>
  <dc:creator>Policy and Regulatory Stewardship</dc:creator>
  <cp:keywords/>
  <dc:description/>
  <dcterms:created xsi:type="dcterms:W3CDTF">2021-08-09T05:22:00Z</dcterms:created>
  <dcterms:modified xsi:type="dcterms:W3CDTF">2021-08-09T05:22:00Z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