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B4AB" w14:textId="2BEAA5A9" w:rsidR="00EF50FD" w:rsidRPr="00A864A5" w:rsidRDefault="003D40EC" w:rsidP="00EF50FD">
      <w:pPr>
        <w:pStyle w:val="Heading1"/>
        <w:spacing w:before="0" w:after="120" w:line="276" w:lineRule="auto"/>
        <w:rPr>
          <w:color w:val="0082AB"/>
          <w:lang w:val="en-NZ"/>
        </w:rPr>
      </w:pPr>
      <w:r>
        <w:rPr>
          <w:color w:val="0082AB"/>
          <w:lang w:val="en-NZ"/>
        </w:rPr>
        <w:t>R</w:t>
      </w:r>
      <w:r w:rsidR="00EF50FD" w:rsidRPr="00A864A5">
        <w:rPr>
          <w:color w:val="0082AB"/>
          <w:lang w:val="en-NZ"/>
        </w:rPr>
        <w:t xml:space="preserve">egulatory Impact Statement: </w:t>
      </w:r>
      <w:r w:rsidR="0000022A">
        <w:rPr>
          <w:color w:val="0082AB"/>
          <w:lang w:val="en-NZ"/>
        </w:rPr>
        <w:t>COVID-19:  Tax relief for donations of trading stock</w:t>
      </w:r>
    </w:p>
    <w:p w14:paraId="3BD94C32" w14:textId="2F835BE6" w:rsidR="0062657E" w:rsidRPr="00A864A5" w:rsidRDefault="0017116F" w:rsidP="00EF50FD">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296"/>
        <w:gridCol w:w="6556"/>
      </w:tblGrid>
      <w:tr w:rsidR="001F29E6" w:rsidRPr="00A864A5" w14:paraId="24CAC5A8" w14:textId="77777777" w:rsidTr="00506F06">
        <w:tc>
          <w:tcPr>
            <w:tcW w:w="5000" w:type="pct"/>
            <w:gridSpan w:val="2"/>
            <w:tcBorders>
              <w:bottom w:val="single" w:sz="4" w:space="0" w:color="DDDDDD"/>
            </w:tcBorders>
            <w:shd w:val="clear" w:color="auto" w:fill="99CDDD"/>
            <w:hideMark/>
          </w:tcPr>
          <w:p w14:paraId="3273EFFF" w14:textId="2E160C31" w:rsidR="001F29E6" w:rsidRPr="00A864A5" w:rsidRDefault="001F29E6" w:rsidP="00506F06">
            <w:pPr>
              <w:pStyle w:val="TableHeadings"/>
              <w:rPr>
                <w:color w:val="002060"/>
                <w:szCs w:val="22"/>
                <w:lang w:val="en-NZ"/>
              </w:rPr>
            </w:pPr>
            <w:bookmarkStart w:id="0" w:name="_Hlk47357107"/>
            <w:r w:rsidRPr="00A864A5">
              <w:rPr>
                <w:szCs w:val="22"/>
                <w:lang w:val="en-NZ"/>
              </w:rPr>
              <w:t>Purpose</w:t>
            </w:r>
          </w:p>
        </w:tc>
      </w:tr>
      <w:tr w:rsidR="001F29E6" w:rsidRPr="00A864A5" w14:paraId="24C44C49" w14:textId="77777777" w:rsidTr="000C29FA">
        <w:trPr>
          <w:trHeight w:val="414"/>
        </w:trPr>
        <w:tc>
          <w:tcPr>
            <w:tcW w:w="1297" w:type="pct"/>
            <w:tcBorders>
              <w:top w:val="nil"/>
            </w:tcBorders>
            <w:shd w:val="clear" w:color="auto" w:fill="EBF5F8"/>
          </w:tcPr>
          <w:p w14:paraId="120D8478" w14:textId="11B228E3" w:rsidR="001F29E6" w:rsidRPr="00A864A5" w:rsidRDefault="001F29E6" w:rsidP="00506F06">
            <w:pPr>
              <w:spacing w:after="180"/>
              <w:rPr>
                <w:rFonts w:cs="Arial"/>
                <w:iCs/>
                <w:color w:val="000000"/>
                <w:szCs w:val="22"/>
                <w:lang w:val="en-NZ"/>
              </w:rPr>
            </w:pPr>
            <w:r w:rsidRPr="00A864A5">
              <w:rPr>
                <w:rFonts w:cs="Arial"/>
                <w:iCs/>
                <w:color w:val="000000"/>
                <w:szCs w:val="22"/>
                <w:lang w:val="en-NZ"/>
              </w:rPr>
              <w:t xml:space="preserve">Decision </w:t>
            </w:r>
            <w:r w:rsidR="00575FF9" w:rsidRPr="00A864A5">
              <w:rPr>
                <w:rFonts w:cs="Arial"/>
                <w:iCs/>
                <w:color w:val="000000"/>
                <w:szCs w:val="22"/>
                <w:lang w:val="en-NZ"/>
              </w:rPr>
              <w:t>S</w:t>
            </w:r>
            <w:r w:rsidRPr="00A864A5">
              <w:rPr>
                <w:rFonts w:cs="Arial"/>
                <w:iCs/>
                <w:color w:val="000000"/>
                <w:szCs w:val="22"/>
                <w:lang w:val="en-NZ"/>
              </w:rPr>
              <w:t>ought:</w:t>
            </w:r>
          </w:p>
        </w:tc>
        <w:tc>
          <w:tcPr>
            <w:tcW w:w="3703" w:type="pct"/>
            <w:tcBorders>
              <w:top w:val="nil"/>
            </w:tcBorders>
            <w:shd w:val="clear" w:color="auto" w:fill="auto"/>
          </w:tcPr>
          <w:p w14:paraId="2B9F992E" w14:textId="5EC7E508" w:rsidR="001F29E6" w:rsidRPr="008C2FCB" w:rsidRDefault="00A77D66" w:rsidP="00506F06">
            <w:pPr>
              <w:spacing w:after="180"/>
              <w:rPr>
                <w:rFonts w:cs="Arial"/>
                <w:iCs/>
                <w:color w:val="000000"/>
                <w:szCs w:val="22"/>
                <w:lang w:val="en-NZ"/>
              </w:rPr>
            </w:pPr>
            <w:r>
              <w:rPr>
                <w:rFonts w:cs="Arial"/>
                <w:iCs/>
                <w:color w:val="000000"/>
                <w:szCs w:val="22"/>
                <w:lang w:val="en-NZ"/>
              </w:rPr>
              <w:t>Introduce a temporary exclusion to the deemed income rule that applies to donated trading stock</w:t>
            </w:r>
          </w:p>
        </w:tc>
      </w:tr>
      <w:tr w:rsidR="001F29E6" w:rsidRPr="00A864A5" w14:paraId="2895A1B0" w14:textId="77777777" w:rsidTr="000C29FA">
        <w:trPr>
          <w:trHeight w:val="506"/>
        </w:trPr>
        <w:tc>
          <w:tcPr>
            <w:tcW w:w="1297" w:type="pct"/>
            <w:tcBorders>
              <w:top w:val="nil"/>
            </w:tcBorders>
            <w:shd w:val="clear" w:color="auto" w:fill="EBF5F8"/>
          </w:tcPr>
          <w:p w14:paraId="19AF4671" w14:textId="691D4CA0" w:rsidR="001F29E6" w:rsidRPr="00A864A5" w:rsidRDefault="001F29E6" w:rsidP="00506F06">
            <w:pPr>
              <w:spacing w:after="180"/>
              <w:rPr>
                <w:rFonts w:cs="Arial"/>
                <w:iCs/>
                <w:color w:val="000000"/>
                <w:szCs w:val="22"/>
                <w:lang w:val="en-NZ"/>
              </w:rPr>
            </w:pPr>
            <w:r w:rsidRPr="00A864A5">
              <w:rPr>
                <w:rFonts w:cs="Arial"/>
                <w:iCs/>
                <w:color w:val="000000"/>
                <w:szCs w:val="22"/>
                <w:lang w:val="en-NZ"/>
              </w:rPr>
              <w:t xml:space="preserve">Advising </w:t>
            </w:r>
            <w:r w:rsidR="00723DF3" w:rsidRPr="00A864A5">
              <w:rPr>
                <w:rFonts w:cs="Arial"/>
                <w:iCs/>
                <w:color w:val="000000"/>
                <w:szCs w:val="22"/>
                <w:lang w:val="en-NZ"/>
              </w:rPr>
              <w:t>Agencies</w:t>
            </w:r>
            <w:r w:rsidRPr="00A864A5">
              <w:rPr>
                <w:rFonts w:cs="Arial"/>
                <w:iCs/>
                <w:color w:val="000000"/>
                <w:szCs w:val="22"/>
                <w:lang w:val="en-NZ"/>
              </w:rPr>
              <w:t>:</w:t>
            </w:r>
          </w:p>
        </w:tc>
        <w:tc>
          <w:tcPr>
            <w:tcW w:w="3703" w:type="pct"/>
            <w:tcBorders>
              <w:top w:val="nil"/>
            </w:tcBorders>
            <w:shd w:val="clear" w:color="auto" w:fill="auto"/>
          </w:tcPr>
          <w:p w14:paraId="742E202F" w14:textId="3E352E97" w:rsidR="001F29E6" w:rsidRPr="008C2FCB" w:rsidRDefault="0000022A" w:rsidP="00506F06">
            <w:pPr>
              <w:spacing w:after="180"/>
              <w:rPr>
                <w:rFonts w:cs="Arial"/>
                <w:iCs/>
                <w:color w:val="000000"/>
                <w:szCs w:val="22"/>
                <w:lang w:val="en-NZ"/>
              </w:rPr>
            </w:pPr>
            <w:r w:rsidRPr="008C2FCB">
              <w:rPr>
                <w:rFonts w:cs="Arial"/>
                <w:iCs/>
                <w:color w:val="000000"/>
                <w:szCs w:val="22"/>
                <w:lang w:val="en-NZ"/>
              </w:rPr>
              <w:t>Inland Revenue</w:t>
            </w:r>
          </w:p>
        </w:tc>
      </w:tr>
      <w:tr w:rsidR="001F29E6" w:rsidRPr="00A864A5" w14:paraId="568C5BEC" w14:textId="77777777" w:rsidTr="000C29FA">
        <w:trPr>
          <w:trHeight w:val="317"/>
        </w:trPr>
        <w:tc>
          <w:tcPr>
            <w:tcW w:w="1297" w:type="pct"/>
            <w:tcBorders>
              <w:top w:val="nil"/>
            </w:tcBorders>
            <w:shd w:val="clear" w:color="auto" w:fill="EBF5F8"/>
          </w:tcPr>
          <w:p w14:paraId="0F68A519" w14:textId="4F678206" w:rsidR="001F29E6" w:rsidRPr="00A864A5" w:rsidRDefault="001F29E6" w:rsidP="00506F06">
            <w:pPr>
              <w:spacing w:after="180"/>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703" w:type="pct"/>
            <w:tcBorders>
              <w:top w:val="nil"/>
            </w:tcBorders>
            <w:shd w:val="clear" w:color="auto" w:fill="auto"/>
          </w:tcPr>
          <w:p w14:paraId="3C92607C" w14:textId="36011F28" w:rsidR="001F29E6" w:rsidRPr="0000022A" w:rsidRDefault="0000022A" w:rsidP="00506F06">
            <w:pPr>
              <w:spacing w:after="180"/>
              <w:rPr>
                <w:rFonts w:cs="Arial"/>
                <w:iCs/>
                <w:color w:val="000000"/>
                <w:szCs w:val="22"/>
                <w:lang w:val="en-NZ"/>
              </w:rPr>
            </w:pPr>
            <w:r w:rsidRPr="0000022A">
              <w:rPr>
                <w:rFonts w:cs="Arial"/>
                <w:iCs/>
                <w:color w:val="000000"/>
                <w:szCs w:val="22"/>
                <w:lang w:val="en-NZ"/>
              </w:rPr>
              <w:t>Minister of Revenue</w:t>
            </w:r>
          </w:p>
        </w:tc>
      </w:tr>
      <w:tr w:rsidR="00C11B3B" w:rsidRPr="00A864A5" w14:paraId="73C7C7FD" w14:textId="77777777" w:rsidTr="000C29FA">
        <w:trPr>
          <w:trHeight w:val="202"/>
        </w:trPr>
        <w:tc>
          <w:tcPr>
            <w:tcW w:w="1297" w:type="pct"/>
            <w:tcBorders>
              <w:top w:val="nil"/>
            </w:tcBorders>
            <w:shd w:val="clear" w:color="auto" w:fill="EBF5F8"/>
          </w:tcPr>
          <w:p w14:paraId="5B57759D" w14:textId="211E040E" w:rsidR="00C11B3B" w:rsidRPr="00A864A5" w:rsidRDefault="00C11B3B" w:rsidP="00506F06">
            <w:pPr>
              <w:spacing w:after="180"/>
              <w:rPr>
                <w:rFonts w:cs="Arial"/>
                <w:iCs/>
                <w:color w:val="000000"/>
                <w:szCs w:val="22"/>
                <w:lang w:val="en-NZ"/>
              </w:rPr>
            </w:pPr>
            <w:r w:rsidRPr="00A864A5">
              <w:rPr>
                <w:rFonts w:cs="Arial"/>
                <w:iCs/>
                <w:color w:val="000000"/>
                <w:szCs w:val="22"/>
                <w:lang w:val="en-NZ"/>
              </w:rPr>
              <w:t>Date:</w:t>
            </w:r>
          </w:p>
        </w:tc>
        <w:tc>
          <w:tcPr>
            <w:tcW w:w="3703" w:type="pct"/>
            <w:tcBorders>
              <w:top w:val="nil"/>
            </w:tcBorders>
            <w:shd w:val="clear" w:color="auto" w:fill="auto"/>
          </w:tcPr>
          <w:p w14:paraId="4547EFD0" w14:textId="16925921" w:rsidR="00C11B3B" w:rsidRPr="008C2FCB" w:rsidRDefault="00A77D66" w:rsidP="00506F06">
            <w:pPr>
              <w:spacing w:after="180"/>
              <w:rPr>
                <w:rFonts w:cs="Arial"/>
                <w:iCs/>
                <w:color w:val="000000"/>
                <w:szCs w:val="22"/>
                <w:lang w:val="en-NZ"/>
              </w:rPr>
            </w:pPr>
            <w:r>
              <w:rPr>
                <w:rFonts w:cs="Arial"/>
                <w:iCs/>
                <w:color w:val="000000"/>
                <w:szCs w:val="22"/>
                <w:lang w:val="en-NZ"/>
              </w:rPr>
              <w:t xml:space="preserve">18 </w:t>
            </w:r>
            <w:r w:rsidR="008C2FCB">
              <w:rPr>
                <w:rFonts w:cs="Arial"/>
                <w:iCs/>
                <w:color w:val="000000"/>
                <w:szCs w:val="22"/>
                <w:lang w:val="en-NZ"/>
              </w:rPr>
              <w:t>January 2021</w:t>
            </w:r>
          </w:p>
        </w:tc>
      </w:tr>
      <w:tr w:rsidR="0079435C" w:rsidRPr="00A864A5" w14:paraId="7F643A0E" w14:textId="77777777" w:rsidTr="00506F06">
        <w:tc>
          <w:tcPr>
            <w:tcW w:w="5000" w:type="pct"/>
            <w:gridSpan w:val="2"/>
            <w:tcBorders>
              <w:bottom w:val="single" w:sz="4" w:space="0" w:color="DDDDDD"/>
            </w:tcBorders>
            <w:shd w:val="clear" w:color="auto" w:fill="99CDDD"/>
            <w:hideMark/>
          </w:tcPr>
          <w:p w14:paraId="7F446F06" w14:textId="570ED786" w:rsidR="0079435C" w:rsidRPr="00A864A5" w:rsidRDefault="0079435C" w:rsidP="00506F06">
            <w:pPr>
              <w:pStyle w:val="TableHeadings"/>
              <w:rPr>
                <w:color w:val="002060"/>
                <w:szCs w:val="22"/>
                <w:lang w:val="en-NZ"/>
              </w:rPr>
            </w:pPr>
            <w:r w:rsidRPr="00A864A5">
              <w:rPr>
                <w:szCs w:val="22"/>
                <w:lang w:val="en-NZ"/>
              </w:rPr>
              <w:t>Problem Definition</w:t>
            </w:r>
          </w:p>
        </w:tc>
      </w:tr>
      <w:tr w:rsidR="0079435C" w:rsidRPr="00A864A5" w14:paraId="058C86B2" w14:textId="77777777" w:rsidTr="00DE63FC">
        <w:trPr>
          <w:trHeight w:val="134"/>
        </w:trPr>
        <w:tc>
          <w:tcPr>
            <w:tcW w:w="5000" w:type="pct"/>
            <w:gridSpan w:val="2"/>
            <w:tcBorders>
              <w:top w:val="nil"/>
            </w:tcBorders>
            <w:shd w:val="clear" w:color="auto" w:fill="auto"/>
          </w:tcPr>
          <w:p w14:paraId="4EBB6131" w14:textId="2DE50196" w:rsidR="0079435C" w:rsidRPr="00A864A5" w:rsidRDefault="00A77D66" w:rsidP="00506F06">
            <w:pPr>
              <w:tabs>
                <w:tab w:val="left" w:pos="7424"/>
                <w:tab w:val="right" w:pos="8636"/>
              </w:tabs>
              <w:rPr>
                <w:rFonts w:cs="Arial"/>
                <w:szCs w:val="22"/>
                <w:lang w:val="en-NZ"/>
              </w:rPr>
            </w:pPr>
            <w:r>
              <w:t xml:space="preserve">Businesses are currently disincentivised from donating trading stock during COVID-19 </w:t>
            </w:r>
            <w:r w:rsidR="00D876DB">
              <w:t xml:space="preserve">(and more generally) </w:t>
            </w:r>
            <w:r>
              <w:t>due to an integrity rule in the Income Tax Act 2007 which deems a donation of trading stock to be a sale at market value.</w:t>
            </w:r>
            <w:r w:rsidR="0079435C" w:rsidRPr="00A864A5">
              <w:rPr>
                <w:rFonts w:cs="Arial"/>
                <w:szCs w:val="22"/>
                <w:lang w:val="en-NZ"/>
              </w:rPr>
              <w:tab/>
            </w:r>
            <w:r w:rsidR="0079435C" w:rsidRPr="00A864A5">
              <w:rPr>
                <w:rFonts w:cs="Arial"/>
                <w:szCs w:val="22"/>
                <w:lang w:val="en-NZ"/>
              </w:rPr>
              <w:tab/>
            </w:r>
          </w:p>
        </w:tc>
      </w:tr>
      <w:tr w:rsidR="00C93549" w:rsidRPr="00A864A5" w14:paraId="7CED8916" w14:textId="77777777" w:rsidTr="00FE3199">
        <w:tc>
          <w:tcPr>
            <w:tcW w:w="5000" w:type="pct"/>
            <w:gridSpan w:val="2"/>
            <w:tcBorders>
              <w:bottom w:val="single" w:sz="4" w:space="0" w:color="DDDDDD"/>
            </w:tcBorders>
            <w:shd w:val="clear" w:color="auto" w:fill="99CDDD"/>
            <w:hideMark/>
          </w:tcPr>
          <w:p w14:paraId="163B530B" w14:textId="0ACEE607" w:rsidR="00C93549" w:rsidRPr="00A864A5" w:rsidRDefault="00063943" w:rsidP="00506F06">
            <w:pPr>
              <w:pStyle w:val="TableHeadings"/>
              <w:rPr>
                <w:color w:val="002060"/>
                <w:szCs w:val="22"/>
                <w:lang w:val="en-NZ"/>
              </w:rPr>
            </w:pPr>
            <w:bookmarkStart w:id="1" w:name="_Hlk57202117"/>
            <w:r w:rsidRPr="00A864A5">
              <w:rPr>
                <w:szCs w:val="22"/>
                <w:lang w:val="en-NZ"/>
              </w:rPr>
              <w:t>Exe</w:t>
            </w:r>
            <w:r w:rsidR="0079435C" w:rsidRPr="00A864A5">
              <w:rPr>
                <w:szCs w:val="22"/>
                <w:lang w:val="en-NZ"/>
              </w:rPr>
              <w:t>cutive Summary</w:t>
            </w:r>
          </w:p>
        </w:tc>
      </w:tr>
      <w:tr w:rsidR="00FE3199" w:rsidRPr="00A864A5" w14:paraId="6B25993E" w14:textId="77777777" w:rsidTr="00DE63FC">
        <w:trPr>
          <w:trHeight w:val="944"/>
        </w:trPr>
        <w:tc>
          <w:tcPr>
            <w:tcW w:w="5000" w:type="pct"/>
            <w:gridSpan w:val="2"/>
            <w:tcBorders>
              <w:top w:val="nil"/>
            </w:tcBorders>
            <w:shd w:val="clear" w:color="auto" w:fill="auto"/>
          </w:tcPr>
          <w:p w14:paraId="3FD27F34" w14:textId="6E0E8F7C" w:rsidR="00A77D66" w:rsidRDefault="00A77D66" w:rsidP="006D2EA6">
            <w:pPr>
              <w:pStyle w:val="NumberedParagraph"/>
              <w:rPr>
                <w:rFonts w:ascii="Arial" w:hAnsi="Arial" w:cs="Arial"/>
                <w:sz w:val="22"/>
                <w:szCs w:val="22"/>
              </w:rPr>
            </w:pPr>
            <w:r w:rsidRPr="00A77D66">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3D32A05E" wp14:editId="22BF2F2D">
                      <wp:simplePos x="0" y="0"/>
                      <wp:positionH relativeFrom="column">
                        <wp:posOffset>45085</wp:posOffset>
                      </wp:positionH>
                      <wp:positionV relativeFrom="paragraph">
                        <wp:posOffset>793115</wp:posOffset>
                      </wp:positionV>
                      <wp:extent cx="537210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33475"/>
                              </a:xfrm>
                              <a:prstGeom prst="rect">
                                <a:avLst/>
                              </a:prstGeom>
                              <a:solidFill>
                                <a:srgbClr val="FFFFFF"/>
                              </a:solidFill>
                              <a:ln w="9525">
                                <a:solidFill>
                                  <a:srgbClr val="000000"/>
                                </a:solidFill>
                                <a:miter lim="800000"/>
                                <a:headEnd/>
                                <a:tailEnd/>
                              </a:ln>
                            </wps:spPr>
                            <wps:txbx>
                              <w:txbxContent>
                                <w:p w14:paraId="5E9B2ECC" w14:textId="77777777" w:rsidR="001E1AA3" w:rsidRDefault="001E1AA3" w:rsidP="00A77D66">
                                  <w:pPr>
                                    <w:pStyle w:val="NumberedParagraph"/>
                                    <w:rPr>
                                      <w:rFonts w:ascii="Arial" w:hAnsi="Arial" w:cs="Arial"/>
                                      <w:sz w:val="22"/>
                                      <w:szCs w:val="22"/>
                                    </w:rPr>
                                  </w:pPr>
                                  <w:r>
                                    <w:rPr>
                                      <w:rFonts w:ascii="Arial" w:hAnsi="Arial" w:cs="Arial"/>
                                      <w:sz w:val="22"/>
                                      <w:szCs w:val="22"/>
                                    </w:rPr>
                                    <w:t>Example – deemed income rule</w:t>
                                  </w:r>
                                </w:p>
                                <w:p w14:paraId="7CB54148" w14:textId="4724E914" w:rsidR="001E1AA3" w:rsidRPr="00CB16B8" w:rsidRDefault="001E1AA3" w:rsidP="00A77D66">
                                  <w:pPr>
                                    <w:pStyle w:val="NumberedParagraph"/>
                                    <w:rPr>
                                      <w:rFonts w:ascii="Arial" w:hAnsi="Arial" w:cs="Arial"/>
                                      <w:sz w:val="22"/>
                                      <w:szCs w:val="22"/>
                                    </w:rPr>
                                  </w:pPr>
                                  <w:r>
                                    <w:rPr>
                                      <w:rFonts w:ascii="Arial" w:hAnsi="Arial" w:cs="Arial"/>
                                      <w:sz w:val="22"/>
                                      <w:szCs w:val="22"/>
                                    </w:rPr>
                                    <w:t>A supermarket donated canned food to a food bank which was purchased for $500 and had a market value of $750.  Under the deemed income rule the supermarket would need to pay $70 of tax ($250 x 0.28</w:t>
                                  </w:r>
                                  <w:r w:rsidR="00961902">
                                    <w:rPr>
                                      <w:rFonts w:ascii="Arial" w:hAnsi="Arial" w:cs="Arial"/>
                                      <w:sz w:val="22"/>
                                      <w:szCs w:val="22"/>
                                    </w:rPr>
                                    <w:t>, 28% being the company tax rate</w:t>
                                  </w:r>
                                  <w:r>
                                    <w:rPr>
                                      <w:rFonts w:ascii="Arial" w:hAnsi="Arial" w:cs="Arial"/>
                                      <w:sz w:val="22"/>
                                      <w:szCs w:val="22"/>
                                    </w:rPr>
                                    <w:t>) on that donation despite also being out of pocket for the value of the canned food.</w:t>
                                  </w:r>
                                </w:p>
                                <w:p w14:paraId="4DA8F841" w14:textId="32CB059D" w:rsidR="001E1AA3" w:rsidRDefault="001E1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2A05E" id="_x0000_t202" coordsize="21600,21600" o:spt="202" path="m,l,21600r21600,l21600,xe">
                      <v:stroke joinstyle="miter"/>
                      <v:path gradientshapeok="t" o:connecttype="rect"/>
                    </v:shapetype>
                    <v:shape id="Text Box 2" o:spid="_x0000_s1026" type="#_x0000_t202" style="position:absolute;left:0;text-align:left;margin-left:3.55pt;margin-top:62.45pt;width:423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">
                      <v:textbox>
                        <w:txbxContent>
                          <w:p w14:paraId="5E9B2ECC" w14:textId="77777777" w:rsidR="001E1AA3" w:rsidRDefault="001E1AA3" w:rsidP="00A77D66">
                            <w:pPr>
                              <w:pStyle w:val="NumberedParagraph"/>
                              <w:rPr>
                                <w:rFonts w:ascii="Arial" w:hAnsi="Arial" w:cs="Arial"/>
                                <w:sz w:val="22"/>
                                <w:szCs w:val="22"/>
                              </w:rPr>
                            </w:pPr>
                            <w:r>
                              <w:rPr>
                                <w:rFonts w:ascii="Arial" w:hAnsi="Arial" w:cs="Arial"/>
                                <w:sz w:val="22"/>
                                <w:szCs w:val="22"/>
                              </w:rPr>
                              <w:t>Example – deemed income rule</w:t>
                            </w:r>
                          </w:p>
                          <w:p w14:paraId="7CB54148" w14:textId="4724E914" w:rsidR="001E1AA3" w:rsidRPr="00CB16B8" w:rsidRDefault="001E1AA3" w:rsidP="00A77D66">
                            <w:pPr>
                              <w:pStyle w:val="NumberedParagraph"/>
                              <w:rPr>
                                <w:rFonts w:ascii="Arial" w:hAnsi="Arial" w:cs="Arial"/>
                                <w:sz w:val="22"/>
                                <w:szCs w:val="22"/>
                              </w:rPr>
                            </w:pPr>
                            <w:r>
                              <w:rPr>
                                <w:rFonts w:ascii="Arial" w:hAnsi="Arial" w:cs="Arial"/>
                                <w:sz w:val="22"/>
                                <w:szCs w:val="22"/>
                              </w:rPr>
                              <w:t>A supermarket donated canned food to a food bank which was purchased for $500 and had a market value of $750.  Under the deemed income rule the supermarket would need to pay $70 of tax ($250 x 0.28</w:t>
                            </w:r>
                            <w:r w:rsidR="00961902">
                              <w:rPr>
                                <w:rFonts w:ascii="Arial" w:hAnsi="Arial" w:cs="Arial"/>
                                <w:sz w:val="22"/>
                                <w:szCs w:val="22"/>
                              </w:rPr>
                              <w:t>, 28% being the company tax rate</w:t>
                            </w:r>
                            <w:r>
                              <w:rPr>
                                <w:rFonts w:ascii="Arial" w:hAnsi="Arial" w:cs="Arial"/>
                                <w:sz w:val="22"/>
                                <w:szCs w:val="22"/>
                              </w:rPr>
                              <w:t>) on that donation despite also being out of pocket for the value of the canned food.</w:t>
                            </w:r>
                            <w:r>
                              <w:rPr>
                                <w:rStyle w:val="CommentReference"/>
                                <w:rFonts w:ascii="Arial" w:eastAsia="Times New Roman" w:hAnsi="Arial" w:cs="Times New Roman"/>
                                <w:lang w:val="en-GB" w:eastAsia="en-GB"/>
                              </w:rPr>
                              <w:t/>
                            </w:r>
                          </w:p>
                          <w:p w14:paraId="4DA8F841" w14:textId="32CB059D" w:rsidR="001E1AA3" w:rsidRDefault="001E1AA3"/>
                        </w:txbxContent>
                      </v:textbox>
                      <w10:wrap type="square"/>
                    </v:shape>
                  </w:pict>
                </mc:Fallback>
              </mc:AlternateContent>
            </w:r>
            <w:r w:rsidR="006D2EA6" w:rsidRPr="00CB16B8">
              <w:rPr>
                <w:rFonts w:ascii="Arial" w:hAnsi="Arial" w:cs="Arial"/>
                <w:sz w:val="22"/>
                <w:szCs w:val="22"/>
              </w:rPr>
              <w:t>A deemed income rule in the Income Tax Act 2007 disincentivises businesses from donating trading stock during COVID-19 by imposing tax on the market value of the donated trading stock. This effectively reverses the deduction that was claimed when the trading stock was purchased and imposes tax on a deemed profit.</w:t>
            </w:r>
            <w:r w:rsidR="00EE1652">
              <w:rPr>
                <w:rFonts w:ascii="Arial" w:hAnsi="Arial" w:cs="Arial"/>
                <w:sz w:val="22"/>
                <w:szCs w:val="22"/>
              </w:rPr>
              <w:t xml:space="preserve">  </w:t>
            </w:r>
          </w:p>
          <w:p w14:paraId="1EE04C33" w14:textId="62B4B12B" w:rsidR="006D2EA6" w:rsidRPr="00CB16B8" w:rsidRDefault="006D2EA6" w:rsidP="006D2EA6">
            <w:pPr>
              <w:pStyle w:val="NumberedParagraph"/>
              <w:rPr>
                <w:rFonts w:ascii="Arial" w:hAnsi="Arial" w:cs="Arial"/>
                <w:sz w:val="22"/>
                <w:szCs w:val="22"/>
              </w:rPr>
            </w:pPr>
            <w:r w:rsidRPr="00CB16B8">
              <w:rPr>
                <w:rFonts w:ascii="Arial" w:hAnsi="Arial" w:cs="Arial"/>
                <w:sz w:val="22"/>
                <w:szCs w:val="22"/>
              </w:rPr>
              <w:t>This rule was introduced as an anti-avoidance measure</w:t>
            </w:r>
            <w:r w:rsidR="00A77D66">
              <w:rPr>
                <w:rFonts w:ascii="Arial" w:hAnsi="Arial" w:cs="Arial"/>
                <w:sz w:val="22"/>
                <w:szCs w:val="22"/>
              </w:rPr>
              <w:t xml:space="preserve"> (for example, it prevents a person from donating trading stock to an associate to avoid the income tax that would otherwise be payable on the sale)</w:t>
            </w:r>
            <w:r w:rsidRPr="00CB16B8">
              <w:rPr>
                <w:rFonts w:ascii="Arial" w:hAnsi="Arial" w:cs="Arial"/>
                <w:sz w:val="22"/>
                <w:szCs w:val="22"/>
              </w:rPr>
              <w:t xml:space="preserve"> but is over</w:t>
            </w:r>
            <w:r w:rsidR="00451AF7">
              <w:rPr>
                <w:rFonts w:ascii="Arial" w:hAnsi="Arial" w:cs="Arial"/>
                <w:sz w:val="22"/>
                <w:szCs w:val="22"/>
              </w:rPr>
              <w:t>-</w:t>
            </w:r>
            <w:r w:rsidRPr="00CB16B8">
              <w:rPr>
                <w:rFonts w:ascii="Arial" w:hAnsi="Arial" w:cs="Arial"/>
                <w:sz w:val="22"/>
                <w:szCs w:val="22"/>
              </w:rPr>
              <w:t>reaching by imposing tax in situations where tax avoidance is not a concern.</w:t>
            </w:r>
          </w:p>
          <w:p w14:paraId="582890EA" w14:textId="1F45BECB" w:rsidR="00C72298" w:rsidRPr="004010CC" w:rsidRDefault="00C72298" w:rsidP="005C5F20">
            <w:pPr>
              <w:pStyle w:val="NumberedParagraph"/>
              <w:rPr>
                <w:rFonts w:ascii="Arial" w:hAnsi="Arial" w:cs="Arial"/>
                <w:sz w:val="22"/>
                <w:szCs w:val="22"/>
              </w:rPr>
            </w:pPr>
            <w:r w:rsidRPr="004010CC">
              <w:rPr>
                <w:rFonts w:ascii="Arial" w:hAnsi="Arial" w:cs="Arial"/>
                <w:sz w:val="22"/>
                <w:szCs w:val="22"/>
              </w:rPr>
              <w:t xml:space="preserve">Officials recommend turning off the deemed income rule in certain circumstances for donations of trading stock made on or after 17 March 2020 and before 17 March 2022, as a COVID-19 response measure.  </w:t>
            </w:r>
          </w:p>
          <w:p w14:paraId="274C3C46" w14:textId="77777777" w:rsidR="00C72298" w:rsidRPr="004010CC" w:rsidRDefault="00C72298" w:rsidP="005C5F20">
            <w:pPr>
              <w:pStyle w:val="NumberedParagraph"/>
              <w:rPr>
                <w:rFonts w:ascii="Arial" w:hAnsi="Arial" w:cs="Arial"/>
                <w:sz w:val="22"/>
                <w:szCs w:val="22"/>
              </w:rPr>
            </w:pPr>
            <w:r w:rsidRPr="004010CC">
              <w:rPr>
                <w:rFonts w:ascii="Arial" w:hAnsi="Arial" w:cs="Arial"/>
                <w:sz w:val="22"/>
                <w:szCs w:val="22"/>
              </w:rPr>
              <w:t>The proposed amendment will provide that trading stock donated to:</w:t>
            </w:r>
          </w:p>
          <w:p w14:paraId="32B1060C" w14:textId="3FD5BB86" w:rsidR="00C72298" w:rsidRPr="004010CC" w:rsidRDefault="00C72298" w:rsidP="00C72298">
            <w:pPr>
              <w:pStyle w:val="NumberedParagraph"/>
              <w:numPr>
                <w:ilvl w:val="0"/>
                <w:numId w:val="39"/>
              </w:numPr>
              <w:rPr>
                <w:rFonts w:ascii="Arial" w:hAnsi="Arial" w:cs="Arial"/>
                <w:sz w:val="22"/>
                <w:szCs w:val="22"/>
              </w:rPr>
            </w:pPr>
            <w:r w:rsidRPr="004010CC">
              <w:rPr>
                <w:rFonts w:ascii="Arial" w:hAnsi="Arial" w:cs="Arial"/>
                <w:sz w:val="22"/>
                <w:szCs w:val="22"/>
              </w:rPr>
              <w:t>public authorities and donee organisations (</w:t>
            </w:r>
            <w:r w:rsidR="00215593">
              <w:rPr>
                <w:rFonts w:ascii="Arial" w:hAnsi="Arial" w:cs="Arial"/>
                <w:sz w:val="22"/>
                <w:szCs w:val="22"/>
              </w:rPr>
              <w:t>the latter being</w:t>
            </w:r>
            <w:r w:rsidRPr="004010CC">
              <w:rPr>
                <w:rFonts w:ascii="Arial" w:hAnsi="Arial" w:cs="Arial"/>
                <w:sz w:val="22"/>
                <w:szCs w:val="22"/>
              </w:rPr>
              <w:t xml:space="preserve"> organisation</w:t>
            </w:r>
            <w:r w:rsidR="00215593">
              <w:rPr>
                <w:rFonts w:ascii="Arial" w:hAnsi="Arial" w:cs="Arial"/>
                <w:sz w:val="22"/>
                <w:szCs w:val="22"/>
              </w:rPr>
              <w:t>s</w:t>
            </w:r>
            <w:r w:rsidRPr="004010CC">
              <w:rPr>
                <w:rFonts w:ascii="Arial" w:hAnsi="Arial" w:cs="Arial"/>
                <w:sz w:val="22"/>
                <w:szCs w:val="22"/>
              </w:rPr>
              <w:t xml:space="preserve"> whose donors can claim a tax concession for donations made to the organisation) will not be subject to the deemed income rule and will be eligible for a tax deduction</w:t>
            </w:r>
            <w:r w:rsidR="00506F06" w:rsidRPr="004010CC">
              <w:rPr>
                <w:rFonts w:ascii="Arial" w:hAnsi="Arial" w:cs="Arial"/>
                <w:sz w:val="22"/>
                <w:szCs w:val="22"/>
              </w:rPr>
              <w:t xml:space="preserve"> for the cost of the donated trading stock</w:t>
            </w:r>
            <w:r w:rsidRPr="004010CC">
              <w:rPr>
                <w:rFonts w:ascii="Arial" w:hAnsi="Arial" w:cs="Arial"/>
                <w:sz w:val="22"/>
                <w:szCs w:val="22"/>
              </w:rPr>
              <w:t>.</w:t>
            </w:r>
          </w:p>
          <w:p w14:paraId="40712821" w14:textId="10EE8ACA" w:rsidR="00C72298" w:rsidRPr="004010CC" w:rsidRDefault="00C72298" w:rsidP="00C72298">
            <w:pPr>
              <w:pStyle w:val="NumberedParagraph"/>
              <w:numPr>
                <w:ilvl w:val="0"/>
                <w:numId w:val="39"/>
              </w:numPr>
              <w:rPr>
                <w:rFonts w:ascii="Arial" w:hAnsi="Arial" w:cs="Arial"/>
                <w:sz w:val="22"/>
                <w:szCs w:val="22"/>
              </w:rPr>
            </w:pPr>
            <w:r w:rsidRPr="004010CC">
              <w:rPr>
                <w:rFonts w:ascii="Arial" w:hAnsi="Arial" w:cs="Arial"/>
                <w:sz w:val="22"/>
                <w:szCs w:val="22"/>
              </w:rPr>
              <w:lastRenderedPageBreak/>
              <w:t>non-associated persons (</w:t>
            </w:r>
            <w:r w:rsidR="008144EF">
              <w:rPr>
                <w:rFonts w:ascii="Arial" w:hAnsi="Arial" w:cs="Arial"/>
                <w:sz w:val="22"/>
                <w:szCs w:val="22"/>
              </w:rPr>
              <w:t>that</w:t>
            </w:r>
            <w:r w:rsidRPr="004010CC">
              <w:rPr>
                <w:rFonts w:ascii="Arial" w:hAnsi="Arial" w:cs="Arial"/>
                <w:sz w:val="22"/>
                <w:szCs w:val="22"/>
              </w:rPr>
              <w:t xml:space="preserve"> are not public authorities or donee organisations) will not be subject to the deemed income rule.  However, the donor will only be able to claim a tax deduction </w:t>
            </w:r>
            <w:r w:rsidR="00506F06" w:rsidRPr="004010CC">
              <w:rPr>
                <w:rFonts w:ascii="Arial" w:hAnsi="Arial" w:cs="Arial"/>
                <w:sz w:val="22"/>
                <w:szCs w:val="22"/>
              </w:rPr>
              <w:t xml:space="preserve">for the cost of the donated trading stock </w:t>
            </w:r>
            <w:r w:rsidRPr="004010CC">
              <w:rPr>
                <w:rFonts w:ascii="Arial" w:hAnsi="Arial" w:cs="Arial"/>
                <w:sz w:val="22"/>
                <w:szCs w:val="22"/>
              </w:rPr>
              <w:t>where they can demonstrate the donation is made for business purposes.</w:t>
            </w:r>
          </w:p>
          <w:p w14:paraId="551E14DA" w14:textId="1B682D4B" w:rsidR="005C032F" w:rsidRPr="004010CC" w:rsidRDefault="00503F5C" w:rsidP="00805DB4">
            <w:pPr>
              <w:tabs>
                <w:tab w:val="left" w:pos="7424"/>
                <w:tab w:val="right" w:pos="8636"/>
              </w:tabs>
              <w:rPr>
                <w:rFonts w:eastAsiaTheme="minorHAnsi" w:cs="Arial"/>
                <w:szCs w:val="22"/>
                <w:lang w:val="en-NZ" w:eastAsia="en-NZ"/>
              </w:rPr>
            </w:pPr>
            <w:r w:rsidRPr="004010CC">
              <w:rPr>
                <w:rFonts w:eastAsiaTheme="minorHAnsi" w:cs="Arial"/>
                <w:szCs w:val="22"/>
                <w:lang w:val="en-NZ" w:eastAsia="en-NZ"/>
              </w:rPr>
              <w:t>This option</w:t>
            </w:r>
            <w:r w:rsidR="00B9741F" w:rsidRPr="004010CC">
              <w:rPr>
                <w:rFonts w:eastAsiaTheme="minorHAnsi" w:cs="Arial"/>
                <w:szCs w:val="22"/>
                <w:lang w:val="en-NZ" w:eastAsia="en-NZ"/>
              </w:rPr>
              <w:t xml:space="preserve"> will </w:t>
            </w:r>
            <w:r w:rsidR="008144EF">
              <w:rPr>
                <w:rFonts w:eastAsiaTheme="minorHAnsi" w:cs="Arial"/>
                <w:szCs w:val="22"/>
                <w:lang w:val="en-NZ" w:eastAsia="en-NZ"/>
              </w:rPr>
              <w:t xml:space="preserve">temporarily </w:t>
            </w:r>
            <w:r w:rsidR="00B9741F" w:rsidRPr="004010CC">
              <w:rPr>
                <w:rFonts w:eastAsiaTheme="minorHAnsi" w:cs="Arial"/>
                <w:szCs w:val="22"/>
                <w:lang w:val="en-NZ" w:eastAsia="en-NZ"/>
              </w:rPr>
              <w:t>remove the disincentive to donate trading stock. It</w:t>
            </w:r>
            <w:r w:rsidRPr="004010CC">
              <w:rPr>
                <w:rFonts w:eastAsiaTheme="minorHAnsi" w:cs="Arial"/>
                <w:szCs w:val="22"/>
                <w:lang w:val="en-NZ" w:eastAsia="en-NZ"/>
              </w:rPr>
              <w:t xml:space="preserve"> has an estimated fiscal cost of $10 million</w:t>
            </w:r>
            <w:r w:rsidR="00A4402C" w:rsidRPr="004010CC">
              <w:rPr>
                <w:rFonts w:eastAsiaTheme="minorHAnsi" w:cs="Arial"/>
                <w:szCs w:val="22"/>
                <w:lang w:val="en-NZ" w:eastAsia="en-NZ"/>
              </w:rPr>
              <w:t xml:space="preserve"> over two years</w:t>
            </w:r>
            <w:r w:rsidR="005C032F" w:rsidRPr="004010CC">
              <w:rPr>
                <w:rFonts w:eastAsiaTheme="minorHAnsi" w:cs="Arial"/>
                <w:szCs w:val="22"/>
                <w:lang w:val="en-NZ" w:eastAsia="en-NZ"/>
              </w:rPr>
              <w:t xml:space="preserve">.  </w:t>
            </w:r>
          </w:p>
          <w:p w14:paraId="32A1256D" w14:textId="3DEA0A36" w:rsidR="000132F6" w:rsidRPr="00A864A5" w:rsidRDefault="00CB16B8" w:rsidP="00805DB4">
            <w:pPr>
              <w:tabs>
                <w:tab w:val="left" w:pos="7424"/>
                <w:tab w:val="right" w:pos="8636"/>
              </w:tabs>
              <w:rPr>
                <w:rFonts w:cs="Arial"/>
                <w:szCs w:val="22"/>
                <w:lang w:val="en-NZ"/>
              </w:rPr>
            </w:pPr>
            <w:r w:rsidRPr="004010CC">
              <w:rPr>
                <w:rFonts w:eastAsiaTheme="minorHAnsi" w:cs="Arial"/>
                <w:szCs w:val="22"/>
                <w:lang w:val="en-NZ" w:eastAsia="en-NZ"/>
              </w:rPr>
              <w:t>The proposal has been consulted on and stakeholders are supportive of it, although they would also like a permanent solution.</w:t>
            </w:r>
            <w:r w:rsidR="000132F6" w:rsidRPr="00A864A5">
              <w:rPr>
                <w:rFonts w:cs="Arial"/>
                <w:szCs w:val="22"/>
                <w:lang w:val="en-NZ"/>
              </w:rPr>
              <w:tab/>
            </w:r>
            <w:r w:rsidR="00805DB4" w:rsidRPr="00A864A5">
              <w:rPr>
                <w:rFonts w:cs="Arial"/>
                <w:szCs w:val="22"/>
                <w:lang w:val="en-NZ"/>
              </w:rPr>
              <w:tab/>
            </w:r>
          </w:p>
        </w:tc>
      </w:tr>
      <w:tr w:rsidR="00E8143E" w:rsidRPr="00A864A5" w14:paraId="42ED5650" w14:textId="77777777" w:rsidTr="00506F06">
        <w:tc>
          <w:tcPr>
            <w:tcW w:w="5000" w:type="pct"/>
            <w:gridSpan w:val="2"/>
            <w:tcBorders>
              <w:bottom w:val="single" w:sz="4" w:space="0" w:color="DDDDDD"/>
            </w:tcBorders>
            <w:shd w:val="clear" w:color="auto" w:fill="99CDDD"/>
            <w:hideMark/>
          </w:tcPr>
          <w:p w14:paraId="195A9405" w14:textId="63973CA0" w:rsidR="00E8143E" w:rsidRPr="00A864A5" w:rsidRDefault="00E8143E" w:rsidP="00506F06">
            <w:pPr>
              <w:pStyle w:val="TableHeadings"/>
              <w:rPr>
                <w:color w:val="002060"/>
                <w:szCs w:val="22"/>
                <w:lang w:val="en-NZ"/>
              </w:rPr>
            </w:pPr>
            <w:bookmarkStart w:id="2" w:name="_Hlk57203483"/>
            <w:bookmarkEnd w:id="0"/>
            <w:bookmarkEnd w:id="1"/>
            <w:r w:rsidRPr="00A864A5">
              <w:rPr>
                <w:szCs w:val="22"/>
                <w:lang w:val="en-NZ"/>
              </w:rPr>
              <w:lastRenderedPageBreak/>
              <w:t>Limitations or Constraints on Analysis</w:t>
            </w:r>
          </w:p>
        </w:tc>
      </w:tr>
      <w:tr w:rsidR="00E8143E" w:rsidRPr="00A864A5" w14:paraId="2E89EDEC" w14:textId="77777777" w:rsidTr="00FC27A3">
        <w:trPr>
          <w:trHeight w:val="1486"/>
        </w:trPr>
        <w:tc>
          <w:tcPr>
            <w:tcW w:w="5000" w:type="pct"/>
            <w:gridSpan w:val="2"/>
            <w:tcBorders>
              <w:top w:val="nil"/>
            </w:tcBorders>
            <w:shd w:val="clear" w:color="auto" w:fill="auto"/>
          </w:tcPr>
          <w:p w14:paraId="13DE0B9D" w14:textId="77777777" w:rsidR="003B1B73" w:rsidRDefault="003B1B73" w:rsidP="003B1B73">
            <w:pPr>
              <w:spacing w:after="0" w:line="276" w:lineRule="auto"/>
              <w:jc w:val="both"/>
              <w:rPr>
                <w:rFonts w:cs="Arial"/>
                <w:b/>
                <w:bCs/>
                <w:szCs w:val="22"/>
              </w:rPr>
            </w:pPr>
            <w:r w:rsidRPr="00C275A2">
              <w:rPr>
                <w:rFonts w:cs="Arial"/>
                <w:b/>
                <w:bCs/>
                <w:szCs w:val="22"/>
              </w:rPr>
              <w:t>Timelin</w:t>
            </w:r>
            <w:r>
              <w:rPr>
                <w:rFonts w:cs="Arial"/>
                <w:b/>
                <w:bCs/>
                <w:szCs w:val="22"/>
              </w:rPr>
              <w:t>e</w:t>
            </w:r>
          </w:p>
          <w:p w14:paraId="48703491" w14:textId="77777777" w:rsidR="003B1B73" w:rsidRDefault="003B1B73" w:rsidP="003B1B73">
            <w:pPr>
              <w:spacing w:after="0" w:line="276" w:lineRule="auto"/>
              <w:jc w:val="both"/>
              <w:rPr>
                <w:rFonts w:cs="Arial"/>
                <w:szCs w:val="22"/>
              </w:rPr>
            </w:pPr>
          </w:p>
          <w:p w14:paraId="139D70CD" w14:textId="71A28DB1" w:rsidR="003B1B73" w:rsidRDefault="003B1B73" w:rsidP="003B1B73">
            <w:pPr>
              <w:spacing w:after="0" w:line="276" w:lineRule="auto"/>
              <w:jc w:val="both"/>
              <w:rPr>
                <w:rFonts w:cs="Arial"/>
                <w:szCs w:val="22"/>
              </w:rPr>
            </w:pPr>
            <w:r>
              <w:rPr>
                <w:rFonts w:cs="Arial"/>
                <w:szCs w:val="22"/>
              </w:rPr>
              <w:t xml:space="preserve">Changes to the tax rules for donated trading stock need to be made by </w:t>
            </w:r>
            <w:r w:rsidR="008144EF">
              <w:rPr>
                <w:rFonts w:cs="Arial"/>
                <w:szCs w:val="22"/>
              </w:rPr>
              <w:t xml:space="preserve">31 </w:t>
            </w:r>
            <w:r>
              <w:rPr>
                <w:rFonts w:cs="Arial"/>
                <w:szCs w:val="22"/>
              </w:rPr>
              <w:t>March 2021 so that COVID-19 related donations made in the 2019-20</w:t>
            </w:r>
            <w:r w:rsidR="00D069B1">
              <w:rPr>
                <w:rFonts w:cs="Arial"/>
                <w:szCs w:val="22"/>
              </w:rPr>
              <w:t xml:space="preserve"> income</w:t>
            </w:r>
            <w:r>
              <w:rPr>
                <w:rFonts w:cs="Arial"/>
                <w:szCs w:val="22"/>
              </w:rPr>
              <w:t xml:space="preserve"> year</w:t>
            </w:r>
            <w:r w:rsidR="00C72298">
              <w:rPr>
                <w:rFonts w:cs="Arial"/>
                <w:szCs w:val="22"/>
              </w:rPr>
              <w:t xml:space="preserve"> (</w:t>
            </w:r>
            <w:proofErr w:type="gramStart"/>
            <w:r w:rsidR="00C72298">
              <w:rPr>
                <w:rFonts w:cs="Arial"/>
                <w:szCs w:val="22"/>
              </w:rPr>
              <w:t>i.e.</w:t>
            </w:r>
            <w:proofErr w:type="gramEnd"/>
            <w:r w:rsidR="00C72298">
              <w:rPr>
                <w:rFonts w:cs="Arial"/>
                <w:szCs w:val="22"/>
              </w:rPr>
              <w:t xml:space="preserve"> between 17 and 31 March 2020)</w:t>
            </w:r>
            <w:r>
              <w:rPr>
                <w:rFonts w:cs="Arial"/>
                <w:szCs w:val="22"/>
              </w:rPr>
              <w:t xml:space="preserve"> can be treated appropriately.  This timeline has limited the options that officials could consider and the analysis of those options.</w:t>
            </w:r>
          </w:p>
          <w:p w14:paraId="19FD1EF3" w14:textId="77777777" w:rsidR="003B1B73" w:rsidRDefault="003B1B73" w:rsidP="003B1B73">
            <w:pPr>
              <w:spacing w:after="0" w:line="276" w:lineRule="auto"/>
              <w:jc w:val="both"/>
              <w:rPr>
                <w:rFonts w:cs="Arial"/>
                <w:szCs w:val="22"/>
              </w:rPr>
            </w:pPr>
          </w:p>
          <w:p w14:paraId="1E9905C7" w14:textId="77777777" w:rsidR="003B1B73" w:rsidRPr="00C275A2" w:rsidRDefault="003B1B73" w:rsidP="003B1B73">
            <w:pPr>
              <w:spacing w:after="0" w:line="276" w:lineRule="auto"/>
              <w:jc w:val="both"/>
              <w:rPr>
                <w:rFonts w:cs="Arial"/>
                <w:b/>
                <w:bCs/>
                <w:szCs w:val="22"/>
              </w:rPr>
            </w:pPr>
            <w:r w:rsidRPr="00C275A2">
              <w:rPr>
                <w:rFonts w:cs="Arial"/>
                <w:b/>
                <w:bCs/>
                <w:szCs w:val="22"/>
              </w:rPr>
              <w:t>Data</w:t>
            </w:r>
          </w:p>
          <w:p w14:paraId="6F7F714A" w14:textId="77777777" w:rsidR="003B1B73" w:rsidRDefault="003B1B73" w:rsidP="003B1B73">
            <w:pPr>
              <w:spacing w:after="0" w:line="276" w:lineRule="auto"/>
              <w:jc w:val="both"/>
              <w:rPr>
                <w:rFonts w:cs="Arial"/>
                <w:szCs w:val="22"/>
              </w:rPr>
            </w:pPr>
          </w:p>
          <w:p w14:paraId="072A2776" w14:textId="77777777" w:rsidR="003B1B73" w:rsidRPr="00416FC1" w:rsidRDefault="003B1B73" w:rsidP="003B1B73">
            <w:pPr>
              <w:spacing w:after="0" w:line="276" w:lineRule="auto"/>
              <w:jc w:val="both"/>
              <w:rPr>
                <w:rFonts w:cs="Arial"/>
                <w:b/>
                <w:bCs/>
                <w:szCs w:val="22"/>
              </w:rPr>
            </w:pPr>
            <w:r w:rsidRPr="00416FC1">
              <w:rPr>
                <w:rFonts w:cs="Arial"/>
                <w:b/>
                <w:bCs/>
                <w:i/>
                <w:iCs/>
                <w:szCs w:val="22"/>
              </w:rPr>
              <w:t>Data related to fiscal cost estimates:</w:t>
            </w:r>
            <w:r>
              <w:rPr>
                <w:rFonts w:cs="Arial"/>
                <w:b/>
                <w:bCs/>
                <w:szCs w:val="22"/>
              </w:rPr>
              <w:t xml:space="preserve">  </w:t>
            </w:r>
            <w:r>
              <w:rPr>
                <w:rFonts w:cs="Arial"/>
                <w:szCs w:val="22"/>
              </w:rPr>
              <w:t>Inland Revenue has no data on trading stock donations.  Therefore, the estimated fiscal cost is based on several assumptions, such as using data on cash donations as a proxy for donations of trading stock.</w:t>
            </w:r>
          </w:p>
          <w:p w14:paraId="77388BD7" w14:textId="77777777" w:rsidR="003B1B73" w:rsidRDefault="003B1B73" w:rsidP="003B1B73">
            <w:pPr>
              <w:spacing w:after="0" w:line="276" w:lineRule="auto"/>
              <w:jc w:val="both"/>
              <w:rPr>
                <w:rFonts w:cs="Arial"/>
                <w:szCs w:val="22"/>
              </w:rPr>
            </w:pPr>
          </w:p>
          <w:p w14:paraId="4F59BD3A" w14:textId="113EEC0E" w:rsidR="003B1B73" w:rsidRDefault="003B1B73" w:rsidP="003B1B73">
            <w:pPr>
              <w:spacing w:after="0" w:line="276" w:lineRule="auto"/>
              <w:jc w:val="both"/>
              <w:rPr>
                <w:rFonts w:cs="Arial"/>
                <w:szCs w:val="22"/>
              </w:rPr>
            </w:pPr>
            <w:r w:rsidRPr="00416FC1">
              <w:rPr>
                <w:rFonts w:cs="Arial"/>
                <w:b/>
                <w:bCs/>
                <w:i/>
                <w:iCs/>
                <w:szCs w:val="22"/>
              </w:rPr>
              <w:t>Data related to effectiveness of the measure:</w:t>
            </w:r>
            <w:r>
              <w:rPr>
                <w:rFonts w:cs="Arial"/>
                <w:szCs w:val="22"/>
              </w:rPr>
              <w:t xml:space="preserve">  Inland Revenue is unable to quantify the extent to which donations of trading stock would increase under the proposed measure and can rely </w:t>
            </w:r>
            <w:r w:rsidR="00A4402C">
              <w:rPr>
                <w:rFonts w:cs="Arial"/>
                <w:szCs w:val="22"/>
              </w:rPr>
              <w:t xml:space="preserve">only </w:t>
            </w:r>
            <w:r>
              <w:rPr>
                <w:rFonts w:cs="Arial"/>
                <w:szCs w:val="22"/>
              </w:rPr>
              <w:t>on anecdotal evidence from stakeholders.</w:t>
            </w:r>
          </w:p>
          <w:p w14:paraId="3DBA48DC" w14:textId="77777777" w:rsidR="00E8143E" w:rsidRPr="00A864A5" w:rsidRDefault="00E8143E" w:rsidP="00506F06">
            <w:pPr>
              <w:spacing w:after="180"/>
              <w:rPr>
                <w:rFonts w:cs="Arial"/>
                <w:iCs/>
                <w:color w:val="000000"/>
                <w:szCs w:val="22"/>
                <w:lang w:val="en-NZ"/>
              </w:rPr>
            </w:pPr>
          </w:p>
        </w:tc>
      </w:tr>
      <w:tr w:rsidR="00413FD8" w:rsidRPr="00A864A5" w14:paraId="0EA0047F" w14:textId="77777777" w:rsidTr="00506F06">
        <w:tc>
          <w:tcPr>
            <w:tcW w:w="5000" w:type="pct"/>
            <w:gridSpan w:val="2"/>
            <w:tcBorders>
              <w:bottom w:val="single" w:sz="4" w:space="0" w:color="DDDDDD"/>
            </w:tcBorders>
            <w:shd w:val="clear" w:color="auto" w:fill="99CDDD"/>
            <w:hideMark/>
          </w:tcPr>
          <w:p w14:paraId="7A579FF2" w14:textId="3A6CB060" w:rsidR="00413FD8" w:rsidRPr="00A864A5" w:rsidRDefault="00413FD8" w:rsidP="00506F06">
            <w:pPr>
              <w:pStyle w:val="TableHeadings"/>
              <w:rPr>
                <w:color w:val="002060"/>
                <w:szCs w:val="22"/>
                <w:lang w:val="en-NZ"/>
              </w:rPr>
            </w:pPr>
            <w:bookmarkStart w:id="3" w:name="_Hlk47608084"/>
            <w:bookmarkEnd w:id="2"/>
            <w:r w:rsidRPr="00A864A5">
              <w:rPr>
                <w:szCs w:val="22"/>
                <w:lang w:val="en-NZ"/>
              </w:rPr>
              <w:t>Responsible Manager</w:t>
            </w:r>
          </w:p>
        </w:tc>
      </w:tr>
      <w:tr w:rsidR="00413FD8" w:rsidRPr="00A864A5" w14:paraId="091E60B6" w14:textId="77777777" w:rsidTr="007A20DD">
        <w:trPr>
          <w:trHeight w:val="1761"/>
        </w:trPr>
        <w:tc>
          <w:tcPr>
            <w:tcW w:w="5000" w:type="pct"/>
            <w:gridSpan w:val="2"/>
            <w:tcBorders>
              <w:top w:val="nil"/>
            </w:tcBorders>
            <w:shd w:val="clear" w:color="auto" w:fill="auto"/>
          </w:tcPr>
          <w:p w14:paraId="4BB5C0C5" w14:textId="77777777" w:rsidR="003B1B73" w:rsidRDefault="003B1B73" w:rsidP="003B1B73">
            <w:pPr>
              <w:spacing w:after="0"/>
              <w:rPr>
                <w:rFonts w:cs="Arial"/>
                <w:szCs w:val="22"/>
              </w:rPr>
            </w:pPr>
          </w:p>
          <w:p w14:paraId="22DB184B" w14:textId="77777777" w:rsidR="003B1B73" w:rsidRDefault="003B1B73" w:rsidP="003B1B73">
            <w:pPr>
              <w:spacing w:after="0"/>
              <w:rPr>
                <w:rFonts w:cs="Arial"/>
                <w:szCs w:val="22"/>
              </w:rPr>
            </w:pPr>
          </w:p>
          <w:p w14:paraId="09FE92F0" w14:textId="77777777" w:rsidR="003B1B73" w:rsidRDefault="003B1B73" w:rsidP="003B1B73">
            <w:pPr>
              <w:spacing w:after="0"/>
              <w:rPr>
                <w:rFonts w:cs="Arial"/>
                <w:szCs w:val="22"/>
              </w:rPr>
            </w:pPr>
          </w:p>
          <w:p w14:paraId="0D0857C4" w14:textId="1608F971" w:rsidR="003B1B73" w:rsidRPr="007138D4" w:rsidRDefault="002E0417" w:rsidP="003B1B73">
            <w:pPr>
              <w:spacing w:after="0"/>
              <w:rPr>
                <w:rFonts w:cs="Arial"/>
                <w:szCs w:val="22"/>
              </w:rPr>
            </w:pPr>
            <w:r>
              <w:rPr>
                <w:rFonts w:cs="Arial"/>
                <w:szCs w:val="22"/>
              </w:rPr>
              <w:t>Stewart Donaldson</w:t>
            </w:r>
          </w:p>
          <w:p w14:paraId="141BA12B" w14:textId="0BFF62A3" w:rsidR="003B1B73" w:rsidRDefault="002E0417" w:rsidP="003B1B73">
            <w:pPr>
              <w:spacing w:after="0"/>
              <w:rPr>
                <w:rFonts w:cs="Arial"/>
                <w:szCs w:val="22"/>
              </w:rPr>
            </w:pPr>
            <w:r>
              <w:rPr>
                <w:rFonts w:cs="Arial"/>
                <w:szCs w:val="22"/>
              </w:rPr>
              <w:t>Principal Policy Adv</w:t>
            </w:r>
            <w:r w:rsidR="008C1737">
              <w:rPr>
                <w:rFonts w:cs="Arial"/>
                <w:szCs w:val="22"/>
              </w:rPr>
              <w:t>isor</w:t>
            </w:r>
          </w:p>
          <w:p w14:paraId="5F77C7A7" w14:textId="77777777" w:rsidR="008B1545" w:rsidRPr="007138D4" w:rsidRDefault="008B1545" w:rsidP="003B1B73">
            <w:pPr>
              <w:spacing w:after="0"/>
              <w:rPr>
                <w:rFonts w:cs="Arial"/>
                <w:szCs w:val="22"/>
              </w:rPr>
            </w:pPr>
          </w:p>
          <w:p w14:paraId="0302B37C" w14:textId="77777777" w:rsidR="003B1B73" w:rsidRPr="007138D4" w:rsidRDefault="003B1B73" w:rsidP="003B1B73">
            <w:pPr>
              <w:spacing w:after="0"/>
              <w:rPr>
                <w:rFonts w:cs="Arial"/>
                <w:szCs w:val="22"/>
              </w:rPr>
            </w:pPr>
            <w:r>
              <w:rPr>
                <w:rFonts w:cs="Arial"/>
                <w:szCs w:val="22"/>
              </w:rPr>
              <w:t>Policy &amp; Strategy</w:t>
            </w:r>
          </w:p>
          <w:p w14:paraId="19AC4CC1" w14:textId="408AF711" w:rsidR="003B1B73" w:rsidRDefault="003B1B73" w:rsidP="003B1B73">
            <w:pPr>
              <w:spacing w:after="0"/>
              <w:rPr>
                <w:rFonts w:cs="Arial"/>
                <w:szCs w:val="22"/>
              </w:rPr>
            </w:pPr>
            <w:r>
              <w:rPr>
                <w:rFonts w:cs="Arial"/>
                <w:szCs w:val="22"/>
              </w:rPr>
              <w:t>Inland Revenue</w:t>
            </w:r>
          </w:p>
          <w:p w14:paraId="2E352968" w14:textId="77777777" w:rsidR="003B1B73" w:rsidRDefault="003B1B73" w:rsidP="003B1B73">
            <w:pPr>
              <w:spacing w:after="0"/>
              <w:rPr>
                <w:rFonts w:cs="Arial"/>
                <w:szCs w:val="22"/>
              </w:rPr>
            </w:pPr>
          </w:p>
          <w:p w14:paraId="02093E25" w14:textId="77777777" w:rsidR="003B1B73" w:rsidRDefault="003B1B73" w:rsidP="003B1B73">
            <w:pPr>
              <w:spacing w:after="0"/>
              <w:rPr>
                <w:rFonts w:cs="Arial"/>
                <w:szCs w:val="22"/>
              </w:rPr>
            </w:pPr>
          </w:p>
          <w:p w14:paraId="65FBD4C4" w14:textId="51CFA01F" w:rsidR="007A20DD" w:rsidRPr="00A864A5" w:rsidRDefault="003B1B73" w:rsidP="003B1B73">
            <w:pPr>
              <w:spacing w:after="0"/>
              <w:rPr>
                <w:rFonts w:cs="Arial"/>
                <w:iCs/>
                <w:color w:val="000000"/>
                <w:sz w:val="14"/>
                <w:szCs w:val="14"/>
                <w:lang w:val="en-NZ"/>
              </w:rPr>
            </w:pPr>
            <w:r>
              <w:rPr>
                <w:rFonts w:cs="Arial"/>
                <w:szCs w:val="22"/>
              </w:rPr>
              <w:t>18 January 2021</w:t>
            </w:r>
          </w:p>
        </w:tc>
      </w:tr>
      <w:tr w:rsidR="00EB2157" w:rsidRPr="00A864A5" w14:paraId="5FCD62D5" w14:textId="77777777" w:rsidTr="00506F06">
        <w:tc>
          <w:tcPr>
            <w:tcW w:w="5000" w:type="pct"/>
            <w:gridSpan w:val="2"/>
            <w:tcBorders>
              <w:bottom w:val="single" w:sz="4" w:space="0" w:color="DDDDDD"/>
            </w:tcBorders>
            <w:shd w:val="clear" w:color="auto" w:fill="99CDDD"/>
            <w:hideMark/>
          </w:tcPr>
          <w:p w14:paraId="55C0C834" w14:textId="76B7146F" w:rsidR="00EB2157" w:rsidRPr="00A864A5" w:rsidRDefault="00EB2157" w:rsidP="00506F06">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p>
        </w:tc>
      </w:tr>
      <w:tr w:rsidR="00EB2157" w:rsidRPr="00A864A5" w14:paraId="6F7BACA2" w14:textId="77777777" w:rsidTr="000C29FA">
        <w:trPr>
          <w:trHeight w:val="691"/>
        </w:trPr>
        <w:tc>
          <w:tcPr>
            <w:tcW w:w="1297" w:type="pct"/>
            <w:tcBorders>
              <w:top w:val="nil"/>
            </w:tcBorders>
            <w:shd w:val="clear" w:color="auto" w:fill="EBF5F8"/>
          </w:tcPr>
          <w:p w14:paraId="22AF1207" w14:textId="2D9FD533" w:rsidR="00EB2157" w:rsidRPr="00A864A5" w:rsidRDefault="00EB2157" w:rsidP="00506F06">
            <w:pPr>
              <w:spacing w:after="180"/>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r w:rsidR="00F321A6" w:rsidRPr="00A864A5">
              <w:rPr>
                <w:rFonts w:cs="Arial"/>
                <w:iCs/>
                <w:color w:val="000000"/>
                <w:szCs w:val="22"/>
                <w:lang w:val="en-NZ"/>
              </w:rPr>
              <w:t>/</w:t>
            </w:r>
            <w:r w:rsidR="009438E4" w:rsidRPr="00A864A5">
              <w:rPr>
                <w:rFonts w:cs="Arial"/>
                <w:iCs/>
                <w:color w:val="000000"/>
                <w:szCs w:val="22"/>
                <w:lang w:val="en-NZ"/>
              </w:rPr>
              <w:t>Agencies</w:t>
            </w:r>
            <w:r w:rsidRPr="00A864A5">
              <w:rPr>
                <w:rFonts w:cs="Arial"/>
                <w:iCs/>
                <w:color w:val="000000"/>
                <w:szCs w:val="22"/>
                <w:lang w:val="en-NZ"/>
              </w:rPr>
              <w:t>:</w:t>
            </w:r>
          </w:p>
        </w:tc>
        <w:tc>
          <w:tcPr>
            <w:tcW w:w="3703" w:type="pct"/>
            <w:tcBorders>
              <w:top w:val="nil"/>
            </w:tcBorders>
            <w:shd w:val="clear" w:color="auto" w:fill="auto"/>
          </w:tcPr>
          <w:p w14:paraId="402BE84D" w14:textId="7305DA54" w:rsidR="00EB2157" w:rsidRPr="00A864A5" w:rsidRDefault="00A4402C" w:rsidP="00506F06">
            <w:pPr>
              <w:spacing w:after="180"/>
              <w:rPr>
                <w:rFonts w:cs="Arial"/>
                <w:iCs/>
                <w:color w:val="000000"/>
                <w:szCs w:val="22"/>
                <w:lang w:val="en-NZ"/>
              </w:rPr>
            </w:pPr>
            <w:r>
              <w:rPr>
                <w:rFonts w:cs="Arial"/>
                <w:iCs/>
                <w:color w:val="000000"/>
                <w:szCs w:val="22"/>
                <w:lang w:val="en-NZ"/>
              </w:rPr>
              <w:t>Inland Revenue</w:t>
            </w:r>
          </w:p>
        </w:tc>
      </w:tr>
      <w:tr w:rsidR="00EB2157" w:rsidRPr="00A864A5" w14:paraId="228C68D7" w14:textId="77777777" w:rsidTr="000C29FA">
        <w:trPr>
          <w:trHeight w:val="1849"/>
        </w:trPr>
        <w:tc>
          <w:tcPr>
            <w:tcW w:w="1297" w:type="pct"/>
            <w:tcBorders>
              <w:top w:val="nil"/>
            </w:tcBorders>
            <w:shd w:val="clear" w:color="auto" w:fill="EBF5F8"/>
          </w:tcPr>
          <w:p w14:paraId="4DF0990E" w14:textId="00252464" w:rsidR="00EB2157" w:rsidRPr="00A864A5" w:rsidRDefault="00F321A6" w:rsidP="00506F06">
            <w:pPr>
              <w:spacing w:after="180"/>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703" w:type="pct"/>
            <w:tcBorders>
              <w:top w:val="nil"/>
            </w:tcBorders>
            <w:shd w:val="clear" w:color="auto" w:fill="auto"/>
          </w:tcPr>
          <w:p w14:paraId="3B52A116" w14:textId="69FE803F" w:rsidR="004010CC" w:rsidRDefault="004010CC" w:rsidP="003A52D6">
            <w:pPr>
              <w:rPr>
                <w:rFonts w:ascii="Verdana" w:hAnsi="Verdana"/>
                <w:color w:val="000000"/>
                <w:sz w:val="20"/>
                <w:lang w:val="en-NZ" w:eastAsia="en-US"/>
              </w:rPr>
            </w:pPr>
            <w:r>
              <w:rPr>
                <w:rFonts w:ascii="Verdana" w:hAnsi="Verdana"/>
                <w:color w:val="000000"/>
                <w:sz w:val="20"/>
              </w:rPr>
              <w:t xml:space="preserve">The Quality Assurance reviewer at Inland Revenue has reviewed </w:t>
            </w:r>
            <w:r>
              <w:rPr>
                <w:rFonts w:ascii="Verdana" w:hAnsi="Verdana"/>
                <w:i/>
                <w:iCs/>
                <w:color w:val="000000"/>
                <w:sz w:val="20"/>
              </w:rPr>
              <w:t>the C</w:t>
            </w:r>
            <w:r w:rsidR="00D069B1">
              <w:rPr>
                <w:rFonts w:ascii="Verdana" w:hAnsi="Verdana"/>
                <w:i/>
                <w:iCs/>
                <w:color w:val="000000"/>
                <w:sz w:val="20"/>
              </w:rPr>
              <w:t>OVID</w:t>
            </w:r>
            <w:r>
              <w:rPr>
                <w:rFonts w:ascii="Verdana" w:hAnsi="Verdana"/>
                <w:i/>
                <w:iCs/>
                <w:color w:val="000000"/>
                <w:sz w:val="20"/>
              </w:rPr>
              <w:t>-19: Tax relief for donations of trading stock</w:t>
            </w:r>
            <w:r>
              <w:rPr>
                <w:rFonts w:ascii="Verdana" w:hAnsi="Verdana"/>
                <w:color w:val="000000"/>
                <w:sz w:val="20"/>
              </w:rPr>
              <w:t xml:space="preserve"> RIA and considers that the information and analysis summarised in it </w:t>
            </w:r>
            <w:r>
              <w:rPr>
                <w:rFonts w:ascii="Verdana" w:hAnsi="Verdana"/>
                <w:b/>
                <w:bCs/>
                <w:color w:val="000000"/>
                <w:sz w:val="20"/>
              </w:rPr>
              <w:t>meets</w:t>
            </w:r>
            <w:r>
              <w:rPr>
                <w:rFonts w:ascii="Verdana" w:hAnsi="Verdana"/>
                <w:color w:val="000000"/>
                <w:sz w:val="20"/>
              </w:rPr>
              <w:t xml:space="preserve"> the quality assurance criteria of the Regulatory Impact Analysis framework.</w:t>
            </w:r>
          </w:p>
          <w:p w14:paraId="28FD900F" w14:textId="55E85ACF" w:rsidR="00EB2157" w:rsidRPr="00A864A5" w:rsidRDefault="00EB2157" w:rsidP="00506F06">
            <w:pPr>
              <w:spacing w:after="180"/>
              <w:rPr>
                <w:rFonts w:cs="Arial"/>
                <w:iCs/>
                <w:color w:val="000000"/>
                <w:szCs w:val="22"/>
                <w:lang w:val="en-NZ"/>
              </w:rPr>
            </w:pPr>
          </w:p>
        </w:tc>
      </w:tr>
    </w:tbl>
    <w:p w14:paraId="18A4BED5" w14:textId="2908D58D" w:rsidR="00DD2C30" w:rsidRPr="00A864A5" w:rsidRDefault="00F16C50" w:rsidP="00DD2C30">
      <w:pPr>
        <w:pStyle w:val="Heading2"/>
        <w:rPr>
          <w:lang w:val="en-NZ"/>
        </w:rPr>
      </w:pPr>
      <w:bookmarkStart w:id="4" w:name="_Toc363047038"/>
      <w:bookmarkStart w:id="5" w:name="_Toc362940530"/>
      <w:bookmarkStart w:id="6" w:name="_Toc362618966"/>
      <w:bookmarkStart w:id="7" w:name="_Toc362434720"/>
      <w:bookmarkStart w:id="8" w:name="_Toc362368098"/>
      <w:bookmarkEnd w:id="3"/>
      <w:r w:rsidRPr="00A864A5">
        <w:rPr>
          <w:lang w:val="en-NZ"/>
        </w:rPr>
        <w:t xml:space="preserve">Section 1: </w:t>
      </w:r>
      <w:r w:rsidR="00F402DF" w:rsidRPr="00A864A5">
        <w:rPr>
          <w:lang w:val="en-NZ"/>
        </w:rPr>
        <w:t>Outlining the problem</w:t>
      </w:r>
    </w:p>
    <w:p w14:paraId="4E48D616" w14:textId="0ACEF509" w:rsidR="007D78A1" w:rsidRPr="00A864A5" w:rsidRDefault="007D78A1" w:rsidP="007D78A1">
      <w:pPr>
        <w:pStyle w:val="Heading3"/>
        <w:rPr>
          <w:lang w:val="en-NZ"/>
        </w:rPr>
      </w:pPr>
      <w:r w:rsidRPr="00A864A5">
        <w:rPr>
          <w:lang w:val="en-NZ"/>
        </w:rPr>
        <w:t>Context/Background Information</w:t>
      </w:r>
    </w:p>
    <w:p w14:paraId="2DEE5B29" w14:textId="319F59EE" w:rsidR="003B1B73" w:rsidRPr="001D2EA3" w:rsidRDefault="003B1B73" w:rsidP="003B1B73">
      <w:pPr>
        <w:rPr>
          <w:rFonts w:cs="Arial"/>
          <w:i/>
          <w:iCs/>
          <w:szCs w:val="22"/>
        </w:rPr>
      </w:pPr>
      <w:r w:rsidRPr="00892222">
        <w:rPr>
          <w:rFonts w:cs="Arial"/>
          <w:i/>
          <w:iCs/>
          <w:szCs w:val="22"/>
        </w:rPr>
        <w:t>The tax rules for donated trading stock disincentivise businesses donating goods during COVID-19</w:t>
      </w:r>
    </w:p>
    <w:p w14:paraId="2C2BF5C3" w14:textId="7A0447AF" w:rsidR="003B1B73" w:rsidRPr="00892222" w:rsidRDefault="003B1B73" w:rsidP="00F44177">
      <w:pPr>
        <w:pStyle w:val="NumberedParagraph"/>
        <w:rPr>
          <w:rFonts w:ascii="Arial" w:hAnsi="Arial" w:cs="Arial"/>
          <w:sz w:val="22"/>
          <w:szCs w:val="22"/>
        </w:rPr>
      </w:pPr>
      <w:r w:rsidRPr="00892222">
        <w:rPr>
          <w:rFonts w:ascii="Arial" w:hAnsi="Arial" w:cs="Arial"/>
          <w:sz w:val="22"/>
          <w:szCs w:val="22"/>
        </w:rPr>
        <w:t xml:space="preserve">Since the COVID-19 pandemic began in New Zealand in March 2020, </w:t>
      </w:r>
      <w:r w:rsidR="007474E1">
        <w:rPr>
          <w:rFonts w:ascii="Arial" w:hAnsi="Arial" w:cs="Arial"/>
          <w:sz w:val="22"/>
          <w:szCs w:val="22"/>
        </w:rPr>
        <w:t xml:space="preserve">anecdotal evidence suggests that </w:t>
      </w:r>
      <w:r w:rsidRPr="00892222">
        <w:rPr>
          <w:rFonts w:ascii="Arial" w:hAnsi="Arial" w:cs="Arial"/>
          <w:sz w:val="22"/>
          <w:szCs w:val="22"/>
        </w:rPr>
        <w:t>the amount of goods donated by businesses has increased.</w:t>
      </w:r>
    </w:p>
    <w:p w14:paraId="2D7FF75C" w14:textId="456EB278" w:rsidR="003B1B73" w:rsidRPr="00892222" w:rsidRDefault="003B1B73" w:rsidP="00F44177">
      <w:pPr>
        <w:pStyle w:val="NumberedParagraph"/>
        <w:rPr>
          <w:rFonts w:ascii="Arial" w:hAnsi="Arial" w:cs="Arial"/>
          <w:sz w:val="22"/>
          <w:szCs w:val="22"/>
        </w:rPr>
      </w:pPr>
      <w:r w:rsidRPr="00892222">
        <w:rPr>
          <w:rFonts w:ascii="Arial" w:hAnsi="Arial" w:cs="Arial"/>
          <w:sz w:val="22"/>
          <w:szCs w:val="22"/>
        </w:rPr>
        <w:t>Stakeholders have informed both officials and the Minister of Revenue’s office</w:t>
      </w:r>
      <w:r w:rsidR="004C542F">
        <w:rPr>
          <w:rFonts w:ascii="Arial" w:hAnsi="Arial" w:cs="Arial"/>
          <w:sz w:val="22"/>
          <w:szCs w:val="22"/>
        </w:rPr>
        <w:t xml:space="preserve"> that</w:t>
      </w:r>
      <w:r w:rsidRPr="00892222">
        <w:rPr>
          <w:rFonts w:ascii="Arial" w:hAnsi="Arial" w:cs="Arial"/>
          <w:sz w:val="22"/>
          <w:szCs w:val="22"/>
        </w:rPr>
        <w:t xml:space="preserve"> the Income Tax Act 2007 is disincentivising businesses from donating goods during COVID-19 by imposing tax on the market value of donated trading stock.</w:t>
      </w:r>
      <w:r w:rsidR="00092DD2">
        <w:rPr>
          <w:rFonts w:ascii="Arial" w:hAnsi="Arial" w:cs="Arial"/>
          <w:sz w:val="22"/>
          <w:szCs w:val="22"/>
        </w:rPr>
        <w:t xml:space="preserve"> For businesses that have already donated, </w:t>
      </w:r>
      <w:r w:rsidR="005C5F20">
        <w:rPr>
          <w:rFonts w:ascii="Arial" w:hAnsi="Arial" w:cs="Arial"/>
          <w:sz w:val="22"/>
          <w:szCs w:val="22"/>
        </w:rPr>
        <w:t xml:space="preserve">but not yet filed a tax return, </w:t>
      </w:r>
      <w:r w:rsidR="00092DD2">
        <w:rPr>
          <w:rFonts w:ascii="Arial" w:hAnsi="Arial" w:cs="Arial"/>
          <w:sz w:val="22"/>
          <w:szCs w:val="22"/>
        </w:rPr>
        <w:t xml:space="preserve">the tax treatment should be </w:t>
      </w:r>
      <w:r w:rsidR="00215593">
        <w:rPr>
          <w:rFonts w:ascii="Arial" w:hAnsi="Arial" w:cs="Arial"/>
          <w:sz w:val="22"/>
          <w:szCs w:val="22"/>
        </w:rPr>
        <w:t>amended</w:t>
      </w:r>
      <w:r w:rsidR="00092DD2">
        <w:rPr>
          <w:rFonts w:ascii="Arial" w:hAnsi="Arial" w:cs="Arial"/>
          <w:sz w:val="22"/>
          <w:szCs w:val="22"/>
        </w:rPr>
        <w:t>.</w:t>
      </w:r>
    </w:p>
    <w:p w14:paraId="26B6CA72" w14:textId="52AF7EC6" w:rsidR="0044353E" w:rsidRPr="00892222" w:rsidRDefault="003B1B73" w:rsidP="00F44177">
      <w:pPr>
        <w:pStyle w:val="NumberedParagraph"/>
        <w:rPr>
          <w:rFonts w:ascii="Arial" w:hAnsi="Arial" w:cs="Arial"/>
          <w:sz w:val="22"/>
          <w:szCs w:val="22"/>
        </w:rPr>
      </w:pPr>
      <w:r w:rsidRPr="00892222">
        <w:rPr>
          <w:rFonts w:ascii="Arial" w:hAnsi="Arial" w:cs="Arial"/>
          <w:sz w:val="22"/>
          <w:szCs w:val="22"/>
        </w:rPr>
        <w:t>Stakeholders have requested that legislation resolving the issue be enacted “as soon as possible” as taxpayers will need to take positions in respect of the 2019-20 income year by 31 March 2021. They have also requested that work begins on a permanent solution.</w:t>
      </w:r>
    </w:p>
    <w:p w14:paraId="0C84A547" w14:textId="77777777" w:rsidR="003B1B73" w:rsidRPr="00892222" w:rsidRDefault="003B1B73" w:rsidP="00C358F8">
      <w:pPr>
        <w:pStyle w:val="NumberedParagraph"/>
        <w:ind w:left="709" w:hanging="709"/>
        <w:rPr>
          <w:rFonts w:ascii="Arial" w:hAnsi="Arial" w:cs="Arial"/>
          <w:b/>
          <w:bCs/>
          <w:sz w:val="22"/>
          <w:szCs w:val="22"/>
        </w:rPr>
      </w:pPr>
      <w:r w:rsidRPr="00892222">
        <w:rPr>
          <w:rFonts w:ascii="Arial" w:hAnsi="Arial" w:cs="Arial"/>
          <w:b/>
          <w:bCs/>
          <w:sz w:val="22"/>
          <w:szCs w:val="22"/>
        </w:rPr>
        <w:t>Current law</w:t>
      </w:r>
    </w:p>
    <w:p w14:paraId="485AFAC1" w14:textId="131CAC36" w:rsidR="003B1B73" w:rsidRPr="00892222" w:rsidRDefault="003B1B73" w:rsidP="003B1B73">
      <w:pPr>
        <w:rPr>
          <w:rFonts w:cs="Arial"/>
          <w:i/>
          <w:iCs/>
          <w:szCs w:val="22"/>
        </w:rPr>
      </w:pPr>
      <w:r w:rsidRPr="00892222">
        <w:rPr>
          <w:rFonts w:cs="Arial"/>
          <w:i/>
          <w:iCs/>
          <w:szCs w:val="22"/>
        </w:rPr>
        <w:t>Gift deductions are limited to gifts of money to donee organisations up to the level of the donor’s income</w:t>
      </w:r>
    </w:p>
    <w:p w14:paraId="65528D76" w14:textId="77777777" w:rsidR="003B1B73" w:rsidRPr="00892222" w:rsidRDefault="003B1B73" w:rsidP="00F44177">
      <w:pPr>
        <w:pStyle w:val="NumberedParagraph"/>
        <w:rPr>
          <w:rFonts w:ascii="Arial" w:hAnsi="Arial" w:cs="Arial"/>
          <w:sz w:val="22"/>
          <w:szCs w:val="22"/>
        </w:rPr>
      </w:pPr>
      <w:r w:rsidRPr="00892222">
        <w:rPr>
          <w:rFonts w:ascii="Arial" w:hAnsi="Arial" w:cs="Arial"/>
          <w:sz w:val="22"/>
          <w:szCs w:val="22"/>
        </w:rPr>
        <w:t>Tax credits and deductions for donations are limited to gifts of money made to donee organisations, up to the level of the person or company’s taxable income.</w:t>
      </w:r>
    </w:p>
    <w:p w14:paraId="2B09CF6B" w14:textId="77777777" w:rsidR="003B1B73" w:rsidRPr="00892222" w:rsidRDefault="003B1B73" w:rsidP="00F44177">
      <w:pPr>
        <w:pStyle w:val="NumberedParagraph"/>
        <w:rPr>
          <w:rFonts w:ascii="Arial" w:hAnsi="Arial" w:cs="Arial"/>
          <w:sz w:val="22"/>
          <w:szCs w:val="22"/>
        </w:rPr>
      </w:pPr>
      <w:r w:rsidRPr="00892222">
        <w:rPr>
          <w:rFonts w:ascii="Arial" w:hAnsi="Arial" w:cs="Arial"/>
          <w:sz w:val="22"/>
          <w:szCs w:val="22"/>
        </w:rPr>
        <w:t>Tax concessions are not available for donations in kind due to the potential avoidance opportunities that would be created where there is no easily verifiable market value.</w:t>
      </w:r>
    </w:p>
    <w:p w14:paraId="326716C3" w14:textId="77777777" w:rsidR="003B1B73" w:rsidRPr="00892222" w:rsidRDefault="003B1B73" w:rsidP="003B1B73">
      <w:pPr>
        <w:pStyle w:val="NumberedParagraph"/>
        <w:ind w:left="709" w:hanging="709"/>
        <w:rPr>
          <w:rFonts w:ascii="Arial" w:hAnsi="Arial" w:cs="Arial"/>
          <w:i/>
          <w:iCs/>
          <w:sz w:val="22"/>
          <w:szCs w:val="22"/>
        </w:rPr>
      </w:pPr>
      <w:r w:rsidRPr="00892222">
        <w:rPr>
          <w:rFonts w:ascii="Arial" w:hAnsi="Arial" w:cs="Arial"/>
          <w:i/>
          <w:iCs/>
          <w:sz w:val="22"/>
          <w:szCs w:val="22"/>
        </w:rPr>
        <w:t>The deemed income rule imposes tax on the market value of donated trading stock</w:t>
      </w:r>
    </w:p>
    <w:p w14:paraId="37E0F6FB" w14:textId="4FE392FA" w:rsidR="003B1B73" w:rsidRPr="00892222" w:rsidRDefault="003B1B73" w:rsidP="00F44177">
      <w:pPr>
        <w:pStyle w:val="NumberedParagraph"/>
        <w:rPr>
          <w:rFonts w:ascii="Arial" w:hAnsi="Arial" w:cs="Arial"/>
          <w:sz w:val="22"/>
          <w:szCs w:val="22"/>
        </w:rPr>
      </w:pPr>
      <w:r w:rsidRPr="00892222">
        <w:rPr>
          <w:rFonts w:ascii="Arial" w:hAnsi="Arial" w:cs="Arial"/>
          <w:sz w:val="22"/>
          <w:szCs w:val="22"/>
        </w:rPr>
        <w:t>Trading stock is generally deductible in the</w:t>
      </w:r>
      <w:r w:rsidR="004C542F">
        <w:rPr>
          <w:rFonts w:ascii="Arial" w:hAnsi="Arial" w:cs="Arial"/>
          <w:sz w:val="22"/>
          <w:szCs w:val="22"/>
        </w:rPr>
        <w:t xml:space="preserve"> income</w:t>
      </w:r>
      <w:r w:rsidRPr="00892222">
        <w:rPr>
          <w:rFonts w:ascii="Arial" w:hAnsi="Arial" w:cs="Arial"/>
          <w:sz w:val="22"/>
          <w:szCs w:val="22"/>
        </w:rPr>
        <w:t xml:space="preserve"> year it is purchased as a business expense.  If it is not sold in the year of purchase, closing stock is included as income at the end of the year and </w:t>
      </w:r>
      <w:r w:rsidR="00E241FD">
        <w:rPr>
          <w:rFonts w:ascii="Arial" w:hAnsi="Arial" w:cs="Arial"/>
          <w:sz w:val="22"/>
          <w:szCs w:val="22"/>
        </w:rPr>
        <w:t>then becomes</w:t>
      </w:r>
      <w:r w:rsidRPr="00892222">
        <w:rPr>
          <w:rFonts w:ascii="Arial" w:hAnsi="Arial" w:cs="Arial"/>
          <w:sz w:val="22"/>
          <w:szCs w:val="22"/>
        </w:rPr>
        <w:t xml:space="preserve"> deductible as opening stock the following year</w:t>
      </w:r>
      <w:r w:rsidR="00F30FDD">
        <w:rPr>
          <w:rFonts w:ascii="Arial" w:hAnsi="Arial" w:cs="Arial"/>
          <w:sz w:val="22"/>
          <w:szCs w:val="22"/>
        </w:rPr>
        <w:t>.</w:t>
      </w:r>
      <w:r w:rsidRPr="00892222">
        <w:rPr>
          <w:rFonts w:ascii="Arial" w:hAnsi="Arial" w:cs="Arial"/>
          <w:sz w:val="22"/>
          <w:szCs w:val="22"/>
        </w:rPr>
        <w:t xml:space="preserve"> </w:t>
      </w:r>
    </w:p>
    <w:p w14:paraId="4C6FC13E" w14:textId="64004EB2" w:rsidR="003B1B73" w:rsidRPr="00892222" w:rsidRDefault="001320F5" w:rsidP="00F44177">
      <w:pPr>
        <w:pStyle w:val="NumberedParagraph"/>
        <w:rPr>
          <w:rFonts w:ascii="Arial" w:hAnsi="Arial" w:cs="Arial"/>
          <w:sz w:val="22"/>
          <w:szCs w:val="22"/>
        </w:rPr>
      </w:pPr>
      <w:r>
        <w:rPr>
          <w:rFonts w:ascii="Arial" w:hAnsi="Arial" w:cs="Arial"/>
          <w:sz w:val="22"/>
          <w:szCs w:val="22"/>
        </w:rPr>
        <w:t>A</w:t>
      </w:r>
      <w:r w:rsidRPr="00892222">
        <w:rPr>
          <w:rFonts w:ascii="Arial" w:hAnsi="Arial" w:cs="Arial"/>
          <w:sz w:val="22"/>
          <w:szCs w:val="22"/>
        </w:rPr>
        <w:t xml:space="preserve"> </w:t>
      </w:r>
      <w:r w:rsidR="003B1B73" w:rsidRPr="00892222">
        <w:rPr>
          <w:rFonts w:ascii="Arial" w:hAnsi="Arial" w:cs="Arial"/>
          <w:sz w:val="22"/>
          <w:szCs w:val="22"/>
        </w:rPr>
        <w:t xml:space="preserve">deemed income rule applies when a person disposes of trading stock for less than market value, including when trading stock is donated for charitable purposes.  The rule deems the market value of donated trading stock to be assessable income.  This means businesses are effectively taxed on a deemed profit margin for the donated goods, </w:t>
      </w:r>
      <w:r w:rsidR="00DF740E">
        <w:rPr>
          <w:rFonts w:ascii="Arial" w:hAnsi="Arial" w:cs="Arial"/>
          <w:sz w:val="22"/>
          <w:szCs w:val="22"/>
        </w:rPr>
        <w:t>(</w:t>
      </w:r>
      <w:r w:rsidR="003B1B73" w:rsidRPr="00892222">
        <w:rPr>
          <w:rFonts w:ascii="Arial" w:hAnsi="Arial" w:cs="Arial"/>
          <w:sz w:val="22"/>
          <w:szCs w:val="22"/>
        </w:rPr>
        <w:t>i</w:t>
      </w:r>
      <w:r w:rsidR="00DF740E">
        <w:rPr>
          <w:rFonts w:ascii="Arial" w:hAnsi="Arial" w:cs="Arial"/>
          <w:sz w:val="22"/>
          <w:szCs w:val="22"/>
        </w:rPr>
        <w:t>.</w:t>
      </w:r>
      <w:r w:rsidR="003B1B73" w:rsidRPr="00892222">
        <w:rPr>
          <w:rFonts w:ascii="Arial" w:hAnsi="Arial" w:cs="Arial"/>
          <w:sz w:val="22"/>
          <w:szCs w:val="22"/>
        </w:rPr>
        <w:t>e</w:t>
      </w:r>
      <w:r w:rsidR="00DF740E">
        <w:rPr>
          <w:rFonts w:ascii="Arial" w:hAnsi="Arial" w:cs="Arial"/>
          <w:sz w:val="22"/>
          <w:szCs w:val="22"/>
        </w:rPr>
        <w:t>.,</w:t>
      </w:r>
      <w:r w:rsidR="003B1B73" w:rsidRPr="00892222">
        <w:rPr>
          <w:rFonts w:ascii="Arial" w:hAnsi="Arial" w:cs="Arial"/>
          <w:sz w:val="22"/>
          <w:szCs w:val="22"/>
        </w:rPr>
        <w:t xml:space="preserve"> the difference between the deemed market value and the deduction obtained on purchase or in the opening stock adjustment</w:t>
      </w:r>
      <w:r w:rsidR="008422B6">
        <w:rPr>
          <w:rFonts w:ascii="Arial" w:hAnsi="Arial" w:cs="Arial"/>
          <w:sz w:val="22"/>
          <w:szCs w:val="22"/>
        </w:rPr>
        <w:t>)</w:t>
      </w:r>
      <w:r w:rsidR="003B1B73" w:rsidRPr="00892222">
        <w:rPr>
          <w:rFonts w:ascii="Arial" w:hAnsi="Arial" w:cs="Arial"/>
          <w:sz w:val="22"/>
          <w:szCs w:val="22"/>
        </w:rPr>
        <w:t xml:space="preserve">.  </w:t>
      </w:r>
    </w:p>
    <w:p w14:paraId="76553AFE" w14:textId="77777777" w:rsidR="003B1B73" w:rsidRPr="00892222" w:rsidRDefault="003B1B73" w:rsidP="003B1B73">
      <w:pPr>
        <w:pStyle w:val="NumberedParagraph"/>
        <w:rPr>
          <w:rFonts w:ascii="Arial" w:hAnsi="Arial" w:cs="Arial"/>
          <w:b/>
          <w:bCs/>
          <w:sz w:val="22"/>
          <w:szCs w:val="22"/>
        </w:rPr>
      </w:pPr>
      <w:r w:rsidRPr="00892222">
        <w:rPr>
          <w:rFonts w:ascii="Arial" w:hAnsi="Arial" w:cs="Arial"/>
          <w:b/>
          <w:bCs/>
          <w:sz w:val="22"/>
          <w:szCs w:val="22"/>
        </w:rPr>
        <w:t>Policy intent</w:t>
      </w:r>
    </w:p>
    <w:p w14:paraId="3EC50973" w14:textId="77777777" w:rsidR="003B1B73" w:rsidRPr="00892222" w:rsidRDefault="003B1B73" w:rsidP="003B1B73">
      <w:pPr>
        <w:pStyle w:val="NumberedParagraph"/>
        <w:rPr>
          <w:rFonts w:ascii="Arial" w:hAnsi="Arial" w:cs="Arial"/>
          <w:i/>
          <w:iCs/>
          <w:sz w:val="22"/>
          <w:szCs w:val="22"/>
        </w:rPr>
      </w:pPr>
      <w:r w:rsidRPr="00892222">
        <w:rPr>
          <w:rFonts w:ascii="Arial" w:hAnsi="Arial" w:cs="Arial"/>
          <w:i/>
          <w:iCs/>
          <w:sz w:val="22"/>
          <w:szCs w:val="22"/>
        </w:rPr>
        <w:t>The deemed income rule was introduced as an anti-avoidance measure intended to apply to non-arm’s length transactions, but is drafted broadly and applies to all transactions</w:t>
      </w:r>
    </w:p>
    <w:p w14:paraId="28085F44" w14:textId="3A826DC6" w:rsidR="003B1B73" w:rsidRPr="00892222" w:rsidRDefault="003B1B73" w:rsidP="00F44177">
      <w:pPr>
        <w:pStyle w:val="NumberedParagraph"/>
        <w:rPr>
          <w:rFonts w:ascii="Arial" w:hAnsi="Arial" w:cs="Arial"/>
          <w:sz w:val="22"/>
          <w:szCs w:val="22"/>
        </w:rPr>
      </w:pPr>
      <w:r w:rsidRPr="00892222">
        <w:rPr>
          <w:rFonts w:ascii="Arial" w:hAnsi="Arial" w:cs="Arial"/>
          <w:sz w:val="22"/>
          <w:szCs w:val="22"/>
        </w:rPr>
        <w:t>The deemed income rule was introduced in the late 1940s as an anti-avoidance measure.  It was intended to combat situation</w:t>
      </w:r>
      <w:r w:rsidR="00444BED">
        <w:rPr>
          <w:rFonts w:ascii="Arial" w:hAnsi="Arial" w:cs="Arial"/>
          <w:sz w:val="22"/>
          <w:szCs w:val="22"/>
        </w:rPr>
        <w:t>s such as where</w:t>
      </w:r>
      <w:r w:rsidRPr="00892222">
        <w:rPr>
          <w:rFonts w:ascii="Arial" w:hAnsi="Arial" w:cs="Arial"/>
          <w:sz w:val="22"/>
          <w:szCs w:val="22"/>
        </w:rPr>
        <w:t xml:space="preserve"> of a retiring farmer gift</w:t>
      </w:r>
      <w:r w:rsidR="00444BED">
        <w:rPr>
          <w:rFonts w:ascii="Arial" w:hAnsi="Arial" w:cs="Arial"/>
          <w:sz w:val="22"/>
          <w:szCs w:val="22"/>
        </w:rPr>
        <w:t>ed</w:t>
      </w:r>
      <w:r w:rsidRPr="00892222">
        <w:rPr>
          <w:rFonts w:ascii="Arial" w:hAnsi="Arial" w:cs="Arial"/>
          <w:sz w:val="22"/>
          <w:szCs w:val="22"/>
        </w:rPr>
        <w:t xml:space="preserve"> stock to a relative who was also a farmer. Income tax was avoided by the retiring farmer on the gift. However, the succeeding farming business could revalue the stock brought onto its books at market value (even though it had paid nothing, or a nominal amount, for the trading stock).</w:t>
      </w:r>
      <w:r w:rsidR="00E27615">
        <w:rPr>
          <w:rFonts w:ascii="Arial" w:hAnsi="Arial" w:cs="Arial"/>
          <w:sz w:val="22"/>
          <w:szCs w:val="22"/>
        </w:rPr>
        <w:t xml:space="preserve">  Another e</w:t>
      </w:r>
      <w:r w:rsidR="00C01A82">
        <w:rPr>
          <w:rFonts w:ascii="Arial" w:hAnsi="Arial" w:cs="Arial"/>
          <w:sz w:val="22"/>
          <w:szCs w:val="22"/>
        </w:rPr>
        <w:t>xample of avoidance caught by the rule is where a business donates trading stock to an associate to avoid the tax that would otherwise be payable, but there is a linked transaction to ensure the</w:t>
      </w:r>
      <w:r w:rsidR="00863FA4">
        <w:rPr>
          <w:rFonts w:ascii="Arial" w:hAnsi="Arial" w:cs="Arial"/>
          <w:sz w:val="22"/>
          <w:szCs w:val="22"/>
        </w:rPr>
        <w:t xml:space="preserve"> business receives market value in return.</w:t>
      </w:r>
    </w:p>
    <w:p w14:paraId="643B690D" w14:textId="1AC41A09" w:rsidR="003B1B73" w:rsidRDefault="003B1B73" w:rsidP="00F44177">
      <w:pPr>
        <w:pStyle w:val="NumberedParagraph"/>
        <w:rPr>
          <w:rFonts w:ascii="Arial" w:hAnsi="Arial" w:cs="Arial"/>
          <w:sz w:val="22"/>
          <w:szCs w:val="22"/>
        </w:rPr>
      </w:pPr>
      <w:r w:rsidRPr="00892222">
        <w:rPr>
          <w:rFonts w:ascii="Arial" w:hAnsi="Arial" w:cs="Arial"/>
          <w:sz w:val="22"/>
          <w:szCs w:val="22"/>
        </w:rPr>
        <w:t xml:space="preserve">The provision was intended to treat the stock in the same way as if it were sold. </w:t>
      </w:r>
      <w:r w:rsidR="00DF740E">
        <w:rPr>
          <w:rFonts w:ascii="Arial" w:hAnsi="Arial" w:cs="Arial"/>
          <w:sz w:val="22"/>
          <w:szCs w:val="22"/>
        </w:rPr>
        <w:t>I</w:t>
      </w:r>
      <w:r w:rsidRPr="00892222">
        <w:rPr>
          <w:rFonts w:ascii="Arial" w:hAnsi="Arial" w:cs="Arial"/>
          <w:sz w:val="22"/>
          <w:szCs w:val="22"/>
        </w:rPr>
        <w:t>t was</w:t>
      </w:r>
      <w:r w:rsidR="00EF79F8">
        <w:rPr>
          <w:rFonts w:ascii="Arial" w:hAnsi="Arial" w:cs="Arial"/>
          <w:sz w:val="22"/>
          <w:szCs w:val="22"/>
        </w:rPr>
        <w:t xml:space="preserve"> not</w:t>
      </w:r>
      <w:r w:rsidRPr="00892222">
        <w:rPr>
          <w:rFonts w:ascii="Arial" w:hAnsi="Arial" w:cs="Arial"/>
          <w:sz w:val="22"/>
          <w:szCs w:val="22"/>
        </w:rPr>
        <w:t xml:space="preserve"> intended to apply to genuine </w:t>
      </w:r>
      <w:r w:rsidR="00631638">
        <w:rPr>
          <w:rFonts w:ascii="Arial" w:hAnsi="Arial" w:cs="Arial"/>
          <w:sz w:val="22"/>
          <w:szCs w:val="22"/>
        </w:rPr>
        <w:t>arm’s length transactions even</w:t>
      </w:r>
      <w:r w:rsidRPr="00892222">
        <w:rPr>
          <w:rFonts w:ascii="Arial" w:hAnsi="Arial" w:cs="Arial"/>
          <w:sz w:val="22"/>
          <w:szCs w:val="22"/>
        </w:rPr>
        <w:t xml:space="preserve"> where there appears to be inadequate consideration.  However, the provision was drafted broadly, and still is today, so that it also applies to arm’s length transactions.</w:t>
      </w:r>
    </w:p>
    <w:p w14:paraId="3C236C8E" w14:textId="77777777" w:rsidR="00C2046B" w:rsidRPr="005856BD" w:rsidRDefault="00C2046B" w:rsidP="00C2046B">
      <w:pPr>
        <w:pStyle w:val="NumberedParagraph"/>
        <w:ind w:left="709" w:hanging="709"/>
        <w:rPr>
          <w:rFonts w:ascii="Arial" w:hAnsi="Arial" w:cs="Arial"/>
          <w:b/>
          <w:bCs/>
          <w:sz w:val="22"/>
          <w:szCs w:val="22"/>
        </w:rPr>
      </w:pPr>
      <w:r w:rsidRPr="005856BD">
        <w:rPr>
          <w:rFonts w:ascii="Arial" w:hAnsi="Arial" w:cs="Arial"/>
          <w:b/>
          <w:bCs/>
          <w:sz w:val="22"/>
          <w:szCs w:val="22"/>
        </w:rPr>
        <w:t>Previous relevant decisions</w:t>
      </w:r>
    </w:p>
    <w:p w14:paraId="36084A65" w14:textId="77777777" w:rsidR="00C2046B" w:rsidRPr="00892222" w:rsidRDefault="00C2046B" w:rsidP="00C2046B">
      <w:pPr>
        <w:pStyle w:val="NumberedParagraph"/>
        <w:ind w:left="709" w:hanging="709"/>
        <w:rPr>
          <w:rFonts w:ascii="Arial" w:hAnsi="Arial" w:cs="Arial"/>
          <w:i/>
          <w:iCs/>
          <w:sz w:val="22"/>
          <w:szCs w:val="22"/>
        </w:rPr>
      </w:pPr>
      <w:r w:rsidRPr="00892222">
        <w:rPr>
          <w:rFonts w:ascii="Arial" w:hAnsi="Arial" w:cs="Arial"/>
          <w:i/>
          <w:iCs/>
          <w:sz w:val="22"/>
          <w:szCs w:val="22"/>
        </w:rPr>
        <w:t>There is precedent for turning off the deemed income rule in response to adverse events</w:t>
      </w:r>
    </w:p>
    <w:p w14:paraId="771AD11D" w14:textId="77777777" w:rsidR="00C2046B" w:rsidRPr="00892222" w:rsidRDefault="00C2046B" w:rsidP="00C2046B">
      <w:pPr>
        <w:pStyle w:val="NumberedParagraph"/>
        <w:rPr>
          <w:rFonts w:ascii="Arial" w:hAnsi="Arial" w:cs="Arial"/>
          <w:sz w:val="22"/>
          <w:szCs w:val="22"/>
        </w:rPr>
      </w:pPr>
      <w:r w:rsidRPr="00892222">
        <w:rPr>
          <w:rFonts w:ascii="Arial" w:hAnsi="Arial" w:cs="Arial"/>
          <w:sz w:val="22"/>
          <w:szCs w:val="22"/>
        </w:rPr>
        <w:t>A permanent provision allows relief from the rule when trading stock is donated to a person not associated with the donor for the use in a farming, agricultural or fishing business that is affected by a self-assessed adverse event.</w:t>
      </w:r>
    </w:p>
    <w:p w14:paraId="5AD5503A" w14:textId="77777777" w:rsidR="00C2046B" w:rsidRDefault="00C2046B" w:rsidP="00C2046B">
      <w:pPr>
        <w:pStyle w:val="NumberedParagraph"/>
        <w:rPr>
          <w:rFonts w:ascii="Arial" w:hAnsi="Arial" w:cs="Arial"/>
          <w:sz w:val="22"/>
          <w:szCs w:val="22"/>
        </w:rPr>
      </w:pPr>
      <w:r w:rsidRPr="00892222">
        <w:rPr>
          <w:rFonts w:ascii="Arial" w:hAnsi="Arial" w:cs="Arial"/>
          <w:sz w:val="22"/>
          <w:szCs w:val="22"/>
        </w:rPr>
        <w:t>An 18-month exclusion from the rule was introduced in response to the Canterbury earthquakes.  This exclusion applied when trading stock was donated to a person not associated with the donor for the purpose of relief from the adverse effects of the earthquakes.</w:t>
      </w:r>
    </w:p>
    <w:p w14:paraId="22AC04BB" w14:textId="6D2EF8AA" w:rsidR="007D78A1" w:rsidRPr="00024825" w:rsidRDefault="00C2046B" w:rsidP="001D2EA3">
      <w:pPr>
        <w:pStyle w:val="NumberedParagraph"/>
        <w:rPr>
          <w:rFonts w:ascii="Arial" w:hAnsi="Arial" w:cs="Arial"/>
          <w:sz w:val="22"/>
          <w:szCs w:val="22"/>
        </w:rPr>
      </w:pPr>
      <w:r w:rsidRPr="00024825">
        <w:rPr>
          <w:rFonts w:ascii="Arial" w:hAnsi="Arial" w:cs="Arial"/>
          <w:sz w:val="22"/>
          <w:szCs w:val="22"/>
        </w:rPr>
        <w:t>The previous Minister of Revenue agreed to progressing an amendment after the 2020 election and sent a letter to stakeholders to this effect</w:t>
      </w:r>
      <w:r w:rsidR="00A950FF" w:rsidRPr="00024825">
        <w:rPr>
          <w:rFonts w:ascii="Arial" w:hAnsi="Arial" w:cs="Arial"/>
          <w:sz w:val="22"/>
          <w:szCs w:val="22"/>
        </w:rPr>
        <w:t>.</w:t>
      </w:r>
    </w:p>
    <w:p w14:paraId="2AB82CE5" w14:textId="3F93C2FC" w:rsidR="007D78A1" w:rsidRPr="00A864A5" w:rsidRDefault="007D78A1" w:rsidP="007D78A1">
      <w:pPr>
        <w:pStyle w:val="Heading3"/>
        <w:rPr>
          <w:lang w:val="en-NZ"/>
        </w:rPr>
      </w:pPr>
      <w:r w:rsidRPr="00A864A5">
        <w:rPr>
          <w:lang w:val="en-NZ"/>
        </w:rPr>
        <w:t>What is the policy problem or opportunity?</w:t>
      </w:r>
    </w:p>
    <w:p w14:paraId="51BBFD63" w14:textId="0F1DAA96" w:rsidR="005811C1" w:rsidRPr="00892222" w:rsidRDefault="006A468F" w:rsidP="006A468F">
      <w:pPr>
        <w:pStyle w:val="NumberedParagraph"/>
        <w:rPr>
          <w:rFonts w:ascii="Arial" w:hAnsi="Arial" w:cs="Arial"/>
          <w:b/>
          <w:bCs/>
          <w:sz w:val="22"/>
          <w:szCs w:val="22"/>
        </w:rPr>
      </w:pPr>
      <w:r w:rsidRPr="00892222">
        <w:rPr>
          <w:rFonts w:ascii="Arial" w:hAnsi="Arial" w:cs="Arial"/>
          <w:b/>
          <w:bCs/>
          <w:sz w:val="22"/>
          <w:szCs w:val="22"/>
        </w:rPr>
        <w:t>Problem definition</w:t>
      </w:r>
    </w:p>
    <w:p w14:paraId="341BF71A" w14:textId="24E991EC" w:rsidR="006A468F" w:rsidRPr="00892222" w:rsidRDefault="006A468F" w:rsidP="006A468F">
      <w:pPr>
        <w:rPr>
          <w:rFonts w:cs="Arial"/>
          <w:i/>
          <w:iCs/>
          <w:szCs w:val="22"/>
        </w:rPr>
      </w:pPr>
      <w:r w:rsidRPr="00892222">
        <w:rPr>
          <w:rFonts w:cs="Arial"/>
          <w:i/>
          <w:iCs/>
          <w:szCs w:val="22"/>
        </w:rPr>
        <w:t>The deemed income rule, an anti-avoidance provision, is imposing tax where tax avoidance is not a concern and disincentivising donations of trading stock during COVID-19</w:t>
      </w:r>
    </w:p>
    <w:p w14:paraId="08EB8FEA" w14:textId="4F6A850A" w:rsidR="001D5D36" w:rsidRDefault="006A468F" w:rsidP="00F44177">
      <w:pPr>
        <w:pStyle w:val="NumberedParagraph"/>
        <w:rPr>
          <w:rFonts w:ascii="Arial" w:hAnsi="Arial" w:cs="Arial"/>
          <w:sz w:val="22"/>
          <w:szCs w:val="22"/>
        </w:rPr>
      </w:pPr>
      <w:r w:rsidRPr="00892222">
        <w:rPr>
          <w:rFonts w:ascii="Arial" w:hAnsi="Arial" w:cs="Arial"/>
          <w:sz w:val="22"/>
          <w:szCs w:val="22"/>
        </w:rPr>
        <w:t xml:space="preserve">The deemed income rule was introduced to counter tax avoidance, however its application results in an over-reach that impacts on the </w:t>
      </w:r>
      <w:r w:rsidR="00144598">
        <w:rPr>
          <w:rFonts w:ascii="Arial" w:hAnsi="Arial" w:cs="Arial"/>
          <w:sz w:val="22"/>
          <w:szCs w:val="22"/>
        </w:rPr>
        <w:t>fairness</w:t>
      </w:r>
      <w:r w:rsidR="00FA56C9">
        <w:rPr>
          <w:rFonts w:ascii="Arial" w:hAnsi="Arial" w:cs="Arial"/>
          <w:sz w:val="22"/>
          <w:szCs w:val="22"/>
        </w:rPr>
        <w:t xml:space="preserve"> and equity</w:t>
      </w:r>
      <w:r w:rsidRPr="00892222">
        <w:rPr>
          <w:rFonts w:ascii="Arial" w:hAnsi="Arial" w:cs="Arial"/>
          <w:sz w:val="22"/>
          <w:szCs w:val="22"/>
        </w:rPr>
        <w:t xml:space="preserve"> of the tax system.  In particular, the provision imposes tax where tax avoidance is not a concern. In the situation where trading stock is donated, the provision can act as a significant disincentive because it imposes tax on a deemed profit on the donor of the goods.  For example, it will impose tax on goods donated during COVID-19 for public benefit, such as food donated to food banks or masks and medical equipment donated to hospitals.  The rule is generally perceived to be unfair and as a result compliance with this rule is very low</w:t>
      </w:r>
      <w:r w:rsidR="00594240">
        <w:rPr>
          <w:rFonts w:ascii="Arial" w:hAnsi="Arial" w:cs="Arial"/>
          <w:sz w:val="22"/>
          <w:szCs w:val="22"/>
        </w:rPr>
        <w:t>.</w:t>
      </w:r>
    </w:p>
    <w:p w14:paraId="73BB0D92" w14:textId="3E0A7857" w:rsidR="001D5D36" w:rsidRPr="00892222" w:rsidRDefault="001D5D36" w:rsidP="00F44177">
      <w:pPr>
        <w:pStyle w:val="NumberedParagraph"/>
        <w:rPr>
          <w:rFonts w:ascii="Arial" w:hAnsi="Arial" w:cs="Arial"/>
          <w:sz w:val="22"/>
          <w:szCs w:val="22"/>
        </w:rPr>
      </w:pPr>
      <w:r w:rsidRPr="001D5D36">
        <w:rPr>
          <w:rFonts w:ascii="Arial" w:hAnsi="Arial" w:cs="Arial"/>
          <w:sz w:val="22"/>
          <w:szCs w:val="22"/>
        </w:rPr>
        <w:t xml:space="preserve">Currently some businesses incur compliance costs to structure around the deemed income rule – for example by entering into sponsorship arrangements with </w:t>
      </w:r>
      <w:proofErr w:type="spellStart"/>
      <w:r w:rsidRPr="001D5D36">
        <w:rPr>
          <w:rFonts w:ascii="Arial" w:hAnsi="Arial" w:cs="Arial"/>
          <w:sz w:val="22"/>
          <w:szCs w:val="22"/>
        </w:rPr>
        <w:t>donees</w:t>
      </w:r>
      <w:proofErr w:type="spellEnd"/>
      <w:r w:rsidRPr="001D5D36">
        <w:rPr>
          <w:rFonts w:ascii="Arial" w:hAnsi="Arial" w:cs="Arial"/>
          <w:sz w:val="22"/>
          <w:szCs w:val="22"/>
        </w:rPr>
        <w:t xml:space="preserve"> to formalise the value exchange (i.e., if the business is getting something of equal value for their </w:t>
      </w:r>
      <w:proofErr w:type="gramStart"/>
      <w:r w:rsidRPr="001D5D36">
        <w:rPr>
          <w:rFonts w:ascii="Arial" w:hAnsi="Arial" w:cs="Arial"/>
          <w:sz w:val="22"/>
          <w:szCs w:val="22"/>
        </w:rPr>
        <w:t>donation</w:t>
      </w:r>
      <w:proofErr w:type="gramEnd"/>
      <w:r w:rsidRPr="001D5D36">
        <w:rPr>
          <w:rFonts w:ascii="Arial" w:hAnsi="Arial" w:cs="Arial"/>
          <w:sz w:val="22"/>
          <w:szCs w:val="22"/>
        </w:rPr>
        <w:t xml:space="preserve"> then the deemed income rule does</w:t>
      </w:r>
      <w:r w:rsidR="00024825">
        <w:rPr>
          <w:rFonts w:ascii="Arial" w:hAnsi="Arial" w:cs="Arial"/>
          <w:sz w:val="22"/>
          <w:szCs w:val="22"/>
        </w:rPr>
        <w:t xml:space="preserve"> not</w:t>
      </w:r>
      <w:r w:rsidRPr="001D5D36">
        <w:rPr>
          <w:rFonts w:ascii="Arial" w:hAnsi="Arial" w:cs="Arial"/>
          <w:sz w:val="22"/>
          <w:szCs w:val="22"/>
        </w:rPr>
        <w:t xml:space="preserve"> apply).</w:t>
      </w:r>
    </w:p>
    <w:p w14:paraId="0CD88E8A" w14:textId="2AF98FDD" w:rsidR="00667199" w:rsidRPr="0017788C" w:rsidRDefault="00667199" w:rsidP="001225FD">
      <w:pPr>
        <w:rPr>
          <w:rFonts w:cs="Arial"/>
          <w:b/>
          <w:bCs/>
          <w:szCs w:val="22"/>
        </w:rPr>
      </w:pPr>
      <w:r w:rsidRPr="0017788C">
        <w:rPr>
          <w:rFonts w:cs="Arial"/>
          <w:b/>
          <w:bCs/>
          <w:szCs w:val="22"/>
        </w:rPr>
        <w:t>How is the status quo expected to develop if no action is taken?</w:t>
      </w:r>
    </w:p>
    <w:p w14:paraId="69CFF608" w14:textId="196C3A3B" w:rsidR="00667199" w:rsidRPr="00892222" w:rsidRDefault="000F2100" w:rsidP="00F44177">
      <w:pPr>
        <w:pStyle w:val="NumberedParagraph"/>
        <w:rPr>
          <w:rFonts w:ascii="Arial" w:hAnsi="Arial" w:cs="Arial"/>
          <w:sz w:val="22"/>
          <w:szCs w:val="22"/>
        </w:rPr>
      </w:pPr>
      <w:r w:rsidRPr="00892222">
        <w:rPr>
          <w:rFonts w:ascii="Arial" w:hAnsi="Arial" w:cs="Arial"/>
          <w:sz w:val="22"/>
          <w:szCs w:val="22"/>
        </w:rPr>
        <w:t>If no action is taken the deemed income rule will continue to disincentivise</w:t>
      </w:r>
      <w:r w:rsidR="000D533C">
        <w:rPr>
          <w:rFonts w:ascii="Arial" w:hAnsi="Arial" w:cs="Arial"/>
          <w:sz w:val="22"/>
          <w:szCs w:val="22"/>
        </w:rPr>
        <w:t xml:space="preserve"> compliant</w:t>
      </w:r>
      <w:r w:rsidRPr="00892222">
        <w:rPr>
          <w:rFonts w:ascii="Arial" w:hAnsi="Arial" w:cs="Arial"/>
          <w:sz w:val="22"/>
          <w:szCs w:val="22"/>
        </w:rPr>
        <w:t xml:space="preserve"> businesses </w:t>
      </w:r>
      <w:r w:rsidR="005E41B3">
        <w:rPr>
          <w:rFonts w:ascii="Arial" w:hAnsi="Arial" w:cs="Arial"/>
          <w:sz w:val="22"/>
          <w:szCs w:val="22"/>
        </w:rPr>
        <w:t>from</w:t>
      </w:r>
      <w:r w:rsidRPr="00892222">
        <w:rPr>
          <w:rFonts w:ascii="Arial" w:hAnsi="Arial" w:cs="Arial"/>
          <w:sz w:val="22"/>
          <w:szCs w:val="22"/>
        </w:rPr>
        <w:t xml:space="preserve"> donat</w:t>
      </w:r>
      <w:r w:rsidR="005E41B3">
        <w:rPr>
          <w:rFonts w:ascii="Arial" w:hAnsi="Arial" w:cs="Arial"/>
          <w:sz w:val="22"/>
          <w:szCs w:val="22"/>
        </w:rPr>
        <w:t>ing</w:t>
      </w:r>
      <w:r w:rsidRPr="00892222">
        <w:rPr>
          <w:rFonts w:ascii="Arial" w:hAnsi="Arial" w:cs="Arial"/>
          <w:sz w:val="22"/>
          <w:szCs w:val="22"/>
        </w:rPr>
        <w:t xml:space="preserve"> trading s</w:t>
      </w:r>
      <w:r w:rsidR="00C61026">
        <w:rPr>
          <w:rFonts w:ascii="Arial" w:hAnsi="Arial" w:cs="Arial"/>
          <w:sz w:val="22"/>
          <w:szCs w:val="22"/>
        </w:rPr>
        <w:t>tock</w:t>
      </w:r>
      <w:r w:rsidR="009E214F">
        <w:rPr>
          <w:rFonts w:ascii="Arial" w:hAnsi="Arial" w:cs="Arial"/>
          <w:sz w:val="22"/>
          <w:szCs w:val="22"/>
        </w:rPr>
        <w:t>.</w:t>
      </w:r>
    </w:p>
    <w:p w14:paraId="46F789DC" w14:textId="5DAC3AB4" w:rsidR="00667199" w:rsidRPr="0017788C" w:rsidRDefault="00410954" w:rsidP="007D78A1">
      <w:pPr>
        <w:rPr>
          <w:rFonts w:cs="Arial"/>
          <w:b/>
          <w:bCs/>
          <w:szCs w:val="22"/>
        </w:rPr>
      </w:pPr>
      <w:r w:rsidRPr="0017788C">
        <w:rPr>
          <w:rFonts w:cs="Arial"/>
          <w:b/>
          <w:bCs/>
          <w:szCs w:val="22"/>
        </w:rPr>
        <w:t>What is the nature, scope, and scale of the loss or harm being experienced?</w:t>
      </w:r>
    </w:p>
    <w:p w14:paraId="32A02356" w14:textId="034DC3C6" w:rsidR="004010CC" w:rsidRPr="004010CC" w:rsidRDefault="004010CC" w:rsidP="004010CC">
      <w:pPr>
        <w:pStyle w:val="NumberedParagraph"/>
        <w:rPr>
          <w:rFonts w:ascii="Arial" w:hAnsi="Arial" w:cs="Arial"/>
          <w:sz w:val="22"/>
          <w:szCs w:val="22"/>
        </w:rPr>
      </w:pPr>
      <w:r w:rsidRPr="0035718A">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71C689A4" wp14:editId="1B4E0D6E">
                <wp:simplePos x="0" y="0"/>
                <wp:positionH relativeFrom="column">
                  <wp:posOffset>-33655</wp:posOffset>
                </wp:positionH>
                <wp:positionV relativeFrom="paragraph">
                  <wp:posOffset>759460</wp:posOffset>
                </wp:positionV>
                <wp:extent cx="5943600" cy="1390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0650"/>
                        </a:xfrm>
                        <a:prstGeom prst="rect">
                          <a:avLst/>
                        </a:prstGeom>
                        <a:solidFill>
                          <a:srgbClr val="FFFFFF"/>
                        </a:solidFill>
                        <a:ln w="9525">
                          <a:solidFill>
                            <a:srgbClr val="000000"/>
                          </a:solidFill>
                          <a:miter lim="800000"/>
                          <a:headEnd/>
                          <a:tailEnd/>
                        </a:ln>
                      </wps:spPr>
                      <wps:txbx>
                        <w:txbxContent>
                          <w:p w14:paraId="716B8264" w14:textId="32D0BB16" w:rsidR="001E1AA3" w:rsidRDefault="001E1AA3">
                            <w:pPr>
                              <w:rPr>
                                <w:b/>
                                <w:bCs/>
                                <w:lang w:val="en-NZ"/>
                              </w:rPr>
                            </w:pPr>
                            <w:r w:rsidRPr="00BA38EF">
                              <w:rPr>
                                <w:b/>
                                <w:bCs/>
                                <w:lang w:val="en-NZ"/>
                              </w:rPr>
                              <w:t>Example</w:t>
                            </w:r>
                          </w:p>
                          <w:p w14:paraId="0CA616B5" w14:textId="0E2AF70A" w:rsidR="001E1AA3" w:rsidRPr="004010CC" w:rsidRDefault="001E1AA3" w:rsidP="004010CC">
                            <w:pPr>
                              <w:pStyle w:val="NumberedParagraph"/>
                              <w:rPr>
                                <w:rFonts w:ascii="Arial" w:hAnsi="Arial" w:cs="Arial"/>
                                <w:sz w:val="22"/>
                                <w:szCs w:val="22"/>
                              </w:rPr>
                            </w:pPr>
                            <w:r w:rsidRPr="00892222">
                              <w:rPr>
                                <w:rFonts w:ascii="Arial" w:hAnsi="Arial" w:cs="Arial"/>
                                <w:sz w:val="22"/>
                                <w:szCs w:val="22"/>
                              </w:rPr>
                              <w:t xml:space="preserve">Suppose a supermarket buys a supply of hand sanitiser for $10,000, which is normally sold in the store for $15,000.  If the business donates that hand sanitiser to the local hospital, they will need to pay $1,400 of tax ($5,000 x 0.28) despite receiving no income.  The </w:t>
                            </w:r>
                            <w:r>
                              <w:rPr>
                                <w:rFonts w:ascii="Arial" w:hAnsi="Arial" w:cs="Arial"/>
                                <w:sz w:val="22"/>
                                <w:szCs w:val="22"/>
                              </w:rPr>
                              <w:t xml:space="preserve">donation has therefore cost the </w:t>
                            </w:r>
                            <w:r w:rsidRPr="00892222">
                              <w:rPr>
                                <w:rFonts w:ascii="Arial" w:hAnsi="Arial" w:cs="Arial"/>
                                <w:sz w:val="22"/>
                                <w:szCs w:val="22"/>
                              </w:rPr>
                              <w:t>supermarket a total of $11,400</w:t>
                            </w:r>
                            <w:r w:rsidR="009C7FBE">
                              <w:rPr>
                                <w:rFonts w:ascii="Arial" w:hAnsi="Arial" w:cs="Arial"/>
                                <w:sz w:val="22"/>
                                <w:szCs w:val="22"/>
                              </w:rPr>
                              <w:t>.</w:t>
                            </w:r>
                            <w:r>
                              <w:rPr>
                                <w:rFonts w:ascii="Arial" w:hAnsi="Arial" w:cs="Arial"/>
                                <w:sz w:val="22"/>
                                <w:szCs w:val="22"/>
                              </w:rPr>
                              <w:t xml:space="preserve"> </w:t>
                            </w:r>
                            <w:r w:rsidR="003A3F6E">
                              <w:rPr>
                                <w:rFonts w:ascii="Arial" w:hAnsi="Arial" w:cs="Arial"/>
                                <w:sz w:val="22"/>
                                <w:szCs w:val="22"/>
                              </w:rPr>
                              <w:t>D</w:t>
                            </w:r>
                            <w:r>
                              <w:rPr>
                                <w:rFonts w:ascii="Arial" w:hAnsi="Arial" w:cs="Arial"/>
                                <w:sz w:val="22"/>
                                <w:szCs w:val="22"/>
                              </w:rPr>
                              <w:t>onating the same amount in cash</w:t>
                            </w:r>
                            <w:r w:rsidR="009C7FBE">
                              <w:rPr>
                                <w:rFonts w:ascii="Arial" w:hAnsi="Arial" w:cs="Arial"/>
                                <w:sz w:val="22"/>
                                <w:szCs w:val="22"/>
                              </w:rPr>
                              <w:t xml:space="preserve"> ($10,000)</w:t>
                            </w:r>
                            <w:r>
                              <w:rPr>
                                <w:rFonts w:ascii="Arial" w:hAnsi="Arial" w:cs="Arial"/>
                                <w:sz w:val="22"/>
                                <w:szCs w:val="22"/>
                              </w:rPr>
                              <w:t xml:space="preserve"> would have cost it $7,200</w:t>
                            </w:r>
                            <w:r w:rsidR="004C1C37">
                              <w:rPr>
                                <w:rFonts w:ascii="Arial" w:hAnsi="Arial" w:cs="Arial"/>
                                <w:sz w:val="22"/>
                                <w:szCs w:val="22"/>
                              </w:rPr>
                              <w:t xml:space="preserve"> after allowing a $2,800 gift deduction</w:t>
                            </w:r>
                            <w:r>
                              <w:rPr>
                                <w:rFonts w:ascii="Arial" w:hAnsi="Arial" w:cs="Arial"/>
                                <w:sz w:val="22"/>
                                <w:szCs w:val="22"/>
                              </w:rPr>
                              <w:t xml:space="preserve">. In addition, the supermarket </w:t>
                            </w:r>
                            <w:r w:rsidR="003A3F6E">
                              <w:rPr>
                                <w:rFonts w:ascii="Arial" w:hAnsi="Arial" w:cs="Arial"/>
                                <w:sz w:val="22"/>
                                <w:szCs w:val="22"/>
                              </w:rPr>
                              <w:t xml:space="preserve">would </w:t>
                            </w:r>
                            <w:r>
                              <w:rPr>
                                <w:rFonts w:ascii="Arial" w:hAnsi="Arial" w:cs="Arial"/>
                                <w:sz w:val="22"/>
                                <w:szCs w:val="22"/>
                              </w:rPr>
                              <w:t>have to fund the amount of tax to pay as no funds arise from the donation.</w:t>
                            </w:r>
                          </w:p>
                          <w:p w14:paraId="5A678061" w14:textId="77777777" w:rsidR="001E1AA3" w:rsidRPr="00BA38EF" w:rsidRDefault="001E1AA3">
                            <w:pPr>
                              <w:rPr>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689A4" id="_x0000_t202" coordsize="21600,21600" o:spt="202" path="m,l,21600r21600,l21600,xe">
                <v:stroke joinstyle="miter"/>
                <v:path gradientshapeok="t" o:connecttype="rect"/>
              </v:shapetype>
              <v:shape id="_x0000_s1027" type="#_x0000_t202" style="position:absolute;left:0;text-align:left;margin-left:-2.65pt;margin-top:59.8pt;width:468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If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">
                <v:textbox>
                  <w:txbxContent>
                    <w:p w14:paraId="716B8264" w14:textId="32D0BB16" w:rsidR="001E1AA3" w:rsidRDefault="001E1AA3">
                      <w:pPr>
                        <w:rPr>
                          <w:b/>
                          <w:bCs/>
                          <w:lang w:val="en-NZ"/>
                        </w:rPr>
                      </w:pPr>
                      <w:r w:rsidRPr="00BA38EF">
                        <w:rPr>
                          <w:b/>
                          <w:bCs/>
                          <w:lang w:val="en-NZ"/>
                        </w:rPr>
                        <w:t>Example</w:t>
                      </w:r>
                    </w:p>
                    <w:p w14:paraId="0CA616B5" w14:textId="0E2AF70A" w:rsidR="001E1AA3" w:rsidRPr="004010CC" w:rsidRDefault="001E1AA3" w:rsidP="004010CC">
                      <w:pPr>
                        <w:pStyle w:val="NumberedParagraph"/>
                        <w:rPr>
                          <w:rFonts w:ascii="Arial" w:hAnsi="Arial" w:cs="Arial"/>
                          <w:sz w:val="22"/>
                          <w:szCs w:val="22"/>
                        </w:rPr>
                      </w:pPr>
                      <w:r w:rsidRPr="00892222">
                        <w:rPr>
                          <w:rFonts w:ascii="Arial" w:hAnsi="Arial" w:cs="Arial"/>
                          <w:sz w:val="22"/>
                          <w:szCs w:val="22"/>
                        </w:rPr>
                        <w:t xml:space="preserve">Suppose a supermarket buys a supply of hand sanitiser for $10,000, which is normally sold in the store for $15,000.  If the business donates that hand sanitiser to the local hospital, they will need to pay $1,400 of tax ($5,000 x 0.28) despite receiving no income.  The </w:t>
                      </w:r>
                      <w:r>
                        <w:rPr>
                          <w:rFonts w:ascii="Arial" w:hAnsi="Arial" w:cs="Arial"/>
                          <w:sz w:val="22"/>
                          <w:szCs w:val="22"/>
                        </w:rPr>
                        <w:t xml:space="preserve">donation has therefore cost the </w:t>
                      </w:r>
                      <w:r w:rsidRPr="00892222">
                        <w:rPr>
                          <w:rFonts w:ascii="Arial" w:hAnsi="Arial" w:cs="Arial"/>
                          <w:sz w:val="22"/>
                          <w:szCs w:val="22"/>
                        </w:rPr>
                        <w:t>supermarket a total of $11,400</w:t>
                      </w:r>
                      <w:r w:rsidR="009C7FBE">
                        <w:rPr>
                          <w:rFonts w:ascii="Arial" w:hAnsi="Arial" w:cs="Arial"/>
                          <w:sz w:val="22"/>
                          <w:szCs w:val="22"/>
                        </w:rPr>
                        <w:t>.</w:t>
                      </w:r>
                      <w:r>
                        <w:rPr>
                          <w:rFonts w:ascii="Arial" w:hAnsi="Arial" w:cs="Arial"/>
                          <w:sz w:val="22"/>
                          <w:szCs w:val="22"/>
                        </w:rPr>
                        <w:t xml:space="preserve"> </w:t>
                      </w:r>
                      <w:r w:rsidR="003A3F6E">
                        <w:rPr>
                          <w:rFonts w:ascii="Arial" w:hAnsi="Arial" w:cs="Arial"/>
                          <w:sz w:val="22"/>
                          <w:szCs w:val="22"/>
                        </w:rPr>
                        <w:t>D</w:t>
                      </w:r>
                      <w:r>
                        <w:rPr>
                          <w:rFonts w:ascii="Arial" w:hAnsi="Arial" w:cs="Arial"/>
                          <w:sz w:val="22"/>
                          <w:szCs w:val="22"/>
                        </w:rPr>
                        <w:t>onating the same amount in cash</w:t>
                      </w:r>
                      <w:r w:rsidR="009C7FBE">
                        <w:rPr>
                          <w:rFonts w:ascii="Arial" w:hAnsi="Arial" w:cs="Arial"/>
                          <w:sz w:val="22"/>
                          <w:szCs w:val="22"/>
                        </w:rPr>
                        <w:t xml:space="preserve"> ($10,000)</w:t>
                      </w:r>
                      <w:r>
                        <w:rPr>
                          <w:rFonts w:ascii="Arial" w:hAnsi="Arial" w:cs="Arial"/>
                          <w:sz w:val="22"/>
                          <w:szCs w:val="22"/>
                        </w:rPr>
                        <w:t xml:space="preserve"> would have cost it $7,200</w:t>
                      </w:r>
                      <w:r w:rsidR="004C1C37">
                        <w:rPr>
                          <w:rFonts w:ascii="Arial" w:hAnsi="Arial" w:cs="Arial"/>
                          <w:sz w:val="22"/>
                          <w:szCs w:val="22"/>
                        </w:rPr>
                        <w:t xml:space="preserve"> after allowing a $2,800 gift deduction</w:t>
                      </w:r>
                      <w:r>
                        <w:rPr>
                          <w:rFonts w:ascii="Arial" w:hAnsi="Arial" w:cs="Arial"/>
                          <w:sz w:val="22"/>
                          <w:szCs w:val="22"/>
                        </w:rPr>
                        <w:t xml:space="preserve">. In addition, the supermarket </w:t>
                      </w:r>
                      <w:r w:rsidR="003A3F6E">
                        <w:rPr>
                          <w:rFonts w:ascii="Arial" w:hAnsi="Arial" w:cs="Arial"/>
                          <w:sz w:val="22"/>
                          <w:szCs w:val="22"/>
                        </w:rPr>
                        <w:t xml:space="preserve">would </w:t>
                      </w:r>
                      <w:r>
                        <w:rPr>
                          <w:rFonts w:ascii="Arial" w:hAnsi="Arial" w:cs="Arial"/>
                          <w:sz w:val="22"/>
                          <w:szCs w:val="22"/>
                        </w:rPr>
                        <w:t>have to fund the amount of tax to pay as no funds arise from the donation.</w:t>
                      </w:r>
                    </w:p>
                    <w:p w14:paraId="5A678061" w14:textId="77777777" w:rsidR="001E1AA3" w:rsidRPr="00BA38EF" w:rsidRDefault="001E1AA3">
                      <w:pPr>
                        <w:rPr>
                          <w:lang w:val="en-NZ"/>
                        </w:rPr>
                      </w:pPr>
                    </w:p>
                  </w:txbxContent>
                </v:textbox>
                <w10:wrap type="square"/>
              </v:shape>
            </w:pict>
          </mc:Fallback>
        </mc:AlternateContent>
      </w:r>
      <w:r w:rsidR="00410954" w:rsidRPr="00892222">
        <w:rPr>
          <w:rFonts w:ascii="Arial" w:hAnsi="Arial" w:cs="Arial"/>
          <w:sz w:val="22"/>
          <w:szCs w:val="22"/>
        </w:rPr>
        <w:t>The rule imposes tax on a profit a business has</w:t>
      </w:r>
      <w:r w:rsidR="000D533C">
        <w:rPr>
          <w:rFonts w:ascii="Arial" w:hAnsi="Arial" w:cs="Arial"/>
          <w:sz w:val="22"/>
          <w:szCs w:val="22"/>
        </w:rPr>
        <w:t xml:space="preserve"> not</w:t>
      </w:r>
      <w:r w:rsidR="00410954" w:rsidRPr="00892222">
        <w:rPr>
          <w:rFonts w:ascii="Arial" w:hAnsi="Arial" w:cs="Arial"/>
          <w:sz w:val="22"/>
          <w:szCs w:val="22"/>
        </w:rPr>
        <w:t xml:space="preserve"> made, to be </w:t>
      </w:r>
      <w:r w:rsidR="000D533C">
        <w:rPr>
          <w:rFonts w:ascii="Arial" w:hAnsi="Arial" w:cs="Arial"/>
          <w:sz w:val="22"/>
          <w:szCs w:val="22"/>
        </w:rPr>
        <w:t>paid</w:t>
      </w:r>
      <w:r w:rsidR="00FE5EF4" w:rsidRPr="00892222">
        <w:rPr>
          <w:rFonts w:ascii="Arial" w:hAnsi="Arial" w:cs="Arial"/>
          <w:sz w:val="22"/>
          <w:szCs w:val="22"/>
        </w:rPr>
        <w:t xml:space="preserve"> from </w:t>
      </w:r>
      <w:r w:rsidR="00DF740E">
        <w:rPr>
          <w:rFonts w:ascii="Arial" w:hAnsi="Arial" w:cs="Arial"/>
          <w:sz w:val="22"/>
          <w:szCs w:val="22"/>
        </w:rPr>
        <w:t>funds</w:t>
      </w:r>
      <w:r w:rsidR="00FD312D">
        <w:rPr>
          <w:rFonts w:ascii="Arial" w:hAnsi="Arial" w:cs="Arial"/>
          <w:sz w:val="22"/>
          <w:szCs w:val="22"/>
        </w:rPr>
        <w:t xml:space="preserve"> it may not have as</w:t>
      </w:r>
      <w:r w:rsidR="00DF740E">
        <w:rPr>
          <w:rFonts w:ascii="Arial" w:hAnsi="Arial" w:cs="Arial"/>
          <w:sz w:val="22"/>
          <w:szCs w:val="22"/>
        </w:rPr>
        <w:t xml:space="preserve"> it has not </w:t>
      </w:r>
      <w:r w:rsidR="00FD312D">
        <w:rPr>
          <w:rFonts w:ascii="Arial" w:hAnsi="Arial" w:cs="Arial"/>
          <w:sz w:val="22"/>
          <w:szCs w:val="22"/>
        </w:rPr>
        <w:t>sold the goods</w:t>
      </w:r>
      <w:r w:rsidR="00FE5EF4" w:rsidRPr="00892222">
        <w:rPr>
          <w:rFonts w:ascii="Arial" w:hAnsi="Arial" w:cs="Arial"/>
          <w:sz w:val="22"/>
          <w:szCs w:val="22"/>
        </w:rPr>
        <w:t xml:space="preserve">. </w:t>
      </w:r>
      <w:r w:rsidR="009258C3" w:rsidRPr="00892222">
        <w:rPr>
          <w:rFonts w:ascii="Arial" w:hAnsi="Arial" w:cs="Arial"/>
          <w:sz w:val="22"/>
          <w:szCs w:val="22"/>
        </w:rPr>
        <w:t xml:space="preserve">Officials do not have any evidence </w:t>
      </w:r>
      <w:r w:rsidR="009C7FBE">
        <w:rPr>
          <w:rFonts w:ascii="Arial" w:hAnsi="Arial" w:cs="Arial"/>
          <w:sz w:val="22"/>
          <w:szCs w:val="22"/>
        </w:rPr>
        <w:t>relating to</w:t>
      </w:r>
      <w:r w:rsidR="00ED4016" w:rsidRPr="00892222">
        <w:rPr>
          <w:rFonts w:ascii="Arial" w:hAnsi="Arial" w:cs="Arial"/>
          <w:sz w:val="22"/>
          <w:szCs w:val="22"/>
        </w:rPr>
        <w:t xml:space="preserve"> the scale of the loss being experienced, other than anecdotal evidence from stakeholders. The</w:t>
      </w:r>
      <w:r w:rsidR="00892222" w:rsidRPr="00892222">
        <w:rPr>
          <w:rFonts w:ascii="Arial" w:hAnsi="Arial" w:cs="Arial"/>
          <w:sz w:val="22"/>
          <w:szCs w:val="22"/>
        </w:rPr>
        <w:t xml:space="preserve"> amount of loss will depend on the value of the donation, this is best illustrated through an example.</w:t>
      </w:r>
      <w:r w:rsidR="00ED4016" w:rsidRPr="00892222">
        <w:rPr>
          <w:rFonts w:ascii="Arial" w:hAnsi="Arial" w:cs="Arial"/>
          <w:sz w:val="22"/>
          <w:szCs w:val="22"/>
        </w:rPr>
        <w:t xml:space="preserve"> </w:t>
      </w:r>
    </w:p>
    <w:p w14:paraId="3354E5E8" w14:textId="2BA9F81C" w:rsidR="00410954" w:rsidRDefault="0017788C" w:rsidP="007D78A1">
      <w:pPr>
        <w:rPr>
          <w:b/>
          <w:bCs/>
        </w:rPr>
      </w:pPr>
      <w:r w:rsidRPr="0017788C">
        <w:rPr>
          <w:b/>
          <w:bCs/>
        </w:rPr>
        <w:t>Who are the stakeholders in this issue, what is the nature of their interest, and how are they affected?</w:t>
      </w:r>
    </w:p>
    <w:p w14:paraId="7A6B4AF1" w14:textId="1AB3C705" w:rsidR="00577646" w:rsidRDefault="00A9556F" w:rsidP="00F44177">
      <w:pPr>
        <w:pStyle w:val="NumberedParagraph"/>
        <w:rPr>
          <w:rFonts w:ascii="Arial" w:hAnsi="Arial" w:cs="Arial"/>
          <w:sz w:val="22"/>
          <w:szCs w:val="22"/>
        </w:rPr>
      </w:pPr>
      <w:r>
        <w:rPr>
          <w:rFonts w:ascii="Arial" w:hAnsi="Arial" w:cs="Arial"/>
          <w:sz w:val="22"/>
          <w:szCs w:val="22"/>
        </w:rPr>
        <w:t xml:space="preserve">Both donors and </w:t>
      </w:r>
      <w:proofErr w:type="spellStart"/>
      <w:r>
        <w:rPr>
          <w:rFonts w:ascii="Arial" w:hAnsi="Arial" w:cs="Arial"/>
          <w:sz w:val="22"/>
          <w:szCs w:val="22"/>
        </w:rPr>
        <w:t>donees</w:t>
      </w:r>
      <w:proofErr w:type="spellEnd"/>
      <w:r>
        <w:rPr>
          <w:rFonts w:ascii="Arial" w:hAnsi="Arial" w:cs="Arial"/>
          <w:sz w:val="22"/>
          <w:szCs w:val="22"/>
        </w:rPr>
        <w:t xml:space="preserve"> are affected:</w:t>
      </w:r>
    </w:p>
    <w:p w14:paraId="754381CF" w14:textId="0DC0B4C9" w:rsidR="00C95EC8" w:rsidRDefault="00C95EC8" w:rsidP="00F44177">
      <w:pPr>
        <w:pStyle w:val="ListParagraph"/>
        <w:numPr>
          <w:ilvl w:val="0"/>
          <w:numId w:val="27"/>
        </w:numPr>
        <w:ind w:left="360"/>
        <w:rPr>
          <w:rFonts w:cs="Arial"/>
        </w:rPr>
      </w:pPr>
      <w:r w:rsidRPr="00C95EC8">
        <w:rPr>
          <w:rFonts w:cs="Arial"/>
          <w:b/>
          <w:bCs/>
        </w:rPr>
        <w:t>Donors:</w:t>
      </w:r>
      <w:r w:rsidRPr="00C95EC8">
        <w:rPr>
          <w:rFonts w:cs="Arial"/>
        </w:rPr>
        <w:t xml:space="preserve">  Any business that donates trading stock is affected as tax </w:t>
      </w:r>
      <w:r w:rsidR="00F8079F">
        <w:rPr>
          <w:rFonts w:cs="Arial"/>
        </w:rPr>
        <w:t xml:space="preserve">is imposed </w:t>
      </w:r>
      <w:r w:rsidRPr="00C95EC8">
        <w:rPr>
          <w:rFonts w:cs="Arial"/>
        </w:rPr>
        <w:t>on a deemed profit – an amount the business has not received</w:t>
      </w:r>
      <w:r w:rsidR="00874319">
        <w:rPr>
          <w:rFonts w:cs="Arial"/>
        </w:rPr>
        <w:t>.  This</w:t>
      </w:r>
      <w:r w:rsidR="00081B95">
        <w:rPr>
          <w:rFonts w:cs="Arial"/>
        </w:rPr>
        <w:t xml:space="preserve"> </w:t>
      </w:r>
      <w:r w:rsidR="00874319">
        <w:rPr>
          <w:rFonts w:cs="Arial"/>
        </w:rPr>
        <w:t xml:space="preserve">increases </w:t>
      </w:r>
      <w:r w:rsidR="00081B95">
        <w:rPr>
          <w:rFonts w:cs="Arial"/>
        </w:rPr>
        <w:t>the cost of the donation to the business</w:t>
      </w:r>
      <w:r w:rsidRPr="00C95EC8">
        <w:rPr>
          <w:rFonts w:cs="Arial"/>
        </w:rPr>
        <w:t>.</w:t>
      </w:r>
    </w:p>
    <w:p w14:paraId="385FE6DA" w14:textId="77777777" w:rsidR="00F44177" w:rsidRDefault="00F44177" w:rsidP="00F44177">
      <w:pPr>
        <w:pStyle w:val="ListParagraph"/>
        <w:ind w:left="360"/>
        <w:rPr>
          <w:rFonts w:cs="Arial"/>
        </w:rPr>
      </w:pPr>
    </w:p>
    <w:p w14:paraId="68D29C3D" w14:textId="34E42B55" w:rsidR="00C95EC8" w:rsidRPr="00C95EC8" w:rsidRDefault="00C95EC8" w:rsidP="00F44177">
      <w:pPr>
        <w:pStyle w:val="ListParagraph"/>
        <w:numPr>
          <w:ilvl w:val="0"/>
          <w:numId w:val="27"/>
        </w:numPr>
        <w:ind w:left="360"/>
        <w:rPr>
          <w:rFonts w:cs="Arial"/>
        </w:rPr>
      </w:pPr>
      <w:proofErr w:type="spellStart"/>
      <w:r>
        <w:rPr>
          <w:rFonts w:cs="Arial"/>
          <w:b/>
          <w:bCs/>
        </w:rPr>
        <w:t>Donees</w:t>
      </w:r>
      <w:proofErr w:type="spellEnd"/>
      <w:r>
        <w:rPr>
          <w:rFonts w:cs="Arial"/>
          <w:b/>
          <w:bCs/>
        </w:rPr>
        <w:t>:</w:t>
      </w:r>
      <w:r>
        <w:rPr>
          <w:rFonts w:cs="Arial"/>
        </w:rPr>
        <w:t xml:space="preserve">  </w:t>
      </w:r>
      <w:r w:rsidR="001717EC">
        <w:rPr>
          <w:rFonts w:cs="Arial"/>
        </w:rPr>
        <w:t xml:space="preserve">Any charity/person that receives donated trading stock is also affected.  Officials spoke to </w:t>
      </w:r>
      <w:r w:rsidR="001717EC" w:rsidRPr="006C3BAC">
        <w:rPr>
          <w:rFonts w:cs="Arial"/>
        </w:rPr>
        <w:t>Auckland City Mission</w:t>
      </w:r>
      <w:r w:rsidR="0028434C">
        <w:rPr>
          <w:rFonts w:cs="Arial"/>
        </w:rPr>
        <w:t xml:space="preserve"> staff and advisors</w:t>
      </w:r>
      <w:r w:rsidR="001717EC" w:rsidRPr="006C3BAC">
        <w:rPr>
          <w:rFonts w:cs="Arial"/>
        </w:rPr>
        <w:t xml:space="preserve"> </w:t>
      </w:r>
      <w:r w:rsidR="001717EC">
        <w:rPr>
          <w:rFonts w:cs="Arial"/>
        </w:rPr>
        <w:t xml:space="preserve">who </w:t>
      </w:r>
      <w:r w:rsidR="001717EC" w:rsidRPr="006C3BAC">
        <w:rPr>
          <w:rFonts w:cs="Arial"/>
        </w:rPr>
        <w:t xml:space="preserve">mentioned that </w:t>
      </w:r>
      <w:r w:rsidR="001717EC">
        <w:rPr>
          <w:rFonts w:cs="Arial"/>
        </w:rPr>
        <w:t>the deemed income rule</w:t>
      </w:r>
      <w:r w:rsidR="001717EC" w:rsidRPr="006C3BAC">
        <w:rPr>
          <w:rFonts w:cs="Arial"/>
        </w:rPr>
        <w:t xml:space="preserve"> encourages businesses to donate obsolescent stock as the market value of this would be zero or close to zero, and thus no/little adjustment would be required.  Auckland City Mission’s policy is to take all donations, even if near expiry, but noted that receiving food close to expiry is problematic for them as they need to distribute it immediately or it</w:t>
      </w:r>
      <w:r w:rsidR="003E66C8">
        <w:rPr>
          <w:rFonts w:cs="Arial"/>
        </w:rPr>
        <w:t xml:space="preserve"> i</w:t>
      </w:r>
      <w:r w:rsidR="001717EC" w:rsidRPr="006C3BAC">
        <w:rPr>
          <w:rFonts w:cs="Arial"/>
        </w:rPr>
        <w:t>s wasted.  They want the tax system to encourage the donation of good quality food, rather than discourage it</w:t>
      </w:r>
      <w:r w:rsidR="00081B95">
        <w:rPr>
          <w:rFonts w:cs="Arial"/>
        </w:rPr>
        <w:t>. Removing the disincentive should achieve this.</w:t>
      </w:r>
    </w:p>
    <w:p w14:paraId="6FBF8C4D" w14:textId="031EEBD3" w:rsidR="005332B7" w:rsidRPr="009E214F" w:rsidRDefault="005332B7" w:rsidP="005332B7">
      <w:pPr>
        <w:pStyle w:val="NumberedParagraph"/>
        <w:rPr>
          <w:rFonts w:ascii="Arial" w:hAnsi="Arial" w:cs="Arial"/>
          <w:b/>
          <w:bCs/>
          <w:sz w:val="22"/>
          <w:szCs w:val="22"/>
        </w:rPr>
      </w:pPr>
      <w:r w:rsidRPr="009E214F">
        <w:rPr>
          <w:rFonts w:ascii="Arial" w:hAnsi="Arial" w:cs="Arial"/>
          <w:b/>
          <w:bCs/>
          <w:sz w:val="22"/>
          <w:szCs w:val="22"/>
        </w:rPr>
        <w:t>What are the key assumptions underlying this policy problem?</w:t>
      </w:r>
    </w:p>
    <w:p w14:paraId="07B208EC" w14:textId="374484EF" w:rsidR="007037C4" w:rsidRPr="002F12C1" w:rsidRDefault="0039128C" w:rsidP="003F37B1">
      <w:pPr>
        <w:pStyle w:val="NumberedParagraph"/>
        <w:rPr>
          <w:rFonts w:ascii="Arial" w:hAnsi="Arial" w:cs="Arial"/>
          <w:sz w:val="22"/>
          <w:szCs w:val="22"/>
        </w:rPr>
      </w:pPr>
      <w:r>
        <w:rPr>
          <w:rFonts w:ascii="Arial" w:hAnsi="Arial" w:cs="Arial"/>
          <w:sz w:val="22"/>
          <w:szCs w:val="22"/>
        </w:rPr>
        <w:t>There</w:t>
      </w:r>
      <w:r w:rsidR="009E214F">
        <w:rPr>
          <w:rFonts w:ascii="Arial" w:hAnsi="Arial" w:cs="Arial"/>
          <w:sz w:val="22"/>
          <w:szCs w:val="22"/>
        </w:rPr>
        <w:t xml:space="preserve"> is a high level of non-compliance with the rule</w:t>
      </w:r>
      <w:r>
        <w:rPr>
          <w:rFonts w:ascii="Arial" w:hAnsi="Arial" w:cs="Arial"/>
          <w:sz w:val="22"/>
          <w:szCs w:val="22"/>
        </w:rPr>
        <w:t>.</w:t>
      </w:r>
      <w:r w:rsidR="00041966">
        <w:rPr>
          <w:rFonts w:ascii="Arial" w:hAnsi="Arial" w:cs="Arial"/>
          <w:sz w:val="22"/>
          <w:szCs w:val="22"/>
        </w:rPr>
        <w:t xml:space="preserve"> </w:t>
      </w:r>
      <w:r>
        <w:rPr>
          <w:rFonts w:ascii="Arial" w:hAnsi="Arial" w:cs="Arial"/>
          <w:sz w:val="22"/>
          <w:szCs w:val="22"/>
        </w:rPr>
        <w:t>For</w:t>
      </w:r>
      <w:r w:rsidR="00B060FF">
        <w:rPr>
          <w:rFonts w:ascii="Arial" w:hAnsi="Arial" w:cs="Arial"/>
          <w:sz w:val="22"/>
          <w:szCs w:val="22"/>
        </w:rPr>
        <w:t xml:space="preserve"> those that </w:t>
      </w:r>
      <w:r w:rsidR="00901660">
        <w:rPr>
          <w:rFonts w:ascii="Arial" w:hAnsi="Arial" w:cs="Arial"/>
          <w:sz w:val="22"/>
          <w:szCs w:val="22"/>
        </w:rPr>
        <w:t>would</w:t>
      </w:r>
      <w:r w:rsidR="00B060FF">
        <w:rPr>
          <w:rFonts w:ascii="Arial" w:hAnsi="Arial" w:cs="Arial"/>
          <w:sz w:val="22"/>
          <w:szCs w:val="22"/>
        </w:rPr>
        <w:t xml:space="preserve"> comply with the rule, i</w:t>
      </w:r>
      <w:r w:rsidR="00CC0EE0">
        <w:rPr>
          <w:rFonts w:ascii="Arial" w:hAnsi="Arial" w:cs="Arial"/>
          <w:sz w:val="22"/>
          <w:szCs w:val="22"/>
        </w:rPr>
        <w:t>t is disincentivising donations</w:t>
      </w:r>
      <w:r w:rsidR="00FA56C9">
        <w:rPr>
          <w:rFonts w:ascii="Arial" w:hAnsi="Arial" w:cs="Arial"/>
          <w:sz w:val="22"/>
          <w:szCs w:val="22"/>
        </w:rPr>
        <w:t xml:space="preserve"> of trading stock</w:t>
      </w:r>
      <w:r w:rsidR="00244604">
        <w:rPr>
          <w:rFonts w:ascii="Arial" w:hAnsi="Arial" w:cs="Arial"/>
          <w:sz w:val="22"/>
          <w:szCs w:val="22"/>
        </w:rPr>
        <w:t>.</w:t>
      </w:r>
      <w:r w:rsidR="00CC0EE0">
        <w:rPr>
          <w:rFonts w:ascii="Arial" w:hAnsi="Arial" w:cs="Arial"/>
          <w:sz w:val="22"/>
          <w:szCs w:val="22"/>
        </w:rPr>
        <w:t xml:space="preserve"> </w:t>
      </w:r>
      <w:r w:rsidR="00244604">
        <w:rPr>
          <w:rFonts w:ascii="Arial" w:hAnsi="Arial" w:cs="Arial"/>
          <w:sz w:val="22"/>
          <w:szCs w:val="22"/>
        </w:rPr>
        <w:t>Not all businesses that donate trading stock would be prepared to donate cash instead.</w:t>
      </w:r>
    </w:p>
    <w:p w14:paraId="72DC4AFA" w14:textId="66C1D534" w:rsidR="00C353E3" w:rsidRPr="00F44177" w:rsidRDefault="007037C4" w:rsidP="00F44177">
      <w:pPr>
        <w:pStyle w:val="Heading3"/>
        <w:rPr>
          <w:lang w:val="en-NZ"/>
        </w:rPr>
      </w:pPr>
      <w:r w:rsidRPr="00A864A5">
        <w:rPr>
          <w:lang w:val="en-NZ"/>
        </w:rPr>
        <w:t>What objectives are you seeking in relation to this policy problem or opportunity?</w:t>
      </w:r>
    </w:p>
    <w:p w14:paraId="594CCE90" w14:textId="4743D831" w:rsidR="00C353E3" w:rsidRPr="00CA03E3" w:rsidRDefault="00C353E3" w:rsidP="00F44177">
      <w:pPr>
        <w:pStyle w:val="NumberedParagraph"/>
        <w:rPr>
          <w:rFonts w:ascii="Arial" w:hAnsi="Arial" w:cs="Arial"/>
          <w:sz w:val="22"/>
          <w:szCs w:val="22"/>
        </w:rPr>
      </w:pPr>
      <w:r w:rsidRPr="00CA03E3">
        <w:rPr>
          <w:rFonts w:ascii="Arial" w:hAnsi="Arial" w:cs="Arial"/>
          <w:sz w:val="22"/>
          <w:szCs w:val="22"/>
        </w:rPr>
        <w:t>There are two ob</w:t>
      </w:r>
      <w:r w:rsidR="00D12FA7" w:rsidRPr="00CA03E3">
        <w:rPr>
          <w:rFonts w:ascii="Arial" w:hAnsi="Arial" w:cs="Arial"/>
          <w:sz w:val="22"/>
          <w:szCs w:val="22"/>
        </w:rPr>
        <w:t>jectives:</w:t>
      </w:r>
    </w:p>
    <w:p w14:paraId="53ED8A6D" w14:textId="1D320001" w:rsidR="00C353E3" w:rsidRPr="00CA03E3" w:rsidRDefault="00C353E3" w:rsidP="00CA03E3">
      <w:pPr>
        <w:pStyle w:val="ListParagraph"/>
        <w:numPr>
          <w:ilvl w:val="0"/>
          <w:numId w:val="28"/>
        </w:numPr>
        <w:spacing w:after="0" w:line="276" w:lineRule="auto"/>
        <w:jc w:val="both"/>
        <w:rPr>
          <w:rFonts w:cs="Arial"/>
          <w:szCs w:val="22"/>
        </w:rPr>
      </w:pPr>
      <w:r w:rsidRPr="00CA03E3">
        <w:rPr>
          <w:rFonts w:cs="Arial"/>
          <w:b/>
          <w:bCs/>
          <w:szCs w:val="22"/>
        </w:rPr>
        <w:t>Objective one:</w:t>
      </w:r>
      <w:r w:rsidRPr="00CA03E3">
        <w:rPr>
          <w:rFonts w:cs="Arial"/>
          <w:szCs w:val="22"/>
        </w:rPr>
        <w:t xml:space="preserve">  </w:t>
      </w:r>
      <w:r w:rsidR="00F72099">
        <w:rPr>
          <w:rFonts w:cs="Arial"/>
          <w:szCs w:val="22"/>
        </w:rPr>
        <w:t>r</w:t>
      </w:r>
      <w:r w:rsidRPr="00CA03E3">
        <w:rPr>
          <w:rFonts w:cs="Arial"/>
          <w:szCs w:val="22"/>
        </w:rPr>
        <w:t>emove a tax impediment to donating trading stock, particularly during COVID-19 where there is an increased need in the community.</w:t>
      </w:r>
    </w:p>
    <w:p w14:paraId="5AE458DA" w14:textId="77777777" w:rsidR="00C353E3" w:rsidRPr="007138D4" w:rsidRDefault="00C353E3" w:rsidP="00C353E3">
      <w:pPr>
        <w:spacing w:after="0" w:line="276" w:lineRule="auto"/>
        <w:jc w:val="both"/>
        <w:rPr>
          <w:rFonts w:cs="Arial"/>
          <w:szCs w:val="22"/>
        </w:rPr>
      </w:pPr>
    </w:p>
    <w:p w14:paraId="780BE8E8" w14:textId="305DBB9A" w:rsidR="00CA03E3" w:rsidRDefault="00C353E3" w:rsidP="00CA03E3">
      <w:pPr>
        <w:pStyle w:val="ListParagraph"/>
        <w:numPr>
          <w:ilvl w:val="0"/>
          <w:numId w:val="28"/>
        </w:numPr>
        <w:spacing w:after="0" w:line="276" w:lineRule="auto"/>
        <w:jc w:val="both"/>
        <w:rPr>
          <w:rFonts w:cs="Arial"/>
          <w:szCs w:val="22"/>
        </w:rPr>
      </w:pPr>
      <w:r w:rsidRPr="00CA03E3">
        <w:rPr>
          <w:rFonts w:cs="Arial"/>
          <w:b/>
          <w:bCs/>
          <w:szCs w:val="22"/>
        </w:rPr>
        <w:t>Objective two:</w:t>
      </w:r>
      <w:r w:rsidRPr="00CA03E3">
        <w:rPr>
          <w:rFonts w:cs="Arial"/>
          <w:szCs w:val="22"/>
        </w:rPr>
        <w:t xml:space="preserve">  </w:t>
      </w:r>
      <w:r w:rsidR="00F72099">
        <w:rPr>
          <w:rFonts w:cs="Arial"/>
          <w:szCs w:val="22"/>
        </w:rPr>
        <w:t>e</w:t>
      </w:r>
      <w:r w:rsidRPr="00CA03E3">
        <w:rPr>
          <w:rFonts w:cs="Arial"/>
          <w:szCs w:val="22"/>
        </w:rPr>
        <w:t xml:space="preserve">nsure the provision is robust and there are </w:t>
      </w:r>
      <w:r w:rsidR="00BE5741">
        <w:rPr>
          <w:rFonts w:cs="Arial"/>
          <w:szCs w:val="22"/>
        </w:rPr>
        <w:t>limited</w:t>
      </w:r>
      <w:r w:rsidR="00BE5741" w:rsidRPr="00CA03E3">
        <w:rPr>
          <w:rFonts w:cs="Arial"/>
          <w:szCs w:val="22"/>
        </w:rPr>
        <w:t xml:space="preserve"> </w:t>
      </w:r>
      <w:r w:rsidRPr="00CA03E3">
        <w:rPr>
          <w:rFonts w:cs="Arial"/>
          <w:szCs w:val="22"/>
        </w:rPr>
        <w:t>opportunities for tax avoidance.</w:t>
      </w:r>
    </w:p>
    <w:p w14:paraId="61556670" w14:textId="77777777" w:rsidR="00CA03E3" w:rsidRPr="00CA03E3" w:rsidRDefault="00CA03E3" w:rsidP="00CA03E3">
      <w:pPr>
        <w:spacing w:after="0" w:line="276" w:lineRule="auto"/>
        <w:jc w:val="both"/>
        <w:rPr>
          <w:rFonts w:cs="Arial"/>
          <w:szCs w:val="22"/>
        </w:rPr>
      </w:pPr>
    </w:p>
    <w:p w14:paraId="3DB04D84" w14:textId="737A31E3" w:rsidR="00C353E3" w:rsidRPr="00CA03E3" w:rsidRDefault="00C353E3" w:rsidP="00F44177">
      <w:pPr>
        <w:pStyle w:val="NumberedParagraph"/>
        <w:rPr>
          <w:rFonts w:ascii="Arial" w:hAnsi="Arial" w:cs="Arial"/>
          <w:sz w:val="22"/>
          <w:szCs w:val="22"/>
        </w:rPr>
      </w:pPr>
      <w:r w:rsidRPr="00CA03E3">
        <w:rPr>
          <w:rFonts w:ascii="Arial" w:hAnsi="Arial" w:cs="Arial"/>
          <w:sz w:val="22"/>
          <w:szCs w:val="22"/>
        </w:rPr>
        <w:t xml:space="preserve">There are trade-offs between these two objectives </w:t>
      </w:r>
      <w:r w:rsidR="00BE5741">
        <w:rPr>
          <w:rFonts w:ascii="Arial" w:hAnsi="Arial" w:cs="Arial"/>
          <w:sz w:val="22"/>
          <w:szCs w:val="22"/>
        </w:rPr>
        <w:t>(</w:t>
      </w:r>
      <w:r w:rsidRPr="00CA03E3">
        <w:rPr>
          <w:rFonts w:ascii="Arial" w:hAnsi="Arial" w:cs="Arial"/>
          <w:sz w:val="22"/>
          <w:szCs w:val="22"/>
        </w:rPr>
        <w:t>i.e.</w:t>
      </w:r>
      <w:r w:rsidR="00BE5741">
        <w:rPr>
          <w:rFonts w:ascii="Arial" w:hAnsi="Arial" w:cs="Arial"/>
          <w:sz w:val="22"/>
          <w:szCs w:val="22"/>
        </w:rPr>
        <w:t>,</w:t>
      </w:r>
      <w:r w:rsidRPr="00CA03E3">
        <w:rPr>
          <w:rFonts w:ascii="Arial" w:hAnsi="Arial" w:cs="Arial"/>
          <w:sz w:val="22"/>
          <w:szCs w:val="22"/>
        </w:rPr>
        <w:t xml:space="preserve"> the more relief that is provided from </w:t>
      </w:r>
      <w:r w:rsidR="001D41CB">
        <w:rPr>
          <w:rFonts w:ascii="Arial" w:hAnsi="Arial" w:cs="Arial"/>
          <w:sz w:val="22"/>
          <w:szCs w:val="22"/>
        </w:rPr>
        <w:t>the deemed income rule</w:t>
      </w:r>
      <w:r w:rsidRPr="00CA03E3">
        <w:rPr>
          <w:rFonts w:ascii="Arial" w:hAnsi="Arial" w:cs="Arial"/>
          <w:sz w:val="22"/>
          <w:szCs w:val="22"/>
        </w:rPr>
        <w:t xml:space="preserve"> the greater the removal of the disincentive to donate, but more tax avoidance opportunities may arise</w:t>
      </w:r>
      <w:r w:rsidR="00BE5741">
        <w:rPr>
          <w:rFonts w:ascii="Arial" w:hAnsi="Arial" w:cs="Arial"/>
          <w:sz w:val="22"/>
          <w:szCs w:val="22"/>
        </w:rPr>
        <w:t>)</w:t>
      </w:r>
      <w:r w:rsidRPr="00CA03E3">
        <w:rPr>
          <w:rFonts w:ascii="Arial" w:hAnsi="Arial" w:cs="Arial"/>
          <w:sz w:val="22"/>
          <w:szCs w:val="22"/>
        </w:rPr>
        <w:t>.</w:t>
      </w:r>
    </w:p>
    <w:p w14:paraId="5A25846D" w14:textId="77777777" w:rsidR="00C353E3" w:rsidRDefault="00C353E3" w:rsidP="007D78A1">
      <w:pPr>
        <w:rPr>
          <w:lang w:val="en-NZ"/>
        </w:rPr>
      </w:pPr>
    </w:p>
    <w:bookmarkEnd w:id="4"/>
    <w:bookmarkEnd w:id="5"/>
    <w:bookmarkEnd w:id="6"/>
    <w:bookmarkEnd w:id="7"/>
    <w:bookmarkEnd w:id="8"/>
    <w:p w14:paraId="4416672B" w14:textId="3A79950C" w:rsidR="00F402DF" w:rsidRPr="00A864A5" w:rsidRDefault="00F402DF" w:rsidP="00804E26">
      <w:pPr>
        <w:pStyle w:val="Heading2"/>
        <w:rPr>
          <w:lang w:val="en-NZ"/>
        </w:rPr>
      </w:pPr>
      <w:r w:rsidRPr="00A864A5">
        <w:rPr>
          <w:lang w:val="en-NZ"/>
        </w:rPr>
        <w:t xml:space="preserve">Section 2: </w:t>
      </w:r>
      <w:r w:rsidR="00AD4328" w:rsidRPr="00A864A5">
        <w:rPr>
          <w:lang w:val="en-NZ"/>
        </w:rPr>
        <w:t>Option identification</w:t>
      </w:r>
      <w:r w:rsidR="00CB3AC3" w:rsidRPr="00A864A5">
        <w:rPr>
          <w:lang w:val="en-NZ"/>
        </w:rPr>
        <w:t xml:space="preserve"> and impact analysis</w:t>
      </w:r>
    </w:p>
    <w:p w14:paraId="25BC8EEE" w14:textId="7141A92C" w:rsidR="004E1A06" w:rsidRPr="00A864A5" w:rsidRDefault="004E1A06" w:rsidP="004E1A06">
      <w:pPr>
        <w:pStyle w:val="Heading3"/>
        <w:rPr>
          <w:lang w:val="en-NZ"/>
        </w:rPr>
      </w:pPr>
      <w:r w:rsidRPr="00A864A5">
        <w:rPr>
          <w:lang w:val="en-NZ"/>
        </w:rPr>
        <w:t>What criteria will be used to evaluate option</w:t>
      </w:r>
      <w:r w:rsidR="004402CE" w:rsidRPr="00A864A5">
        <w:rPr>
          <w:lang w:val="en-NZ"/>
        </w:rPr>
        <w:t>s</w:t>
      </w:r>
      <w:r w:rsidRPr="00A864A5">
        <w:rPr>
          <w:lang w:val="en-NZ"/>
        </w:rPr>
        <w:t xml:space="preserve"> against the status quo?</w:t>
      </w:r>
    </w:p>
    <w:p w14:paraId="53EBF5CD" w14:textId="27B41722" w:rsidR="002316E5" w:rsidRPr="00A7431E" w:rsidRDefault="00733835" w:rsidP="00A7431E">
      <w:pPr>
        <w:rPr>
          <w:lang w:val="en-NZ"/>
        </w:rPr>
      </w:pPr>
      <w:r>
        <w:rPr>
          <w:lang w:val="en-NZ"/>
        </w:rPr>
        <w:t>The options will be assessed against the objectives previously mentioned,</w:t>
      </w:r>
      <w:r w:rsidR="00B1150E">
        <w:rPr>
          <w:lang w:val="en-NZ"/>
        </w:rPr>
        <w:t xml:space="preserve"> as well as the criteri</w:t>
      </w:r>
      <w:r w:rsidR="00933DDE">
        <w:rPr>
          <w:lang w:val="en-NZ"/>
        </w:rPr>
        <w:t>a</w:t>
      </w:r>
      <w:r w:rsidR="00B1150E">
        <w:rPr>
          <w:lang w:val="en-NZ"/>
        </w:rPr>
        <w:t xml:space="preserve"> of fiscal cost</w:t>
      </w:r>
      <w:r w:rsidR="00C931AE">
        <w:rPr>
          <w:lang w:val="en-NZ"/>
        </w:rPr>
        <w:t xml:space="preserve"> and fairness.</w:t>
      </w:r>
    </w:p>
    <w:p w14:paraId="3252D892" w14:textId="49E0963C" w:rsidR="00E52B84" w:rsidRPr="00A864A5" w:rsidRDefault="007D78A1" w:rsidP="00E52B84">
      <w:pPr>
        <w:pStyle w:val="Heading3"/>
        <w:rPr>
          <w:lang w:val="en-NZ"/>
        </w:rPr>
      </w:pPr>
      <w:r w:rsidRPr="00A864A5">
        <w:rPr>
          <w:lang w:val="en-NZ"/>
        </w:rPr>
        <w:t>What scope are you considering options within?</w:t>
      </w:r>
    </w:p>
    <w:p w14:paraId="1FC2E643" w14:textId="049B0C2B" w:rsidR="0003061B" w:rsidRPr="004010CC" w:rsidRDefault="0003061B" w:rsidP="0087570F">
      <w:pPr>
        <w:rPr>
          <w:rFonts w:cs="Arial"/>
          <w:szCs w:val="22"/>
          <w:lang w:val="en-NZ"/>
        </w:rPr>
      </w:pPr>
      <w:r w:rsidRPr="004010CC">
        <w:rPr>
          <w:rFonts w:cs="Arial"/>
          <w:szCs w:val="22"/>
          <w:lang w:val="en-NZ"/>
        </w:rPr>
        <w:t xml:space="preserve">The status quo is </w:t>
      </w:r>
      <w:r w:rsidR="00352B33">
        <w:rPr>
          <w:rFonts w:cs="Arial"/>
          <w:szCs w:val="22"/>
          <w:lang w:val="en-NZ"/>
        </w:rPr>
        <w:t xml:space="preserve">a </w:t>
      </w:r>
      <w:r w:rsidR="00500227" w:rsidRPr="004010CC">
        <w:rPr>
          <w:rFonts w:cs="Arial"/>
          <w:szCs w:val="22"/>
          <w:lang w:val="en-NZ"/>
        </w:rPr>
        <w:t>less viable</w:t>
      </w:r>
      <w:r w:rsidRPr="004010CC">
        <w:rPr>
          <w:rFonts w:cs="Arial"/>
          <w:szCs w:val="22"/>
          <w:lang w:val="en-NZ"/>
        </w:rPr>
        <w:t xml:space="preserve"> option as the previous Minister of Revenue wrote to a select group of stakeholders committing to a temporary solution.</w:t>
      </w:r>
    </w:p>
    <w:p w14:paraId="0C489E39" w14:textId="26DD6050" w:rsidR="00623701" w:rsidRPr="004010CC" w:rsidRDefault="004511C7" w:rsidP="0087570F">
      <w:pPr>
        <w:rPr>
          <w:rFonts w:cs="Arial"/>
          <w:szCs w:val="22"/>
          <w:lang w:val="en-NZ"/>
        </w:rPr>
      </w:pPr>
      <w:r w:rsidRPr="004010CC">
        <w:rPr>
          <w:rFonts w:cs="Arial"/>
          <w:szCs w:val="22"/>
          <w:lang w:val="en-NZ"/>
        </w:rPr>
        <w:t>Because legislation need</w:t>
      </w:r>
      <w:r w:rsidR="007D52E4" w:rsidRPr="004010CC">
        <w:rPr>
          <w:rFonts w:cs="Arial"/>
          <w:szCs w:val="22"/>
          <w:lang w:val="en-NZ"/>
        </w:rPr>
        <w:t>s</w:t>
      </w:r>
      <w:r w:rsidRPr="004010CC">
        <w:rPr>
          <w:rFonts w:cs="Arial"/>
          <w:szCs w:val="22"/>
          <w:lang w:val="en-NZ"/>
        </w:rPr>
        <w:t xml:space="preserve"> to be enacted by 31 March 2021 to ensure that donations made between 17 and </w:t>
      </w:r>
      <w:r w:rsidR="00FA56C9" w:rsidRPr="004010CC">
        <w:rPr>
          <w:rFonts w:cs="Arial"/>
          <w:szCs w:val="22"/>
          <w:lang w:val="en-NZ"/>
        </w:rPr>
        <w:t xml:space="preserve">31 </w:t>
      </w:r>
      <w:r w:rsidR="006F6819" w:rsidRPr="004010CC">
        <w:rPr>
          <w:rFonts w:cs="Arial"/>
          <w:szCs w:val="22"/>
          <w:lang w:val="en-NZ"/>
        </w:rPr>
        <w:t>March</w:t>
      </w:r>
      <w:r w:rsidRPr="004010CC">
        <w:rPr>
          <w:rFonts w:cs="Arial"/>
          <w:szCs w:val="22"/>
          <w:lang w:val="en-NZ"/>
        </w:rPr>
        <w:t xml:space="preserve"> 2020 </w:t>
      </w:r>
      <w:r w:rsidR="0083188D">
        <w:rPr>
          <w:rFonts w:cs="Arial"/>
          <w:szCs w:val="22"/>
          <w:lang w:val="en-NZ"/>
        </w:rPr>
        <w:t>are</w:t>
      </w:r>
      <w:r w:rsidRPr="004010CC">
        <w:rPr>
          <w:rFonts w:cs="Arial"/>
          <w:szCs w:val="22"/>
          <w:lang w:val="en-NZ"/>
        </w:rPr>
        <w:t xml:space="preserve"> treated appropriately, there was not sufficient time to consider a permanent solution to the deemed income rule.</w:t>
      </w:r>
      <w:r w:rsidR="000D680D" w:rsidRPr="004010CC">
        <w:rPr>
          <w:rFonts w:cs="Arial"/>
          <w:szCs w:val="22"/>
          <w:lang w:val="en-NZ"/>
        </w:rPr>
        <w:t xml:space="preserve">  Targeted consultation to date has shown that stakeholders hold differing views on the best approach to a permanent solution, so any permanent change would warrant wider public consultation as part of the Generic Tax Policy Process.  </w:t>
      </w:r>
      <w:r w:rsidR="006D31D0" w:rsidRPr="004010CC">
        <w:rPr>
          <w:rFonts w:cs="Arial"/>
          <w:szCs w:val="22"/>
          <w:lang w:val="en-NZ"/>
        </w:rPr>
        <w:t xml:space="preserve">  Officials propose</w:t>
      </w:r>
      <w:r w:rsidR="000A2E40" w:rsidRPr="004010CC">
        <w:rPr>
          <w:rFonts w:cs="Arial"/>
          <w:szCs w:val="22"/>
          <w:lang w:val="en-NZ"/>
        </w:rPr>
        <w:t xml:space="preserve"> beginning work on a permanent solution, subject to prioritisation on the tax policy work programme.</w:t>
      </w:r>
    </w:p>
    <w:p w14:paraId="5D49D2DA" w14:textId="67D9D77B" w:rsidR="00D44397" w:rsidRPr="004010CC" w:rsidRDefault="00EE03E6" w:rsidP="00037F29">
      <w:pPr>
        <w:pStyle w:val="Heading3"/>
        <w:rPr>
          <w:rFonts w:ascii="Arial" w:hAnsi="Arial" w:cs="Arial"/>
          <w:bCs/>
          <w:color w:val="335087"/>
          <w:spacing w:val="0"/>
          <w:w w:val="100"/>
          <w:sz w:val="22"/>
          <w:lang w:val="en-NZ"/>
        </w:rPr>
      </w:pPr>
      <w:r w:rsidRPr="004010CC">
        <w:rPr>
          <w:rFonts w:ascii="Arial" w:hAnsi="Arial" w:cs="Arial"/>
          <w:szCs w:val="24"/>
          <w:lang w:val="en-NZ"/>
        </w:rPr>
        <w:t xml:space="preserve">Describe </w:t>
      </w:r>
      <w:r w:rsidR="00913334" w:rsidRPr="004010CC">
        <w:rPr>
          <w:rFonts w:ascii="Arial" w:hAnsi="Arial" w:cs="Arial"/>
          <w:szCs w:val="24"/>
          <w:lang w:val="en-NZ"/>
        </w:rPr>
        <w:t>and analyse</w:t>
      </w:r>
      <w:r w:rsidRPr="004010CC">
        <w:rPr>
          <w:rFonts w:ascii="Arial" w:hAnsi="Arial" w:cs="Arial"/>
          <w:szCs w:val="24"/>
          <w:lang w:val="en-NZ"/>
        </w:rPr>
        <w:t xml:space="preserve"> the option</w:t>
      </w:r>
      <w:r w:rsidR="004402CE" w:rsidRPr="004010CC">
        <w:rPr>
          <w:rFonts w:ascii="Arial" w:hAnsi="Arial" w:cs="Arial"/>
          <w:szCs w:val="24"/>
          <w:lang w:val="en-NZ"/>
        </w:rPr>
        <w:t>s</w:t>
      </w:r>
      <w:r w:rsidR="00097119" w:rsidRPr="004010CC">
        <w:rPr>
          <w:rFonts w:ascii="Arial" w:hAnsi="Arial" w:cs="Arial"/>
          <w:sz w:val="22"/>
          <w:lang w:val="en-NZ"/>
        </w:rPr>
        <w:br/>
      </w:r>
      <w:r w:rsidR="00037F29" w:rsidRPr="004010CC">
        <w:rPr>
          <w:rFonts w:ascii="Arial" w:hAnsi="Arial" w:cs="Arial"/>
          <w:sz w:val="22"/>
          <w:lang w:val="en-NZ"/>
        </w:rPr>
        <w:br/>
      </w:r>
      <w:r w:rsidR="00D44397" w:rsidRPr="004010CC">
        <w:rPr>
          <w:rFonts w:ascii="Arial" w:hAnsi="Arial" w:cs="Arial"/>
          <w:bCs/>
          <w:color w:val="335087"/>
          <w:spacing w:val="0"/>
          <w:w w:val="100"/>
          <w:sz w:val="22"/>
          <w:lang w:val="en-NZ"/>
        </w:rPr>
        <w:t>Option one – status quo</w:t>
      </w:r>
    </w:p>
    <w:p w14:paraId="2CF0146E" w14:textId="3C11352D" w:rsidR="00D44397" w:rsidRPr="004010CC" w:rsidRDefault="00D44397" w:rsidP="00037F29">
      <w:pPr>
        <w:pStyle w:val="Heading3"/>
        <w:rPr>
          <w:rFonts w:ascii="Arial" w:hAnsi="Arial" w:cs="Arial"/>
          <w:b w:val="0"/>
          <w:color w:val="auto"/>
          <w:spacing w:val="0"/>
          <w:w w:val="100"/>
          <w:sz w:val="22"/>
          <w:lang w:val="en-NZ"/>
        </w:rPr>
      </w:pPr>
      <w:r w:rsidRPr="004010CC">
        <w:rPr>
          <w:rFonts w:ascii="Arial" w:hAnsi="Arial" w:cs="Arial"/>
          <w:b w:val="0"/>
          <w:color w:val="auto"/>
          <w:spacing w:val="0"/>
          <w:w w:val="100"/>
          <w:sz w:val="22"/>
          <w:lang w:val="en-NZ"/>
        </w:rPr>
        <w:t>The current law</w:t>
      </w:r>
      <w:r w:rsidR="00410EAF" w:rsidRPr="004010CC">
        <w:rPr>
          <w:rFonts w:ascii="Arial" w:hAnsi="Arial" w:cs="Arial"/>
          <w:b w:val="0"/>
          <w:color w:val="auto"/>
          <w:spacing w:val="0"/>
          <w:w w:val="100"/>
          <w:sz w:val="22"/>
          <w:lang w:val="en-NZ"/>
        </w:rPr>
        <w:t xml:space="preserve"> – </w:t>
      </w:r>
      <w:r w:rsidR="00020A95" w:rsidRPr="004010CC">
        <w:rPr>
          <w:rFonts w:ascii="Arial" w:hAnsi="Arial" w:cs="Arial"/>
          <w:b w:val="0"/>
          <w:color w:val="auto"/>
          <w:spacing w:val="0"/>
          <w:w w:val="100"/>
          <w:sz w:val="22"/>
          <w:lang w:val="en-NZ"/>
        </w:rPr>
        <w:t xml:space="preserve">tax must be returned </w:t>
      </w:r>
      <w:r w:rsidR="002A68AE" w:rsidRPr="004010CC">
        <w:rPr>
          <w:rFonts w:ascii="Arial" w:hAnsi="Arial" w:cs="Arial"/>
          <w:b w:val="0"/>
          <w:color w:val="auto"/>
          <w:spacing w:val="0"/>
          <w:w w:val="100"/>
          <w:sz w:val="22"/>
          <w:lang w:val="en-NZ"/>
        </w:rPr>
        <w:t>on a</w:t>
      </w:r>
      <w:r w:rsidR="00410EAF" w:rsidRPr="004010CC">
        <w:rPr>
          <w:rFonts w:ascii="Arial" w:hAnsi="Arial" w:cs="Arial"/>
          <w:b w:val="0"/>
          <w:color w:val="auto"/>
          <w:spacing w:val="0"/>
          <w:w w:val="100"/>
          <w:sz w:val="22"/>
          <w:lang w:val="en-NZ"/>
        </w:rPr>
        <w:t xml:space="preserve"> </w:t>
      </w:r>
      <w:r w:rsidR="00DC7901" w:rsidRPr="004010CC">
        <w:rPr>
          <w:rFonts w:ascii="Arial" w:hAnsi="Arial" w:cs="Arial"/>
          <w:b w:val="0"/>
          <w:color w:val="auto"/>
          <w:spacing w:val="0"/>
          <w:w w:val="100"/>
          <w:sz w:val="22"/>
          <w:lang w:val="en-NZ"/>
        </w:rPr>
        <w:t xml:space="preserve">deemed profit for any donations of trading stock.  </w:t>
      </w:r>
      <w:r w:rsidR="00FA56C9" w:rsidRPr="004010CC">
        <w:rPr>
          <w:rFonts w:ascii="Arial" w:hAnsi="Arial" w:cs="Arial"/>
          <w:b w:val="0"/>
          <w:color w:val="auto"/>
          <w:spacing w:val="0"/>
          <w:w w:val="100"/>
          <w:sz w:val="22"/>
          <w:lang w:val="en-NZ"/>
        </w:rPr>
        <w:t xml:space="preserve">However, </w:t>
      </w:r>
      <w:r w:rsidR="00620215" w:rsidRPr="004010CC">
        <w:rPr>
          <w:rFonts w:ascii="Arial" w:hAnsi="Arial" w:cs="Arial"/>
          <w:b w:val="0"/>
          <w:color w:val="auto"/>
          <w:spacing w:val="0"/>
          <w:w w:val="100"/>
          <w:sz w:val="22"/>
          <w:lang w:val="en-NZ"/>
        </w:rPr>
        <w:t>if the status quo is not amended, the unfairness and disincentive to donate will continue to exist.</w:t>
      </w:r>
      <w:r w:rsidR="00DC13A5" w:rsidRPr="004010CC">
        <w:rPr>
          <w:rFonts w:ascii="Arial" w:hAnsi="Arial" w:cs="Arial"/>
          <w:b w:val="0"/>
          <w:color w:val="auto"/>
          <w:spacing w:val="0"/>
          <w:w w:val="100"/>
          <w:sz w:val="22"/>
          <w:lang w:val="en-NZ"/>
        </w:rPr>
        <w:t xml:space="preserve">  </w:t>
      </w:r>
    </w:p>
    <w:p w14:paraId="338DDE6B" w14:textId="0EB849E1" w:rsidR="00315A06" w:rsidRPr="004010CC" w:rsidRDefault="00145A36" w:rsidP="00037F29">
      <w:pPr>
        <w:pStyle w:val="Heading3"/>
        <w:rPr>
          <w:rFonts w:ascii="Arial" w:hAnsi="Arial" w:cs="Arial"/>
          <w:bCs/>
          <w:color w:val="335087"/>
          <w:spacing w:val="0"/>
          <w:w w:val="100"/>
          <w:sz w:val="22"/>
          <w:lang w:val="en-NZ"/>
        </w:rPr>
      </w:pPr>
      <w:r w:rsidRPr="004010CC">
        <w:rPr>
          <w:rFonts w:ascii="Arial" w:hAnsi="Arial" w:cs="Arial"/>
          <w:bCs/>
          <w:color w:val="335087"/>
          <w:spacing w:val="0"/>
          <w:w w:val="100"/>
          <w:sz w:val="22"/>
          <w:lang w:val="en-NZ"/>
        </w:rPr>
        <w:t xml:space="preserve">Option </w:t>
      </w:r>
      <w:r w:rsidR="00D44397" w:rsidRPr="004010CC">
        <w:rPr>
          <w:rFonts w:ascii="Arial" w:hAnsi="Arial" w:cs="Arial"/>
          <w:bCs/>
          <w:color w:val="335087"/>
          <w:spacing w:val="0"/>
          <w:w w:val="100"/>
          <w:sz w:val="22"/>
          <w:lang w:val="en-NZ"/>
        </w:rPr>
        <w:t>two</w:t>
      </w:r>
      <w:r w:rsidR="00C631CD" w:rsidRPr="004010CC">
        <w:rPr>
          <w:rFonts w:ascii="Arial" w:hAnsi="Arial" w:cs="Arial"/>
          <w:bCs/>
          <w:color w:val="335087"/>
          <w:spacing w:val="0"/>
          <w:w w:val="100"/>
          <w:sz w:val="22"/>
          <w:lang w:val="en-NZ"/>
        </w:rPr>
        <w:t xml:space="preserve"> (preferred)</w:t>
      </w:r>
      <w:r w:rsidRPr="004010CC">
        <w:rPr>
          <w:rFonts w:ascii="Arial" w:hAnsi="Arial" w:cs="Arial"/>
          <w:bCs/>
          <w:color w:val="335087"/>
          <w:spacing w:val="0"/>
          <w:w w:val="100"/>
          <w:sz w:val="22"/>
          <w:lang w:val="en-NZ"/>
        </w:rPr>
        <w:t xml:space="preserve"> – targeted temporary </w:t>
      </w:r>
      <w:r w:rsidR="009F3BD1">
        <w:rPr>
          <w:rFonts w:ascii="Arial" w:hAnsi="Arial" w:cs="Arial"/>
          <w:bCs/>
          <w:color w:val="335087"/>
          <w:spacing w:val="0"/>
          <w:w w:val="100"/>
          <w:sz w:val="22"/>
          <w:lang w:val="en-NZ"/>
        </w:rPr>
        <w:t>exclusion</w:t>
      </w:r>
      <w:r w:rsidRPr="004010CC">
        <w:rPr>
          <w:rFonts w:ascii="Arial" w:hAnsi="Arial" w:cs="Arial"/>
          <w:bCs/>
          <w:color w:val="335087"/>
          <w:spacing w:val="0"/>
          <w:w w:val="100"/>
          <w:sz w:val="22"/>
          <w:lang w:val="en-NZ"/>
        </w:rPr>
        <w:t xml:space="preserve"> from the deemed income rule</w:t>
      </w:r>
    </w:p>
    <w:p w14:paraId="33B366FF" w14:textId="5D9A3EAB" w:rsidR="00192F95" w:rsidRPr="004010CC" w:rsidRDefault="005D7D18" w:rsidP="005C1E54">
      <w:pPr>
        <w:rPr>
          <w:rFonts w:cs="Arial"/>
          <w:szCs w:val="22"/>
          <w:lang w:val="en-NZ"/>
        </w:rPr>
      </w:pPr>
      <w:r w:rsidRPr="004010CC">
        <w:rPr>
          <w:rFonts w:cs="Arial"/>
          <w:szCs w:val="22"/>
          <w:lang w:val="en-NZ"/>
        </w:rPr>
        <w:t>An ex</w:t>
      </w:r>
      <w:r w:rsidR="001B2D0B">
        <w:rPr>
          <w:rFonts w:cs="Arial"/>
          <w:szCs w:val="22"/>
          <w:lang w:val="en-NZ"/>
        </w:rPr>
        <w:t>clusion</w:t>
      </w:r>
      <w:r w:rsidRPr="004010CC">
        <w:rPr>
          <w:rFonts w:cs="Arial"/>
          <w:szCs w:val="22"/>
          <w:lang w:val="en-NZ"/>
        </w:rPr>
        <w:t xml:space="preserve"> from the deemed income rule </w:t>
      </w:r>
      <w:r w:rsidR="00A3164E" w:rsidRPr="004010CC">
        <w:rPr>
          <w:rFonts w:cs="Arial"/>
          <w:szCs w:val="22"/>
          <w:lang w:val="en-NZ"/>
        </w:rPr>
        <w:t>(with the ability to modify the application period</w:t>
      </w:r>
      <w:r w:rsidR="006D42FB" w:rsidRPr="004010CC">
        <w:rPr>
          <w:rFonts w:cs="Arial"/>
          <w:szCs w:val="22"/>
          <w:lang w:val="en-NZ"/>
        </w:rPr>
        <w:t xml:space="preserve"> by Order in Council)</w:t>
      </w:r>
      <w:r w:rsidRPr="004010CC">
        <w:rPr>
          <w:rFonts w:cs="Arial"/>
          <w:szCs w:val="22"/>
          <w:lang w:val="en-NZ"/>
        </w:rPr>
        <w:t xml:space="preserve"> for donations of trading stock</w:t>
      </w:r>
      <w:r w:rsidR="0034453B" w:rsidRPr="004010CC">
        <w:rPr>
          <w:rFonts w:cs="Arial"/>
          <w:szCs w:val="22"/>
          <w:lang w:val="en-NZ"/>
        </w:rPr>
        <w:t xml:space="preserve"> made on or after 17 March 2020 and before 17 March 2022</w:t>
      </w:r>
      <w:r w:rsidR="005C1E54" w:rsidRPr="004010CC">
        <w:rPr>
          <w:rFonts w:cs="Arial"/>
          <w:szCs w:val="22"/>
          <w:lang w:val="en-NZ"/>
        </w:rPr>
        <w:t>.</w:t>
      </w:r>
      <w:r w:rsidR="00192F95" w:rsidRPr="004010CC">
        <w:rPr>
          <w:rFonts w:cs="Arial"/>
          <w:szCs w:val="22"/>
          <w:lang w:val="en-NZ"/>
        </w:rPr>
        <w:t xml:space="preserve"> </w:t>
      </w:r>
    </w:p>
    <w:p w14:paraId="6088FFD6" w14:textId="77777777" w:rsidR="00E212A8" w:rsidRPr="004010CC" w:rsidRDefault="00E212A8" w:rsidP="001E1AA3">
      <w:pPr>
        <w:pStyle w:val="NumberedParagraph"/>
        <w:rPr>
          <w:rFonts w:ascii="Arial" w:hAnsi="Arial" w:cs="Arial"/>
          <w:sz w:val="22"/>
          <w:szCs w:val="22"/>
        </w:rPr>
      </w:pPr>
      <w:r w:rsidRPr="004010CC">
        <w:rPr>
          <w:rFonts w:ascii="Arial" w:hAnsi="Arial" w:cs="Arial"/>
          <w:sz w:val="22"/>
          <w:szCs w:val="22"/>
        </w:rPr>
        <w:t>The proposed amendment will provide that trading stock donated to:</w:t>
      </w:r>
    </w:p>
    <w:p w14:paraId="02CB9EB2" w14:textId="7A461B85" w:rsidR="00E212A8" w:rsidRPr="004010CC" w:rsidRDefault="00E212A8" w:rsidP="004464D1">
      <w:pPr>
        <w:pStyle w:val="NumberedParagraph"/>
        <w:numPr>
          <w:ilvl w:val="0"/>
          <w:numId w:val="42"/>
        </w:numPr>
        <w:rPr>
          <w:rFonts w:ascii="Arial" w:hAnsi="Arial" w:cs="Arial"/>
          <w:sz w:val="22"/>
          <w:szCs w:val="22"/>
        </w:rPr>
      </w:pPr>
      <w:r w:rsidRPr="004010CC">
        <w:rPr>
          <w:rFonts w:ascii="Arial" w:hAnsi="Arial" w:cs="Arial"/>
          <w:sz w:val="22"/>
          <w:szCs w:val="22"/>
        </w:rPr>
        <w:t>public authorities and donee organisations will not be subject to the deemed income rule and will be eligible for a tax deduction</w:t>
      </w:r>
      <w:r w:rsidR="00506F06" w:rsidRPr="004010CC">
        <w:rPr>
          <w:rFonts w:ascii="Arial" w:hAnsi="Arial" w:cs="Arial"/>
          <w:sz w:val="22"/>
          <w:szCs w:val="22"/>
        </w:rPr>
        <w:t xml:space="preserve"> for the cost of the donated trading stock</w:t>
      </w:r>
      <w:r w:rsidRPr="004010CC">
        <w:rPr>
          <w:rFonts w:ascii="Arial" w:hAnsi="Arial" w:cs="Arial"/>
          <w:sz w:val="22"/>
          <w:szCs w:val="22"/>
        </w:rPr>
        <w:t>.</w:t>
      </w:r>
    </w:p>
    <w:p w14:paraId="79932327" w14:textId="3949B3E5" w:rsidR="00455D04" w:rsidRPr="004010CC" w:rsidRDefault="00E212A8" w:rsidP="004464D1">
      <w:pPr>
        <w:pStyle w:val="NumberedParagraph"/>
        <w:numPr>
          <w:ilvl w:val="0"/>
          <w:numId w:val="42"/>
        </w:numPr>
        <w:rPr>
          <w:rFonts w:ascii="Arial" w:hAnsi="Arial" w:cs="Arial"/>
          <w:sz w:val="22"/>
          <w:szCs w:val="22"/>
        </w:rPr>
      </w:pPr>
      <w:r w:rsidRPr="004010CC">
        <w:rPr>
          <w:rFonts w:ascii="Arial" w:hAnsi="Arial" w:cs="Arial"/>
          <w:sz w:val="22"/>
          <w:szCs w:val="22"/>
        </w:rPr>
        <w:t xml:space="preserve">non-associated persons (which are not public authorities or donee organisations) will not be subject to the deemed income rule.  However, the donor will only be able to claim a tax deduction </w:t>
      </w:r>
      <w:r w:rsidR="00506F06" w:rsidRPr="004010CC">
        <w:rPr>
          <w:rFonts w:ascii="Arial" w:hAnsi="Arial" w:cs="Arial"/>
          <w:sz w:val="22"/>
          <w:szCs w:val="22"/>
        </w:rPr>
        <w:t xml:space="preserve">for the cost of the donated trading stock </w:t>
      </w:r>
      <w:r w:rsidRPr="004010CC">
        <w:rPr>
          <w:rFonts w:ascii="Arial" w:hAnsi="Arial" w:cs="Arial"/>
          <w:sz w:val="22"/>
          <w:szCs w:val="22"/>
        </w:rPr>
        <w:t>where they can demonstrate the donation is made for business purposes.</w:t>
      </w:r>
      <w:r w:rsidR="00157926" w:rsidRPr="004010CC">
        <w:rPr>
          <w:rFonts w:ascii="Arial" w:hAnsi="Arial" w:cs="Arial"/>
          <w:sz w:val="22"/>
          <w:szCs w:val="22"/>
        </w:rPr>
        <w:t xml:space="preserve"> </w:t>
      </w:r>
    </w:p>
    <w:p w14:paraId="06554977" w14:textId="3A9AEDFC" w:rsidR="007C0CA0" w:rsidRPr="004010CC" w:rsidRDefault="007C0CA0" w:rsidP="007C0CA0">
      <w:pPr>
        <w:pStyle w:val="Heading3"/>
        <w:rPr>
          <w:rFonts w:ascii="Arial" w:hAnsi="Arial" w:cs="Arial"/>
          <w:bCs/>
          <w:color w:val="335087"/>
          <w:spacing w:val="0"/>
          <w:w w:val="100"/>
          <w:sz w:val="22"/>
          <w:lang w:val="en-NZ"/>
        </w:rPr>
      </w:pPr>
      <w:r w:rsidRPr="004010CC">
        <w:rPr>
          <w:rFonts w:ascii="Arial" w:hAnsi="Arial" w:cs="Arial"/>
          <w:bCs/>
          <w:color w:val="335087"/>
          <w:spacing w:val="0"/>
          <w:w w:val="100"/>
          <w:sz w:val="22"/>
          <w:lang w:val="en-NZ"/>
        </w:rPr>
        <w:t xml:space="preserve">Option three – more limited temporary </w:t>
      </w:r>
      <w:r w:rsidR="001B2D0B">
        <w:rPr>
          <w:rFonts w:ascii="Arial" w:hAnsi="Arial" w:cs="Arial"/>
          <w:bCs/>
          <w:color w:val="335087"/>
          <w:spacing w:val="0"/>
          <w:w w:val="100"/>
          <w:sz w:val="22"/>
          <w:lang w:val="en-NZ"/>
        </w:rPr>
        <w:t>exclusion</w:t>
      </w:r>
      <w:r w:rsidRPr="004010CC">
        <w:rPr>
          <w:rFonts w:ascii="Arial" w:hAnsi="Arial" w:cs="Arial"/>
          <w:bCs/>
          <w:color w:val="335087"/>
          <w:spacing w:val="0"/>
          <w:w w:val="100"/>
          <w:sz w:val="22"/>
          <w:lang w:val="en-NZ"/>
        </w:rPr>
        <w:t xml:space="preserve"> from the deemed income rule</w:t>
      </w:r>
    </w:p>
    <w:p w14:paraId="7879A0D3" w14:textId="0E965219" w:rsidR="0048552C" w:rsidRPr="004010CC" w:rsidRDefault="007C0CA0" w:rsidP="00241916">
      <w:pPr>
        <w:pStyle w:val="NumberedParagraph"/>
        <w:jc w:val="left"/>
        <w:rPr>
          <w:rFonts w:ascii="Arial" w:eastAsia="Times New Roman" w:hAnsi="Arial" w:cs="Arial"/>
          <w:sz w:val="22"/>
          <w:szCs w:val="22"/>
          <w:lang w:eastAsia="en-GB"/>
        </w:rPr>
      </w:pPr>
      <w:r w:rsidRPr="004010CC">
        <w:rPr>
          <w:rFonts w:ascii="Arial" w:hAnsi="Arial" w:cs="Arial"/>
          <w:sz w:val="22"/>
          <w:szCs w:val="22"/>
        </w:rPr>
        <w:t xml:space="preserve">Same as option 2 above, except a deduction </w:t>
      </w:r>
      <w:r w:rsidR="00506F06" w:rsidRPr="004010CC">
        <w:rPr>
          <w:rFonts w:ascii="Arial" w:hAnsi="Arial" w:cs="Arial"/>
          <w:sz w:val="22"/>
          <w:szCs w:val="22"/>
        </w:rPr>
        <w:t xml:space="preserve">for the cost of the donated trading stock </w:t>
      </w:r>
      <w:r w:rsidRPr="004010CC">
        <w:rPr>
          <w:rFonts w:ascii="Arial" w:hAnsi="Arial" w:cs="Arial"/>
          <w:sz w:val="22"/>
          <w:szCs w:val="22"/>
        </w:rPr>
        <w:t>would not be allowed where the donation was made for a business purpose (i</w:t>
      </w:r>
      <w:r w:rsidR="00506F06" w:rsidRPr="004010CC">
        <w:rPr>
          <w:rFonts w:ascii="Arial" w:hAnsi="Arial" w:cs="Arial"/>
          <w:sz w:val="22"/>
          <w:szCs w:val="22"/>
        </w:rPr>
        <w:t>.</w:t>
      </w:r>
      <w:r w:rsidRPr="004010CC">
        <w:rPr>
          <w:rFonts w:ascii="Arial" w:hAnsi="Arial" w:cs="Arial"/>
          <w:sz w:val="22"/>
          <w:szCs w:val="22"/>
        </w:rPr>
        <w:t>e</w:t>
      </w:r>
      <w:r w:rsidR="00506F06" w:rsidRPr="004010CC">
        <w:rPr>
          <w:rFonts w:ascii="Arial" w:hAnsi="Arial" w:cs="Arial"/>
          <w:sz w:val="22"/>
          <w:szCs w:val="22"/>
        </w:rPr>
        <w:t>.,</w:t>
      </w:r>
      <w:r w:rsidRPr="004010CC">
        <w:rPr>
          <w:rFonts w:ascii="Arial" w:hAnsi="Arial" w:cs="Arial"/>
          <w:sz w:val="22"/>
          <w:szCs w:val="22"/>
        </w:rPr>
        <w:t xml:space="preserve"> the deemed income rule would be turned off, but the deduction would be added back, effectively only turning off the deemed profit aspect of the rule).</w:t>
      </w:r>
    </w:p>
    <w:p w14:paraId="061F9FFA" w14:textId="77A88629" w:rsidR="006B1E74" w:rsidRDefault="006B1E74" w:rsidP="005D7D18">
      <w:pPr>
        <w:rPr>
          <w:b/>
          <w:bCs/>
          <w:lang w:val="en-NZ"/>
        </w:rPr>
      </w:pPr>
      <w:r w:rsidRPr="006B1E74">
        <w:rPr>
          <w:b/>
          <w:bCs/>
          <w:lang w:val="en-NZ"/>
        </w:rPr>
        <w:t xml:space="preserve">Key features of </w:t>
      </w:r>
      <w:r w:rsidR="004C082B">
        <w:rPr>
          <w:b/>
          <w:bCs/>
          <w:lang w:val="en-NZ"/>
        </w:rPr>
        <w:t>option two (</w:t>
      </w:r>
      <w:r w:rsidR="00E30F27">
        <w:rPr>
          <w:b/>
          <w:bCs/>
          <w:lang w:val="en-NZ"/>
        </w:rPr>
        <w:t>the preferred option</w:t>
      </w:r>
      <w:r w:rsidR="004C082B">
        <w:rPr>
          <w:b/>
          <w:bCs/>
          <w:lang w:val="en-NZ"/>
        </w:rPr>
        <w:t>)</w:t>
      </w:r>
    </w:p>
    <w:p w14:paraId="3AEFD9ED" w14:textId="4105219F" w:rsidR="00626A4E" w:rsidRPr="008C49B6" w:rsidRDefault="00626A4E" w:rsidP="005D7D18">
      <w:pPr>
        <w:rPr>
          <w:b/>
          <w:bCs/>
          <w:i/>
          <w:iCs/>
          <w:lang w:val="en-NZ"/>
        </w:rPr>
      </w:pPr>
      <w:r w:rsidRPr="008C49B6">
        <w:rPr>
          <w:b/>
          <w:bCs/>
          <w:i/>
          <w:iCs/>
          <w:lang w:val="en-NZ"/>
        </w:rPr>
        <w:t>Donations to public authorities and donee organisations:</w:t>
      </w:r>
    </w:p>
    <w:p w14:paraId="1D8AEAD6" w14:textId="2B85B087" w:rsidR="00253D26" w:rsidRDefault="00253D26" w:rsidP="00253D26">
      <w:pPr>
        <w:pStyle w:val="ListParagraph"/>
        <w:numPr>
          <w:ilvl w:val="0"/>
          <w:numId w:val="33"/>
        </w:numPr>
        <w:spacing w:after="160" w:line="259" w:lineRule="auto"/>
      </w:pPr>
      <w:r>
        <w:t>This allows the business a deduction</w:t>
      </w:r>
      <w:r w:rsidR="005C6779">
        <w:t xml:space="preserve"> </w:t>
      </w:r>
      <w:r w:rsidR="00CF0622">
        <w:t>for the cost of the donated trading stock with no corresponding income arising</w:t>
      </w:r>
      <w:r>
        <w:t xml:space="preserve">.  </w:t>
      </w:r>
    </w:p>
    <w:p w14:paraId="755FE4F6" w14:textId="0DDB863C" w:rsidR="00253D26" w:rsidRDefault="00253D26" w:rsidP="00253D26">
      <w:pPr>
        <w:pStyle w:val="ListParagraph"/>
        <w:numPr>
          <w:ilvl w:val="0"/>
          <w:numId w:val="33"/>
        </w:numPr>
        <w:spacing w:after="160" w:line="259" w:lineRule="auto"/>
      </w:pPr>
      <w:r>
        <w:t>This would ensure ‘gifts’ of trading stock qualify for a tax deduction in a similar way to a gift of money</w:t>
      </w:r>
      <w:r w:rsidR="00543654">
        <w:t xml:space="preserve">, </w:t>
      </w:r>
      <w:r w:rsidR="00543654" w:rsidRPr="00543654">
        <w:t>with the exception that the deduction is not limited to the net income of the donor. The limitation to net income has not been proposed on the basis that many donating businesses may be in loss as a result of COVID-19, so any such limitation would cause the amendment to be of limited benefit.</w:t>
      </w:r>
    </w:p>
    <w:p w14:paraId="7ADFB92C" w14:textId="460730D9" w:rsidR="00253D26" w:rsidRDefault="002D36A0" w:rsidP="00253D26">
      <w:pPr>
        <w:pStyle w:val="ListParagraph"/>
        <w:numPr>
          <w:ilvl w:val="0"/>
          <w:numId w:val="33"/>
        </w:numPr>
        <w:spacing w:after="160" w:line="259" w:lineRule="auto"/>
      </w:pPr>
      <w:r>
        <w:t>This i</w:t>
      </w:r>
      <w:r w:rsidR="00253D26">
        <w:t xml:space="preserve">ncludes donations to associated parties that are </w:t>
      </w:r>
      <w:r w:rsidR="00A9703B">
        <w:t xml:space="preserve">donee organisation </w:t>
      </w:r>
      <w:r w:rsidR="00253D26">
        <w:t>or public authorities (i.e.</w:t>
      </w:r>
      <w:r w:rsidR="007114C0">
        <w:t>,</w:t>
      </w:r>
      <w:r w:rsidR="00253D26">
        <w:t xml:space="preserve"> a business that donates something to its own </w:t>
      </w:r>
      <w:r w:rsidR="00A9703B">
        <w:t xml:space="preserve">donee </w:t>
      </w:r>
      <w:r w:rsidR="0044678A">
        <w:t>organisation</w:t>
      </w:r>
      <w:r w:rsidR="00253D26">
        <w:t xml:space="preserve">). </w:t>
      </w:r>
      <w:r w:rsidR="0022530C">
        <w:t xml:space="preserve">Donee </w:t>
      </w:r>
      <w:r w:rsidR="00F8079F">
        <w:t>organisations</w:t>
      </w:r>
      <w:r w:rsidR="0022530C">
        <w:t xml:space="preserve"> and public authorities are subject to regulation and are publicly transparent so</w:t>
      </w:r>
      <w:r w:rsidR="00364933">
        <w:t xml:space="preserve"> there are </w:t>
      </w:r>
      <w:r w:rsidR="00DA3413">
        <w:t xml:space="preserve">no specific </w:t>
      </w:r>
      <w:r w:rsidR="00B240BC">
        <w:t xml:space="preserve">integrity </w:t>
      </w:r>
      <w:r w:rsidR="00364933">
        <w:t>concerns even where the parties are associated.</w:t>
      </w:r>
    </w:p>
    <w:p w14:paraId="73CFC2B2" w14:textId="7FA7AF6B" w:rsidR="00253D26" w:rsidRPr="00B65C02" w:rsidRDefault="00253D26" w:rsidP="00253D26">
      <w:pPr>
        <w:pStyle w:val="ListParagraph"/>
        <w:numPr>
          <w:ilvl w:val="0"/>
          <w:numId w:val="33"/>
        </w:numPr>
        <w:spacing w:after="160" w:line="259" w:lineRule="auto"/>
      </w:pPr>
      <w:r>
        <w:t>This approach is</w:t>
      </w:r>
      <w:r w:rsidR="00D4704D">
        <w:t xml:space="preserve"> broadly</w:t>
      </w:r>
      <w:r>
        <w:t xml:space="preserve"> consistent with </w:t>
      </w:r>
      <w:r w:rsidR="00B240BC">
        <w:t>the</w:t>
      </w:r>
      <w:r w:rsidR="004951DB">
        <w:t xml:space="preserve"> government’s</w:t>
      </w:r>
      <w:r w:rsidR="00B240BC">
        <w:t xml:space="preserve"> </w:t>
      </w:r>
      <w:r>
        <w:t xml:space="preserve">donations framework where donations of money to donee organisations are eligible for a deduction.  </w:t>
      </w:r>
    </w:p>
    <w:p w14:paraId="046D0E4B" w14:textId="0AF10E8B" w:rsidR="00253D26" w:rsidRPr="001B4E8C" w:rsidRDefault="00253D26" w:rsidP="00253D26">
      <w:pPr>
        <w:pStyle w:val="ListParagraph"/>
        <w:numPr>
          <w:ilvl w:val="0"/>
          <w:numId w:val="33"/>
        </w:numPr>
        <w:spacing w:after="160" w:line="259" w:lineRule="auto"/>
      </w:pPr>
      <w:r>
        <w:t xml:space="preserve">Unlike the policy solution </w:t>
      </w:r>
      <w:r w:rsidR="009A3DCE">
        <w:t>implemented in response to the</w:t>
      </w:r>
      <w:r>
        <w:t xml:space="preserve"> Canterbury earthquakes, there is no requirement that the donations must be made specifically to people or organisations who have suffered as a result of COVID</w:t>
      </w:r>
      <w:r w:rsidR="00C0428F">
        <w:t>-19</w:t>
      </w:r>
      <w:r>
        <w:t>.  The rationale is that it could be argued that almost everyone in NZ suffered as a result of COVID</w:t>
      </w:r>
      <w:r w:rsidR="00C0428F">
        <w:t>-19</w:t>
      </w:r>
      <w:r>
        <w:t>.  To minimise the risk of abuse, the concession is restricted to donee organisations and public authorities.</w:t>
      </w:r>
    </w:p>
    <w:p w14:paraId="398CEEE6" w14:textId="0CEDA239" w:rsidR="00767675" w:rsidRDefault="00767675" w:rsidP="005D7D18">
      <w:pPr>
        <w:rPr>
          <w:b/>
          <w:bCs/>
          <w:i/>
          <w:iCs/>
          <w:lang w:val="en-NZ"/>
        </w:rPr>
      </w:pPr>
      <w:r w:rsidRPr="008C49B6">
        <w:rPr>
          <w:b/>
          <w:bCs/>
          <w:i/>
          <w:iCs/>
          <w:lang w:val="en-NZ"/>
        </w:rPr>
        <w:t>Donations made to non-associates:</w:t>
      </w:r>
    </w:p>
    <w:p w14:paraId="07A7DD83" w14:textId="6F5097D9" w:rsidR="00E30F27" w:rsidRPr="008C49B6" w:rsidRDefault="00E30F27" w:rsidP="005D7D18">
      <w:pPr>
        <w:rPr>
          <w:b/>
          <w:bCs/>
          <w:i/>
          <w:iCs/>
          <w:lang w:val="en-NZ"/>
        </w:rPr>
      </w:pPr>
      <w:r>
        <w:rPr>
          <w:b/>
          <w:bCs/>
          <w:i/>
          <w:iCs/>
          <w:lang w:val="en-NZ"/>
        </w:rPr>
        <w:t>For a business purpose:</w:t>
      </w:r>
    </w:p>
    <w:p w14:paraId="1A5D7890" w14:textId="13752DC4" w:rsidR="006E4639" w:rsidRPr="00C912DD" w:rsidRDefault="004951DB" w:rsidP="006E4639">
      <w:pPr>
        <w:pStyle w:val="ListParagraph"/>
        <w:numPr>
          <w:ilvl w:val="0"/>
          <w:numId w:val="34"/>
        </w:numPr>
        <w:rPr>
          <w:lang w:val="en-NZ"/>
        </w:rPr>
      </w:pPr>
      <w:r>
        <w:t>This allows the business a deduction for the cost of the donated trading stock with no corresponding income arising</w:t>
      </w:r>
      <w:r w:rsidR="006E4639" w:rsidRPr="00C912DD">
        <w:rPr>
          <w:lang w:val="en-NZ"/>
        </w:rPr>
        <w:t>.</w:t>
      </w:r>
    </w:p>
    <w:p w14:paraId="03CB90B6" w14:textId="75ECC492" w:rsidR="0063630D" w:rsidRPr="00C912DD" w:rsidRDefault="0063630D" w:rsidP="006E4639">
      <w:pPr>
        <w:pStyle w:val="ListParagraph"/>
        <w:numPr>
          <w:ilvl w:val="0"/>
          <w:numId w:val="34"/>
        </w:numPr>
        <w:rPr>
          <w:lang w:val="en-NZ"/>
        </w:rPr>
      </w:pPr>
      <w:r w:rsidRPr="00C912DD">
        <w:rPr>
          <w:lang w:val="en-NZ"/>
        </w:rPr>
        <w:t xml:space="preserve">Because the donation </w:t>
      </w:r>
      <w:r w:rsidR="002B236C" w:rsidRPr="00C912DD">
        <w:rPr>
          <w:lang w:val="en-NZ"/>
        </w:rPr>
        <w:t xml:space="preserve">has been made to promote the taxpayer’s business </w:t>
      </w:r>
      <w:r w:rsidR="004951DB">
        <w:rPr>
          <w:lang w:val="en-NZ"/>
        </w:rPr>
        <w:t>(</w:t>
      </w:r>
      <w:r w:rsidR="00C912DD" w:rsidRPr="00C912DD">
        <w:rPr>
          <w:lang w:val="en-NZ"/>
        </w:rPr>
        <w:t>i.e.</w:t>
      </w:r>
      <w:r w:rsidR="004951DB">
        <w:rPr>
          <w:lang w:val="en-NZ"/>
        </w:rPr>
        <w:t>,</w:t>
      </w:r>
      <w:r w:rsidR="002B236C" w:rsidRPr="00C912DD">
        <w:rPr>
          <w:lang w:val="en-NZ"/>
        </w:rPr>
        <w:t xml:space="preserve"> increased custome</w:t>
      </w:r>
      <w:r w:rsidR="00C912DD" w:rsidRPr="00C912DD">
        <w:rPr>
          <w:lang w:val="en-NZ"/>
        </w:rPr>
        <w:t>r</w:t>
      </w:r>
      <w:r w:rsidR="002B236C" w:rsidRPr="00C912DD">
        <w:rPr>
          <w:lang w:val="en-NZ"/>
        </w:rPr>
        <w:t xml:space="preserve"> loyalty/brand awareness, even if there is a </w:t>
      </w:r>
      <w:r w:rsidR="001B3E0D">
        <w:rPr>
          <w:lang w:val="en-NZ"/>
        </w:rPr>
        <w:t>charitable</w:t>
      </w:r>
      <w:r w:rsidR="001B3E0D" w:rsidRPr="00C912DD">
        <w:rPr>
          <w:lang w:val="en-NZ"/>
        </w:rPr>
        <w:t xml:space="preserve"> </w:t>
      </w:r>
      <w:r w:rsidR="002B236C" w:rsidRPr="00C912DD">
        <w:rPr>
          <w:lang w:val="en-NZ"/>
        </w:rPr>
        <w:t>element to it</w:t>
      </w:r>
      <w:r w:rsidR="002D36A0">
        <w:rPr>
          <w:lang w:val="en-NZ"/>
        </w:rPr>
        <w:t>)</w:t>
      </w:r>
      <w:r w:rsidR="002B236C" w:rsidRPr="00C912DD">
        <w:rPr>
          <w:lang w:val="en-NZ"/>
        </w:rPr>
        <w:t>, the deduction should not be reversed by the deemed income rule.</w:t>
      </w:r>
    </w:p>
    <w:p w14:paraId="46FCF8A0" w14:textId="19FA4058" w:rsidR="006E4639" w:rsidRPr="008C49B6" w:rsidRDefault="00E30F27" w:rsidP="0063630D">
      <w:pPr>
        <w:rPr>
          <w:b/>
          <w:bCs/>
          <w:i/>
          <w:iCs/>
          <w:lang w:val="en-NZ"/>
        </w:rPr>
      </w:pPr>
      <w:r>
        <w:rPr>
          <w:b/>
          <w:bCs/>
          <w:i/>
          <w:iCs/>
          <w:lang w:val="en-NZ"/>
        </w:rPr>
        <w:t>Not for a business purpose</w:t>
      </w:r>
      <w:r w:rsidR="008C49B6">
        <w:rPr>
          <w:b/>
          <w:bCs/>
          <w:i/>
          <w:iCs/>
          <w:lang w:val="en-NZ"/>
        </w:rPr>
        <w:t>:</w:t>
      </w:r>
    </w:p>
    <w:p w14:paraId="4219E405" w14:textId="77777777" w:rsidR="006A7D6D" w:rsidRDefault="006A7D6D" w:rsidP="00231F1E">
      <w:pPr>
        <w:pStyle w:val="ListParagraph"/>
        <w:numPr>
          <w:ilvl w:val="0"/>
          <w:numId w:val="36"/>
        </w:numPr>
        <w:spacing w:after="160" w:line="259" w:lineRule="auto"/>
      </w:pPr>
      <w:r>
        <w:t>This ensures the business does not have to pay tax on a deemed profit.</w:t>
      </w:r>
    </w:p>
    <w:p w14:paraId="764D7E10" w14:textId="72D103A6" w:rsidR="006A7D6D" w:rsidRDefault="006A7D6D" w:rsidP="00231F1E">
      <w:pPr>
        <w:pStyle w:val="ListParagraph"/>
        <w:numPr>
          <w:ilvl w:val="0"/>
          <w:numId w:val="36"/>
        </w:numPr>
        <w:spacing w:after="160" w:line="259" w:lineRule="auto"/>
      </w:pPr>
      <w:r>
        <w:t xml:space="preserve">This applies to pure gifts made by business where there is no </w:t>
      </w:r>
      <w:r w:rsidR="00E53323">
        <w:t>material benefit or advantage to the donor</w:t>
      </w:r>
      <w:r>
        <w:t>.</w:t>
      </w:r>
    </w:p>
    <w:p w14:paraId="15EA1B62" w14:textId="52D27C5A" w:rsidR="006A7D6D" w:rsidRDefault="006A7D6D" w:rsidP="00231F1E">
      <w:pPr>
        <w:pStyle w:val="ListParagraph"/>
        <w:numPr>
          <w:ilvl w:val="0"/>
          <w:numId w:val="36"/>
        </w:numPr>
        <w:spacing w:after="160" w:line="259" w:lineRule="auto"/>
      </w:pPr>
      <w:r>
        <w:t xml:space="preserve">This ensures there is identical treatment </w:t>
      </w:r>
      <w:r w:rsidR="002337E5">
        <w:t>to</w:t>
      </w:r>
      <w:r>
        <w:t xml:space="preserve"> a business donating money to an organisation that is not a donee organisation or public authority</w:t>
      </w:r>
      <w:r w:rsidR="00471FB4">
        <w:t>.   For example,</w:t>
      </w:r>
      <w:r>
        <w:t xml:space="preserve"> if a business donates either food or money directly to a</w:t>
      </w:r>
      <w:r w:rsidR="000F43FB">
        <w:t>n individual</w:t>
      </w:r>
      <w:r>
        <w:t xml:space="preserve"> person </w:t>
      </w:r>
      <w:r w:rsidR="00567B87">
        <w:t>(</w:t>
      </w:r>
      <w:r>
        <w:t>not to a donee organisation</w:t>
      </w:r>
      <w:r w:rsidR="00567B87">
        <w:t>)</w:t>
      </w:r>
      <w:r>
        <w:t xml:space="preserve"> they receive no tax deduction, and they do</w:t>
      </w:r>
      <w:r w:rsidR="008C08F0">
        <w:t xml:space="preserve"> not</w:t>
      </w:r>
      <w:r>
        <w:t xml:space="preserve"> have to pay tax on a deemed profit on the donated food.</w:t>
      </w:r>
    </w:p>
    <w:p w14:paraId="5C946E94" w14:textId="77777777" w:rsidR="001E1AA3" w:rsidRDefault="004C082B" w:rsidP="0063630D">
      <w:pPr>
        <w:rPr>
          <w:b/>
          <w:bCs/>
          <w:lang w:val="en-NZ"/>
        </w:rPr>
      </w:pPr>
      <w:r>
        <w:rPr>
          <w:b/>
          <w:bCs/>
          <w:lang w:val="en-NZ"/>
        </w:rPr>
        <w:t xml:space="preserve">Analysis of options against objectives </w:t>
      </w:r>
    </w:p>
    <w:p w14:paraId="74174419" w14:textId="4FA73476" w:rsidR="004C082B" w:rsidRDefault="004C082B" w:rsidP="0063630D">
      <w:pPr>
        <w:rPr>
          <w:b/>
          <w:bCs/>
          <w:lang w:val="en-NZ"/>
        </w:rPr>
      </w:pPr>
      <w:r>
        <w:rPr>
          <w:b/>
          <w:bCs/>
          <w:lang w:val="en-NZ"/>
        </w:rPr>
        <w:t xml:space="preserve">Option one </w:t>
      </w:r>
      <w:r w:rsidR="006343B1">
        <w:rPr>
          <w:b/>
          <w:bCs/>
          <w:lang w:val="en-NZ"/>
        </w:rPr>
        <w:t xml:space="preserve">- </w:t>
      </w:r>
      <w:r>
        <w:rPr>
          <w:b/>
          <w:bCs/>
          <w:lang w:val="en-NZ"/>
        </w:rPr>
        <w:t>status quo</w:t>
      </w:r>
    </w:p>
    <w:p w14:paraId="473E395A" w14:textId="77777777" w:rsidR="00E768C9" w:rsidRPr="001E1AA3" w:rsidRDefault="00E768C9" w:rsidP="00E768C9">
      <w:pPr>
        <w:rPr>
          <w:i/>
          <w:iCs/>
          <w:lang w:val="en-NZ"/>
        </w:rPr>
      </w:pPr>
      <w:r w:rsidRPr="001E1AA3">
        <w:rPr>
          <w:i/>
          <w:iCs/>
          <w:lang w:val="en-NZ"/>
        </w:rPr>
        <w:t>Objective one – removing the tax impediment to donating trading stock</w:t>
      </w:r>
    </w:p>
    <w:p w14:paraId="392AFC2D" w14:textId="34019A14" w:rsidR="00E768C9" w:rsidRDefault="00E768C9" w:rsidP="00E768C9">
      <w:pPr>
        <w:rPr>
          <w:lang w:val="en-NZ"/>
        </w:rPr>
      </w:pPr>
      <w:r>
        <w:rPr>
          <w:lang w:val="en-NZ"/>
        </w:rPr>
        <w:t>This option does not achieve this objective as businesses are required to pay tax on a deemed profit when donating trading stock</w:t>
      </w:r>
      <w:r w:rsidR="00506F06">
        <w:rPr>
          <w:lang w:val="en-NZ"/>
        </w:rPr>
        <w:t xml:space="preserve"> which creates the tax impediment</w:t>
      </w:r>
      <w:r>
        <w:rPr>
          <w:lang w:val="en-NZ"/>
        </w:rPr>
        <w:t>.</w:t>
      </w:r>
    </w:p>
    <w:p w14:paraId="411912F4" w14:textId="77777777" w:rsidR="00E768C9" w:rsidRPr="00C80B4D" w:rsidRDefault="00E768C9" w:rsidP="00E768C9">
      <w:pPr>
        <w:rPr>
          <w:i/>
          <w:iCs/>
          <w:lang w:val="en-NZ"/>
        </w:rPr>
      </w:pPr>
      <w:r w:rsidRPr="00C80B4D">
        <w:rPr>
          <w:i/>
          <w:iCs/>
          <w:lang w:val="en-NZ"/>
        </w:rPr>
        <w:t>Objective two – ensure the provision is robust and avoidance opportunities are minimised</w:t>
      </w:r>
    </w:p>
    <w:p w14:paraId="61E5B559" w14:textId="58C18EB6" w:rsidR="004C082B" w:rsidRPr="00E768C9" w:rsidRDefault="00E768C9" w:rsidP="0063630D">
      <w:pPr>
        <w:rPr>
          <w:lang w:val="en-NZ"/>
        </w:rPr>
      </w:pPr>
      <w:r>
        <w:rPr>
          <w:lang w:val="en-NZ"/>
        </w:rPr>
        <w:t xml:space="preserve">This objective is achieved at the expense of also capturing genuine donations </w:t>
      </w:r>
      <w:r w:rsidR="00506F06">
        <w:rPr>
          <w:lang w:val="en-NZ"/>
        </w:rPr>
        <w:t xml:space="preserve">of trading stock </w:t>
      </w:r>
      <w:r>
        <w:rPr>
          <w:lang w:val="en-NZ"/>
        </w:rPr>
        <w:t>that are not a concern.</w:t>
      </w:r>
    </w:p>
    <w:p w14:paraId="3AC8FDDC" w14:textId="27C00684" w:rsidR="004C082B" w:rsidRDefault="004C082B" w:rsidP="0063630D">
      <w:pPr>
        <w:rPr>
          <w:b/>
          <w:bCs/>
          <w:lang w:val="en-NZ"/>
        </w:rPr>
      </w:pPr>
      <w:r>
        <w:rPr>
          <w:b/>
          <w:bCs/>
          <w:lang w:val="en-NZ"/>
        </w:rPr>
        <w:t>Option two</w:t>
      </w:r>
      <w:r w:rsidR="001A32C7">
        <w:rPr>
          <w:b/>
          <w:bCs/>
          <w:lang w:val="en-NZ"/>
        </w:rPr>
        <w:t xml:space="preserve"> – targeted temporary exemption from the deemed income rule</w:t>
      </w:r>
      <w:r>
        <w:rPr>
          <w:b/>
          <w:bCs/>
          <w:lang w:val="en-NZ"/>
        </w:rPr>
        <w:t xml:space="preserve"> (preferred option)</w:t>
      </w:r>
    </w:p>
    <w:p w14:paraId="451090D6" w14:textId="2AAC4679" w:rsidR="005B5C10" w:rsidRPr="00C80B4D" w:rsidRDefault="00A52423" w:rsidP="0063630D">
      <w:pPr>
        <w:rPr>
          <w:i/>
          <w:iCs/>
          <w:lang w:val="en-NZ"/>
        </w:rPr>
      </w:pPr>
      <w:r w:rsidRPr="00C80B4D">
        <w:rPr>
          <w:i/>
          <w:iCs/>
          <w:lang w:val="en-NZ"/>
        </w:rPr>
        <w:t>Objective one – removing the tax impediment to donating trading stock</w:t>
      </w:r>
    </w:p>
    <w:p w14:paraId="2E184AED" w14:textId="549883F6" w:rsidR="00A52423" w:rsidRPr="003D16E4" w:rsidRDefault="003D16E4" w:rsidP="0063630D">
      <w:pPr>
        <w:rPr>
          <w:lang w:val="en-NZ"/>
        </w:rPr>
      </w:pPr>
      <w:r>
        <w:rPr>
          <w:lang w:val="en-NZ"/>
        </w:rPr>
        <w:t>This option achieves this objective as a</w:t>
      </w:r>
      <w:r w:rsidR="00A52423" w:rsidRPr="003D16E4">
        <w:rPr>
          <w:lang w:val="en-NZ"/>
        </w:rPr>
        <w:t xml:space="preserve"> business will no longer have to pay tax on an assumed profit when donating trading stock </w:t>
      </w:r>
      <w:r w:rsidR="00CB4B8D">
        <w:rPr>
          <w:lang w:val="en-NZ"/>
        </w:rPr>
        <w:t>on or after 17</w:t>
      </w:r>
      <w:r w:rsidR="00CB4B8D" w:rsidRPr="003D16E4">
        <w:rPr>
          <w:lang w:val="en-NZ"/>
        </w:rPr>
        <w:t xml:space="preserve"> </w:t>
      </w:r>
      <w:r w:rsidR="00A52423" w:rsidRPr="003D16E4">
        <w:rPr>
          <w:lang w:val="en-NZ"/>
        </w:rPr>
        <w:t xml:space="preserve">March 2020 and </w:t>
      </w:r>
      <w:r w:rsidR="00CB4B8D">
        <w:rPr>
          <w:lang w:val="en-NZ"/>
        </w:rPr>
        <w:t>before</w:t>
      </w:r>
      <w:r w:rsidR="008C08F0">
        <w:rPr>
          <w:lang w:val="en-NZ"/>
        </w:rPr>
        <w:t xml:space="preserve"> 17</w:t>
      </w:r>
      <w:r w:rsidR="00CB4B8D">
        <w:rPr>
          <w:lang w:val="en-NZ"/>
        </w:rPr>
        <w:t xml:space="preserve"> </w:t>
      </w:r>
      <w:r w:rsidR="00A52423" w:rsidRPr="003D16E4">
        <w:rPr>
          <w:lang w:val="en-NZ"/>
        </w:rPr>
        <w:t>March 2022 (unless the donation is to an associated party that is not a donee organisation or public authority</w:t>
      </w:r>
      <w:r w:rsidR="006C2C4B">
        <w:rPr>
          <w:lang w:val="en-NZ"/>
        </w:rPr>
        <w:t xml:space="preserve"> in which case the deemed income rule is appropriate to prevent tax avoidance</w:t>
      </w:r>
      <w:r w:rsidR="00A52423" w:rsidRPr="003D16E4">
        <w:rPr>
          <w:lang w:val="en-NZ"/>
        </w:rPr>
        <w:t>).</w:t>
      </w:r>
    </w:p>
    <w:p w14:paraId="1028E2E2" w14:textId="0A43BA85" w:rsidR="00A52423" w:rsidRPr="00C80B4D" w:rsidRDefault="003D16E4" w:rsidP="0063630D">
      <w:pPr>
        <w:rPr>
          <w:i/>
          <w:iCs/>
          <w:lang w:val="en-NZ"/>
        </w:rPr>
      </w:pPr>
      <w:r w:rsidRPr="00C80B4D">
        <w:rPr>
          <w:i/>
          <w:iCs/>
          <w:lang w:val="en-NZ"/>
        </w:rPr>
        <w:t xml:space="preserve">Objective two – ensure the provision is robust and </w:t>
      </w:r>
      <w:r w:rsidR="00C7236F" w:rsidRPr="00C80B4D">
        <w:rPr>
          <w:i/>
          <w:iCs/>
          <w:lang w:val="en-NZ"/>
        </w:rPr>
        <w:t>avoidance opportunities are minimised</w:t>
      </w:r>
    </w:p>
    <w:p w14:paraId="39583DFD" w14:textId="6415DCC1" w:rsidR="009B332C" w:rsidRDefault="009B332C" w:rsidP="0063630D">
      <w:pPr>
        <w:rPr>
          <w:lang w:val="en-NZ"/>
        </w:rPr>
      </w:pPr>
      <w:r>
        <w:rPr>
          <w:lang w:val="en-NZ"/>
        </w:rPr>
        <w:t xml:space="preserve">Avoidance opportunities are limited </w:t>
      </w:r>
      <w:r w:rsidR="009B019C">
        <w:rPr>
          <w:lang w:val="en-NZ"/>
        </w:rPr>
        <w:t>since</w:t>
      </w:r>
      <w:r>
        <w:rPr>
          <w:lang w:val="en-NZ"/>
        </w:rPr>
        <w:t xml:space="preserve"> relief from the deemed income rule is only provided when:</w:t>
      </w:r>
    </w:p>
    <w:p w14:paraId="74FA9A84" w14:textId="77777777" w:rsidR="005F61A2" w:rsidRPr="00DB12D4" w:rsidRDefault="005F61A2" w:rsidP="005F61A2">
      <w:pPr>
        <w:pStyle w:val="ListParagraph"/>
        <w:numPr>
          <w:ilvl w:val="0"/>
          <w:numId w:val="37"/>
        </w:numPr>
        <w:rPr>
          <w:lang w:val="en-NZ"/>
        </w:rPr>
      </w:pPr>
      <w:r w:rsidRPr="00DB12D4">
        <w:rPr>
          <w:lang w:val="en-NZ"/>
        </w:rPr>
        <w:t>Donations are made to donee organisations and public authorities.  These organisations are subject to regulation and are publicly transparent.</w:t>
      </w:r>
    </w:p>
    <w:p w14:paraId="4D06BAD4" w14:textId="09E9CAD1" w:rsidR="005F61A2" w:rsidRPr="00345E56" w:rsidRDefault="005F61A2" w:rsidP="005F61A2">
      <w:pPr>
        <w:pStyle w:val="ListParagraph"/>
        <w:numPr>
          <w:ilvl w:val="0"/>
          <w:numId w:val="37"/>
        </w:numPr>
        <w:rPr>
          <w:lang w:val="en-NZ"/>
        </w:rPr>
      </w:pPr>
      <w:r w:rsidRPr="00345E56">
        <w:rPr>
          <w:lang w:val="en-NZ"/>
        </w:rPr>
        <w:t xml:space="preserve">Donations are made for a business purpose to non-associates that are not donee organisations or public authorities. </w:t>
      </w:r>
      <w:bookmarkStart w:id="9" w:name="_Hlk61450198"/>
      <w:r w:rsidRPr="00345E56">
        <w:rPr>
          <w:lang w:val="en-NZ"/>
        </w:rPr>
        <w:t>There is likely to be minimal mischief in these cases as the donation results from a commercial decision to receive a benefit or advantage</w:t>
      </w:r>
      <w:r w:rsidRPr="00345E56">
        <w:t xml:space="preserve"> such as </w:t>
      </w:r>
      <w:r w:rsidRPr="00345E56">
        <w:rPr>
          <w:lang w:val="en-NZ"/>
        </w:rPr>
        <w:t>enhancing the business’s brand</w:t>
      </w:r>
      <w:bookmarkEnd w:id="9"/>
      <w:r w:rsidRPr="00345E56">
        <w:rPr>
          <w:lang w:val="en-NZ"/>
        </w:rPr>
        <w:t>.  The fact the donation must be made to a non-associate reduces the chance of any artificial transaction.  Existing tax rules – such as the deemed dividend rules, fringe benefit tax, and the general anti-avoidance rule, also limit the scope for abuse.</w:t>
      </w:r>
    </w:p>
    <w:p w14:paraId="163A410B" w14:textId="1AAC560D" w:rsidR="005F61A2" w:rsidRPr="00345E56" w:rsidRDefault="005F61A2" w:rsidP="005F61A2">
      <w:pPr>
        <w:pStyle w:val="ListParagraph"/>
        <w:numPr>
          <w:ilvl w:val="0"/>
          <w:numId w:val="37"/>
        </w:numPr>
        <w:rPr>
          <w:lang w:val="en-NZ"/>
        </w:rPr>
      </w:pPr>
      <w:r w:rsidRPr="00345E56">
        <w:rPr>
          <w:lang w:val="en-NZ"/>
        </w:rPr>
        <w:t>Donations are made for a non-business (charitable) purpose to non-associates</w:t>
      </w:r>
      <w:r w:rsidRPr="00345E56">
        <w:t xml:space="preserve"> </w:t>
      </w:r>
      <w:r w:rsidRPr="00345E56">
        <w:rPr>
          <w:lang w:val="en-NZ"/>
        </w:rPr>
        <w:t xml:space="preserve">that are not donee organisations or public authorities. There is likely to be minimal mischief in these cases as the donation is made to a non-associated entity. The proposed amendment does not allow a deduction in these situations, it simply removes the requirement to report the market value as deemed income, so the </w:t>
      </w:r>
      <w:r w:rsidR="000F43FB">
        <w:rPr>
          <w:lang w:val="en-NZ"/>
        </w:rPr>
        <w:t>risk to the tax base</w:t>
      </w:r>
      <w:r w:rsidRPr="00345E56">
        <w:rPr>
          <w:lang w:val="en-NZ"/>
        </w:rPr>
        <w:t xml:space="preserve"> is minimal.  </w:t>
      </w:r>
    </w:p>
    <w:p w14:paraId="4F9AF0AE" w14:textId="6A5D4A6F" w:rsidR="00A52423" w:rsidRPr="00C80B4D" w:rsidRDefault="00547C1C" w:rsidP="0063630D">
      <w:pPr>
        <w:rPr>
          <w:i/>
          <w:iCs/>
          <w:lang w:val="en-NZ"/>
        </w:rPr>
      </w:pPr>
      <w:r w:rsidRPr="00C80B4D">
        <w:rPr>
          <w:i/>
          <w:iCs/>
          <w:lang w:val="en-NZ"/>
        </w:rPr>
        <w:t>What is the level of stakeholder support for this option?</w:t>
      </w:r>
    </w:p>
    <w:p w14:paraId="17FD6822" w14:textId="4B0E95D6" w:rsidR="00547C1C" w:rsidRPr="001F5C95" w:rsidRDefault="00547C1C" w:rsidP="0063630D">
      <w:pPr>
        <w:rPr>
          <w:lang w:val="en-NZ"/>
        </w:rPr>
      </w:pPr>
      <w:r w:rsidRPr="001F5C95">
        <w:rPr>
          <w:lang w:val="en-NZ"/>
        </w:rPr>
        <w:t xml:space="preserve">Stakeholders fully support this option although they </w:t>
      </w:r>
      <w:r w:rsidR="0052585B">
        <w:rPr>
          <w:lang w:val="en-NZ"/>
        </w:rPr>
        <w:t>prefer</w:t>
      </w:r>
      <w:r w:rsidR="0052585B" w:rsidRPr="001F5C95">
        <w:rPr>
          <w:lang w:val="en-NZ"/>
        </w:rPr>
        <w:t xml:space="preserve"> </w:t>
      </w:r>
      <w:r w:rsidRPr="001F5C95">
        <w:rPr>
          <w:lang w:val="en-NZ"/>
        </w:rPr>
        <w:t>a permanent solution.</w:t>
      </w:r>
    </w:p>
    <w:p w14:paraId="33AD2818" w14:textId="09970CF6" w:rsidR="00A52423" w:rsidRPr="00C80B4D" w:rsidRDefault="00C620F0" w:rsidP="0063630D">
      <w:pPr>
        <w:rPr>
          <w:i/>
          <w:iCs/>
          <w:lang w:val="en-NZ"/>
        </w:rPr>
      </w:pPr>
      <w:r w:rsidRPr="00C80B4D">
        <w:rPr>
          <w:i/>
          <w:iCs/>
          <w:lang w:val="en-NZ"/>
        </w:rPr>
        <w:t>Will there be an increase o</w:t>
      </w:r>
      <w:r w:rsidR="0051541C">
        <w:rPr>
          <w:i/>
          <w:iCs/>
          <w:lang w:val="en-NZ"/>
        </w:rPr>
        <w:t>r</w:t>
      </w:r>
      <w:r w:rsidRPr="00C80B4D">
        <w:rPr>
          <w:i/>
          <w:iCs/>
          <w:lang w:val="en-NZ"/>
        </w:rPr>
        <w:t xml:space="preserve"> decrease in</w:t>
      </w:r>
      <w:r w:rsidR="00E51C95" w:rsidRPr="00C80B4D">
        <w:rPr>
          <w:i/>
          <w:iCs/>
          <w:lang w:val="en-NZ"/>
        </w:rPr>
        <w:t xml:space="preserve"> the benefit to society compared with the status quo?</w:t>
      </w:r>
    </w:p>
    <w:p w14:paraId="1CA8EFB5" w14:textId="73490B4B" w:rsidR="00245993" w:rsidRDefault="00B32B07" w:rsidP="00735FEE">
      <w:pPr>
        <w:rPr>
          <w:lang w:val="en-NZ"/>
        </w:rPr>
      </w:pPr>
      <w:r w:rsidRPr="0096452E">
        <w:rPr>
          <w:lang w:val="en-NZ"/>
        </w:rPr>
        <w:t xml:space="preserve">Because there is a </w:t>
      </w:r>
      <w:r w:rsidR="00F8079F">
        <w:rPr>
          <w:lang w:val="en-NZ"/>
        </w:rPr>
        <w:t>high</w:t>
      </w:r>
      <w:r w:rsidRPr="0096452E">
        <w:rPr>
          <w:lang w:val="en-NZ"/>
        </w:rPr>
        <w:t xml:space="preserve"> level of non-compliance with the deemed income rule, the change </w:t>
      </w:r>
      <w:r w:rsidR="00B91845" w:rsidRPr="0096452E">
        <w:rPr>
          <w:lang w:val="en-NZ"/>
        </w:rPr>
        <w:t xml:space="preserve">will mainly align the law with commercial practice. </w:t>
      </w:r>
      <w:r w:rsidR="0096452E">
        <w:rPr>
          <w:lang w:val="en-NZ"/>
        </w:rPr>
        <w:t>At the margins t</w:t>
      </w:r>
      <w:r w:rsidR="000A30AF" w:rsidRPr="0096452E">
        <w:rPr>
          <w:lang w:val="en-NZ"/>
        </w:rPr>
        <w:t xml:space="preserve">here should be some increase in donations of trading stock </w:t>
      </w:r>
      <w:r w:rsidR="00266574">
        <w:rPr>
          <w:lang w:val="en-NZ"/>
        </w:rPr>
        <w:t xml:space="preserve">(and the quality of those donations) </w:t>
      </w:r>
      <w:r w:rsidR="000A30AF" w:rsidRPr="0096452E">
        <w:rPr>
          <w:lang w:val="en-NZ"/>
        </w:rPr>
        <w:t xml:space="preserve">which will have a </w:t>
      </w:r>
      <w:r w:rsidR="00E164F6">
        <w:rPr>
          <w:lang w:val="en-NZ"/>
        </w:rPr>
        <w:t xml:space="preserve">social  </w:t>
      </w:r>
      <w:proofErr w:type="gramStart"/>
      <w:r w:rsidR="00E164F6">
        <w:rPr>
          <w:lang w:val="en-NZ"/>
        </w:rPr>
        <w:t>benefit</w:t>
      </w:r>
      <w:r w:rsidR="000A30AF" w:rsidRPr="0096452E">
        <w:rPr>
          <w:lang w:val="en-NZ"/>
        </w:rPr>
        <w:t>, but</w:t>
      </w:r>
      <w:proofErr w:type="gramEnd"/>
      <w:r w:rsidR="000A30AF" w:rsidRPr="0096452E">
        <w:rPr>
          <w:lang w:val="en-NZ"/>
        </w:rPr>
        <w:t xml:space="preserve"> </w:t>
      </w:r>
      <w:r w:rsidR="00E164F6">
        <w:rPr>
          <w:lang w:val="en-NZ"/>
        </w:rPr>
        <w:t xml:space="preserve">will </w:t>
      </w:r>
      <w:r w:rsidR="000A30AF" w:rsidRPr="0096452E">
        <w:rPr>
          <w:lang w:val="en-NZ"/>
        </w:rPr>
        <w:t xml:space="preserve">also </w:t>
      </w:r>
      <w:r w:rsidR="00E164F6">
        <w:rPr>
          <w:lang w:val="en-NZ"/>
        </w:rPr>
        <w:t xml:space="preserve">result in </w:t>
      </w:r>
      <w:r w:rsidR="000A30AF" w:rsidRPr="0096452E">
        <w:rPr>
          <w:lang w:val="en-NZ"/>
        </w:rPr>
        <w:t xml:space="preserve">slightly less tax collected.  </w:t>
      </w:r>
      <w:bookmarkStart w:id="10" w:name="_Hlk53565400"/>
    </w:p>
    <w:p w14:paraId="5A3E2DCC" w14:textId="77777777" w:rsidR="005B2CFD" w:rsidRDefault="005B2CFD" w:rsidP="005B2CFD">
      <w:pPr>
        <w:rPr>
          <w:b/>
          <w:bCs/>
          <w:lang w:val="en-NZ"/>
        </w:rPr>
      </w:pPr>
      <w:r>
        <w:rPr>
          <w:b/>
          <w:bCs/>
          <w:lang w:val="en-NZ"/>
        </w:rPr>
        <w:t xml:space="preserve">Option three –more limited temporary exemption from the deemed income rule </w:t>
      </w:r>
    </w:p>
    <w:p w14:paraId="1E6FE04D" w14:textId="77777777" w:rsidR="005B2CFD" w:rsidRPr="00C80B4D" w:rsidRDefault="005B2CFD" w:rsidP="005B2CFD">
      <w:pPr>
        <w:rPr>
          <w:b/>
          <w:bCs/>
          <w:lang w:val="en-NZ"/>
        </w:rPr>
      </w:pPr>
      <w:r w:rsidRPr="00C80B4D">
        <w:rPr>
          <w:i/>
          <w:iCs/>
          <w:lang w:val="en-NZ"/>
        </w:rPr>
        <w:t>Objective one – removing the tax impediment to donating trading stock</w:t>
      </w:r>
    </w:p>
    <w:p w14:paraId="44FCA0BF" w14:textId="77777777" w:rsidR="005B2CFD" w:rsidRPr="003D16E4" w:rsidRDefault="005B2CFD" w:rsidP="005B2CFD">
      <w:pPr>
        <w:rPr>
          <w:lang w:val="en-NZ"/>
        </w:rPr>
      </w:pPr>
      <w:r>
        <w:rPr>
          <w:lang w:val="en-NZ"/>
        </w:rPr>
        <w:t>This option achieves this objective but to a lesser extent than option two, as a business donating trading stock for a business purpose will be disallowed a deduction under this option.</w:t>
      </w:r>
    </w:p>
    <w:p w14:paraId="2AAF90C3" w14:textId="77777777" w:rsidR="005B2CFD" w:rsidRPr="00C80B4D" w:rsidRDefault="005B2CFD" w:rsidP="005B2CFD">
      <w:pPr>
        <w:rPr>
          <w:i/>
          <w:iCs/>
          <w:lang w:val="en-NZ"/>
        </w:rPr>
      </w:pPr>
      <w:r w:rsidRPr="00C80B4D">
        <w:rPr>
          <w:i/>
          <w:iCs/>
          <w:lang w:val="en-NZ"/>
        </w:rPr>
        <w:t>Objective two – ensure the provision is robust and avoidance opportunities are minimised</w:t>
      </w:r>
    </w:p>
    <w:p w14:paraId="2C51465C" w14:textId="77777777" w:rsidR="005B2CFD" w:rsidRDefault="005B2CFD" w:rsidP="005B2CFD">
      <w:pPr>
        <w:rPr>
          <w:lang w:val="en-NZ"/>
        </w:rPr>
      </w:pPr>
      <w:r>
        <w:rPr>
          <w:lang w:val="en-NZ"/>
        </w:rPr>
        <w:t>Avoidance opportunities are limited – same rationale as option two.</w:t>
      </w:r>
    </w:p>
    <w:p w14:paraId="4504EFC5" w14:textId="77777777" w:rsidR="005B2CFD" w:rsidRPr="00C80B4D" w:rsidRDefault="005B2CFD" w:rsidP="005B2CFD">
      <w:pPr>
        <w:rPr>
          <w:i/>
          <w:iCs/>
          <w:lang w:val="en-NZ"/>
        </w:rPr>
      </w:pPr>
      <w:r w:rsidRPr="00C80B4D">
        <w:rPr>
          <w:i/>
          <w:iCs/>
          <w:lang w:val="en-NZ"/>
        </w:rPr>
        <w:t>What is the level of stakeholder support for this option?</w:t>
      </w:r>
    </w:p>
    <w:p w14:paraId="696F22D1" w14:textId="799FD890" w:rsidR="005B2CFD" w:rsidRDefault="005B2CFD" w:rsidP="005B2CFD">
      <w:pPr>
        <w:rPr>
          <w:lang w:val="en-NZ"/>
        </w:rPr>
      </w:pPr>
      <w:r>
        <w:rPr>
          <w:lang w:val="en-NZ"/>
        </w:rPr>
        <w:t xml:space="preserve">Stakeholders prefer this option to the status quo </w:t>
      </w:r>
      <w:r w:rsidR="00506F06">
        <w:rPr>
          <w:lang w:val="en-NZ"/>
        </w:rPr>
        <w:t xml:space="preserve">as it would remove the deemed income arising on the donation of trading stock </w:t>
      </w:r>
      <w:r>
        <w:rPr>
          <w:lang w:val="en-NZ"/>
        </w:rPr>
        <w:t xml:space="preserve">but believe it does not go far enough.  In particular, they do not think it appropriate to disallow a deduction </w:t>
      </w:r>
      <w:r w:rsidR="00506F06">
        <w:t>for the cost of the donated trading stock</w:t>
      </w:r>
      <w:r w:rsidR="00506F06">
        <w:rPr>
          <w:lang w:val="en-NZ"/>
        </w:rPr>
        <w:t xml:space="preserve"> </w:t>
      </w:r>
      <w:r>
        <w:rPr>
          <w:lang w:val="en-NZ"/>
        </w:rPr>
        <w:t xml:space="preserve">where trading stock is donated for a business purpose.  </w:t>
      </w:r>
      <w:r w:rsidRPr="001674EC">
        <w:rPr>
          <w:lang w:val="en-NZ"/>
        </w:rPr>
        <w:t xml:space="preserve">It is not uncommon for businesses </w:t>
      </w:r>
      <w:r w:rsidR="00C80B4D">
        <w:rPr>
          <w:lang w:val="en-NZ"/>
        </w:rPr>
        <w:t xml:space="preserve">to </w:t>
      </w:r>
      <w:r w:rsidRPr="001674EC">
        <w:rPr>
          <w:lang w:val="en-NZ"/>
        </w:rPr>
        <w:t xml:space="preserve">donate trading stock as a way of promoting their business (i.e., increased customer loyalty and brand awareness, even if there is a philanthropic element to it). This is </w:t>
      </w:r>
      <w:r w:rsidR="00506F06">
        <w:rPr>
          <w:lang w:val="en-NZ"/>
        </w:rPr>
        <w:t xml:space="preserve">currently </w:t>
      </w:r>
      <w:r w:rsidRPr="001674EC">
        <w:rPr>
          <w:lang w:val="en-NZ"/>
        </w:rPr>
        <w:t>deductible under general tax rules</w:t>
      </w:r>
      <w:r w:rsidR="00506F06">
        <w:rPr>
          <w:lang w:val="en-NZ"/>
        </w:rPr>
        <w:t xml:space="preserve"> and this option would reverse that position</w:t>
      </w:r>
      <w:r w:rsidRPr="001674EC">
        <w:rPr>
          <w:lang w:val="en-NZ"/>
        </w:rPr>
        <w:t xml:space="preserve">. The proposal to </w:t>
      </w:r>
      <w:r w:rsidR="00506F06">
        <w:rPr>
          <w:lang w:val="en-NZ"/>
        </w:rPr>
        <w:t>not permit a</w:t>
      </w:r>
      <w:r w:rsidRPr="001674EC">
        <w:rPr>
          <w:lang w:val="en-NZ"/>
        </w:rPr>
        <w:t xml:space="preserve"> deduction </w:t>
      </w:r>
      <w:r w:rsidR="00506F06">
        <w:t>for the cost of the donated trading stock</w:t>
      </w:r>
      <w:r w:rsidR="00506F06" w:rsidRPr="001674EC">
        <w:rPr>
          <w:lang w:val="en-NZ"/>
        </w:rPr>
        <w:t xml:space="preserve"> </w:t>
      </w:r>
      <w:r w:rsidRPr="001674EC">
        <w:rPr>
          <w:lang w:val="en-NZ"/>
        </w:rPr>
        <w:t>should only apply where there is no business reason for making the donation – such as pure gifts</w:t>
      </w:r>
      <w:r w:rsidR="00103917">
        <w:rPr>
          <w:lang w:val="en-NZ"/>
        </w:rPr>
        <w:t xml:space="preserve"> where there is no material benefit or advantage to the donor</w:t>
      </w:r>
      <w:r w:rsidRPr="001674EC">
        <w:rPr>
          <w:lang w:val="en-NZ"/>
        </w:rPr>
        <w:t>.  Donating trading stock for a commercial outcome is a genuine business expense and should be treated as such.</w:t>
      </w:r>
    </w:p>
    <w:p w14:paraId="40BBDF46" w14:textId="4E257CAC" w:rsidR="005B2CFD" w:rsidRPr="00C80B4D" w:rsidRDefault="005B2CFD" w:rsidP="005B2CFD">
      <w:pPr>
        <w:rPr>
          <w:i/>
          <w:iCs/>
          <w:lang w:val="en-NZ"/>
        </w:rPr>
      </w:pPr>
      <w:r w:rsidRPr="00C80B4D">
        <w:rPr>
          <w:i/>
          <w:iCs/>
          <w:lang w:val="en-NZ"/>
        </w:rPr>
        <w:t>Will there be an increase o</w:t>
      </w:r>
      <w:r>
        <w:rPr>
          <w:i/>
          <w:iCs/>
          <w:lang w:val="en-NZ"/>
        </w:rPr>
        <w:t>r</w:t>
      </w:r>
      <w:r w:rsidRPr="00C80B4D">
        <w:rPr>
          <w:i/>
          <w:iCs/>
          <w:lang w:val="en-NZ"/>
        </w:rPr>
        <w:t xml:space="preserve"> decrease in the benefit to society compared with the status quo?</w:t>
      </w:r>
    </w:p>
    <w:p w14:paraId="02714D76" w14:textId="77777777" w:rsidR="005B2CFD" w:rsidRDefault="005B2CFD" w:rsidP="005B2CFD">
      <w:pPr>
        <w:rPr>
          <w:lang w:val="en-NZ"/>
        </w:rPr>
      </w:pPr>
      <w:r>
        <w:rPr>
          <w:lang w:val="en-NZ"/>
        </w:rPr>
        <w:t>Same as option two – but slightly less of an increase in donations given this option is less generous.</w:t>
      </w:r>
    </w:p>
    <w:p w14:paraId="5D051B1F" w14:textId="77777777" w:rsidR="006343B1" w:rsidRDefault="006343B1" w:rsidP="00735FEE">
      <w:pPr>
        <w:rPr>
          <w:lang w:val="en-NZ"/>
        </w:rPr>
      </w:pPr>
    </w:p>
    <w:p w14:paraId="4EC02C43" w14:textId="150C8722" w:rsidR="00D71CE0" w:rsidRPr="00A864A5" w:rsidRDefault="00F01ED1" w:rsidP="00245993">
      <w:pPr>
        <w:pStyle w:val="Heading3"/>
        <w:rPr>
          <w:noProof/>
          <w:lang w:val="en-NZ" w:eastAsia="en-NZ"/>
        </w:rPr>
      </w:pPr>
      <w:r w:rsidRPr="00A864A5">
        <w:rPr>
          <w:noProof/>
          <w:lang w:val="en-NZ" w:eastAsia="en-NZ"/>
        </w:rPr>
        <w:t>Multi-Criteria Analysis</w:t>
      </w:r>
      <w:bookmarkEnd w:id="10"/>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631"/>
        <w:gridCol w:w="2761"/>
        <w:gridCol w:w="2555"/>
        <w:gridCol w:w="2005"/>
      </w:tblGrid>
      <w:tr w:rsidR="008D305B" w:rsidRPr="00A864A5" w14:paraId="64606FB2" w14:textId="46BE1A72" w:rsidTr="00E77219">
        <w:trPr>
          <w:trHeight w:val="395"/>
        </w:trPr>
        <w:tc>
          <w:tcPr>
            <w:tcW w:w="1631" w:type="dxa"/>
            <w:shd w:val="clear" w:color="auto" w:fill="99CDDD"/>
            <w:vAlign w:val="center"/>
          </w:tcPr>
          <w:p w14:paraId="3D6EF1B6" w14:textId="77777777" w:rsidR="008D305B" w:rsidRPr="00A864A5" w:rsidRDefault="008D305B" w:rsidP="004C056B">
            <w:pPr>
              <w:spacing w:before="60" w:after="60" w:line="276" w:lineRule="auto"/>
              <w:jc w:val="center"/>
              <w:rPr>
                <w:rFonts w:cs="Arial"/>
                <w:b/>
                <w:color w:val="FFFFFF"/>
                <w:sz w:val="20"/>
                <w:szCs w:val="24"/>
                <w:lang w:val="en-NZ"/>
              </w:rPr>
            </w:pPr>
          </w:p>
        </w:tc>
        <w:tc>
          <w:tcPr>
            <w:tcW w:w="2761" w:type="dxa"/>
            <w:shd w:val="clear" w:color="auto" w:fill="99CDDD"/>
            <w:vAlign w:val="center"/>
          </w:tcPr>
          <w:p w14:paraId="643BB81E" w14:textId="510A0467" w:rsidR="008D305B" w:rsidRPr="00A864A5" w:rsidRDefault="008D305B" w:rsidP="004C056B">
            <w:pPr>
              <w:spacing w:before="60" w:after="60" w:line="240" w:lineRule="auto"/>
              <w:jc w:val="center"/>
              <w:rPr>
                <w:rFonts w:cs="Arial"/>
                <w:b/>
                <w:color w:val="000000"/>
                <w:szCs w:val="22"/>
                <w:lang w:val="en-NZ"/>
              </w:rPr>
            </w:pPr>
            <w:r w:rsidRPr="00A864A5">
              <w:rPr>
                <w:rFonts w:cs="Arial"/>
                <w:b/>
                <w:color w:val="000000"/>
                <w:szCs w:val="22"/>
                <w:lang w:val="en-NZ"/>
              </w:rPr>
              <w:t>Option One – Status Quo / Counterfactual</w:t>
            </w:r>
          </w:p>
        </w:tc>
        <w:tc>
          <w:tcPr>
            <w:tcW w:w="2555" w:type="dxa"/>
            <w:shd w:val="clear" w:color="auto" w:fill="99CDDD"/>
            <w:vAlign w:val="center"/>
          </w:tcPr>
          <w:p w14:paraId="62135168" w14:textId="3E054946" w:rsidR="008D305B" w:rsidRPr="00A864A5" w:rsidRDefault="008D305B" w:rsidP="004C056B">
            <w:pPr>
              <w:spacing w:before="60" w:after="60" w:line="276" w:lineRule="auto"/>
              <w:jc w:val="center"/>
              <w:rPr>
                <w:rFonts w:cs="Arial"/>
                <w:b/>
                <w:color w:val="000000"/>
                <w:szCs w:val="22"/>
                <w:lang w:val="en-NZ"/>
              </w:rPr>
            </w:pPr>
            <w:r w:rsidRPr="00A864A5">
              <w:rPr>
                <w:rFonts w:cs="Arial"/>
                <w:b/>
                <w:color w:val="000000"/>
                <w:szCs w:val="22"/>
                <w:lang w:val="en-NZ"/>
              </w:rPr>
              <w:t xml:space="preserve">Option Two – </w:t>
            </w:r>
            <w:r w:rsidRPr="00C0428F">
              <w:rPr>
                <w:rFonts w:cs="Arial"/>
                <w:b/>
                <w:color w:val="000000"/>
                <w:szCs w:val="22"/>
                <w:lang w:val="en-NZ"/>
              </w:rPr>
              <w:t>targeted temporary exemption from the deemed income rule</w:t>
            </w:r>
          </w:p>
        </w:tc>
        <w:tc>
          <w:tcPr>
            <w:tcW w:w="2005" w:type="dxa"/>
            <w:shd w:val="clear" w:color="auto" w:fill="99CDDD"/>
          </w:tcPr>
          <w:p w14:paraId="060961C8" w14:textId="17FE2B82" w:rsidR="008D305B" w:rsidRPr="00A864A5" w:rsidRDefault="00E77219" w:rsidP="004C056B">
            <w:pPr>
              <w:spacing w:before="60" w:after="60" w:line="276" w:lineRule="auto"/>
              <w:jc w:val="center"/>
              <w:rPr>
                <w:rFonts w:cs="Arial"/>
                <w:b/>
                <w:color w:val="000000"/>
                <w:szCs w:val="22"/>
                <w:lang w:val="en-NZ"/>
              </w:rPr>
            </w:pPr>
            <w:r>
              <w:rPr>
                <w:rFonts w:cs="Arial"/>
                <w:b/>
                <w:color w:val="000000"/>
                <w:szCs w:val="22"/>
                <w:lang w:val="en-NZ"/>
              </w:rPr>
              <w:t>Option three – more limited temporary exemption from the deemed income rule</w:t>
            </w:r>
          </w:p>
        </w:tc>
      </w:tr>
      <w:tr w:rsidR="008D305B" w:rsidRPr="00A864A5" w14:paraId="43A4983D" w14:textId="14001B4B" w:rsidTr="00E77219">
        <w:trPr>
          <w:trHeight w:val="615"/>
        </w:trPr>
        <w:tc>
          <w:tcPr>
            <w:tcW w:w="1631" w:type="dxa"/>
            <w:shd w:val="clear" w:color="auto" w:fill="99CDDD"/>
            <w:vAlign w:val="center"/>
          </w:tcPr>
          <w:p w14:paraId="62A9F0E1" w14:textId="5C018A81" w:rsidR="008D305B" w:rsidRPr="004010CC" w:rsidRDefault="008D305B" w:rsidP="004C056B">
            <w:pPr>
              <w:spacing w:before="60" w:after="60" w:line="240" w:lineRule="auto"/>
              <w:jc w:val="center"/>
              <w:rPr>
                <w:rFonts w:cs="Arial"/>
                <w:b/>
                <w:color w:val="000000"/>
                <w:szCs w:val="22"/>
                <w:lang w:val="en-NZ"/>
              </w:rPr>
            </w:pPr>
            <w:r w:rsidRPr="004010CC">
              <w:rPr>
                <w:rFonts w:cs="Arial"/>
                <w:b/>
                <w:color w:val="000000"/>
                <w:szCs w:val="22"/>
                <w:lang w:val="en-NZ"/>
              </w:rPr>
              <w:t>Fiscal cost</w:t>
            </w:r>
          </w:p>
        </w:tc>
        <w:tc>
          <w:tcPr>
            <w:tcW w:w="2761" w:type="dxa"/>
            <w:shd w:val="clear" w:color="auto" w:fill="auto"/>
            <w:vAlign w:val="center"/>
          </w:tcPr>
          <w:p w14:paraId="2C8AD330" w14:textId="5D33D519" w:rsidR="008D305B" w:rsidRPr="004010CC" w:rsidRDefault="008D305B" w:rsidP="004C056B">
            <w:pPr>
              <w:pStyle w:val="TableText"/>
              <w:spacing w:line="276" w:lineRule="auto"/>
              <w:jc w:val="center"/>
              <w:rPr>
                <w:bCs/>
                <w:sz w:val="22"/>
                <w:lang w:val="en-NZ"/>
              </w:rPr>
            </w:pPr>
            <w:r w:rsidRPr="004010CC">
              <w:rPr>
                <w:bCs/>
                <w:sz w:val="22"/>
                <w:lang w:val="en-NZ"/>
              </w:rPr>
              <w:t>0</w:t>
            </w:r>
          </w:p>
        </w:tc>
        <w:tc>
          <w:tcPr>
            <w:tcW w:w="2555" w:type="dxa"/>
            <w:shd w:val="clear" w:color="auto" w:fill="auto"/>
            <w:vAlign w:val="center"/>
          </w:tcPr>
          <w:p w14:paraId="64D49E0B" w14:textId="3485A743" w:rsidR="008D305B" w:rsidRPr="004010CC" w:rsidRDefault="008D305B" w:rsidP="00FC3039">
            <w:pPr>
              <w:pStyle w:val="TableText"/>
              <w:spacing w:line="276" w:lineRule="auto"/>
              <w:rPr>
                <w:sz w:val="22"/>
                <w:lang w:val="en-NZ"/>
              </w:rPr>
            </w:pPr>
            <w:r w:rsidRPr="004010CC">
              <w:rPr>
                <w:sz w:val="22"/>
                <w:lang w:val="en-NZ"/>
              </w:rPr>
              <w:t>Cost of $10 million over two years</w:t>
            </w:r>
          </w:p>
        </w:tc>
        <w:tc>
          <w:tcPr>
            <w:tcW w:w="2005" w:type="dxa"/>
          </w:tcPr>
          <w:p w14:paraId="6323BF58" w14:textId="6BD8CA95" w:rsidR="008D305B" w:rsidRPr="004010CC" w:rsidRDefault="00BD50D5" w:rsidP="00FC3039">
            <w:pPr>
              <w:pStyle w:val="TableText"/>
              <w:spacing w:line="276" w:lineRule="auto"/>
              <w:rPr>
                <w:sz w:val="22"/>
                <w:lang w:val="en-NZ"/>
              </w:rPr>
            </w:pPr>
            <w:r w:rsidRPr="004010CC">
              <w:rPr>
                <w:sz w:val="22"/>
                <w:lang w:val="en-NZ"/>
              </w:rPr>
              <w:t xml:space="preserve">Similar to option </w:t>
            </w:r>
            <w:r w:rsidR="00C80B4D" w:rsidRPr="004010CC">
              <w:rPr>
                <w:sz w:val="22"/>
                <w:lang w:val="en-NZ"/>
              </w:rPr>
              <w:t>two</w:t>
            </w:r>
            <w:r w:rsidRPr="004010CC">
              <w:rPr>
                <w:sz w:val="22"/>
                <w:lang w:val="en-NZ"/>
              </w:rPr>
              <w:t xml:space="preserve">, but slightly less given </w:t>
            </w:r>
            <w:r w:rsidR="000F2180" w:rsidRPr="004010CC">
              <w:rPr>
                <w:sz w:val="22"/>
                <w:lang w:val="en-NZ"/>
              </w:rPr>
              <w:t>the option is not as generous.</w:t>
            </w:r>
          </w:p>
        </w:tc>
      </w:tr>
      <w:tr w:rsidR="00E77219" w:rsidRPr="00A864A5" w14:paraId="04AAEE0B" w14:textId="77777777" w:rsidTr="00E77219">
        <w:trPr>
          <w:trHeight w:val="615"/>
        </w:trPr>
        <w:tc>
          <w:tcPr>
            <w:tcW w:w="1631" w:type="dxa"/>
            <w:shd w:val="clear" w:color="auto" w:fill="99CDDD"/>
            <w:vAlign w:val="center"/>
          </w:tcPr>
          <w:p w14:paraId="461848FF" w14:textId="720C1880" w:rsidR="00E77219" w:rsidRPr="004010CC" w:rsidRDefault="00A22FA8" w:rsidP="004C056B">
            <w:pPr>
              <w:spacing w:before="60" w:after="60" w:line="240" w:lineRule="auto"/>
              <w:jc w:val="center"/>
              <w:rPr>
                <w:rFonts w:cs="Arial"/>
                <w:b/>
                <w:color w:val="000000"/>
                <w:szCs w:val="22"/>
                <w:lang w:val="en-NZ"/>
              </w:rPr>
            </w:pPr>
            <w:r w:rsidRPr="004010CC">
              <w:rPr>
                <w:rFonts w:cs="Arial"/>
                <w:b/>
                <w:color w:val="000000"/>
                <w:szCs w:val="22"/>
                <w:lang w:val="en-NZ"/>
              </w:rPr>
              <w:t>Fairness</w:t>
            </w:r>
          </w:p>
        </w:tc>
        <w:tc>
          <w:tcPr>
            <w:tcW w:w="2761" w:type="dxa"/>
            <w:shd w:val="clear" w:color="auto" w:fill="auto"/>
            <w:vAlign w:val="center"/>
          </w:tcPr>
          <w:p w14:paraId="2CB529B7" w14:textId="598CED97" w:rsidR="00E77219" w:rsidRPr="004010CC" w:rsidRDefault="00C76216" w:rsidP="004C056B">
            <w:pPr>
              <w:pStyle w:val="TableText"/>
              <w:spacing w:line="276" w:lineRule="auto"/>
              <w:jc w:val="center"/>
              <w:rPr>
                <w:bCs/>
                <w:sz w:val="22"/>
                <w:lang w:val="en-NZ"/>
              </w:rPr>
            </w:pPr>
            <w:r w:rsidRPr="004010CC">
              <w:rPr>
                <w:bCs/>
                <w:sz w:val="22"/>
                <w:lang w:val="en-NZ"/>
              </w:rPr>
              <w:t xml:space="preserve">The status quo is unfair as </w:t>
            </w:r>
            <w:r w:rsidR="003138B4" w:rsidRPr="004010CC">
              <w:rPr>
                <w:bCs/>
                <w:sz w:val="22"/>
                <w:lang w:val="en-NZ"/>
              </w:rPr>
              <w:t>a business</w:t>
            </w:r>
            <w:r w:rsidR="00CF0500" w:rsidRPr="004010CC">
              <w:rPr>
                <w:bCs/>
                <w:sz w:val="22"/>
                <w:lang w:val="en-NZ"/>
              </w:rPr>
              <w:t xml:space="preserve"> is required to pay tax when donating trading stock in circumstances where there is no concern.  Tax is normally payable on profit</w:t>
            </w:r>
            <w:r w:rsidR="00B211E6" w:rsidRPr="004010CC">
              <w:rPr>
                <w:bCs/>
                <w:sz w:val="22"/>
                <w:lang w:val="en-NZ"/>
              </w:rPr>
              <w:t xml:space="preserve"> – not when giving something away for free.  If a</w:t>
            </w:r>
            <w:r w:rsidR="009F740A" w:rsidRPr="004010CC">
              <w:rPr>
                <w:bCs/>
                <w:sz w:val="22"/>
                <w:lang w:val="en-NZ"/>
              </w:rPr>
              <w:t xml:space="preserve"> business donated cash it would receive a tax concession</w:t>
            </w:r>
            <w:r w:rsidR="00626639" w:rsidRPr="004010CC">
              <w:rPr>
                <w:bCs/>
                <w:sz w:val="22"/>
                <w:lang w:val="en-NZ"/>
              </w:rPr>
              <w:t xml:space="preserve"> in certain circumstances</w:t>
            </w:r>
            <w:r w:rsidR="009F740A" w:rsidRPr="004010CC">
              <w:rPr>
                <w:bCs/>
                <w:sz w:val="22"/>
                <w:lang w:val="en-NZ"/>
              </w:rPr>
              <w:t>, but if it donates trading stock it must pay tax on a profit that has not eventuated.</w:t>
            </w:r>
          </w:p>
        </w:tc>
        <w:tc>
          <w:tcPr>
            <w:tcW w:w="2555" w:type="dxa"/>
            <w:shd w:val="clear" w:color="auto" w:fill="auto"/>
            <w:vAlign w:val="center"/>
          </w:tcPr>
          <w:p w14:paraId="3D0E2B78" w14:textId="19DA815C" w:rsidR="00E77219" w:rsidRPr="004010CC" w:rsidRDefault="002A5799" w:rsidP="002A5799">
            <w:pPr>
              <w:pStyle w:val="TableText"/>
              <w:spacing w:line="276" w:lineRule="auto"/>
              <w:rPr>
                <w:sz w:val="22"/>
                <w:lang w:val="en-NZ"/>
              </w:rPr>
            </w:pPr>
            <w:r w:rsidRPr="004010CC">
              <w:rPr>
                <w:sz w:val="22"/>
                <w:lang w:val="en-NZ"/>
              </w:rPr>
              <w:t xml:space="preserve">Removes the disincentive to donate trading </w:t>
            </w:r>
            <w:r w:rsidR="00BD50D5" w:rsidRPr="004010CC">
              <w:rPr>
                <w:sz w:val="22"/>
                <w:lang w:val="en-NZ"/>
              </w:rPr>
              <w:t>stock and</w:t>
            </w:r>
            <w:r w:rsidRPr="004010CC">
              <w:rPr>
                <w:sz w:val="22"/>
                <w:lang w:val="en-NZ"/>
              </w:rPr>
              <w:t xml:space="preserve"> ensures </w:t>
            </w:r>
            <w:r w:rsidR="00B4624D" w:rsidRPr="004010CC">
              <w:rPr>
                <w:sz w:val="22"/>
                <w:lang w:val="en-NZ"/>
              </w:rPr>
              <w:t xml:space="preserve">that trading stock that has already been donated </w:t>
            </w:r>
            <w:r w:rsidR="001E06F8">
              <w:rPr>
                <w:sz w:val="22"/>
                <w:lang w:val="en-NZ"/>
              </w:rPr>
              <w:t xml:space="preserve">on or </w:t>
            </w:r>
            <w:r w:rsidR="00B4624D" w:rsidRPr="004010CC">
              <w:rPr>
                <w:sz w:val="22"/>
                <w:lang w:val="en-NZ"/>
              </w:rPr>
              <w:t xml:space="preserve">after March </w:t>
            </w:r>
            <w:proofErr w:type="gramStart"/>
            <w:r w:rsidR="00B4624D" w:rsidRPr="004010CC">
              <w:rPr>
                <w:sz w:val="22"/>
                <w:lang w:val="en-NZ"/>
              </w:rPr>
              <w:t>17</w:t>
            </w:r>
            <w:proofErr w:type="gramEnd"/>
            <w:r w:rsidR="00B4624D" w:rsidRPr="004010CC">
              <w:rPr>
                <w:sz w:val="22"/>
                <w:lang w:val="en-NZ"/>
              </w:rPr>
              <w:t xml:space="preserve"> 2020 is treated appropriately.</w:t>
            </w:r>
          </w:p>
        </w:tc>
        <w:tc>
          <w:tcPr>
            <w:tcW w:w="2005" w:type="dxa"/>
          </w:tcPr>
          <w:p w14:paraId="63A67A33" w14:textId="5678069E" w:rsidR="00E77219" w:rsidRPr="004010CC" w:rsidRDefault="00B4624D" w:rsidP="00FC3039">
            <w:pPr>
              <w:pStyle w:val="TableText"/>
              <w:spacing w:line="276" w:lineRule="auto"/>
              <w:rPr>
                <w:sz w:val="22"/>
                <w:lang w:val="en-NZ"/>
              </w:rPr>
            </w:pPr>
            <w:r w:rsidRPr="004010CC">
              <w:rPr>
                <w:sz w:val="22"/>
                <w:lang w:val="en-NZ"/>
              </w:rPr>
              <w:t xml:space="preserve">Same as option </w:t>
            </w:r>
            <w:r w:rsidR="00C80B4D" w:rsidRPr="004010CC">
              <w:rPr>
                <w:sz w:val="22"/>
                <w:lang w:val="en-NZ"/>
              </w:rPr>
              <w:t>two</w:t>
            </w:r>
            <w:r w:rsidRPr="004010CC">
              <w:rPr>
                <w:sz w:val="22"/>
                <w:lang w:val="en-NZ"/>
              </w:rPr>
              <w:t xml:space="preserve">, although the disincentive </w:t>
            </w:r>
            <w:r w:rsidR="00BD50D5" w:rsidRPr="004010CC">
              <w:rPr>
                <w:sz w:val="22"/>
                <w:lang w:val="en-NZ"/>
              </w:rPr>
              <w:t>still exists to some extent where the donation is made for a business purpose to an organisation that is</w:t>
            </w:r>
            <w:r w:rsidR="001E06F8">
              <w:rPr>
                <w:sz w:val="22"/>
                <w:lang w:val="en-NZ"/>
              </w:rPr>
              <w:t xml:space="preserve"> </w:t>
            </w:r>
            <w:r w:rsidR="00BD50D5" w:rsidRPr="004010CC">
              <w:rPr>
                <w:sz w:val="22"/>
                <w:lang w:val="en-NZ"/>
              </w:rPr>
              <w:t>n</w:t>
            </w:r>
            <w:r w:rsidR="001E06F8">
              <w:rPr>
                <w:sz w:val="22"/>
                <w:lang w:val="en-NZ"/>
              </w:rPr>
              <w:t>o</w:t>
            </w:r>
            <w:r w:rsidR="00BD50D5" w:rsidRPr="004010CC">
              <w:rPr>
                <w:sz w:val="22"/>
                <w:lang w:val="en-NZ"/>
              </w:rPr>
              <w:t>t a donee organisation or public authority.</w:t>
            </w:r>
          </w:p>
        </w:tc>
      </w:tr>
      <w:tr w:rsidR="008D305B" w:rsidRPr="00A864A5" w14:paraId="610535B6" w14:textId="54A5F133" w:rsidTr="00E77219">
        <w:trPr>
          <w:trHeight w:val="584"/>
        </w:trPr>
        <w:tc>
          <w:tcPr>
            <w:tcW w:w="1631" w:type="dxa"/>
            <w:shd w:val="clear" w:color="auto" w:fill="99CDDD"/>
            <w:vAlign w:val="center"/>
          </w:tcPr>
          <w:p w14:paraId="4CEBFF80" w14:textId="77777777" w:rsidR="008D305B" w:rsidRPr="004010CC" w:rsidRDefault="008D305B" w:rsidP="004C056B">
            <w:pPr>
              <w:spacing w:before="60" w:after="60" w:line="240" w:lineRule="auto"/>
              <w:jc w:val="center"/>
              <w:rPr>
                <w:rFonts w:cs="Arial"/>
                <w:b/>
                <w:color w:val="000000"/>
                <w:szCs w:val="22"/>
                <w:lang w:val="en-NZ"/>
              </w:rPr>
            </w:pPr>
            <w:r w:rsidRPr="004010CC">
              <w:rPr>
                <w:rFonts w:cs="Arial"/>
                <w:b/>
                <w:color w:val="000000"/>
                <w:szCs w:val="22"/>
                <w:lang w:val="en-NZ"/>
              </w:rPr>
              <w:t>Overall assessment</w:t>
            </w:r>
          </w:p>
        </w:tc>
        <w:tc>
          <w:tcPr>
            <w:tcW w:w="2761" w:type="dxa"/>
            <w:shd w:val="clear" w:color="auto" w:fill="auto"/>
            <w:vAlign w:val="center"/>
          </w:tcPr>
          <w:p w14:paraId="14B5A9EB" w14:textId="6B4DDA97" w:rsidR="008D305B" w:rsidRPr="004010CC" w:rsidRDefault="008D305B" w:rsidP="004C056B">
            <w:pPr>
              <w:pStyle w:val="TableText"/>
              <w:spacing w:line="276" w:lineRule="auto"/>
              <w:jc w:val="center"/>
              <w:rPr>
                <w:sz w:val="22"/>
                <w:lang w:val="en-NZ"/>
              </w:rPr>
            </w:pPr>
            <w:r w:rsidRPr="004010CC">
              <w:rPr>
                <w:sz w:val="22"/>
                <w:lang w:val="en-NZ"/>
              </w:rPr>
              <w:t>0</w:t>
            </w:r>
          </w:p>
        </w:tc>
        <w:tc>
          <w:tcPr>
            <w:tcW w:w="2555" w:type="dxa"/>
            <w:shd w:val="clear" w:color="auto" w:fill="auto"/>
            <w:vAlign w:val="center"/>
          </w:tcPr>
          <w:p w14:paraId="2831D901" w14:textId="1C0A40EA" w:rsidR="008D305B" w:rsidRPr="004010CC" w:rsidRDefault="008D305B" w:rsidP="00FC3039">
            <w:pPr>
              <w:pStyle w:val="TableText"/>
              <w:spacing w:line="276" w:lineRule="auto"/>
              <w:rPr>
                <w:sz w:val="22"/>
                <w:lang w:val="en-NZ"/>
              </w:rPr>
            </w:pPr>
            <w:r w:rsidRPr="004010CC">
              <w:rPr>
                <w:sz w:val="22"/>
                <w:lang w:val="en-NZ"/>
              </w:rPr>
              <w:t xml:space="preserve">Cost of 10 million over </w:t>
            </w:r>
            <w:r w:rsidR="00C80B4D" w:rsidRPr="004010CC">
              <w:rPr>
                <w:sz w:val="22"/>
                <w:lang w:val="en-NZ"/>
              </w:rPr>
              <w:t>two</w:t>
            </w:r>
            <w:r w:rsidRPr="004010CC">
              <w:rPr>
                <w:sz w:val="22"/>
                <w:lang w:val="en-NZ"/>
              </w:rPr>
              <w:t xml:space="preserve"> years</w:t>
            </w:r>
            <w:r w:rsidR="002A5799" w:rsidRPr="004010CC">
              <w:rPr>
                <w:sz w:val="22"/>
                <w:lang w:val="en-NZ"/>
              </w:rPr>
              <w:t>.</w:t>
            </w:r>
          </w:p>
          <w:p w14:paraId="1BBF3043" w14:textId="77777777" w:rsidR="002A5799" w:rsidRPr="004010CC" w:rsidRDefault="002A5799" w:rsidP="00FC3039">
            <w:pPr>
              <w:pStyle w:val="TableText"/>
              <w:spacing w:line="276" w:lineRule="auto"/>
              <w:rPr>
                <w:sz w:val="22"/>
                <w:lang w:val="en-NZ"/>
              </w:rPr>
            </w:pPr>
          </w:p>
          <w:p w14:paraId="18445CBD" w14:textId="451BFFF2" w:rsidR="002A5799" w:rsidRPr="004010CC" w:rsidRDefault="002A5799" w:rsidP="00FC3039">
            <w:pPr>
              <w:pStyle w:val="TableText"/>
              <w:spacing w:line="276" w:lineRule="auto"/>
              <w:rPr>
                <w:sz w:val="22"/>
                <w:lang w:val="en-NZ"/>
              </w:rPr>
            </w:pPr>
            <w:r w:rsidRPr="004010CC">
              <w:rPr>
                <w:sz w:val="22"/>
                <w:lang w:val="en-NZ"/>
              </w:rPr>
              <w:t>Improved fairness</w:t>
            </w:r>
          </w:p>
        </w:tc>
        <w:tc>
          <w:tcPr>
            <w:tcW w:w="2005" w:type="dxa"/>
          </w:tcPr>
          <w:p w14:paraId="1D906130" w14:textId="6961E942" w:rsidR="000F2180" w:rsidRPr="004010CC" w:rsidRDefault="000F2180" w:rsidP="00FC3039">
            <w:pPr>
              <w:pStyle w:val="TableText"/>
              <w:spacing w:line="276" w:lineRule="auto"/>
              <w:rPr>
                <w:sz w:val="22"/>
                <w:lang w:val="en-NZ"/>
              </w:rPr>
            </w:pPr>
            <w:r w:rsidRPr="004010CC">
              <w:rPr>
                <w:sz w:val="22"/>
                <w:lang w:val="en-NZ"/>
              </w:rPr>
              <w:t xml:space="preserve">Cost </w:t>
            </w:r>
            <w:r w:rsidR="004B1CA6" w:rsidRPr="004010CC">
              <w:rPr>
                <w:sz w:val="22"/>
                <w:lang w:val="en-NZ"/>
              </w:rPr>
              <w:t xml:space="preserve">of this option is </w:t>
            </w:r>
            <w:r w:rsidRPr="004010CC">
              <w:rPr>
                <w:sz w:val="22"/>
                <w:lang w:val="en-NZ"/>
              </w:rPr>
              <w:t>similar</w:t>
            </w:r>
            <w:r w:rsidR="00C80B4D" w:rsidRPr="004010CC">
              <w:rPr>
                <w:sz w:val="22"/>
                <w:lang w:val="en-NZ"/>
              </w:rPr>
              <w:t>, but slightly less than</w:t>
            </w:r>
            <w:r w:rsidRPr="004010CC">
              <w:rPr>
                <w:sz w:val="22"/>
                <w:lang w:val="en-NZ"/>
              </w:rPr>
              <w:t xml:space="preserve"> option two.</w:t>
            </w:r>
          </w:p>
          <w:p w14:paraId="5BA56EAA" w14:textId="77777777" w:rsidR="000F2180" w:rsidRPr="004010CC" w:rsidRDefault="000F2180" w:rsidP="00FC3039">
            <w:pPr>
              <w:pStyle w:val="TableText"/>
              <w:spacing w:line="276" w:lineRule="auto"/>
              <w:rPr>
                <w:sz w:val="22"/>
                <w:lang w:val="en-NZ"/>
              </w:rPr>
            </w:pPr>
          </w:p>
          <w:p w14:paraId="7D230EE2" w14:textId="6C3E7578" w:rsidR="008D305B" w:rsidRPr="004010CC" w:rsidRDefault="00BD50D5" w:rsidP="00FC3039">
            <w:pPr>
              <w:pStyle w:val="TableText"/>
              <w:spacing w:line="276" w:lineRule="auto"/>
              <w:rPr>
                <w:sz w:val="22"/>
                <w:lang w:val="en-NZ"/>
              </w:rPr>
            </w:pPr>
            <w:r w:rsidRPr="004010CC">
              <w:rPr>
                <w:sz w:val="22"/>
                <w:lang w:val="en-NZ"/>
              </w:rPr>
              <w:t xml:space="preserve">Improved fairness, but not to the same extent as option </w:t>
            </w:r>
            <w:r w:rsidR="00C80B4D" w:rsidRPr="004010CC">
              <w:rPr>
                <w:sz w:val="22"/>
                <w:lang w:val="en-NZ"/>
              </w:rPr>
              <w:t>two</w:t>
            </w:r>
            <w:r w:rsidRPr="004010CC">
              <w:rPr>
                <w:sz w:val="22"/>
                <w:lang w:val="en-NZ"/>
              </w:rPr>
              <w:t>.</w:t>
            </w:r>
          </w:p>
        </w:tc>
      </w:tr>
    </w:tbl>
    <w:p w14:paraId="1FEA8154" w14:textId="1DED5E64" w:rsidR="00D71CE0" w:rsidRPr="00A864A5" w:rsidRDefault="00D71CE0" w:rsidP="00D71CE0">
      <w:pPr>
        <w:pStyle w:val="spacer"/>
        <w:rPr>
          <w:sz w:val="8"/>
          <w:szCs w:val="14"/>
          <w:lang w:val="en-NZ"/>
        </w:rPr>
      </w:pPr>
    </w:p>
    <w:p w14:paraId="156E57E7" w14:textId="30344D74" w:rsidR="00D71CE0" w:rsidRPr="00A864A5" w:rsidRDefault="00846C56" w:rsidP="00846C56">
      <w:pPr>
        <w:pStyle w:val="Heading3"/>
        <w:rPr>
          <w:noProof/>
          <w:lang w:val="en-NZ" w:eastAsia="en-NZ"/>
        </w:rPr>
      </w:pPr>
      <w:r w:rsidRPr="00A864A5">
        <w:rPr>
          <w:noProof/>
          <w:lang w:val="en-NZ" w:eastAsia="en-NZ"/>
        </w:rPr>
        <w:t>Conclusions</w:t>
      </w:r>
    </w:p>
    <w:p w14:paraId="2A8B257F" w14:textId="1E0606F5" w:rsidR="009E3918" w:rsidRDefault="009E3918" w:rsidP="00846C56">
      <w:pPr>
        <w:rPr>
          <w:lang w:val="en-NZ" w:eastAsia="en-NZ"/>
        </w:rPr>
      </w:pPr>
      <w:r>
        <w:rPr>
          <w:lang w:val="en-NZ" w:eastAsia="en-NZ"/>
        </w:rPr>
        <w:t>Option 2 is the preferred option as it reduces the disincentive to donate trading stock whilst still ensuring that</w:t>
      </w:r>
      <w:r w:rsidR="00735FEE">
        <w:rPr>
          <w:lang w:val="en-NZ" w:eastAsia="en-NZ"/>
        </w:rPr>
        <w:t xml:space="preserve"> tax avoidance opportunities are limited.</w:t>
      </w:r>
    </w:p>
    <w:p w14:paraId="58ACFE9B" w14:textId="41FFE100" w:rsidR="00097119" w:rsidRPr="00A864A5" w:rsidRDefault="004625C9" w:rsidP="00570E3F">
      <w:pPr>
        <w:pStyle w:val="Heading3"/>
        <w:rPr>
          <w:lang w:val="en-NZ"/>
        </w:rPr>
      </w:pPr>
      <w:bookmarkStart w:id="11" w:name="_Hlk53565460"/>
      <w:r w:rsidRPr="00A864A5">
        <w:rPr>
          <w:lang w:val="en-NZ"/>
        </w:rPr>
        <w:t xml:space="preserve">Summarise the </w:t>
      </w:r>
      <w:r w:rsidR="00F01ED1" w:rsidRPr="00A864A5">
        <w:rPr>
          <w:lang w:val="en-NZ"/>
        </w:rPr>
        <w:t>costs and benefits</w:t>
      </w:r>
      <w:r w:rsidRPr="00A864A5">
        <w:rPr>
          <w:lang w:val="en-NZ"/>
        </w:rPr>
        <w:t xml:space="preserve"> of your preferred option</w:t>
      </w:r>
    </w:p>
    <w:tbl>
      <w:tblPr>
        <w:tblpPr w:leftFromText="180" w:rightFromText="180" w:vertAnchor="text" w:horzAnchor="margin" w:tblpY="92"/>
        <w:tblOverlap w:val="never"/>
        <w:tblW w:w="896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3114"/>
        <w:gridCol w:w="3297"/>
        <w:gridCol w:w="2556"/>
      </w:tblGrid>
      <w:tr w:rsidR="00556893" w:rsidRPr="00A864A5" w14:paraId="2E37727D" w14:textId="77777777" w:rsidTr="0040497A">
        <w:trPr>
          <w:trHeight w:val="762"/>
        </w:trPr>
        <w:tc>
          <w:tcPr>
            <w:tcW w:w="3114" w:type="dxa"/>
            <w:shd w:val="clear" w:color="auto" w:fill="99CDDD"/>
          </w:tcPr>
          <w:bookmarkEnd w:id="11"/>
          <w:p w14:paraId="1A38F21B" w14:textId="0444A17E" w:rsidR="00556893" w:rsidRPr="00A864A5" w:rsidRDefault="00556893" w:rsidP="00556893">
            <w:pPr>
              <w:pStyle w:val="TableText"/>
              <w:keepNext/>
              <w:rPr>
                <w:rFonts w:eastAsia="Calibri"/>
                <w:color w:val="000000"/>
                <w:sz w:val="22"/>
                <w:lang w:val="en-NZ"/>
              </w:rPr>
            </w:pPr>
            <w:r w:rsidRPr="00A864A5">
              <w:rPr>
                <w:rFonts w:eastAsia="Calibri"/>
                <w:b/>
                <w:color w:val="000000"/>
                <w:sz w:val="22"/>
                <w:lang w:val="en-NZ"/>
              </w:rPr>
              <w:t xml:space="preserve">Affected </w:t>
            </w:r>
            <w:r w:rsidR="00954259" w:rsidRPr="00A864A5">
              <w:rPr>
                <w:rFonts w:eastAsia="Calibri"/>
                <w:b/>
                <w:color w:val="000000"/>
                <w:sz w:val="22"/>
                <w:lang w:val="en-NZ"/>
              </w:rPr>
              <w:t>groups</w:t>
            </w:r>
            <w:r w:rsidRPr="00A864A5">
              <w:rPr>
                <w:rFonts w:eastAsia="Calibri"/>
                <w:color w:val="000000"/>
                <w:sz w:val="22"/>
                <w:lang w:val="en-NZ"/>
              </w:rPr>
              <w:t xml:space="preserve"> </w:t>
            </w:r>
            <w:r w:rsidRPr="00A864A5">
              <w:rPr>
                <w:rFonts w:eastAsia="Calibri"/>
                <w:i/>
                <w:color w:val="000000"/>
                <w:sz w:val="22"/>
                <w:lang w:val="en-NZ"/>
              </w:rPr>
              <w:t>(identify)</w:t>
            </w:r>
          </w:p>
        </w:tc>
        <w:tc>
          <w:tcPr>
            <w:tcW w:w="3297" w:type="dxa"/>
            <w:shd w:val="clear" w:color="auto" w:fill="99CDDD"/>
          </w:tcPr>
          <w:p w14:paraId="15ACBB32" w14:textId="095E493F" w:rsidR="00556893" w:rsidRPr="00A864A5" w:rsidRDefault="00556893" w:rsidP="00556893">
            <w:pPr>
              <w:pStyle w:val="TableText"/>
              <w:keepNext/>
              <w:rPr>
                <w:rFonts w:eastAsia="Calibri"/>
                <w:color w:val="000000"/>
                <w:sz w:val="22"/>
                <w:lang w:val="en-NZ"/>
              </w:rPr>
            </w:pPr>
            <w:r w:rsidRPr="00A864A5">
              <w:rPr>
                <w:rFonts w:eastAsia="Calibri"/>
                <w:b/>
                <w:color w:val="000000"/>
                <w:sz w:val="22"/>
                <w:lang w:val="en-NZ"/>
              </w:rPr>
              <w:t>Comment</w:t>
            </w:r>
            <w:r w:rsidRPr="00A864A5">
              <w:rPr>
                <w:rFonts w:eastAsia="Calibri"/>
                <w:color w:val="000000"/>
                <w:sz w:val="22"/>
                <w:lang w:val="en-NZ"/>
              </w:rPr>
              <w:t>: nature of cost or benefit (</w:t>
            </w:r>
            <w:proofErr w:type="gramStart"/>
            <w:r w:rsidRPr="00A864A5">
              <w:rPr>
                <w:rFonts w:eastAsia="Calibri"/>
                <w:color w:val="000000"/>
                <w:sz w:val="22"/>
                <w:lang w:val="en-NZ"/>
              </w:rPr>
              <w:t>e</w:t>
            </w:r>
            <w:r w:rsidR="00D052EF" w:rsidRPr="00A864A5">
              <w:rPr>
                <w:rFonts w:eastAsia="Calibri"/>
                <w:color w:val="000000"/>
                <w:sz w:val="22"/>
                <w:lang w:val="en-NZ"/>
              </w:rPr>
              <w:t>.</w:t>
            </w:r>
            <w:r w:rsidRPr="00A864A5">
              <w:rPr>
                <w:rFonts w:eastAsia="Calibri"/>
                <w:color w:val="000000"/>
                <w:sz w:val="22"/>
                <w:lang w:val="en-NZ"/>
              </w:rPr>
              <w:t>g</w:t>
            </w:r>
            <w:r w:rsidR="00D052EF" w:rsidRPr="00A864A5">
              <w:rPr>
                <w:rFonts w:eastAsia="Calibri"/>
                <w:color w:val="000000"/>
                <w:sz w:val="22"/>
                <w:lang w:val="en-NZ"/>
              </w:rPr>
              <w:t>.</w:t>
            </w:r>
            <w:proofErr w:type="gramEnd"/>
            <w:r w:rsidRPr="00A864A5">
              <w:rPr>
                <w:rFonts w:eastAsia="Calibri"/>
                <w:color w:val="000000"/>
                <w:sz w:val="22"/>
                <w:lang w:val="en-NZ"/>
              </w:rPr>
              <w:t xml:space="preserve"> ongoing, one-off), evidence and assumption (e</w:t>
            </w:r>
            <w:r w:rsidR="00D052EF" w:rsidRPr="00A864A5">
              <w:rPr>
                <w:rFonts w:eastAsia="Calibri"/>
                <w:color w:val="000000"/>
                <w:sz w:val="22"/>
                <w:lang w:val="en-NZ"/>
              </w:rPr>
              <w:t>.</w:t>
            </w:r>
            <w:r w:rsidRPr="00A864A5">
              <w:rPr>
                <w:rFonts w:eastAsia="Calibri"/>
                <w:color w:val="000000"/>
                <w:sz w:val="22"/>
                <w:lang w:val="en-NZ"/>
              </w:rPr>
              <w:t>g</w:t>
            </w:r>
            <w:r w:rsidR="00D052EF" w:rsidRPr="00A864A5">
              <w:rPr>
                <w:rFonts w:eastAsia="Calibri"/>
                <w:color w:val="000000"/>
                <w:sz w:val="22"/>
                <w:lang w:val="en-NZ"/>
              </w:rPr>
              <w:t>.</w:t>
            </w:r>
            <w:r w:rsidRPr="00A864A5">
              <w:rPr>
                <w:rFonts w:eastAsia="Calibri"/>
                <w:color w:val="000000"/>
                <w:sz w:val="22"/>
                <w:lang w:val="en-NZ"/>
              </w:rPr>
              <w:t xml:space="preserve"> compliance rates), risks</w:t>
            </w:r>
          </w:p>
        </w:tc>
        <w:tc>
          <w:tcPr>
            <w:tcW w:w="2556" w:type="dxa"/>
            <w:shd w:val="clear" w:color="auto" w:fill="99CDDD"/>
          </w:tcPr>
          <w:p w14:paraId="1E962849" w14:textId="77777777" w:rsidR="00556893" w:rsidRPr="00A864A5" w:rsidRDefault="00556893" w:rsidP="00556893">
            <w:pPr>
              <w:pStyle w:val="TableText"/>
              <w:keepNext/>
              <w:rPr>
                <w:rFonts w:eastAsia="Calibri"/>
                <w:b/>
                <w:color w:val="000000"/>
                <w:sz w:val="22"/>
                <w:lang w:val="en-NZ"/>
              </w:rPr>
            </w:pPr>
            <w:r w:rsidRPr="00A864A5">
              <w:rPr>
                <w:rFonts w:eastAsia="Calibri"/>
                <w:b/>
                <w:color w:val="000000"/>
                <w:sz w:val="22"/>
                <w:lang w:val="en-NZ"/>
              </w:rPr>
              <w:t>Impact</w:t>
            </w:r>
          </w:p>
          <w:p w14:paraId="01943810" w14:textId="1EB07ACE" w:rsidR="00556893" w:rsidRPr="00A864A5" w:rsidRDefault="00556893" w:rsidP="00556893">
            <w:pPr>
              <w:pStyle w:val="TableText"/>
              <w:keepNext/>
              <w:rPr>
                <w:rFonts w:eastAsia="Calibri"/>
                <w:i/>
                <w:color w:val="000000"/>
                <w:sz w:val="22"/>
                <w:lang w:val="en-NZ"/>
              </w:rPr>
            </w:pPr>
            <w:r w:rsidRPr="00A864A5">
              <w:rPr>
                <w:rFonts w:eastAsia="Calibri"/>
                <w:i/>
                <w:color w:val="000000"/>
                <w:sz w:val="22"/>
                <w:lang w:val="en-NZ"/>
              </w:rPr>
              <w:t xml:space="preserve">$m present value where appropriate, for monetised impacts; high, </w:t>
            </w:r>
            <w:proofErr w:type="gramStart"/>
            <w:r w:rsidRPr="00A864A5">
              <w:rPr>
                <w:rFonts w:eastAsia="Calibri"/>
                <w:i/>
                <w:color w:val="000000"/>
                <w:sz w:val="22"/>
                <w:lang w:val="en-NZ"/>
              </w:rPr>
              <w:t>medium</w:t>
            </w:r>
            <w:proofErr w:type="gramEnd"/>
            <w:r w:rsidRPr="00A864A5">
              <w:rPr>
                <w:rFonts w:eastAsia="Calibri"/>
                <w:i/>
                <w:color w:val="000000"/>
                <w:sz w:val="22"/>
                <w:lang w:val="en-NZ"/>
              </w:rPr>
              <w:t xml:space="preserve"> or low for non-monetised impacts</w:t>
            </w:r>
          </w:p>
        </w:tc>
      </w:tr>
      <w:tr w:rsidR="00556893" w:rsidRPr="00A864A5" w14:paraId="71B28631" w14:textId="77777777" w:rsidTr="00556893">
        <w:trPr>
          <w:trHeight w:val="263"/>
        </w:trPr>
        <w:tc>
          <w:tcPr>
            <w:tcW w:w="8967" w:type="dxa"/>
            <w:gridSpan w:val="3"/>
            <w:shd w:val="clear" w:color="auto" w:fill="99CDDD"/>
          </w:tcPr>
          <w:p w14:paraId="1C408171" w14:textId="5307E816" w:rsidR="00556893" w:rsidRPr="00A864A5" w:rsidRDefault="00275103" w:rsidP="00556893">
            <w:pPr>
              <w:keepNext/>
              <w:spacing w:before="40" w:after="20" w:line="240" w:lineRule="auto"/>
              <w:rPr>
                <w:rFonts w:ascii="Arial Narrow" w:eastAsia="Calibri" w:hAnsi="Arial Narrow"/>
                <w:b/>
                <w:bCs/>
                <w:szCs w:val="22"/>
                <w:lang w:val="en-NZ"/>
              </w:rPr>
            </w:pPr>
            <w:r>
              <w:rPr>
                <w:rFonts w:eastAsia="Calibri"/>
                <w:b/>
                <w:bCs/>
                <w:color w:val="000000"/>
                <w:szCs w:val="22"/>
                <w:lang w:val="en-NZ"/>
              </w:rPr>
              <w:t>Additional c</w:t>
            </w:r>
            <w:r w:rsidR="00556893" w:rsidRPr="00A864A5">
              <w:rPr>
                <w:rFonts w:eastAsia="Calibri"/>
                <w:b/>
                <w:bCs/>
                <w:color w:val="000000"/>
                <w:szCs w:val="22"/>
                <w:lang w:val="en-NZ"/>
              </w:rPr>
              <w:t xml:space="preserve">osts of </w:t>
            </w:r>
            <w:r w:rsidR="00363B61" w:rsidRPr="00A864A5">
              <w:rPr>
                <w:rFonts w:eastAsia="Calibri"/>
                <w:b/>
                <w:bCs/>
                <w:color w:val="000000"/>
                <w:szCs w:val="22"/>
                <w:lang w:val="en-NZ"/>
              </w:rPr>
              <w:t>the preferred</w:t>
            </w:r>
            <w:r w:rsidR="00556893" w:rsidRPr="00A864A5">
              <w:rPr>
                <w:rFonts w:eastAsia="Calibri"/>
                <w:b/>
                <w:bCs/>
                <w:color w:val="000000"/>
                <w:szCs w:val="22"/>
                <w:lang w:val="en-NZ"/>
              </w:rPr>
              <w:t xml:space="preserve"> </w:t>
            </w:r>
            <w:r w:rsidR="00363B61" w:rsidRPr="00A864A5">
              <w:rPr>
                <w:rFonts w:eastAsia="Calibri"/>
                <w:b/>
                <w:bCs/>
                <w:color w:val="000000"/>
                <w:szCs w:val="22"/>
                <w:lang w:val="en-NZ"/>
              </w:rPr>
              <w:t>option</w:t>
            </w:r>
            <w:r w:rsidR="00556893" w:rsidRPr="00A864A5">
              <w:rPr>
                <w:rFonts w:eastAsia="Calibri"/>
                <w:b/>
                <w:bCs/>
                <w:color w:val="000000"/>
                <w:szCs w:val="22"/>
                <w:lang w:val="en-NZ"/>
              </w:rPr>
              <w:t xml:space="preserve"> compared to </w:t>
            </w:r>
            <w:r>
              <w:rPr>
                <w:rFonts w:eastAsia="Calibri"/>
                <w:b/>
                <w:bCs/>
                <w:color w:val="000000"/>
                <w:szCs w:val="22"/>
                <w:lang w:val="en-NZ"/>
              </w:rPr>
              <w:t>taking no action</w:t>
            </w:r>
          </w:p>
        </w:tc>
      </w:tr>
      <w:tr w:rsidR="00556893" w:rsidRPr="00A864A5" w14:paraId="5CEF06A5" w14:textId="77777777" w:rsidTr="0040497A">
        <w:trPr>
          <w:trHeight w:val="380"/>
        </w:trPr>
        <w:tc>
          <w:tcPr>
            <w:tcW w:w="3114" w:type="dxa"/>
            <w:shd w:val="clear" w:color="auto" w:fill="auto"/>
          </w:tcPr>
          <w:p w14:paraId="68D30434" w14:textId="52752A44" w:rsidR="00556893" w:rsidRPr="00A864A5" w:rsidRDefault="00556893" w:rsidP="00556893">
            <w:pPr>
              <w:pStyle w:val="TableText"/>
              <w:keepNext/>
              <w:rPr>
                <w:rFonts w:eastAsia="Calibri"/>
                <w:sz w:val="22"/>
                <w:lang w:val="en-NZ"/>
              </w:rPr>
            </w:pPr>
            <w:r w:rsidRPr="00A864A5">
              <w:rPr>
                <w:rFonts w:eastAsia="Calibri"/>
                <w:sz w:val="22"/>
                <w:lang w:val="en-NZ"/>
              </w:rPr>
              <w:t xml:space="preserve">Regulated </w:t>
            </w:r>
            <w:r w:rsidR="00954259" w:rsidRPr="00A864A5">
              <w:rPr>
                <w:rFonts w:eastAsia="Calibri"/>
                <w:sz w:val="22"/>
                <w:lang w:val="en-NZ"/>
              </w:rPr>
              <w:t>groups</w:t>
            </w:r>
          </w:p>
        </w:tc>
        <w:tc>
          <w:tcPr>
            <w:tcW w:w="3297" w:type="dxa"/>
            <w:shd w:val="clear" w:color="auto" w:fill="auto"/>
          </w:tcPr>
          <w:p w14:paraId="02552938" w14:textId="22BD38A1" w:rsidR="00556893" w:rsidRPr="00A864A5" w:rsidRDefault="00A47701" w:rsidP="00556893">
            <w:pPr>
              <w:pStyle w:val="TableText"/>
              <w:keepNext/>
              <w:rPr>
                <w:rFonts w:eastAsia="Calibri"/>
                <w:sz w:val="22"/>
                <w:lang w:val="en-NZ"/>
              </w:rPr>
            </w:pPr>
            <w:r>
              <w:rPr>
                <w:rFonts w:eastAsia="Calibri"/>
                <w:sz w:val="22"/>
                <w:lang w:val="en-NZ"/>
              </w:rPr>
              <w:t>No costs on businesses as a result of the proposed approach.</w:t>
            </w:r>
          </w:p>
        </w:tc>
        <w:tc>
          <w:tcPr>
            <w:tcW w:w="2556" w:type="dxa"/>
            <w:shd w:val="clear" w:color="auto" w:fill="auto"/>
          </w:tcPr>
          <w:p w14:paraId="181AF328" w14:textId="4E06C19B" w:rsidR="00556893" w:rsidRPr="00A864A5" w:rsidRDefault="00556893" w:rsidP="00556893">
            <w:pPr>
              <w:pStyle w:val="TableText"/>
              <w:keepNext/>
              <w:rPr>
                <w:rFonts w:eastAsia="Calibri"/>
                <w:sz w:val="22"/>
                <w:lang w:val="en-NZ"/>
              </w:rPr>
            </w:pPr>
          </w:p>
        </w:tc>
      </w:tr>
      <w:tr w:rsidR="006D17FA" w:rsidRPr="00A864A5" w14:paraId="63E49A0F" w14:textId="77777777" w:rsidTr="0040497A">
        <w:trPr>
          <w:trHeight w:val="380"/>
        </w:trPr>
        <w:tc>
          <w:tcPr>
            <w:tcW w:w="3114" w:type="dxa"/>
            <w:shd w:val="clear" w:color="auto" w:fill="auto"/>
          </w:tcPr>
          <w:p w14:paraId="447305A9" w14:textId="73E35C6D" w:rsidR="006D17FA" w:rsidRPr="00A864A5" w:rsidRDefault="006D17FA" w:rsidP="00556893">
            <w:pPr>
              <w:pStyle w:val="TableText"/>
              <w:keepNext/>
              <w:rPr>
                <w:rFonts w:eastAsia="Calibri"/>
                <w:sz w:val="22"/>
                <w:lang w:val="en-NZ"/>
              </w:rPr>
            </w:pPr>
            <w:r w:rsidRPr="00A864A5">
              <w:rPr>
                <w:rFonts w:eastAsia="Calibri"/>
                <w:sz w:val="22"/>
                <w:lang w:val="en-NZ"/>
              </w:rPr>
              <w:t>Regulators</w:t>
            </w:r>
          </w:p>
        </w:tc>
        <w:tc>
          <w:tcPr>
            <w:tcW w:w="3297" w:type="dxa"/>
            <w:shd w:val="clear" w:color="auto" w:fill="auto"/>
          </w:tcPr>
          <w:p w14:paraId="0BACFCD0" w14:textId="3F54DE2E" w:rsidR="006D17FA" w:rsidRPr="00A864A5" w:rsidRDefault="00A47701" w:rsidP="00556893">
            <w:pPr>
              <w:pStyle w:val="TableText"/>
              <w:keepNext/>
              <w:rPr>
                <w:rFonts w:eastAsia="Calibri"/>
                <w:sz w:val="22"/>
                <w:lang w:val="en-NZ"/>
              </w:rPr>
            </w:pPr>
            <w:r>
              <w:rPr>
                <w:rFonts w:eastAsia="Calibri"/>
                <w:sz w:val="22"/>
                <w:lang w:val="en-NZ"/>
              </w:rPr>
              <w:t>There is not expected to be any significant administration costs for Inland Revenue</w:t>
            </w:r>
          </w:p>
        </w:tc>
        <w:tc>
          <w:tcPr>
            <w:tcW w:w="2556" w:type="dxa"/>
            <w:shd w:val="clear" w:color="auto" w:fill="auto"/>
          </w:tcPr>
          <w:p w14:paraId="066B77EE" w14:textId="3C9C0804" w:rsidR="006D17FA" w:rsidRPr="00A864A5" w:rsidRDefault="00A47701" w:rsidP="00556893">
            <w:pPr>
              <w:pStyle w:val="TableText"/>
              <w:keepNext/>
              <w:rPr>
                <w:rFonts w:eastAsia="Calibri"/>
                <w:sz w:val="22"/>
                <w:lang w:val="en-NZ"/>
              </w:rPr>
            </w:pPr>
            <w:r>
              <w:rPr>
                <w:rFonts w:eastAsia="Calibri"/>
                <w:sz w:val="22"/>
                <w:lang w:val="en-NZ"/>
              </w:rPr>
              <w:t>Very low</w:t>
            </w:r>
          </w:p>
        </w:tc>
      </w:tr>
      <w:tr w:rsidR="00A47701" w:rsidRPr="00A864A5" w14:paraId="45CF7463" w14:textId="77777777" w:rsidTr="0040497A">
        <w:trPr>
          <w:trHeight w:val="380"/>
        </w:trPr>
        <w:tc>
          <w:tcPr>
            <w:tcW w:w="3114" w:type="dxa"/>
            <w:shd w:val="clear" w:color="auto" w:fill="auto"/>
          </w:tcPr>
          <w:p w14:paraId="52CCEF70" w14:textId="1D282619" w:rsidR="00A47701" w:rsidRPr="00A864A5" w:rsidRDefault="003E3208" w:rsidP="00556893">
            <w:pPr>
              <w:pStyle w:val="TableText"/>
              <w:keepNext/>
              <w:rPr>
                <w:rFonts w:eastAsia="Calibri"/>
                <w:sz w:val="22"/>
                <w:lang w:val="en-NZ"/>
              </w:rPr>
            </w:pPr>
            <w:r>
              <w:rPr>
                <w:rFonts w:eastAsia="Calibri"/>
                <w:sz w:val="22"/>
                <w:lang w:val="en-NZ"/>
              </w:rPr>
              <w:t>Wider government</w:t>
            </w:r>
          </w:p>
        </w:tc>
        <w:tc>
          <w:tcPr>
            <w:tcW w:w="3297" w:type="dxa"/>
            <w:shd w:val="clear" w:color="auto" w:fill="auto"/>
          </w:tcPr>
          <w:p w14:paraId="65955B78" w14:textId="77777777" w:rsidR="003654A8" w:rsidRDefault="003654A8" w:rsidP="003654A8">
            <w:pPr>
              <w:pStyle w:val="TableText"/>
              <w:keepNext/>
              <w:rPr>
                <w:rFonts w:eastAsia="Calibri" w:cs="Arial"/>
                <w:sz w:val="22"/>
              </w:rPr>
            </w:pPr>
            <w:r>
              <w:rPr>
                <w:rFonts w:eastAsia="Calibri" w:cs="Arial"/>
                <w:sz w:val="22"/>
              </w:rPr>
              <w:t>Fiscal cost in the form of reduced revenue in the future.</w:t>
            </w:r>
          </w:p>
          <w:p w14:paraId="2DE2E662" w14:textId="77777777" w:rsidR="003654A8" w:rsidRDefault="003654A8" w:rsidP="003654A8">
            <w:pPr>
              <w:pStyle w:val="TableText"/>
              <w:keepNext/>
              <w:rPr>
                <w:rFonts w:eastAsia="Calibri" w:cs="Arial"/>
                <w:sz w:val="22"/>
              </w:rPr>
            </w:pPr>
          </w:p>
          <w:p w14:paraId="74AD04A1" w14:textId="77777777" w:rsidR="003654A8" w:rsidRDefault="003654A8" w:rsidP="003654A8">
            <w:pPr>
              <w:pStyle w:val="TableText"/>
              <w:keepNext/>
              <w:rPr>
                <w:rFonts w:eastAsia="Calibri" w:cs="Arial"/>
                <w:sz w:val="22"/>
              </w:rPr>
            </w:pPr>
            <w:r>
              <w:rPr>
                <w:rFonts w:eastAsia="Calibri" w:cs="Arial"/>
                <w:sz w:val="22"/>
              </w:rPr>
              <w:t>Small risk of additional tax avoidance. Unlikely as:</w:t>
            </w:r>
          </w:p>
          <w:p w14:paraId="2C979C2F" w14:textId="77777777" w:rsidR="003654A8" w:rsidRDefault="003654A8" w:rsidP="003654A8">
            <w:pPr>
              <w:pStyle w:val="TableText"/>
              <w:keepNext/>
              <w:rPr>
                <w:rFonts w:eastAsia="Calibri" w:cs="Arial"/>
                <w:sz w:val="22"/>
              </w:rPr>
            </w:pPr>
          </w:p>
          <w:p w14:paraId="4F4F8F1D" w14:textId="17B847D7" w:rsidR="003654A8" w:rsidRDefault="003654A8" w:rsidP="003654A8">
            <w:pPr>
              <w:pStyle w:val="TableText"/>
              <w:keepNext/>
              <w:rPr>
                <w:rFonts w:eastAsia="Calibri" w:cs="Arial"/>
                <w:sz w:val="22"/>
              </w:rPr>
            </w:pPr>
            <w:r>
              <w:rPr>
                <w:rFonts w:eastAsia="Calibri" w:cs="Arial"/>
                <w:sz w:val="22"/>
              </w:rPr>
              <w:t>-</w:t>
            </w:r>
            <w:r w:rsidRPr="00FE3723">
              <w:rPr>
                <w:rFonts w:eastAsia="Calibri" w:cs="Arial"/>
                <w:sz w:val="22"/>
              </w:rPr>
              <w:t xml:space="preserve">The rule </w:t>
            </w:r>
            <w:r>
              <w:rPr>
                <w:rFonts w:eastAsia="Calibri" w:cs="Arial"/>
                <w:sz w:val="22"/>
              </w:rPr>
              <w:t>has been designed in a way to prevent abuse</w:t>
            </w:r>
            <w:r w:rsidR="003206F6">
              <w:rPr>
                <w:rFonts w:eastAsia="Calibri" w:cs="Arial"/>
                <w:sz w:val="22"/>
              </w:rPr>
              <w:t xml:space="preserve"> as mentioned previously.</w:t>
            </w:r>
          </w:p>
          <w:p w14:paraId="3A3235C9" w14:textId="77777777" w:rsidR="003654A8" w:rsidRPr="00FE3723" w:rsidRDefault="003654A8" w:rsidP="003654A8">
            <w:pPr>
              <w:pStyle w:val="TableText"/>
              <w:keepNext/>
              <w:rPr>
                <w:rFonts w:eastAsia="Calibri" w:cs="Arial"/>
                <w:sz w:val="22"/>
              </w:rPr>
            </w:pPr>
          </w:p>
          <w:p w14:paraId="3346293A" w14:textId="77777777" w:rsidR="003654A8" w:rsidRDefault="003654A8" w:rsidP="003654A8">
            <w:pPr>
              <w:pStyle w:val="TableText"/>
              <w:keepNext/>
              <w:rPr>
                <w:rFonts w:eastAsia="Calibri" w:cs="Arial"/>
                <w:sz w:val="22"/>
              </w:rPr>
            </w:pPr>
            <w:r>
              <w:rPr>
                <w:rFonts w:eastAsia="Calibri" w:cs="Arial"/>
                <w:sz w:val="22"/>
              </w:rPr>
              <w:t>-</w:t>
            </w:r>
            <w:r w:rsidRPr="00FE3723">
              <w:rPr>
                <w:rFonts w:eastAsia="Calibri" w:cs="Arial"/>
                <w:sz w:val="22"/>
              </w:rPr>
              <w:t>Commercial considerations and existing tax rules (dividend rules, fringe benefit tax and the anti-avoidance rule) are likely to prevent abuse anyway.</w:t>
            </w:r>
          </w:p>
          <w:p w14:paraId="25A85B4E" w14:textId="77777777" w:rsidR="003654A8" w:rsidRDefault="003654A8" w:rsidP="003654A8">
            <w:pPr>
              <w:pStyle w:val="TableText"/>
              <w:keepNext/>
              <w:rPr>
                <w:rFonts w:eastAsia="Calibri" w:cs="Arial"/>
                <w:sz w:val="22"/>
              </w:rPr>
            </w:pPr>
          </w:p>
          <w:p w14:paraId="46C392E2" w14:textId="77777777" w:rsidR="003654A8" w:rsidRDefault="003654A8" w:rsidP="003654A8">
            <w:pPr>
              <w:pStyle w:val="TableText"/>
              <w:keepNext/>
              <w:rPr>
                <w:rFonts w:eastAsia="Calibri" w:cs="Arial"/>
                <w:sz w:val="22"/>
              </w:rPr>
            </w:pPr>
            <w:r>
              <w:rPr>
                <w:rFonts w:eastAsia="Calibri" w:cs="Arial"/>
                <w:sz w:val="22"/>
              </w:rPr>
              <w:t>-</w:t>
            </w:r>
            <w:r w:rsidRPr="00FE3723">
              <w:rPr>
                <w:rFonts w:eastAsia="Calibri" w:cs="Arial"/>
                <w:sz w:val="22"/>
              </w:rPr>
              <w:t>There is no evidence of tax avoidance occurring when an amendment was made to the rule in response to the Canterbury earthquakes.  Most donations are motivated by benevolence or brand awareness, not tax avoidance.</w:t>
            </w:r>
          </w:p>
          <w:p w14:paraId="1B0A789A" w14:textId="77777777" w:rsidR="00A47701" w:rsidRDefault="00A47701" w:rsidP="00556893">
            <w:pPr>
              <w:pStyle w:val="TableText"/>
              <w:keepNext/>
              <w:rPr>
                <w:rFonts w:eastAsia="Calibri"/>
                <w:sz w:val="22"/>
                <w:lang w:val="en-NZ"/>
              </w:rPr>
            </w:pPr>
          </w:p>
        </w:tc>
        <w:tc>
          <w:tcPr>
            <w:tcW w:w="2556" w:type="dxa"/>
            <w:shd w:val="clear" w:color="auto" w:fill="auto"/>
          </w:tcPr>
          <w:p w14:paraId="7BC16869" w14:textId="77A62787" w:rsidR="00A47701" w:rsidRDefault="003206F6" w:rsidP="00556893">
            <w:pPr>
              <w:pStyle w:val="TableText"/>
              <w:keepNext/>
              <w:rPr>
                <w:rFonts w:eastAsia="Calibri"/>
                <w:sz w:val="22"/>
                <w:lang w:val="en-NZ"/>
              </w:rPr>
            </w:pPr>
            <w:r>
              <w:rPr>
                <w:rFonts w:eastAsia="Calibri"/>
                <w:sz w:val="22"/>
                <w:lang w:val="en-NZ"/>
              </w:rPr>
              <w:t>$10 million over a 2-year period.</w:t>
            </w:r>
            <w:r w:rsidR="00883B28">
              <w:rPr>
                <w:rFonts w:eastAsia="Calibri"/>
                <w:sz w:val="22"/>
                <w:lang w:val="en-NZ"/>
              </w:rPr>
              <w:t xml:space="preserve">  This estimate is based on limited data and is </w:t>
            </w:r>
            <w:r w:rsidR="00F106B6">
              <w:rPr>
                <w:rFonts w:eastAsia="Calibri"/>
                <w:sz w:val="22"/>
                <w:lang w:val="en-NZ"/>
              </w:rPr>
              <w:t>approximate only</w:t>
            </w:r>
            <w:r w:rsidR="00883B28">
              <w:rPr>
                <w:rFonts w:eastAsia="Calibri"/>
                <w:sz w:val="22"/>
                <w:lang w:val="en-NZ"/>
              </w:rPr>
              <w:t xml:space="preserve">.  </w:t>
            </w:r>
            <w:r w:rsidR="00A27322">
              <w:rPr>
                <w:rFonts w:eastAsia="Calibri"/>
                <w:sz w:val="22"/>
                <w:lang w:val="en-NZ"/>
              </w:rPr>
              <w:t xml:space="preserve">Anecdotal evidence </w:t>
            </w:r>
            <w:r w:rsidR="009A5E96">
              <w:rPr>
                <w:rFonts w:eastAsia="Calibri"/>
                <w:sz w:val="22"/>
                <w:lang w:val="en-NZ"/>
              </w:rPr>
              <w:t xml:space="preserve">from stakeholders </w:t>
            </w:r>
            <w:r w:rsidR="00A27322">
              <w:rPr>
                <w:rFonts w:eastAsia="Calibri"/>
                <w:sz w:val="22"/>
                <w:lang w:val="en-NZ"/>
              </w:rPr>
              <w:t xml:space="preserve">suggests </w:t>
            </w:r>
            <w:r w:rsidR="009A5E96">
              <w:rPr>
                <w:rFonts w:eastAsia="Calibri"/>
                <w:sz w:val="22"/>
                <w:lang w:val="en-NZ"/>
              </w:rPr>
              <w:t>significant</w:t>
            </w:r>
            <w:r w:rsidR="00A27322">
              <w:rPr>
                <w:rFonts w:eastAsia="Calibri"/>
                <w:sz w:val="22"/>
                <w:lang w:val="en-NZ"/>
              </w:rPr>
              <w:t xml:space="preserve"> non-compliance with the deemed income rule.  Therefore, the proposed amendment may just align the law with commercial practice, rather than have a negative fiscal effect.</w:t>
            </w:r>
          </w:p>
        </w:tc>
      </w:tr>
      <w:tr w:rsidR="00556893" w:rsidRPr="00A864A5" w14:paraId="2EB47F8B" w14:textId="77777777" w:rsidTr="0040497A">
        <w:trPr>
          <w:trHeight w:val="263"/>
        </w:trPr>
        <w:tc>
          <w:tcPr>
            <w:tcW w:w="3114" w:type="dxa"/>
            <w:shd w:val="clear" w:color="auto" w:fill="auto"/>
          </w:tcPr>
          <w:p w14:paraId="574E5004" w14:textId="60F20F3B" w:rsidR="00556893" w:rsidRPr="00A864A5" w:rsidRDefault="00556893" w:rsidP="00556893">
            <w:pPr>
              <w:pStyle w:val="TableText"/>
              <w:keepNext/>
              <w:rPr>
                <w:rFonts w:eastAsia="Calibri" w:cs="Arial"/>
                <w:color w:val="000000"/>
                <w:sz w:val="22"/>
                <w:lang w:val="en-NZ"/>
              </w:rPr>
            </w:pPr>
            <w:r w:rsidRPr="00A864A5">
              <w:rPr>
                <w:rFonts w:eastAsia="Calibri"/>
                <w:color w:val="000000"/>
                <w:sz w:val="22"/>
                <w:lang w:val="en-NZ"/>
              </w:rPr>
              <w:t xml:space="preserve">Other </w:t>
            </w:r>
            <w:r w:rsidR="005D6EF3">
              <w:rPr>
                <w:rFonts w:eastAsia="Calibri"/>
                <w:color w:val="000000"/>
                <w:sz w:val="22"/>
                <w:lang w:val="en-NZ"/>
              </w:rPr>
              <w:t>groups</w:t>
            </w:r>
          </w:p>
        </w:tc>
        <w:tc>
          <w:tcPr>
            <w:tcW w:w="3297" w:type="dxa"/>
            <w:shd w:val="clear" w:color="auto" w:fill="auto"/>
          </w:tcPr>
          <w:p w14:paraId="72608FE1" w14:textId="2663E1E2" w:rsidR="00556893" w:rsidRPr="00A864A5" w:rsidRDefault="005D6EF3" w:rsidP="00556893">
            <w:pPr>
              <w:pStyle w:val="TableText"/>
              <w:keepNext/>
              <w:rPr>
                <w:rFonts w:eastAsia="Calibri"/>
                <w:sz w:val="22"/>
                <w:lang w:val="en-NZ"/>
              </w:rPr>
            </w:pPr>
            <w:r>
              <w:rPr>
                <w:rFonts w:eastAsia="Calibri"/>
                <w:sz w:val="22"/>
                <w:lang w:val="en-NZ"/>
              </w:rPr>
              <w:t>N/A</w:t>
            </w:r>
          </w:p>
        </w:tc>
        <w:tc>
          <w:tcPr>
            <w:tcW w:w="2556" w:type="dxa"/>
            <w:shd w:val="clear" w:color="auto" w:fill="auto"/>
          </w:tcPr>
          <w:p w14:paraId="7D7C9030" w14:textId="77777777" w:rsidR="00556893" w:rsidRPr="00A864A5" w:rsidRDefault="00556893" w:rsidP="00556893">
            <w:pPr>
              <w:pStyle w:val="TableText"/>
              <w:keepNext/>
              <w:rPr>
                <w:rFonts w:eastAsia="Calibri"/>
                <w:sz w:val="22"/>
                <w:lang w:val="en-NZ"/>
              </w:rPr>
            </w:pPr>
          </w:p>
        </w:tc>
      </w:tr>
      <w:tr w:rsidR="00556893" w:rsidRPr="00A864A5" w14:paraId="120FE376" w14:textId="77777777" w:rsidTr="0040497A">
        <w:trPr>
          <w:trHeight w:val="263"/>
        </w:trPr>
        <w:tc>
          <w:tcPr>
            <w:tcW w:w="3114" w:type="dxa"/>
            <w:shd w:val="clear" w:color="auto" w:fill="auto"/>
          </w:tcPr>
          <w:p w14:paraId="5D8DC5F2" w14:textId="39486658" w:rsidR="00556893" w:rsidRPr="00A864A5" w:rsidRDefault="00556893" w:rsidP="00556893">
            <w:pPr>
              <w:pStyle w:val="TableText"/>
              <w:keepNext/>
              <w:rPr>
                <w:rFonts w:eastAsia="Calibri"/>
                <w:b/>
                <w:sz w:val="22"/>
                <w:lang w:val="en-NZ"/>
              </w:rPr>
            </w:pPr>
            <w:r w:rsidRPr="00A864A5">
              <w:rPr>
                <w:rFonts w:eastAsia="Calibri"/>
                <w:b/>
                <w:sz w:val="22"/>
                <w:lang w:val="en-NZ"/>
              </w:rPr>
              <w:t xml:space="preserve">Total </w:t>
            </w:r>
            <w:r w:rsidR="00363B61" w:rsidRPr="00A864A5">
              <w:rPr>
                <w:rFonts w:eastAsia="Calibri"/>
                <w:b/>
                <w:sz w:val="22"/>
                <w:lang w:val="en-NZ"/>
              </w:rPr>
              <w:t>m</w:t>
            </w:r>
            <w:r w:rsidRPr="00A864A5">
              <w:rPr>
                <w:rFonts w:eastAsia="Calibri"/>
                <w:b/>
                <w:sz w:val="22"/>
                <w:lang w:val="en-NZ"/>
              </w:rPr>
              <w:t xml:space="preserve">onetised </w:t>
            </w:r>
            <w:r w:rsidR="00363B61" w:rsidRPr="00A864A5">
              <w:rPr>
                <w:rFonts w:eastAsia="Calibri"/>
                <w:b/>
                <w:sz w:val="22"/>
                <w:lang w:val="en-NZ"/>
              </w:rPr>
              <w:t>c</w:t>
            </w:r>
            <w:r w:rsidRPr="00A864A5">
              <w:rPr>
                <w:rFonts w:eastAsia="Calibri"/>
                <w:b/>
                <w:sz w:val="22"/>
                <w:lang w:val="en-NZ"/>
              </w:rPr>
              <w:t>ost</w:t>
            </w:r>
            <w:r w:rsidR="00363B61" w:rsidRPr="00A864A5">
              <w:rPr>
                <w:rFonts w:eastAsia="Calibri"/>
                <w:b/>
                <w:sz w:val="22"/>
                <w:lang w:val="en-NZ"/>
              </w:rPr>
              <w:t>s</w:t>
            </w:r>
          </w:p>
        </w:tc>
        <w:tc>
          <w:tcPr>
            <w:tcW w:w="3297" w:type="dxa"/>
            <w:shd w:val="clear" w:color="auto" w:fill="auto"/>
          </w:tcPr>
          <w:p w14:paraId="22EFB593" w14:textId="6890C538" w:rsidR="00556893" w:rsidRPr="00FA57DF" w:rsidRDefault="00FA57DF" w:rsidP="00556893">
            <w:pPr>
              <w:pStyle w:val="TableText"/>
              <w:keepNext/>
              <w:rPr>
                <w:rFonts w:eastAsia="Calibri"/>
                <w:iCs/>
                <w:sz w:val="22"/>
                <w:lang w:val="en-NZ"/>
              </w:rPr>
            </w:pPr>
            <w:r>
              <w:rPr>
                <w:rFonts w:eastAsia="Calibri"/>
                <w:iCs/>
                <w:sz w:val="22"/>
                <w:lang w:val="en-NZ"/>
              </w:rPr>
              <w:t>Fiscal cost</w:t>
            </w:r>
          </w:p>
        </w:tc>
        <w:tc>
          <w:tcPr>
            <w:tcW w:w="2556" w:type="dxa"/>
            <w:shd w:val="clear" w:color="auto" w:fill="auto"/>
          </w:tcPr>
          <w:p w14:paraId="61158804" w14:textId="7A15724F" w:rsidR="00556893" w:rsidRPr="00A864A5" w:rsidRDefault="00FA57DF" w:rsidP="00556893">
            <w:pPr>
              <w:pStyle w:val="TableText"/>
              <w:keepNext/>
              <w:rPr>
                <w:rFonts w:eastAsia="Calibri"/>
                <w:sz w:val="22"/>
                <w:lang w:val="en-NZ"/>
              </w:rPr>
            </w:pPr>
            <w:r>
              <w:rPr>
                <w:rFonts w:eastAsia="Calibri"/>
                <w:sz w:val="22"/>
                <w:lang w:val="en-NZ"/>
              </w:rPr>
              <w:t>$10m over 2 years</w:t>
            </w:r>
          </w:p>
        </w:tc>
      </w:tr>
      <w:tr w:rsidR="00FB21EF" w:rsidRPr="00A864A5" w14:paraId="29DD3727" w14:textId="77777777" w:rsidTr="0040497A">
        <w:trPr>
          <w:trHeight w:val="263"/>
        </w:trPr>
        <w:tc>
          <w:tcPr>
            <w:tcW w:w="3114" w:type="dxa"/>
            <w:shd w:val="clear" w:color="auto" w:fill="auto"/>
          </w:tcPr>
          <w:p w14:paraId="0695EFD3" w14:textId="77777777" w:rsidR="00FB21EF" w:rsidRPr="00A864A5" w:rsidRDefault="00FB21EF" w:rsidP="00FB21EF">
            <w:pPr>
              <w:pStyle w:val="TableText"/>
              <w:keepNext/>
              <w:rPr>
                <w:rFonts w:eastAsia="Calibri"/>
                <w:b/>
                <w:sz w:val="22"/>
                <w:lang w:val="en-NZ"/>
              </w:rPr>
            </w:pPr>
            <w:r w:rsidRPr="00A864A5">
              <w:rPr>
                <w:rFonts w:eastAsia="Calibri"/>
                <w:b/>
                <w:sz w:val="22"/>
                <w:lang w:val="en-NZ"/>
              </w:rPr>
              <w:t xml:space="preserve">Non-monetised costs </w:t>
            </w:r>
          </w:p>
        </w:tc>
        <w:tc>
          <w:tcPr>
            <w:tcW w:w="3297" w:type="dxa"/>
            <w:shd w:val="clear" w:color="auto" w:fill="auto"/>
          </w:tcPr>
          <w:p w14:paraId="411E2FD8" w14:textId="48892FDF" w:rsidR="00FB21EF" w:rsidRPr="00FA57DF" w:rsidRDefault="00FA57DF" w:rsidP="00FB21EF">
            <w:pPr>
              <w:pStyle w:val="TableText"/>
              <w:keepNext/>
              <w:rPr>
                <w:rFonts w:eastAsia="Calibri"/>
                <w:iCs/>
                <w:sz w:val="22"/>
                <w:lang w:val="en-NZ"/>
              </w:rPr>
            </w:pPr>
            <w:r>
              <w:rPr>
                <w:rFonts w:eastAsia="Calibri"/>
                <w:iCs/>
                <w:sz w:val="22"/>
                <w:lang w:val="en-NZ"/>
              </w:rPr>
              <w:t>Tax avoidance risk</w:t>
            </w:r>
          </w:p>
        </w:tc>
        <w:tc>
          <w:tcPr>
            <w:tcW w:w="2556" w:type="dxa"/>
            <w:shd w:val="clear" w:color="auto" w:fill="auto"/>
          </w:tcPr>
          <w:p w14:paraId="3E1E422B" w14:textId="58B8895A" w:rsidR="00FB21EF" w:rsidRPr="00A864A5" w:rsidRDefault="00FA57DF" w:rsidP="00FB21EF">
            <w:pPr>
              <w:pStyle w:val="TableText"/>
              <w:keepNext/>
              <w:rPr>
                <w:rFonts w:eastAsia="Calibri"/>
                <w:i/>
                <w:sz w:val="22"/>
                <w:lang w:val="en-NZ"/>
              </w:rPr>
            </w:pPr>
            <w:r>
              <w:rPr>
                <w:rFonts w:eastAsia="Calibri"/>
                <w:i/>
                <w:sz w:val="22"/>
                <w:lang w:val="en-NZ"/>
              </w:rPr>
              <w:t>Very low/nil</w:t>
            </w:r>
          </w:p>
        </w:tc>
      </w:tr>
      <w:tr w:rsidR="00FB21EF" w:rsidRPr="00A864A5" w14:paraId="6B593367" w14:textId="77777777" w:rsidTr="00556893">
        <w:trPr>
          <w:trHeight w:val="263"/>
        </w:trPr>
        <w:tc>
          <w:tcPr>
            <w:tcW w:w="8967" w:type="dxa"/>
            <w:gridSpan w:val="3"/>
            <w:shd w:val="clear" w:color="auto" w:fill="99CDDD"/>
          </w:tcPr>
          <w:p w14:paraId="26998A3E" w14:textId="7F360627" w:rsidR="00FB21EF" w:rsidRPr="00A864A5" w:rsidRDefault="00FB21EF" w:rsidP="00FB21EF">
            <w:pPr>
              <w:spacing w:before="40" w:after="20" w:line="240" w:lineRule="auto"/>
              <w:rPr>
                <w:rFonts w:ascii="Arial Narrow" w:eastAsia="Calibri" w:hAnsi="Arial Narrow"/>
                <w:b/>
                <w:bCs/>
                <w:szCs w:val="22"/>
                <w:lang w:val="en-NZ"/>
              </w:rPr>
            </w:pPr>
            <w:r>
              <w:rPr>
                <w:rFonts w:eastAsia="Calibri"/>
                <w:b/>
                <w:bCs/>
                <w:color w:val="000000"/>
                <w:szCs w:val="22"/>
                <w:lang w:val="en-NZ"/>
              </w:rPr>
              <w:t>Additional b</w:t>
            </w:r>
            <w:r w:rsidRPr="00A864A5">
              <w:rPr>
                <w:rFonts w:eastAsia="Calibri"/>
                <w:b/>
                <w:bCs/>
                <w:color w:val="000000"/>
                <w:szCs w:val="22"/>
                <w:lang w:val="en-NZ"/>
              </w:rPr>
              <w:t xml:space="preserve">enefits of the preferred option compared to </w:t>
            </w:r>
            <w:r>
              <w:rPr>
                <w:rFonts w:eastAsia="Calibri"/>
                <w:b/>
                <w:bCs/>
                <w:color w:val="000000"/>
                <w:szCs w:val="22"/>
                <w:lang w:val="en-NZ"/>
              </w:rPr>
              <w:t>taking no action</w:t>
            </w:r>
          </w:p>
        </w:tc>
      </w:tr>
      <w:tr w:rsidR="00FB21EF" w:rsidRPr="00A864A5" w14:paraId="42F7BD29" w14:textId="77777777" w:rsidTr="0040497A">
        <w:trPr>
          <w:trHeight w:val="381"/>
        </w:trPr>
        <w:tc>
          <w:tcPr>
            <w:tcW w:w="3114" w:type="dxa"/>
            <w:shd w:val="clear" w:color="auto" w:fill="auto"/>
          </w:tcPr>
          <w:p w14:paraId="5815F02D" w14:textId="1784F601" w:rsidR="00FB21EF" w:rsidRPr="00A864A5" w:rsidRDefault="00FB21EF" w:rsidP="00FB21EF">
            <w:pPr>
              <w:pStyle w:val="TableText"/>
              <w:rPr>
                <w:rFonts w:eastAsia="Calibri"/>
                <w:sz w:val="22"/>
                <w:lang w:val="en-NZ"/>
              </w:rPr>
            </w:pPr>
            <w:r w:rsidRPr="00A864A5">
              <w:rPr>
                <w:rFonts w:eastAsia="Calibri"/>
                <w:sz w:val="22"/>
                <w:lang w:val="en-NZ"/>
              </w:rPr>
              <w:t>Regulated groups</w:t>
            </w:r>
          </w:p>
        </w:tc>
        <w:tc>
          <w:tcPr>
            <w:tcW w:w="3297" w:type="dxa"/>
            <w:shd w:val="clear" w:color="auto" w:fill="auto"/>
          </w:tcPr>
          <w:p w14:paraId="5CABCEA1" w14:textId="4961B475" w:rsidR="00FB21EF" w:rsidRPr="00A864A5" w:rsidRDefault="00B75684" w:rsidP="00FB21EF">
            <w:pPr>
              <w:pStyle w:val="TableText"/>
              <w:rPr>
                <w:rFonts w:eastAsia="Calibri"/>
                <w:sz w:val="22"/>
                <w:lang w:val="en-NZ"/>
              </w:rPr>
            </w:pPr>
            <w:r>
              <w:rPr>
                <w:rFonts w:eastAsia="Calibri" w:cs="Arial"/>
                <w:sz w:val="22"/>
              </w:rPr>
              <w:t>Compliance costs for businesses will reduce as a result of the proposed approach.  Currently some businesses incur compliance costs to structure around the deemed income rule.</w:t>
            </w:r>
          </w:p>
        </w:tc>
        <w:tc>
          <w:tcPr>
            <w:tcW w:w="2556" w:type="dxa"/>
            <w:shd w:val="clear" w:color="auto" w:fill="auto"/>
          </w:tcPr>
          <w:p w14:paraId="4622DFFD" w14:textId="33DB031A" w:rsidR="00FB21EF" w:rsidRPr="00A864A5" w:rsidRDefault="00B75684" w:rsidP="00FB21EF">
            <w:pPr>
              <w:pStyle w:val="TableText"/>
              <w:rPr>
                <w:rFonts w:eastAsia="Calibri"/>
                <w:sz w:val="22"/>
                <w:lang w:val="en-NZ"/>
              </w:rPr>
            </w:pPr>
            <w:r>
              <w:rPr>
                <w:rFonts w:eastAsia="Calibri"/>
                <w:sz w:val="22"/>
                <w:lang w:val="en-NZ"/>
              </w:rPr>
              <w:t xml:space="preserve">Decrease in compliance costs – </w:t>
            </w:r>
            <w:r w:rsidR="009A5E96">
              <w:rPr>
                <w:rFonts w:eastAsia="Calibri"/>
                <w:sz w:val="22"/>
                <w:lang w:val="en-NZ"/>
              </w:rPr>
              <w:t xml:space="preserve">unable to </w:t>
            </w:r>
            <w:r>
              <w:rPr>
                <w:rFonts w:eastAsia="Calibri"/>
                <w:sz w:val="22"/>
                <w:lang w:val="en-NZ"/>
              </w:rPr>
              <w:t xml:space="preserve">quantify </w:t>
            </w:r>
          </w:p>
        </w:tc>
      </w:tr>
      <w:tr w:rsidR="00FB21EF" w:rsidRPr="00A864A5" w14:paraId="4C7C04C2" w14:textId="77777777" w:rsidTr="0040497A">
        <w:trPr>
          <w:trHeight w:val="381"/>
        </w:trPr>
        <w:tc>
          <w:tcPr>
            <w:tcW w:w="3114" w:type="dxa"/>
            <w:shd w:val="clear" w:color="auto" w:fill="auto"/>
          </w:tcPr>
          <w:p w14:paraId="0AF6E2C5" w14:textId="1B6D824D" w:rsidR="00FB21EF" w:rsidRPr="00A864A5" w:rsidRDefault="00FB21EF" w:rsidP="00FB21EF">
            <w:pPr>
              <w:pStyle w:val="TableText"/>
              <w:rPr>
                <w:rFonts w:eastAsia="Calibri"/>
                <w:sz w:val="22"/>
                <w:lang w:val="en-NZ"/>
              </w:rPr>
            </w:pPr>
            <w:r w:rsidRPr="00A864A5">
              <w:rPr>
                <w:rFonts w:eastAsia="Calibri"/>
                <w:sz w:val="22"/>
                <w:lang w:val="en-NZ"/>
              </w:rPr>
              <w:t>Regulators</w:t>
            </w:r>
          </w:p>
        </w:tc>
        <w:tc>
          <w:tcPr>
            <w:tcW w:w="3297" w:type="dxa"/>
            <w:shd w:val="clear" w:color="auto" w:fill="auto"/>
          </w:tcPr>
          <w:p w14:paraId="3C664F72" w14:textId="77777777" w:rsidR="00FB21EF" w:rsidRPr="00A864A5" w:rsidRDefault="00FB21EF" w:rsidP="00FB21EF">
            <w:pPr>
              <w:pStyle w:val="TableText"/>
              <w:rPr>
                <w:rFonts w:eastAsia="Calibri"/>
                <w:sz w:val="22"/>
                <w:lang w:val="en-NZ"/>
              </w:rPr>
            </w:pPr>
          </w:p>
        </w:tc>
        <w:tc>
          <w:tcPr>
            <w:tcW w:w="2556" w:type="dxa"/>
            <w:shd w:val="clear" w:color="auto" w:fill="auto"/>
          </w:tcPr>
          <w:p w14:paraId="3C02A4E0" w14:textId="77777777" w:rsidR="00FB21EF" w:rsidRPr="00A864A5" w:rsidRDefault="00FB21EF" w:rsidP="00FB21EF">
            <w:pPr>
              <w:pStyle w:val="TableText"/>
              <w:rPr>
                <w:rFonts w:eastAsia="Calibri"/>
                <w:sz w:val="22"/>
                <w:lang w:val="en-NZ"/>
              </w:rPr>
            </w:pPr>
          </w:p>
        </w:tc>
      </w:tr>
      <w:tr w:rsidR="00FB21EF" w:rsidRPr="00A864A5" w14:paraId="6729003C" w14:textId="77777777" w:rsidTr="0040497A">
        <w:trPr>
          <w:trHeight w:val="263"/>
        </w:trPr>
        <w:tc>
          <w:tcPr>
            <w:tcW w:w="3114" w:type="dxa"/>
            <w:shd w:val="clear" w:color="auto" w:fill="auto"/>
          </w:tcPr>
          <w:p w14:paraId="59BC8D76" w14:textId="210568D6" w:rsidR="00FB21EF" w:rsidRPr="00A864A5" w:rsidRDefault="00FB21EF" w:rsidP="00FB21EF">
            <w:pPr>
              <w:pStyle w:val="TableText"/>
              <w:rPr>
                <w:rFonts w:eastAsia="Calibri"/>
                <w:sz w:val="22"/>
                <w:lang w:val="en-NZ"/>
              </w:rPr>
            </w:pPr>
            <w:r w:rsidRPr="00A864A5">
              <w:rPr>
                <w:rFonts w:eastAsia="Calibri"/>
                <w:color w:val="000000"/>
                <w:sz w:val="22"/>
                <w:lang w:val="en-NZ"/>
              </w:rPr>
              <w:t>Other groups (e.g.</w:t>
            </w:r>
            <w:r w:rsidR="00957112">
              <w:rPr>
                <w:rFonts w:eastAsia="Calibri"/>
                <w:color w:val="000000"/>
                <w:sz w:val="22"/>
                <w:lang w:val="en-NZ"/>
              </w:rPr>
              <w:t>,</w:t>
            </w:r>
            <w:r w:rsidRPr="00A864A5">
              <w:rPr>
                <w:rFonts w:eastAsia="Calibri"/>
                <w:color w:val="000000"/>
                <w:sz w:val="22"/>
                <w:lang w:val="en-NZ"/>
              </w:rPr>
              <w:t xml:space="preserve"> </w:t>
            </w:r>
            <w:r>
              <w:rPr>
                <w:rFonts w:eastAsia="Calibri"/>
                <w:color w:val="000000"/>
                <w:sz w:val="22"/>
                <w:lang w:val="en-NZ"/>
              </w:rPr>
              <w:t>w</w:t>
            </w:r>
            <w:r w:rsidRPr="00A864A5">
              <w:rPr>
                <w:rFonts w:eastAsia="Calibri"/>
                <w:color w:val="000000"/>
                <w:sz w:val="22"/>
                <w:lang w:val="en-NZ"/>
              </w:rPr>
              <w:t xml:space="preserve">ider government, </w:t>
            </w:r>
            <w:r>
              <w:rPr>
                <w:rFonts w:eastAsia="Calibri"/>
                <w:color w:val="000000"/>
                <w:sz w:val="22"/>
                <w:lang w:val="en-NZ"/>
              </w:rPr>
              <w:t xml:space="preserve">consumers </w:t>
            </w:r>
            <w:r w:rsidRPr="00A864A5">
              <w:rPr>
                <w:rFonts w:eastAsia="Calibri"/>
                <w:color w:val="000000"/>
                <w:sz w:val="22"/>
                <w:lang w:val="en-NZ"/>
              </w:rPr>
              <w:t>etc.)</w:t>
            </w:r>
          </w:p>
        </w:tc>
        <w:tc>
          <w:tcPr>
            <w:tcW w:w="3297" w:type="dxa"/>
            <w:shd w:val="clear" w:color="auto" w:fill="auto"/>
          </w:tcPr>
          <w:p w14:paraId="318BDF01" w14:textId="65A09665" w:rsidR="00FB21EF" w:rsidRPr="00A864A5" w:rsidRDefault="00384AC8" w:rsidP="00FB21EF">
            <w:pPr>
              <w:pStyle w:val="TableText"/>
              <w:rPr>
                <w:rFonts w:eastAsia="Calibri"/>
                <w:sz w:val="22"/>
                <w:lang w:val="en-NZ"/>
              </w:rPr>
            </w:pPr>
            <w:proofErr w:type="spellStart"/>
            <w:r>
              <w:rPr>
                <w:rFonts w:eastAsia="Calibri" w:cs="Arial"/>
                <w:sz w:val="22"/>
              </w:rPr>
              <w:t>Donees</w:t>
            </w:r>
            <w:proofErr w:type="spellEnd"/>
            <w:r>
              <w:rPr>
                <w:rFonts w:eastAsia="Calibri" w:cs="Arial"/>
                <w:sz w:val="22"/>
              </w:rPr>
              <w:t xml:space="preserve"> are likely to see an increase in donations of trading stock as a result of the proposed option as well as an increase in quality (</w:t>
            </w:r>
            <w:proofErr w:type="gramStart"/>
            <w:r>
              <w:rPr>
                <w:rFonts w:eastAsia="Calibri" w:cs="Arial"/>
                <w:sz w:val="22"/>
              </w:rPr>
              <w:t>i.e.</w:t>
            </w:r>
            <w:proofErr w:type="gramEnd"/>
            <w:r>
              <w:rPr>
                <w:rFonts w:eastAsia="Calibri" w:cs="Arial"/>
                <w:sz w:val="22"/>
              </w:rPr>
              <w:t xml:space="preserve"> less obsolescent stock)</w:t>
            </w:r>
            <w:r w:rsidR="00F936CF">
              <w:rPr>
                <w:rFonts w:eastAsia="Calibri" w:cs="Arial"/>
                <w:sz w:val="22"/>
              </w:rPr>
              <w:t>.</w:t>
            </w:r>
          </w:p>
        </w:tc>
        <w:tc>
          <w:tcPr>
            <w:tcW w:w="2556" w:type="dxa"/>
            <w:shd w:val="clear" w:color="auto" w:fill="auto"/>
          </w:tcPr>
          <w:p w14:paraId="5DF6FBDC" w14:textId="7F1AC06A" w:rsidR="00FB21EF" w:rsidRPr="00A864A5" w:rsidRDefault="00384AC8" w:rsidP="00FB21EF">
            <w:pPr>
              <w:pStyle w:val="TableText"/>
              <w:rPr>
                <w:rFonts w:eastAsia="Calibri"/>
                <w:sz w:val="22"/>
                <w:lang w:val="en-NZ"/>
              </w:rPr>
            </w:pPr>
            <w:r>
              <w:rPr>
                <w:rFonts w:eastAsia="Calibri"/>
                <w:sz w:val="22"/>
                <w:lang w:val="en-NZ"/>
              </w:rPr>
              <w:t>Increase in donations</w:t>
            </w:r>
            <w:r w:rsidR="00E34DE9">
              <w:rPr>
                <w:rFonts w:eastAsia="Calibri"/>
                <w:sz w:val="22"/>
                <w:lang w:val="en-NZ"/>
              </w:rPr>
              <w:t xml:space="preserve"> (and quality of those donations</w:t>
            </w:r>
            <w:r w:rsidR="004D6238">
              <w:rPr>
                <w:rFonts w:eastAsia="Calibri"/>
                <w:sz w:val="22"/>
                <w:lang w:val="en-NZ"/>
              </w:rPr>
              <w:t>)</w:t>
            </w:r>
            <w:r>
              <w:rPr>
                <w:rFonts w:eastAsia="Calibri"/>
                <w:sz w:val="22"/>
                <w:lang w:val="en-NZ"/>
              </w:rPr>
              <w:t xml:space="preserve"> – </w:t>
            </w:r>
            <w:r w:rsidR="009A5E96">
              <w:rPr>
                <w:rFonts w:eastAsia="Calibri"/>
                <w:sz w:val="22"/>
                <w:lang w:val="en-NZ"/>
              </w:rPr>
              <w:t xml:space="preserve">unable to </w:t>
            </w:r>
            <w:r>
              <w:rPr>
                <w:rFonts w:eastAsia="Calibri"/>
                <w:sz w:val="22"/>
                <w:lang w:val="en-NZ"/>
              </w:rPr>
              <w:t>quantify.</w:t>
            </w:r>
          </w:p>
        </w:tc>
      </w:tr>
      <w:tr w:rsidR="00FB21EF" w:rsidRPr="00A864A5" w14:paraId="6B967F63" w14:textId="77777777" w:rsidTr="0040497A">
        <w:trPr>
          <w:trHeight w:val="263"/>
        </w:trPr>
        <w:tc>
          <w:tcPr>
            <w:tcW w:w="3114" w:type="dxa"/>
            <w:shd w:val="clear" w:color="auto" w:fill="auto"/>
          </w:tcPr>
          <w:p w14:paraId="2AFAEB6B" w14:textId="298B09B9" w:rsidR="00FB21EF" w:rsidRPr="00A864A5" w:rsidRDefault="00FB21EF" w:rsidP="00FB21EF">
            <w:pPr>
              <w:pStyle w:val="TableText"/>
              <w:rPr>
                <w:rFonts w:eastAsia="Calibri"/>
                <w:b/>
                <w:sz w:val="22"/>
                <w:lang w:val="en-NZ"/>
              </w:rPr>
            </w:pPr>
            <w:r w:rsidRPr="00A864A5">
              <w:rPr>
                <w:rFonts w:eastAsia="Calibri"/>
                <w:b/>
                <w:sz w:val="22"/>
                <w:lang w:val="en-NZ"/>
              </w:rPr>
              <w:t>Total monetised benefits</w:t>
            </w:r>
          </w:p>
        </w:tc>
        <w:tc>
          <w:tcPr>
            <w:tcW w:w="3297" w:type="dxa"/>
            <w:shd w:val="clear" w:color="auto" w:fill="auto"/>
          </w:tcPr>
          <w:p w14:paraId="772637BE" w14:textId="77777777" w:rsidR="00FB21EF" w:rsidRPr="00A864A5" w:rsidRDefault="00FB21EF" w:rsidP="00FB21EF">
            <w:pPr>
              <w:pStyle w:val="TableText"/>
              <w:rPr>
                <w:rFonts w:eastAsia="Calibri"/>
                <w:sz w:val="22"/>
                <w:lang w:val="en-NZ"/>
              </w:rPr>
            </w:pPr>
          </w:p>
        </w:tc>
        <w:tc>
          <w:tcPr>
            <w:tcW w:w="2556" w:type="dxa"/>
            <w:shd w:val="clear" w:color="auto" w:fill="auto"/>
          </w:tcPr>
          <w:p w14:paraId="103565FE" w14:textId="0929C39A" w:rsidR="00FB21EF" w:rsidRPr="00A864A5" w:rsidRDefault="00384AC8" w:rsidP="00FB21EF">
            <w:pPr>
              <w:pStyle w:val="TableText"/>
              <w:rPr>
                <w:rFonts w:eastAsia="Calibri"/>
                <w:sz w:val="22"/>
                <w:lang w:val="en-NZ"/>
              </w:rPr>
            </w:pPr>
            <w:r>
              <w:rPr>
                <w:rFonts w:eastAsia="Calibri"/>
                <w:sz w:val="22"/>
                <w:lang w:val="en-NZ"/>
              </w:rPr>
              <w:t>Increase</w:t>
            </w:r>
          </w:p>
        </w:tc>
      </w:tr>
      <w:tr w:rsidR="00FB21EF" w:rsidRPr="00A864A5" w14:paraId="245A55D9" w14:textId="77777777" w:rsidTr="00FB21EF">
        <w:trPr>
          <w:trHeight w:val="187"/>
        </w:trPr>
        <w:tc>
          <w:tcPr>
            <w:tcW w:w="3114" w:type="dxa"/>
            <w:shd w:val="clear" w:color="auto" w:fill="auto"/>
          </w:tcPr>
          <w:p w14:paraId="07A1E910" w14:textId="77777777" w:rsidR="00FB21EF" w:rsidRPr="00A864A5" w:rsidRDefault="00FB21EF" w:rsidP="00FB21EF">
            <w:pPr>
              <w:pStyle w:val="TableText"/>
              <w:rPr>
                <w:rFonts w:eastAsia="Calibri"/>
                <w:b/>
                <w:sz w:val="22"/>
                <w:lang w:val="en-NZ"/>
              </w:rPr>
            </w:pPr>
            <w:r w:rsidRPr="00A864A5">
              <w:rPr>
                <w:rFonts w:eastAsia="Calibri"/>
                <w:b/>
                <w:sz w:val="22"/>
                <w:lang w:val="en-NZ"/>
              </w:rPr>
              <w:t>Non-monetised benefits</w:t>
            </w:r>
          </w:p>
        </w:tc>
        <w:tc>
          <w:tcPr>
            <w:tcW w:w="3297" w:type="dxa"/>
            <w:shd w:val="clear" w:color="auto" w:fill="auto"/>
          </w:tcPr>
          <w:p w14:paraId="6976B419" w14:textId="77777777" w:rsidR="00FB21EF" w:rsidRPr="00A864A5" w:rsidRDefault="00FB21EF" w:rsidP="00FB21EF">
            <w:pPr>
              <w:pStyle w:val="TableText"/>
              <w:rPr>
                <w:rFonts w:eastAsia="Calibri"/>
                <w:sz w:val="22"/>
                <w:lang w:val="en-NZ"/>
              </w:rPr>
            </w:pPr>
          </w:p>
        </w:tc>
        <w:tc>
          <w:tcPr>
            <w:tcW w:w="2556" w:type="dxa"/>
            <w:shd w:val="clear" w:color="auto" w:fill="auto"/>
          </w:tcPr>
          <w:p w14:paraId="09E80026" w14:textId="100C1182" w:rsidR="00FB21EF" w:rsidRPr="00677C50" w:rsidRDefault="00677C50" w:rsidP="00FB21EF">
            <w:pPr>
              <w:pStyle w:val="TableText"/>
              <w:rPr>
                <w:rFonts w:eastAsia="Calibri"/>
                <w:iCs/>
                <w:sz w:val="22"/>
                <w:lang w:val="en-NZ"/>
              </w:rPr>
            </w:pPr>
            <w:r>
              <w:rPr>
                <w:rFonts w:eastAsia="Calibri"/>
                <w:iCs/>
                <w:sz w:val="22"/>
                <w:lang w:val="en-NZ"/>
              </w:rPr>
              <w:t>Increase</w:t>
            </w:r>
          </w:p>
        </w:tc>
      </w:tr>
    </w:tbl>
    <w:p w14:paraId="75F637CC" w14:textId="7F309C24" w:rsidR="00A0728D" w:rsidRPr="00A864A5" w:rsidRDefault="00417B4A" w:rsidP="00556893">
      <w:pPr>
        <w:pStyle w:val="Heading2"/>
        <w:rPr>
          <w:lang w:val="en-NZ"/>
        </w:rPr>
      </w:pPr>
      <w:r w:rsidRPr="00A864A5">
        <w:rPr>
          <w:lang w:val="en-NZ"/>
        </w:rPr>
        <w:t xml:space="preserve">Section </w:t>
      </w:r>
      <w:r w:rsidR="00D62B30" w:rsidRPr="00A864A5">
        <w:rPr>
          <w:lang w:val="en-NZ"/>
        </w:rPr>
        <w:t>3</w:t>
      </w:r>
      <w:r w:rsidRPr="00A864A5">
        <w:rPr>
          <w:lang w:val="en-NZ"/>
        </w:rPr>
        <w:t>: Implement</w:t>
      </w:r>
      <w:r w:rsidR="00A0728D" w:rsidRPr="00A864A5">
        <w:rPr>
          <w:lang w:val="en-NZ"/>
        </w:rPr>
        <w:t xml:space="preserve">ing the </w:t>
      </w:r>
      <w:r w:rsidR="008D22EF" w:rsidRPr="00A864A5">
        <w:rPr>
          <w:lang w:val="en-NZ"/>
        </w:rPr>
        <w:t>preferred option</w:t>
      </w:r>
    </w:p>
    <w:p w14:paraId="77D8CE5A" w14:textId="5DE0FD0F" w:rsidR="006B5794" w:rsidRPr="00A864A5" w:rsidRDefault="00A16B89" w:rsidP="006B5794">
      <w:pPr>
        <w:pStyle w:val="Heading3"/>
        <w:rPr>
          <w:lang w:val="en-NZ"/>
        </w:rPr>
      </w:pPr>
      <w:r w:rsidRPr="00A864A5">
        <w:rPr>
          <w:lang w:val="en-NZ"/>
        </w:rPr>
        <w:t>How will it be implemented?</w:t>
      </w:r>
    </w:p>
    <w:p w14:paraId="7B63A846" w14:textId="489E29B5" w:rsidR="00EE1BDB" w:rsidRDefault="00762EB6" w:rsidP="00CB3AC3">
      <w:pPr>
        <w:rPr>
          <w:lang w:val="en-NZ"/>
        </w:rPr>
      </w:pPr>
      <w:r>
        <w:rPr>
          <w:lang w:val="en-NZ"/>
        </w:rPr>
        <w:t xml:space="preserve">If approved by Cabinet, an amendment will be included </w:t>
      </w:r>
      <w:r w:rsidR="00E97206">
        <w:rPr>
          <w:lang w:val="en-NZ"/>
        </w:rPr>
        <w:t>as a Supplementary Order Paper to the Taxation (Annual Rates for 2020-21, Feasibility Expenditure, and Remedial Matters) Bill.</w:t>
      </w:r>
    </w:p>
    <w:p w14:paraId="3CE6D990" w14:textId="74E1FF44" w:rsidR="00EE1BDB" w:rsidRDefault="00EE1BDB" w:rsidP="00CB3AC3">
      <w:pPr>
        <w:rPr>
          <w:lang w:val="en-NZ"/>
        </w:rPr>
      </w:pPr>
      <w:r>
        <w:rPr>
          <w:lang w:val="en-NZ"/>
        </w:rPr>
        <w:t xml:space="preserve">The changes will apply </w:t>
      </w:r>
      <w:r w:rsidR="007313F3">
        <w:rPr>
          <w:lang w:val="en-NZ"/>
        </w:rPr>
        <w:t xml:space="preserve">for donations of trading stock made on or after 17 </w:t>
      </w:r>
      <w:r>
        <w:rPr>
          <w:lang w:val="en-NZ"/>
        </w:rPr>
        <w:t>March 2020</w:t>
      </w:r>
      <w:r w:rsidR="00730383">
        <w:rPr>
          <w:lang w:val="en-NZ"/>
        </w:rPr>
        <w:t xml:space="preserve"> </w:t>
      </w:r>
      <w:r w:rsidR="007313F3">
        <w:rPr>
          <w:lang w:val="en-NZ"/>
        </w:rPr>
        <w:t xml:space="preserve">and before 17 </w:t>
      </w:r>
      <w:r w:rsidR="00730383">
        <w:rPr>
          <w:lang w:val="en-NZ"/>
        </w:rPr>
        <w:t>March 2022.</w:t>
      </w:r>
    </w:p>
    <w:p w14:paraId="4DAE19F1" w14:textId="77777777" w:rsidR="00730383" w:rsidRDefault="00B31963" w:rsidP="00CB3AC3">
      <w:pPr>
        <w:rPr>
          <w:lang w:val="en-NZ"/>
        </w:rPr>
      </w:pPr>
      <w:r>
        <w:rPr>
          <w:lang w:val="en-NZ"/>
        </w:rPr>
        <w:t>Inland Revenue will be responsible for administering the changes.</w:t>
      </w:r>
      <w:r w:rsidR="00D95990">
        <w:rPr>
          <w:lang w:val="en-NZ"/>
        </w:rPr>
        <w:t xml:space="preserve"> </w:t>
      </w:r>
    </w:p>
    <w:p w14:paraId="480D378C" w14:textId="4090C233" w:rsidR="00B31963" w:rsidRDefault="00D95990" w:rsidP="00CB3AC3">
      <w:pPr>
        <w:rPr>
          <w:lang w:val="en-NZ"/>
        </w:rPr>
      </w:pPr>
      <w:r>
        <w:rPr>
          <w:lang w:val="en-NZ"/>
        </w:rPr>
        <w:t xml:space="preserve">The public will be notified of the changes through the </w:t>
      </w:r>
      <w:r w:rsidR="00BB55AA">
        <w:rPr>
          <w:lang w:val="en-NZ"/>
        </w:rPr>
        <w:t>T</w:t>
      </w:r>
      <w:r>
        <w:rPr>
          <w:lang w:val="en-NZ"/>
        </w:rPr>
        <w:t xml:space="preserve">ax </w:t>
      </w:r>
      <w:r w:rsidR="00BB55AA">
        <w:rPr>
          <w:lang w:val="en-NZ"/>
        </w:rPr>
        <w:t>I</w:t>
      </w:r>
      <w:r>
        <w:rPr>
          <w:lang w:val="en-NZ"/>
        </w:rPr>
        <w:t xml:space="preserve">nformation </w:t>
      </w:r>
      <w:r w:rsidR="00BB55AA">
        <w:rPr>
          <w:lang w:val="en-NZ"/>
        </w:rPr>
        <w:t>B</w:t>
      </w:r>
      <w:r>
        <w:rPr>
          <w:lang w:val="en-NZ"/>
        </w:rPr>
        <w:t xml:space="preserve">ulletin, which </w:t>
      </w:r>
      <w:r w:rsidR="00C6171A">
        <w:rPr>
          <w:lang w:val="en-NZ"/>
        </w:rPr>
        <w:t>will be</w:t>
      </w:r>
      <w:r>
        <w:rPr>
          <w:lang w:val="en-NZ"/>
        </w:rPr>
        <w:t xml:space="preserve"> published on the Inland Revenue website</w:t>
      </w:r>
      <w:r w:rsidR="00C6171A">
        <w:rPr>
          <w:lang w:val="en-NZ"/>
        </w:rPr>
        <w:t xml:space="preserve"> once the legislation is enacted.</w:t>
      </w:r>
    </w:p>
    <w:p w14:paraId="5AA39C72" w14:textId="57252B37" w:rsidR="006B5794" w:rsidRPr="00A864A5" w:rsidRDefault="00A16B89" w:rsidP="006B5794">
      <w:pPr>
        <w:pStyle w:val="Heading3"/>
        <w:rPr>
          <w:lang w:val="en-NZ"/>
        </w:rPr>
      </w:pPr>
      <w:r w:rsidRPr="00A864A5">
        <w:rPr>
          <w:lang w:val="en-NZ"/>
        </w:rPr>
        <w:t>Monitoring, Evaluation, and Review</w:t>
      </w:r>
    </w:p>
    <w:p w14:paraId="43A5DC36" w14:textId="0D209C5E" w:rsidR="00243457" w:rsidRPr="00C76280" w:rsidRDefault="00243457" w:rsidP="00243457">
      <w:pPr>
        <w:pStyle w:val="ListParagraph"/>
        <w:spacing w:line="240" w:lineRule="auto"/>
        <w:ind w:left="0"/>
        <w:rPr>
          <w:szCs w:val="22"/>
          <w:lang w:val="en-AU"/>
        </w:rPr>
      </w:pPr>
      <w:r w:rsidRPr="00DB71A4">
        <w:rPr>
          <w:szCs w:val="22"/>
          <w:lang w:val="en-AU"/>
        </w:rPr>
        <w:t>Inland Revenue will monitor the outcomes pursuant to the Generic Tax Policy Process ("GTTP") to confirm that they match the policy objectives. The GTPP is a multi-stage policy process that has been used to design tax policy in New Zealand since 1995.</w:t>
      </w:r>
    </w:p>
    <w:p w14:paraId="405D3786" w14:textId="0C7705B5" w:rsidR="00243457" w:rsidRDefault="00243457" w:rsidP="00243457">
      <w:pPr>
        <w:rPr>
          <w:lang w:val="en-NZ"/>
        </w:rPr>
      </w:pPr>
      <w:r>
        <w:t xml:space="preserve">Policy officials are exploring the possibility of surveying stakeholders (such as </w:t>
      </w:r>
      <w:r w:rsidR="00BB55AA">
        <w:t>Chartered Accountants Australia and New Zealand</w:t>
      </w:r>
      <w:r>
        <w:t xml:space="preserve">) post-implementation to establish the impact of this temporary change. This will inform options regarding the development of longer-term and more enduring solution to the tax treatment of donated trading stock.  </w:t>
      </w:r>
    </w:p>
    <w:p w14:paraId="72B03271" w14:textId="77EA9270" w:rsidR="00B92F87" w:rsidRPr="00406EC7" w:rsidRDefault="00B92F87" w:rsidP="00CA0669">
      <w:pPr>
        <w:spacing w:after="0" w:line="240" w:lineRule="auto"/>
        <w:rPr>
          <w:lang w:val="en-NZ"/>
        </w:rPr>
      </w:pPr>
    </w:p>
    <w:sectPr w:rsidR="00B92F87" w:rsidRPr="00406EC7" w:rsidSect="0005691A">
      <w:headerReference w:type="even" r:id="rId7"/>
      <w:headerReference w:type="default" r:id="rId8"/>
      <w:footerReference w:type="even" r:id="rId9"/>
      <w:footerReference w:type="default" r:id="rId10"/>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CFE27" w14:textId="77777777" w:rsidR="008458CA" w:rsidRDefault="008458CA">
      <w:pPr>
        <w:spacing w:after="0" w:line="240" w:lineRule="auto"/>
      </w:pPr>
      <w:r>
        <w:separator/>
      </w:r>
    </w:p>
    <w:p w14:paraId="093EE20F" w14:textId="77777777" w:rsidR="008458CA" w:rsidRDefault="008458CA"/>
  </w:endnote>
  <w:endnote w:type="continuationSeparator" w:id="0">
    <w:p w14:paraId="72458E7A" w14:textId="77777777" w:rsidR="008458CA" w:rsidRDefault="008458CA">
      <w:pPr>
        <w:spacing w:after="0" w:line="240" w:lineRule="auto"/>
      </w:pPr>
      <w:r>
        <w:continuationSeparator/>
      </w:r>
    </w:p>
    <w:p w14:paraId="7177D83A" w14:textId="77777777" w:rsidR="008458CA" w:rsidRDefault="00845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69A0" w14:textId="77777777" w:rsidR="001E1AA3" w:rsidRDefault="001E1AA3" w:rsidP="00743278">
    <w:pPr>
      <w:pStyle w:val="Footer"/>
    </w:pPr>
  </w:p>
  <w:p w14:paraId="6E40FA9B" w14:textId="77777777" w:rsidR="001E1AA3" w:rsidRDefault="001E1A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386A" w14:textId="255318C8" w:rsidR="001E1AA3" w:rsidRDefault="001E1AA3" w:rsidP="00743278">
    <w:pPr>
      <w:pStyle w:val="Footer"/>
      <w:rPr>
        <w:sz w:val="14"/>
      </w:rPr>
    </w:pPr>
  </w:p>
  <w:p w14:paraId="3F4886C0" w14:textId="07C44BFE" w:rsidR="001E1AA3" w:rsidRPr="00743278" w:rsidRDefault="001E1AA3" w:rsidP="00743278">
    <w:pPr>
      <w:pStyle w:val="Footer"/>
    </w:pPr>
    <w:r>
      <w:rPr>
        <w:sz w:val="14"/>
      </w:rPr>
      <w:tab/>
    </w:r>
    <w:r>
      <w:t>Regulatory Impact Statement</w:t>
    </w:r>
    <w:r w:rsidR="00C80B4D">
      <w:t>:</w:t>
    </w:r>
    <w:r w:rsidR="00C80B4D" w:rsidRPr="00C80B4D">
      <w:t xml:space="preserve"> COVID-19:  Tax relief for donations of trading stock</w:t>
    </w:r>
    <w:r w:rsidR="00C80B4D">
      <w:t xml:space="preserve"> </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p w14:paraId="25B99CB4" w14:textId="77777777" w:rsidR="001E1AA3" w:rsidRDefault="001E1A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B378D" w14:textId="77777777" w:rsidR="008458CA" w:rsidRDefault="008458CA">
      <w:pPr>
        <w:spacing w:after="0" w:line="240" w:lineRule="auto"/>
      </w:pPr>
      <w:r>
        <w:separator/>
      </w:r>
    </w:p>
    <w:p w14:paraId="14BED03A" w14:textId="77777777" w:rsidR="008458CA" w:rsidRDefault="008458CA"/>
  </w:footnote>
  <w:footnote w:type="continuationSeparator" w:id="0">
    <w:p w14:paraId="7876C3A7" w14:textId="77777777" w:rsidR="008458CA" w:rsidRDefault="008458CA">
      <w:pPr>
        <w:spacing w:after="0" w:line="240" w:lineRule="auto"/>
      </w:pPr>
      <w:r>
        <w:continuationSeparator/>
      </w:r>
    </w:p>
    <w:p w14:paraId="7F3CCBE2" w14:textId="77777777" w:rsidR="008458CA" w:rsidRDefault="00845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1076" w14:textId="31B427BB" w:rsidR="001E1AA3" w:rsidRDefault="001E1AA3">
    <w:pPr>
      <w:pStyle w:val="Header"/>
    </w:pPr>
  </w:p>
  <w:p w14:paraId="5B68D6FF" w14:textId="77777777" w:rsidR="001E1AA3" w:rsidRDefault="001E1A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215B" w14:textId="5F4BE74F" w:rsidR="001E1AA3" w:rsidRPr="00EB1B21" w:rsidRDefault="001E1AA3" w:rsidP="004B6F7D">
    <w:pPr>
      <w:tabs>
        <w:tab w:val="center" w:pos="4253"/>
      </w:tabs>
      <w:rPr>
        <w:b/>
      </w:rPr>
    </w:pPr>
    <w:r>
      <w:rPr>
        <w:noProof/>
      </w:rPr>
      <mc:AlternateContent>
        <mc:Choice Requires="wps">
          <w:drawing>
            <wp:anchor distT="0" distB="0" distL="114300" distR="114300" simplePos="0" relativeHeight="251668992" behindDoc="0" locked="0" layoutInCell="0" allowOverlap="1" wp14:anchorId="7DF5AECB" wp14:editId="55C4DCAB">
              <wp:simplePos x="0" y="0"/>
              <wp:positionH relativeFrom="page">
                <wp:posOffset>0</wp:posOffset>
              </wp:positionH>
              <wp:positionV relativeFrom="page">
                <wp:posOffset>190500</wp:posOffset>
              </wp:positionV>
              <wp:extent cx="7560310" cy="271780"/>
              <wp:effectExtent l="0" t="0" r="0" b="13970"/>
              <wp:wrapNone/>
              <wp:docPr id="1" name="MSIPCMe9e24a25a46a8d1925ff71d5"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26DC34" w14:textId="1254C96C" w:rsidR="001E1AA3" w:rsidRPr="00735FEE" w:rsidRDefault="001E1AA3" w:rsidP="00735FEE">
                          <w:pPr>
                            <w:spacing w:after="0"/>
                            <w:jc w:val="center"/>
                            <w:rPr>
                              <w:rFonts w:ascii="Verdana" w:hAnsi="Verdana"/>
                              <w:color w:val="000000"/>
                              <w:sz w:val="20"/>
                            </w:rPr>
                          </w:pPr>
                          <w:r w:rsidRPr="00735FEE">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F5AECB" id="_x0000_t202" coordsize="21600,21600" o:spt="202" path="m,l,21600r21600,l21600,xe">
              <v:stroke joinstyle="miter"/>
              <v:path gradientshapeok="t" o:connecttype="rect"/>
            </v:shapetype>
            <v:shape id="MSIPCMe9e24a25a46a8d1925ff71d5" o:spid="_x0000_s1028" type="#_x0000_t202" alt="{&quot;HashCode&quot;:-1751313585,&quot;Height&quot;:841.0,&quot;Width&quot;:595.0,&quot;Placement&quot;:&quot;Header&quot;,&quot;Index&quot;:&quot;Primary&quot;,&quot;Section&quot;:1,&quot;Top&quot;:0.0,&quot;Left&quot;:0.0}" style="position:absolute;margin-left:0;margin-top:15pt;width:595.3pt;height:21.4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" o:allowincell="f" filled="f" stroked="f" strokeweight=".5pt">
              <v:textbox inset=",0,,0">
                <w:txbxContent>
                  <w:p w14:paraId="0226DC34" w14:textId="1254C96C" w:rsidR="001E1AA3" w:rsidRPr="00735FEE" w:rsidRDefault="001E1AA3" w:rsidP="00735FEE">
                    <w:pPr>
                      <w:spacing w:after="0"/>
                      <w:jc w:val="center"/>
                      <w:rPr>
                        <w:rFonts w:ascii="Verdana" w:hAnsi="Verdana"/>
                        <w:color w:val="000000"/>
                        <w:sz w:val="20"/>
                      </w:rPr>
                    </w:pPr>
                    <w:r w:rsidRPr="00735FEE">
                      <w:rPr>
                        <w:rFonts w:ascii="Verdana" w:hAnsi="Verdana"/>
                        <w:color w:val="000000"/>
                        <w:sz w:val="20"/>
                      </w:rPr>
                      <w:t xml:space="preserve">[IN CONFIDENCE] </w:t>
                    </w:r>
                  </w:p>
                </w:txbxContent>
              </v:textbox>
              <w10:wrap anchorx="page" anchory="page"/>
            </v:shape>
          </w:pict>
        </mc:Fallback>
      </mc:AlternateContent>
    </w:r>
    <w:r>
      <w:tab/>
    </w:r>
  </w:p>
  <w:p w14:paraId="60EA4F3F" w14:textId="77777777" w:rsidR="001E1AA3" w:rsidRDefault="001E1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B92AF1"/>
    <w:multiLevelType w:val="hybridMultilevel"/>
    <w:tmpl w:val="1580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BD46A7"/>
    <w:multiLevelType w:val="hybridMultilevel"/>
    <w:tmpl w:val="AC6C1CFE"/>
    <w:lvl w:ilvl="0" w:tplc="7C36C5EC">
      <w:start w:val="1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286E07"/>
    <w:multiLevelType w:val="hybridMultilevel"/>
    <w:tmpl w:val="A4A87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436762"/>
    <w:multiLevelType w:val="hybridMultilevel"/>
    <w:tmpl w:val="B3788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F50B8A"/>
    <w:multiLevelType w:val="hybridMultilevel"/>
    <w:tmpl w:val="CC765D3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A82164"/>
    <w:multiLevelType w:val="hybridMultilevel"/>
    <w:tmpl w:val="49522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514CF0"/>
    <w:multiLevelType w:val="multilevel"/>
    <w:tmpl w:val="9788E86E"/>
    <w:lvl w:ilvl="0">
      <w:start w:val="1"/>
      <w:numFmt w:val="lowerRoman"/>
      <w:lvlText w:val="(%1)"/>
      <w:lvlJc w:val="left"/>
      <w:pPr>
        <w:tabs>
          <w:tab w:val="num" w:pos="1418"/>
        </w:tabs>
        <w:ind w:left="1418" w:hanging="709"/>
      </w:pPr>
      <w:rPr>
        <w:rFonts w:hint="default"/>
        <w:sz w:val="20"/>
      </w:rPr>
    </w:lvl>
    <w:lvl w:ilvl="1">
      <w:start w:val="1"/>
      <w:numFmt w:val="decimal"/>
      <w:lvlText w:val="%1.%2"/>
      <w:lvlJc w:val="left"/>
      <w:pPr>
        <w:tabs>
          <w:tab w:val="num" w:pos="2127"/>
        </w:tabs>
        <w:ind w:left="2127" w:hanging="709"/>
      </w:pPr>
      <w:rPr>
        <w:rFonts w:ascii="Verdana" w:hAnsi="Verdana" w:hint="default"/>
        <w:sz w:val="20"/>
      </w:rPr>
    </w:lvl>
    <w:lvl w:ilvl="2">
      <w:start w:val="1"/>
      <w:numFmt w:val="decimal"/>
      <w:lvlText w:val="%1.%2.%3"/>
      <w:lvlJc w:val="left"/>
      <w:pPr>
        <w:tabs>
          <w:tab w:val="num" w:pos="2836"/>
        </w:tabs>
        <w:ind w:left="2836" w:hanging="709"/>
      </w:pPr>
      <w:rPr>
        <w:rFonts w:ascii="Verdana" w:hAnsi="Verdana" w:hint="default"/>
        <w:sz w:val="20"/>
      </w:rPr>
    </w:lvl>
    <w:lvl w:ilvl="3">
      <w:start w:val="1"/>
      <w:numFmt w:val="decimal"/>
      <w:lvlText w:val="(%4)"/>
      <w:lvlJc w:val="left"/>
      <w:pPr>
        <w:tabs>
          <w:tab w:val="num" w:pos="3545"/>
        </w:tabs>
        <w:ind w:left="3545" w:hanging="709"/>
      </w:pPr>
      <w:rPr>
        <w:rFonts w:hint="default"/>
        <w:sz w:val="24"/>
      </w:rPr>
    </w:lvl>
    <w:lvl w:ilvl="4">
      <w:start w:val="1"/>
      <w:numFmt w:val="lowerLetter"/>
      <w:lvlText w:val="(%5)"/>
      <w:lvlJc w:val="left"/>
      <w:pPr>
        <w:tabs>
          <w:tab w:val="num" w:pos="4254"/>
        </w:tabs>
        <w:ind w:left="4254" w:hanging="709"/>
      </w:pPr>
      <w:rPr>
        <w:rFonts w:hint="default"/>
      </w:rPr>
    </w:lvl>
    <w:lvl w:ilvl="5">
      <w:start w:val="1"/>
      <w:numFmt w:val="lowerRoman"/>
      <w:lvlText w:val="(%6)"/>
      <w:lvlJc w:val="left"/>
      <w:pPr>
        <w:tabs>
          <w:tab w:val="num" w:pos="4963"/>
        </w:tabs>
        <w:ind w:left="4963" w:hanging="709"/>
      </w:pPr>
      <w:rPr>
        <w:rFonts w:hint="default"/>
      </w:rPr>
    </w:lvl>
    <w:lvl w:ilvl="6">
      <w:start w:val="1"/>
      <w:numFmt w:val="decimal"/>
      <w:lvlText w:val="%7."/>
      <w:lvlJc w:val="left"/>
      <w:pPr>
        <w:tabs>
          <w:tab w:val="num" w:pos="5672"/>
        </w:tabs>
        <w:ind w:left="5672" w:hanging="709"/>
      </w:pPr>
      <w:rPr>
        <w:rFonts w:hint="default"/>
      </w:rPr>
    </w:lvl>
    <w:lvl w:ilvl="7">
      <w:start w:val="1"/>
      <w:numFmt w:val="lowerLetter"/>
      <w:lvlText w:val="%8."/>
      <w:lvlJc w:val="left"/>
      <w:pPr>
        <w:tabs>
          <w:tab w:val="num" w:pos="6381"/>
        </w:tabs>
        <w:ind w:left="6381" w:hanging="709"/>
      </w:pPr>
      <w:rPr>
        <w:rFonts w:hint="default"/>
      </w:rPr>
    </w:lvl>
    <w:lvl w:ilvl="8">
      <w:start w:val="1"/>
      <w:numFmt w:val="lowerRoman"/>
      <w:lvlText w:val="%9."/>
      <w:lvlJc w:val="left"/>
      <w:pPr>
        <w:tabs>
          <w:tab w:val="num" w:pos="7090"/>
        </w:tabs>
        <w:ind w:left="7090" w:hanging="709"/>
      </w:pPr>
      <w:rPr>
        <w:rFonts w:hint="default"/>
      </w:rPr>
    </w:lvl>
  </w:abstractNum>
  <w:abstractNum w:abstractNumId="8" w15:restartNumberingAfterBreak="0">
    <w:nsid w:val="106537D2"/>
    <w:multiLevelType w:val="hybridMultilevel"/>
    <w:tmpl w:val="56B264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1052F41"/>
    <w:multiLevelType w:val="hybridMultilevel"/>
    <w:tmpl w:val="B1C2FFBE"/>
    <w:lvl w:ilvl="0" w:tplc="14090011">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8C214B"/>
    <w:multiLevelType w:val="hybridMultilevel"/>
    <w:tmpl w:val="DEEEF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14D732C2"/>
    <w:multiLevelType w:val="hybridMultilevel"/>
    <w:tmpl w:val="EF149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D00BD8"/>
    <w:multiLevelType w:val="hybridMultilevel"/>
    <w:tmpl w:val="54220D42"/>
    <w:lvl w:ilvl="0" w:tplc="1EFC1134">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20B8763B"/>
    <w:multiLevelType w:val="hybridMultilevel"/>
    <w:tmpl w:val="FD16E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1DF19B5"/>
    <w:multiLevelType w:val="hybridMultilevel"/>
    <w:tmpl w:val="B8AC30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7325EF2"/>
    <w:multiLevelType w:val="hybridMultilevel"/>
    <w:tmpl w:val="691CB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EA2AD0"/>
    <w:multiLevelType w:val="hybridMultilevel"/>
    <w:tmpl w:val="6F86E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B973755"/>
    <w:multiLevelType w:val="hybridMultilevel"/>
    <w:tmpl w:val="CFBAC5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C174343"/>
    <w:multiLevelType w:val="hybridMultilevel"/>
    <w:tmpl w:val="66E62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13774C8"/>
    <w:multiLevelType w:val="hybridMultilevel"/>
    <w:tmpl w:val="DA9C1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3CB66D2"/>
    <w:multiLevelType w:val="hybridMultilevel"/>
    <w:tmpl w:val="C592E8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3E12988"/>
    <w:multiLevelType w:val="hybridMultilevel"/>
    <w:tmpl w:val="E0C0E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727211"/>
    <w:multiLevelType w:val="hybridMultilevel"/>
    <w:tmpl w:val="A9464D3C"/>
    <w:lvl w:ilvl="0" w:tplc="483805D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C633D"/>
    <w:multiLevelType w:val="hybridMultilevel"/>
    <w:tmpl w:val="B8D2F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DF71A17"/>
    <w:multiLevelType w:val="hybridMultilevel"/>
    <w:tmpl w:val="1902D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FF76084"/>
    <w:multiLevelType w:val="multilevel"/>
    <w:tmpl w:val="9788E86E"/>
    <w:lvl w:ilvl="0">
      <w:start w:val="1"/>
      <w:numFmt w:val="lowerRoman"/>
      <w:lvlText w:val="(%1)"/>
      <w:lvlJc w:val="left"/>
      <w:pPr>
        <w:tabs>
          <w:tab w:val="num" w:pos="1418"/>
        </w:tabs>
        <w:ind w:left="1418" w:hanging="709"/>
      </w:pPr>
      <w:rPr>
        <w:rFonts w:hint="default"/>
        <w:sz w:val="20"/>
      </w:rPr>
    </w:lvl>
    <w:lvl w:ilvl="1">
      <w:start w:val="1"/>
      <w:numFmt w:val="decimal"/>
      <w:lvlText w:val="%1.%2"/>
      <w:lvlJc w:val="left"/>
      <w:pPr>
        <w:tabs>
          <w:tab w:val="num" w:pos="2127"/>
        </w:tabs>
        <w:ind w:left="2127" w:hanging="709"/>
      </w:pPr>
      <w:rPr>
        <w:rFonts w:ascii="Verdana" w:hAnsi="Verdana" w:hint="default"/>
        <w:sz w:val="20"/>
      </w:rPr>
    </w:lvl>
    <w:lvl w:ilvl="2">
      <w:start w:val="1"/>
      <w:numFmt w:val="decimal"/>
      <w:lvlText w:val="%1.%2.%3"/>
      <w:lvlJc w:val="left"/>
      <w:pPr>
        <w:tabs>
          <w:tab w:val="num" w:pos="2836"/>
        </w:tabs>
        <w:ind w:left="2836" w:hanging="709"/>
      </w:pPr>
      <w:rPr>
        <w:rFonts w:ascii="Verdana" w:hAnsi="Verdana" w:hint="default"/>
        <w:sz w:val="20"/>
      </w:rPr>
    </w:lvl>
    <w:lvl w:ilvl="3">
      <w:start w:val="1"/>
      <w:numFmt w:val="decimal"/>
      <w:lvlText w:val="(%4)"/>
      <w:lvlJc w:val="left"/>
      <w:pPr>
        <w:tabs>
          <w:tab w:val="num" w:pos="3545"/>
        </w:tabs>
        <w:ind w:left="3545" w:hanging="709"/>
      </w:pPr>
      <w:rPr>
        <w:rFonts w:hint="default"/>
        <w:sz w:val="24"/>
      </w:rPr>
    </w:lvl>
    <w:lvl w:ilvl="4">
      <w:start w:val="1"/>
      <w:numFmt w:val="lowerLetter"/>
      <w:lvlText w:val="(%5)"/>
      <w:lvlJc w:val="left"/>
      <w:pPr>
        <w:tabs>
          <w:tab w:val="num" w:pos="4254"/>
        </w:tabs>
        <w:ind w:left="4254" w:hanging="709"/>
      </w:pPr>
      <w:rPr>
        <w:rFonts w:hint="default"/>
      </w:rPr>
    </w:lvl>
    <w:lvl w:ilvl="5">
      <w:start w:val="1"/>
      <w:numFmt w:val="lowerRoman"/>
      <w:lvlText w:val="(%6)"/>
      <w:lvlJc w:val="left"/>
      <w:pPr>
        <w:tabs>
          <w:tab w:val="num" w:pos="4963"/>
        </w:tabs>
        <w:ind w:left="4963" w:hanging="709"/>
      </w:pPr>
      <w:rPr>
        <w:rFonts w:hint="default"/>
      </w:rPr>
    </w:lvl>
    <w:lvl w:ilvl="6">
      <w:start w:val="1"/>
      <w:numFmt w:val="decimal"/>
      <w:lvlText w:val="%7."/>
      <w:lvlJc w:val="left"/>
      <w:pPr>
        <w:tabs>
          <w:tab w:val="num" w:pos="5672"/>
        </w:tabs>
        <w:ind w:left="5672" w:hanging="709"/>
      </w:pPr>
      <w:rPr>
        <w:rFonts w:hint="default"/>
      </w:rPr>
    </w:lvl>
    <w:lvl w:ilvl="7">
      <w:start w:val="1"/>
      <w:numFmt w:val="lowerLetter"/>
      <w:lvlText w:val="%8."/>
      <w:lvlJc w:val="left"/>
      <w:pPr>
        <w:tabs>
          <w:tab w:val="num" w:pos="6381"/>
        </w:tabs>
        <w:ind w:left="6381" w:hanging="709"/>
      </w:pPr>
      <w:rPr>
        <w:rFonts w:hint="default"/>
      </w:rPr>
    </w:lvl>
    <w:lvl w:ilvl="8">
      <w:start w:val="1"/>
      <w:numFmt w:val="lowerRoman"/>
      <w:lvlText w:val="%9."/>
      <w:lvlJc w:val="left"/>
      <w:pPr>
        <w:tabs>
          <w:tab w:val="num" w:pos="7090"/>
        </w:tabs>
        <w:ind w:left="7090" w:hanging="709"/>
      </w:pPr>
      <w:rPr>
        <w:rFonts w:hint="default"/>
      </w:rPr>
    </w:lvl>
  </w:abstractNum>
  <w:abstractNum w:abstractNumId="30" w15:restartNumberingAfterBreak="0">
    <w:nsid w:val="63993153"/>
    <w:multiLevelType w:val="multilevel"/>
    <w:tmpl w:val="76E4737A"/>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31" w15:restartNumberingAfterBreak="0">
    <w:nsid w:val="68E67E35"/>
    <w:multiLevelType w:val="hybridMultilevel"/>
    <w:tmpl w:val="FAAE7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A062730"/>
    <w:multiLevelType w:val="hybridMultilevel"/>
    <w:tmpl w:val="18827D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7"/>
  </w:num>
  <w:num w:numId="4">
    <w:abstractNumId w:val="16"/>
  </w:num>
  <w:num w:numId="5">
    <w:abstractNumId w:val="0"/>
  </w:num>
  <w:num w:numId="6">
    <w:abstractNumId w:val="13"/>
  </w:num>
  <w:num w:numId="7">
    <w:abstractNumId w:val="14"/>
  </w:num>
  <w:num w:numId="8">
    <w:abstractNumId w:val="32"/>
  </w:num>
  <w:num w:numId="9">
    <w:abstractNumId w:val="21"/>
  </w:num>
  <w:num w:numId="10">
    <w:abstractNumId w:val="31"/>
  </w:num>
  <w:num w:numId="11">
    <w:abstractNumId w:val="6"/>
  </w:num>
  <w:num w:numId="12">
    <w:abstractNumId w:val="19"/>
  </w:num>
  <w:num w:numId="13">
    <w:abstractNumId w:val="17"/>
  </w:num>
  <w:num w:numId="14">
    <w:abstractNumId w:val="28"/>
  </w:num>
  <w:num w:numId="15">
    <w:abstractNumId w:val="17"/>
  </w:num>
  <w:num w:numId="16">
    <w:abstractNumId w:val="6"/>
  </w:num>
  <w:num w:numId="17">
    <w:abstractNumId w:val="10"/>
  </w:num>
  <w:num w:numId="18">
    <w:abstractNumId w:val="23"/>
  </w:num>
  <w:num w:numId="19">
    <w:abstractNumId w:val="17"/>
  </w:num>
  <w:num w:numId="20">
    <w:abstractNumId w:val="17"/>
  </w:num>
  <w:num w:numId="21">
    <w:abstractNumId w:val="17"/>
  </w:num>
  <w:num w:numId="22">
    <w:abstractNumId w:val="17"/>
  </w:num>
  <w:num w:numId="23">
    <w:abstractNumId w:val="1"/>
  </w:num>
  <w:num w:numId="24">
    <w:abstractNumId w:val="3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11"/>
  </w:num>
  <w:num w:numId="30">
    <w:abstractNumId w:val="15"/>
  </w:num>
  <w:num w:numId="31">
    <w:abstractNumId w:val="3"/>
  </w:num>
  <w:num w:numId="32">
    <w:abstractNumId w:val="27"/>
  </w:num>
  <w:num w:numId="33">
    <w:abstractNumId w:val="8"/>
  </w:num>
  <w:num w:numId="34">
    <w:abstractNumId w:val="20"/>
  </w:num>
  <w:num w:numId="35">
    <w:abstractNumId w:val="9"/>
  </w:num>
  <w:num w:numId="36">
    <w:abstractNumId w:val="5"/>
  </w:num>
  <w:num w:numId="37">
    <w:abstractNumId w:val="4"/>
  </w:num>
  <w:num w:numId="38">
    <w:abstractNumId w:val="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22A"/>
    <w:rsid w:val="0000201A"/>
    <w:rsid w:val="0000328A"/>
    <w:rsid w:val="000049B8"/>
    <w:rsid w:val="00007FD3"/>
    <w:rsid w:val="00012998"/>
    <w:rsid w:val="000132F6"/>
    <w:rsid w:val="00014FB7"/>
    <w:rsid w:val="00017601"/>
    <w:rsid w:val="00020A95"/>
    <w:rsid w:val="00020F75"/>
    <w:rsid w:val="000210ED"/>
    <w:rsid w:val="00021BD4"/>
    <w:rsid w:val="00024303"/>
    <w:rsid w:val="00024825"/>
    <w:rsid w:val="00024979"/>
    <w:rsid w:val="00030190"/>
    <w:rsid w:val="0003061B"/>
    <w:rsid w:val="00034615"/>
    <w:rsid w:val="00037F29"/>
    <w:rsid w:val="00041966"/>
    <w:rsid w:val="00046A04"/>
    <w:rsid w:val="00051193"/>
    <w:rsid w:val="00051A93"/>
    <w:rsid w:val="000524A6"/>
    <w:rsid w:val="000548CE"/>
    <w:rsid w:val="0005691A"/>
    <w:rsid w:val="00061F95"/>
    <w:rsid w:val="000626D7"/>
    <w:rsid w:val="00063943"/>
    <w:rsid w:val="0007168A"/>
    <w:rsid w:val="00072C3E"/>
    <w:rsid w:val="0007474B"/>
    <w:rsid w:val="00076368"/>
    <w:rsid w:val="00080FED"/>
    <w:rsid w:val="00081B95"/>
    <w:rsid w:val="0008397A"/>
    <w:rsid w:val="00092DD2"/>
    <w:rsid w:val="00093E9C"/>
    <w:rsid w:val="00097119"/>
    <w:rsid w:val="000A07EC"/>
    <w:rsid w:val="000A2B04"/>
    <w:rsid w:val="000A2E40"/>
    <w:rsid w:val="000A30AF"/>
    <w:rsid w:val="000B2320"/>
    <w:rsid w:val="000B5AB4"/>
    <w:rsid w:val="000B7AB6"/>
    <w:rsid w:val="000C268D"/>
    <w:rsid w:val="000C299F"/>
    <w:rsid w:val="000C29FA"/>
    <w:rsid w:val="000C356C"/>
    <w:rsid w:val="000C4659"/>
    <w:rsid w:val="000C7053"/>
    <w:rsid w:val="000D34D3"/>
    <w:rsid w:val="000D533C"/>
    <w:rsid w:val="000D680D"/>
    <w:rsid w:val="000E00AF"/>
    <w:rsid w:val="000E35FF"/>
    <w:rsid w:val="000F2100"/>
    <w:rsid w:val="000F2180"/>
    <w:rsid w:val="000F353E"/>
    <w:rsid w:val="000F43FB"/>
    <w:rsid w:val="000F5D1D"/>
    <w:rsid w:val="000F62E0"/>
    <w:rsid w:val="000F6B2E"/>
    <w:rsid w:val="000F720E"/>
    <w:rsid w:val="00101FE6"/>
    <w:rsid w:val="00103917"/>
    <w:rsid w:val="0010467F"/>
    <w:rsid w:val="001049D4"/>
    <w:rsid w:val="00105D66"/>
    <w:rsid w:val="001163EB"/>
    <w:rsid w:val="001220BD"/>
    <w:rsid w:val="001225FD"/>
    <w:rsid w:val="00124FA4"/>
    <w:rsid w:val="001320F5"/>
    <w:rsid w:val="00132393"/>
    <w:rsid w:val="0013264B"/>
    <w:rsid w:val="00135B24"/>
    <w:rsid w:val="00136004"/>
    <w:rsid w:val="00136946"/>
    <w:rsid w:val="001402E8"/>
    <w:rsid w:val="0014148E"/>
    <w:rsid w:val="00142979"/>
    <w:rsid w:val="00144546"/>
    <w:rsid w:val="00144598"/>
    <w:rsid w:val="00145A36"/>
    <w:rsid w:val="001538C0"/>
    <w:rsid w:val="00157888"/>
    <w:rsid w:val="00157926"/>
    <w:rsid w:val="00164445"/>
    <w:rsid w:val="00167308"/>
    <w:rsid w:val="001674EC"/>
    <w:rsid w:val="00167871"/>
    <w:rsid w:val="0017116F"/>
    <w:rsid w:val="001717EC"/>
    <w:rsid w:val="00175B52"/>
    <w:rsid w:val="0017788C"/>
    <w:rsid w:val="001802E8"/>
    <w:rsid w:val="001817F4"/>
    <w:rsid w:val="00182FAD"/>
    <w:rsid w:val="001837C1"/>
    <w:rsid w:val="00185A12"/>
    <w:rsid w:val="00190F33"/>
    <w:rsid w:val="001911A5"/>
    <w:rsid w:val="00192F95"/>
    <w:rsid w:val="00193917"/>
    <w:rsid w:val="001967D5"/>
    <w:rsid w:val="001A32C7"/>
    <w:rsid w:val="001A6552"/>
    <w:rsid w:val="001B20A2"/>
    <w:rsid w:val="001B2885"/>
    <w:rsid w:val="001B2D0B"/>
    <w:rsid w:val="001B3E0D"/>
    <w:rsid w:val="001B46EF"/>
    <w:rsid w:val="001C4817"/>
    <w:rsid w:val="001C6453"/>
    <w:rsid w:val="001C66CD"/>
    <w:rsid w:val="001C7EA8"/>
    <w:rsid w:val="001D0AA6"/>
    <w:rsid w:val="001D1874"/>
    <w:rsid w:val="001D2EA3"/>
    <w:rsid w:val="001D41CB"/>
    <w:rsid w:val="001D4DEC"/>
    <w:rsid w:val="001D5D36"/>
    <w:rsid w:val="001D7B9B"/>
    <w:rsid w:val="001E06F8"/>
    <w:rsid w:val="001E166B"/>
    <w:rsid w:val="001E1AA3"/>
    <w:rsid w:val="001E34C4"/>
    <w:rsid w:val="001E7D01"/>
    <w:rsid w:val="001F29E6"/>
    <w:rsid w:val="001F5C95"/>
    <w:rsid w:val="001F65D7"/>
    <w:rsid w:val="001F6FBD"/>
    <w:rsid w:val="00200DA1"/>
    <w:rsid w:val="002060EC"/>
    <w:rsid w:val="00207DE3"/>
    <w:rsid w:val="00210C3D"/>
    <w:rsid w:val="002112EA"/>
    <w:rsid w:val="00212395"/>
    <w:rsid w:val="00212A84"/>
    <w:rsid w:val="00214342"/>
    <w:rsid w:val="00215593"/>
    <w:rsid w:val="002167FC"/>
    <w:rsid w:val="00216981"/>
    <w:rsid w:val="00221C0F"/>
    <w:rsid w:val="00222441"/>
    <w:rsid w:val="00224A1C"/>
    <w:rsid w:val="0022530C"/>
    <w:rsid w:val="002254E4"/>
    <w:rsid w:val="0022557C"/>
    <w:rsid w:val="002270B8"/>
    <w:rsid w:val="00231673"/>
    <w:rsid w:val="002316E5"/>
    <w:rsid w:val="00231F1E"/>
    <w:rsid w:val="0023241A"/>
    <w:rsid w:val="00233070"/>
    <w:rsid w:val="002337E5"/>
    <w:rsid w:val="00240622"/>
    <w:rsid w:val="00240E68"/>
    <w:rsid w:val="00241916"/>
    <w:rsid w:val="002428A4"/>
    <w:rsid w:val="0024296C"/>
    <w:rsid w:val="00243457"/>
    <w:rsid w:val="00244604"/>
    <w:rsid w:val="00245993"/>
    <w:rsid w:val="00250F16"/>
    <w:rsid w:val="00252145"/>
    <w:rsid w:val="00253D26"/>
    <w:rsid w:val="002546A9"/>
    <w:rsid w:val="0026379C"/>
    <w:rsid w:val="0026379E"/>
    <w:rsid w:val="00263D08"/>
    <w:rsid w:val="002640BF"/>
    <w:rsid w:val="002663F5"/>
    <w:rsid w:val="00266574"/>
    <w:rsid w:val="00273014"/>
    <w:rsid w:val="00275103"/>
    <w:rsid w:val="0027622D"/>
    <w:rsid w:val="00277DAE"/>
    <w:rsid w:val="00281606"/>
    <w:rsid w:val="002818CE"/>
    <w:rsid w:val="00282154"/>
    <w:rsid w:val="002832E2"/>
    <w:rsid w:val="00283781"/>
    <w:rsid w:val="0028434C"/>
    <w:rsid w:val="0028538B"/>
    <w:rsid w:val="00291243"/>
    <w:rsid w:val="00293D8D"/>
    <w:rsid w:val="0029421E"/>
    <w:rsid w:val="00294646"/>
    <w:rsid w:val="00295393"/>
    <w:rsid w:val="0029653F"/>
    <w:rsid w:val="00296E37"/>
    <w:rsid w:val="00297358"/>
    <w:rsid w:val="002A2C43"/>
    <w:rsid w:val="002A5799"/>
    <w:rsid w:val="002A68AE"/>
    <w:rsid w:val="002A7820"/>
    <w:rsid w:val="002B0FB3"/>
    <w:rsid w:val="002B1665"/>
    <w:rsid w:val="002B236C"/>
    <w:rsid w:val="002B27D8"/>
    <w:rsid w:val="002B426E"/>
    <w:rsid w:val="002C3926"/>
    <w:rsid w:val="002D0E36"/>
    <w:rsid w:val="002D1540"/>
    <w:rsid w:val="002D2932"/>
    <w:rsid w:val="002D36A0"/>
    <w:rsid w:val="002D5018"/>
    <w:rsid w:val="002D52C3"/>
    <w:rsid w:val="002E0417"/>
    <w:rsid w:val="002E06CC"/>
    <w:rsid w:val="002E140F"/>
    <w:rsid w:val="002E1635"/>
    <w:rsid w:val="002E3773"/>
    <w:rsid w:val="002E487F"/>
    <w:rsid w:val="002F12C1"/>
    <w:rsid w:val="002F456E"/>
    <w:rsid w:val="002F5EFB"/>
    <w:rsid w:val="002F7B32"/>
    <w:rsid w:val="0030464E"/>
    <w:rsid w:val="00310035"/>
    <w:rsid w:val="00310839"/>
    <w:rsid w:val="003138B4"/>
    <w:rsid w:val="00314476"/>
    <w:rsid w:val="00315A06"/>
    <w:rsid w:val="00317F29"/>
    <w:rsid w:val="003206F6"/>
    <w:rsid w:val="0032495B"/>
    <w:rsid w:val="00324E1E"/>
    <w:rsid w:val="0033231A"/>
    <w:rsid w:val="00341836"/>
    <w:rsid w:val="00344056"/>
    <w:rsid w:val="0034453B"/>
    <w:rsid w:val="00346116"/>
    <w:rsid w:val="00346B30"/>
    <w:rsid w:val="00347BA1"/>
    <w:rsid w:val="00352B33"/>
    <w:rsid w:val="00354F55"/>
    <w:rsid w:val="0035718A"/>
    <w:rsid w:val="00363B61"/>
    <w:rsid w:val="00364933"/>
    <w:rsid w:val="00364C4C"/>
    <w:rsid w:val="003654A8"/>
    <w:rsid w:val="0036646F"/>
    <w:rsid w:val="00367CF2"/>
    <w:rsid w:val="00373B83"/>
    <w:rsid w:val="00373CD5"/>
    <w:rsid w:val="00384AC8"/>
    <w:rsid w:val="00384E9B"/>
    <w:rsid w:val="00390DC2"/>
    <w:rsid w:val="0039128C"/>
    <w:rsid w:val="0039577B"/>
    <w:rsid w:val="00397C8D"/>
    <w:rsid w:val="003A00FB"/>
    <w:rsid w:val="003A2BB1"/>
    <w:rsid w:val="003A3F6E"/>
    <w:rsid w:val="003A52D6"/>
    <w:rsid w:val="003B1B73"/>
    <w:rsid w:val="003B5C24"/>
    <w:rsid w:val="003B77EA"/>
    <w:rsid w:val="003B7835"/>
    <w:rsid w:val="003C3183"/>
    <w:rsid w:val="003C48E9"/>
    <w:rsid w:val="003C61B5"/>
    <w:rsid w:val="003D16E4"/>
    <w:rsid w:val="003D40EC"/>
    <w:rsid w:val="003D4DA7"/>
    <w:rsid w:val="003D6D1C"/>
    <w:rsid w:val="003E20E0"/>
    <w:rsid w:val="003E2766"/>
    <w:rsid w:val="003E3208"/>
    <w:rsid w:val="003E66C8"/>
    <w:rsid w:val="003F04E7"/>
    <w:rsid w:val="003F1C16"/>
    <w:rsid w:val="003F2D3B"/>
    <w:rsid w:val="003F2F6F"/>
    <w:rsid w:val="003F37B1"/>
    <w:rsid w:val="003F3813"/>
    <w:rsid w:val="003F4EE0"/>
    <w:rsid w:val="003F6253"/>
    <w:rsid w:val="003F65C6"/>
    <w:rsid w:val="003F7341"/>
    <w:rsid w:val="003F7F54"/>
    <w:rsid w:val="00400E95"/>
    <w:rsid w:val="004010CC"/>
    <w:rsid w:val="00401E3C"/>
    <w:rsid w:val="0040297B"/>
    <w:rsid w:val="0040497A"/>
    <w:rsid w:val="00405E5B"/>
    <w:rsid w:val="00406EC7"/>
    <w:rsid w:val="0041056D"/>
    <w:rsid w:val="00410954"/>
    <w:rsid w:val="00410EAF"/>
    <w:rsid w:val="0041278D"/>
    <w:rsid w:val="00413FD8"/>
    <w:rsid w:val="00417291"/>
    <w:rsid w:val="0041785C"/>
    <w:rsid w:val="004179F5"/>
    <w:rsid w:val="00417B4A"/>
    <w:rsid w:val="00422C20"/>
    <w:rsid w:val="0042454E"/>
    <w:rsid w:val="00426A8C"/>
    <w:rsid w:val="00430835"/>
    <w:rsid w:val="004311EC"/>
    <w:rsid w:val="00431CA7"/>
    <w:rsid w:val="0043361C"/>
    <w:rsid w:val="00434211"/>
    <w:rsid w:val="004402CE"/>
    <w:rsid w:val="0044353E"/>
    <w:rsid w:val="00444BED"/>
    <w:rsid w:val="004464D1"/>
    <w:rsid w:val="0044678A"/>
    <w:rsid w:val="00447453"/>
    <w:rsid w:val="004511C7"/>
    <w:rsid w:val="00451AF7"/>
    <w:rsid w:val="00455D04"/>
    <w:rsid w:val="00460CD2"/>
    <w:rsid w:val="004625C9"/>
    <w:rsid w:val="004628FF"/>
    <w:rsid w:val="00463C60"/>
    <w:rsid w:val="00467AB7"/>
    <w:rsid w:val="00471FB4"/>
    <w:rsid w:val="004735B6"/>
    <w:rsid w:val="00477416"/>
    <w:rsid w:val="00484A6C"/>
    <w:rsid w:val="0048552C"/>
    <w:rsid w:val="004861F6"/>
    <w:rsid w:val="004863B4"/>
    <w:rsid w:val="00486FAC"/>
    <w:rsid w:val="00487FAD"/>
    <w:rsid w:val="00491FAD"/>
    <w:rsid w:val="0049234F"/>
    <w:rsid w:val="0049467D"/>
    <w:rsid w:val="004951DB"/>
    <w:rsid w:val="00496B0A"/>
    <w:rsid w:val="004A11FC"/>
    <w:rsid w:val="004A1AE3"/>
    <w:rsid w:val="004A2714"/>
    <w:rsid w:val="004A3784"/>
    <w:rsid w:val="004A4084"/>
    <w:rsid w:val="004A6E33"/>
    <w:rsid w:val="004A7864"/>
    <w:rsid w:val="004B0A19"/>
    <w:rsid w:val="004B1CA6"/>
    <w:rsid w:val="004B4C9E"/>
    <w:rsid w:val="004B61B5"/>
    <w:rsid w:val="004B6F7D"/>
    <w:rsid w:val="004B7BD3"/>
    <w:rsid w:val="004C056B"/>
    <w:rsid w:val="004C082B"/>
    <w:rsid w:val="004C12D0"/>
    <w:rsid w:val="004C1C37"/>
    <w:rsid w:val="004C1D0E"/>
    <w:rsid w:val="004C4603"/>
    <w:rsid w:val="004C4C00"/>
    <w:rsid w:val="004C542F"/>
    <w:rsid w:val="004C6060"/>
    <w:rsid w:val="004D000C"/>
    <w:rsid w:val="004D1722"/>
    <w:rsid w:val="004D5AF6"/>
    <w:rsid w:val="004D6238"/>
    <w:rsid w:val="004E1A06"/>
    <w:rsid w:val="004E3D69"/>
    <w:rsid w:val="004E581D"/>
    <w:rsid w:val="004F3DA8"/>
    <w:rsid w:val="004F5B65"/>
    <w:rsid w:val="00500227"/>
    <w:rsid w:val="00501053"/>
    <w:rsid w:val="00503F5C"/>
    <w:rsid w:val="0050418B"/>
    <w:rsid w:val="00505B2B"/>
    <w:rsid w:val="00506F06"/>
    <w:rsid w:val="00512659"/>
    <w:rsid w:val="00514770"/>
    <w:rsid w:val="0051541C"/>
    <w:rsid w:val="005167FA"/>
    <w:rsid w:val="00517BA2"/>
    <w:rsid w:val="00521403"/>
    <w:rsid w:val="00523D6A"/>
    <w:rsid w:val="0052585B"/>
    <w:rsid w:val="005258E4"/>
    <w:rsid w:val="00527EE6"/>
    <w:rsid w:val="00530722"/>
    <w:rsid w:val="005332B7"/>
    <w:rsid w:val="00537B28"/>
    <w:rsid w:val="00537EFE"/>
    <w:rsid w:val="00541194"/>
    <w:rsid w:val="00543026"/>
    <w:rsid w:val="00543648"/>
    <w:rsid w:val="00543654"/>
    <w:rsid w:val="00546076"/>
    <w:rsid w:val="00547C1C"/>
    <w:rsid w:val="00553C18"/>
    <w:rsid w:val="00554046"/>
    <w:rsid w:val="005558F3"/>
    <w:rsid w:val="00556893"/>
    <w:rsid w:val="00557D25"/>
    <w:rsid w:val="00560B8C"/>
    <w:rsid w:val="00560FED"/>
    <w:rsid w:val="00564321"/>
    <w:rsid w:val="0056545E"/>
    <w:rsid w:val="00565FA5"/>
    <w:rsid w:val="00567740"/>
    <w:rsid w:val="00567B87"/>
    <w:rsid w:val="00570089"/>
    <w:rsid w:val="00570E3F"/>
    <w:rsid w:val="00575FF9"/>
    <w:rsid w:val="00577646"/>
    <w:rsid w:val="005811C1"/>
    <w:rsid w:val="005843AC"/>
    <w:rsid w:val="005855FE"/>
    <w:rsid w:val="005856BD"/>
    <w:rsid w:val="00586AA2"/>
    <w:rsid w:val="00593B97"/>
    <w:rsid w:val="00594240"/>
    <w:rsid w:val="005A0B65"/>
    <w:rsid w:val="005A0B81"/>
    <w:rsid w:val="005A2E71"/>
    <w:rsid w:val="005A7388"/>
    <w:rsid w:val="005B27FB"/>
    <w:rsid w:val="005B2CFD"/>
    <w:rsid w:val="005B56EF"/>
    <w:rsid w:val="005B5C10"/>
    <w:rsid w:val="005B5FC4"/>
    <w:rsid w:val="005C021F"/>
    <w:rsid w:val="005C028F"/>
    <w:rsid w:val="005C032F"/>
    <w:rsid w:val="005C1D93"/>
    <w:rsid w:val="005C1E54"/>
    <w:rsid w:val="005C5F20"/>
    <w:rsid w:val="005C6779"/>
    <w:rsid w:val="005C76D8"/>
    <w:rsid w:val="005D14FF"/>
    <w:rsid w:val="005D6EF3"/>
    <w:rsid w:val="005D7D18"/>
    <w:rsid w:val="005E24C2"/>
    <w:rsid w:val="005E36A5"/>
    <w:rsid w:val="005E41B3"/>
    <w:rsid w:val="005F4E4B"/>
    <w:rsid w:val="005F51DE"/>
    <w:rsid w:val="005F61A2"/>
    <w:rsid w:val="0060071B"/>
    <w:rsid w:val="00600C9C"/>
    <w:rsid w:val="00604922"/>
    <w:rsid w:val="00605092"/>
    <w:rsid w:val="006172F1"/>
    <w:rsid w:val="00620215"/>
    <w:rsid w:val="00623701"/>
    <w:rsid w:val="0062657E"/>
    <w:rsid w:val="00626639"/>
    <w:rsid w:val="00626A4E"/>
    <w:rsid w:val="006278DF"/>
    <w:rsid w:val="00631638"/>
    <w:rsid w:val="006343B1"/>
    <w:rsid w:val="006354F8"/>
    <w:rsid w:val="006356D0"/>
    <w:rsid w:val="00636019"/>
    <w:rsid w:val="0063630D"/>
    <w:rsid w:val="00637874"/>
    <w:rsid w:val="00642209"/>
    <w:rsid w:val="0064405E"/>
    <w:rsid w:val="00654CEA"/>
    <w:rsid w:val="00656925"/>
    <w:rsid w:val="00663BAA"/>
    <w:rsid w:val="00666F60"/>
    <w:rsid w:val="00667199"/>
    <w:rsid w:val="00667C03"/>
    <w:rsid w:val="00676730"/>
    <w:rsid w:val="006767B7"/>
    <w:rsid w:val="006777C4"/>
    <w:rsid w:val="00677C50"/>
    <w:rsid w:val="00687118"/>
    <w:rsid w:val="00693232"/>
    <w:rsid w:val="0069534C"/>
    <w:rsid w:val="00695A87"/>
    <w:rsid w:val="006A468F"/>
    <w:rsid w:val="006A55EB"/>
    <w:rsid w:val="006A5CC7"/>
    <w:rsid w:val="006A6B3A"/>
    <w:rsid w:val="006A7D6D"/>
    <w:rsid w:val="006B1E74"/>
    <w:rsid w:val="006B5794"/>
    <w:rsid w:val="006B67CE"/>
    <w:rsid w:val="006C1313"/>
    <w:rsid w:val="006C2C4B"/>
    <w:rsid w:val="006C684F"/>
    <w:rsid w:val="006D05B2"/>
    <w:rsid w:val="006D0A1B"/>
    <w:rsid w:val="006D12A5"/>
    <w:rsid w:val="006D17FA"/>
    <w:rsid w:val="006D2EA6"/>
    <w:rsid w:val="006D31D0"/>
    <w:rsid w:val="006D42FB"/>
    <w:rsid w:val="006E1F3D"/>
    <w:rsid w:val="006E4639"/>
    <w:rsid w:val="006F1A67"/>
    <w:rsid w:val="006F3E62"/>
    <w:rsid w:val="006F6819"/>
    <w:rsid w:val="007021AC"/>
    <w:rsid w:val="007037C4"/>
    <w:rsid w:val="007114C0"/>
    <w:rsid w:val="00721CE1"/>
    <w:rsid w:val="00723C46"/>
    <w:rsid w:val="00723DF3"/>
    <w:rsid w:val="007245C5"/>
    <w:rsid w:val="007271F7"/>
    <w:rsid w:val="0072799F"/>
    <w:rsid w:val="00730034"/>
    <w:rsid w:val="00730383"/>
    <w:rsid w:val="007313F3"/>
    <w:rsid w:val="00731FAE"/>
    <w:rsid w:val="007325A8"/>
    <w:rsid w:val="00733835"/>
    <w:rsid w:val="00735FEE"/>
    <w:rsid w:val="0073765C"/>
    <w:rsid w:val="00740DC0"/>
    <w:rsid w:val="00741B26"/>
    <w:rsid w:val="00743278"/>
    <w:rsid w:val="007441E0"/>
    <w:rsid w:val="00744AD1"/>
    <w:rsid w:val="007474E1"/>
    <w:rsid w:val="00747961"/>
    <w:rsid w:val="00752869"/>
    <w:rsid w:val="00755099"/>
    <w:rsid w:val="00757E34"/>
    <w:rsid w:val="00760A40"/>
    <w:rsid w:val="00761786"/>
    <w:rsid w:val="00762EB6"/>
    <w:rsid w:val="00767675"/>
    <w:rsid w:val="00771576"/>
    <w:rsid w:val="00773638"/>
    <w:rsid w:val="00776DD8"/>
    <w:rsid w:val="00776E61"/>
    <w:rsid w:val="00781408"/>
    <w:rsid w:val="0078143F"/>
    <w:rsid w:val="00782B12"/>
    <w:rsid w:val="0078302E"/>
    <w:rsid w:val="00793B80"/>
    <w:rsid w:val="0079435C"/>
    <w:rsid w:val="007A20DD"/>
    <w:rsid w:val="007A2192"/>
    <w:rsid w:val="007A390D"/>
    <w:rsid w:val="007A726C"/>
    <w:rsid w:val="007A7736"/>
    <w:rsid w:val="007B024A"/>
    <w:rsid w:val="007B0612"/>
    <w:rsid w:val="007B090A"/>
    <w:rsid w:val="007B1E67"/>
    <w:rsid w:val="007B2469"/>
    <w:rsid w:val="007B477F"/>
    <w:rsid w:val="007B4CEA"/>
    <w:rsid w:val="007C0CA0"/>
    <w:rsid w:val="007C6348"/>
    <w:rsid w:val="007D0B17"/>
    <w:rsid w:val="007D52E4"/>
    <w:rsid w:val="007D78A1"/>
    <w:rsid w:val="007D7A5C"/>
    <w:rsid w:val="007D7EDC"/>
    <w:rsid w:val="007E19DE"/>
    <w:rsid w:val="007F1B10"/>
    <w:rsid w:val="007F2441"/>
    <w:rsid w:val="007F6004"/>
    <w:rsid w:val="007F63A6"/>
    <w:rsid w:val="007F6633"/>
    <w:rsid w:val="007F7DF8"/>
    <w:rsid w:val="00800893"/>
    <w:rsid w:val="00804E26"/>
    <w:rsid w:val="00805DB4"/>
    <w:rsid w:val="008064C0"/>
    <w:rsid w:val="00812CAB"/>
    <w:rsid w:val="00813D4E"/>
    <w:rsid w:val="008144EF"/>
    <w:rsid w:val="008155BF"/>
    <w:rsid w:val="008161BE"/>
    <w:rsid w:val="00816332"/>
    <w:rsid w:val="00817B48"/>
    <w:rsid w:val="00817D48"/>
    <w:rsid w:val="00817EF6"/>
    <w:rsid w:val="00821749"/>
    <w:rsid w:val="0082413D"/>
    <w:rsid w:val="008246BA"/>
    <w:rsid w:val="008270D9"/>
    <w:rsid w:val="0083188D"/>
    <w:rsid w:val="00832767"/>
    <w:rsid w:val="00836306"/>
    <w:rsid w:val="008422B6"/>
    <w:rsid w:val="008458CA"/>
    <w:rsid w:val="00846C56"/>
    <w:rsid w:val="00850EFB"/>
    <w:rsid w:val="0085212E"/>
    <w:rsid w:val="00853E6C"/>
    <w:rsid w:val="0085441F"/>
    <w:rsid w:val="00855BBA"/>
    <w:rsid w:val="008603C7"/>
    <w:rsid w:val="0086254E"/>
    <w:rsid w:val="00863FA4"/>
    <w:rsid w:val="00864D58"/>
    <w:rsid w:val="00867F78"/>
    <w:rsid w:val="00874319"/>
    <w:rsid w:val="0087570F"/>
    <w:rsid w:val="008810DD"/>
    <w:rsid w:val="008819EA"/>
    <w:rsid w:val="00881A01"/>
    <w:rsid w:val="00881CA9"/>
    <w:rsid w:val="00882849"/>
    <w:rsid w:val="00882A34"/>
    <w:rsid w:val="00883A80"/>
    <w:rsid w:val="00883B28"/>
    <w:rsid w:val="00890436"/>
    <w:rsid w:val="00892222"/>
    <w:rsid w:val="0089735D"/>
    <w:rsid w:val="008A1FFA"/>
    <w:rsid w:val="008A504D"/>
    <w:rsid w:val="008B1545"/>
    <w:rsid w:val="008C08F0"/>
    <w:rsid w:val="008C1737"/>
    <w:rsid w:val="008C1879"/>
    <w:rsid w:val="008C2163"/>
    <w:rsid w:val="008C2FCB"/>
    <w:rsid w:val="008C49B6"/>
    <w:rsid w:val="008C53FE"/>
    <w:rsid w:val="008C69EC"/>
    <w:rsid w:val="008D051A"/>
    <w:rsid w:val="008D1BAE"/>
    <w:rsid w:val="008D22EF"/>
    <w:rsid w:val="008D265C"/>
    <w:rsid w:val="008D305B"/>
    <w:rsid w:val="008D4BEA"/>
    <w:rsid w:val="008E4AE6"/>
    <w:rsid w:val="008F02B0"/>
    <w:rsid w:val="008F2DB7"/>
    <w:rsid w:val="008F3D7F"/>
    <w:rsid w:val="008F6E88"/>
    <w:rsid w:val="00901660"/>
    <w:rsid w:val="009037EA"/>
    <w:rsid w:val="0090696D"/>
    <w:rsid w:val="00907E5A"/>
    <w:rsid w:val="009125FB"/>
    <w:rsid w:val="00913334"/>
    <w:rsid w:val="009140EC"/>
    <w:rsid w:val="00914E7A"/>
    <w:rsid w:val="00920842"/>
    <w:rsid w:val="0092176D"/>
    <w:rsid w:val="009258C3"/>
    <w:rsid w:val="00932544"/>
    <w:rsid w:val="00933DDE"/>
    <w:rsid w:val="009410E3"/>
    <w:rsid w:val="009435C4"/>
    <w:rsid w:val="009438E4"/>
    <w:rsid w:val="0094584C"/>
    <w:rsid w:val="009476AF"/>
    <w:rsid w:val="00954259"/>
    <w:rsid w:val="00956352"/>
    <w:rsid w:val="00956684"/>
    <w:rsid w:val="00957112"/>
    <w:rsid w:val="00957A1D"/>
    <w:rsid w:val="009609C7"/>
    <w:rsid w:val="00961902"/>
    <w:rsid w:val="00962946"/>
    <w:rsid w:val="0096452E"/>
    <w:rsid w:val="00964E59"/>
    <w:rsid w:val="00970321"/>
    <w:rsid w:val="00970B59"/>
    <w:rsid w:val="00971284"/>
    <w:rsid w:val="00971A61"/>
    <w:rsid w:val="0097236D"/>
    <w:rsid w:val="00975D61"/>
    <w:rsid w:val="00982380"/>
    <w:rsid w:val="0098254D"/>
    <w:rsid w:val="00984692"/>
    <w:rsid w:val="00984A4A"/>
    <w:rsid w:val="00991E5D"/>
    <w:rsid w:val="009927C0"/>
    <w:rsid w:val="00993DD9"/>
    <w:rsid w:val="00996453"/>
    <w:rsid w:val="00997542"/>
    <w:rsid w:val="009A1323"/>
    <w:rsid w:val="009A331F"/>
    <w:rsid w:val="009A3DCE"/>
    <w:rsid w:val="009A5E96"/>
    <w:rsid w:val="009A666D"/>
    <w:rsid w:val="009B019C"/>
    <w:rsid w:val="009B0796"/>
    <w:rsid w:val="009B0CA1"/>
    <w:rsid w:val="009B332C"/>
    <w:rsid w:val="009B55E4"/>
    <w:rsid w:val="009B5DB7"/>
    <w:rsid w:val="009C0B56"/>
    <w:rsid w:val="009C1EF2"/>
    <w:rsid w:val="009C2397"/>
    <w:rsid w:val="009C4129"/>
    <w:rsid w:val="009C6559"/>
    <w:rsid w:val="009C7FBE"/>
    <w:rsid w:val="009E0634"/>
    <w:rsid w:val="009E214F"/>
    <w:rsid w:val="009E3918"/>
    <w:rsid w:val="009E4441"/>
    <w:rsid w:val="009E6303"/>
    <w:rsid w:val="009F36BA"/>
    <w:rsid w:val="009F3BD1"/>
    <w:rsid w:val="009F3DFA"/>
    <w:rsid w:val="009F6501"/>
    <w:rsid w:val="009F740A"/>
    <w:rsid w:val="00A01D69"/>
    <w:rsid w:val="00A02270"/>
    <w:rsid w:val="00A03CE3"/>
    <w:rsid w:val="00A03E72"/>
    <w:rsid w:val="00A0728D"/>
    <w:rsid w:val="00A137FB"/>
    <w:rsid w:val="00A16654"/>
    <w:rsid w:val="00A16AA2"/>
    <w:rsid w:val="00A16B89"/>
    <w:rsid w:val="00A20BA4"/>
    <w:rsid w:val="00A211D4"/>
    <w:rsid w:val="00A21330"/>
    <w:rsid w:val="00A22FA8"/>
    <w:rsid w:val="00A27322"/>
    <w:rsid w:val="00A27611"/>
    <w:rsid w:val="00A3164E"/>
    <w:rsid w:val="00A355C6"/>
    <w:rsid w:val="00A36767"/>
    <w:rsid w:val="00A4036E"/>
    <w:rsid w:val="00A428E6"/>
    <w:rsid w:val="00A4402C"/>
    <w:rsid w:val="00A44B01"/>
    <w:rsid w:val="00A47701"/>
    <w:rsid w:val="00A506E8"/>
    <w:rsid w:val="00A52423"/>
    <w:rsid w:val="00A60FE7"/>
    <w:rsid w:val="00A61552"/>
    <w:rsid w:val="00A70245"/>
    <w:rsid w:val="00A7086D"/>
    <w:rsid w:val="00A7431E"/>
    <w:rsid w:val="00A75214"/>
    <w:rsid w:val="00A761DC"/>
    <w:rsid w:val="00A77B0A"/>
    <w:rsid w:val="00A77D66"/>
    <w:rsid w:val="00A83219"/>
    <w:rsid w:val="00A8334C"/>
    <w:rsid w:val="00A864A5"/>
    <w:rsid w:val="00A865C7"/>
    <w:rsid w:val="00A9042F"/>
    <w:rsid w:val="00A91104"/>
    <w:rsid w:val="00A9187F"/>
    <w:rsid w:val="00A931AA"/>
    <w:rsid w:val="00A950FF"/>
    <w:rsid w:val="00A9556F"/>
    <w:rsid w:val="00A9703B"/>
    <w:rsid w:val="00A972A3"/>
    <w:rsid w:val="00AA0F7D"/>
    <w:rsid w:val="00AA15C6"/>
    <w:rsid w:val="00AA5A3C"/>
    <w:rsid w:val="00AA6A54"/>
    <w:rsid w:val="00AB108D"/>
    <w:rsid w:val="00AB680D"/>
    <w:rsid w:val="00AC645F"/>
    <w:rsid w:val="00AC6E2D"/>
    <w:rsid w:val="00AD4078"/>
    <w:rsid w:val="00AD4328"/>
    <w:rsid w:val="00AE2817"/>
    <w:rsid w:val="00AE2979"/>
    <w:rsid w:val="00AE4AE0"/>
    <w:rsid w:val="00AE6881"/>
    <w:rsid w:val="00AF1C36"/>
    <w:rsid w:val="00AF2098"/>
    <w:rsid w:val="00AF5BE6"/>
    <w:rsid w:val="00AF6ACF"/>
    <w:rsid w:val="00AF6E79"/>
    <w:rsid w:val="00AF79BD"/>
    <w:rsid w:val="00AF79E9"/>
    <w:rsid w:val="00B01C63"/>
    <w:rsid w:val="00B039A8"/>
    <w:rsid w:val="00B05FDA"/>
    <w:rsid w:val="00B060FF"/>
    <w:rsid w:val="00B061CF"/>
    <w:rsid w:val="00B1150E"/>
    <w:rsid w:val="00B121E3"/>
    <w:rsid w:val="00B1304E"/>
    <w:rsid w:val="00B17229"/>
    <w:rsid w:val="00B211E6"/>
    <w:rsid w:val="00B2239E"/>
    <w:rsid w:val="00B23D9D"/>
    <w:rsid w:val="00B240BC"/>
    <w:rsid w:val="00B25693"/>
    <w:rsid w:val="00B27096"/>
    <w:rsid w:val="00B30A80"/>
    <w:rsid w:val="00B31963"/>
    <w:rsid w:val="00B32B07"/>
    <w:rsid w:val="00B36406"/>
    <w:rsid w:val="00B4624D"/>
    <w:rsid w:val="00B53653"/>
    <w:rsid w:val="00B53D0C"/>
    <w:rsid w:val="00B54C99"/>
    <w:rsid w:val="00B56273"/>
    <w:rsid w:val="00B566F4"/>
    <w:rsid w:val="00B566FA"/>
    <w:rsid w:val="00B6693F"/>
    <w:rsid w:val="00B6752E"/>
    <w:rsid w:val="00B72858"/>
    <w:rsid w:val="00B73053"/>
    <w:rsid w:val="00B748BF"/>
    <w:rsid w:val="00B74BD4"/>
    <w:rsid w:val="00B75684"/>
    <w:rsid w:val="00B80582"/>
    <w:rsid w:val="00B8492F"/>
    <w:rsid w:val="00B853A7"/>
    <w:rsid w:val="00B87AED"/>
    <w:rsid w:val="00B91845"/>
    <w:rsid w:val="00B92D3C"/>
    <w:rsid w:val="00B92F87"/>
    <w:rsid w:val="00B96523"/>
    <w:rsid w:val="00B96CE3"/>
    <w:rsid w:val="00B9741F"/>
    <w:rsid w:val="00BA0C90"/>
    <w:rsid w:val="00BA1D23"/>
    <w:rsid w:val="00BA38EF"/>
    <w:rsid w:val="00BA43F6"/>
    <w:rsid w:val="00BA7788"/>
    <w:rsid w:val="00BA7837"/>
    <w:rsid w:val="00BA7F26"/>
    <w:rsid w:val="00BB04B4"/>
    <w:rsid w:val="00BB55AA"/>
    <w:rsid w:val="00BC3EA0"/>
    <w:rsid w:val="00BC7909"/>
    <w:rsid w:val="00BD4E6B"/>
    <w:rsid w:val="00BD50D5"/>
    <w:rsid w:val="00BD5AD4"/>
    <w:rsid w:val="00BE3133"/>
    <w:rsid w:val="00BE36E3"/>
    <w:rsid w:val="00BE5741"/>
    <w:rsid w:val="00BF1286"/>
    <w:rsid w:val="00BF4DAE"/>
    <w:rsid w:val="00BF5F05"/>
    <w:rsid w:val="00BF7672"/>
    <w:rsid w:val="00C019C2"/>
    <w:rsid w:val="00C01A82"/>
    <w:rsid w:val="00C0428F"/>
    <w:rsid w:val="00C07C5D"/>
    <w:rsid w:val="00C11B3B"/>
    <w:rsid w:val="00C17661"/>
    <w:rsid w:val="00C2046B"/>
    <w:rsid w:val="00C267C2"/>
    <w:rsid w:val="00C27170"/>
    <w:rsid w:val="00C279F5"/>
    <w:rsid w:val="00C31924"/>
    <w:rsid w:val="00C3263C"/>
    <w:rsid w:val="00C3272B"/>
    <w:rsid w:val="00C341DB"/>
    <w:rsid w:val="00C353E3"/>
    <w:rsid w:val="00C358F8"/>
    <w:rsid w:val="00C36B2A"/>
    <w:rsid w:val="00C42CAD"/>
    <w:rsid w:val="00C45EDF"/>
    <w:rsid w:val="00C52225"/>
    <w:rsid w:val="00C52D29"/>
    <w:rsid w:val="00C61026"/>
    <w:rsid w:val="00C6171A"/>
    <w:rsid w:val="00C620F0"/>
    <w:rsid w:val="00C62569"/>
    <w:rsid w:val="00C631CD"/>
    <w:rsid w:val="00C63290"/>
    <w:rsid w:val="00C64A8D"/>
    <w:rsid w:val="00C65149"/>
    <w:rsid w:val="00C6561B"/>
    <w:rsid w:val="00C71268"/>
    <w:rsid w:val="00C72298"/>
    <w:rsid w:val="00C7236F"/>
    <w:rsid w:val="00C74254"/>
    <w:rsid w:val="00C76216"/>
    <w:rsid w:val="00C76280"/>
    <w:rsid w:val="00C763BC"/>
    <w:rsid w:val="00C76840"/>
    <w:rsid w:val="00C80B4D"/>
    <w:rsid w:val="00C81209"/>
    <w:rsid w:val="00C84F73"/>
    <w:rsid w:val="00C912DD"/>
    <w:rsid w:val="00C931AE"/>
    <w:rsid w:val="00C931B2"/>
    <w:rsid w:val="00C93549"/>
    <w:rsid w:val="00C95EC8"/>
    <w:rsid w:val="00CA03E3"/>
    <w:rsid w:val="00CA0669"/>
    <w:rsid w:val="00CA4E90"/>
    <w:rsid w:val="00CB16B8"/>
    <w:rsid w:val="00CB3AC3"/>
    <w:rsid w:val="00CB4B8D"/>
    <w:rsid w:val="00CB73AD"/>
    <w:rsid w:val="00CC0EE0"/>
    <w:rsid w:val="00CC2F41"/>
    <w:rsid w:val="00CC61AE"/>
    <w:rsid w:val="00CD3472"/>
    <w:rsid w:val="00CD3984"/>
    <w:rsid w:val="00CD5424"/>
    <w:rsid w:val="00CD7ACC"/>
    <w:rsid w:val="00CE3900"/>
    <w:rsid w:val="00CE53AE"/>
    <w:rsid w:val="00CE5474"/>
    <w:rsid w:val="00CF0500"/>
    <w:rsid w:val="00CF0622"/>
    <w:rsid w:val="00CF22E7"/>
    <w:rsid w:val="00CF5F2B"/>
    <w:rsid w:val="00CF6EA8"/>
    <w:rsid w:val="00D052EF"/>
    <w:rsid w:val="00D069B1"/>
    <w:rsid w:val="00D0750C"/>
    <w:rsid w:val="00D12FA7"/>
    <w:rsid w:val="00D24324"/>
    <w:rsid w:val="00D25F7D"/>
    <w:rsid w:val="00D278AA"/>
    <w:rsid w:val="00D30EE9"/>
    <w:rsid w:val="00D32240"/>
    <w:rsid w:val="00D33EC0"/>
    <w:rsid w:val="00D429D7"/>
    <w:rsid w:val="00D44397"/>
    <w:rsid w:val="00D45648"/>
    <w:rsid w:val="00D4704D"/>
    <w:rsid w:val="00D479EF"/>
    <w:rsid w:val="00D47CF9"/>
    <w:rsid w:val="00D47E19"/>
    <w:rsid w:val="00D55369"/>
    <w:rsid w:val="00D5555C"/>
    <w:rsid w:val="00D55C0A"/>
    <w:rsid w:val="00D57932"/>
    <w:rsid w:val="00D619CC"/>
    <w:rsid w:val="00D62B30"/>
    <w:rsid w:val="00D71CE0"/>
    <w:rsid w:val="00D72A78"/>
    <w:rsid w:val="00D734B2"/>
    <w:rsid w:val="00D74090"/>
    <w:rsid w:val="00D76D2A"/>
    <w:rsid w:val="00D774E4"/>
    <w:rsid w:val="00D821E3"/>
    <w:rsid w:val="00D87202"/>
    <w:rsid w:val="00D876DB"/>
    <w:rsid w:val="00D90DE0"/>
    <w:rsid w:val="00D92028"/>
    <w:rsid w:val="00D923B2"/>
    <w:rsid w:val="00D95990"/>
    <w:rsid w:val="00D9660A"/>
    <w:rsid w:val="00D96EB2"/>
    <w:rsid w:val="00DA2762"/>
    <w:rsid w:val="00DA3413"/>
    <w:rsid w:val="00DC018D"/>
    <w:rsid w:val="00DC13A5"/>
    <w:rsid w:val="00DC341E"/>
    <w:rsid w:val="00DC40C5"/>
    <w:rsid w:val="00DC7901"/>
    <w:rsid w:val="00DD2C30"/>
    <w:rsid w:val="00DD7964"/>
    <w:rsid w:val="00DE0913"/>
    <w:rsid w:val="00DE0A47"/>
    <w:rsid w:val="00DE63FC"/>
    <w:rsid w:val="00DE67DF"/>
    <w:rsid w:val="00DF0840"/>
    <w:rsid w:val="00DF216D"/>
    <w:rsid w:val="00DF2E7B"/>
    <w:rsid w:val="00DF537C"/>
    <w:rsid w:val="00DF6A6C"/>
    <w:rsid w:val="00DF740E"/>
    <w:rsid w:val="00E03B9F"/>
    <w:rsid w:val="00E0633D"/>
    <w:rsid w:val="00E11CD5"/>
    <w:rsid w:val="00E14595"/>
    <w:rsid w:val="00E164F6"/>
    <w:rsid w:val="00E16BDB"/>
    <w:rsid w:val="00E17042"/>
    <w:rsid w:val="00E212A8"/>
    <w:rsid w:val="00E220F4"/>
    <w:rsid w:val="00E23D42"/>
    <w:rsid w:val="00E241FD"/>
    <w:rsid w:val="00E27615"/>
    <w:rsid w:val="00E30F27"/>
    <w:rsid w:val="00E33E87"/>
    <w:rsid w:val="00E34DE9"/>
    <w:rsid w:val="00E427A8"/>
    <w:rsid w:val="00E44ECE"/>
    <w:rsid w:val="00E45B4B"/>
    <w:rsid w:val="00E50DD0"/>
    <w:rsid w:val="00E51C95"/>
    <w:rsid w:val="00E52B84"/>
    <w:rsid w:val="00E53323"/>
    <w:rsid w:val="00E5441F"/>
    <w:rsid w:val="00E551FB"/>
    <w:rsid w:val="00E652BF"/>
    <w:rsid w:val="00E655B8"/>
    <w:rsid w:val="00E658E9"/>
    <w:rsid w:val="00E6617F"/>
    <w:rsid w:val="00E71205"/>
    <w:rsid w:val="00E73A27"/>
    <w:rsid w:val="00E74EA6"/>
    <w:rsid w:val="00E768C9"/>
    <w:rsid w:val="00E76E63"/>
    <w:rsid w:val="00E77219"/>
    <w:rsid w:val="00E8143E"/>
    <w:rsid w:val="00E841AD"/>
    <w:rsid w:val="00E84E17"/>
    <w:rsid w:val="00E92665"/>
    <w:rsid w:val="00E946A1"/>
    <w:rsid w:val="00E97206"/>
    <w:rsid w:val="00EA25FD"/>
    <w:rsid w:val="00EA2E0C"/>
    <w:rsid w:val="00EA7ED8"/>
    <w:rsid w:val="00EB2157"/>
    <w:rsid w:val="00EB2434"/>
    <w:rsid w:val="00EB3953"/>
    <w:rsid w:val="00EB43C0"/>
    <w:rsid w:val="00EB6E35"/>
    <w:rsid w:val="00EC214F"/>
    <w:rsid w:val="00EC2783"/>
    <w:rsid w:val="00EC6233"/>
    <w:rsid w:val="00ED18C4"/>
    <w:rsid w:val="00ED1B3B"/>
    <w:rsid w:val="00ED2E63"/>
    <w:rsid w:val="00ED4016"/>
    <w:rsid w:val="00ED69FB"/>
    <w:rsid w:val="00ED736F"/>
    <w:rsid w:val="00EE03E6"/>
    <w:rsid w:val="00EE07A9"/>
    <w:rsid w:val="00EE1652"/>
    <w:rsid w:val="00EE1BDB"/>
    <w:rsid w:val="00EE3214"/>
    <w:rsid w:val="00EE413B"/>
    <w:rsid w:val="00EF1A94"/>
    <w:rsid w:val="00EF50FD"/>
    <w:rsid w:val="00EF79F8"/>
    <w:rsid w:val="00F008F4"/>
    <w:rsid w:val="00F00A9D"/>
    <w:rsid w:val="00F01ED1"/>
    <w:rsid w:val="00F05A65"/>
    <w:rsid w:val="00F05AD9"/>
    <w:rsid w:val="00F106B6"/>
    <w:rsid w:val="00F14F2D"/>
    <w:rsid w:val="00F15365"/>
    <w:rsid w:val="00F16C50"/>
    <w:rsid w:val="00F2296D"/>
    <w:rsid w:val="00F22A85"/>
    <w:rsid w:val="00F23703"/>
    <w:rsid w:val="00F27714"/>
    <w:rsid w:val="00F30FDD"/>
    <w:rsid w:val="00F31430"/>
    <w:rsid w:val="00F315FD"/>
    <w:rsid w:val="00F321A6"/>
    <w:rsid w:val="00F37083"/>
    <w:rsid w:val="00F37C3D"/>
    <w:rsid w:val="00F402DF"/>
    <w:rsid w:val="00F40E6D"/>
    <w:rsid w:val="00F42D05"/>
    <w:rsid w:val="00F42D87"/>
    <w:rsid w:val="00F44177"/>
    <w:rsid w:val="00F45A1D"/>
    <w:rsid w:val="00F5746E"/>
    <w:rsid w:val="00F57F6F"/>
    <w:rsid w:val="00F60389"/>
    <w:rsid w:val="00F6185A"/>
    <w:rsid w:val="00F637B2"/>
    <w:rsid w:val="00F64DC6"/>
    <w:rsid w:val="00F706D2"/>
    <w:rsid w:val="00F70F22"/>
    <w:rsid w:val="00F71C29"/>
    <w:rsid w:val="00F72099"/>
    <w:rsid w:val="00F72E1C"/>
    <w:rsid w:val="00F778FC"/>
    <w:rsid w:val="00F8079F"/>
    <w:rsid w:val="00F811EF"/>
    <w:rsid w:val="00F81CB7"/>
    <w:rsid w:val="00F8530C"/>
    <w:rsid w:val="00F87AEB"/>
    <w:rsid w:val="00F91B9E"/>
    <w:rsid w:val="00F936CF"/>
    <w:rsid w:val="00F945D8"/>
    <w:rsid w:val="00F96D2B"/>
    <w:rsid w:val="00FA1A5E"/>
    <w:rsid w:val="00FA56C9"/>
    <w:rsid w:val="00FA57DF"/>
    <w:rsid w:val="00FA60B6"/>
    <w:rsid w:val="00FA7EFC"/>
    <w:rsid w:val="00FB1871"/>
    <w:rsid w:val="00FB21EF"/>
    <w:rsid w:val="00FC27A3"/>
    <w:rsid w:val="00FC3039"/>
    <w:rsid w:val="00FC61E6"/>
    <w:rsid w:val="00FD020E"/>
    <w:rsid w:val="00FD1402"/>
    <w:rsid w:val="00FD312D"/>
    <w:rsid w:val="00FD3B09"/>
    <w:rsid w:val="00FE1068"/>
    <w:rsid w:val="00FE1832"/>
    <w:rsid w:val="00FE292F"/>
    <w:rsid w:val="00FE3199"/>
    <w:rsid w:val="00FE5EF4"/>
    <w:rsid w:val="00FE7CEA"/>
    <w:rsid w:val="00FF1C4D"/>
    <w:rsid w:val="00FF3C1F"/>
    <w:rsid w:val="00FF481F"/>
    <w:rsid w:val="00FF66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6E221"/>
  <w15:chartTrackingRefBased/>
  <w15:docId w15:val="{1C0024DC-A97E-4D45-995C-4F5F40C3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5C"/>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uiPriority w:val="9"/>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743278"/>
    <w:pPr>
      <w:tabs>
        <w:tab w:val="decimal" w:pos="9070"/>
        <w:tab w:val="right" w:pos="14002"/>
      </w:tabs>
      <w:spacing w:after="0" w:line="240" w:lineRule="auto"/>
    </w:pPr>
    <w:rPr>
      <w:noProof/>
      <w:color w:val="0082AB"/>
      <w:spacing w:val="6"/>
      <w:sz w:val="16"/>
      <w:szCs w:val="16"/>
    </w:rPr>
  </w:style>
  <w:style w:type="character" w:customStyle="1" w:styleId="FooterChar">
    <w:name w:val="Footer Char"/>
    <w:link w:val="Footer"/>
    <w:rsid w:val="00743278"/>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uiPriority w:val="99"/>
    <w:semiHidden/>
    <w:rsid w:val="00BC3EA0"/>
    <w:rPr>
      <w:sz w:val="16"/>
      <w:szCs w:val="16"/>
    </w:rPr>
  </w:style>
  <w:style w:type="paragraph" w:styleId="CommentText">
    <w:name w:val="annotation text"/>
    <w:basedOn w:val="Normal"/>
    <w:link w:val="CommentTextChar"/>
    <w:uiPriority w:val="99"/>
    <w:semiHidden/>
    <w:rsid w:val="00BC3EA0"/>
    <w:rPr>
      <w:sz w:val="20"/>
    </w:rPr>
  </w:style>
  <w:style w:type="character" w:customStyle="1" w:styleId="CommentTextChar">
    <w:name w:val="Comment Text Char"/>
    <w:link w:val="CommentText"/>
    <w:uiPriority w:val="99"/>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uiPriority w:val="99"/>
    <w:semiHidden/>
    <w:rsid w:val="00BC3EA0"/>
    <w:rPr>
      <w:rFonts w:ascii="Arial" w:hAnsi="Arial"/>
      <w:color w:val="auto"/>
      <w:position w:val="8"/>
      <w:sz w:val="16"/>
    </w:rPr>
  </w:style>
  <w:style w:type="paragraph" w:styleId="FootnoteText">
    <w:name w:val="footnote text"/>
    <w:basedOn w:val="Normal"/>
    <w:link w:val="FootnoteTextChar"/>
    <w:uiPriority w:val="99"/>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99"/>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uiPriority w:val="9"/>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 w:type="paragraph" w:customStyle="1" w:styleId="NumberedParagraph">
    <w:name w:val="Numbered Paragraph"/>
    <w:basedOn w:val="Normal"/>
    <w:uiPriority w:val="99"/>
    <w:qFormat/>
    <w:rsid w:val="003B1B73"/>
    <w:pPr>
      <w:spacing w:after="200" w:line="240" w:lineRule="auto"/>
      <w:jc w:val="both"/>
    </w:pPr>
    <w:rPr>
      <w:rFonts w:ascii="Verdana" w:eastAsiaTheme="minorHAnsi" w:hAnsi="Verdana" w:cstheme="minorBidi"/>
      <w:sz w:val="20"/>
      <w:szCs w:val="23"/>
      <w:lang w:val="en-NZ" w:eastAsia="en-NZ"/>
    </w:rPr>
  </w:style>
  <w:style w:type="paragraph" w:customStyle="1" w:styleId="NumberedParagraphCabStandard">
    <w:name w:val="Numbered Paragraph (CabStandard)"/>
    <w:basedOn w:val="Normal"/>
    <w:qFormat/>
    <w:rsid w:val="00F27714"/>
    <w:pPr>
      <w:tabs>
        <w:tab w:val="num" w:pos="709"/>
      </w:tabs>
      <w:spacing w:line="240" w:lineRule="auto"/>
      <w:ind w:left="709" w:hanging="709"/>
      <w:jc w:val="both"/>
    </w:pPr>
    <w:rPr>
      <w:rFonts w:eastAsiaTheme="minorHAnsi" w:cstheme="minorBidi"/>
      <w:sz w:val="24"/>
      <w:szCs w:val="23"/>
      <w:lang w:val="en-NZ" w:eastAsia="en-NZ"/>
    </w:rPr>
  </w:style>
  <w:style w:type="character" w:styleId="Strong">
    <w:name w:val="Strong"/>
    <w:basedOn w:val="DefaultParagraphFont"/>
    <w:uiPriority w:val="22"/>
    <w:qFormat/>
    <w:rsid w:val="005D7D18"/>
    <w:rPr>
      <w:b/>
      <w:bCs/>
    </w:rPr>
  </w:style>
  <w:style w:type="paragraph" w:customStyle="1" w:styleId="Decision">
    <w:name w:val="Decision"/>
    <w:basedOn w:val="Normal"/>
    <w:rsid w:val="005D7D18"/>
    <w:pPr>
      <w:tabs>
        <w:tab w:val="left" w:pos="5670"/>
      </w:tabs>
      <w:spacing w:after="200" w:line="276" w:lineRule="auto"/>
      <w:ind w:left="709"/>
      <w:jc w:val="both"/>
    </w:pPr>
    <w:rPr>
      <w:rFonts w:ascii="Verdana" w:hAnsi="Verdana"/>
      <w:sz w:val="20"/>
      <w:lang w:val="en-NZ" w:eastAsia="en-US"/>
    </w:rPr>
  </w:style>
  <w:style w:type="character" w:customStyle="1" w:styleId="ListParagraphChar">
    <w:name w:val="List Paragraph Char"/>
    <w:link w:val="ListParagraph"/>
    <w:uiPriority w:val="34"/>
    <w:locked/>
    <w:rsid w:val="00243457"/>
    <w:rPr>
      <w:rFonts w:ascii="Arial" w:eastAsia="Times New Roman" w:hAnsi="Arial"/>
      <w:sz w:val="22"/>
      <w:lang w:val="en-GB" w:eastAsia="en-GB"/>
    </w:rPr>
  </w:style>
  <w:style w:type="character" w:styleId="HTMLDefinition">
    <w:name w:val="HTML Definition"/>
    <w:basedOn w:val="DefaultParagraphFont"/>
    <w:uiPriority w:val="99"/>
    <w:semiHidden/>
    <w:unhideWhenUsed/>
    <w:rsid w:val="00771576"/>
    <w:rPr>
      <w:i/>
      <w:iCs/>
    </w:rPr>
  </w:style>
  <w:style w:type="character" w:customStyle="1" w:styleId="label3">
    <w:name w:val="label3"/>
    <w:basedOn w:val="DefaultParagraphFont"/>
    <w:rsid w:val="00771576"/>
  </w:style>
  <w:style w:type="paragraph" w:customStyle="1" w:styleId="text5">
    <w:name w:val="text5"/>
    <w:basedOn w:val="Normal"/>
    <w:rsid w:val="00771576"/>
    <w:pPr>
      <w:spacing w:before="83" w:after="216" w:line="288" w:lineRule="atLeast"/>
    </w:pPr>
    <w:rPr>
      <w:rFonts w:ascii="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362440493">
      <w:bodyDiv w:val="1"/>
      <w:marLeft w:val="0"/>
      <w:marRight w:val="0"/>
      <w:marTop w:val="0"/>
      <w:marBottom w:val="0"/>
      <w:divBdr>
        <w:top w:val="none" w:sz="0" w:space="0" w:color="auto"/>
        <w:left w:val="none" w:sz="0" w:space="0" w:color="auto"/>
        <w:bottom w:val="none" w:sz="0" w:space="0" w:color="auto"/>
        <w:right w:val="none" w:sz="0" w:space="0" w:color="auto"/>
      </w:divBdr>
      <w:divsChild>
        <w:div w:id="1322732216">
          <w:marLeft w:val="0"/>
          <w:marRight w:val="0"/>
          <w:marTop w:val="0"/>
          <w:marBottom w:val="0"/>
          <w:divBdr>
            <w:top w:val="none" w:sz="0" w:space="0" w:color="auto"/>
            <w:left w:val="none" w:sz="0" w:space="0" w:color="auto"/>
            <w:bottom w:val="none" w:sz="0" w:space="0" w:color="auto"/>
            <w:right w:val="none" w:sz="0" w:space="0" w:color="auto"/>
          </w:divBdr>
          <w:divsChild>
            <w:div w:id="1101531292">
              <w:marLeft w:val="0"/>
              <w:marRight w:val="0"/>
              <w:marTop w:val="0"/>
              <w:marBottom w:val="0"/>
              <w:divBdr>
                <w:top w:val="none" w:sz="0" w:space="0" w:color="auto"/>
                <w:left w:val="none" w:sz="0" w:space="0" w:color="auto"/>
                <w:bottom w:val="none" w:sz="0" w:space="0" w:color="auto"/>
                <w:right w:val="none" w:sz="0" w:space="0" w:color="auto"/>
              </w:divBdr>
              <w:divsChild>
                <w:div w:id="983853105">
                  <w:marLeft w:val="0"/>
                  <w:marRight w:val="0"/>
                  <w:marTop w:val="105"/>
                  <w:marBottom w:val="0"/>
                  <w:divBdr>
                    <w:top w:val="none" w:sz="0" w:space="0" w:color="auto"/>
                    <w:left w:val="none" w:sz="0" w:space="0" w:color="auto"/>
                    <w:bottom w:val="none" w:sz="0" w:space="0" w:color="auto"/>
                    <w:right w:val="none" w:sz="0" w:space="0" w:color="auto"/>
                  </w:divBdr>
                  <w:divsChild>
                    <w:div w:id="456682321">
                      <w:marLeft w:val="450"/>
                      <w:marRight w:val="225"/>
                      <w:marTop w:val="0"/>
                      <w:marBottom w:val="0"/>
                      <w:divBdr>
                        <w:top w:val="none" w:sz="0" w:space="0" w:color="auto"/>
                        <w:left w:val="none" w:sz="0" w:space="0" w:color="auto"/>
                        <w:bottom w:val="none" w:sz="0" w:space="0" w:color="auto"/>
                        <w:right w:val="none" w:sz="0" w:space="0" w:color="auto"/>
                      </w:divBdr>
                      <w:divsChild>
                        <w:div w:id="1034886423">
                          <w:marLeft w:val="0"/>
                          <w:marRight w:val="0"/>
                          <w:marTop w:val="0"/>
                          <w:marBottom w:val="600"/>
                          <w:divBdr>
                            <w:top w:val="single" w:sz="6" w:space="0" w:color="314664"/>
                            <w:left w:val="single" w:sz="6" w:space="0" w:color="314664"/>
                            <w:bottom w:val="single" w:sz="6" w:space="0" w:color="314664"/>
                            <w:right w:val="single" w:sz="6" w:space="0" w:color="314664"/>
                          </w:divBdr>
                          <w:divsChild>
                            <w:div w:id="1954315541">
                              <w:marLeft w:val="0"/>
                              <w:marRight w:val="0"/>
                              <w:marTop w:val="0"/>
                              <w:marBottom w:val="0"/>
                              <w:divBdr>
                                <w:top w:val="none" w:sz="0" w:space="0" w:color="auto"/>
                                <w:left w:val="none" w:sz="0" w:space="0" w:color="auto"/>
                                <w:bottom w:val="none" w:sz="0" w:space="0" w:color="auto"/>
                                <w:right w:val="none" w:sz="0" w:space="0" w:color="auto"/>
                              </w:divBdr>
                              <w:divsChild>
                                <w:div w:id="1277525497">
                                  <w:marLeft w:val="0"/>
                                  <w:marRight w:val="0"/>
                                  <w:marTop w:val="0"/>
                                  <w:marBottom w:val="0"/>
                                  <w:divBdr>
                                    <w:top w:val="none" w:sz="0" w:space="0" w:color="auto"/>
                                    <w:left w:val="none" w:sz="0" w:space="0" w:color="auto"/>
                                    <w:bottom w:val="none" w:sz="0" w:space="0" w:color="auto"/>
                                    <w:right w:val="none" w:sz="0" w:space="0" w:color="auto"/>
                                  </w:divBdr>
                                  <w:divsChild>
                                    <w:div w:id="340931416">
                                      <w:marLeft w:val="0"/>
                                      <w:marRight w:val="0"/>
                                      <w:marTop w:val="0"/>
                                      <w:marBottom w:val="0"/>
                                      <w:divBdr>
                                        <w:top w:val="none" w:sz="0" w:space="0" w:color="auto"/>
                                        <w:left w:val="none" w:sz="0" w:space="0" w:color="auto"/>
                                        <w:bottom w:val="none" w:sz="0" w:space="0" w:color="auto"/>
                                        <w:right w:val="none" w:sz="0" w:space="0" w:color="auto"/>
                                      </w:divBdr>
                                      <w:divsChild>
                                        <w:div w:id="1007945986">
                                          <w:marLeft w:val="0"/>
                                          <w:marRight w:val="0"/>
                                          <w:marTop w:val="0"/>
                                          <w:marBottom w:val="0"/>
                                          <w:divBdr>
                                            <w:top w:val="none" w:sz="0" w:space="0" w:color="auto"/>
                                            <w:left w:val="none" w:sz="0" w:space="0" w:color="auto"/>
                                            <w:bottom w:val="none" w:sz="0" w:space="0" w:color="auto"/>
                                            <w:right w:val="none" w:sz="0" w:space="0" w:color="auto"/>
                                          </w:divBdr>
                                          <w:divsChild>
                                            <w:div w:id="2014339521">
                                              <w:marLeft w:val="0"/>
                                              <w:marRight w:val="0"/>
                                              <w:marTop w:val="0"/>
                                              <w:marBottom w:val="0"/>
                                              <w:divBdr>
                                                <w:top w:val="none" w:sz="0" w:space="0" w:color="auto"/>
                                                <w:left w:val="none" w:sz="0" w:space="0" w:color="auto"/>
                                                <w:bottom w:val="none" w:sz="0" w:space="0" w:color="auto"/>
                                                <w:right w:val="none" w:sz="0" w:space="0" w:color="auto"/>
                                              </w:divBdr>
                                              <w:divsChild>
                                                <w:div w:id="1175611459">
                                                  <w:marLeft w:val="0"/>
                                                  <w:marRight w:val="0"/>
                                                  <w:marTop w:val="0"/>
                                                  <w:marBottom w:val="0"/>
                                                  <w:divBdr>
                                                    <w:top w:val="none" w:sz="0" w:space="0" w:color="auto"/>
                                                    <w:left w:val="none" w:sz="0" w:space="0" w:color="auto"/>
                                                    <w:bottom w:val="none" w:sz="0" w:space="0" w:color="auto"/>
                                                    <w:right w:val="none" w:sz="0" w:space="0" w:color="auto"/>
                                                  </w:divBdr>
                                                  <w:divsChild>
                                                    <w:div w:id="334112792">
                                                      <w:marLeft w:val="0"/>
                                                      <w:marRight w:val="0"/>
                                                      <w:marTop w:val="0"/>
                                                      <w:marBottom w:val="0"/>
                                                      <w:divBdr>
                                                        <w:top w:val="none" w:sz="0" w:space="0" w:color="auto"/>
                                                        <w:left w:val="none" w:sz="0" w:space="0" w:color="auto"/>
                                                        <w:bottom w:val="none" w:sz="0" w:space="0" w:color="auto"/>
                                                        <w:right w:val="none" w:sz="0" w:space="0" w:color="auto"/>
                                                      </w:divBdr>
                                                      <w:divsChild>
                                                        <w:div w:id="2099674812">
                                                          <w:marLeft w:val="0"/>
                                                          <w:marRight w:val="0"/>
                                                          <w:marTop w:val="0"/>
                                                          <w:marBottom w:val="0"/>
                                                          <w:divBdr>
                                                            <w:top w:val="none" w:sz="0" w:space="0" w:color="auto"/>
                                                            <w:left w:val="none" w:sz="0" w:space="0" w:color="auto"/>
                                                            <w:bottom w:val="none" w:sz="0" w:space="0" w:color="auto"/>
                                                            <w:right w:val="none" w:sz="0" w:space="0" w:color="auto"/>
                                                          </w:divBdr>
                                                          <w:divsChild>
                                                            <w:div w:id="1190533078">
                                                              <w:marLeft w:val="0"/>
                                                              <w:marRight w:val="0"/>
                                                              <w:marTop w:val="0"/>
                                                              <w:marBottom w:val="0"/>
                                                              <w:divBdr>
                                                                <w:top w:val="none" w:sz="0" w:space="0" w:color="auto"/>
                                                                <w:left w:val="none" w:sz="0" w:space="0" w:color="auto"/>
                                                                <w:bottom w:val="none" w:sz="0" w:space="0" w:color="auto"/>
                                                                <w:right w:val="none" w:sz="0" w:space="0" w:color="auto"/>
                                                              </w:divBdr>
                                                              <w:divsChild>
                                                                <w:div w:id="1290626347">
                                                                  <w:marLeft w:val="0"/>
                                                                  <w:marRight w:val="0"/>
                                                                  <w:marTop w:val="0"/>
                                                                  <w:marBottom w:val="0"/>
                                                                  <w:divBdr>
                                                                    <w:top w:val="none" w:sz="0" w:space="0" w:color="auto"/>
                                                                    <w:left w:val="none" w:sz="0" w:space="0" w:color="auto"/>
                                                                    <w:bottom w:val="none" w:sz="0" w:space="0" w:color="auto"/>
                                                                    <w:right w:val="none" w:sz="0" w:space="0" w:color="auto"/>
                                                                  </w:divBdr>
                                                                  <w:divsChild>
                                                                    <w:div w:id="2081438429">
                                                                      <w:marLeft w:val="0"/>
                                                                      <w:marRight w:val="0"/>
                                                                      <w:marTop w:val="83"/>
                                                                      <w:marBottom w:val="0"/>
                                                                      <w:divBdr>
                                                                        <w:top w:val="none" w:sz="0" w:space="0" w:color="auto"/>
                                                                        <w:left w:val="none" w:sz="0" w:space="0" w:color="auto"/>
                                                                        <w:bottom w:val="none" w:sz="0" w:space="0" w:color="auto"/>
                                                                        <w:right w:val="none" w:sz="0" w:space="0" w:color="auto"/>
                                                                      </w:divBdr>
                                                                      <w:divsChild>
                                                                        <w:div w:id="1733650893">
                                                                          <w:marLeft w:val="0"/>
                                                                          <w:marRight w:val="0"/>
                                                                          <w:marTop w:val="0"/>
                                                                          <w:marBottom w:val="0"/>
                                                                          <w:divBdr>
                                                                            <w:top w:val="none" w:sz="0" w:space="0" w:color="auto"/>
                                                                            <w:left w:val="none" w:sz="0" w:space="0" w:color="auto"/>
                                                                            <w:bottom w:val="none" w:sz="0" w:space="0" w:color="auto"/>
                                                                            <w:right w:val="none" w:sz="0" w:space="0" w:color="auto"/>
                                                                          </w:divBdr>
                                                                          <w:divsChild>
                                                                            <w:div w:id="228540817">
                                                                              <w:marLeft w:val="0"/>
                                                                              <w:marRight w:val="0"/>
                                                                              <w:marTop w:val="83"/>
                                                                              <w:marBottom w:val="0"/>
                                                                              <w:divBdr>
                                                                                <w:top w:val="none" w:sz="0" w:space="0" w:color="auto"/>
                                                                                <w:left w:val="none" w:sz="0" w:space="0" w:color="auto"/>
                                                                                <w:bottom w:val="none" w:sz="0" w:space="0" w:color="auto"/>
                                                                                <w:right w:val="none" w:sz="0" w:space="0" w:color="auto"/>
                                                                              </w:divBdr>
                                                                              <w:divsChild>
                                                                                <w:div w:id="1872913872">
                                                                                  <w:marLeft w:val="0"/>
                                                                                  <w:marRight w:val="0"/>
                                                                                  <w:marTop w:val="0"/>
                                                                                  <w:marBottom w:val="0"/>
                                                                                  <w:divBdr>
                                                                                    <w:top w:val="none" w:sz="0" w:space="0" w:color="auto"/>
                                                                                    <w:left w:val="none" w:sz="0" w:space="0" w:color="auto"/>
                                                                                    <w:bottom w:val="none" w:sz="0" w:space="0" w:color="auto"/>
                                                                                    <w:right w:val="none" w:sz="0" w:space="0" w:color="auto"/>
                                                                                  </w:divBdr>
                                                                                  <w:divsChild>
                                                                                    <w:div w:id="687946649">
                                                                                      <w:marLeft w:val="0"/>
                                                                                      <w:marRight w:val="0"/>
                                                                                      <w:marTop w:val="83"/>
                                                                                      <w:marBottom w:val="0"/>
                                                                                      <w:divBdr>
                                                                                        <w:top w:val="none" w:sz="0" w:space="0" w:color="auto"/>
                                                                                        <w:left w:val="none" w:sz="0" w:space="0" w:color="auto"/>
                                                                                        <w:bottom w:val="none" w:sz="0" w:space="0" w:color="auto"/>
                                                                                        <w:right w:val="none" w:sz="0" w:space="0" w:color="auto"/>
                                                                                      </w:divBdr>
                                                                                      <w:divsChild>
                                                                                        <w:div w:id="1107579848">
                                                                                          <w:marLeft w:val="0"/>
                                                                                          <w:marRight w:val="0"/>
                                                                                          <w:marTop w:val="0"/>
                                                                                          <w:marBottom w:val="0"/>
                                                                                          <w:divBdr>
                                                                                            <w:top w:val="none" w:sz="0" w:space="0" w:color="auto"/>
                                                                                            <w:left w:val="none" w:sz="0" w:space="0" w:color="auto"/>
                                                                                            <w:bottom w:val="none" w:sz="0" w:space="0" w:color="auto"/>
                                                                                            <w:right w:val="none" w:sz="0" w:space="0" w:color="auto"/>
                                                                                          </w:divBdr>
                                                                                          <w:divsChild>
                                                                                            <w:div w:id="1116101834">
                                                                                              <w:marLeft w:val="0"/>
                                                                                              <w:marRight w:val="0"/>
                                                                                              <w:marTop w:val="83"/>
                                                                                              <w:marBottom w:val="0"/>
                                                                                              <w:divBdr>
                                                                                                <w:top w:val="none" w:sz="0" w:space="0" w:color="auto"/>
                                                                                                <w:left w:val="none" w:sz="0" w:space="0" w:color="auto"/>
                                                                                                <w:bottom w:val="none" w:sz="0" w:space="0" w:color="auto"/>
                                                                                                <w:right w:val="none" w:sz="0" w:space="0" w:color="auto"/>
                                                                                              </w:divBdr>
                                                                                            </w:div>
                                                                                          </w:divsChild>
                                                                                        </w:div>
                                                                                        <w:div w:id="506671722">
                                                                                          <w:marLeft w:val="0"/>
                                                                                          <w:marRight w:val="0"/>
                                                                                          <w:marTop w:val="0"/>
                                                                                          <w:marBottom w:val="0"/>
                                                                                          <w:divBdr>
                                                                                            <w:top w:val="none" w:sz="0" w:space="0" w:color="auto"/>
                                                                                            <w:left w:val="none" w:sz="0" w:space="0" w:color="auto"/>
                                                                                            <w:bottom w:val="none" w:sz="0" w:space="0" w:color="auto"/>
                                                                                            <w:right w:val="none" w:sz="0" w:space="0" w:color="auto"/>
                                                                                          </w:divBdr>
                                                                                          <w:divsChild>
                                                                                            <w:div w:id="76947408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792478739">
                                                                                  <w:marLeft w:val="0"/>
                                                                                  <w:marRight w:val="0"/>
                                                                                  <w:marTop w:val="0"/>
                                                                                  <w:marBottom w:val="0"/>
                                                                                  <w:divBdr>
                                                                                    <w:top w:val="none" w:sz="0" w:space="0" w:color="auto"/>
                                                                                    <w:left w:val="none" w:sz="0" w:space="0" w:color="auto"/>
                                                                                    <w:bottom w:val="none" w:sz="0" w:space="0" w:color="auto"/>
                                                                                    <w:right w:val="none" w:sz="0" w:space="0" w:color="auto"/>
                                                                                  </w:divBdr>
                                                                                  <w:divsChild>
                                                                                    <w:div w:id="342435071">
                                                                                      <w:marLeft w:val="0"/>
                                                                                      <w:marRight w:val="0"/>
                                                                                      <w:marTop w:val="83"/>
                                                                                      <w:marBottom w:val="0"/>
                                                                                      <w:divBdr>
                                                                                        <w:top w:val="none" w:sz="0" w:space="0" w:color="auto"/>
                                                                                        <w:left w:val="none" w:sz="0" w:space="0" w:color="auto"/>
                                                                                        <w:bottom w:val="none" w:sz="0" w:space="0" w:color="auto"/>
                                                                                        <w:right w:val="none" w:sz="0" w:space="0" w:color="auto"/>
                                                                                      </w:divBdr>
                                                                                    </w:div>
                                                                                  </w:divsChild>
                                                                                </w:div>
                                                                                <w:div w:id="705637940">
                                                                                  <w:marLeft w:val="0"/>
                                                                                  <w:marRight w:val="0"/>
                                                                                  <w:marTop w:val="0"/>
                                                                                  <w:marBottom w:val="0"/>
                                                                                  <w:divBdr>
                                                                                    <w:top w:val="none" w:sz="0" w:space="0" w:color="auto"/>
                                                                                    <w:left w:val="none" w:sz="0" w:space="0" w:color="auto"/>
                                                                                    <w:bottom w:val="none" w:sz="0" w:space="0" w:color="auto"/>
                                                                                    <w:right w:val="none" w:sz="0" w:space="0" w:color="auto"/>
                                                                                  </w:divBdr>
                                                                                  <w:divsChild>
                                                                                    <w:div w:id="180881173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250641">
      <w:bodyDiv w:val="1"/>
      <w:marLeft w:val="0"/>
      <w:marRight w:val="0"/>
      <w:marTop w:val="0"/>
      <w:marBottom w:val="0"/>
      <w:divBdr>
        <w:top w:val="none" w:sz="0" w:space="0" w:color="auto"/>
        <w:left w:val="none" w:sz="0" w:space="0" w:color="auto"/>
        <w:bottom w:val="none" w:sz="0" w:space="0" w:color="auto"/>
        <w:right w:val="none" w:sz="0" w:space="0" w:color="auto"/>
      </w:divBdr>
    </w:div>
    <w:div w:id="958293655">
      <w:bodyDiv w:val="1"/>
      <w:marLeft w:val="0"/>
      <w:marRight w:val="0"/>
      <w:marTop w:val="0"/>
      <w:marBottom w:val="0"/>
      <w:divBdr>
        <w:top w:val="none" w:sz="0" w:space="0" w:color="auto"/>
        <w:left w:val="none" w:sz="0" w:space="0" w:color="auto"/>
        <w:bottom w:val="none" w:sz="0" w:space="0" w:color="auto"/>
        <w:right w:val="none" w:sz="0" w:space="0" w:color="auto"/>
      </w:divBdr>
    </w:div>
    <w:div w:id="1144350531">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0188CA1A-9F64-4973-A519-C98B3677FC95}"/>
</file>

<file path=customXml/itemProps2.xml><?xml version="1.0" encoding="utf-8"?>
<ds:datastoreItem xmlns:ds="http://schemas.openxmlformats.org/officeDocument/2006/customXml" ds:itemID="{EF9B2A73-F7C4-4561-86BD-51F0F6D8F6CC}"/>
</file>

<file path=customXml/itemProps3.xml><?xml version="1.0" encoding="utf-8"?>
<ds:datastoreItem xmlns:ds="http://schemas.openxmlformats.org/officeDocument/2006/customXml" ds:itemID="{3CCAA300-F525-4E3B-8388-DCAA36FAC8E1}"/>
</file>

<file path=docProps/app.xml><?xml version="1.0" encoding="utf-8"?>
<Properties xmlns="http://schemas.openxmlformats.org/officeDocument/2006/extended-properties" xmlns:vt="http://schemas.openxmlformats.org/officeDocument/2006/docPropsVTypes">
  <Template>Normal.dotm</Template>
  <TotalTime>1</TotalTime>
  <Pages>12</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Regulatory impact asessment – COVID-19: Tax relief for donations of trading stock (18 January 2021)</vt:lpstr>
    </vt:vector>
  </TitlesOfParts>
  <Company>Inland Revenue</Company>
  <LinksUpToDate>false</LinksUpToDate>
  <CharactersWithSpaces>26283</CharactersWithSpaces>
  <SharedDoc>false</SharedDoc>
  <HLinks>
    <vt:vector size="54" baseType="variant">
      <vt:variant>
        <vt:i4>2687029</vt:i4>
      </vt:variant>
      <vt:variant>
        <vt:i4>24</vt:i4>
      </vt:variant>
      <vt:variant>
        <vt:i4>0</vt:i4>
      </vt:variant>
      <vt:variant>
        <vt:i4>5</vt:i4>
      </vt:variant>
      <vt:variant>
        <vt:lpwstr>http://www.treasury.govt.nz/regulation/expectations</vt:lpwstr>
      </vt:variant>
      <vt:variant>
        <vt:lpwstr/>
      </vt:variant>
      <vt:variant>
        <vt:i4>2687029</vt:i4>
      </vt:variant>
      <vt:variant>
        <vt:i4>21</vt:i4>
      </vt:variant>
      <vt:variant>
        <vt:i4>0</vt:i4>
      </vt:variant>
      <vt:variant>
        <vt:i4>5</vt:i4>
      </vt:variant>
      <vt:variant>
        <vt:lpwstr>http://www.treasury.govt.nz/regulation/expectations</vt:lpwstr>
      </vt:variant>
      <vt:variant>
        <vt:lpwstr/>
      </vt:variant>
      <vt:variant>
        <vt:i4>8257662</vt:i4>
      </vt:variant>
      <vt:variant>
        <vt:i4>18</vt:i4>
      </vt:variant>
      <vt:variant>
        <vt:i4>0</vt:i4>
      </vt:variant>
      <vt:variant>
        <vt:i4>5</vt:i4>
      </vt:variant>
      <vt:variant>
        <vt:lpwstr>http://www.treasury.govt.nz/publications/guidance/planning/costbenefitanalysis</vt:lpwstr>
      </vt:variant>
      <vt:variant>
        <vt:lpwstr/>
      </vt:variant>
      <vt:variant>
        <vt:i4>2949239</vt:i4>
      </vt:variant>
      <vt:variant>
        <vt:i4>15</vt:i4>
      </vt:variant>
      <vt:variant>
        <vt:i4>0</vt:i4>
      </vt:variant>
      <vt:variant>
        <vt:i4>5</vt:i4>
      </vt:variant>
      <vt:variant>
        <vt:lpwstr>http://www.treasury.govt.nz/publications/guidance/planning/costbenefitanalysis/x/x-guide-oct15.pdf</vt:lpwstr>
      </vt:variant>
      <vt:variant>
        <vt:lpwstr/>
      </vt:variant>
      <vt:variant>
        <vt:i4>2687029</vt:i4>
      </vt:variant>
      <vt:variant>
        <vt:i4>12</vt:i4>
      </vt:variant>
      <vt:variant>
        <vt:i4>0</vt:i4>
      </vt:variant>
      <vt:variant>
        <vt:i4>5</vt:i4>
      </vt:variant>
      <vt:variant>
        <vt:lpwstr>http://www.treasury.govt.nz/regulation/expectations</vt:lpwstr>
      </vt:variant>
      <vt:variant>
        <vt:lpwstr/>
      </vt:variant>
      <vt:variant>
        <vt:i4>4128805</vt:i4>
      </vt:variant>
      <vt:variant>
        <vt:i4>9</vt:i4>
      </vt:variant>
      <vt:variant>
        <vt:i4>0</vt:i4>
      </vt:variant>
      <vt:variant>
        <vt:i4>5</vt:i4>
      </vt:variant>
      <vt:variant>
        <vt:lpwstr>http://www.treasury.govt.nz/regulation/regulatoryproposal/ria/handbook</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asessment – COVID-19: Tax relief for donations of trading stock (18 January 2021)</dc:title>
  <dc:subject/>
  <dc:creator>Policy and Strategy</dc:creator>
  <cp:keywords/>
  <dc:description/>
  <dcterms:created xsi:type="dcterms:W3CDTF">2021-03-17T22:21:00Z</dcterms:created>
  <dcterms:modified xsi:type="dcterms:W3CDTF">2021-03-17T22:22:00Z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BusinessUnit">
    <vt:lpwstr>2;#Policy ＆ Regulatory Stewardship|5c6da56c-2219-46c1-9c7b-c15fc3fd45a5</vt:lpwstr>
  </property>
  <property fmtid="{D5CDD505-2E9C-101B-9397-08002B2CF9AE}" pid="4" name="ContentTypeId">
    <vt:lpwstr>0x0101000B461733DE48CC4985E239AAFC9C41590100670D0BD9AB7101418FC69E4F42B3A5BC</vt:lpwstr>
  </property>
  <property fmtid="{D5CDD505-2E9C-101B-9397-08002B2CF9AE}" pid="5" name="SecurityClassification">
    <vt:lpwstr>3;#In Confidence|5fccf67f-7cb1-4561-8450-fe0d2ea19178</vt:lpwstr>
  </property>
  <property fmtid="{D5CDD505-2E9C-101B-9397-08002B2CF9AE}" pid="6" name="BusinessActivity">
    <vt:lpwstr>1;#Tax policy work|c05dfd7c-a5ba-47bf-969f-3422104229d3</vt:lpwstr>
  </property>
  <property fmtid="{D5CDD505-2E9C-101B-9397-08002B2CF9AE}" pid="7" name="InformationType">
    <vt:lpwstr/>
  </property>
  <property fmtid="{D5CDD505-2E9C-101B-9397-08002B2CF9AE}" pid="8" name="DocumentStatus">
    <vt:lpwstr/>
  </property>
  <property fmtid="{D5CDD505-2E9C-101B-9397-08002B2CF9AE}" pid="9" name="MediaServiceImageTags">
    <vt:lpwstr/>
  </property>
</Properties>
</file>