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7DEB" w14:textId="77777777" w:rsidR="002E3CD5" w:rsidRDefault="002E3CD5" w:rsidP="002E3CD5">
      <w:pPr>
        <w:pStyle w:val="Heading1"/>
        <w:spacing w:before="0"/>
        <w:rPr>
          <w:color w:val="0082AB"/>
        </w:rPr>
      </w:pPr>
      <w:r w:rsidRPr="0005691A">
        <w:rPr>
          <w:color w:val="0082AB"/>
        </w:rPr>
        <w:t>Coversheet</w:t>
      </w:r>
      <w:r>
        <w:rPr>
          <w:color w:val="0082AB"/>
        </w:rPr>
        <w:t>:</w:t>
      </w:r>
      <w:r w:rsidRPr="0005691A">
        <w:rPr>
          <w:color w:val="0082AB"/>
        </w:rPr>
        <w:t xml:space="preserve"> </w:t>
      </w:r>
      <w:r>
        <w:rPr>
          <w:color w:val="0082AB"/>
        </w:rPr>
        <w:t>Tax measures to moderate house price growth – extension of the bright-line test</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240"/>
        <w:gridCol w:w="6832"/>
      </w:tblGrid>
      <w:tr w:rsidR="002E3CD5" w:rsidRPr="007B090A" w14:paraId="55002E88" w14:textId="77777777" w:rsidTr="00AC667E">
        <w:tc>
          <w:tcPr>
            <w:tcW w:w="2240" w:type="dxa"/>
            <w:shd w:val="clear" w:color="auto" w:fill="EBF5F8"/>
          </w:tcPr>
          <w:p w14:paraId="547C5199" w14:textId="77777777" w:rsidR="002E3CD5" w:rsidRPr="007B090A" w:rsidRDefault="002E3CD5" w:rsidP="00AC667E">
            <w:pPr>
              <w:pStyle w:val="TableText"/>
              <w:spacing w:before="54" w:after="54" w:line="240" w:lineRule="auto"/>
              <w:rPr>
                <w:rFonts w:cs="Arial"/>
                <w:sz w:val="22"/>
              </w:rPr>
            </w:pPr>
            <w:r w:rsidRPr="007B090A">
              <w:rPr>
                <w:rFonts w:cs="Arial"/>
                <w:sz w:val="22"/>
              </w:rPr>
              <w:t>Advising agencies</w:t>
            </w:r>
          </w:p>
        </w:tc>
        <w:tc>
          <w:tcPr>
            <w:tcW w:w="6832" w:type="dxa"/>
            <w:shd w:val="clear" w:color="auto" w:fill="auto"/>
          </w:tcPr>
          <w:p w14:paraId="40534162" w14:textId="77777777" w:rsidR="002E3CD5" w:rsidRPr="007B090A" w:rsidRDefault="002E3CD5" w:rsidP="00AC667E">
            <w:pPr>
              <w:spacing w:before="18" w:after="18" w:line="240" w:lineRule="auto"/>
              <w:rPr>
                <w:rFonts w:cs="Arial"/>
                <w:i/>
                <w:szCs w:val="22"/>
              </w:rPr>
            </w:pPr>
            <w:r>
              <w:rPr>
                <w:rFonts w:cs="Arial"/>
                <w:i/>
                <w:szCs w:val="22"/>
              </w:rPr>
              <w:t>The Treasury</w:t>
            </w:r>
          </w:p>
        </w:tc>
      </w:tr>
      <w:tr w:rsidR="002E3CD5" w:rsidRPr="007B090A" w14:paraId="7C8B19B4" w14:textId="77777777" w:rsidTr="00AC667E">
        <w:tc>
          <w:tcPr>
            <w:tcW w:w="2240" w:type="dxa"/>
            <w:shd w:val="clear" w:color="auto" w:fill="EBF5F8"/>
          </w:tcPr>
          <w:p w14:paraId="030600C2" w14:textId="77777777" w:rsidR="002E3CD5" w:rsidRPr="007B090A" w:rsidRDefault="002E3CD5" w:rsidP="00AC667E">
            <w:pPr>
              <w:pStyle w:val="TableText"/>
              <w:spacing w:before="54" w:after="54" w:line="240" w:lineRule="auto"/>
              <w:rPr>
                <w:rFonts w:cs="Arial"/>
                <w:sz w:val="22"/>
              </w:rPr>
            </w:pPr>
            <w:r w:rsidRPr="007B090A">
              <w:rPr>
                <w:rFonts w:cs="Arial"/>
                <w:sz w:val="22"/>
              </w:rPr>
              <w:t>Decision sought</w:t>
            </w:r>
          </w:p>
        </w:tc>
        <w:tc>
          <w:tcPr>
            <w:tcW w:w="6832" w:type="dxa"/>
            <w:shd w:val="clear" w:color="auto" w:fill="auto"/>
          </w:tcPr>
          <w:p w14:paraId="1857D4CA" w14:textId="2BE69F1A" w:rsidR="002E3CD5" w:rsidRPr="00602C65" w:rsidRDefault="002E3CD5" w:rsidP="004E57E8">
            <w:pPr>
              <w:pStyle w:val="CabStandard"/>
              <w:spacing w:after="218"/>
              <w:rPr>
                <w:rFonts w:cs="Arial"/>
                <w:i/>
                <w:szCs w:val="22"/>
              </w:rPr>
            </w:pPr>
            <w:r w:rsidRPr="00602C65">
              <w:rPr>
                <w:rFonts w:ascii="Arial" w:hAnsi="Arial" w:cs="Arial"/>
                <w:bCs/>
                <w:i/>
                <w:sz w:val="22"/>
                <w:szCs w:val="22"/>
              </w:rPr>
              <w:t>Agree</w:t>
            </w:r>
            <w:r w:rsidRPr="00602C65">
              <w:rPr>
                <w:rFonts w:ascii="Arial" w:hAnsi="Arial" w:cs="Arial"/>
                <w:b/>
                <w:bCs/>
                <w:i/>
                <w:sz w:val="22"/>
                <w:szCs w:val="22"/>
              </w:rPr>
              <w:t xml:space="preserve"> </w:t>
            </w:r>
            <w:r w:rsidRPr="00602C65">
              <w:rPr>
                <w:rFonts w:ascii="Arial" w:hAnsi="Arial" w:cs="Arial"/>
                <w:i/>
                <w:sz w:val="22"/>
                <w:szCs w:val="22"/>
              </w:rPr>
              <w:t>to e</w:t>
            </w:r>
            <w:r w:rsidRPr="00602C65">
              <w:rPr>
                <w:rFonts w:ascii="Arial" w:hAnsi="Arial" w:cs="Arial"/>
                <w:i/>
                <w:sz w:val="22"/>
                <w:szCs w:val="22"/>
                <w:lang w:eastAsia="en-AU"/>
              </w:rPr>
              <w:t>xtend the bright-line period for property acquired</w:t>
            </w:r>
            <w:r w:rsidR="004E57E8">
              <w:rPr>
                <w:rFonts w:ascii="Arial" w:hAnsi="Arial" w:cs="Arial"/>
                <w:i/>
                <w:sz w:val="22"/>
                <w:szCs w:val="22"/>
                <w:lang w:eastAsia="en-AU"/>
              </w:rPr>
              <w:t xml:space="preserve"> on or</w:t>
            </w:r>
            <w:r w:rsidRPr="00602C65">
              <w:rPr>
                <w:rFonts w:ascii="Arial" w:hAnsi="Arial" w:cs="Arial"/>
                <w:i/>
                <w:sz w:val="22"/>
                <w:szCs w:val="22"/>
                <w:lang w:eastAsia="en-AU"/>
              </w:rPr>
              <w:t xml:space="preserve"> after the </w:t>
            </w:r>
            <w:r w:rsidR="004E57E8">
              <w:rPr>
                <w:rFonts w:ascii="Arial" w:hAnsi="Arial" w:cs="Arial"/>
                <w:i/>
                <w:sz w:val="22"/>
                <w:szCs w:val="22"/>
                <w:lang w:eastAsia="en-AU"/>
              </w:rPr>
              <w:t>application</w:t>
            </w:r>
            <w:r w:rsidR="004E57E8" w:rsidRPr="00602C65">
              <w:rPr>
                <w:rFonts w:ascii="Arial" w:hAnsi="Arial" w:cs="Arial"/>
                <w:i/>
                <w:sz w:val="22"/>
                <w:szCs w:val="22"/>
                <w:lang w:eastAsia="en-AU"/>
              </w:rPr>
              <w:t xml:space="preserve"> </w:t>
            </w:r>
            <w:r w:rsidRPr="00602C65">
              <w:rPr>
                <w:rFonts w:ascii="Arial" w:hAnsi="Arial" w:cs="Arial"/>
                <w:i/>
                <w:sz w:val="22"/>
                <w:szCs w:val="22"/>
                <w:lang w:eastAsia="en-AU"/>
              </w:rPr>
              <w:t>da</w:t>
            </w:r>
            <w:r w:rsidR="004E57E8">
              <w:rPr>
                <w:rFonts w:ascii="Arial" w:hAnsi="Arial" w:cs="Arial"/>
                <w:i/>
                <w:sz w:val="22"/>
                <w:szCs w:val="22"/>
                <w:lang w:eastAsia="en-AU"/>
              </w:rPr>
              <w:t>te</w:t>
            </w:r>
            <w:r w:rsidRPr="00602C65">
              <w:rPr>
                <w:rFonts w:ascii="Arial" w:hAnsi="Arial" w:cs="Arial"/>
                <w:i/>
                <w:sz w:val="22"/>
                <w:szCs w:val="22"/>
              </w:rPr>
              <w:t>.</w:t>
            </w:r>
          </w:p>
        </w:tc>
      </w:tr>
      <w:tr w:rsidR="002E3CD5" w:rsidRPr="007B090A" w14:paraId="3ECD8C3C" w14:textId="77777777" w:rsidTr="00AC667E">
        <w:tc>
          <w:tcPr>
            <w:tcW w:w="2240" w:type="dxa"/>
            <w:shd w:val="clear" w:color="auto" w:fill="EBF5F8"/>
          </w:tcPr>
          <w:p w14:paraId="7F661ACD" w14:textId="77777777" w:rsidR="002E3CD5" w:rsidRPr="007B090A" w:rsidRDefault="002E3CD5" w:rsidP="00AC667E">
            <w:pPr>
              <w:pStyle w:val="TableText"/>
              <w:spacing w:before="54" w:after="54" w:line="240" w:lineRule="auto"/>
              <w:rPr>
                <w:rFonts w:cs="Arial"/>
                <w:sz w:val="22"/>
              </w:rPr>
            </w:pPr>
            <w:r w:rsidRPr="007B090A">
              <w:rPr>
                <w:rFonts w:cs="Arial"/>
                <w:sz w:val="22"/>
              </w:rPr>
              <w:t>Proposing Ministers</w:t>
            </w:r>
          </w:p>
        </w:tc>
        <w:tc>
          <w:tcPr>
            <w:tcW w:w="6832" w:type="dxa"/>
            <w:shd w:val="clear" w:color="auto" w:fill="auto"/>
          </w:tcPr>
          <w:p w14:paraId="0B1F39F7" w14:textId="77777777" w:rsidR="002E3CD5" w:rsidRDefault="002E3CD5" w:rsidP="00AC667E">
            <w:pPr>
              <w:spacing w:before="18" w:after="18" w:line="240" w:lineRule="auto"/>
              <w:rPr>
                <w:rFonts w:cs="Arial"/>
                <w:i/>
                <w:szCs w:val="22"/>
              </w:rPr>
            </w:pPr>
            <w:r>
              <w:rPr>
                <w:rFonts w:cs="Arial"/>
                <w:i/>
                <w:szCs w:val="22"/>
              </w:rPr>
              <w:t>Minister of Finance</w:t>
            </w:r>
          </w:p>
          <w:p w14:paraId="47FF6636" w14:textId="77777777" w:rsidR="002E3CD5" w:rsidRDefault="002E3CD5" w:rsidP="00AC667E">
            <w:pPr>
              <w:spacing w:before="18" w:after="18" w:line="240" w:lineRule="auto"/>
              <w:rPr>
                <w:rFonts w:cs="Arial"/>
                <w:i/>
                <w:szCs w:val="22"/>
              </w:rPr>
            </w:pPr>
            <w:r>
              <w:rPr>
                <w:rFonts w:cs="Arial"/>
                <w:i/>
                <w:szCs w:val="22"/>
              </w:rPr>
              <w:t xml:space="preserve">Minister of Revenue </w:t>
            </w:r>
          </w:p>
          <w:p w14:paraId="2C010946" w14:textId="77777777" w:rsidR="002E3CD5" w:rsidRPr="007B090A" w:rsidRDefault="002E3CD5" w:rsidP="00AC667E">
            <w:pPr>
              <w:spacing w:before="18" w:after="18" w:line="240" w:lineRule="auto"/>
              <w:rPr>
                <w:rFonts w:cs="Arial"/>
                <w:i/>
                <w:szCs w:val="22"/>
              </w:rPr>
            </w:pPr>
            <w:r>
              <w:rPr>
                <w:rFonts w:cs="Arial"/>
                <w:i/>
                <w:szCs w:val="22"/>
              </w:rPr>
              <w:t>Minister of Housing</w:t>
            </w:r>
          </w:p>
        </w:tc>
      </w:tr>
    </w:tbl>
    <w:p w14:paraId="6E89B069" w14:textId="77777777" w:rsidR="002E3CD5" w:rsidRPr="0005691A" w:rsidRDefault="002E3CD5" w:rsidP="001779A9">
      <w:pPr>
        <w:pStyle w:val="Heading2"/>
      </w:pPr>
      <w:r>
        <w:t xml:space="preserve">Summary:  Problem and Proposed Approach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E3CD5" w:rsidRPr="007B090A" w14:paraId="38BF7CF0" w14:textId="77777777" w:rsidTr="00AC667E">
        <w:trPr>
          <w:trHeight w:val="214"/>
        </w:trPr>
        <w:tc>
          <w:tcPr>
            <w:tcW w:w="9072" w:type="dxa"/>
            <w:shd w:val="clear" w:color="auto" w:fill="99CDDD"/>
          </w:tcPr>
          <w:p w14:paraId="3341AB73" w14:textId="77777777" w:rsidR="002E3CD5" w:rsidRPr="007B090A" w:rsidRDefault="002E3CD5" w:rsidP="00AC667E">
            <w:pPr>
              <w:keepNext/>
              <w:spacing w:before="54" w:after="54" w:line="240" w:lineRule="auto"/>
              <w:rPr>
                <w:b/>
                <w:szCs w:val="22"/>
              </w:rPr>
            </w:pPr>
            <w:r w:rsidRPr="007B090A">
              <w:rPr>
                <w:b/>
                <w:szCs w:val="22"/>
              </w:rPr>
              <w:t>Problem Definition</w:t>
            </w:r>
          </w:p>
          <w:p w14:paraId="795B25A1" w14:textId="77777777" w:rsidR="002E3CD5" w:rsidRPr="007B090A" w:rsidRDefault="002E3CD5" w:rsidP="00AC667E">
            <w:pPr>
              <w:spacing w:before="54" w:after="54" w:line="240" w:lineRule="auto"/>
              <w:rPr>
                <w:b/>
                <w:szCs w:val="22"/>
              </w:rPr>
            </w:pPr>
            <w:r w:rsidRPr="007B090A">
              <w:rPr>
                <w:b/>
                <w:szCs w:val="22"/>
              </w:rPr>
              <w:t>What problem or opportunity does this proposal seek to address? Why is Government intervention required?</w:t>
            </w:r>
          </w:p>
        </w:tc>
      </w:tr>
      <w:tr w:rsidR="002E3CD5" w:rsidRPr="007B090A" w14:paraId="439D1B86" w14:textId="77777777" w:rsidTr="00AC667E">
        <w:trPr>
          <w:trHeight w:val="737"/>
        </w:trPr>
        <w:tc>
          <w:tcPr>
            <w:tcW w:w="9072" w:type="dxa"/>
            <w:shd w:val="clear" w:color="auto" w:fill="FFFFFF"/>
          </w:tcPr>
          <w:p w14:paraId="2528C8F3" w14:textId="00B147D6" w:rsidR="009914EA" w:rsidRPr="004667AA" w:rsidRDefault="002E3CD5" w:rsidP="00C167FA">
            <w:pPr>
              <w:spacing w:before="218" w:after="218" w:line="240" w:lineRule="auto"/>
              <w:rPr>
                <w:rFonts w:cs="Arial"/>
                <w:szCs w:val="22"/>
                <w:lang w:eastAsia="en-AU"/>
              </w:rPr>
            </w:pPr>
            <w:r w:rsidRPr="004667AA">
              <w:rPr>
                <w:rFonts w:cs="Arial"/>
                <w:szCs w:val="22"/>
                <w:lang w:eastAsia="en-AU"/>
              </w:rPr>
              <w:t xml:space="preserve">The Government’s objective </w:t>
            </w:r>
            <w:r>
              <w:rPr>
                <w:rFonts w:cs="Arial"/>
                <w:szCs w:val="22"/>
                <w:lang w:eastAsia="en-AU"/>
              </w:rPr>
              <w:t xml:space="preserve">is to </w:t>
            </w:r>
            <w:r w:rsidRPr="00550308">
              <w:rPr>
                <w:rFonts w:cs="Arial"/>
                <w:szCs w:val="22"/>
                <w:lang w:eastAsia="en-AU"/>
              </w:rPr>
              <w:t xml:space="preserve">support </w:t>
            </w:r>
            <w:r w:rsidR="0020203E" w:rsidRPr="0020203E">
              <w:rPr>
                <w:rFonts w:cs="Arial"/>
                <w:szCs w:val="22"/>
                <w:lang w:eastAsia="en-AU"/>
              </w:rPr>
              <w:t>more sustainable house prices, including by dampening investor demand for existing housing stock, which would improve affordability for first-home buyers</w:t>
            </w:r>
            <w:r w:rsidR="00E52224">
              <w:rPr>
                <w:rFonts w:cs="Arial"/>
                <w:szCs w:val="22"/>
                <w:lang w:eastAsia="en-AU"/>
              </w:rPr>
              <w:t>.</w:t>
            </w:r>
          </w:p>
          <w:p w14:paraId="28B1C9E0" w14:textId="77777777" w:rsidR="002E3CD5" w:rsidRDefault="002E3CD5" w:rsidP="00AC667E">
            <w:pPr>
              <w:spacing w:after="218" w:line="240" w:lineRule="auto"/>
              <w:rPr>
                <w:szCs w:val="22"/>
              </w:rPr>
            </w:pPr>
            <w:r w:rsidRPr="004667AA">
              <w:rPr>
                <w:rFonts w:cs="Arial"/>
                <w:szCs w:val="22"/>
                <w:lang w:eastAsia="en-AU"/>
              </w:rPr>
              <w:t xml:space="preserve">Access to affordable housing is important to support the living standards of New Zealanders.  Rates of homeownership have reduced significantly from their peak in the 1990s, particularly for younger people, increasing intergenerational </w:t>
            </w:r>
            <w:r>
              <w:rPr>
                <w:rFonts w:cs="Arial"/>
                <w:szCs w:val="22"/>
                <w:lang w:eastAsia="en-AU"/>
              </w:rPr>
              <w:t>in</w:t>
            </w:r>
            <w:r w:rsidRPr="004667AA">
              <w:rPr>
                <w:rFonts w:cs="Arial"/>
                <w:szCs w:val="22"/>
                <w:lang w:eastAsia="en-AU"/>
              </w:rPr>
              <w:t>equity</w:t>
            </w:r>
            <w:r w:rsidRPr="004667AA">
              <w:rPr>
                <w:szCs w:val="22"/>
              </w:rPr>
              <w:t>.</w:t>
            </w:r>
            <w:r>
              <w:rPr>
                <w:rStyle w:val="FootnoteReference"/>
                <w:szCs w:val="22"/>
              </w:rPr>
              <w:footnoteReference w:id="2"/>
            </w:r>
            <w:r w:rsidRPr="004667AA">
              <w:rPr>
                <w:szCs w:val="22"/>
              </w:rPr>
              <w:t xml:space="preserve">  </w:t>
            </w:r>
            <w:r w:rsidRPr="004667AA">
              <w:rPr>
                <w:rFonts w:cs="Arial"/>
                <w:szCs w:val="22"/>
                <w:lang w:eastAsia="en-AU"/>
              </w:rPr>
              <w:t xml:space="preserve">Investors account for a significant portion of house purchases, reducing the number of houses available for </w:t>
            </w:r>
            <w:r>
              <w:rPr>
                <w:rFonts w:cs="Arial"/>
                <w:szCs w:val="22"/>
                <w:lang w:eastAsia="en-AU"/>
              </w:rPr>
              <w:t xml:space="preserve">new </w:t>
            </w:r>
            <w:r w:rsidRPr="004667AA">
              <w:rPr>
                <w:rFonts w:cs="Arial"/>
                <w:szCs w:val="22"/>
                <w:lang w:eastAsia="en-AU"/>
              </w:rPr>
              <w:t>owner-occupiers.</w:t>
            </w:r>
            <w:r w:rsidRPr="004667AA">
              <w:rPr>
                <w:szCs w:val="22"/>
              </w:rPr>
              <w:t xml:space="preserve"> </w:t>
            </w:r>
            <w:r>
              <w:rPr>
                <w:szCs w:val="22"/>
              </w:rPr>
              <w:t>Rising housing costs are also having an impact on renters.</w:t>
            </w:r>
            <w:r>
              <w:rPr>
                <w:rStyle w:val="FootnoteReference"/>
                <w:szCs w:val="22"/>
              </w:rPr>
              <w:footnoteReference w:id="3"/>
            </w:r>
            <w:r>
              <w:rPr>
                <w:szCs w:val="22"/>
              </w:rPr>
              <w:t xml:space="preserve"> </w:t>
            </w:r>
          </w:p>
          <w:p w14:paraId="479A67AC" w14:textId="77777777" w:rsidR="002E3CD5" w:rsidRDefault="002E3CD5" w:rsidP="00AC667E">
            <w:pPr>
              <w:spacing w:after="218" w:line="240" w:lineRule="auto"/>
            </w:pPr>
            <w:r w:rsidRPr="004667AA">
              <w:t xml:space="preserve">While the tax system is not the primary driver of housing affordability, current tax settings incentivise </w:t>
            </w:r>
            <w:r>
              <w:t>investment</w:t>
            </w:r>
            <w:r w:rsidRPr="004667AA">
              <w:t xml:space="preserve"> in housing.</w:t>
            </w:r>
            <w:r>
              <w:t xml:space="preserve"> </w:t>
            </w:r>
            <w:r w:rsidRPr="004667AA">
              <w:t>This is because a significant source of</w:t>
            </w:r>
            <w:r>
              <w:t xml:space="preserve"> economic</w:t>
            </w:r>
            <w:r w:rsidRPr="004667AA">
              <w:t xml:space="preserve"> income from residential property, capital gains, is not </w:t>
            </w:r>
            <w:r>
              <w:t>fully taxed</w:t>
            </w:r>
            <w:r w:rsidRPr="004667AA">
              <w:t xml:space="preserve">. </w:t>
            </w:r>
          </w:p>
          <w:p w14:paraId="09880E66" w14:textId="77777777" w:rsidR="002E3CD5" w:rsidRPr="003C2FB1" w:rsidRDefault="002E3CD5">
            <w:pPr>
              <w:spacing w:after="218" w:line="240" w:lineRule="auto"/>
            </w:pPr>
            <w:r w:rsidRPr="00AE71AC">
              <w:rPr>
                <w:rFonts w:cs="Arial"/>
                <w:szCs w:val="22"/>
                <w:lang w:eastAsia="en-AU"/>
              </w:rPr>
              <w:t xml:space="preserve">This creates equity issues compared to </w:t>
            </w:r>
            <w:r w:rsidR="002C7A88">
              <w:rPr>
                <w:rFonts w:cs="Arial"/>
                <w:szCs w:val="22"/>
                <w:lang w:eastAsia="en-AU"/>
              </w:rPr>
              <w:t>earnings</w:t>
            </w:r>
            <w:r w:rsidRPr="00AE71AC">
              <w:rPr>
                <w:rFonts w:cs="Arial"/>
                <w:szCs w:val="22"/>
                <w:lang w:eastAsia="en-AU"/>
              </w:rPr>
              <w:t xml:space="preserve"> from salary and wages, which </w:t>
            </w:r>
            <w:r w:rsidR="00980F05">
              <w:rPr>
                <w:rFonts w:cs="Arial"/>
                <w:szCs w:val="22"/>
                <w:lang w:eastAsia="en-AU"/>
              </w:rPr>
              <w:t>are</w:t>
            </w:r>
            <w:r w:rsidRPr="00AE71AC">
              <w:rPr>
                <w:rFonts w:cs="Arial"/>
                <w:szCs w:val="22"/>
                <w:lang w:eastAsia="en-AU"/>
              </w:rPr>
              <w:t xml:space="preserve"> fully taxed. Not fully taxing some economic income from property investment encourages inefficient investments (compared with other possible investment options), with flow-on impacts for the housing market.</w:t>
            </w:r>
            <w:r>
              <w:rPr>
                <w:rFonts w:cs="Arial"/>
              </w:rPr>
              <w:t xml:space="preserve"> </w:t>
            </w:r>
          </w:p>
        </w:tc>
      </w:tr>
    </w:tbl>
    <w:p w14:paraId="7D35AD8E" w14:textId="77777777" w:rsidR="002E3CD5" w:rsidRPr="007B090A" w:rsidRDefault="002E3CD5" w:rsidP="002E3CD5">
      <w:pPr>
        <w:pStyle w:val="spacer"/>
      </w:pPr>
    </w:p>
    <w:tbl>
      <w:tblPr>
        <w:tblW w:w="9076"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6"/>
      </w:tblGrid>
      <w:tr w:rsidR="002E3CD5" w:rsidRPr="007B090A" w14:paraId="766CFBE0" w14:textId="77777777" w:rsidTr="00AC667E">
        <w:trPr>
          <w:trHeight w:val="585"/>
        </w:trPr>
        <w:tc>
          <w:tcPr>
            <w:tcW w:w="9076" w:type="dxa"/>
            <w:shd w:val="clear" w:color="auto" w:fill="99CDDD"/>
          </w:tcPr>
          <w:p w14:paraId="0F50248A" w14:textId="77777777" w:rsidR="002E3CD5" w:rsidRPr="007B090A" w:rsidRDefault="002E3CD5" w:rsidP="00AC667E">
            <w:pPr>
              <w:keepNext/>
              <w:keepLines/>
              <w:spacing w:before="54" w:after="54" w:line="240" w:lineRule="auto"/>
              <w:rPr>
                <w:b/>
                <w:szCs w:val="22"/>
              </w:rPr>
            </w:pPr>
            <w:r>
              <w:rPr>
                <w:b/>
                <w:szCs w:val="22"/>
              </w:rPr>
              <w:t>Summary of Preferred Option or Conclusion (if no preferred option)</w:t>
            </w:r>
          </w:p>
          <w:p w14:paraId="109670AB" w14:textId="77777777" w:rsidR="002E3CD5" w:rsidRPr="007B090A" w:rsidRDefault="002E3CD5" w:rsidP="00AC667E">
            <w:pPr>
              <w:keepNext/>
              <w:keepLines/>
              <w:spacing w:before="54" w:after="54" w:line="240" w:lineRule="auto"/>
              <w:rPr>
                <w:b/>
                <w:szCs w:val="22"/>
              </w:rPr>
            </w:pPr>
            <w:r w:rsidRPr="007B090A">
              <w:rPr>
                <w:b/>
                <w:szCs w:val="22"/>
              </w:rPr>
              <w:t xml:space="preserve">How will </w:t>
            </w:r>
            <w:r>
              <w:rPr>
                <w:b/>
                <w:szCs w:val="22"/>
              </w:rPr>
              <w:t>the agency’s preferred approach</w:t>
            </w:r>
            <w:r w:rsidRPr="007B090A">
              <w:rPr>
                <w:b/>
                <w:szCs w:val="22"/>
              </w:rPr>
              <w:t xml:space="preserve"> work to bring about the desired change? </w:t>
            </w:r>
            <w:r>
              <w:rPr>
                <w:b/>
                <w:szCs w:val="22"/>
              </w:rPr>
              <w:t>Why is this the preferred option? Why is it feasible? Is the preferred approach likely to be reflected in the Cabinet paper?</w:t>
            </w:r>
          </w:p>
        </w:tc>
      </w:tr>
      <w:tr w:rsidR="002E3CD5" w:rsidRPr="007B090A" w14:paraId="0E541333" w14:textId="77777777" w:rsidTr="00AC667E">
        <w:trPr>
          <w:trHeight w:val="637"/>
        </w:trPr>
        <w:tc>
          <w:tcPr>
            <w:tcW w:w="9076" w:type="dxa"/>
            <w:shd w:val="clear" w:color="auto" w:fill="FFFFFF" w:themeFill="background1"/>
          </w:tcPr>
          <w:p w14:paraId="4E07C393" w14:textId="77777777" w:rsidR="002E3CD5" w:rsidRDefault="002E3CD5" w:rsidP="00C167FA">
            <w:pPr>
              <w:spacing w:before="218" w:after="218" w:line="240" w:lineRule="auto"/>
            </w:pPr>
            <w:r>
              <w:t xml:space="preserve">An options analysis would consider different ways to more consistently tax income. However, the Government has ruled out new </w:t>
            </w:r>
            <w:r w:rsidRPr="000F45B4">
              <w:rPr>
                <w:szCs w:val="22"/>
              </w:rPr>
              <w:t>taxes</w:t>
            </w:r>
            <w:r>
              <w:t xml:space="preserve"> or taxes on the family home. The Government has also ruled out comprehensive taxation of capital gains or a risk-free return method tax. </w:t>
            </w:r>
          </w:p>
          <w:p w14:paraId="1AE6BA58" w14:textId="77777777" w:rsidR="00C6272E" w:rsidRDefault="00C6272E" w:rsidP="00AC667E">
            <w:pPr>
              <w:spacing w:after="218" w:line="240" w:lineRule="auto"/>
            </w:pPr>
            <w:r>
              <w:lastRenderedPageBreak/>
              <w:t>This Regulatory Impact Statement has been produced under extremely tight time constraints without consultation or the benefit of robust data, and accordingly there is a risk that the analysis is incomplete or may miss key interactions.  It represents the Treasury’s best assessment of the options identified by the Government in the time available.</w:t>
            </w:r>
          </w:p>
          <w:p w14:paraId="20877094" w14:textId="77777777" w:rsidR="002E3CD5" w:rsidRPr="00905515" w:rsidRDefault="002E3CD5" w:rsidP="00E14877">
            <w:pPr>
              <w:spacing w:before="327" w:after="218" w:line="240" w:lineRule="auto"/>
              <w:rPr>
                <w:i/>
              </w:rPr>
            </w:pPr>
            <w:r w:rsidRPr="00905515">
              <w:rPr>
                <w:i/>
              </w:rPr>
              <w:t xml:space="preserve">Bright-line </w:t>
            </w:r>
            <w:r>
              <w:rPr>
                <w:i/>
              </w:rPr>
              <w:t xml:space="preserve">test </w:t>
            </w:r>
            <w:r w:rsidRPr="00905515">
              <w:rPr>
                <w:i/>
              </w:rPr>
              <w:t>extension</w:t>
            </w:r>
          </w:p>
          <w:p w14:paraId="06F6907F" w14:textId="77777777" w:rsidR="002E3CD5" w:rsidRDefault="002E3CD5" w:rsidP="00AC667E">
            <w:pPr>
              <w:spacing w:after="218" w:line="240" w:lineRule="auto"/>
            </w:pPr>
            <w:r w:rsidRPr="000F45B4">
              <w:rPr>
                <w:szCs w:val="22"/>
              </w:rPr>
              <w:t xml:space="preserve">In light of the Government’s objectives and the above constraints, on balance the Treasury’s preferred </w:t>
            </w:r>
            <w:r w:rsidRPr="000F45B4">
              <w:rPr>
                <w:rFonts w:cs="Arial"/>
                <w:szCs w:val="22"/>
                <w:lang w:eastAsia="en-AU"/>
              </w:rPr>
              <w:t>option</w:t>
            </w:r>
            <w:r w:rsidRPr="000F45B4">
              <w:rPr>
                <w:szCs w:val="22"/>
              </w:rPr>
              <w:t xml:space="preserve"> is an extension of the bright-line period from 5 years to 20 years with no exemption for new builds.</w:t>
            </w:r>
            <w:r>
              <w:t xml:space="preserve"> </w:t>
            </w:r>
            <w:r w:rsidR="00312E66">
              <w:t xml:space="preserve"> </w:t>
            </w:r>
          </w:p>
          <w:p w14:paraId="3C120A7D" w14:textId="77777777" w:rsidR="002E3CD5" w:rsidRPr="00905515" w:rsidRDefault="002E3CD5" w:rsidP="00AC667E">
            <w:pPr>
              <w:spacing w:after="218" w:line="240" w:lineRule="auto"/>
            </w:pPr>
            <w:r w:rsidRPr="000F45B4">
              <w:rPr>
                <w:rFonts w:cs="Arial"/>
                <w:szCs w:val="22"/>
                <w:lang w:eastAsia="en-AU"/>
              </w:rPr>
              <w:t>While tax settings are not the primary driver of problems in the housing market, extending the bright-line test should put downward pressure on house prices in the short to medium term, and provide equity and efficiency benefits in taxing more economic income.</w:t>
            </w:r>
            <w:r w:rsidRPr="00C7681B">
              <w:rPr>
                <w:rFonts w:eastAsia="Calibri" w:cs="Arial"/>
                <w:szCs w:val="22"/>
                <w:lang w:eastAsia="en-NZ"/>
              </w:rPr>
              <w:t xml:space="preserve"> </w:t>
            </w:r>
            <w:r>
              <w:rPr>
                <w:rFonts w:eastAsia="Calibri" w:cs="Arial"/>
                <w:szCs w:val="22"/>
                <w:lang w:eastAsia="en-NZ"/>
              </w:rPr>
              <w:t xml:space="preserve">However, </w:t>
            </w:r>
            <w:r>
              <w:t xml:space="preserve">extending the bright-line test may put upward pressure on rents. </w:t>
            </w:r>
          </w:p>
          <w:p w14:paraId="1B2939A6" w14:textId="77777777" w:rsidR="002E3CD5" w:rsidRDefault="002E3CD5" w:rsidP="00AC667E">
            <w:pPr>
              <w:spacing w:after="218" w:line="240" w:lineRule="auto"/>
            </w:pPr>
            <w:r>
              <w:t xml:space="preserve">While the extension may result in lock-in effects, </w:t>
            </w:r>
            <w:r w:rsidRPr="00C7681B">
              <w:rPr>
                <w:rFonts w:eastAsia="Calibri" w:cs="Arial"/>
                <w:szCs w:val="22"/>
                <w:lang w:eastAsia="en-NZ"/>
              </w:rPr>
              <w:t xml:space="preserve">the additional costs of </w:t>
            </w:r>
            <w:r>
              <w:rPr>
                <w:rFonts w:eastAsia="Calibri" w:cs="Arial"/>
                <w:szCs w:val="22"/>
                <w:lang w:eastAsia="en-NZ"/>
              </w:rPr>
              <w:t xml:space="preserve">these are </w:t>
            </w:r>
            <w:r w:rsidRPr="00C7681B">
              <w:rPr>
                <w:rFonts w:eastAsia="Calibri" w:cs="Arial"/>
                <w:szCs w:val="22"/>
                <w:lang w:eastAsia="en-NZ"/>
              </w:rPr>
              <w:t>unclear.</w:t>
            </w:r>
            <w:r>
              <w:rPr>
                <w:rFonts w:eastAsia="Calibri" w:cs="Arial"/>
                <w:szCs w:val="22"/>
                <w:lang w:eastAsia="en-NZ"/>
              </w:rPr>
              <w:t xml:space="preserve">  The Treasury’s view is that lock-in will not significantly reduce housing utilisation.</w:t>
            </w:r>
          </w:p>
          <w:p w14:paraId="17955FC9" w14:textId="65CC64D1" w:rsidR="00312E66" w:rsidRDefault="002E3CD5" w:rsidP="00AC667E">
            <w:pPr>
              <w:spacing w:after="218" w:line="240" w:lineRule="auto"/>
              <w:rPr>
                <w:rFonts w:cs="Arial"/>
                <w:szCs w:val="22"/>
                <w:lang w:eastAsia="en-AU"/>
              </w:rPr>
            </w:pPr>
            <w:r>
              <w:t xml:space="preserve">Therefore, the Treasury considers the measure improves the tax system on balance and contributes to the Government’s stated demand-side housing objectives: </w:t>
            </w:r>
            <w:r w:rsidR="00E52224">
              <w:rPr>
                <w:rFonts w:cs="Arial"/>
                <w:szCs w:val="22"/>
                <w:lang w:eastAsia="en-AU"/>
              </w:rPr>
              <w:t xml:space="preserve">to </w:t>
            </w:r>
            <w:r w:rsidR="00E52224" w:rsidRPr="00550308">
              <w:rPr>
                <w:rFonts w:cs="Arial"/>
                <w:szCs w:val="22"/>
                <w:lang w:eastAsia="en-AU"/>
              </w:rPr>
              <w:t xml:space="preserve">support </w:t>
            </w:r>
            <w:r w:rsidR="00E52224" w:rsidRPr="0020203E">
              <w:rPr>
                <w:rFonts w:cs="Arial"/>
                <w:szCs w:val="22"/>
                <w:lang w:eastAsia="en-AU"/>
              </w:rPr>
              <w:t>more sustainable house prices, including by dampening investor demand for existing housing stock, which would improve affordability for first-home buyers</w:t>
            </w:r>
            <w:r>
              <w:rPr>
                <w:rFonts w:cs="Arial"/>
                <w:szCs w:val="22"/>
                <w:lang w:eastAsia="en-AU"/>
              </w:rPr>
              <w:t>.</w:t>
            </w:r>
            <w:r w:rsidR="00312E66">
              <w:rPr>
                <w:rFonts w:cs="Arial"/>
                <w:szCs w:val="22"/>
                <w:lang w:eastAsia="en-AU"/>
              </w:rPr>
              <w:t xml:space="preserve">  </w:t>
            </w:r>
          </w:p>
          <w:p w14:paraId="58886AA0" w14:textId="658F428F" w:rsidR="00312E66" w:rsidRPr="008D7F5D" w:rsidRDefault="00312E66" w:rsidP="00AC667E">
            <w:pPr>
              <w:spacing w:after="218" w:line="240" w:lineRule="auto"/>
              <w:rPr>
                <w:rFonts w:cs="Arial"/>
                <w:szCs w:val="22"/>
                <w:lang w:eastAsia="en-AU"/>
              </w:rPr>
            </w:pPr>
            <w:r>
              <w:rPr>
                <w:rFonts w:cs="Arial"/>
                <w:szCs w:val="22"/>
                <w:lang w:eastAsia="en-AU"/>
              </w:rPr>
              <w:t>The Treasury’s preferred option is a 20-year bright</w:t>
            </w:r>
            <w:r w:rsidR="009914EA">
              <w:rPr>
                <w:rFonts w:cs="Arial"/>
                <w:szCs w:val="22"/>
                <w:lang w:eastAsia="en-AU"/>
              </w:rPr>
              <w:t>-</w:t>
            </w:r>
            <w:r>
              <w:rPr>
                <w:rFonts w:cs="Arial"/>
                <w:szCs w:val="22"/>
                <w:lang w:eastAsia="en-AU"/>
              </w:rPr>
              <w:t xml:space="preserve">line test, however </w:t>
            </w:r>
            <w:r w:rsidR="00AC3159">
              <w:rPr>
                <w:rFonts w:cs="Arial"/>
                <w:szCs w:val="22"/>
                <w:lang w:eastAsia="en-AU"/>
              </w:rPr>
              <w:t xml:space="preserve">it </w:t>
            </w:r>
            <w:r>
              <w:rPr>
                <w:rFonts w:cs="Arial"/>
                <w:szCs w:val="22"/>
                <w:lang w:eastAsia="en-AU"/>
              </w:rPr>
              <w:t>also considers a 15-year bright</w:t>
            </w:r>
            <w:r w:rsidR="009914EA">
              <w:rPr>
                <w:rFonts w:cs="Arial"/>
                <w:szCs w:val="22"/>
                <w:lang w:eastAsia="en-AU"/>
              </w:rPr>
              <w:t>-</w:t>
            </w:r>
            <w:r>
              <w:rPr>
                <w:rFonts w:cs="Arial"/>
                <w:szCs w:val="22"/>
                <w:lang w:eastAsia="en-AU"/>
              </w:rPr>
              <w:t xml:space="preserve">line test is </w:t>
            </w:r>
            <w:r w:rsidR="00AC3159">
              <w:rPr>
                <w:rFonts w:cs="Arial"/>
                <w:szCs w:val="22"/>
                <w:lang w:eastAsia="en-AU"/>
              </w:rPr>
              <w:t>superior to the status quo</w:t>
            </w:r>
            <w:r w:rsidR="008D7F5D">
              <w:rPr>
                <w:rFonts w:cs="Arial"/>
                <w:szCs w:val="22"/>
                <w:lang w:eastAsia="en-AU"/>
              </w:rPr>
              <w:t>,</w:t>
            </w:r>
            <w:r w:rsidR="00AC3159">
              <w:rPr>
                <w:rFonts w:cs="Arial"/>
                <w:szCs w:val="22"/>
                <w:lang w:eastAsia="en-AU"/>
              </w:rPr>
              <w:t xml:space="preserve"> as it </w:t>
            </w:r>
            <w:r>
              <w:rPr>
                <w:rFonts w:cs="Arial"/>
                <w:szCs w:val="22"/>
                <w:lang w:eastAsia="en-AU"/>
              </w:rPr>
              <w:t xml:space="preserve">would </w:t>
            </w:r>
            <w:r>
              <w:rPr>
                <w:rFonts w:cs="Arial"/>
                <w:szCs w:val="22"/>
              </w:rPr>
              <w:t xml:space="preserve">help meet some of the Government’s housing market objectives - but not to the same extent as a 20-year </w:t>
            </w:r>
            <w:r w:rsidR="00AC3159">
              <w:rPr>
                <w:rFonts w:cs="Arial"/>
                <w:szCs w:val="22"/>
              </w:rPr>
              <w:t>bright</w:t>
            </w:r>
            <w:r w:rsidR="009914EA">
              <w:rPr>
                <w:rFonts w:cs="Arial"/>
                <w:szCs w:val="22"/>
              </w:rPr>
              <w:t>-</w:t>
            </w:r>
            <w:r w:rsidR="00AC3159">
              <w:rPr>
                <w:rFonts w:cs="Arial"/>
                <w:szCs w:val="22"/>
              </w:rPr>
              <w:t>line test</w:t>
            </w:r>
            <w:r>
              <w:rPr>
                <w:rFonts w:cs="Arial"/>
                <w:szCs w:val="22"/>
              </w:rPr>
              <w:t>.</w:t>
            </w:r>
            <w:r>
              <w:rPr>
                <w:rFonts w:cs="Arial"/>
                <w:szCs w:val="22"/>
                <w:lang w:eastAsia="en-AU"/>
              </w:rPr>
              <w:t xml:space="preserve"> </w:t>
            </w:r>
            <w:r w:rsidR="00AC3159">
              <w:rPr>
                <w:rFonts w:cs="Arial"/>
                <w:szCs w:val="22"/>
                <w:lang w:eastAsia="en-AU"/>
              </w:rPr>
              <w:t>In the time available, the Treasury has not formed a view on whether a 10-year bright</w:t>
            </w:r>
            <w:r w:rsidR="009914EA">
              <w:rPr>
                <w:rFonts w:cs="Arial"/>
                <w:szCs w:val="22"/>
                <w:lang w:eastAsia="en-AU"/>
              </w:rPr>
              <w:t>-</w:t>
            </w:r>
            <w:r w:rsidR="00AC3159">
              <w:rPr>
                <w:rFonts w:cs="Arial"/>
                <w:szCs w:val="22"/>
                <w:lang w:eastAsia="en-AU"/>
              </w:rPr>
              <w:t>line test is preferable to the status quo.</w:t>
            </w:r>
          </w:p>
          <w:p w14:paraId="046F5658" w14:textId="78F60B13" w:rsidR="002E3CD5" w:rsidRDefault="002E3CD5" w:rsidP="00AC667E">
            <w:pPr>
              <w:spacing w:after="218" w:line="240" w:lineRule="auto"/>
            </w:pPr>
            <w:r>
              <w:t xml:space="preserve">The Treasury does not recommend </w:t>
            </w:r>
            <w:r w:rsidR="00312E66">
              <w:t xml:space="preserve">providing an exemption from the extended or </w:t>
            </w:r>
            <w:r w:rsidR="008D7F5D">
              <w:t>existing bright</w:t>
            </w:r>
            <w:r w:rsidR="00312E66">
              <w:t>-</w:t>
            </w:r>
            <w:r w:rsidR="00312E66" w:rsidRPr="000F45B4">
              <w:rPr>
                <w:rFonts w:cs="Arial"/>
                <w:szCs w:val="22"/>
                <w:lang w:eastAsia="en-AU"/>
              </w:rPr>
              <w:t>line</w:t>
            </w:r>
            <w:r w:rsidR="00312E66">
              <w:t xml:space="preserve"> test for </w:t>
            </w:r>
            <w:r>
              <w:t>early investors in newly constructed homes. An exemption comes with additional administrative and compliance costs</w:t>
            </w:r>
            <w:r w:rsidR="005F6E3A">
              <w:t>,</w:t>
            </w:r>
            <w:r>
              <w:t xml:space="preserve"> and over time reduces the coherence of the tax system. While increasing housing supply is important, the Treasury considers there are likely to be better ways to directly support supply, for example through an explicit subsidy for developers. </w:t>
            </w:r>
            <w:r w:rsidR="009914EA">
              <w:t>If the Government does proceed with an exemption, the Treasury prefers that exempt houses remain subject to the 5 year bright-line rule.</w:t>
            </w:r>
          </w:p>
          <w:p w14:paraId="3E5015C2" w14:textId="77777777" w:rsidR="002E3CD5" w:rsidRPr="00905515" w:rsidRDefault="002E3CD5" w:rsidP="00E14877">
            <w:pPr>
              <w:spacing w:before="327" w:after="218" w:line="240" w:lineRule="auto"/>
              <w:rPr>
                <w:i/>
              </w:rPr>
            </w:pPr>
            <w:r w:rsidRPr="00905515">
              <w:rPr>
                <w:i/>
              </w:rPr>
              <w:t xml:space="preserve">Interest deductibility </w:t>
            </w:r>
          </w:p>
          <w:p w14:paraId="215F7843" w14:textId="77777777" w:rsidR="002E3CD5" w:rsidRDefault="002E3CD5" w:rsidP="00AC667E">
            <w:pPr>
              <w:spacing w:after="218" w:line="240" w:lineRule="auto"/>
            </w:pPr>
            <w:r>
              <w:t xml:space="preserve">Given time constraints and lack of analysis, the Treasury does not recommend progressing the interest deductibility </w:t>
            </w:r>
            <w:r w:rsidRPr="000F45B4">
              <w:rPr>
                <w:rFonts w:cs="Arial"/>
                <w:szCs w:val="22"/>
                <w:lang w:eastAsia="en-AU"/>
              </w:rPr>
              <w:t>proposal</w:t>
            </w:r>
            <w:r>
              <w:t xml:space="preserve"> without further analysis. The Treasury recommends further regulatory impact analysis and consultation be undertaken before final decisions are made on this measure.</w:t>
            </w:r>
          </w:p>
          <w:p w14:paraId="66957270" w14:textId="77777777" w:rsidR="002E3CD5" w:rsidRPr="007B090A" w:rsidRDefault="002E3CD5" w:rsidP="00AC667E">
            <w:pPr>
              <w:spacing w:after="218" w:line="240" w:lineRule="auto"/>
            </w:pPr>
            <w:r>
              <w:t xml:space="preserve">This Regulatory Impact </w:t>
            </w:r>
            <w:r w:rsidRPr="000F45B4">
              <w:rPr>
                <w:rFonts w:cs="Arial"/>
                <w:szCs w:val="22"/>
                <w:lang w:eastAsia="en-AU"/>
              </w:rPr>
              <w:t>Statement</w:t>
            </w:r>
            <w:r>
              <w:t xml:space="preserve"> addresses the extension to the bright-line test only. </w:t>
            </w:r>
          </w:p>
        </w:tc>
      </w:tr>
    </w:tbl>
    <w:p w14:paraId="4A713D34" w14:textId="77777777" w:rsidR="002E3CD5" w:rsidRPr="00B2239E" w:rsidRDefault="002E3CD5" w:rsidP="001779A9">
      <w:pPr>
        <w:pStyle w:val="Heading2"/>
      </w:pPr>
      <w:r w:rsidRPr="00B2239E">
        <w:lastRenderedPageBreak/>
        <w:t>Section B</w:t>
      </w:r>
      <w:r>
        <w:t xml:space="preserve">: </w:t>
      </w:r>
      <w:r w:rsidRPr="00B2239E">
        <w:t xml:space="preserve">Summary Impacts: Benefits and costs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E3CD5" w:rsidRPr="00210C3D" w14:paraId="1467D449" w14:textId="77777777" w:rsidTr="00AC667E">
        <w:trPr>
          <w:trHeight w:val="197"/>
        </w:trPr>
        <w:tc>
          <w:tcPr>
            <w:tcW w:w="9072" w:type="dxa"/>
            <w:shd w:val="clear" w:color="auto" w:fill="99CDDD"/>
          </w:tcPr>
          <w:p w14:paraId="7545DE23" w14:textId="77777777" w:rsidR="002E3CD5" w:rsidRPr="00210C3D" w:rsidRDefault="002E3CD5" w:rsidP="00AC667E">
            <w:pPr>
              <w:keepNext/>
              <w:spacing w:before="54" w:after="54" w:line="240" w:lineRule="auto"/>
              <w:rPr>
                <w:rFonts w:ascii="Arial Narrow" w:hAnsi="Arial Narrow"/>
                <w:b/>
                <w:i/>
                <w:szCs w:val="22"/>
              </w:rPr>
            </w:pPr>
            <w:r w:rsidRPr="00210C3D">
              <w:rPr>
                <w:b/>
                <w:szCs w:val="22"/>
              </w:rPr>
              <w:t>Who are the main expected beneficiaries</w:t>
            </w:r>
            <w:r>
              <w:rPr>
                <w:b/>
                <w:szCs w:val="22"/>
              </w:rPr>
              <w:t xml:space="preserve"> </w:t>
            </w:r>
            <w:r w:rsidRPr="00210C3D">
              <w:rPr>
                <w:b/>
                <w:szCs w:val="22"/>
              </w:rPr>
              <w:t>and what is the nature of the expected benefit?</w:t>
            </w:r>
          </w:p>
        </w:tc>
      </w:tr>
      <w:tr w:rsidR="002E3CD5" w:rsidRPr="00210C3D" w14:paraId="0E5448B5" w14:textId="77777777" w:rsidTr="00AC667E">
        <w:trPr>
          <w:trHeight w:val="699"/>
        </w:trPr>
        <w:tc>
          <w:tcPr>
            <w:tcW w:w="9072" w:type="dxa"/>
            <w:shd w:val="clear" w:color="auto" w:fill="FFFFFF"/>
          </w:tcPr>
          <w:p w14:paraId="6E47B9D3" w14:textId="77777777" w:rsidR="002E3CD5" w:rsidRPr="00905515" w:rsidRDefault="002E3CD5" w:rsidP="00C167FA">
            <w:pPr>
              <w:spacing w:before="218" w:after="218" w:line="240" w:lineRule="auto"/>
              <w:rPr>
                <w:i/>
              </w:rPr>
            </w:pPr>
            <w:r>
              <w:rPr>
                <w:b/>
              </w:rPr>
              <w:t xml:space="preserve">Bright-line </w:t>
            </w:r>
            <w:r w:rsidR="00AC3159">
              <w:rPr>
                <w:b/>
              </w:rPr>
              <w:t xml:space="preserve">test </w:t>
            </w:r>
            <w:r>
              <w:rPr>
                <w:b/>
              </w:rPr>
              <w:t>extension from 5 to 20 years (no new build exemption)</w:t>
            </w:r>
          </w:p>
          <w:p w14:paraId="50B0D487" w14:textId="77777777" w:rsidR="002E3CD5" w:rsidRDefault="002E3CD5" w:rsidP="00AC667E">
            <w:pPr>
              <w:spacing w:after="218" w:line="240" w:lineRule="auto"/>
            </w:pPr>
            <w:r>
              <w:t>The main benefit of the proposal is distributional. The primary beneficiar</w:t>
            </w:r>
            <w:r w:rsidR="00E52224">
              <w:t>ies</w:t>
            </w:r>
            <w:r>
              <w:t xml:space="preserve"> of extending the bright-line </w:t>
            </w:r>
            <w:r w:rsidRPr="000F45B4">
              <w:rPr>
                <w:rFonts w:cs="Arial"/>
                <w:szCs w:val="22"/>
                <w:lang w:eastAsia="en-AU"/>
              </w:rPr>
              <w:t>period</w:t>
            </w:r>
            <w:r>
              <w:t xml:space="preserve"> are new owner-occupiers, to the extent these measures result in </w:t>
            </w:r>
            <w:r>
              <w:lastRenderedPageBreak/>
              <w:t>lower house prices</w:t>
            </w:r>
            <w:r w:rsidR="002C7A88">
              <w:t xml:space="preserve"> than otherwise</w:t>
            </w:r>
            <w:r>
              <w:t xml:space="preserve">. The distributional benefits will also depend on the use of additional Crown revenue to the extent that additional tax is paid as a result of these measures. </w:t>
            </w:r>
          </w:p>
          <w:p w14:paraId="2AD62911" w14:textId="77777777" w:rsidR="002E3CD5" w:rsidRDefault="002E3CD5" w:rsidP="00AC667E">
            <w:pPr>
              <w:spacing w:after="218" w:line="240" w:lineRule="auto"/>
            </w:pPr>
            <w:r>
              <w:t>There are also wider system benefits: efficiency increases as more economic income is taxed</w:t>
            </w:r>
            <w:r w:rsidRPr="000D4A11">
              <w:t>, and ‘lock-in’ impacts are potentially mitigated</w:t>
            </w:r>
            <w:r>
              <w:t xml:space="preserve"> around the five year mark; horizontal equity improves as the tax treatment of capital income is brought into closer alignment with labour income; and vertical equity improves as the progressivity of the tax system increases. </w:t>
            </w:r>
          </w:p>
          <w:p w14:paraId="74F24BD6" w14:textId="77777777" w:rsidR="002E3CD5" w:rsidRPr="00210C3D" w:rsidRDefault="002C7A88" w:rsidP="00AC667E">
            <w:pPr>
              <w:spacing w:after="218" w:line="240" w:lineRule="auto"/>
            </w:pPr>
            <w:r>
              <w:t>These benefits would arise to a lesser extent with a bright-line extension to 10 or 15 years. A shorter extension is likely to reduce lock-in around the 5-year mark less, but create less lock-in for houses held for longer periods.</w:t>
            </w:r>
          </w:p>
        </w:tc>
      </w:tr>
    </w:tbl>
    <w:p w14:paraId="5275F3E3" w14:textId="77777777" w:rsidR="002E3CD5" w:rsidRPr="00AA6A54" w:rsidRDefault="002E3CD5" w:rsidP="002E3CD5">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E3CD5" w:rsidRPr="00210C3D" w14:paraId="1001D3EB" w14:textId="77777777" w:rsidTr="00AC667E">
        <w:trPr>
          <w:trHeight w:val="224"/>
        </w:trPr>
        <w:tc>
          <w:tcPr>
            <w:tcW w:w="9072" w:type="dxa"/>
            <w:shd w:val="clear" w:color="auto" w:fill="99CDDD"/>
          </w:tcPr>
          <w:p w14:paraId="121A24C8" w14:textId="77777777" w:rsidR="002E3CD5" w:rsidRPr="00210C3D" w:rsidRDefault="002E3CD5" w:rsidP="00AC667E">
            <w:pPr>
              <w:keepNext/>
              <w:spacing w:before="54" w:after="54" w:line="240" w:lineRule="auto"/>
              <w:rPr>
                <w:b/>
                <w:szCs w:val="22"/>
              </w:rPr>
            </w:pPr>
            <w:r w:rsidRPr="00210C3D">
              <w:rPr>
                <w:b/>
                <w:szCs w:val="22"/>
              </w:rPr>
              <w:t xml:space="preserve">Where do the costs fall?  </w:t>
            </w:r>
          </w:p>
        </w:tc>
      </w:tr>
      <w:tr w:rsidR="002E3CD5" w:rsidRPr="00210C3D" w14:paraId="049810BA" w14:textId="77777777" w:rsidTr="00AC667E">
        <w:tc>
          <w:tcPr>
            <w:tcW w:w="9072" w:type="dxa"/>
            <w:shd w:val="clear" w:color="auto" w:fill="FFFFFF"/>
          </w:tcPr>
          <w:p w14:paraId="312B87E2" w14:textId="77777777" w:rsidR="002E3CD5" w:rsidRPr="002B5FC4" w:rsidRDefault="002E3CD5" w:rsidP="00C167FA">
            <w:pPr>
              <w:spacing w:before="218" w:after="218" w:line="240" w:lineRule="auto"/>
              <w:rPr>
                <w:i/>
              </w:rPr>
            </w:pPr>
            <w:r>
              <w:rPr>
                <w:b/>
              </w:rPr>
              <w:t>Bright-line extension from 5 to 20 years (no new build exemption)</w:t>
            </w:r>
          </w:p>
          <w:p w14:paraId="6E08B4B4" w14:textId="741453B5" w:rsidR="002C7A88" w:rsidRDefault="002E3CD5" w:rsidP="002C7A88">
            <w:pPr>
              <w:spacing w:after="218" w:line="240" w:lineRule="auto"/>
            </w:pPr>
            <w:r>
              <w:t xml:space="preserve">The costs of extending the bright-line period </w:t>
            </w:r>
            <w:r w:rsidR="002C7A88">
              <w:t xml:space="preserve">to 20 years </w:t>
            </w:r>
            <w:r>
              <w:t>fall primarily on residential property investors and potentially renters, although there is considerable uncertainty about the magnitude of the impact</w:t>
            </w:r>
            <w:r w:rsidR="001B3F83">
              <w:t xml:space="preserve"> on rents</w:t>
            </w:r>
            <w:r>
              <w:t xml:space="preserve">. </w:t>
            </w:r>
            <w:r w:rsidR="002C7A88">
              <w:t>These costs would be less for a shorter extension.</w:t>
            </w:r>
          </w:p>
          <w:p w14:paraId="5F0941CB" w14:textId="6CF599F7" w:rsidR="002E3CD5" w:rsidRDefault="002E3CD5" w:rsidP="00AC667E">
            <w:pPr>
              <w:spacing w:after="218" w:line="240" w:lineRule="auto"/>
            </w:pPr>
            <w:r>
              <w:t xml:space="preserve">To the extent that house prices are lower than otherwise, the costs would fall on existing residential property investors. </w:t>
            </w:r>
            <w:r w:rsidR="00243387">
              <w:t>Expected after</w:t>
            </w:r>
            <w:r>
              <w:t xml:space="preserve">-tax returns are not expected to change for new residential property investors, although </w:t>
            </w:r>
            <w:r w:rsidR="001B3F83">
              <w:t>investors</w:t>
            </w:r>
            <w:r>
              <w:t xml:space="preserve"> may face a higher </w:t>
            </w:r>
            <w:r w:rsidR="001B3F83">
              <w:t xml:space="preserve">than expected </w:t>
            </w:r>
            <w:r>
              <w:t xml:space="preserve">ex-post tax liability for selling within the period if there are unexpected capital gains. </w:t>
            </w:r>
          </w:p>
          <w:p w14:paraId="012DF1E0" w14:textId="1C98D2E2" w:rsidR="002E3CD5" w:rsidRDefault="002E3CD5" w:rsidP="00AC667E">
            <w:pPr>
              <w:spacing w:after="218" w:line="240" w:lineRule="auto"/>
            </w:pPr>
            <w:r>
              <w:t xml:space="preserve">To the extent that rents are higher than otherwise, the costs would fall on renters who do not purchase a home. This would disproportionately affect low-income households, younger people, </w:t>
            </w:r>
            <w:r w:rsidR="00231FD6">
              <w:t>Māori</w:t>
            </w:r>
            <w:r>
              <w:t xml:space="preserve">, and Pacific peoples. Extending the bright-line could decrease the supply of rentals over the long-term. There are many factors affecting rents beyond rental supply, including renters’ income levels. This means the impact an extension will have on rents is difficult to quantify, but there is a risk there could be upward pressure. </w:t>
            </w:r>
          </w:p>
          <w:p w14:paraId="5AA4CBC8" w14:textId="77777777" w:rsidR="002E3CD5" w:rsidRDefault="002E3CD5" w:rsidP="00AC667E">
            <w:pPr>
              <w:spacing w:after="218" w:line="240" w:lineRule="auto"/>
            </w:pPr>
            <w:r>
              <w:t xml:space="preserve">There would also be additional compliance and administrative costs to the extent that more taxpayers are captured by the bright-line extension. </w:t>
            </w:r>
          </w:p>
          <w:p w14:paraId="1F89CD5C" w14:textId="2FC2E0C7" w:rsidR="002E3CD5" w:rsidRPr="00210C3D" w:rsidRDefault="002E3CD5" w:rsidP="00AC667E">
            <w:pPr>
              <w:spacing w:after="218" w:line="240" w:lineRule="auto"/>
            </w:pPr>
            <w:r>
              <w:t xml:space="preserve">Lower house prices than otherwise </w:t>
            </w:r>
            <w:r w:rsidR="002C7A88">
              <w:t xml:space="preserve">would </w:t>
            </w:r>
            <w:r w:rsidR="00486CE3">
              <w:t xml:space="preserve">also </w:t>
            </w:r>
            <w:r>
              <w:t xml:space="preserve">reduce the housing wealth of existing housing owner-occupiers. However, this would not necessarily have direct impacts on their consumption, although </w:t>
            </w:r>
            <w:r w:rsidR="00E52224">
              <w:t xml:space="preserve">it </w:t>
            </w:r>
            <w:r>
              <w:t>may have impacts for those that wish to reduce their housing consumption</w:t>
            </w:r>
            <w:r w:rsidR="002C7A88">
              <w:t xml:space="preserve"> (as they would realise less wealth from down-sizing).</w:t>
            </w:r>
          </w:p>
        </w:tc>
      </w:tr>
    </w:tbl>
    <w:p w14:paraId="58C65BED" w14:textId="77777777" w:rsidR="002E3CD5" w:rsidRPr="00210C3D" w:rsidRDefault="002E3CD5" w:rsidP="002E3CD5">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E3CD5" w:rsidRPr="00210C3D" w14:paraId="368AE1AF" w14:textId="77777777" w:rsidTr="00AC667E">
        <w:tc>
          <w:tcPr>
            <w:tcW w:w="9072" w:type="dxa"/>
            <w:shd w:val="clear" w:color="auto" w:fill="99CDDD"/>
          </w:tcPr>
          <w:p w14:paraId="4CC18151" w14:textId="77777777" w:rsidR="002E3CD5" w:rsidRPr="00210C3D" w:rsidRDefault="002E3CD5" w:rsidP="00AC667E">
            <w:pPr>
              <w:keepNext/>
              <w:spacing w:before="54" w:after="54" w:line="240" w:lineRule="auto"/>
              <w:rPr>
                <w:b/>
                <w:i/>
                <w:szCs w:val="22"/>
              </w:rPr>
            </w:pPr>
            <w:r w:rsidRPr="00210C3D">
              <w:rPr>
                <w:b/>
                <w:szCs w:val="22"/>
              </w:rPr>
              <w:t>What are the likely risks and unintended impacts</w:t>
            </w:r>
            <w:r>
              <w:rPr>
                <w:b/>
                <w:szCs w:val="22"/>
              </w:rPr>
              <w:t>? H</w:t>
            </w:r>
            <w:r w:rsidRPr="00210C3D">
              <w:rPr>
                <w:b/>
                <w:szCs w:val="22"/>
              </w:rPr>
              <w:t xml:space="preserve">ow significant are they and how will they be minimised or mitigated? </w:t>
            </w:r>
          </w:p>
        </w:tc>
      </w:tr>
      <w:tr w:rsidR="002E3CD5" w:rsidRPr="00210C3D" w14:paraId="08590ED2" w14:textId="77777777" w:rsidTr="00AC667E">
        <w:tc>
          <w:tcPr>
            <w:tcW w:w="9072" w:type="dxa"/>
            <w:shd w:val="clear" w:color="auto" w:fill="FFFFFF"/>
          </w:tcPr>
          <w:p w14:paraId="0900C793" w14:textId="43ECD955" w:rsidR="002E3CD5" w:rsidRDefault="002E3CD5" w:rsidP="00E14877">
            <w:pPr>
              <w:spacing w:after="218" w:line="240" w:lineRule="auto"/>
            </w:pPr>
            <w:r>
              <w:t>There is a general risk associated with analysing the impacts of th</w:t>
            </w:r>
            <w:r w:rsidR="00AC3159">
              <w:t>is measure</w:t>
            </w:r>
            <w:r>
              <w:t xml:space="preserve"> in a condensed timeframe and in isolation from the supply-side proposals being considered by the Government. These interventions are complex, and their interactions are liable to produce unforeseen outcomes. </w:t>
            </w:r>
          </w:p>
          <w:p w14:paraId="7DF51370" w14:textId="77777777" w:rsidR="002E3CD5" w:rsidRDefault="002E3CD5" w:rsidP="00AC667E">
            <w:pPr>
              <w:spacing w:after="218" w:line="240" w:lineRule="auto"/>
              <w:rPr>
                <w:b/>
              </w:rPr>
            </w:pPr>
            <w:r>
              <w:rPr>
                <w:b/>
              </w:rPr>
              <w:t xml:space="preserve">Bright-line extension: </w:t>
            </w:r>
          </w:p>
          <w:p w14:paraId="3DF7A301" w14:textId="77777777" w:rsidR="002E3CD5" w:rsidRPr="00905515" w:rsidRDefault="002E3CD5" w:rsidP="00E14877">
            <w:pPr>
              <w:spacing w:before="327" w:after="218" w:line="240" w:lineRule="auto"/>
              <w:rPr>
                <w:i/>
              </w:rPr>
            </w:pPr>
            <w:r>
              <w:rPr>
                <w:i/>
              </w:rPr>
              <w:t>Lock-in effects</w:t>
            </w:r>
          </w:p>
          <w:p w14:paraId="603525D1" w14:textId="77777777" w:rsidR="00CF359D" w:rsidRDefault="002E3CD5" w:rsidP="00CF359D">
            <w:pPr>
              <w:spacing w:after="218" w:line="240" w:lineRule="auto"/>
            </w:pPr>
            <w:r w:rsidRPr="00AE3979">
              <w:t xml:space="preserve">Extending the bright-line test would </w:t>
            </w:r>
            <w:r>
              <w:t>impact</w:t>
            </w:r>
            <w:r w:rsidRPr="00AE3979">
              <w:t xml:space="preserve"> the ‘lock-in’ effect for properties held for a longer period, compared with the status quo.</w:t>
            </w:r>
            <w:r>
              <w:t xml:space="preserve"> The lock-in effect refers to the incentive </w:t>
            </w:r>
            <w:r>
              <w:lastRenderedPageBreak/>
              <w:t xml:space="preserve">investors have to hold onto property until the bright-line period has expired to avoid a tax liability. </w:t>
            </w:r>
            <w:r w:rsidR="00CF359D">
              <w:t>In theory, the lock-in effect reduces housing liquidity.</w:t>
            </w:r>
          </w:p>
          <w:p w14:paraId="71F8B590" w14:textId="13FA4B89" w:rsidR="002E3CD5" w:rsidRDefault="002E3CD5" w:rsidP="00AC667E">
            <w:pPr>
              <w:spacing w:after="218" w:line="240" w:lineRule="auto"/>
            </w:pPr>
            <w:r>
              <w:t>The strength of the lock-in effect increases</w:t>
            </w:r>
            <w:r w:rsidR="00486CE3">
              <w:t xml:space="preserve"> with a longer bright-line period</w:t>
            </w:r>
            <w:r>
              <w:t xml:space="preserve">, because the potential capital gain </w:t>
            </w:r>
            <w:r w:rsidR="00486CE3">
              <w:t>would be relatively large</w:t>
            </w:r>
            <w:r w:rsidR="00C054D2">
              <w:t>r</w:t>
            </w:r>
            <w:r>
              <w:t xml:space="preserve">. </w:t>
            </w:r>
            <w:r w:rsidR="002C7A88">
              <w:t xml:space="preserve">However, </w:t>
            </w:r>
            <w:r w:rsidR="00F624B9">
              <w:t>a longer bright-line period would</w:t>
            </w:r>
            <w:r w:rsidR="002C7A88">
              <w:t xml:space="preserve"> reduce lock-in in the early years </w:t>
            </w:r>
            <w:r w:rsidR="00F624B9">
              <w:t>as compared to status quo</w:t>
            </w:r>
            <w:r w:rsidR="00541BE0">
              <w:t xml:space="preserve"> (or a shorter period)</w:t>
            </w:r>
            <w:r w:rsidR="00F624B9">
              <w:t xml:space="preserve">, as people may be less willing to hold onto the property for a much longer period. </w:t>
            </w:r>
            <w:r w:rsidR="00541BE0">
              <w:t>Due to these competing effects</w:t>
            </w:r>
            <w:r w:rsidR="00C054D2">
              <w:t>,</w:t>
            </w:r>
            <w:r w:rsidR="00541BE0">
              <w:t xml:space="preserve"> i</w:t>
            </w:r>
            <w:r w:rsidR="00486CE3">
              <w:t xml:space="preserve">t is not possible to say what period minimises lock-in. </w:t>
            </w:r>
          </w:p>
          <w:p w14:paraId="6D5A5211" w14:textId="77777777" w:rsidR="002E3CD5" w:rsidRDefault="002E3CD5" w:rsidP="00AC667E">
            <w:pPr>
              <w:spacing w:after="218" w:line="240" w:lineRule="auto"/>
            </w:pPr>
            <w:r>
              <w:t xml:space="preserve">While on balance, we do not expect lock-in to have a significant </w:t>
            </w:r>
            <w:r w:rsidR="00F624B9">
              <w:t>impact on housing utilisation</w:t>
            </w:r>
            <w:r>
              <w:t xml:space="preserve">, there is a risk that extending the bright-line could lead to a more significant lock-in impact than anticipated and/or greater economic costs than anticipated. </w:t>
            </w:r>
          </w:p>
          <w:p w14:paraId="3D0B40A6" w14:textId="77777777" w:rsidR="002E3CD5" w:rsidRPr="00905515" w:rsidRDefault="002E3CD5" w:rsidP="00AC667E">
            <w:pPr>
              <w:spacing w:after="218" w:line="240" w:lineRule="auto"/>
              <w:rPr>
                <w:i/>
              </w:rPr>
            </w:pPr>
            <w:r>
              <w:rPr>
                <w:i/>
              </w:rPr>
              <w:t>Long-run supply issues</w:t>
            </w:r>
          </w:p>
          <w:p w14:paraId="73BBFE7D" w14:textId="4382A7CE" w:rsidR="002E3CD5" w:rsidRDefault="002E3CD5" w:rsidP="00AC667E">
            <w:pPr>
              <w:spacing w:after="218" w:line="240" w:lineRule="auto"/>
            </w:pPr>
            <w:r>
              <w:t xml:space="preserve">Extending the bright-line </w:t>
            </w:r>
            <w:r w:rsidR="00CF359D">
              <w:t xml:space="preserve">period </w:t>
            </w:r>
            <w:r>
              <w:t xml:space="preserve">may lead to fewer houses being built in the long-run than otherwise would </w:t>
            </w:r>
            <w:r w:rsidR="00AC3159">
              <w:t xml:space="preserve">be </w:t>
            </w:r>
            <w:r>
              <w:t>under the status quo. There is a risk that any decrease in supply will partially or fully offset the extension’s short to medium-term decrease in house price growth over the long-term. Higher prices from lower supply diminishes the measure’s benefits to new owner-occupiers</w:t>
            </w:r>
            <w:r w:rsidR="000616A7">
              <w:t>,</w:t>
            </w:r>
            <w:r w:rsidR="00CF359D">
              <w:t xml:space="preserve"> </w:t>
            </w:r>
            <w:r>
              <w:t xml:space="preserve">and </w:t>
            </w:r>
            <w:r w:rsidR="00CF359D">
              <w:t xml:space="preserve">lower rental supply </w:t>
            </w:r>
            <w:r>
              <w:t>potentially increase</w:t>
            </w:r>
            <w:r w:rsidR="00CF359D">
              <w:t>s</w:t>
            </w:r>
            <w:r>
              <w:t xml:space="preserve"> rents. </w:t>
            </w:r>
          </w:p>
          <w:p w14:paraId="0E1EE79E" w14:textId="77777777" w:rsidR="002E3CD5" w:rsidRDefault="002E3CD5" w:rsidP="00AC667E">
            <w:pPr>
              <w:spacing w:after="218" w:line="240" w:lineRule="auto"/>
              <w:rPr>
                <w:i/>
              </w:rPr>
            </w:pPr>
            <w:r>
              <w:rPr>
                <w:i/>
              </w:rPr>
              <w:t>Rental market affordability</w:t>
            </w:r>
          </w:p>
          <w:p w14:paraId="52A84295" w14:textId="77777777" w:rsidR="002E3CD5" w:rsidRDefault="002E3CD5" w:rsidP="00AC667E">
            <w:pPr>
              <w:spacing w:after="218" w:line="240" w:lineRule="auto"/>
            </w:pPr>
            <w:r>
              <w:t xml:space="preserve">Any reduction in the supply of residential rental properties, due to the reduction in investors buying and renting out property, may put upward pressure on rents. It is possible that a higher level of homeownership among former renters does not completely offset the pressure on rental prices, as owner-occupiers </w:t>
            </w:r>
            <w:r w:rsidR="004D3B77">
              <w:t>may</w:t>
            </w:r>
            <w:r>
              <w:t xml:space="preserve"> have smaller households. Alternatively, to the extent that rents are set by income levels, they may not increase.</w:t>
            </w:r>
          </w:p>
          <w:p w14:paraId="1C0F3216" w14:textId="77777777" w:rsidR="002E3CD5" w:rsidRPr="006E0F54" w:rsidRDefault="002E3CD5" w:rsidP="00AC667E">
            <w:pPr>
              <w:spacing w:after="218" w:line="240" w:lineRule="auto"/>
            </w:pPr>
            <w:r w:rsidRPr="006E0F54">
              <w:rPr>
                <w:b/>
              </w:rPr>
              <w:t>Bright-line extension (new build exemption):</w:t>
            </w:r>
          </w:p>
          <w:p w14:paraId="0E01354F" w14:textId="77777777" w:rsidR="002E3CD5" w:rsidRPr="006E0F54" w:rsidRDefault="002E3CD5" w:rsidP="00AC667E">
            <w:pPr>
              <w:spacing w:after="218" w:line="240" w:lineRule="auto"/>
            </w:pPr>
            <w:r w:rsidRPr="006E0F54">
              <w:t>Exempting new builds from an extended bright-line test could go some way to mitigating the risks associated with an extension. Most of the risks associated with a bright-line extension relate to the uncertainty around the magnitude of the extension’s costs and benefits, and any impacts on supply and rents. An exemption mitigates these risks by weakening the costs and benefits</w:t>
            </w:r>
            <w:r w:rsidR="004D3B77">
              <w:t>,</w:t>
            </w:r>
            <w:r w:rsidRPr="006E0F54">
              <w:t xml:space="preserve"> meaning an extension with an exemption would produce an outcome closer to the status quo than an extension without an exemption. </w:t>
            </w:r>
          </w:p>
          <w:p w14:paraId="5F66DDD5" w14:textId="77777777" w:rsidR="002E3CD5" w:rsidRPr="00210C3D" w:rsidRDefault="002E3CD5" w:rsidP="00AC667E">
            <w:pPr>
              <w:spacing w:after="218" w:line="240" w:lineRule="auto"/>
            </w:pPr>
            <w:r w:rsidRPr="006E0F54">
              <w:t>This comes at the cost of lower expected benefits, and additional compliance and administrative costs.</w:t>
            </w:r>
            <w:r>
              <w:t xml:space="preserve"> </w:t>
            </w:r>
          </w:p>
        </w:tc>
      </w:tr>
    </w:tbl>
    <w:p w14:paraId="5B9A4AFB" w14:textId="77777777" w:rsidR="002E3CD5" w:rsidRPr="008603C7" w:rsidRDefault="002E3CD5" w:rsidP="001779A9">
      <w:pPr>
        <w:pStyle w:val="Heading2"/>
      </w:pPr>
      <w:r w:rsidRPr="008603C7">
        <w:lastRenderedPageBreak/>
        <w:t>Section C</w:t>
      </w:r>
      <w:r>
        <w:t xml:space="preserve">: </w:t>
      </w:r>
      <w:r w:rsidRPr="008603C7">
        <w:t xml:space="preserve">Evidence certainty and quality assurance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E3CD5" w:rsidRPr="00210C3D" w14:paraId="0590C452" w14:textId="77777777" w:rsidTr="00AC667E">
        <w:trPr>
          <w:trHeight w:val="339"/>
        </w:trPr>
        <w:tc>
          <w:tcPr>
            <w:tcW w:w="9072" w:type="dxa"/>
            <w:shd w:val="clear" w:color="auto" w:fill="99CDDD"/>
          </w:tcPr>
          <w:p w14:paraId="493B5DF8" w14:textId="77777777" w:rsidR="002E3CD5" w:rsidRPr="00210C3D" w:rsidRDefault="002E3CD5" w:rsidP="00AC667E">
            <w:pPr>
              <w:keepNext/>
              <w:spacing w:before="54" w:after="54" w:line="240" w:lineRule="auto"/>
              <w:rPr>
                <w:b/>
                <w:szCs w:val="22"/>
              </w:rPr>
            </w:pPr>
            <w:r w:rsidRPr="00210C3D">
              <w:rPr>
                <w:b/>
                <w:szCs w:val="22"/>
              </w:rPr>
              <w:t xml:space="preserve">Agency rating of evidence certainty?  </w:t>
            </w:r>
          </w:p>
        </w:tc>
      </w:tr>
      <w:tr w:rsidR="002E3CD5" w:rsidRPr="00210C3D" w14:paraId="2381561A" w14:textId="77777777" w:rsidTr="00E14877">
        <w:trPr>
          <w:trHeight w:val="721"/>
        </w:trPr>
        <w:tc>
          <w:tcPr>
            <w:tcW w:w="9072" w:type="dxa"/>
            <w:shd w:val="clear" w:color="auto" w:fill="FFFFFF"/>
          </w:tcPr>
          <w:p w14:paraId="1DC82D5F" w14:textId="77777777" w:rsidR="002E3CD5" w:rsidRPr="00210C3D" w:rsidRDefault="002E3CD5" w:rsidP="00C167FA">
            <w:pPr>
              <w:spacing w:before="218" w:after="218" w:line="240" w:lineRule="auto"/>
            </w:pPr>
            <w:r>
              <w:t xml:space="preserve">There is a low rating of evidential certainty. This analysis has been prepared under significant time constraints and faces substantial data limitations. </w:t>
            </w:r>
            <w:r w:rsidR="00F624B9">
              <w:t>There are complex interactions between potential measures that have not been analysed.</w:t>
            </w:r>
          </w:p>
        </w:tc>
      </w:tr>
    </w:tbl>
    <w:p w14:paraId="33D0ECF3" w14:textId="77777777" w:rsidR="002E3CD5" w:rsidRPr="00210C3D" w:rsidRDefault="002E3CD5" w:rsidP="002E3CD5">
      <w:pPr>
        <w:spacing w:before="240" w:line="240" w:lineRule="auto"/>
        <w:rPr>
          <w:rFonts w:ascii="Arial Narrow" w:hAnsi="Arial Narrow"/>
          <w:i/>
          <w:szCs w:val="22"/>
        </w:rPr>
      </w:pPr>
      <w:r w:rsidRPr="00210C3D">
        <w:rPr>
          <w:i/>
          <w:szCs w:val="22"/>
        </w:rPr>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E3CD5" w:rsidRPr="00210C3D" w14:paraId="4E6B2406" w14:textId="77777777" w:rsidTr="00AC667E">
        <w:trPr>
          <w:trHeight w:val="77"/>
        </w:trPr>
        <w:tc>
          <w:tcPr>
            <w:tcW w:w="9072" w:type="dxa"/>
            <w:shd w:val="clear" w:color="auto" w:fill="99CDDD"/>
            <w:hideMark/>
          </w:tcPr>
          <w:p w14:paraId="711F0762" w14:textId="77777777" w:rsidR="002E3CD5" w:rsidRPr="00210C3D" w:rsidRDefault="002E3CD5" w:rsidP="00AC667E">
            <w:pPr>
              <w:keepNext/>
              <w:spacing w:before="54" w:after="54" w:line="240" w:lineRule="auto"/>
              <w:rPr>
                <w:szCs w:val="22"/>
              </w:rPr>
            </w:pPr>
            <w:r w:rsidRPr="00210C3D">
              <w:rPr>
                <w:szCs w:val="22"/>
              </w:rPr>
              <w:lastRenderedPageBreak/>
              <w:t>Quality Assurance Reviewing Agency:</w:t>
            </w:r>
          </w:p>
        </w:tc>
      </w:tr>
      <w:tr w:rsidR="002E3CD5" w:rsidRPr="00210C3D" w14:paraId="47A77E06" w14:textId="77777777" w:rsidTr="00AC667E">
        <w:trPr>
          <w:trHeight w:val="635"/>
        </w:trPr>
        <w:tc>
          <w:tcPr>
            <w:tcW w:w="9072" w:type="dxa"/>
            <w:shd w:val="clear" w:color="auto" w:fill="FFFFFF"/>
          </w:tcPr>
          <w:p w14:paraId="0486EFBB" w14:textId="7A92C757" w:rsidR="002E3CD5" w:rsidRPr="00210C3D" w:rsidRDefault="00AC3159" w:rsidP="00C167FA">
            <w:pPr>
              <w:spacing w:before="218" w:after="218" w:line="240" w:lineRule="auto"/>
            </w:pPr>
            <w:r w:rsidRPr="00952868">
              <w:t xml:space="preserve">The Treasury’s Regulatory Impact Analysis Team and Inland Revenue have reviewed the Regulatory Impact Statement (RIS) “Tax measures to moderate house price growth – extension of the bright-line test” produced by the Treasury and dated 5 March 2021. </w:t>
            </w:r>
          </w:p>
        </w:tc>
      </w:tr>
      <w:tr w:rsidR="002E3CD5" w:rsidRPr="00210C3D" w14:paraId="6592E54E" w14:textId="77777777" w:rsidTr="00AC667E">
        <w:trPr>
          <w:trHeight w:val="109"/>
        </w:trPr>
        <w:tc>
          <w:tcPr>
            <w:tcW w:w="9072" w:type="dxa"/>
            <w:shd w:val="clear" w:color="auto" w:fill="99CDDD"/>
          </w:tcPr>
          <w:p w14:paraId="7F9A82A5" w14:textId="77777777" w:rsidR="002E3CD5" w:rsidRPr="00210C3D" w:rsidRDefault="002E3CD5" w:rsidP="00AC667E">
            <w:pPr>
              <w:keepNext/>
              <w:spacing w:before="54" w:after="54" w:line="240" w:lineRule="auto"/>
              <w:rPr>
                <w:szCs w:val="22"/>
              </w:rPr>
            </w:pPr>
            <w:r w:rsidRPr="00210C3D">
              <w:rPr>
                <w:szCs w:val="22"/>
              </w:rPr>
              <w:t>Quality Assurance Assessment:</w:t>
            </w:r>
          </w:p>
        </w:tc>
      </w:tr>
      <w:tr w:rsidR="002E3CD5" w:rsidRPr="00210C3D" w14:paraId="78884A10" w14:textId="77777777" w:rsidTr="00AC667E">
        <w:trPr>
          <w:trHeight w:val="681"/>
        </w:trPr>
        <w:tc>
          <w:tcPr>
            <w:tcW w:w="9072" w:type="dxa"/>
            <w:shd w:val="clear" w:color="auto" w:fill="FFFFFF"/>
          </w:tcPr>
          <w:p w14:paraId="2A9D8872" w14:textId="0FF57483" w:rsidR="002E3CD5" w:rsidRPr="00210C3D" w:rsidRDefault="00AC3159" w:rsidP="00C167FA">
            <w:pPr>
              <w:spacing w:before="218" w:after="218" w:line="240" w:lineRule="auto"/>
            </w:pPr>
            <w:r w:rsidRPr="000616A7">
              <w:t xml:space="preserve">The review panel considers that it </w:t>
            </w:r>
            <w:r w:rsidRPr="000616A7">
              <w:rPr>
                <w:b/>
                <w:bCs/>
              </w:rPr>
              <w:t>partially meets</w:t>
            </w:r>
            <w:r w:rsidRPr="000616A7">
              <w:t xml:space="preserve"> the Quality Assurance criteria.</w:t>
            </w:r>
          </w:p>
        </w:tc>
      </w:tr>
      <w:tr w:rsidR="002E3CD5" w:rsidRPr="00210C3D" w14:paraId="2F623F4E" w14:textId="77777777" w:rsidTr="00AC667E">
        <w:trPr>
          <w:trHeight w:val="56"/>
        </w:trPr>
        <w:tc>
          <w:tcPr>
            <w:tcW w:w="9072" w:type="dxa"/>
            <w:shd w:val="clear" w:color="auto" w:fill="99CDDD"/>
          </w:tcPr>
          <w:p w14:paraId="1F8E410C" w14:textId="77777777" w:rsidR="002E3CD5" w:rsidRPr="00210C3D" w:rsidRDefault="002E3CD5" w:rsidP="00AC667E">
            <w:pPr>
              <w:keepNext/>
              <w:spacing w:before="54" w:after="54" w:line="240" w:lineRule="auto"/>
              <w:rPr>
                <w:szCs w:val="22"/>
              </w:rPr>
            </w:pPr>
            <w:r w:rsidRPr="00210C3D">
              <w:rPr>
                <w:szCs w:val="22"/>
              </w:rPr>
              <w:t>Reviewer Comments and Recommendations:</w:t>
            </w:r>
          </w:p>
        </w:tc>
      </w:tr>
      <w:tr w:rsidR="002E3CD5" w:rsidRPr="00210C3D" w14:paraId="47CAF126" w14:textId="77777777" w:rsidTr="00AC667E">
        <w:trPr>
          <w:trHeight w:val="665"/>
        </w:trPr>
        <w:tc>
          <w:tcPr>
            <w:tcW w:w="9072" w:type="dxa"/>
            <w:shd w:val="clear" w:color="auto" w:fill="FFFFFF"/>
          </w:tcPr>
          <w:p w14:paraId="672353EC" w14:textId="77777777" w:rsidR="00AC3159" w:rsidRPr="000616A7" w:rsidRDefault="00AC3159" w:rsidP="00C167FA">
            <w:pPr>
              <w:spacing w:before="218" w:after="218" w:line="240" w:lineRule="auto"/>
            </w:pPr>
            <w:r w:rsidRPr="000616A7">
              <w:t>While realising that the tax system is not the primary driver of housing affordability, the Treasury has identified a number of options to help partially address the housing problem. The Treasury’s preferred option is to extend the bright-line test from 5 years to 20 years with no exemption for new builds. A framework with a comprehensive set of criteria has been developed to assess these options. However, limited consultation has been undertaken due to significant time constraints.</w:t>
            </w:r>
          </w:p>
          <w:p w14:paraId="2321190E" w14:textId="25B7A5CD" w:rsidR="002E3CD5" w:rsidRPr="00210C3D" w:rsidRDefault="00AC3159" w:rsidP="00E4704D">
            <w:pPr>
              <w:spacing w:after="218"/>
            </w:pPr>
            <w:r w:rsidRPr="000616A7">
              <w:t xml:space="preserve">The denial of interest deductions is another policy option that has been identified, but in the time available, the Treasury has not been able to undertake impact analysis. Further, no analysis has been undertaken on how this measure would interact with the extension of the bright-line test. The Treasury has agreed that a Supplementary Analysis Report (SAR) relating to this proposal will be incorporated into an upcoming consultation process. After this consultation, a full RIS will be produced for the final policy decision at the Cabinet. </w:t>
            </w:r>
          </w:p>
        </w:tc>
      </w:tr>
    </w:tbl>
    <w:p w14:paraId="4F920815" w14:textId="77777777" w:rsidR="002E3CD5" w:rsidRDefault="002E3CD5" w:rsidP="002E3CD5">
      <w:pPr>
        <w:pStyle w:val="Heading1"/>
        <w:spacing w:before="480"/>
        <w:rPr>
          <w:color w:val="0082AB"/>
        </w:rPr>
      </w:pPr>
      <w:r w:rsidRPr="0005691A">
        <w:rPr>
          <w:color w:val="0082AB"/>
        </w:rPr>
        <w:t>Impact Statement</w:t>
      </w:r>
      <w:r>
        <w:rPr>
          <w:color w:val="0082AB"/>
        </w:rPr>
        <w:t>:</w:t>
      </w:r>
      <w:r w:rsidRPr="0005691A">
        <w:rPr>
          <w:color w:val="0082AB"/>
        </w:rPr>
        <w:t xml:space="preserve"> </w:t>
      </w:r>
      <w:r>
        <w:rPr>
          <w:color w:val="0082AB"/>
        </w:rPr>
        <w:t>Tax measures to moderate house price growth – extension of the bright-line test</w:t>
      </w:r>
      <w:r w:rsidDel="003A5FED">
        <w:rPr>
          <w:color w:val="0082AB"/>
        </w:rPr>
        <w:t xml:space="preserve"> </w:t>
      </w:r>
    </w:p>
    <w:p w14:paraId="304D0032" w14:textId="77777777" w:rsidR="002E3CD5" w:rsidRPr="0005691A" w:rsidRDefault="002E3CD5" w:rsidP="002E3CD5">
      <w:pPr>
        <w:tabs>
          <w:tab w:val="left" w:pos="2550"/>
        </w:tabs>
        <w:spacing w:before="120" w:after="120" w:line="240" w:lineRule="auto"/>
        <w:outlineLvl w:val="0"/>
        <w:rPr>
          <w:rFonts w:cs="Arial"/>
          <w:b/>
          <w:color w:val="0082AB"/>
          <w:spacing w:val="20"/>
          <w:w w:val="90"/>
          <w:sz w:val="32"/>
          <w:szCs w:val="24"/>
        </w:rPr>
      </w:pPr>
      <w:r w:rsidRPr="0005691A">
        <w:rPr>
          <w:rFonts w:cs="Arial"/>
          <w:b/>
          <w:color w:val="0082AB"/>
          <w:spacing w:val="20"/>
          <w:w w:val="90"/>
          <w:sz w:val="32"/>
          <w:szCs w:val="24"/>
        </w:rPr>
        <w:t>Section 1: General information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E3CD5" w:rsidRPr="009C4129" w14:paraId="3A666203" w14:textId="77777777" w:rsidTr="00AC667E">
        <w:tc>
          <w:tcPr>
            <w:tcW w:w="5000" w:type="pct"/>
            <w:shd w:val="clear" w:color="auto" w:fill="99CDDD"/>
            <w:hideMark/>
          </w:tcPr>
          <w:p w14:paraId="150D4D97" w14:textId="77777777" w:rsidR="002E3CD5" w:rsidRPr="009C4129" w:rsidRDefault="002E3CD5" w:rsidP="00AC667E">
            <w:pPr>
              <w:keepNext/>
              <w:numPr>
                <w:ilvl w:val="1"/>
                <w:numId w:val="37"/>
              </w:numPr>
              <w:spacing w:before="54" w:after="54" w:line="240" w:lineRule="auto"/>
              <w:ind w:left="324" w:hanging="324"/>
              <w:rPr>
                <w:rFonts w:cs="Arial"/>
                <w:b/>
                <w:szCs w:val="22"/>
              </w:rPr>
            </w:pPr>
            <w:r>
              <w:rPr>
                <w:rFonts w:cs="Arial"/>
                <w:b/>
                <w:szCs w:val="22"/>
              </w:rPr>
              <w:t xml:space="preserve">  </w:t>
            </w:r>
            <w:r w:rsidRPr="009C4129">
              <w:rPr>
                <w:rFonts w:cs="Arial"/>
                <w:b/>
                <w:szCs w:val="22"/>
              </w:rPr>
              <w:t>Purpose</w:t>
            </w:r>
          </w:p>
        </w:tc>
      </w:tr>
      <w:tr w:rsidR="002E3CD5" w:rsidRPr="009C4129" w14:paraId="76942F6F" w14:textId="77777777" w:rsidTr="00AC667E">
        <w:trPr>
          <w:trHeight w:val="680"/>
        </w:trPr>
        <w:tc>
          <w:tcPr>
            <w:tcW w:w="5000" w:type="pct"/>
            <w:shd w:val="clear" w:color="auto" w:fill="auto"/>
          </w:tcPr>
          <w:p w14:paraId="04CAE3DC" w14:textId="77777777" w:rsidR="002E3CD5" w:rsidRPr="00384E9B" w:rsidRDefault="002E3CD5" w:rsidP="00AC667E">
            <w:pPr>
              <w:spacing w:after="218" w:line="240" w:lineRule="auto"/>
            </w:pPr>
            <w:r w:rsidRPr="00544B20">
              <w:rPr>
                <w:rFonts w:cs="Arial"/>
                <w:color w:val="000000"/>
                <w:szCs w:val="22"/>
              </w:rPr>
              <w:t>The Treasury is</w:t>
            </w:r>
            <w:r w:rsidRPr="00384E9B">
              <w:rPr>
                <w:rFonts w:cs="Arial"/>
                <w:color w:val="000000"/>
                <w:szCs w:val="22"/>
              </w:rPr>
              <w:t xml:space="preserve"> solely responsible for the analysis and advice set out in this Regulatory Impact Statement, except as </w:t>
            </w:r>
            <w:r>
              <w:rPr>
                <w:rFonts w:cs="Arial"/>
                <w:color w:val="000000"/>
                <w:szCs w:val="22"/>
              </w:rPr>
              <w:t xml:space="preserve">otherwise explicitly indicated. </w:t>
            </w:r>
            <w:r w:rsidRPr="00384E9B">
              <w:rPr>
                <w:rFonts w:cs="Arial"/>
                <w:color w:val="000000"/>
                <w:szCs w:val="22"/>
              </w:rPr>
              <w:t>This analysis and advice has been produced for the purpose of informing</w:t>
            </w:r>
            <w:r>
              <w:rPr>
                <w:rFonts w:cs="Arial"/>
                <w:color w:val="000000"/>
                <w:szCs w:val="22"/>
              </w:rPr>
              <w:t xml:space="preserve"> </w:t>
            </w:r>
            <w:r>
              <w:rPr>
                <w:rFonts w:cs="Arial"/>
                <w:szCs w:val="22"/>
              </w:rPr>
              <w:t>k</w:t>
            </w:r>
            <w:r w:rsidRPr="00DC1089">
              <w:rPr>
                <w:rFonts w:cs="Arial"/>
                <w:szCs w:val="22"/>
              </w:rPr>
              <w:t>ey policy decisions to be taken by Cabinet</w:t>
            </w:r>
            <w:r>
              <w:rPr>
                <w:rFonts w:cs="Arial"/>
                <w:szCs w:val="22"/>
              </w:rPr>
              <w:t>.</w:t>
            </w:r>
          </w:p>
        </w:tc>
      </w:tr>
    </w:tbl>
    <w:p w14:paraId="2DEC9E3A" w14:textId="77777777" w:rsidR="002E3CD5" w:rsidRPr="009C4129" w:rsidRDefault="002E3CD5" w:rsidP="002E3CD5">
      <w:pPr>
        <w:pStyle w:val="spacer"/>
        <w:spacing w:before="240"/>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E3CD5" w:rsidRPr="009C4129" w14:paraId="41E21AE0" w14:textId="77777777" w:rsidTr="00AC667E">
        <w:tc>
          <w:tcPr>
            <w:tcW w:w="5000" w:type="pct"/>
            <w:shd w:val="clear" w:color="auto" w:fill="99CDDD"/>
            <w:hideMark/>
          </w:tcPr>
          <w:p w14:paraId="697ED5EF" w14:textId="77777777" w:rsidR="002E3CD5" w:rsidRPr="009C4129" w:rsidRDefault="002E3CD5" w:rsidP="00AC667E">
            <w:pPr>
              <w:keepNext/>
              <w:spacing w:before="54" w:after="54" w:line="240" w:lineRule="auto"/>
              <w:rPr>
                <w:rFonts w:cs="Arial"/>
                <w:b/>
                <w:color w:val="002060"/>
                <w:szCs w:val="22"/>
              </w:rPr>
            </w:pPr>
            <w:r>
              <w:rPr>
                <w:rFonts w:cs="Arial"/>
                <w:b/>
                <w:szCs w:val="22"/>
              </w:rPr>
              <w:t xml:space="preserve">1.2   </w:t>
            </w:r>
            <w:r w:rsidRPr="009C4129">
              <w:rPr>
                <w:rFonts w:cs="Arial"/>
                <w:b/>
                <w:szCs w:val="22"/>
              </w:rPr>
              <w:t>Key Limitations or Constraints on Analysis</w:t>
            </w:r>
          </w:p>
        </w:tc>
      </w:tr>
      <w:tr w:rsidR="002E3CD5" w:rsidRPr="009C4129" w14:paraId="037805F2" w14:textId="77777777" w:rsidTr="00AC667E">
        <w:trPr>
          <w:trHeight w:val="1465"/>
        </w:trPr>
        <w:tc>
          <w:tcPr>
            <w:tcW w:w="5000" w:type="pct"/>
            <w:shd w:val="clear" w:color="auto" w:fill="auto"/>
          </w:tcPr>
          <w:p w14:paraId="1A2DD02E" w14:textId="77777777" w:rsidR="002E3CD5" w:rsidRDefault="002E3CD5" w:rsidP="00C167FA">
            <w:pPr>
              <w:spacing w:before="218" w:after="218" w:line="240" w:lineRule="auto"/>
              <w:rPr>
                <w:b/>
              </w:rPr>
            </w:pPr>
            <w:r>
              <w:rPr>
                <w:b/>
              </w:rPr>
              <w:t>Limited options:</w:t>
            </w:r>
          </w:p>
          <w:p w14:paraId="6A982F27" w14:textId="77777777" w:rsidR="002E3CD5" w:rsidRDefault="002E3CD5" w:rsidP="00AC667E">
            <w:pPr>
              <w:spacing w:after="218" w:line="240" w:lineRule="auto"/>
            </w:pPr>
            <w:r>
              <w:t xml:space="preserve">The analysis is limited by the tax options already ruled out by the Government, including a comprehensive capital gains tax, a tax on a deemed rate of return for residential property, a wealth tax, or any new measure outside of the current tax framework. </w:t>
            </w:r>
          </w:p>
          <w:p w14:paraId="6B55DF14" w14:textId="77777777" w:rsidR="002E3CD5" w:rsidRDefault="002E3CD5" w:rsidP="00AC667E">
            <w:pPr>
              <w:spacing w:after="218" w:line="240" w:lineRule="auto"/>
            </w:pPr>
            <w:r>
              <w:t xml:space="preserve">The options analysed in this Regulatory Impact Statement are at the direction of Ministers. </w:t>
            </w:r>
          </w:p>
          <w:p w14:paraId="585C0264" w14:textId="77777777" w:rsidR="002E3CD5" w:rsidRDefault="002E3CD5" w:rsidP="00AC667E">
            <w:pPr>
              <w:spacing w:after="218" w:line="240" w:lineRule="auto"/>
              <w:rPr>
                <w:b/>
              </w:rPr>
            </w:pPr>
            <w:r>
              <w:rPr>
                <w:b/>
              </w:rPr>
              <w:lastRenderedPageBreak/>
              <w:t>Supply-side measures:</w:t>
            </w:r>
          </w:p>
          <w:p w14:paraId="5CD4A78B" w14:textId="77777777" w:rsidR="002E3CD5" w:rsidRPr="003D5242" w:rsidRDefault="002E3CD5" w:rsidP="00AC667E">
            <w:pPr>
              <w:spacing w:after="218" w:line="240" w:lineRule="auto"/>
            </w:pPr>
            <w:r>
              <w:t xml:space="preserve">The Government intends to progress a complementary set of supply-side measures which are expected to increase housing supply and lower rents. The impacts of these supply-side measures have not been included in the impact analysis in Section 4. As a result, the impacts of the demand-side tax measures have not been considered in the context of any supply-side measures. </w:t>
            </w:r>
          </w:p>
          <w:p w14:paraId="652C6AF1" w14:textId="77777777" w:rsidR="002E3CD5" w:rsidRDefault="002E3CD5" w:rsidP="00AC667E">
            <w:pPr>
              <w:spacing w:after="218" w:line="240" w:lineRule="auto"/>
              <w:rPr>
                <w:b/>
              </w:rPr>
            </w:pPr>
            <w:r>
              <w:rPr>
                <w:b/>
              </w:rPr>
              <w:t>Significant time constraints:</w:t>
            </w:r>
          </w:p>
          <w:p w14:paraId="740F8B85" w14:textId="77777777" w:rsidR="002E3CD5" w:rsidRDefault="002E3CD5" w:rsidP="00AC667E">
            <w:pPr>
              <w:spacing w:after="218" w:line="240" w:lineRule="auto"/>
            </w:pPr>
            <w:r>
              <w:t xml:space="preserve">This analysis has been prepared under significant time constraints. Accordingly, elements of the analysis might not be sufficiently robust. Due to time constraints, there has been no opportunity for consultation with external stakeholders. </w:t>
            </w:r>
          </w:p>
          <w:p w14:paraId="136863B5" w14:textId="77777777" w:rsidR="002E3CD5" w:rsidRDefault="002E3CD5" w:rsidP="00AC667E">
            <w:pPr>
              <w:spacing w:after="218" w:line="240" w:lineRule="auto"/>
              <w:rPr>
                <w:b/>
              </w:rPr>
            </w:pPr>
            <w:r>
              <w:rPr>
                <w:b/>
              </w:rPr>
              <w:t>Lack of empirical data:</w:t>
            </w:r>
          </w:p>
          <w:p w14:paraId="26C5C9EF" w14:textId="77777777" w:rsidR="002E3CD5" w:rsidRDefault="002E3CD5" w:rsidP="00AC667E">
            <w:pPr>
              <w:spacing w:after="218" w:line="240" w:lineRule="auto"/>
            </w:pPr>
            <w:r>
              <w:t>This analysis on what impact this initiative will have on the housing market is constrained by a lack of empirical data. Where evidence is not available, a theoretical assessment of the expected impact has been provided. While some empirical data is available from the current application of the bright-line test, it is difficult to isolate the impact of that policy change from other influences on the housing market over the relevant time period.</w:t>
            </w:r>
          </w:p>
          <w:p w14:paraId="0CE08BA0" w14:textId="77777777" w:rsidR="002E3CD5" w:rsidRDefault="002E3CD5" w:rsidP="00AC667E">
            <w:pPr>
              <w:spacing w:after="218" w:line="240" w:lineRule="auto"/>
              <w:rPr>
                <w:b/>
              </w:rPr>
            </w:pPr>
            <w:r>
              <w:rPr>
                <w:b/>
              </w:rPr>
              <w:t>Projected revenue:</w:t>
            </w:r>
          </w:p>
          <w:p w14:paraId="1D593CA3" w14:textId="77777777" w:rsidR="002E3CD5" w:rsidRPr="009C4129" w:rsidRDefault="002E3CD5" w:rsidP="00AC667E">
            <w:pPr>
              <w:spacing w:after="218" w:line="240" w:lineRule="auto"/>
              <w:rPr>
                <w:rFonts w:cs="Arial"/>
                <w:szCs w:val="22"/>
              </w:rPr>
            </w:pPr>
            <w:r>
              <w:t>Revenue impacts from the bright-line extension have been undertaken through static analysis, given it is not possible to estimate the behavioural impacts of the measure. Examples of unknown behavioural effects are how many people would sell within 5 years or, after 20 years, how much lock-in would occur over the long-term, and the size of the reduction in the rental property market.</w:t>
            </w:r>
          </w:p>
        </w:tc>
      </w:tr>
      <w:tr w:rsidR="002E3CD5" w:rsidRPr="009C4129" w14:paraId="507C7600" w14:textId="77777777" w:rsidTr="00AC667E">
        <w:tc>
          <w:tcPr>
            <w:tcW w:w="5000" w:type="pct"/>
            <w:shd w:val="clear" w:color="auto" w:fill="99CDDD"/>
            <w:hideMark/>
          </w:tcPr>
          <w:p w14:paraId="2E88C864" w14:textId="77777777" w:rsidR="002E3CD5" w:rsidRPr="009C4129" w:rsidRDefault="002E3CD5" w:rsidP="00AC667E">
            <w:pPr>
              <w:keepNext/>
              <w:spacing w:before="54" w:after="54" w:line="240" w:lineRule="auto"/>
              <w:rPr>
                <w:rFonts w:cs="Arial"/>
                <w:b/>
                <w:szCs w:val="22"/>
              </w:rPr>
            </w:pPr>
            <w:bookmarkStart w:id="0" w:name="_Toc363047038"/>
            <w:bookmarkStart w:id="1" w:name="_Toc362940530"/>
            <w:bookmarkStart w:id="2" w:name="_Toc362618966"/>
            <w:bookmarkStart w:id="3" w:name="_Toc362434720"/>
            <w:bookmarkStart w:id="4" w:name="_Toc362368098"/>
            <w:r>
              <w:rPr>
                <w:rFonts w:cs="Arial"/>
                <w:b/>
                <w:szCs w:val="22"/>
              </w:rPr>
              <w:lastRenderedPageBreak/>
              <w:t xml:space="preserve">1.3   </w:t>
            </w:r>
            <w:r w:rsidRPr="009C4129">
              <w:rPr>
                <w:rFonts w:cs="Arial"/>
                <w:b/>
                <w:szCs w:val="22"/>
              </w:rPr>
              <w:t>Responsible Manager (signature and date):</w:t>
            </w:r>
          </w:p>
        </w:tc>
      </w:tr>
      <w:tr w:rsidR="002E3CD5" w:rsidRPr="009C4129" w14:paraId="653B3B42" w14:textId="77777777" w:rsidTr="00AC667E">
        <w:trPr>
          <w:trHeight w:val="2476"/>
        </w:trPr>
        <w:tc>
          <w:tcPr>
            <w:tcW w:w="5000" w:type="pct"/>
            <w:shd w:val="clear" w:color="auto" w:fill="FFFFFF"/>
          </w:tcPr>
          <w:p w14:paraId="51C7B764" w14:textId="77777777" w:rsidR="002E3CD5" w:rsidRPr="009C4129" w:rsidRDefault="002E3CD5" w:rsidP="00C167FA">
            <w:pPr>
              <w:spacing w:before="218" w:after="218" w:line="240" w:lineRule="auto"/>
              <w:rPr>
                <w:rFonts w:cs="Arial"/>
                <w:szCs w:val="22"/>
              </w:rPr>
            </w:pPr>
            <w:r>
              <w:rPr>
                <w:rFonts w:cs="Arial"/>
                <w:szCs w:val="22"/>
              </w:rPr>
              <w:t xml:space="preserve">Jess </w:t>
            </w:r>
            <w:r w:rsidRPr="00C167FA">
              <w:t>Rowe</w:t>
            </w:r>
          </w:p>
          <w:p w14:paraId="75D3458D" w14:textId="77777777" w:rsidR="002E3CD5" w:rsidRPr="009C4129" w:rsidRDefault="002E3CD5" w:rsidP="00AC667E">
            <w:pPr>
              <w:spacing w:before="54" w:after="218" w:line="240" w:lineRule="auto"/>
              <w:ind w:left="258" w:hanging="258"/>
              <w:jc w:val="both"/>
              <w:rPr>
                <w:rFonts w:cs="Arial"/>
                <w:szCs w:val="22"/>
              </w:rPr>
            </w:pPr>
            <w:r>
              <w:rPr>
                <w:rFonts w:cs="Arial"/>
                <w:szCs w:val="22"/>
              </w:rPr>
              <w:t>Tax Strategy</w:t>
            </w:r>
          </w:p>
          <w:p w14:paraId="45202457" w14:textId="77777777" w:rsidR="002E3CD5" w:rsidRPr="009C4129" w:rsidRDefault="002E3CD5" w:rsidP="00AC667E">
            <w:pPr>
              <w:spacing w:before="54" w:after="218" w:line="240" w:lineRule="auto"/>
              <w:ind w:left="258" w:hanging="258"/>
              <w:jc w:val="both"/>
              <w:rPr>
                <w:rFonts w:cs="Arial"/>
                <w:szCs w:val="22"/>
              </w:rPr>
            </w:pPr>
            <w:r>
              <w:rPr>
                <w:rFonts w:cs="Arial"/>
                <w:szCs w:val="22"/>
              </w:rPr>
              <w:t>Economic Systems Directorate</w:t>
            </w:r>
          </w:p>
          <w:p w14:paraId="7D1EE9A7" w14:textId="30F9AA2F" w:rsidR="002E3CD5" w:rsidRDefault="002E3CD5" w:rsidP="00AC667E">
            <w:pPr>
              <w:spacing w:before="54" w:after="218" w:line="240" w:lineRule="auto"/>
              <w:ind w:left="258" w:hanging="258"/>
              <w:jc w:val="both"/>
              <w:rPr>
                <w:rFonts w:cs="Arial"/>
                <w:szCs w:val="22"/>
              </w:rPr>
            </w:pPr>
            <w:r>
              <w:rPr>
                <w:rFonts w:cs="Arial"/>
                <w:szCs w:val="22"/>
              </w:rPr>
              <w:t>The Treasury</w:t>
            </w:r>
          </w:p>
          <w:p w14:paraId="75028D49" w14:textId="379854B0" w:rsidR="004A791E" w:rsidRDefault="004A791E" w:rsidP="00533DCD">
            <w:pPr>
              <w:shd w:val="clear" w:color="auto" w:fill="FFFFFF" w:themeFill="background1"/>
              <w:spacing w:before="54" w:after="218" w:line="240" w:lineRule="auto"/>
              <w:ind w:left="258" w:hanging="258"/>
              <w:jc w:val="both"/>
              <w:rPr>
                <w:rFonts w:cs="Arial"/>
                <w:szCs w:val="22"/>
              </w:rPr>
            </w:pPr>
            <w:r>
              <w:rPr>
                <w:noProof/>
                <w:lang w:val="en-NZ" w:eastAsia="en-NZ"/>
              </w:rPr>
              <w:drawing>
                <wp:inline distT="0" distB="0" distL="0" distR="0" wp14:anchorId="785AC0BD" wp14:editId="12B719E7">
                  <wp:extent cx="1799969" cy="706781"/>
                  <wp:effectExtent l="0" t="0" r="0" b="0"/>
                  <wp:docPr id="1" name="Picture 1" descr="cid:image002.png@01D710FE.BFB09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710FE.BFB09F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4015" cy="712296"/>
                          </a:xfrm>
                          <a:prstGeom prst="rect">
                            <a:avLst/>
                          </a:prstGeom>
                          <a:noFill/>
                          <a:ln>
                            <a:noFill/>
                          </a:ln>
                        </pic:spPr>
                      </pic:pic>
                    </a:graphicData>
                  </a:graphic>
                </wp:inline>
              </w:drawing>
            </w:r>
          </w:p>
          <w:p w14:paraId="0545E3A7" w14:textId="2F1C60F5" w:rsidR="002E3CD5" w:rsidRPr="009C4129" w:rsidRDefault="009F3874" w:rsidP="00E14877">
            <w:pPr>
              <w:shd w:val="clear" w:color="auto" w:fill="FFFFFF" w:themeFill="background1"/>
              <w:spacing w:before="54" w:after="0" w:line="240" w:lineRule="auto"/>
              <w:ind w:left="258" w:hanging="258"/>
              <w:jc w:val="both"/>
              <w:rPr>
                <w:rFonts w:cs="Arial"/>
                <w:szCs w:val="22"/>
              </w:rPr>
            </w:pPr>
            <w:r w:rsidRPr="00533DCD">
              <w:rPr>
                <w:rFonts w:cs="Arial"/>
                <w:szCs w:val="22"/>
              </w:rPr>
              <w:t>05</w:t>
            </w:r>
            <w:r w:rsidR="002E3CD5" w:rsidRPr="00533DCD">
              <w:rPr>
                <w:rFonts w:cs="Arial"/>
                <w:szCs w:val="22"/>
              </w:rPr>
              <w:t>/0</w:t>
            </w:r>
            <w:r w:rsidRPr="00533DCD">
              <w:rPr>
                <w:rFonts w:cs="Arial"/>
                <w:szCs w:val="22"/>
              </w:rPr>
              <w:t>3</w:t>
            </w:r>
            <w:r w:rsidR="002E3CD5" w:rsidRPr="00533DCD">
              <w:rPr>
                <w:rFonts w:cs="Arial"/>
                <w:szCs w:val="22"/>
              </w:rPr>
              <w:t>/</w:t>
            </w:r>
            <w:r w:rsidR="00E14877">
              <w:rPr>
                <w:rFonts w:cs="Arial"/>
                <w:szCs w:val="22"/>
              </w:rPr>
              <w:t>20</w:t>
            </w:r>
            <w:r w:rsidR="002E3CD5" w:rsidRPr="00533DCD">
              <w:rPr>
                <w:rFonts w:cs="Arial"/>
                <w:szCs w:val="22"/>
              </w:rPr>
              <w:t>21</w:t>
            </w:r>
          </w:p>
        </w:tc>
      </w:tr>
    </w:tbl>
    <w:p w14:paraId="0F534B2B" w14:textId="77777777" w:rsidR="002E3CD5" w:rsidRPr="0005691A" w:rsidRDefault="002E3CD5" w:rsidP="001779A9">
      <w:pPr>
        <w:pStyle w:val="Heading2"/>
      </w:pPr>
      <w:r w:rsidRPr="0005691A">
        <w:t>Section 2:</w:t>
      </w:r>
      <w:bookmarkEnd w:id="0"/>
      <w:bookmarkEnd w:id="1"/>
      <w:bookmarkEnd w:id="2"/>
      <w:bookmarkEnd w:id="3"/>
      <w:bookmarkEnd w:id="4"/>
      <w:r w:rsidRPr="0005691A">
        <w:t xml:space="preserve"> Problem definition and objectives</w:t>
      </w:r>
    </w:p>
    <w:tbl>
      <w:tblPr>
        <w:tblW w:w="494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3"/>
        <w:gridCol w:w="98"/>
      </w:tblGrid>
      <w:tr w:rsidR="002E3CD5" w:rsidRPr="009C4129" w14:paraId="445EE3B8" w14:textId="77777777" w:rsidTr="00AC667E">
        <w:trPr>
          <w:gridAfter w:val="1"/>
          <w:wAfter w:w="56" w:type="pct"/>
          <w:trHeight w:val="77"/>
        </w:trPr>
        <w:tc>
          <w:tcPr>
            <w:tcW w:w="4944" w:type="pct"/>
            <w:shd w:val="clear" w:color="auto" w:fill="99CDDD"/>
          </w:tcPr>
          <w:p w14:paraId="097764B3" w14:textId="77777777" w:rsidR="002E3CD5" w:rsidRPr="009C4129" w:rsidRDefault="002E3CD5" w:rsidP="00AC667E">
            <w:pPr>
              <w:keepNext/>
              <w:spacing w:before="54" w:after="54" w:line="240" w:lineRule="auto"/>
              <w:rPr>
                <w:rFonts w:cs="Arial"/>
                <w:b/>
                <w:szCs w:val="22"/>
              </w:rPr>
            </w:pPr>
            <w:r>
              <w:rPr>
                <w:rFonts w:cs="Arial"/>
                <w:b/>
                <w:szCs w:val="22"/>
              </w:rPr>
              <w:t xml:space="preserve">2.1   </w:t>
            </w:r>
            <w:r w:rsidRPr="009C4129">
              <w:rPr>
                <w:rFonts w:cs="Arial"/>
                <w:b/>
                <w:szCs w:val="22"/>
              </w:rPr>
              <w:t xml:space="preserve">What is the </w:t>
            </w:r>
            <w:r>
              <w:rPr>
                <w:rFonts w:cs="Arial"/>
                <w:b/>
                <w:szCs w:val="22"/>
              </w:rPr>
              <w:t xml:space="preserve">current state </w:t>
            </w:r>
            <w:r w:rsidRPr="009C4129">
              <w:rPr>
                <w:rFonts w:cs="Arial"/>
                <w:b/>
                <w:szCs w:val="22"/>
              </w:rPr>
              <w:t>within which action is proposed?</w:t>
            </w:r>
          </w:p>
        </w:tc>
      </w:tr>
      <w:tr w:rsidR="002E3CD5" w:rsidRPr="009C4129" w14:paraId="2D63F5FC" w14:textId="77777777" w:rsidTr="00AC667E">
        <w:trPr>
          <w:gridAfter w:val="1"/>
          <w:wAfter w:w="56" w:type="pct"/>
          <w:trHeight w:val="1181"/>
        </w:trPr>
        <w:tc>
          <w:tcPr>
            <w:tcW w:w="4944" w:type="pct"/>
            <w:shd w:val="clear" w:color="auto" w:fill="FFFFFF" w:themeFill="background1"/>
          </w:tcPr>
          <w:p w14:paraId="0752E8A2" w14:textId="77777777" w:rsidR="002E3CD5" w:rsidRDefault="002E3CD5" w:rsidP="00C167FA">
            <w:pPr>
              <w:spacing w:before="218" w:after="218" w:line="240" w:lineRule="auto"/>
              <w:rPr>
                <w:b/>
              </w:rPr>
            </w:pPr>
            <w:r>
              <w:rPr>
                <w:b/>
              </w:rPr>
              <w:t xml:space="preserve">Access to </w:t>
            </w:r>
            <w:r w:rsidRPr="0016251F">
              <w:rPr>
                <w:b/>
              </w:rPr>
              <w:t>affordable</w:t>
            </w:r>
            <w:r>
              <w:rPr>
                <w:b/>
              </w:rPr>
              <w:t xml:space="preserve"> housing is important to support the living standards of New Zealanders </w:t>
            </w:r>
          </w:p>
          <w:p w14:paraId="12B339B7" w14:textId="77777777" w:rsidR="002E3CD5" w:rsidRDefault="002E3CD5" w:rsidP="00AC667E">
            <w:pPr>
              <w:spacing w:after="218" w:line="240" w:lineRule="auto"/>
            </w:pPr>
            <w:r>
              <w:t xml:space="preserve">Housing supports many of the wellbeing domains identified in the Living Standards Framework, and plays a role in determining New Zealand’s physical, social, and human capital stocks. High-quality housing stock provides shelter, protection from the elements, </w:t>
            </w:r>
            <w:r>
              <w:lastRenderedPageBreak/>
              <w:t xml:space="preserve">personal space, security, and privacy. </w:t>
            </w:r>
            <w:r w:rsidR="004D3B77">
              <w:t>S</w:t>
            </w:r>
            <w:r>
              <w:t xml:space="preserve">uitability, affordability, and quality of housing </w:t>
            </w:r>
            <w:r w:rsidR="004D3B77">
              <w:t>are</w:t>
            </w:r>
            <w:r>
              <w:t xml:space="preserve"> likely to be influenced by housing affordability. </w:t>
            </w:r>
          </w:p>
          <w:p w14:paraId="00B9D110" w14:textId="77777777" w:rsidR="002E3CD5" w:rsidRPr="00AE71AC" w:rsidRDefault="002E3CD5" w:rsidP="00AC667E">
            <w:pPr>
              <w:pStyle w:val="CabStandard"/>
              <w:spacing w:after="218"/>
              <w:rPr>
                <w:rFonts w:ascii="Arial" w:hAnsi="Arial"/>
                <w:sz w:val="22"/>
                <w:lang w:eastAsia="en-GB"/>
              </w:rPr>
            </w:pPr>
            <w:r w:rsidRPr="00AE71AC">
              <w:rPr>
                <w:rFonts w:ascii="Arial" w:hAnsi="Arial"/>
                <w:sz w:val="22"/>
                <w:lang w:eastAsia="en-GB"/>
              </w:rPr>
              <w:t>Affordable housing is an important factor in determining people’s wellbeing, particularly for low-income families where housing costs represent a higher proportion of total income. High housing costs relative to income, poor housing quality and insecure tenure worsens child poverty, health outcomes and homelessness.</w:t>
            </w:r>
            <w:r>
              <w:rPr>
                <w:rStyle w:val="FootnoteReference"/>
                <w:lang w:eastAsia="en-GB"/>
              </w:rPr>
              <w:footnoteReference w:id="4"/>
            </w:r>
            <w:r w:rsidRPr="00AE71AC">
              <w:rPr>
                <w:rFonts w:ascii="Arial" w:hAnsi="Arial"/>
                <w:sz w:val="22"/>
                <w:lang w:eastAsia="en-GB"/>
              </w:rPr>
              <w:t xml:space="preserve"> Renters generally live in poorer</w:t>
            </w:r>
            <w:r w:rsidRPr="00AE71AC">
              <w:rPr>
                <w:rFonts w:ascii="Arial" w:hAnsi="Arial"/>
                <w:sz w:val="22"/>
                <w:lang w:eastAsia="en-GB"/>
              </w:rPr>
              <w:noBreakHyphen/>
              <w:t>quality housing that is more likely to be cold, damp, have mould</w:t>
            </w:r>
            <w:r>
              <w:rPr>
                <w:rFonts w:ascii="Arial" w:hAnsi="Arial"/>
                <w:sz w:val="22"/>
                <w:lang w:eastAsia="en-GB"/>
              </w:rPr>
              <w:t>,</w:t>
            </w:r>
            <w:r w:rsidRPr="00AE71AC">
              <w:rPr>
                <w:rFonts w:ascii="Arial" w:hAnsi="Arial"/>
                <w:sz w:val="22"/>
                <w:lang w:eastAsia="en-GB"/>
              </w:rPr>
              <w:t xml:space="preserve"> and need major repairs.</w:t>
            </w:r>
          </w:p>
          <w:p w14:paraId="73961366" w14:textId="77777777" w:rsidR="002E3CD5" w:rsidRDefault="002E3CD5" w:rsidP="00AC667E">
            <w:pPr>
              <w:spacing w:after="218" w:line="240" w:lineRule="auto"/>
            </w:pPr>
            <w:r>
              <w:t>Home ownership in and of itself has long-term impacts on living standards and the distribution of wealth accumulation</w:t>
            </w:r>
            <w:r w:rsidRPr="003C7ABF">
              <w:rPr>
                <w:rFonts w:cs="Arial"/>
                <w:color w:val="0B0C0C"/>
                <w:szCs w:val="22"/>
              </w:rPr>
              <w:t>; New Zealand homeowners are typically 14 times wealthier than non-homeowners.</w:t>
            </w:r>
            <w:r>
              <w:rPr>
                <w:rStyle w:val="FootnoteReference"/>
                <w:rFonts w:cs="Arial"/>
                <w:szCs w:val="22"/>
              </w:rPr>
              <w:footnoteReference w:id="5"/>
            </w:r>
            <w:r w:rsidRPr="003C7ABF">
              <w:rPr>
                <w:rFonts w:cs="Arial"/>
                <w:color w:val="0B0C0C"/>
                <w:szCs w:val="22"/>
              </w:rPr>
              <w:t xml:space="preserve"> Furthermore, </w:t>
            </w:r>
            <w:r w:rsidRPr="003C7ABF">
              <w:rPr>
                <w:rFonts w:cs="Arial"/>
                <w:szCs w:val="22"/>
              </w:rPr>
              <w:t>unaffordable housing disproportionately affects some population groups including</w:t>
            </w:r>
            <w:r>
              <w:rPr>
                <w:rFonts w:cs="Arial"/>
                <w:szCs w:val="22"/>
              </w:rPr>
              <w:t xml:space="preserve"> low-income people, younger people,</w:t>
            </w:r>
            <w:r w:rsidRPr="003C7ABF">
              <w:rPr>
                <w:rFonts w:cs="Arial"/>
                <w:szCs w:val="22"/>
              </w:rPr>
              <w:t xml:space="preserve"> Māori</w:t>
            </w:r>
            <w:r>
              <w:rPr>
                <w:rFonts w:cs="Arial"/>
                <w:szCs w:val="22"/>
              </w:rPr>
              <w:t>,</w:t>
            </w:r>
            <w:r w:rsidRPr="003C7ABF">
              <w:rPr>
                <w:rFonts w:cs="Arial"/>
                <w:szCs w:val="22"/>
                <w:lang w:val="mi-NZ"/>
              </w:rPr>
              <w:t xml:space="preserve"> and Pacific peoples</w:t>
            </w:r>
            <w:r>
              <w:rPr>
                <w:rFonts w:cs="Arial"/>
                <w:szCs w:val="22"/>
                <w:lang w:val="mi-NZ"/>
              </w:rPr>
              <w:t>.</w:t>
            </w:r>
          </w:p>
          <w:p w14:paraId="5F731FEC" w14:textId="77777777" w:rsidR="002E3CD5" w:rsidRPr="00905515" w:rsidRDefault="002E3CD5" w:rsidP="00AC667E">
            <w:pPr>
              <w:spacing w:after="218" w:line="240" w:lineRule="auto"/>
              <w:rPr>
                <w:b/>
              </w:rPr>
            </w:pPr>
            <w:r>
              <w:rPr>
                <w:b/>
              </w:rPr>
              <w:t xml:space="preserve">Housing affordability has been declining </w:t>
            </w:r>
          </w:p>
          <w:p w14:paraId="5E9C8D74" w14:textId="77777777" w:rsidR="002E3CD5" w:rsidRPr="00905515" w:rsidRDefault="002E3CD5" w:rsidP="00AC667E">
            <w:pPr>
              <w:spacing w:after="218" w:line="240" w:lineRule="auto"/>
              <w:rPr>
                <w:i/>
              </w:rPr>
            </w:pPr>
            <w:r>
              <w:rPr>
                <w:i/>
              </w:rPr>
              <w:t>Affordability for owner-occupiers</w:t>
            </w:r>
          </w:p>
          <w:p w14:paraId="36EB8A7C" w14:textId="77777777" w:rsidR="002E3CD5" w:rsidRPr="00905515" w:rsidRDefault="002E3CD5" w:rsidP="00AC667E">
            <w:pPr>
              <w:spacing w:after="218" w:line="240" w:lineRule="auto"/>
            </w:pPr>
            <w:r>
              <w:t>Housing costs</w:t>
            </w:r>
            <w:r w:rsidRPr="00905515">
              <w:t xml:space="preserve"> compared to income are high in New Zealand compared to other OECD countries</w:t>
            </w:r>
            <w:r>
              <w:t>.</w:t>
            </w:r>
            <w:r>
              <w:rPr>
                <w:rStyle w:val="FootnoteReference"/>
              </w:rPr>
              <w:footnoteReference w:id="6"/>
            </w:r>
            <w:r w:rsidRPr="00905515">
              <w:t xml:space="preserve"> Nationally, house prices have been rising at a rate faster than wages over the past </w:t>
            </w:r>
            <w:r w:rsidR="004D3B77">
              <w:t>five</w:t>
            </w:r>
            <w:r w:rsidRPr="00905515">
              <w:t xml:space="preserve"> years</w:t>
            </w:r>
            <w:r>
              <w:t>.</w:t>
            </w:r>
            <w:r>
              <w:rPr>
                <w:rStyle w:val="FootnoteReference"/>
              </w:rPr>
              <w:footnoteReference w:id="7"/>
            </w:r>
            <w:r>
              <w:t xml:space="preserve"> This trend has </w:t>
            </w:r>
            <w:r w:rsidRPr="00905515">
              <w:t>accelerated over the past year.</w:t>
            </w:r>
            <w:r>
              <w:t xml:space="preserve"> H</w:t>
            </w:r>
            <w:r w:rsidRPr="00905515">
              <w:t>ouse prices have increased 19.8 percent year-on-year to October 2020</w:t>
            </w:r>
            <w:r>
              <w:t>,</w:t>
            </w:r>
            <w:r w:rsidRPr="00905515">
              <w:t xml:space="preserve"> with the median </w:t>
            </w:r>
            <w:r>
              <w:t>price</w:t>
            </w:r>
            <w:r w:rsidRPr="00905515">
              <w:t xml:space="preserve"> at </w:t>
            </w:r>
            <w:r>
              <w:t xml:space="preserve">that time being </w:t>
            </w:r>
            <w:r w:rsidRPr="00905515">
              <w:t>$725,000.</w:t>
            </w:r>
            <w:r>
              <w:rPr>
                <w:rStyle w:val="FootnoteReference"/>
              </w:rPr>
              <w:footnoteReference w:id="8"/>
            </w:r>
            <w:r w:rsidRPr="00905515">
              <w:t xml:space="preserve"> Auckland’s median house sale price for October was over $1 million for the first time.</w:t>
            </w:r>
          </w:p>
          <w:p w14:paraId="052C8DBE" w14:textId="77777777" w:rsidR="002E3CD5" w:rsidRDefault="002E3CD5" w:rsidP="00AC667E">
            <w:pPr>
              <w:spacing w:after="218" w:line="240" w:lineRule="auto"/>
            </w:pPr>
            <w:r w:rsidRPr="00905515">
              <w:t>Homeownership rates are significantly lower now than they were at their peak in the 1990s and, as at the 2018 Census, were at their lowest since the 1950s</w:t>
            </w:r>
            <w:r>
              <w:t>.</w:t>
            </w:r>
            <w:r>
              <w:rPr>
                <w:rStyle w:val="FootnoteReference"/>
              </w:rPr>
              <w:footnoteReference w:id="9"/>
            </w:r>
            <w:r w:rsidRPr="006F674B">
              <w:t xml:space="preserve"> However, home ownership rates have remained relatively stable over the last 5 years, </w:t>
            </w:r>
            <w:r w:rsidRPr="00905515">
              <w:t>which may reflect first home buyers taking advantage of KiwiSaver deposits and low mortgage interest rates to enter the market</w:t>
            </w:r>
            <w:r w:rsidRPr="006F674B">
              <w:t xml:space="preserve">. </w:t>
            </w:r>
            <w:r w:rsidRPr="00905515">
              <w:t xml:space="preserve">The decline from the 1990s in the proportion of households living in owner-occupied homes did not occur uniformly across the population and declined at a faster rate </w:t>
            </w:r>
            <w:r>
              <w:t xml:space="preserve">for Māori and Pacific peoples. </w:t>
            </w:r>
            <w:r w:rsidRPr="00FD6364">
              <w:t>For Māori the proportion of people living in an owner-occupied home declined across most of the 20th and early 21st century. Since 1991 it has fallen from 57.4% to 47.2% by 2018. For Pacific people it has dropped from 50.8% in 1986 to 35.1% in 2018</w:t>
            </w:r>
            <w:r>
              <w:t>.</w:t>
            </w:r>
            <w:r>
              <w:rPr>
                <w:rStyle w:val="FootnoteReference"/>
              </w:rPr>
              <w:footnoteReference w:id="10"/>
            </w:r>
            <w:r>
              <w:t xml:space="preserve"> </w:t>
            </w:r>
            <w:r w:rsidRPr="00905515">
              <w:t>There are</w:t>
            </w:r>
            <w:r>
              <w:t xml:space="preserve"> also</w:t>
            </w:r>
            <w:r w:rsidRPr="00905515">
              <w:t xml:space="preserve"> considerable disparities in homeownership rates by age, with homeownership rates higher for older people.</w:t>
            </w:r>
            <w:r>
              <w:rPr>
                <w:rStyle w:val="FootnoteReference"/>
              </w:rPr>
              <w:footnoteReference w:id="11"/>
            </w:r>
          </w:p>
          <w:p w14:paraId="19466B92" w14:textId="77777777" w:rsidR="002E3CD5" w:rsidRDefault="002E3CD5" w:rsidP="00AC667E">
            <w:pPr>
              <w:spacing w:after="218" w:line="240" w:lineRule="auto"/>
            </w:pPr>
            <w:r w:rsidRPr="00905515">
              <w:t xml:space="preserve">Housing investors have consistently accounted for over one-third of property purchase transactions over the past decade, with </w:t>
            </w:r>
            <w:r w:rsidRPr="006F674B">
              <w:t xml:space="preserve">investors </w:t>
            </w:r>
            <w:r>
              <w:t xml:space="preserve">making </w:t>
            </w:r>
            <w:r w:rsidRPr="006F674B">
              <w:t>almost 40% of purchases in September 2020. Investor bidding is likely to exacerbate price escalation and hinder the ability of owner-occupiers to purchase houses.</w:t>
            </w:r>
          </w:p>
          <w:p w14:paraId="3D9986B2" w14:textId="77777777" w:rsidR="002E3CD5" w:rsidRPr="001E4A45" w:rsidRDefault="002E3CD5" w:rsidP="00AC667E">
            <w:pPr>
              <w:spacing w:before="218" w:after="218" w:line="240" w:lineRule="auto"/>
              <w:rPr>
                <w:i/>
              </w:rPr>
            </w:pPr>
            <w:r w:rsidRPr="001E4A45">
              <w:rPr>
                <w:i/>
              </w:rPr>
              <w:t>Affordability for renters</w:t>
            </w:r>
          </w:p>
          <w:p w14:paraId="077E9787" w14:textId="5F3E03F6" w:rsidR="00CF333B" w:rsidRDefault="002E3CD5" w:rsidP="00AC667E">
            <w:pPr>
              <w:spacing w:after="218" w:line="240" w:lineRule="auto"/>
            </w:pPr>
            <w:r>
              <w:lastRenderedPageBreak/>
              <w:t>Housing unaffordability tends to be more pronounced for renters than owner-occupiers. In 2019, approximately one third of households were renters. This was more pronounced for lower income households with nearly half of all households in the lowest income decile renting. In 2020, 45% of renters spent 30% or more of their income on housing costs compared to 25% for owner-occupiers.</w:t>
            </w:r>
            <w:r>
              <w:rPr>
                <w:rStyle w:val="FootnoteReference"/>
              </w:rPr>
              <w:footnoteReference w:id="12"/>
            </w:r>
            <w:r>
              <w:t xml:space="preserve"> </w:t>
            </w:r>
            <w:r w:rsidR="00CF333B">
              <w:t xml:space="preserve"> </w:t>
            </w:r>
            <w:r w:rsidR="00CF333B" w:rsidRPr="00533DCD">
              <w:t xml:space="preserve">This high ratio of rents to incomes has been steady nationally for more than a decade. However, rents have grown much faster than incomes for some groups, including low-income renters, beneficiaries, </w:t>
            </w:r>
            <w:r w:rsidR="00BB5703" w:rsidRPr="00BF1B40">
              <w:t>and renters</w:t>
            </w:r>
            <w:r w:rsidR="00CF333B" w:rsidRPr="00533DCD">
              <w:t xml:space="preserve"> in major centres (such as Auckland and Wellington) and in some regions (such as Bay of Plenty, Taranaki and Gisborne). Several factors explain increasing rent prices including the cost to supply rentals</w:t>
            </w:r>
            <w:r w:rsidR="00BB5703">
              <w:t xml:space="preserve"> and incomes. </w:t>
            </w:r>
          </w:p>
          <w:p w14:paraId="1E87D117" w14:textId="77777777" w:rsidR="002E3CD5" w:rsidRDefault="002E3CD5" w:rsidP="00AC667E">
            <w:pPr>
              <w:spacing w:after="218" w:line="240" w:lineRule="auto"/>
              <w:rPr>
                <w:b/>
              </w:rPr>
            </w:pPr>
            <w:r>
              <w:rPr>
                <w:b/>
              </w:rPr>
              <w:t>The drivers of unaffordability are multifaceted and complex</w:t>
            </w:r>
          </w:p>
          <w:p w14:paraId="5B6D17ED" w14:textId="77777777" w:rsidR="002E3CD5" w:rsidRDefault="002E3CD5" w:rsidP="00AC667E">
            <w:pPr>
              <w:spacing w:after="218" w:line="240" w:lineRule="auto"/>
              <w:rPr>
                <w:i/>
              </w:rPr>
            </w:pPr>
            <w:r>
              <w:rPr>
                <w:i/>
              </w:rPr>
              <w:t>Supply issues</w:t>
            </w:r>
          </w:p>
          <w:p w14:paraId="033BBE43" w14:textId="77777777" w:rsidR="002E3CD5" w:rsidRDefault="002E3CD5" w:rsidP="00AC667E">
            <w:pPr>
              <w:pStyle w:val="CabStandard"/>
              <w:spacing w:after="218"/>
              <w:rPr>
                <w:rFonts w:ascii="Arial" w:hAnsi="Arial"/>
                <w:sz w:val="22"/>
                <w:lang w:eastAsia="en-GB"/>
              </w:rPr>
            </w:pPr>
            <w:r>
              <w:rPr>
                <w:rFonts w:ascii="Arial" w:hAnsi="Arial"/>
                <w:sz w:val="22"/>
                <w:lang w:eastAsia="en-GB"/>
              </w:rPr>
              <w:t xml:space="preserve">Restrictions on the ability to increase housing supply </w:t>
            </w:r>
            <w:r w:rsidR="005B2349">
              <w:rPr>
                <w:rFonts w:ascii="Arial" w:hAnsi="Arial"/>
                <w:sz w:val="22"/>
                <w:lang w:eastAsia="en-GB"/>
              </w:rPr>
              <w:t xml:space="preserve">in the short term </w:t>
            </w:r>
            <w:r>
              <w:rPr>
                <w:rFonts w:ascii="Arial" w:hAnsi="Arial"/>
                <w:sz w:val="22"/>
                <w:lang w:eastAsia="en-GB"/>
              </w:rPr>
              <w:t>mean that demand bids up the price of existing housing stock rather than contributing to greater housing construction</w:t>
            </w:r>
            <w:r w:rsidR="005B2349">
              <w:rPr>
                <w:rFonts w:ascii="Arial" w:hAnsi="Arial"/>
                <w:sz w:val="22"/>
                <w:lang w:eastAsia="en-GB"/>
              </w:rPr>
              <w:t xml:space="preserve"> in the short term</w:t>
            </w:r>
            <w:r>
              <w:rPr>
                <w:rFonts w:ascii="Arial" w:hAnsi="Arial"/>
                <w:sz w:val="22"/>
                <w:lang w:eastAsia="en-GB"/>
              </w:rPr>
              <w:t>. Such restrictions include regulatory barriers (e.g. zoning and height restrictions), increasing costs of building, and a lack of long-term infrastructure planning. Contributing to the lack of planning is local councils</w:t>
            </w:r>
            <w:r w:rsidR="00E52224">
              <w:rPr>
                <w:rFonts w:ascii="Arial" w:hAnsi="Arial"/>
                <w:sz w:val="22"/>
                <w:lang w:eastAsia="en-GB"/>
              </w:rPr>
              <w:t>’</w:t>
            </w:r>
            <w:r>
              <w:rPr>
                <w:rFonts w:ascii="Arial" w:hAnsi="Arial"/>
                <w:sz w:val="22"/>
                <w:lang w:eastAsia="en-GB"/>
              </w:rPr>
              <w:t xml:space="preserve"> limited access to financial capital. </w:t>
            </w:r>
          </w:p>
          <w:p w14:paraId="25FEB7AE" w14:textId="77777777" w:rsidR="002E3CD5" w:rsidRDefault="002E3CD5" w:rsidP="00AC667E">
            <w:pPr>
              <w:pStyle w:val="CabStandard"/>
              <w:spacing w:after="218"/>
              <w:rPr>
                <w:rFonts w:ascii="Arial" w:hAnsi="Arial"/>
                <w:sz w:val="22"/>
                <w:lang w:eastAsia="en-GB"/>
              </w:rPr>
            </w:pPr>
            <w:r>
              <w:rPr>
                <w:rFonts w:ascii="Arial" w:hAnsi="Arial"/>
                <w:sz w:val="22"/>
                <w:lang w:eastAsia="en-GB"/>
              </w:rPr>
              <w:t>As a result of these supply-side restrictions, increases in housing supply has not kept up with increases in demand over the last 40 years. Estimates of the shortage range between 40,000 and 130,000 houses.</w:t>
            </w:r>
            <w:r>
              <w:rPr>
                <w:rStyle w:val="FootnoteReference"/>
                <w:lang w:eastAsia="en-GB"/>
              </w:rPr>
              <w:footnoteReference w:id="13"/>
            </w:r>
            <w:r>
              <w:rPr>
                <w:rFonts w:ascii="Arial" w:hAnsi="Arial"/>
                <w:sz w:val="22"/>
                <w:lang w:eastAsia="en-GB"/>
              </w:rPr>
              <w:t xml:space="preserve">   </w:t>
            </w:r>
          </w:p>
          <w:p w14:paraId="37D94F8D" w14:textId="77777777" w:rsidR="002E3CD5" w:rsidRDefault="002E3CD5" w:rsidP="00AC667E">
            <w:pPr>
              <w:spacing w:after="218" w:line="240" w:lineRule="auto"/>
              <w:rPr>
                <w:i/>
              </w:rPr>
            </w:pPr>
            <w:r>
              <w:rPr>
                <w:i/>
              </w:rPr>
              <w:t>Demand issues</w:t>
            </w:r>
          </w:p>
          <w:p w14:paraId="26CDADB0" w14:textId="692AD0AD" w:rsidR="002E3CD5" w:rsidRDefault="002E3CD5" w:rsidP="00AC667E">
            <w:pPr>
              <w:pStyle w:val="CabStandard"/>
              <w:spacing w:after="218"/>
              <w:rPr>
                <w:rFonts w:ascii="Arial" w:hAnsi="Arial" w:cs="Arial"/>
                <w:sz w:val="22"/>
                <w:szCs w:val="22"/>
              </w:rPr>
            </w:pPr>
            <w:r w:rsidRPr="003C7ABF">
              <w:rPr>
                <w:rFonts w:ascii="Arial" w:hAnsi="Arial" w:cs="Arial"/>
                <w:sz w:val="22"/>
                <w:szCs w:val="22"/>
              </w:rPr>
              <w:t>Demand side factors are also putting upward pressure on prices. Falling interest rates have resulted in an increase in house prices, creating capital gains for existing property owners but worsening the position of prospective first home buyers. The removal of loan to value ratio (LVR) restrictions</w:t>
            </w:r>
            <w:r w:rsidR="00CE7F15">
              <w:rPr>
                <w:rFonts w:ascii="Arial" w:hAnsi="Arial" w:cs="Arial"/>
                <w:sz w:val="22"/>
                <w:szCs w:val="22"/>
              </w:rPr>
              <w:t xml:space="preserve"> by the Reserve Bank of New Zealand </w:t>
            </w:r>
            <w:r w:rsidRPr="003C7ABF">
              <w:rPr>
                <w:rFonts w:ascii="Arial" w:hAnsi="Arial" w:cs="Arial"/>
                <w:sz w:val="22"/>
                <w:szCs w:val="22"/>
              </w:rPr>
              <w:t>in response to COVID</w:t>
            </w:r>
            <w:r w:rsidRPr="003C7ABF">
              <w:rPr>
                <w:rFonts w:ascii="Arial" w:hAnsi="Arial" w:cs="Arial"/>
                <w:sz w:val="22"/>
                <w:szCs w:val="22"/>
              </w:rPr>
              <w:noBreakHyphen/>
              <w:t>19 allowed highly</w:t>
            </w:r>
            <w:r w:rsidRPr="003C7ABF">
              <w:rPr>
                <w:rFonts w:ascii="Arial" w:hAnsi="Arial" w:cs="Arial"/>
                <w:sz w:val="22"/>
                <w:szCs w:val="22"/>
              </w:rPr>
              <w:noBreakHyphen/>
              <w:t>leveraged investors to re-enter the market, exacerbating price pressures. High population growth has</w:t>
            </w:r>
            <w:r>
              <w:rPr>
                <w:rFonts w:ascii="Arial" w:hAnsi="Arial" w:cs="Arial"/>
                <w:sz w:val="22"/>
                <w:szCs w:val="22"/>
              </w:rPr>
              <w:t xml:space="preserve"> also</w:t>
            </w:r>
            <w:r w:rsidRPr="003C7ABF">
              <w:rPr>
                <w:rFonts w:ascii="Arial" w:hAnsi="Arial" w:cs="Arial"/>
                <w:sz w:val="22"/>
                <w:szCs w:val="22"/>
              </w:rPr>
              <w:t xml:space="preserve"> increased demand for housing over recent decades.</w:t>
            </w:r>
          </w:p>
          <w:p w14:paraId="3B8D0E22" w14:textId="77777777" w:rsidR="002E3CD5" w:rsidRPr="009C4129" w:rsidRDefault="002E3CD5" w:rsidP="00AC667E">
            <w:pPr>
              <w:spacing w:after="218" w:line="240" w:lineRule="auto"/>
              <w:rPr>
                <w:rFonts w:cs="Arial"/>
                <w:szCs w:val="22"/>
                <w:lang w:eastAsia="en-AU"/>
              </w:rPr>
            </w:pPr>
            <w:r>
              <w:t xml:space="preserve">While tax settings are not the primary driver of housing affordability, current tax settings incentivise investment in housing. In the context of constrained supply, lightly taxing housing relative to other forms of income will lead to higher property prices than would otherwise be expected. </w:t>
            </w:r>
            <w:bookmarkStart w:id="5" w:name="fnB1"/>
            <w:bookmarkEnd w:id="5"/>
          </w:p>
        </w:tc>
      </w:tr>
      <w:tr w:rsidR="002E3CD5" w:rsidRPr="009C4129" w14:paraId="3823A4EB" w14:textId="77777777" w:rsidTr="00AC667E">
        <w:tc>
          <w:tcPr>
            <w:tcW w:w="5000" w:type="pct"/>
            <w:gridSpan w:val="2"/>
            <w:shd w:val="clear" w:color="auto" w:fill="99CDDD"/>
          </w:tcPr>
          <w:p w14:paraId="6EE090E5" w14:textId="77777777" w:rsidR="002E3CD5" w:rsidRPr="00384E9B" w:rsidRDefault="002E3CD5" w:rsidP="00AC667E">
            <w:pPr>
              <w:pStyle w:val="Heading5"/>
              <w:spacing w:before="54" w:after="54" w:line="240" w:lineRule="auto"/>
              <w:jc w:val="both"/>
              <w:rPr>
                <w:rFonts w:eastAsia="Calibri" w:cs="Arial"/>
                <w:b/>
                <w:color w:val="auto"/>
              </w:rPr>
            </w:pPr>
            <w:r>
              <w:rPr>
                <w:rFonts w:cs="Arial"/>
                <w:b/>
                <w:color w:val="auto"/>
              </w:rPr>
              <w:lastRenderedPageBreak/>
              <w:t xml:space="preserve">2.2   </w:t>
            </w:r>
            <w:r w:rsidRPr="00384E9B">
              <w:rPr>
                <w:rFonts w:cs="Arial"/>
                <w:b/>
                <w:color w:val="auto"/>
              </w:rPr>
              <w:t>What regulatory system</w:t>
            </w:r>
            <w:r>
              <w:rPr>
                <w:rFonts w:cs="Arial"/>
                <w:b/>
                <w:color w:val="auto"/>
              </w:rPr>
              <w:t>(s)</w:t>
            </w:r>
            <w:r w:rsidRPr="00384E9B">
              <w:rPr>
                <w:rFonts w:cs="Arial"/>
                <w:b/>
                <w:color w:val="auto"/>
              </w:rPr>
              <w:t xml:space="preserve"> are already in place?</w:t>
            </w:r>
          </w:p>
        </w:tc>
      </w:tr>
      <w:tr w:rsidR="002E3CD5" w:rsidRPr="009C4129" w14:paraId="36904C81" w14:textId="77777777" w:rsidTr="00AC667E">
        <w:trPr>
          <w:trHeight w:val="3711"/>
        </w:trPr>
        <w:tc>
          <w:tcPr>
            <w:tcW w:w="5000" w:type="pct"/>
            <w:gridSpan w:val="2"/>
            <w:shd w:val="clear" w:color="auto" w:fill="FFFFFF"/>
          </w:tcPr>
          <w:p w14:paraId="4A7A8B6F" w14:textId="77777777" w:rsidR="002E3CD5" w:rsidRPr="00A47DB3" w:rsidRDefault="002E3CD5" w:rsidP="00C167FA">
            <w:pPr>
              <w:spacing w:before="218" w:after="218" w:line="240" w:lineRule="auto"/>
              <w:rPr>
                <w:i/>
                <w:lang w:eastAsia="en-AU"/>
              </w:rPr>
            </w:pPr>
            <w:r w:rsidRPr="00A47DB3">
              <w:rPr>
                <w:i/>
                <w:lang w:eastAsia="en-AU"/>
              </w:rPr>
              <w:t xml:space="preserve">Taxation of residential </w:t>
            </w:r>
            <w:r>
              <w:rPr>
                <w:i/>
                <w:lang w:eastAsia="en-AU"/>
              </w:rPr>
              <w:t xml:space="preserve">rental </w:t>
            </w:r>
            <w:r w:rsidRPr="00A47DB3">
              <w:rPr>
                <w:i/>
                <w:lang w:eastAsia="en-AU"/>
              </w:rPr>
              <w:t>housing</w:t>
            </w:r>
          </w:p>
          <w:p w14:paraId="5A4406C7" w14:textId="4C30605A" w:rsidR="002E3CD5" w:rsidRDefault="002E3CD5" w:rsidP="00AC667E">
            <w:pPr>
              <w:spacing w:after="218" w:line="240" w:lineRule="auto"/>
              <w:rPr>
                <w:lang w:eastAsia="en-AU"/>
              </w:rPr>
            </w:pPr>
            <w:r>
              <w:rPr>
                <w:lang w:eastAsia="en-AU"/>
              </w:rPr>
              <w:t xml:space="preserve">Income generated from renting residential houses is subject to income tax.  That is, the gross rental less expenses (including interest) is taxed at the investor’s marginal tax rate.  Losses from rental property are ring-fenced, </w:t>
            </w:r>
            <w:r w:rsidRPr="00C7681B">
              <w:rPr>
                <w:szCs w:val="22"/>
              </w:rPr>
              <w:t>which means they can only be used to offset income from residential property, not the taxpayer’s other income such as</w:t>
            </w:r>
            <w:r w:rsidR="00CE7F15">
              <w:rPr>
                <w:szCs w:val="22"/>
              </w:rPr>
              <w:t xml:space="preserve"> their</w:t>
            </w:r>
            <w:r w:rsidRPr="00C7681B">
              <w:rPr>
                <w:szCs w:val="22"/>
              </w:rPr>
              <w:t xml:space="preserve"> salary and wages.</w:t>
            </w:r>
          </w:p>
          <w:p w14:paraId="7EC4D7E1" w14:textId="77777777" w:rsidR="002E3CD5" w:rsidRPr="00302AC3" w:rsidRDefault="002E3CD5" w:rsidP="00AC667E">
            <w:pPr>
              <w:spacing w:after="218" w:line="240" w:lineRule="auto"/>
              <w:rPr>
                <w:i/>
                <w:lang w:eastAsia="en-AU"/>
              </w:rPr>
            </w:pPr>
            <w:r>
              <w:rPr>
                <w:i/>
                <w:lang w:eastAsia="en-AU"/>
              </w:rPr>
              <w:t>Taxation of capital gains from residential housing</w:t>
            </w:r>
          </w:p>
          <w:p w14:paraId="609ADFE7" w14:textId="4B5DA311" w:rsidR="002E3CD5" w:rsidRDefault="002E3CD5" w:rsidP="00AC667E">
            <w:pPr>
              <w:spacing w:after="218" w:line="240" w:lineRule="auto"/>
              <w:rPr>
                <w:lang w:eastAsia="en-AU"/>
              </w:rPr>
            </w:pPr>
            <w:r>
              <w:rPr>
                <w:lang w:eastAsia="en-AU"/>
              </w:rPr>
              <w:t>There are a number of tax rules that determine whether the</w:t>
            </w:r>
            <w:r w:rsidR="00CE7F15">
              <w:rPr>
                <w:lang w:eastAsia="en-AU"/>
              </w:rPr>
              <w:t xml:space="preserve"> capital</w:t>
            </w:r>
            <w:r>
              <w:rPr>
                <w:lang w:eastAsia="en-AU"/>
              </w:rPr>
              <w:t xml:space="preserve"> gains from the sale of property are taxable.  For example, gains from the sale of residential property will be taxable if the purchaser acquired the property with the intention of disposing of it, or if they are engaged in regular property trading and/or development pattern.</w:t>
            </w:r>
          </w:p>
          <w:p w14:paraId="308C82DA" w14:textId="2A9474A9" w:rsidR="002E3CD5" w:rsidRDefault="00CE7F15" w:rsidP="00AC667E">
            <w:pPr>
              <w:spacing w:after="218" w:line="240" w:lineRule="auto"/>
              <w:rPr>
                <w:lang w:eastAsia="en-AU"/>
              </w:rPr>
            </w:pPr>
            <w:r>
              <w:rPr>
                <w:lang w:eastAsia="en-AU"/>
              </w:rPr>
              <w:t xml:space="preserve">A </w:t>
            </w:r>
            <w:r w:rsidR="008D1ECE">
              <w:rPr>
                <w:lang w:eastAsia="en-AU"/>
              </w:rPr>
              <w:t>5</w:t>
            </w:r>
            <w:r>
              <w:rPr>
                <w:lang w:eastAsia="en-AU"/>
              </w:rPr>
              <w:t xml:space="preserve">-year </w:t>
            </w:r>
            <w:r w:rsidR="002E3CD5">
              <w:rPr>
                <w:lang w:eastAsia="en-AU"/>
              </w:rPr>
              <w:t xml:space="preserve">bright-line test for the taxation of residential investment property is already in place.  </w:t>
            </w:r>
            <w:r w:rsidR="002E3CD5" w:rsidRPr="00C7681B">
              <w:rPr>
                <w:szCs w:val="22"/>
              </w:rPr>
              <w:t xml:space="preserve">The policy intent was that the bright-line period </w:t>
            </w:r>
            <w:r w:rsidR="002E3CD5">
              <w:rPr>
                <w:szCs w:val="22"/>
              </w:rPr>
              <w:t>w</w:t>
            </w:r>
            <w:r w:rsidR="002E3CD5" w:rsidRPr="00C7681B">
              <w:rPr>
                <w:szCs w:val="22"/>
              </w:rPr>
              <w:t>ould act as a proxy for determining intent – that is, if someone purchases a property and disposes of it within a short period, it was likely that their intent when purchasing the property was to dispose of it.</w:t>
            </w:r>
          </w:p>
          <w:p w14:paraId="1984A82F" w14:textId="77777777" w:rsidR="002E3CD5" w:rsidRDefault="002E3CD5" w:rsidP="00AC667E">
            <w:pPr>
              <w:spacing w:after="218" w:line="240" w:lineRule="auto"/>
              <w:rPr>
                <w:lang w:eastAsia="en-AU"/>
              </w:rPr>
            </w:pPr>
            <w:r>
              <w:rPr>
                <w:lang w:eastAsia="en-AU"/>
              </w:rPr>
              <w:t xml:space="preserve">For properties purchased on </w:t>
            </w:r>
            <w:r w:rsidRPr="00877BFD">
              <w:rPr>
                <w:lang w:eastAsia="en-AU"/>
              </w:rPr>
              <w:t xml:space="preserve">or after 1 October 2015 through to 28 March 2018 </w:t>
            </w:r>
            <w:r>
              <w:rPr>
                <w:lang w:eastAsia="en-AU"/>
              </w:rPr>
              <w:t>(</w:t>
            </w:r>
            <w:r w:rsidRPr="00877BFD">
              <w:rPr>
                <w:lang w:eastAsia="en-AU"/>
              </w:rPr>
              <w:t>inclusive</w:t>
            </w:r>
            <w:r>
              <w:rPr>
                <w:lang w:eastAsia="en-AU"/>
              </w:rPr>
              <w:t>)</w:t>
            </w:r>
            <w:r w:rsidRPr="00877BFD">
              <w:rPr>
                <w:lang w:eastAsia="en-AU"/>
              </w:rPr>
              <w:t xml:space="preserve">, </w:t>
            </w:r>
            <w:r>
              <w:rPr>
                <w:lang w:eastAsia="en-AU"/>
              </w:rPr>
              <w:t xml:space="preserve">the bright-line rule applies to residential properties bought and </w:t>
            </w:r>
            <w:r w:rsidRPr="00877BFD">
              <w:rPr>
                <w:lang w:eastAsia="en-AU"/>
              </w:rPr>
              <w:t xml:space="preserve">sold within </w:t>
            </w:r>
            <w:r>
              <w:rPr>
                <w:lang w:eastAsia="en-AU"/>
              </w:rPr>
              <w:t>two</w:t>
            </w:r>
            <w:r w:rsidRPr="00877BFD">
              <w:rPr>
                <w:lang w:eastAsia="en-AU"/>
              </w:rPr>
              <w:t xml:space="preserve"> years</w:t>
            </w:r>
            <w:r>
              <w:rPr>
                <w:lang w:eastAsia="en-AU"/>
              </w:rPr>
              <w:t xml:space="preserve">.  Since 29 March 2018, any residential property bought and sold within five years is taxable. </w:t>
            </w:r>
          </w:p>
          <w:p w14:paraId="1134D564" w14:textId="77777777" w:rsidR="002E3CD5" w:rsidRDefault="002E3CD5" w:rsidP="00AC667E">
            <w:pPr>
              <w:spacing w:after="218" w:line="240" w:lineRule="auto"/>
              <w:rPr>
                <w:lang w:eastAsia="en-AU"/>
              </w:rPr>
            </w:pPr>
            <w:r>
              <w:rPr>
                <w:lang w:eastAsia="en-AU"/>
              </w:rPr>
              <w:t xml:space="preserve">The rule applies subject to some exemptions. </w:t>
            </w:r>
            <w:r w:rsidRPr="00C7681B">
              <w:rPr>
                <w:szCs w:val="22"/>
              </w:rPr>
              <w:t xml:space="preserve">The bright-line test does not apply to sales of the main residence (owner-occupiers). </w:t>
            </w:r>
            <w:r>
              <w:rPr>
                <w:szCs w:val="22"/>
              </w:rPr>
              <w:t xml:space="preserve"> The only other exemptions are for </w:t>
            </w:r>
            <w:r w:rsidRPr="00C7681B">
              <w:rPr>
                <w:szCs w:val="22"/>
              </w:rPr>
              <w:t xml:space="preserve">inherited property and rollover relief for certain transfers of relationship property. </w:t>
            </w:r>
          </w:p>
          <w:p w14:paraId="32EB074A" w14:textId="77777777" w:rsidR="002E3CD5" w:rsidRDefault="002E3CD5" w:rsidP="00AC667E">
            <w:pPr>
              <w:spacing w:after="218" w:line="240" w:lineRule="auto"/>
              <w:rPr>
                <w:lang w:eastAsia="en-AU"/>
              </w:rPr>
            </w:pPr>
            <w:r w:rsidRPr="001D2740">
              <w:rPr>
                <w:lang w:eastAsia="en-AU"/>
              </w:rPr>
              <w:t xml:space="preserve">There are concerns about compliance with the existing bright-line test. </w:t>
            </w:r>
            <w:r>
              <w:rPr>
                <w:lang w:eastAsia="en-AU"/>
              </w:rPr>
              <w:t xml:space="preserve"> </w:t>
            </w:r>
            <w:r w:rsidRPr="001D2740">
              <w:rPr>
                <w:lang w:eastAsia="en-AU"/>
              </w:rPr>
              <w:t xml:space="preserve">Inland Revenue uses an analysis of </w:t>
            </w:r>
            <w:r>
              <w:rPr>
                <w:lang w:eastAsia="en-AU"/>
              </w:rPr>
              <w:t>Land Information New Zealand (LINZ)</w:t>
            </w:r>
            <w:r w:rsidRPr="001D2740">
              <w:rPr>
                <w:lang w:eastAsia="en-AU"/>
              </w:rPr>
              <w:t xml:space="preserve"> tax statement data compared to tax return information to approximate levels of compliance with the bright-line test. </w:t>
            </w:r>
            <w:r>
              <w:rPr>
                <w:lang w:eastAsia="en-AU"/>
              </w:rPr>
              <w:t xml:space="preserve"> </w:t>
            </w:r>
          </w:p>
          <w:p w14:paraId="7D8370EE" w14:textId="77777777" w:rsidR="002E3CD5" w:rsidRPr="002428A4" w:rsidRDefault="002E3CD5" w:rsidP="00AC667E">
            <w:pPr>
              <w:spacing w:after="218" w:line="240" w:lineRule="auto"/>
              <w:rPr>
                <w:rFonts w:cs="Arial"/>
                <w:szCs w:val="22"/>
                <w:lang w:eastAsia="en-AU"/>
              </w:rPr>
            </w:pPr>
            <w:r w:rsidRPr="001D2740">
              <w:rPr>
                <w:lang w:eastAsia="en-AU"/>
              </w:rPr>
              <w:t>Compliance levels are constantly changing as annual interventions are carried out including marketing, education, returns policing, direct mail</w:t>
            </w:r>
            <w:r>
              <w:rPr>
                <w:lang w:eastAsia="en-AU"/>
              </w:rPr>
              <w:t>-</w:t>
            </w:r>
            <w:r w:rsidRPr="001D2740">
              <w:rPr>
                <w:lang w:eastAsia="en-AU"/>
              </w:rPr>
              <w:t>outs, community compliance visits and audits.  From March 2021</w:t>
            </w:r>
            <w:r>
              <w:rPr>
                <w:lang w:eastAsia="en-AU"/>
              </w:rPr>
              <w:t>,</w:t>
            </w:r>
            <w:r w:rsidRPr="001D2740">
              <w:rPr>
                <w:lang w:eastAsia="en-AU"/>
              </w:rPr>
              <w:t xml:space="preserve"> all customers who have sold a residential property within the bright-line period will receive a letter advising them of their potential obligation and providing resources for them to assess their situation</w:t>
            </w:r>
            <w:r>
              <w:rPr>
                <w:lang w:eastAsia="en-AU"/>
              </w:rPr>
              <w:t>.</w:t>
            </w:r>
          </w:p>
        </w:tc>
      </w:tr>
      <w:tr w:rsidR="002E3CD5" w:rsidRPr="009C4129" w14:paraId="4CFAD0C2" w14:textId="77777777" w:rsidTr="00AC6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pct"/>
          <w:trHeight w:val="77"/>
        </w:trPr>
        <w:tc>
          <w:tcPr>
            <w:tcW w:w="4945" w:type="pct"/>
            <w:tcBorders>
              <w:top w:val="single" w:sz="4" w:space="0" w:color="DDDDDD"/>
              <w:left w:val="single" w:sz="4" w:space="0" w:color="DDDDDD"/>
              <w:bottom w:val="single" w:sz="4" w:space="0" w:color="DDDDDD"/>
              <w:right w:val="single" w:sz="4" w:space="0" w:color="DDDDDD"/>
            </w:tcBorders>
            <w:shd w:val="clear" w:color="auto" w:fill="99CDDD"/>
            <w:hideMark/>
          </w:tcPr>
          <w:p w14:paraId="58D3B605" w14:textId="77777777" w:rsidR="002E3CD5" w:rsidRPr="009C4129" w:rsidRDefault="002E3CD5" w:rsidP="00AC667E">
            <w:pPr>
              <w:pStyle w:val="Heading5"/>
              <w:spacing w:before="54" w:after="54" w:line="240" w:lineRule="auto"/>
              <w:jc w:val="both"/>
              <w:rPr>
                <w:rFonts w:cs="Arial"/>
                <w:b/>
                <w:color w:val="auto"/>
              </w:rPr>
            </w:pPr>
            <w:r>
              <w:rPr>
                <w:rFonts w:cs="Arial"/>
                <w:b/>
                <w:color w:val="auto"/>
              </w:rPr>
              <w:t xml:space="preserve">2.3   </w:t>
            </w:r>
            <w:r w:rsidRPr="009C4129">
              <w:rPr>
                <w:rFonts w:cs="Arial"/>
                <w:b/>
                <w:color w:val="auto"/>
              </w:rPr>
              <w:t xml:space="preserve">What is the policy problem or opportunity? </w:t>
            </w:r>
          </w:p>
        </w:tc>
      </w:tr>
      <w:tr w:rsidR="002E3CD5" w:rsidRPr="009C4129" w14:paraId="0E62AB8C" w14:textId="77777777" w:rsidTr="00C16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pct"/>
          <w:trHeight w:val="898"/>
        </w:trPr>
        <w:tc>
          <w:tcPr>
            <w:tcW w:w="4945" w:type="pct"/>
            <w:tcBorders>
              <w:top w:val="single" w:sz="4" w:space="0" w:color="DDDDDD"/>
              <w:left w:val="single" w:sz="4" w:space="0" w:color="DDDDDD"/>
              <w:bottom w:val="single" w:sz="4" w:space="0" w:color="DDDDDD"/>
              <w:right w:val="single" w:sz="4" w:space="0" w:color="DDDDDD"/>
            </w:tcBorders>
            <w:shd w:val="clear" w:color="auto" w:fill="FFFFFF"/>
          </w:tcPr>
          <w:p w14:paraId="4D276E61" w14:textId="77777777" w:rsidR="002E3CD5" w:rsidRDefault="002E3CD5" w:rsidP="00C167FA">
            <w:pPr>
              <w:spacing w:before="218" w:after="218" w:line="240" w:lineRule="auto"/>
              <w:rPr>
                <w:rFonts w:cs="Arial"/>
                <w:szCs w:val="22"/>
                <w:lang w:eastAsia="en-AU"/>
              </w:rPr>
            </w:pPr>
            <w:r w:rsidRPr="00546C57">
              <w:rPr>
                <w:rFonts w:cs="Arial"/>
                <w:szCs w:val="22"/>
                <w:lang w:eastAsia="en-AU"/>
              </w:rPr>
              <w:t xml:space="preserve">The cost of buying a house is placing significant </w:t>
            </w:r>
            <w:r>
              <w:rPr>
                <w:rFonts w:cs="Arial"/>
                <w:szCs w:val="22"/>
                <w:lang w:eastAsia="en-AU"/>
              </w:rPr>
              <w:t xml:space="preserve">financial </w:t>
            </w:r>
            <w:r w:rsidRPr="00546C57">
              <w:rPr>
                <w:rFonts w:cs="Arial"/>
                <w:szCs w:val="22"/>
                <w:lang w:eastAsia="en-AU"/>
              </w:rPr>
              <w:t xml:space="preserve">stress on households and having perverse </w:t>
            </w:r>
            <w:r w:rsidRPr="00C167FA">
              <w:t>effects</w:t>
            </w:r>
            <w:r w:rsidRPr="00546C57">
              <w:rPr>
                <w:rFonts w:cs="Arial"/>
                <w:szCs w:val="22"/>
                <w:lang w:eastAsia="en-AU"/>
              </w:rPr>
              <w:t xml:space="preserve"> on equity</w:t>
            </w:r>
            <w:r w:rsidR="005B2349">
              <w:rPr>
                <w:rFonts w:cs="Arial"/>
                <w:szCs w:val="22"/>
                <w:lang w:eastAsia="en-AU"/>
              </w:rPr>
              <w:t xml:space="preserve"> (including </w:t>
            </w:r>
            <w:r w:rsidR="005B2349" w:rsidRPr="00546C57">
              <w:rPr>
                <w:rFonts w:cs="Arial"/>
                <w:szCs w:val="22"/>
                <w:lang w:eastAsia="en-AU"/>
              </w:rPr>
              <w:t>intergenerational</w:t>
            </w:r>
            <w:r w:rsidR="005B2349">
              <w:rPr>
                <w:rFonts w:cs="Arial"/>
                <w:szCs w:val="22"/>
                <w:lang w:eastAsia="en-AU"/>
              </w:rPr>
              <w:t xml:space="preserve"> equity)</w:t>
            </w:r>
            <w:r>
              <w:rPr>
                <w:rFonts w:cs="Arial"/>
                <w:szCs w:val="22"/>
                <w:lang w:eastAsia="en-AU"/>
              </w:rPr>
              <w:t xml:space="preserve">.  </w:t>
            </w:r>
            <w:r w:rsidRPr="00546C57">
              <w:rPr>
                <w:rFonts w:cs="Arial"/>
                <w:szCs w:val="22"/>
                <w:lang w:eastAsia="en-AU"/>
              </w:rPr>
              <w:t xml:space="preserve">House prices </w:t>
            </w:r>
            <w:r>
              <w:rPr>
                <w:rFonts w:cs="Arial"/>
                <w:szCs w:val="22"/>
                <w:lang w:eastAsia="en-AU"/>
              </w:rPr>
              <w:t>compared to income</w:t>
            </w:r>
            <w:r w:rsidRPr="00546C57">
              <w:rPr>
                <w:rFonts w:cs="Arial"/>
                <w:szCs w:val="22"/>
                <w:lang w:eastAsia="en-AU"/>
              </w:rPr>
              <w:t xml:space="preserve"> in New Zealand </w:t>
            </w:r>
            <w:r>
              <w:rPr>
                <w:rFonts w:cs="Arial"/>
                <w:szCs w:val="22"/>
                <w:lang w:eastAsia="en-AU"/>
              </w:rPr>
              <w:t xml:space="preserve">are high by international </w:t>
            </w:r>
            <w:r w:rsidRPr="000F45B4">
              <w:rPr>
                <w:lang w:eastAsia="en-AU"/>
              </w:rPr>
              <w:t>standards</w:t>
            </w:r>
            <w:r>
              <w:rPr>
                <w:rFonts w:cs="Arial"/>
                <w:szCs w:val="22"/>
                <w:lang w:eastAsia="en-AU"/>
              </w:rPr>
              <w:t xml:space="preserve"> and have </w:t>
            </w:r>
            <w:r w:rsidRPr="00546C57">
              <w:rPr>
                <w:rFonts w:cs="Arial"/>
                <w:szCs w:val="22"/>
                <w:lang w:eastAsia="en-AU"/>
              </w:rPr>
              <w:t>increas</w:t>
            </w:r>
            <w:r>
              <w:rPr>
                <w:rFonts w:cs="Arial"/>
                <w:szCs w:val="22"/>
                <w:lang w:eastAsia="en-AU"/>
              </w:rPr>
              <w:t>ed further over recent years.  Rates of homeownership have declined significantly since the 1990s.  As noted above, this impacts people’s living standards.</w:t>
            </w:r>
          </w:p>
          <w:p w14:paraId="7CC25926" w14:textId="66C80D7D" w:rsidR="002E3CD5" w:rsidRDefault="002E3CD5" w:rsidP="00AC667E">
            <w:pPr>
              <w:spacing w:after="218" w:line="240" w:lineRule="auto"/>
              <w:rPr>
                <w:rFonts w:cs="Arial"/>
                <w:szCs w:val="22"/>
                <w:lang w:eastAsia="en-AU"/>
              </w:rPr>
            </w:pPr>
            <w:r>
              <w:rPr>
                <w:rFonts w:cs="Arial"/>
                <w:szCs w:val="22"/>
                <w:lang w:eastAsia="en-AU"/>
              </w:rPr>
              <w:t xml:space="preserve">The Government is also looking </w:t>
            </w:r>
            <w:r w:rsidR="00B909C7">
              <w:rPr>
                <w:rFonts w:cs="Arial"/>
                <w:szCs w:val="22"/>
                <w:lang w:eastAsia="en-AU"/>
              </w:rPr>
              <w:t>at</w:t>
            </w:r>
            <w:r>
              <w:rPr>
                <w:rFonts w:cs="Arial"/>
                <w:szCs w:val="22"/>
                <w:lang w:eastAsia="en-AU"/>
              </w:rPr>
              <w:t xml:space="preserve"> a package of supply-side measures to address housing affordability in the long term</w:t>
            </w:r>
            <w:r w:rsidR="00D76CD8">
              <w:rPr>
                <w:rFonts w:cs="Arial"/>
                <w:szCs w:val="22"/>
                <w:lang w:eastAsia="en-AU"/>
              </w:rPr>
              <w:t>.</w:t>
            </w:r>
            <w:r>
              <w:rPr>
                <w:rFonts w:cs="Arial"/>
                <w:szCs w:val="22"/>
                <w:lang w:eastAsia="en-AU"/>
              </w:rPr>
              <w:t xml:space="preserve"> </w:t>
            </w:r>
            <w:r w:rsidR="00D76CD8">
              <w:rPr>
                <w:rFonts w:cs="Arial"/>
                <w:szCs w:val="22"/>
                <w:lang w:eastAsia="en-AU"/>
              </w:rPr>
              <w:t>However,</w:t>
            </w:r>
            <w:r w:rsidR="0024369E" w:rsidDel="0024369E">
              <w:rPr>
                <w:rStyle w:val="CommentReference"/>
              </w:rPr>
              <w:t xml:space="preserve"> </w:t>
            </w:r>
            <w:r>
              <w:rPr>
                <w:rFonts w:cs="Arial"/>
                <w:szCs w:val="22"/>
                <w:lang w:eastAsia="en-AU"/>
              </w:rPr>
              <w:t xml:space="preserve">these measures will take some time to have </w:t>
            </w:r>
            <w:r w:rsidR="00E52224">
              <w:rPr>
                <w:rFonts w:cs="Arial"/>
                <w:szCs w:val="22"/>
                <w:lang w:eastAsia="en-AU"/>
              </w:rPr>
              <w:t xml:space="preserve">an </w:t>
            </w:r>
            <w:r>
              <w:rPr>
                <w:rFonts w:cs="Arial"/>
                <w:szCs w:val="22"/>
                <w:lang w:eastAsia="en-AU"/>
              </w:rPr>
              <w:t xml:space="preserve">impact.  </w:t>
            </w:r>
            <w:r w:rsidRPr="00CF159F">
              <w:rPr>
                <w:rFonts w:cs="Arial"/>
                <w:szCs w:val="22"/>
                <w:lang w:eastAsia="en-AU"/>
              </w:rPr>
              <w:t>To the extent that housing affordability concerns are due to excess demand and some of this</w:t>
            </w:r>
            <w:r>
              <w:rPr>
                <w:rFonts w:cs="Arial"/>
                <w:szCs w:val="22"/>
                <w:lang w:eastAsia="en-AU"/>
              </w:rPr>
              <w:t xml:space="preserve"> </w:t>
            </w:r>
            <w:r w:rsidRPr="00CF159F">
              <w:rPr>
                <w:rFonts w:cs="Arial"/>
                <w:szCs w:val="22"/>
                <w:lang w:eastAsia="en-AU"/>
              </w:rPr>
              <w:t xml:space="preserve">demand is from </w:t>
            </w:r>
            <w:r>
              <w:rPr>
                <w:rFonts w:cs="Arial"/>
                <w:szCs w:val="22"/>
                <w:lang w:eastAsia="en-AU"/>
              </w:rPr>
              <w:t>investors</w:t>
            </w:r>
            <w:r w:rsidRPr="00CF159F">
              <w:rPr>
                <w:rFonts w:cs="Arial"/>
                <w:szCs w:val="22"/>
                <w:lang w:eastAsia="en-AU"/>
              </w:rPr>
              <w:t xml:space="preserve">, then reducing demand </w:t>
            </w:r>
            <w:r w:rsidR="00E52224">
              <w:rPr>
                <w:rFonts w:cs="Arial"/>
                <w:szCs w:val="22"/>
                <w:lang w:eastAsia="en-AU"/>
              </w:rPr>
              <w:t xml:space="preserve">from </w:t>
            </w:r>
            <w:r>
              <w:rPr>
                <w:rFonts w:cs="Arial"/>
                <w:szCs w:val="22"/>
                <w:lang w:eastAsia="en-AU"/>
              </w:rPr>
              <w:t xml:space="preserve">investors may result in less </w:t>
            </w:r>
            <w:r w:rsidRPr="00CF159F">
              <w:rPr>
                <w:rFonts w:cs="Arial"/>
                <w:szCs w:val="22"/>
                <w:lang w:eastAsia="en-AU"/>
              </w:rPr>
              <w:t>upward pressure on house prices</w:t>
            </w:r>
            <w:r>
              <w:rPr>
                <w:rFonts w:cs="Arial"/>
                <w:szCs w:val="22"/>
                <w:lang w:eastAsia="en-AU"/>
              </w:rPr>
              <w:t>.</w:t>
            </w:r>
          </w:p>
          <w:p w14:paraId="711E6539" w14:textId="0B03D78F" w:rsidR="002E3CD5" w:rsidRPr="00E30FFC" w:rsidRDefault="002E3CD5" w:rsidP="00E14877">
            <w:pPr>
              <w:spacing w:after="218" w:line="240" w:lineRule="auto"/>
              <w:jc w:val="both"/>
              <w:rPr>
                <w:rFonts w:cs="Arial"/>
                <w:szCs w:val="22"/>
                <w:lang w:eastAsia="en-AU"/>
              </w:rPr>
            </w:pPr>
            <w:r>
              <w:rPr>
                <w:rFonts w:cs="Arial"/>
                <w:szCs w:val="22"/>
                <w:lang w:eastAsia="en-AU"/>
              </w:rPr>
              <w:t>While the tax system is not the primary driver of housing affordability, features of the tax system exacerbate th</w:t>
            </w:r>
            <w:r w:rsidR="0024369E">
              <w:rPr>
                <w:rFonts w:cs="Arial"/>
                <w:szCs w:val="22"/>
                <w:lang w:eastAsia="en-AU"/>
              </w:rPr>
              <w:t>e</w:t>
            </w:r>
            <w:r>
              <w:rPr>
                <w:rFonts w:cs="Arial"/>
                <w:szCs w:val="22"/>
                <w:lang w:eastAsia="en-AU"/>
              </w:rPr>
              <w:t xml:space="preserve"> </w:t>
            </w:r>
            <w:r w:rsidR="0024369E">
              <w:rPr>
                <w:rFonts w:cs="Arial"/>
                <w:szCs w:val="22"/>
                <w:lang w:eastAsia="en-AU"/>
              </w:rPr>
              <w:t>issue</w:t>
            </w:r>
            <w:r>
              <w:rPr>
                <w:rFonts w:cs="Arial"/>
                <w:szCs w:val="22"/>
                <w:lang w:eastAsia="en-AU"/>
              </w:rPr>
              <w:t xml:space="preserve">.  In particular, investment in housing is tax-preferred as </w:t>
            </w:r>
            <w:r>
              <w:rPr>
                <w:rFonts w:cs="Arial"/>
                <w:szCs w:val="22"/>
                <w:lang w:eastAsia="en-AU"/>
              </w:rPr>
              <w:lastRenderedPageBreak/>
              <w:t>compared to investments that do not earn large capital gains.  This creates an incentive to invest in housing over other asset classes and puts further upward pressure on property prices.</w:t>
            </w:r>
          </w:p>
        </w:tc>
      </w:tr>
      <w:tr w:rsidR="002E3CD5" w:rsidRPr="009C4129" w14:paraId="2E3D5549" w14:textId="77777777" w:rsidTr="00AC6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pct"/>
          <w:trHeight w:val="77"/>
        </w:trPr>
        <w:tc>
          <w:tcPr>
            <w:tcW w:w="4945" w:type="pct"/>
            <w:tcBorders>
              <w:top w:val="single" w:sz="4" w:space="0" w:color="DDDDDD"/>
              <w:left w:val="single" w:sz="4" w:space="0" w:color="DDDDDD"/>
              <w:bottom w:val="single" w:sz="4" w:space="0" w:color="DDDDDD"/>
              <w:right w:val="single" w:sz="4" w:space="0" w:color="DDDDDD"/>
            </w:tcBorders>
            <w:shd w:val="clear" w:color="auto" w:fill="99CDDD"/>
          </w:tcPr>
          <w:p w14:paraId="7A5BC910" w14:textId="77777777" w:rsidR="002E3CD5" w:rsidRPr="009C4129" w:rsidRDefault="002E3CD5" w:rsidP="00AC667E">
            <w:pPr>
              <w:keepNext/>
              <w:spacing w:before="54" w:after="54" w:line="240" w:lineRule="auto"/>
              <w:rPr>
                <w:rFonts w:cs="Arial"/>
                <w:b/>
                <w:szCs w:val="22"/>
              </w:rPr>
            </w:pPr>
            <w:r>
              <w:rPr>
                <w:rFonts w:cs="Arial"/>
                <w:b/>
                <w:szCs w:val="22"/>
              </w:rPr>
              <w:lastRenderedPageBreak/>
              <w:t xml:space="preserve">2.4   </w:t>
            </w:r>
            <w:r w:rsidRPr="009C4129">
              <w:rPr>
                <w:rFonts w:cs="Arial"/>
                <w:b/>
                <w:szCs w:val="22"/>
              </w:rPr>
              <w:t>What do stakeholders think</w:t>
            </w:r>
            <w:r>
              <w:rPr>
                <w:rFonts w:cs="Arial"/>
                <w:b/>
                <w:szCs w:val="22"/>
              </w:rPr>
              <w:t xml:space="preserve"> about the problem</w:t>
            </w:r>
            <w:r w:rsidRPr="009C4129">
              <w:rPr>
                <w:rFonts w:cs="Arial"/>
                <w:b/>
                <w:szCs w:val="22"/>
              </w:rPr>
              <w:t>?</w:t>
            </w:r>
          </w:p>
        </w:tc>
      </w:tr>
      <w:tr w:rsidR="002E3CD5" w:rsidRPr="009C4129" w14:paraId="5EFADAB8" w14:textId="77777777" w:rsidTr="00C16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pct"/>
          <w:trHeight w:val="2174"/>
        </w:trPr>
        <w:tc>
          <w:tcPr>
            <w:tcW w:w="4945" w:type="pct"/>
            <w:tcBorders>
              <w:top w:val="single" w:sz="4" w:space="0" w:color="DDDDDD"/>
              <w:left w:val="single" w:sz="4" w:space="0" w:color="DDDDDD"/>
              <w:bottom w:val="single" w:sz="4" w:space="0" w:color="DDDDDD"/>
              <w:right w:val="single" w:sz="4" w:space="0" w:color="DDDDDD"/>
            </w:tcBorders>
            <w:shd w:val="clear" w:color="auto" w:fill="FFFFFF"/>
          </w:tcPr>
          <w:p w14:paraId="01FDAFB5" w14:textId="77777777" w:rsidR="002E3CD5" w:rsidRDefault="002E3CD5" w:rsidP="00C167FA">
            <w:pPr>
              <w:spacing w:before="218" w:after="218" w:line="240" w:lineRule="auto"/>
              <w:rPr>
                <w:lang w:eastAsia="en-AU"/>
              </w:rPr>
            </w:pPr>
            <w:r w:rsidRPr="000F45B4">
              <w:rPr>
                <w:szCs w:val="22"/>
              </w:rPr>
              <w:t xml:space="preserve">The key </w:t>
            </w:r>
            <w:r w:rsidRPr="00C167FA">
              <w:t>stakeholders</w:t>
            </w:r>
            <w:r w:rsidRPr="000F45B4">
              <w:rPr>
                <w:szCs w:val="22"/>
              </w:rPr>
              <w:t xml:space="preserve"> are: residential property investors / landlords, renters, first home buyers, owner-occupiers, other stakeholders with interests in macro-financial stability (including banks), non-government organisations and regulatory agencies.</w:t>
            </w:r>
            <w:r>
              <w:rPr>
                <w:lang w:eastAsia="en-AU"/>
              </w:rPr>
              <w:t xml:space="preserve">  There are varying views from stakeholders as to the relative importance of supply side and demand side factors. </w:t>
            </w:r>
          </w:p>
          <w:p w14:paraId="7C4A7297" w14:textId="77777777" w:rsidR="002E3CD5" w:rsidRDefault="002E3CD5" w:rsidP="00AC667E">
            <w:pPr>
              <w:spacing w:after="218" w:line="240" w:lineRule="auto"/>
              <w:rPr>
                <w:lang w:eastAsia="en-AU"/>
              </w:rPr>
            </w:pPr>
            <w:r>
              <w:rPr>
                <w:lang w:eastAsia="en-AU"/>
              </w:rPr>
              <w:t>Due to time constraints, there has been no opportunity for consultation with external stakeholders on the proposal to extend the bright-line period or exempt new builds.</w:t>
            </w:r>
          </w:p>
          <w:p w14:paraId="4F1B01C5" w14:textId="77777777" w:rsidR="002E3CD5" w:rsidRDefault="002E3CD5" w:rsidP="00E14877">
            <w:pPr>
              <w:spacing w:after="327" w:line="240" w:lineRule="auto"/>
              <w:rPr>
                <w:lang w:eastAsia="en-AU"/>
              </w:rPr>
            </w:pPr>
            <w:r>
              <w:rPr>
                <w:lang w:eastAsia="en-AU"/>
              </w:rPr>
              <w:t>Inland Revenue and the Ministry of Housing and Urban Development have been involved in the development of this policy and were consulted in the preparation of this Regulatory Impact Statement.  Their views are summarised below.</w:t>
            </w:r>
          </w:p>
          <w:p w14:paraId="5A1FB729" w14:textId="77777777" w:rsidR="002E3CD5" w:rsidRDefault="002E3CD5" w:rsidP="00AC667E">
            <w:pPr>
              <w:spacing w:after="218" w:line="240" w:lineRule="auto"/>
              <w:rPr>
                <w:b/>
                <w:lang w:eastAsia="en-AU"/>
              </w:rPr>
            </w:pPr>
            <w:r>
              <w:rPr>
                <w:b/>
                <w:lang w:eastAsia="en-AU"/>
              </w:rPr>
              <w:t>Inland Revenue view:</w:t>
            </w:r>
          </w:p>
          <w:p w14:paraId="0DC27C82" w14:textId="77777777" w:rsidR="00922E4E" w:rsidRPr="00922E4E" w:rsidRDefault="00922E4E" w:rsidP="00922E4E">
            <w:pPr>
              <w:spacing w:after="218" w:line="240" w:lineRule="auto"/>
              <w:rPr>
                <w:lang w:val="en-US"/>
              </w:rPr>
            </w:pPr>
            <w:r w:rsidRPr="00922E4E">
              <w:rPr>
                <w:lang w:val="en-US"/>
              </w:rPr>
              <w:t xml:space="preserve">Inland Revenue recommended against both extending the bright-line and denying interest deductibility.  </w:t>
            </w:r>
          </w:p>
          <w:p w14:paraId="792F4E2E" w14:textId="77777777" w:rsidR="00922E4E" w:rsidRPr="00922E4E" w:rsidRDefault="00922E4E" w:rsidP="00922E4E">
            <w:pPr>
              <w:spacing w:after="218" w:line="240" w:lineRule="auto"/>
              <w:rPr>
                <w:lang w:val="en-US"/>
              </w:rPr>
            </w:pPr>
            <w:r w:rsidRPr="00922E4E">
              <w:rPr>
                <w:lang w:val="en-US"/>
              </w:rPr>
              <w:t>With the bright-line extension, a key concern is that many investors might pay substantial amounts of tax if they sold properties within 20 years but receive the gains tax free if they held the properties for longer period.  Inland Revenue considered that this would have a substantial “lock-in effect” encouraging people to hold on to properties even if this would not otherwise be sensible.  This is likely to impede property from being used in the highest value ways.  Also, the 20-year extension is likely to add to compliance costs.  Higher compliance costs and econo</w:t>
            </w:r>
            <w:r>
              <w:rPr>
                <w:lang w:val="en-US"/>
              </w:rPr>
              <w:t>mic inefficiencies through lock-</w:t>
            </w:r>
            <w:r w:rsidRPr="00922E4E">
              <w:rPr>
                <w:lang w:val="en-US"/>
              </w:rPr>
              <w:t>in effects might be viewed as a natural consequence of raising tax.  But they are likely to be particularly inefficient if, often, no tax ends up being raised because properties are held for more than 20 years.</w:t>
            </w:r>
          </w:p>
          <w:p w14:paraId="26D73B71" w14:textId="77777777" w:rsidR="00922E4E" w:rsidRPr="00922E4E" w:rsidRDefault="00922E4E" w:rsidP="00922E4E">
            <w:pPr>
              <w:spacing w:after="218" w:line="240" w:lineRule="auto"/>
              <w:rPr>
                <w:lang w:val="en-US"/>
              </w:rPr>
            </w:pPr>
            <w:r w:rsidRPr="00922E4E">
              <w:rPr>
                <w:lang w:val="en-US"/>
              </w:rPr>
              <w:t xml:space="preserve">If this measure were to be introduced, Inland Revenue considers that there is a good reason to exempt new builds to </w:t>
            </w:r>
            <w:proofErr w:type="spellStart"/>
            <w:r w:rsidRPr="00922E4E">
              <w:rPr>
                <w:lang w:val="en-US"/>
              </w:rPr>
              <w:t>minimise</w:t>
            </w:r>
            <w:proofErr w:type="spellEnd"/>
            <w:r w:rsidRPr="00922E4E">
              <w:rPr>
                <w:lang w:val="en-US"/>
              </w:rPr>
              <w:t xml:space="preserve"> adverse impacts of the measures in reducing the supply of new housing. </w:t>
            </w:r>
          </w:p>
          <w:p w14:paraId="2A1013ED" w14:textId="1C4C3BE2" w:rsidR="002E3CD5" w:rsidRDefault="00922E4E" w:rsidP="00AC667E">
            <w:pPr>
              <w:spacing w:after="218" w:line="240" w:lineRule="auto"/>
              <w:rPr>
                <w:lang w:val="en-US"/>
              </w:rPr>
            </w:pPr>
            <w:r w:rsidRPr="00922E4E">
              <w:rPr>
                <w:lang w:val="en-US"/>
              </w:rPr>
              <w:t xml:space="preserve">However, Inland Revenue recommends that in the context of the bright-line test, the exemption should only be from the extension and not from the application of a bright-line test altogether. Such properties are currently subject to the </w:t>
            </w:r>
            <w:r w:rsidR="008D1ECE">
              <w:rPr>
                <w:lang w:val="en-US"/>
              </w:rPr>
              <w:t>5</w:t>
            </w:r>
            <w:r w:rsidRPr="00922E4E">
              <w:rPr>
                <w:lang w:val="en-US"/>
              </w:rPr>
              <w:t>-year bright-line test under the status quo and building consents are at an all-time high. A full exemption would create an incentive for speculation in the market for new builds, placing further upward pressure on prices. There are further administrative concerns as it would increase reliance on other aspects of the land sale rules in the Income Tax Act, including the intention test, which is subjective in nature and difficult to administer for a large group of taxpayers.</w:t>
            </w:r>
          </w:p>
          <w:p w14:paraId="45D93594" w14:textId="77777777" w:rsidR="002E3CD5" w:rsidRDefault="002E3CD5" w:rsidP="00AC667E">
            <w:pPr>
              <w:spacing w:after="218" w:line="240" w:lineRule="auto"/>
              <w:rPr>
                <w:b/>
                <w:lang w:eastAsia="en-AU"/>
              </w:rPr>
            </w:pPr>
            <w:r>
              <w:rPr>
                <w:b/>
                <w:lang w:eastAsia="en-AU"/>
              </w:rPr>
              <w:t>Ministry of Housing and Urban Development view:</w:t>
            </w:r>
          </w:p>
          <w:p w14:paraId="38E9375F" w14:textId="77777777" w:rsidR="002E3CD5" w:rsidRPr="00AE71AC" w:rsidRDefault="009F6780" w:rsidP="00AC667E">
            <w:pPr>
              <w:spacing w:after="218" w:line="240" w:lineRule="auto"/>
              <w:rPr>
                <w:lang w:eastAsia="en-AU"/>
              </w:rPr>
            </w:pPr>
            <w:r w:rsidRPr="009F6780">
              <w:rPr>
                <w:lang w:eastAsia="en-AU"/>
              </w:rPr>
              <w:t>The Ministry of Housing and Urban Development supports either a full exem</w:t>
            </w:r>
            <w:r>
              <w:rPr>
                <w:lang w:eastAsia="en-AU"/>
              </w:rPr>
              <w:t>ption or a partial exemption (</w:t>
            </w:r>
            <w:proofErr w:type="spellStart"/>
            <w:r>
              <w:rPr>
                <w:lang w:eastAsia="en-AU"/>
              </w:rPr>
              <w:t>ie</w:t>
            </w:r>
            <w:proofErr w:type="spellEnd"/>
            <w:r>
              <w:rPr>
                <w:lang w:eastAsia="en-AU"/>
              </w:rPr>
              <w:t>,</w:t>
            </w:r>
            <w:r w:rsidRPr="009F6780">
              <w:rPr>
                <w:lang w:eastAsia="en-AU"/>
              </w:rPr>
              <w:t xml:space="preserve"> existing 5 year bright-line continues to apply) from the extended bright-line test for new builds to mitigate the impact on the new supply of housing</w:t>
            </w:r>
            <w:r w:rsidR="002E3CD5" w:rsidRPr="00AE71AC">
              <w:rPr>
                <w:lang w:eastAsia="en-AU"/>
              </w:rPr>
              <w:t xml:space="preserve">. Maintaining and increasing new supply is critical to addressing housing affordability in the medium term.  The Ministry is concerned about the potential impact that extending </w:t>
            </w:r>
            <w:r w:rsidR="002E3CD5" w:rsidRPr="00AE71AC">
              <w:rPr>
                <w:lang w:eastAsia="en-AU"/>
              </w:rPr>
              <w:lastRenderedPageBreak/>
              <w:t>the bright line test could have on demand for new builds, construction sector jobs, and decreased investor willingness to invest in Build to Rent.</w:t>
            </w:r>
          </w:p>
          <w:p w14:paraId="65FE11B9" w14:textId="77777777" w:rsidR="002E3CD5" w:rsidRPr="00BC27D2" w:rsidRDefault="002E3CD5" w:rsidP="00AC667E">
            <w:pPr>
              <w:spacing w:after="218" w:line="240" w:lineRule="auto"/>
              <w:rPr>
                <w:lang w:eastAsia="en-AU"/>
              </w:rPr>
            </w:pPr>
            <w:r w:rsidRPr="00AE71AC">
              <w:rPr>
                <w:lang w:eastAsia="en-AU"/>
              </w:rPr>
              <w:t>In the absence of clear information about the effectiveness of an exemption, the Ministry of Housing and Urban Development would err on the side of supporting new supply and the continued growth in construction jobs which has partially offset job losses in other sectors and supported the economic recovery.</w:t>
            </w:r>
          </w:p>
        </w:tc>
      </w:tr>
      <w:tr w:rsidR="002E3CD5" w14:paraId="675D735F" w14:textId="77777777" w:rsidTr="00AC667E">
        <w:trPr>
          <w:gridAfter w:val="1"/>
          <w:wAfter w:w="55" w:type="pct"/>
          <w:trHeight w:val="317"/>
        </w:trPr>
        <w:tc>
          <w:tcPr>
            <w:tcW w:w="4945" w:type="pct"/>
            <w:shd w:val="clear" w:color="auto" w:fill="99CDDD"/>
          </w:tcPr>
          <w:p w14:paraId="58A5AFFD" w14:textId="77777777" w:rsidR="002E3CD5" w:rsidRPr="00721CE1" w:rsidRDefault="002E3CD5" w:rsidP="00AC667E">
            <w:pPr>
              <w:keepNext/>
              <w:spacing w:after="109" w:line="240" w:lineRule="auto"/>
              <w:jc w:val="both"/>
              <w:rPr>
                <w:b/>
              </w:rPr>
            </w:pPr>
            <w:r w:rsidRPr="00721CE1">
              <w:rPr>
                <w:b/>
              </w:rPr>
              <w:lastRenderedPageBreak/>
              <w:t xml:space="preserve">2.5   What are the objectives sought in relation to the identified problem? </w:t>
            </w:r>
          </w:p>
        </w:tc>
      </w:tr>
      <w:tr w:rsidR="002E3CD5" w14:paraId="4A5A3430" w14:textId="77777777" w:rsidTr="00AC667E">
        <w:trPr>
          <w:gridAfter w:val="1"/>
          <w:wAfter w:w="55" w:type="pct"/>
          <w:trHeight w:val="1356"/>
        </w:trPr>
        <w:tc>
          <w:tcPr>
            <w:tcW w:w="4945" w:type="pct"/>
            <w:shd w:val="clear" w:color="auto" w:fill="auto"/>
          </w:tcPr>
          <w:p w14:paraId="071FE406" w14:textId="77777777" w:rsidR="002E0E46" w:rsidRPr="002E0E46" w:rsidRDefault="002E0E46" w:rsidP="002E0E46">
            <w:pPr>
              <w:spacing w:before="218" w:after="218" w:line="240" w:lineRule="auto"/>
              <w:rPr>
                <w:rFonts w:eastAsia="Calibri" w:cs="Arial"/>
                <w:szCs w:val="22"/>
                <w:lang w:eastAsia="en-NZ"/>
              </w:rPr>
            </w:pPr>
            <w:r w:rsidRPr="002E0E46">
              <w:rPr>
                <w:rFonts w:eastAsia="Calibri" w:cs="Arial"/>
                <w:szCs w:val="22"/>
                <w:lang w:eastAsia="en-NZ"/>
              </w:rPr>
              <w:t>As noted on 15 February 2021 (CAB-21-MIN-0018 refers), Cabinet’s policy objectives for the housing market are to:</w:t>
            </w:r>
          </w:p>
          <w:p w14:paraId="6D7B6BDB" w14:textId="77777777" w:rsidR="002E0E46" w:rsidRPr="006E0F54" w:rsidRDefault="002E0E46" w:rsidP="00E14877">
            <w:pPr>
              <w:pStyle w:val="ListParagraph"/>
              <w:numPr>
                <w:ilvl w:val="0"/>
                <w:numId w:val="61"/>
              </w:numPr>
              <w:spacing w:before="218" w:after="218" w:line="240" w:lineRule="auto"/>
              <w:ind w:left="515" w:hanging="515"/>
              <w:rPr>
                <w:rFonts w:eastAsia="Calibri" w:cs="Arial"/>
                <w:szCs w:val="22"/>
                <w:lang w:eastAsia="en-NZ"/>
              </w:rPr>
            </w:pPr>
            <w:r w:rsidRPr="00243679">
              <w:rPr>
                <w:rFonts w:eastAsia="Calibri" w:cs="Arial"/>
                <w:szCs w:val="22"/>
                <w:lang w:eastAsia="en-NZ"/>
              </w:rPr>
              <w:t xml:space="preserve">Ensure every New Zealander has a safe, warm, dry, and affordable home to call their own – whether they </w:t>
            </w:r>
            <w:r w:rsidRPr="006E0F54">
              <w:rPr>
                <w:rFonts w:eastAsia="Calibri" w:cs="Arial"/>
                <w:szCs w:val="22"/>
                <w:lang w:eastAsia="en-NZ"/>
              </w:rPr>
              <w:t>are renters or owners.</w:t>
            </w:r>
          </w:p>
          <w:p w14:paraId="32E59ACF" w14:textId="77777777" w:rsidR="002E0E46" w:rsidRPr="006E0F54" w:rsidRDefault="002E0E46" w:rsidP="006E0F54">
            <w:pPr>
              <w:pStyle w:val="ListParagraph"/>
              <w:numPr>
                <w:ilvl w:val="0"/>
                <w:numId w:val="61"/>
              </w:numPr>
              <w:spacing w:before="218" w:after="218" w:line="240" w:lineRule="auto"/>
              <w:ind w:left="515" w:hanging="515"/>
              <w:rPr>
                <w:rFonts w:eastAsia="Calibri" w:cs="Arial"/>
                <w:szCs w:val="22"/>
                <w:lang w:eastAsia="en-NZ"/>
              </w:rPr>
            </w:pPr>
            <w:r w:rsidRPr="006E0F54">
              <w:rPr>
                <w:rFonts w:eastAsia="Calibri" w:cs="Arial"/>
                <w:szCs w:val="22"/>
                <w:lang w:eastAsia="en-NZ"/>
              </w:rPr>
              <w:t>Support more sustainable house prices, including by dampening investor demand for existing housing stock, which would improve affordability for first-home buyers.</w:t>
            </w:r>
          </w:p>
          <w:p w14:paraId="2D70C08E" w14:textId="77777777" w:rsidR="002E0E46" w:rsidRDefault="002E0E46" w:rsidP="006E0F54">
            <w:pPr>
              <w:pStyle w:val="ListParagraph"/>
              <w:numPr>
                <w:ilvl w:val="0"/>
                <w:numId w:val="61"/>
              </w:numPr>
              <w:spacing w:before="218" w:after="218" w:line="240" w:lineRule="auto"/>
              <w:ind w:left="515" w:hanging="515"/>
              <w:rPr>
                <w:rFonts w:eastAsia="Calibri" w:cs="Arial"/>
                <w:szCs w:val="22"/>
                <w:lang w:eastAsia="en-NZ"/>
              </w:rPr>
            </w:pPr>
            <w:r w:rsidRPr="006E0F54">
              <w:rPr>
                <w:rFonts w:eastAsia="Calibri" w:cs="Arial"/>
                <w:szCs w:val="22"/>
                <w:lang w:eastAsia="en-NZ"/>
              </w:rPr>
              <w:t>Create a housing and urban land market that credibly responds to population growth and changing housing preferences, that is competitive and affordable for renters and homeowners, and is well-planned and well-regulated.</w:t>
            </w:r>
          </w:p>
          <w:p w14:paraId="5997DAC1" w14:textId="7E8D20AA" w:rsidR="002E3CD5" w:rsidRDefault="002E3CD5" w:rsidP="00243679">
            <w:pPr>
              <w:spacing w:before="218" w:after="218" w:line="240" w:lineRule="auto"/>
              <w:rPr>
                <w:rFonts w:cs="Arial"/>
                <w:szCs w:val="22"/>
                <w:lang w:eastAsia="en-AU"/>
              </w:rPr>
            </w:pPr>
            <w:r>
              <w:rPr>
                <w:rFonts w:eastAsia="Calibri" w:cs="Arial"/>
                <w:szCs w:val="22"/>
                <w:lang w:eastAsia="en-NZ"/>
              </w:rPr>
              <w:t>The intervention identified in this Regulatory Impact Statement seeks to address the Government’s demand-side housing objectives</w:t>
            </w:r>
            <w:r w:rsidR="002E0E46">
              <w:rPr>
                <w:rFonts w:eastAsia="Calibri" w:cs="Arial"/>
                <w:szCs w:val="22"/>
                <w:lang w:eastAsia="en-NZ"/>
              </w:rPr>
              <w:t xml:space="preserve"> as set out in the second bullet point above</w:t>
            </w:r>
            <w:r>
              <w:rPr>
                <w:rFonts w:eastAsia="Calibri" w:cs="Arial"/>
                <w:szCs w:val="22"/>
                <w:lang w:eastAsia="en-NZ"/>
              </w:rPr>
              <w:t>:</w:t>
            </w:r>
            <w:r>
              <w:t xml:space="preserve"> </w:t>
            </w:r>
            <w:r w:rsidR="00E52224">
              <w:rPr>
                <w:rFonts w:cs="Arial"/>
                <w:szCs w:val="22"/>
                <w:lang w:eastAsia="en-AU"/>
              </w:rPr>
              <w:t xml:space="preserve">to </w:t>
            </w:r>
            <w:r w:rsidR="00E52224" w:rsidRPr="00550308">
              <w:rPr>
                <w:rFonts w:cs="Arial"/>
                <w:szCs w:val="22"/>
                <w:lang w:eastAsia="en-AU"/>
              </w:rPr>
              <w:t xml:space="preserve">support </w:t>
            </w:r>
            <w:r w:rsidR="00E52224" w:rsidRPr="0020203E">
              <w:rPr>
                <w:rFonts w:cs="Arial"/>
                <w:szCs w:val="22"/>
                <w:lang w:eastAsia="en-AU"/>
              </w:rPr>
              <w:t>more sustainable house prices, including by dampening investor demand for existing housing stock, which would improve affordability for first-home buyers</w:t>
            </w:r>
            <w:r>
              <w:rPr>
                <w:rFonts w:cs="Arial"/>
                <w:szCs w:val="22"/>
                <w:lang w:eastAsia="en-AU"/>
              </w:rPr>
              <w:t>.</w:t>
            </w:r>
            <w:r w:rsidR="002E0E46">
              <w:rPr>
                <w:rFonts w:cs="Arial"/>
                <w:szCs w:val="22"/>
                <w:lang w:eastAsia="en-AU"/>
              </w:rPr>
              <w:t xml:space="preserve"> </w:t>
            </w:r>
          </w:p>
          <w:p w14:paraId="31B00FC8" w14:textId="78191D9E" w:rsidR="002E0E46" w:rsidRPr="00905515" w:rsidRDefault="002E0E46">
            <w:pPr>
              <w:spacing w:before="218" w:after="218" w:line="240" w:lineRule="auto"/>
            </w:pPr>
            <w:r>
              <w:rPr>
                <w:rFonts w:cs="Arial"/>
                <w:szCs w:val="22"/>
                <w:lang w:eastAsia="en-AU"/>
              </w:rPr>
              <w:t xml:space="preserve">One interaction between these objectives is that more supply will support affordable housing for all New Zealanders, including first-home buyers, in the long-term. This interaction is considered in this </w:t>
            </w:r>
            <w:r w:rsidR="00376B19">
              <w:rPr>
                <w:rFonts w:cs="Arial"/>
                <w:szCs w:val="22"/>
                <w:lang w:eastAsia="en-AU"/>
              </w:rPr>
              <w:t>S</w:t>
            </w:r>
            <w:r>
              <w:rPr>
                <w:rFonts w:cs="Arial"/>
                <w:szCs w:val="22"/>
                <w:lang w:eastAsia="en-AU"/>
              </w:rPr>
              <w:t>tatement.</w:t>
            </w:r>
          </w:p>
        </w:tc>
      </w:tr>
    </w:tbl>
    <w:p w14:paraId="0190E8B0" w14:textId="77777777" w:rsidR="002E3CD5" w:rsidRPr="00537EFE" w:rsidRDefault="002E3CD5" w:rsidP="001779A9">
      <w:pPr>
        <w:pStyle w:val="Heading2"/>
      </w:pPr>
      <w:r>
        <w:t>Section 3</w:t>
      </w:r>
      <w:r w:rsidRPr="0005691A">
        <w:t xml:space="preserve">: </w:t>
      </w:r>
      <w:r>
        <w:t>Option identification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2E3CD5" w:rsidRPr="009C4129" w14:paraId="120C703F" w14:textId="77777777" w:rsidTr="00AC667E">
        <w:trPr>
          <w:trHeight w:val="77"/>
        </w:trPr>
        <w:tc>
          <w:tcPr>
            <w:tcW w:w="5000" w:type="pct"/>
            <w:shd w:val="clear" w:color="auto" w:fill="99CDDD"/>
            <w:hideMark/>
          </w:tcPr>
          <w:p w14:paraId="2F3B53D9" w14:textId="77777777" w:rsidR="002E3CD5" w:rsidRPr="009C4129" w:rsidRDefault="002E3CD5" w:rsidP="00AC667E">
            <w:pPr>
              <w:keepNext/>
              <w:spacing w:before="54" w:after="54" w:line="240" w:lineRule="auto"/>
              <w:rPr>
                <w:rFonts w:cs="Arial"/>
                <w:b/>
                <w:szCs w:val="22"/>
                <w:lang w:eastAsia="en-AU"/>
              </w:rPr>
            </w:pPr>
            <w:r>
              <w:rPr>
                <w:rFonts w:cs="Arial"/>
                <w:b/>
                <w:szCs w:val="22"/>
                <w:lang w:eastAsia="en-AU"/>
              </w:rPr>
              <w:t xml:space="preserve">3.1   </w:t>
            </w:r>
            <w:r w:rsidRPr="009C4129">
              <w:rPr>
                <w:rFonts w:cs="Arial"/>
                <w:b/>
                <w:szCs w:val="22"/>
                <w:lang w:eastAsia="en-AU"/>
              </w:rPr>
              <w:t>What options are available to address the problem?</w:t>
            </w:r>
          </w:p>
        </w:tc>
      </w:tr>
      <w:tr w:rsidR="002E3CD5" w:rsidRPr="009C4129" w14:paraId="5673F8FF" w14:textId="77777777" w:rsidTr="006E0F54">
        <w:trPr>
          <w:trHeight w:val="1167"/>
        </w:trPr>
        <w:tc>
          <w:tcPr>
            <w:tcW w:w="5000" w:type="pct"/>
            <w:shd w:val="clear" w:color="auto" w:fill="FFFFFF"/>
          </w:tcPr>
          <w:p w14:paraId="023AD9A6" w14:textId="306C600D" w:rsidR="002E3CD5" w:rsidRPr="009C4129" w:rsidRDefault="002E3CD5" w:rsidP="00AC667E">
            <w:pPr>
              <w:spacing w:before="218" w:after="218" w:line="240" w:lineRule="auto"/>
              <w:rPr>
                <w:lang w:eastAsia="en-AU"/>
              </w:rPr>
            </w:pPr>
            <w:r w:rsidRPr="003F1FF6">
              <w:rPr>
                <w:lang w:eastAsia="en-AU"/>
              </w:rPr>
              <w:t>The status quo is to retain current tax sett</w:t>
            </w:r>
            <w:r>
              <w:rPr>
                <w:lang w:eastAsia="en-AU"/>
              </w:rPr>
              <w:t>ings for residential housing, including applying the</w:t>
            </w:r>
            <w:r w:rsidRPr="003F1FF6">
              <w:rPr>
                <w:lang w:eastAsia="en-AU"/>
              </w:rPr>
              <w:t xml:space="preserve"> bright-line </w:t>
            </w:r>
            <w:r w:rsidR="00376B19">
              <w:rPr>
                <w:lang w:eastAsia="en-AU"/>
              </w:rPr>
              <w:t>test to</w:t>
            </w:r>
            <w:r>
              <w:rPr>
                <w:lang w:eastAsia="en-AU"/>
              </w:rPr>
              <w:t xml:space="preserve"> properties sold within</w:t>
            </w:r>
            <w:r w:rsidRPr="003F1FF6">
              <w:rPr>
                <w:lang w:eastAsia="en-AU"/>
              </w:rPr>
              <w:t xml:space="preserve"> 5 years</w:t>
            </w:r>
            <w:r>
              <w:rPr>
                <w:lang w:eastAsia="en-AU"/>
              </w:rPr>
              <w:t>.</w:t>
            </w:r>
          </w:p>
          <w:p w14:paraId="26BC6C57" w14:textId="77777777" w:rsidR="00DA13DB" w:rsidRDefault="002E3CD5" w:rsidP="00AC667E">
            <w:pPr>
              <w:spacing w:after="0" w:line="240" w:lineRule="auto"/>
              <w:jc w:val="both"/>
              <w:rPr>
                <w:rFonts w:cs="Arial"/>
                <w:szCs w:val="22"/>
                <w:lang w:eastAsia="en-AU"/>
              </w:rPr>
            </w:pPr>
            <w:r w:rsidRPr="00270140">
              <w:rPr>
                <w:rFonts w:cs="Arial"/>
                <w:szCs w:val="22"/>
                <w:lang w:eastAsia="en-AU"/>
              </w:rPr>
              <w:t xml:space="preserve">The </w:t>
            </w:r>
            <w:r>
              <w:rPr>
                <w:rFonts w:cs="Arial"/>
                <w:szCs w:val="22"/>
                <w:lang w:eastAsia="en-AU"/>
              </w:rPr>
              <w:t>Government has identified three policy options, each with three sub-options, to be considered:</w:t>
            </w:r>
          </w:p>
          <w:p w14:paraId="25951C30" w14:textId="50DD4BF3" w:rsidR="002E3CD5" w:rsidRDefault="002E3CD5" w:rsidP="00E14877">
            <w:pPr>
              <w:pStyle w:val="ListParagraph"/>
              <w:numPr>
                <w:ilvl w:val="0"/>
                <w:numId w:val="61"/>
              </w:numPr>
              <w:spacing w:before="218" w:after="218" w:line="240" w:lineRule="auto"/>
              <w:ind w:left="515" w:hanging="515"/>
              <w:contextualSpacing w:val="0"/>
              <w:rPr>
                <w:rFonts w:cs="Arial"/>
                <w:szCs w:val="22"/>
                <w:lang w:eastAsia="en-AU"/>
              </w:rPr>
            </w:pPr>
            <w:r>
              <w:rPr>
                <w:rFonts w:cs="Arial"/>
                <w:b/>
                <w:szCs w:val="22"/>
                <w:lang w:eastAsia="en-AU"/>
              </w:rPr>
              <w:t xml:space="preserve">Option 1: </w:t>
            </w:r>
            <w:r w:rsidRPr="00270140">
              <w:rPr>
                <w:rFonts w:cs="Arial"/>
                <w:b/>
                <w:szCs w:val="22"/>
                <w:lang w:eastAsia="en-AU"/>
              </w:rPr>
              <w:t>Extending the bright</w:t>
            </w:r>
            <w:r>
              <w:rPr>
                <w:rFonts w:cs="Arial"/>
                <w:b/>
                <w:szCs w:val="22"/>
                <w:lang w:eastAsia="en-AU"/>
              </w:rPr>
              <w:t>-</w:t>
            </w:r>
            <w:r w:rsidRPr="00270140">
              <w:rPr>
                <w:rFonts w:cs="Arial"/>
                <w:b/>
                <w:szCs w:val="22"/>
                <w:lang w:eastAsia="en-AU"/>
              </w:rPr>
              <w:t xml:space="preserve">line period to </w:t>
            </w:r>
            <w:r w:rsidRPr="00302AC3">
              <w:rPr>
                <w:rFonts w:cs="Arial"/>
                <w:b/>
                <w:szCs w:val="22"/>
                <w:lang w:eastAsia="en-AU"/>
              </w:rPr>
              <w:t>20</w:t>
            </w:r>
            <w:r w:rsidRPr="00270140">
              <w:rPr>
                <w:rFonts w:cs="Arial"/>
                <w:b/>
                <w:szCs w:val="22"/>
                <w:lang w:eastAsia="en-AU"/>
              </w:rPr>
              <w:t xml:space="preserve"> years</w:t>
            </w:r>
            <w:r>
              <w:rPr>
                <w:rFonts w:cs="Arial"/>
                <w:b/>
                <w:szCs w:val="22"/>
                <w:lang w:eastAsia="en-AU"/>
              </w:rPr>
              <w:t xml:space="preserve"> for property acquired</w:t>
            </w:r>
            <w:r w:rsidR="004E57E8">
              <w:rPr>
                <w:rFonts w:cs="Arial"/>
                <w:b/>
                <w:szCs w:val="22"/>
                <w:lang w:eastAsia="en-AU"/>
              </w:rPr>
              <w:t xml:space="preserve"> on or </w:t>
            </w:r>
            <w:r>
              <w:rPr>
                <w:rFonts w:cs="Arial"/>
                <w:b/>
                <w:szCs w:val="22"/>
                <w:lang w:eastAsia="en-AU"/>
              </w:rPr>
              <w:t xml:space="preserve">after the </w:t>
            </w:r>
            <w:r w:rsidR="004E57E8">
              <w:rPr>
                <w:rFonts w:cs="Arial"/>
                <w:b/>
                <w:szCs w:val="22"/>
                <w:lang w:eastAsia="en-AU"/>
              </w:rPr>
              <w:t xml:space="preserve">application </w:t>
            </w:r>
            <w:r>
              <w:rPr>
                <w:rFonts w:cs="Arial"/>
                <w:b/>
                <w:szCs w:val="22"/>
                <w:lang w:eastAsia="en-AU"/>
              </w:rPr>
              <w:t>da</w:t>
            </w:r>
            <w:r w:rsidR="004E57E8">
              <w:rPr>
                <w:rFonts w:cs="Arial"/>
                <w:b/>
                <w:szCs w:val="22"/>
                <w:lang w:eastAsia="en-AU"/>
              </w:rPr>
              <w:t>te</w:t>
            </w:r>
            <w:r w:rsidRPr="00270140">
              <w:rPr>
                <w:rFonts w:cs="Arial"/>
                <w:b/>
                <w:szCs w:val="22"/>
                <w:lang w:eastAsia="en-AU"/>
              </w:rPr>
              <w:t>:</w:t>
            </w:r>
            <w:r>
              <w:rPr>
                <w:rFonts w:cs="Arial"/>
                <w:b/>
                <w:szCs w:val="22"/>
                <w:lang w:eastAsia="en-AU"/>
              </w:rPr>
              <w:t xml:space="preserve"> </w:t>
            </w:r>
            <w:r>
              <w:rPr>
                <w:rFonts w:cs="Arial"/>
                <w:szCs w:val="22"/>
                <w:lang w:eastAsia="en-AU"/>
              </w:rPr>
              <w:t>This option would extend the period in which properties sold could be subject to the bright-line test from 5 years to 20 years. The test would still not apply to a person’s main home. There are also further options relating to new builds</w:t>
            </w:r>
            <w:r>
              <w:rPr>
                <w:rStyle w:val="FootnoteReference"/>
                <w:rFonts w:cs="Arial"/>
                <w:szCs w:val="22"/>
                <w:lang w:eastAsia="en-AU"/>
              </w:rPr>
              <w:footnoteReference w:id="14"/>
            </w:r>
            <w:r>
              <w:rPr>
                <w:rFonts w:cs="Arial"/>
                <w:szCs w:val="22"/>
                <w:lang w:eastAsia="en-AU"/>
              </w:rPr>
              <w:t>:</w:t>
            </w:r>
          </w:p>
          <w:p w14:paraId="646736B6" w14:textId="77777777" w:rsidR="002E3CD5" w:rsidRDefault="002E3CD5" w:rsidP="00E14877">
            <w:pPr>
              <w:pStyle w:val="ListParagraph"/>
              <w:numPr>
                <w:ilvl w:val="1"/>
                <w:numId w:val="62"/>
              </w:numPr>
              <w:spacing w:before="218" w:after="109" w:line="240" w:lineRule="auto"/>
              <w:ind w:left="1031" w:hanging="515"/>
              <w:contextualSpacing w:val="0"/>
              <w:jc w:val="both"/>
              <w:rPr>
                <w:rFonts w:cs="Arial"/>
                <w:szCs w:val="22"/>
                <w:lang w:eastAsia="en-AU"/>
              </w:rPr>
            </w:pPr>
            <w:r>
              <w:rPr>
                <w:rFonts w:cs="Arial"/>
                <w:b/>
                <w:szCs w:val="22"/>
                <w:lang w:eastAsia="en-AU"/>
              </w:rPr>
              <w:t xml:space="preserve">Option 1A: </w:t>
            </w:r>
            <w:r>
              <w:rPr>
                <w:rFonts w:cs="Arial"/>
                <w:szCs w:val="22"/>
                <w:lang w:eastAsia="en-AU"/>
              </w:rPr>
              <w:t>no exemption for new-builds:</w:t>
            </w:r>
          </w:p>
          <w:p w14:paraId="66AAE16F" w14:textId="77777777" w:rsidR="002E3CD5" w:rsidRDefault="002E3CD5" w:rsidP="00E14877">
            <w:pPr>
              <w:pStyle w:val="ListParagraph"/>
              <w:numPr>
                <w:ilvl w:val="1"/>
                <w:numId w:val="62"/>
              </w:numPr>
              <w:spacing w:before="109" w:after="109" w:line="240" w:lineRule="auto"/>
              <w:ind w:left="1031" w:hanging="515"/>
              <w:contextualSpacing w:val="0"/>
              <w:jc w:val="both"/>
              <w:rPr>
                <w:rFonts w:cs="Arial"/>
                <w:szCs w:val="22"/>
                <w:lang w:eastAsia="en-AU"/>
              </w:rPr>
            </w:pPr>
            <w:r w:rsidRPr="006F586A">
              <w:rPr>
                <w:rFonts w:cs="Arial"/>
                <w:b/>
                <w:szCs w:val="22"/>
                <w:lang w:eastAsia="en-AU"/>
              </w:rPr>
              <w:t>Option</w:t>
            </w:r>
            <w:r>
              <w:rPr>
                <w:rFonts w:cs="Arial"/>
                <w:szCs w:val="22"/>
                <w:lang w:eastAsia="en-AU"/>
              </w:rPr>
              <w:t xml:space="preserve"> </w:t>
            </w:r>
            <w:r w:rsidRPr="006F586A">
              <w:rPr>
                <w:rFonts w:cs="Arial"/>
                <w:b/>
                <w:szCs w:val="22"/>
                <w:lang w:eastAsia="en-AU"/>
              </w:rPr>
              <w:t>1B</w:t>
            </w:r>
            <w:r>
              <w:rPr>
                <w:rFonts w:cs="Arial"/>
                <w:b/>
                <w:szCs w:val="22"/>
                <w:lang w:eastAsia="en-AU"/>
              </w:rPr>
              <w:t xml:space="preserve">: </w:t>
            </w:r>
            <w:r>
              <w:rPr>
                <w:rFonts w:cs="Arial"/>
                <w:szCs w:val="22"/>
                <w:lang w:eastAsia="en-AU"/>
              </w:rPr>
              <w:t xml:space="preserve">applying a 5-year bright-line </w:t>
            </w:r>
            <w:r w:rsidR="00E52224">
              <w:rPr>
                <w:rFonts w:cs="Arial"/>
                <w:szCs w:val="22"/>
                <w:lang w:eastAsia="en-AU"/>
              </w:rPr>
              <w:t xml:space="preserve">test </w:t>
            </w:r>
            <w:r>
              <w:rPr>
                <w:rFonts w:cs="Arial"/>
                <w:szCs w:val="22"/>
                <w:lang w:eastAsia="en-AU"/>
              </w:rPr>
              <w:t>to new-builds:</w:t>
            </w:r>
          </w:p>
          <w:p w14:paraId="4497447A" w14:textId="77777777" w:rsidR="002E3CD5" w:rsidRPr="006F586A" w:rsidRDefault="002E3CD5" w:rsidP="00E14877">
            <w:pPr>
              <w:pStyle w:val="ListParagraph"/>
              <w:numPr>
                <w:ilvl w:val="1"/>
                <w:numId w:val="62"/>
              </w:numPr>
              <w:spacing w:before="109" w:after="109" w:line="240" w:lineRule="auto"/>
              <w:ind w:left="1031" w:hanging="515"/>
              <w:contextualSpacing w:val="0"/>
              <w:jc w:val="both"/>
              <w:rPr>
                <w:rFonts w:cs="Arial"/>
                <w:szCs w:val="22"/>
                <w:lang w:eastAsia="en-AU"/>
              </w:rPr>
            </w:pPr>
            <w:r w:rsidRPr="006F586A">
              <w:rPr>
                <w:rFonts w:cs="Arial"/>
                <w:b/>
                <w:szCs w:val="22"/>
                <w:lang w:eastAsia="en-AU"/>
              </w:rPr>
              <w:t>Option 1C</w:t>
            </w:r>
            <w:r>
              <w:rPr>
                <w:rFonts w:cs="Arial"/>
                <w:b/>
                <w:szCs w:val="22"/>
                <w:lang w:eastAsia="en-AU"/>
              </w:rPr>
              <w:t xml:space="preserve">: </w:t>
            </w:r>
            <w:r>
              <w:rPr>
                <w:rFonts w:cs="Arial"/>
                <w:szCs w:val="22"/>
                <w:lang w:eastAsia="en-AU"/>
              </w:rPr>
              <w:t xml:space="preserve">completely exempting new-builds from </w:t>
            </w:r>
            <w:r w:rsidR="00E52224">
              <w:rPr>
                <w:rFonts w:cs="Arial"/>
                <w:szCs w:val="22"/>
                <w:lang w:eastAsia="en-AU"/>
              </w:rPr>
              <w:t xml:space="preserve">the </w:t>
            </w:r>
            <w:r>
              <w:rPr>
                <w:rFonts w:cs="Arial"/>
                <w:szCs w:val="22"/>
                <w:lang w:eastAsia="en-AU"/>
              </w:rPr>
              <w:t>bright-line</w:t>
            </w:r>
            <w:r w:rsidR="00E52224">
              <w:rPr>
                <w:rFonts w:cs="Arial"/>
                <w:szCs w:val="22"/>
                <w:lang w:eastAsia="en-AU"/>
              </w:rPr>
              <w:t xml:space="preserve"> test</w:t>
            </w:r>
            <w:r>
              <w:rPr>
                <w:rFonts w:cs="Arial"/>
                <w:szCs w:val="22"/>
                <w:lang w:eastAsia="en-AU"/>
              </w:rPr>
              <w:t>:</w:t>
            </w:r>
          </w:p>
          <w:p w14:paraId="7A2ADE66" w14:textId="229AA021" w:rsidR="002E3CD5" w:rsidRPr="006F586A" w:rsidRDefault="002E3CD5" w:rsidP="00E14877">
            <w:pPr>
              <w:pStyle w:val="ListParagraph"/>
              <w:numPr>
                <w:ilvl w:val="0"/>
                <w:numId w:val="61"/>
              </w:numPr>
              <w:spacing w:before="218" w:after="218" w:line="240" w:lineRule="auto"/>
              <w:ind w:left="515" w:hanging="515"/>
              <w:contextualSpacing w:val="0"/>
              <w:rPr>
                <w:rFonts w:cs="Arial"/>
                <w:szCs w:val="22"/>
                <w:lang w:eastAsia="en-AU"/>
              </w:rPr>
            </w:pPr>
            <w:r>
              <w:rPr>
                <w:rFonts w:cs="Arial"/>
                <w:b/>
                <w:szCs w:val="22"/>
                <w:lang w:eastAsia="en-AU"/>
              </w:rPr>
              <w:lastRenderedPageBreak/>
              <w:t xml:space="preserve">Option 2: </w:t>
            </w:r>
            <w:r w:rsidRPr="00270140">
              <w:rPr>
                <w:rFonts w:cs="Arial"/>
                <w:b/>
                <w:szCs w:val="22"/>
                <w:lang w:eastAsia="en-AU"/>
              </w:rPr>
              <w:t>Extending the bright</w:t>
            </w:r>
            <w:r>
              <w:rPr>
                <w:rFonts w:cs="Arial"/>
                <w:b/>
                <w:szCs w:val="22"/>
                <w:lang w:eastAsia="en-AU"/>
              </w:rPr>
              <w:t>-</w:t>
            </w:r>
            <w:r w:rsidRPr="00270140">
              <w:rPr>
                <w:rFonts w:cs="Arial"/>
                <w:b/>
                <w:szCs w:val="22"/>
                <w:lang w:eastAsia="en-AU"/>
              </w:rPr>
              <w:t xml:space="preserve">line period to </w:t>
            </w:r>
            <w:r>
              <w:rPr>
                <w:rFonts w:cs="Arial"/>
                <w:b/>
                <w:szCs w:val="22"/>
                <w:lang w:eastAsia="en-AU"/>
              </w:rPr>
              <w:t>15</w:t>
            </w:r>
            <w:r w:rsidRPr="00270140">
              <w:rPr>
                <w:rFonts w:cs="Arial"/>
                <w:b/>
                <w:szCs w:val="22"/>
                <w:lang w:eastAsia="en-AU"/>
              </w:rPr>
              <w:t xml:space="preserve"> years</w:t>
            </w:r>
            <w:r>
              <w:rPr>
                <w:rFonts w:cs="Arial"/>
                <w:b/>
                <w:szCs w:val="22"/>
                <w:lang w:eastAsia="en-AU"/>
              </w:rPr>
              <w:t xml:space="preserve"> for property </w:t>
            </w:r>
            <w:r w:rsidR="004E57E8">
              <w:rPr>
                <w:rFonts w:cs="Arial"/>
                <w:b/>
                <w:szCs w:val="22"/>
                <w:lang w:eastAsia="en-AU"/>
              </w:rPr>
              <w:t>acquired on or after the application date</w:t>
            </w:r>
            <w:r w:rsidR="004E57E8" w:rsidRPr="00270140">
              <w:rPr>
                <w:rFonts w:cs="Arial"/>
                <w:b/>
                <w:szCs w:val="22"/>
                <w:lang w:eastAsia="en-AU"/>
              </w:rPr>
              <w:t>:</w:t>
            </w:r>
            <w:r>
              <w:t xml:space="preserve"> </w:t>
            </w:r>
            <w:r>
              <w:rPr>
                <w:rFonts w:cs="Arial"/>
                <w:szCs w:val="22"/>
                <w:lang w:eastAsia="en-AU"/>
              </w:rPr>
              <w:t>This option would extend the period in which properties sold could be subject to the bright-line test from 5 years to 15 years. The test would still not apply to a person’s main home. There are also further options relating to new builds:</w:t>
            </w:r>
          </w:p>
          <w:p w14:paraId="59A2E657" w14:textId="77777777" w:rsidR="002E3CD5" w:rsidRDefault="002E3CD5" w:rsidP="00E14877">
            <w:pPr>
              <w:pStyle w:val="ListParagraph"/>
              <w:numPr>
                <w:ilvl w:val="1"/>
                <w:numId w:val="62"/>
              </w:numPr>
              <w:spacing w:before="109" w:after="109" w:line="240" w:lineRule="auto"/>
              <w:ind w:left="1031" w:hanging="515"/>
              <w:contextualSpacing w:val="0"/>
              <w:jc w:val="both"/>
              <w:rPr>
                <w:rFonts w:cs="Arial"/>
                <w:szCs w:val="22"/>
                <w:lang w:eastAsia="en-AU"/>
              </w:rPr>
            </w:pPr>
            <w:r>
              <w:rPr>
                <w:rFonts w:cs="Arial"/>
                <w:b/>
                <w:szCs w:val="22"/>
                <w:lang w:eastAsia="en-AU"/>
              </w:rPr>
              <w:t xml:space="preserve">Option 2A: </w:t>
            </w:r>
            <w:r>
              <w:rPr>
                <w:rFonts w:cs="Arial"/>
                <w:szCs w:val="22"/>
                <w:lang w:eastAsia="en-AU"/>
              </w:rPr>
              <w:t>no exemption for new-builds:</w:t>
            </w:r>
          </w:p>
          <w:p w14:paraId="596B7809" w14:textId="77777777" w:rsidR="002E3CD5" w:rsidRDefault="002E3CD5" w:rsidP="00E14877">
            <w:pPr>
              <w:pStyle w:val="ListParagraph"/>
              <w:numPr>
                <w:ilvl w:val="1"/>
                <w:numId w:val="62"/>
              </w:numPr>
              <w:spacing w:before="109" w:after="109" w:line="240" w:lineRule="auto"/>
              <w:ind w:left="1031" w:hanging="515"/>
              <w:contextualSpacing w:val="0"/>
              <w:jc w:val="both"/>
              <w:rPr>
                <w:rFonts w:cs="Arial"/>
                <w:szCs w:val="22"/>
                <w:lang w:eastAsia="en-AU"/>
              </w:rPr>
            </w:pPr>
            <w:r w:rsidRPr="008A36B8">
              <w:rPr>
                <w:rFonts w:cs="Arial"/>
                <w:b/>
                <w:szCs w:val="22"/>
                <w:lang w:eastAsia="en-AU"/>
              </w:rPr>
              <w:t>Option</w:t>
            </w:r>
            <w:r>
              <w:rPr>
                <w:rFonts w:cs="Arial"/>
                <w:szCs w:val="22"/>
                <w:lang w:eastAsia="en-AU"/>
              </w:rPr>
              <w:t xml:space="preserve"> </w:t>
            </w:r>
            <w:r>
              <w:rPr>
                <w:rFonts w:cs="Arial"/>
                <w:b/>
                <w:szCs w:val="22"/>
                <w:lang w:eastAsia="en-AU"/>
              </w:rPr>
              <w:t>2</w:t>
            </w:r>
            <w:r w:rsidRPr="008A36B8">
              <w:rPr>
                <w:rFonts w:cs="Arial"/>
                <w:b/>
                <w:szCs w:val="22"/>
                <w:lang w:eastAsia="en-AU"/>
              </w:rPr>
              <w:t>B</w:t>
            </w:r>
            <w:r>
              <w:rPr>
                <w:rFonts w:cs="Arial"/>
                <w:b/>
                <w:szCs w:val="22"/>
                <w:lang w:eastAsia="en-AU"/>
              </w:rPr>
              <w:t xml:space="preserve">: </w:t>
            </w:r>
            <w:r>
              <w:rPr>
                <w:rFonts w:cs="Arial"/>
                <w:szCs w:val="22"/>
                <w:lang w:eastAsia="en-AU"/>
              </w:rPr>
              <w:t xml:space="preserve">applying a 5-year bright-line </w:t>
            </w:r>
            <w:r w:rsidR="00E52224">
              <w:rPr>
                <w:rFonts w:cs="Arial"/>
                <w:szCs w:val="22"/>
                <w:lang w:eastAsia="en-AU"/>
              </w:rPr>
              <w:t xml:space="preserve">test </w:t>
            </w:r>
            <w:r>
              <w:rPr>
                <w:rFonts w:cs="Arial"/>
                <w:szCs w:val="22"/>
                <w:lang w:eastAsia="en-AU"/>
              </w:rPr>
              <w:t>to new-builds:</w:t>
            </w:r>
          </w:p>
          <w:p w14:paraId="0AE8E8B5" w14:textId="77777777" w:rsidR="002E3CD5" w:rsidRPr="008A36B8" w:rsidRDefault="002E3CD5" w:rsidP="00E14877">
            <w:pPr>
              <w:pStyle w:val="ListParagraph"/>
              <w:numPr>
                <w:ilvl w:val="1"/>
                <w:numId w:val="62"/>
              </w:numPr>
              <w:spacing w:before="109" w:after="109" w:line="240" w:lineRule="auto"/>
              <w:ind w:left="1031" w:hanging="515"/>
              <w:contextualSpacing w:val="0"/>
              <w:jc w:val="both"/>
              <w:rPr>
                <w:rFonts w:cs="Arial"/>
                <w:szCs w:val="22"/>
                <w:lang w:eastAsia="en-AU"/>
              </w:rPr>
            </w:pPr>
            <w:r>
              <w:rPr>
                <w:rFonts w:cs="Arial"/>
                <w:b/>
                <w:szCs w:val="22"/>
                <w:lang w:eastAsia="en-AU"/>
              </w:rPr>
              <w:t>Option 2</w:t>
            </w:r>
            <w:r w:rsidRPr="008A36B8">
              <w:rPr>
                <w:rFonts w:cs="Arial"/>
                <w:b/>
                <w:szCs w:val="22"/>
                <w:lang w:eastAsia="en-AU"/>
              </w:rPr>
              <w:t>C</w:t>
            </w:r>
            <w:r>
              <w:rPr>
                <w:rFonts w:cs="Arial"/>
                <w:b/>
                <w:szCs w:val="22"/>
                <w:lang w:eastAsia="en-AU"/>
              </w:rPr>
              <w:t xml:space="preserve">: </w:t>
            </w:r>
            <w:r>
              <w:rPr>
                <w:rFonts w:cs="Arial"/>
                <w:szCs w:val="22"/>
                <w:lang w:eastAsia="en-AU"/>
              </w:rPr>
              <w:t xml:space="preserve">completely exempting new-builds from </w:t>
            </w:r>
            <w:r w:rsidR="00E52224">
              <w:rPr>
                <w:rFonts w:cs="Arial"/>
                <w:szCs w:val="22"/>
                <w:lang w:eastAsia="en-AU"/>
              </w:rPr>
              <w:t xml:space="preserve">the </w:t>
            </w:r>
            <w:r>
              <w:rPr>
                <w:rFonts w:cs="Arial"/>
                <w:szCs w:val="22"/>
                <w:lang w:eastAsia="en-AU"/>
              </w:rPr>
              <w:t>bright-line</w:t>
            </w:r>
            <w:r w:rsidR="00E52224">
              <w:rPr>
                <w:rFonts w:cs="Arial"/>
                <w:szCs w:val="22"/>
                <w:lang w:eastAsia="en-AU"/>
              </w:rPr>
              <w:t xml:space="preserve"> test</w:t>
            </w:r>
            <w:r>
              <w:rPr>
                <w:rFonts w:cs="Arial"/>
                <w:szCs w:val="22"/>
                <w:lang w:eastAsia="en-AU"/>
              </w:rPr>
              <w:t>:</w:t>
            </w:r>
          </w:p>
          <w:p w14:paraId="24342FC3" w14:textId="43D7C908" w:rsidR="002E3CD5" w:rsidRPr="008A36B8" w:rsidRDefault="002E3CD5" w:rsidP="00E14877">
            <w:pPr>
              <w:pStyle w:val="ListParagraph"/>
              <w:numPr>
                <w:ilvl w:val="0"/>
                <w:numId w:val="61"/>
              </w:numPr>
              <w:spacing w:before="218" w:after="218" w:line="240" w:lineRule="auto"/>
              <w:ind w:left="515" w:hanging="515"/>
              <w:contextualSpacing w:val="0"/>
              <w:rPr>
                <w:rFonts w:cs="Arial"/>
                <w:szCs w:val="22"/>
                <w:lang w:eastAsia="en-AU"/>
              </w:rPr>
            </w:pPr>
            <w:r>
              <w:rPr>
                <w:rFonts w:cs="Arial"/>
                <w:b/>
                <w:szCs w:val="22"/>
                <w:lang w:eastAsia="en-AU"/>
              </w:rPr>
              <w:t xml:space="preserve">Option 3: </w:t>
            </w:r>
            <w:r w:rsidRPr="00270140">
              <w:rPr>
                <w:rFonts w:cs="Arial"/>
                <w:b/>
                <w:szCs w:val="22"/>
                <w:lang w:eastAsia="en-AU"/>
              </w:rPr>
              <w:t>Extending the bright</w:t>
            </w:r>
            <w:r>
              <w:rPr>
                <w:rFonts w:cs="Arial"/>
                <w:b/>
                <w:szCs w:val="22"/>
                <w:lang w:eastAsia="en-AU"/>
              </w:rPr>
              <w:t>-</w:t>
            </w:r>
            <w:r w:rsidRPr="00270140">
              <w:rPr>
                <w:rFonts w:cs="Arial"/>
                <w:b/>
                <w:szCs w:val="22"/>
                <w:lang w:eastAsia="en-AU"/>
              </w:rPr>
              <w:t xml:space="preserve">line period to </w:t>
            </w:r>
            <w:r>
              <w:rPr>
                <w:rFonts w:cs="Arial"/>
                <w:b/>
                <w:szCs w:val="22"/>
                <w:lang w:eastAsia="en-AU"/>
              </w:rPr>
              <w:t>10</w:t>
            </w:r>
            <w:r w:rsidRPr="00270140">
              <w:rPr>
                <w:rFonts w:cs="Arial"/>
                <w:b/>
                <w:szCs w:val="22"/>
                <w:lang w:eastAsia="en-AU"/>
              </w:rPr>
              <w:t xml:space="preserve"> years</w:t>
            </w:r>
            <w:r>
              <w:rPr>
                <w:rFonts w:cs="Arial"/>
                <w:b/>
                <w:szCs w:val="22"/>
                <w:lang w:eastAsia="en-AU"/>
              </w:rPr>
              <w:t xml:space="preserve"> for property </w:t>
            </w:r>
            <w:r w:rsidR="004E57E8">
              <w:rPr>
                <w:rFonts w:cs="Arial"/>
                <w:b/>
                <w:szCs w:val="22"/>
                <w:lang w:eastAsia="en-AU"/>
              </w:rPr>
              <w:t>acquired on or after the application date</w:t>
            </w:r>
            <w:r w:rsidR="004E57E8" w:rsidRPr="00270140">
              <w:rPr>
                <w:rFonts w:cs="Arial"/>
                <w:b/>
                <w:szCs w:val="22"/>
                <w:lang w:eastAsia="en-AU"/>
              </w:rPr>
              <w:t>:</w:t>
            </w:r>
            <w:r>
              <w:t xml:space="preserve"> </w:t>
            </w:r>
            <w:r>
              <w:rPr>
                <w:rFonts w:cs="Arial"/>
                <w:szCs w:val="22"/>
                <w:lang w:eastAsia="en-AU"/>
              </w:rPr>
              <w:t xml:space="preserve">This option would extend the period in which properties sold could be subject to the </w:t>
            </w:r>
            <w:r w:rsidRPr="00E14877">
              <w:rPr>
                <w:rFonts w:cs="Arial"/>
                <w:b/>
                <w:szCs w:val="22"/>
                <w:lang w:eastAsia="en-AU"/>
              </w:rPr>
              <w:t>bright</w:t>
            </w:r>
            <w:r>
              <w:rPr>
                <w:rFonts w:cs="Arial"/>
                <w:szCs w:val="22"/>
                <w:lang w:eastAsia="en-AU"/>
              </w:rPr>
              <w:t>-line test from 5 years to 10 years. The test would still not apply to a person’s main home. There are also further options relating to new builds:</w:t>
            </w:r>
          </w:p>
          <w:p w14:paraId="011914AD" w14:textId="77777777" w:rsidR="002E3CD5" w:rsidRDefault="002E3CD5" w:rsidP="00E14877">
            <w:pPr>
              <w:pStyle w:val="ListParagraph"/>
              <w:numPr>
                <w:ilvl w:val="1"/>
                <w:numId w:val="62"/>
              </w:numPr>
              <w:spacing w:before="109" w:after="109" w:line="240" w:lineRule="auto"/>
              <w:ind w:left="1031" w:hanging="515"/>
              <w:contextualSpacing w:val="0"/>
              <w:jc w:val="both"/>
              <w:rPr>
                <w:rFonts w:cs="Arial"/>
                <w:szCs w:val="22"/>
                <w:lang w:eastAsia="en-AU"/>
              </w:rPr>
            </w:pPr>
            <w:r>
              <w:rPr>
                <w:rFonts w:cs="Arial"/>
                <w:b/>
                <w:szCs w:val="22"/>
                <w:lang w:eastAsia="en-AU"/>
              </w:rPr>
              <w:t xml:space="preserve">Option 3A: </w:t>
            </w:r>
            <w:r>
              <w:rPr>
                <w:rFonts w:cs="Arial"/>
                <w:szCs w:val="22"/>
                <w:lang w:eastAsia="en-AU"/>
              </w:rPr>
              <w:t>no exemption for new-builds:</w:t>
            </w:r>
          </w:p>
          <w:p w14:paraId="3A3AD33E" w14:textId="77777777" w:rsidR="002E3CD5" w:rsidRDefault="002E3CD5" w:rsidP="00E14877">
            <w:pPr>
              <w:pStyle w:val="ListParagraph"/>
              <w:numPr>
                <w:ilvl w:val="1"/>
                <w:numId w:val="62"/>
              </w:numPr>
              <w:spacing w:before="109" w:after="109" w:line="240" w:lineRule="auto"/>
              <w:ind w:left="1031" w:hanging="515"/>
              <w:contextualSpacing w:val="0"/>
              <w:jc w:val="both"/>
              <w:rPr>
                <w:rFonts w:cs="Arial"/>
                <w:szCs w:val="22"/>
                <w:lang w:eastAsia="en-AU"/>
              </w:rPr>
            </w:pPr>
            <w:r w:rsidRPr="008A36B8">
              <w:rPr>
                <w:rFonts w:cs="Arial"/>
                <w:b/>
                <w:szCs w:val="22"/>
                <w:lang w:eastAsia="en-AU"/>
              </w:rPr>
              <w:t>Option</w:t>
            </w:r>
            <w:r>
              <w:rPr>
                <w:rFonts w:cs="Arial"/>
                <w:szCs w:val="22"/>
                <w:lang w:eastAsia="en-AU"/>
              </w:rPr>
              <w:t xml:space="preserve"> </w:t>
            </w:r>
            <w:r>
              <w:rPr>
                <w:rFonts w:cs="Arial"/>
                <w:b/>
                <w:szCs w:val="22"/>
                <w:lang w:eastAsia="en-AU"/>
              </w:rPr>
              <w:t>3</w:t>
            </w:r>
            <w:r w:rsidRPr="008A36B8">
              <w:rPr>
                <w:rFonts w:cs="Arial"/>
                <w:b/>
                <w:szCs w:val="22"/>
                <w:lang w:eastAsia="en-AU"/>
              </w:rPr>
              <w:t>B</w:t>
            </w:r>
            <w:r>
              <w:rPr>
                <w:rFonts w:cs="Arial"/>
                <w:b/>
                <w:szCs w:val="22"/>
                <w:lang w:eastAsia="en-AU"/>
              </w:rPr>
              <w:t xml:space="preserve">: </w:t>
            </w:r>
            <w:r>
              <w:rPr>
                <w:rFonts w:cs="Arial"/>
                <w:szCs w:val="22"/>
                <w:lang w:eastAsia="en-AU"/>
              </w:rPr>
              <w:t xml:space="preserve">applying a 5-year bright-line </w:t>
            </w:r>
            <w:r w:rsidR="00E52224">
              <w:rPr>
                <w:rFonts w:cs="Arial"/>
                <w:szCs w:val="22"/>
                <w:lang w:eastAsia="en-AU"/>
              </w:rPr>
              <w:t xml:space="preserve">test </w:t>
            </w:r>
            <w:r>
              <w:rPr>
                <w:rFonts w:cs="Arial"/>
                <w:szCs w:val="22"/>
                <w:lang w:eastAsia="en-AU"/>
              </w:rPr>
              <w:t>to new-builds:</w:t>
            </w:r>
          </w:p>
          <w:p w14:paraId="7DC6B34F" w14:textId="77777777" w:rsidR="002E3CD5" w:rsidRPr="008A36B8" w:rsidRDefault="002E3CD5" w:rsidP="00E14877">
            <w:pPr>
              <w:pStyle w:val="ListParagraph"/>
              <w:numPr>
                <w:ilvl w:val="1"/>
                <w:numId w:val="62"/>
              </w:numPr>
              <w:spacing w:before="109" w:after="109" w:line="240" w:lineRule="auto"/>
              <w:ind w:left="1031" w:hanging="515"/>
              <w:contextualSpacing w:val="0"/>
              <w:jc w:val="both"/>
              <w:rPr>
                <w:rFonts w:cs="Arial"/>
                <w:szCs w:val="22"/>
                <w:lang w:eastAsia="en-AU"/>
              </w:rPr>
            </w:pPr>
            <w:r>
              <w:rPr>
                <w:rFonts w:cs="Arial"/>
                <w:b/>
                <w:szCs w:val="22"/>
                <w:lang w:eastAsia="en-AU"/>
              </w:rPr>
              <w:t>Option 3</w:t>
            </w:r>
            <w:r w:rsidRPr="008A36B8">
              <w:rPr>
                <w:rFonts w:cs="Arial"/>
                <w:b/>
                <w:szCs w:val="22"/>
                <w:lang w:eastAsia="en-AU"/>
              </w:rPr>
              <w:t>C</w:t>
            </w:r>
            <w:r>
              <w:rPr>
                <w:rFonts w:cs="Arial"/>
                <w:b/>
                <w:szCs w:val="22"/>
                <w:lang w:eastAsia="en-AU"/>
              </w:rPr>
              <w:t xml:space="preserve">: </w:t>
            </w:r>
            <w:r>
              <w:rPr>
                <w:rFonts w:cs="Arial"/>
                <w:szCs w:val="22"/>
                <w:lang w:eastAsia="en-AU"/>
              </w:rPr>
              <w:t xml:space="preserve">completely exempting new-builds from </w:t>
            </w:r>
            <w:r w:rsidR="00E52224">
              <w:rPr>
                <w:rFonts w:cs="Arial"/>
                <w:szCs w:val="22"/>
                <w:lang w:eastAsia="en-AU"/>
              </w:rPr>
              <w:t xml:space="preserve">the </w:t>
            </w:r>
            <w:r>
              <w:rPr>
                <w:rFonts w:cs="Arial"/>
                <w:szCs w:val="22"/>
                <w:lang w:eastAsia="en-AU"/>
              </w:rPr>
              <w:t>bright-line</w:t>
            </w:r>
            <w:r w:rsidR="00E52224">
              <w:rPr>
                <w:rFonts w:cs="Arial"/>
                <w:szCs w:val="22"/>
                <w:lang w:eastAsia="en-AU"/>
              </w:rPr>
              <w:t xml:space="preserve"> test</w:t>
            </w:r>
            <w:r>
              <w:rPr>
                <w:rFonts w:cs="Arial"/>
                <w:szCs w:val="22"/>
                <w:lang w:eastAsia="en-AU"/>
              </w:rPr>
              <w:t>:</w:t>
            </w:r>
          </w:p>
          <w:p w14:paraId="230D75FC" w14:textId="6880891E" w:rsidR="002E3CD5" w:rsidRPr="00E14877" w:rsidRDefault="002E3CD5" w:rsidP="00AC667E">
            <w:pPr>
              <w:spacing w:before="109" w:after="0" w:line="240" w:lineRule="auto"/>
              <w:jc w:val="both"/>
              <w:rPr>
                <w:lang w:eastAsia="en-AU"/>
              </w:rPr>
            </w:pPr>
            <w:r>
              <w:rPr>
                <w:rFonts w:cs="Arial"/>
                <w:szCs w:val="22"/>
                <w:lang w:eastAsia="en-AU"/>
              </w:rPr>
              <w:t>There are further decisions to be made about application date</w:t>
            </w:r>
            <w:r w:rsidR="005D1402">
              <w:rPr>
                <w:rFonts w:cs="Arial"/>
                <w:szCs w:val="22"/>
                <w:lang w:eastAsia="en-AU"/>
              </w:rPr>
              <w:t>s</w:t>
            </w:r>
            <w:r>
              <w:rPr>
                <w:rFonts w:cs="Arial"/>
                <w:szCs w:val="22"/>
                <w:lang w:eastAsia="en-AU"/>
              </w:rPr>
              <w:t xml:space="preserve">. These do not make a material difference </w:t>
            </w:r>
            <w:r w:rsidR="00B3741C">
              <w:rPr>
                <w:rFonts w:cs="Arial"/>
                <w:szCs w:val="22"/>
                <w:lang w:eastAsia="en-AU"/>
              </w:rPr>
              <w:t>to</w:t>
            </w:r>
            <w:r>
              <w:rPr>
                <w:rFonts w:cs="Arial"/>
                <w:szCs w:val="22"/>
                <w:lang w:eastAsia="en-AU"/>
              </w:rPr>
              <w:t xml:space="preserve"> the analysis</w:t>
            </w:r>
            <w:r w:rsidR="005D1402">
              <w:rPr>
                <w:rFonts w:cs="Arial"/>
                <w:szCs w:val="22"/>
                <w:lang w:eastAsia="en-AU"/>
              </w:rPr>
              <w:t xml:space="preserve"> as the difference in dates is only a matter of days</w:t>
            </w:r>
            <w:r w:rsidR="00E52224">
              <w:rPr>
                <w:rFonts w:cs="Arial"/>
                <w:szCs w:val="22"/>
                <w:lang w:eastAsia="en-AU"/>
              </w:rPr>
              <w:t>.</w:t>
            </w:r>
            <w:r>
              <w:rPr>
                <w:rFonts w:cs="Arial"/>
                <w:szCs w:val="22"/>
                <w:lang w:eastAsia="en-AU"/>
              </w:rPr>
              <w:t xml:space="preserve"> </w:t>
            </w:r>
            <w:r w:rsidR="005B2349">
              <w:rPr>
                <w:lang w:eastAsia="en-AU"/>
              </w:rPr>
              <w:t xml:space="preserve">There are further technical options to amend the bright-line test (such as the scope of exclusions) that are not assessed in this </w:t>
            </w:r>
            <w:r w:rsidR="00376B19">
              <w:rPr>
                <w:lang w:eastAsia="en-AU"/>
              </w:rPr>
              <w:t>Regulatory Impact Statement</w:t>
            </w:r>
            <w:r w:rsidR="005B2349">
              <w:rPr>
                <w:lang w:eastAsia="en-AU"/>
              </w:rPr>
              <w:t>.</w:t>
            </w:r>
          </w:p>
        </w:tc>
      </w:tr>
    </w:tbl>
    <w:p w14:paraId="3A242E2C" w14:textId="77777777" w:rsidR="002E3CD5" w:rsidRPr="009C4129" w:rsidRDefault="002E3CD5" w:rsidP="002E3CD5">
      <w:pPr>
        <w:pStyle w:val="spacer"/>
        <w:spacing w:before="240"/>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2E3CD5" w:rsidRPr="009C4129" w14:paraId="0007D65C" w14:textId="77777777" w:rsidTr="00AC667E">
        <w:trPr>
          <w:trHeight w:val="510"/>
        </w:trPr>
        <w:tc>
          <w:tcPr>
            <w:tcW w:w="5000" w:type="pct"/>
            <w:shd w:val="clear" w:color="auto" w:fill="99CDDD"/>
          </w:tcPr>
          <w:p w14:paraId="190C182B" w14:textId="77777777" w:rsidR="002E3CD5" w:rsidRPr="009C4129" w:rsidRDefault="002E3CD5" w:rsidP="00AC667E">
            <w:pPr>
              <w:keepNext/>
              <w:keepLines/>
              <w:spacing w:before="54" w:after="54" w:line="240" w:lineRule="auto"/>
              <w:rPr>
                <w:rFonts w:cs="Arial"/>
                <w:b/>
                <w:szCs w:val="22"/>
                <w:lang w:eastAsia="en-AU"/>
              </w:rPr>
            </w:pPr>
            <w:r>
              <w:rPr>
                <w:rFonts w:cs="Arial"/>
                <w:b/>
                <w:szCs w:val="22"/>
                <w:lang w:eastAsia="en-AU"/>
              </w:rPr>
              <w:t xml:space="preserve">3.2   </w:t>
            </w:r>
            <w:r w:rsidRPr="009C4129">
              <w:rPr>
                <w:rFonts w:cs="Arial"/>
                <w:b/>
                <w:szCs w:val="22"/>
                <w:lang w:eastAsia="en-AU"/>
              </w:rPr>
              <w:t>What criteria, in addition to monetary costs and benefits</w:t>
            </w:r>
            <w:r>
              <w:rPr>
                <w:rFonts w:cs="Arial"/>
                <w:b/>
                <w:szCs w:val="22"/>
                <w:lang w:eastAsia="en-AU"/>
              </w:rPr>
              <w:t xml:space="preserve"> </w:t>
            </w:r>
            <w:r w:rsidRPr="009C4129">
              <w:rPr>
                <w:rFonts w:cs="Arial"/>
                <w:b/>
                <w:szCs w:val="22"/>
                <w:lang w:eastAsia="en-AU"/>
              </w:rPr>
              <w:t>have been used to assess the likely impacts of the options under consideration?</w:t>
            </w:r>
          </w:p>
        </w:tc>
      </w:tr>
      <w:tr w:rsidR="002E3CD5" w:rsidRPr="009C4129" w14:paraId="2689DB35" w14:textId="77777777" w:rsidTr="00AC667E">
        <w:trPr>
          <w:trHeight w:val="2096"/>
        </w:trPr>
        <w:tc>
          <w:tcPr>
            <w:tcW w:w="5000" w:type="pct"/>
            <w:shd w:val="clear" w:color="auto" w:fill="FFFFFF"/>
          </w:tcPr>
          <w:p w14:paraId="47B72565" w14:textId="77777777" w:rsidR="002E3CD5" w:rsidRDefault="002E3CD5" w:rsidP="00C167FA">
            <w:pPr>
              <w:spacing w:before="218" w:after="218" w:line="240" w:lineRule="auto"/>
              <w:rPr>
                <w:lang w:eastAsia="en-AU"/>
              </w:rPr>
            </w:pPr>
            <w:r>
              <w:rPr>
                <w:lang w:eastAsia="en-AU"/>
              </w:rPr>
              <w:t xml:space="preserve">The likely impacts of the proposals have been assessed against a set of criteria to evaluate </w:t>
            </w:r>
            <w:r>
              <w:t>the</w:t>
            </w:r>
            <w:r>
              <w:rPr>
                <w:lang w:eastAsia="en-AU"/>
              </w:rPr>
              <w:t xml:space="preserve"> impact of the proposals on the Government’s </w:t>
            </w:r>
            <w:r w:rsidR="002E0E46">
              <w:rPr>
                <w:lang w:eastAsia="en-AU"/>
              </w:rPr>
              <w:t xml:space="preserve">demand-side </w:t>
            </w:r>
            <w:r>
              <w:rPr>
                <w:lang w:eastAsia="en-AU"/>
              </w:rPr>
              <w:t>objectives (above at 2.5), the effect on rental affordability, and traditional tax policy criteria of efficiency, integrity, equity, revenue, compliance and administration costs, and coherence, as below:</w:t>
            </w:r>
            <w:r>
              <w:rPr>
                <w:rStyle w:val="FootnoteReference"/>
                <w:lang w:eastAsia="en-AU"/>
              </w:rPr>
              <w:footnoteReference w:id="15"/>
            </w:r>
          </w:p>
          <w:p w14:paraId="58226058" w14:textId="5BBAD29E" w:rsidR="002E3CD5" w:rsidRDefault="002E3CD5" w:rsidP="006E0F54">
            <w:pPr>
              <w:pStyle w:val="ListParagraph"/>
              <w:numPr>
                <w:ilvl w:val="0"/>
                <w:numId w:val="39"/>
              </w:numPr>
              <w:spacing w:before="109" w:after="0" w:line="240" w:lineRule="auto"/>
              <w:ind w:left="495" w:hanging="495"/>
              <w:contextualSpacing w:val="0"/>
              <w:rPr>
                <w:lang w:eastAsia="en-AU"/>
              </w:rPr>
            </w:pPr>
            <w:r w:rsidRPr="000A2ADC">
              <w:rPr>
                <w:b/>
                <w:lang w:eastAsia="en-AU"/>
              </w:rPr>
              <w:t>Efficiency and growth:</w:t>
            </w:r>
            <w:r>
              <w:rPr>
                <w:lang w:eastAsia="en-AU"/>
              </w:rPr>
              <w:t xml:space="preserve"> Taxes should be</w:t>
            </w:r>
            <w:r w:rsidR="005B2349">
              <w:rPr>
                <w:lang w:eastAsia="en-AU"/>
              </w:rPr>
              <w:t xml:space="preserve">, to the extent possible, </w:t>
            </w:r>
            <w:r>
              <w:rPr>
                <w:lang w:eastAsia="en-AU"/>
              </w:rPr>
              <w:t xml:space="preserve">efficient and minimise as far as possible impediments to economic growth. That is, the tax system should avoid unnecessarily distorting the use of resources (e.g. causing biases toward one form of investment </w:t>
            </w:r>
            <w:r w:rsidRPr="000F45B4">
              <w:rPr>
                <w:rFonts w:cs="Arial"/>
                <w:szCs w:val="22"/>
                <w:lang w:eastAsia="en-AU"/>
              </w:rPr>
              <w:t>versus</w:t>
            </w:r>
            <w:r>
              <w:rPr>
                <w:lang w:eastAsia="en-AU"/>
              </w:rPr>
              <w:t xml:space="preserve"> another) and imposing heavy costs on individuals and firms. </w:t>
            </w:r>
          </w:p>
          <w:p w14:paraId="39D6F07A" w14:textId="77777777" w:rsidR="002E3CD5" w:rsidRDefault="002E3CD5" w:rsidP="006E0F54">
            <w:pPr>
              <w:pStyle w:val="ListParagraph"/>
              <w:numPr>
                <w:ilvl w:val="0"/>
                <w:numId w:val="39"/>
              </w:numPr>
              <w:spacing w:before="109" w:after="0" w:line="240" w:lineRule="auto"/>
              <w:ind w:left="495" w:hanging="495"/>
              <w:contextualSpacing w:val="0"/>
              <w:rPr>
                <w:lang w:eastAsia="en-AU"/>
              </w:rPr>
            </w:pPr>
            <w:r w:rsidRPr="000A2ADC">
              <w:rPr>
                <w:b/>
                <w:lang w:eastAsia="en-AU"/>
              </w:rPr>
              <w:t>Equity and fairness:</w:t>
            </w:r>
            <w:r>
              <w:rPr>
                <w:lang w:eastAsia="en-AU"/>
              </w:rPr>
              <w:t xml:space="preserve"> The tax system should </w:t>
            </w:r>
            <w:r w:rsidR="005B2349">
              <w:rPr>
                <w:lang w:eastAsia="en-AU"/>
              </w:rPr>
              <w:t xml:space="preserve">promote </w:t>
            </w:r>
            <w:r>
              <w:rPr>
                <w:lang w:eastAsia="en-AU"/>
              </w:rPr>
              <w:t>fair</w:t>
            </w:r>
            <w:r w:rsidR="005B2349">
              <w:rPr>
                <w:lang w:eastAsia="en-AU"/>
              </w:rPr>
              <w:t>ness</w:t>
            </w:r>
            <w:r>
              <w:rPr>
                <w:lang w:eastAsia="en-AU"/>
              </w:rPr>
              <w:t xml:space="preserve">. The burden of taxes differs across individuals and businesses depending on which bases and rates are adopted. Assessment of both vertical equity (the relative position of those on different income levels or </w:t>
            </w:r>
            <w:r w:rsidRPr="000F45B4">
              <w:rPr>
                <w:rFonts w:cs="Arial"/>
                <w:szCs w:val="22"/>
                <w:lang w:eastAsia="en-AU"/>
              </w:rPr>
              <w:t>in</w:t>
            </w:r>
            <w:r>
              <w:rPr>
                <w:lang w:eastAsia="en-AU"/>
              </w:rPr>
              <w:t xml:space="preserve"> different circumstances) and horizontal equity (the consistent treatment of those at similar income levels, or similar circumstances) is important.</w:t>
            </w:r>
          </w:p>
          <w:p w14:paraId="05D4505D" w14:textId="77777777" w:rsidR="002E3CD5" w:rsidRDefault="002E3CD5" w:rsidP="00AC667E">
            <w:pPr>
              <w:pStyle w:val="ListParagraph"/>
              <w:numPr>
                <w:ilvl w:val="0"/>
                <w:numId w:val="39"/>
              </w:numPr>
              <w:spacing w:before="109" w:after="0" w:line="240" w:lineRule="auto"/>
              <w:ind w:left="495" w:hanging="495"/>
              <w:contextualSpacing w:val="0"/>
              <w:rPr>
                <w:lang w:eastAsia="en-AU"/>
              </w:rPr>
            </w:pPr>
            <w:r w:rsidRPr="000A2ADC">
              <w:rPr>
                <w:b/>
                <w:lang w:eastAsia="en-AU"/>
              </w:rPr>
              <w:t>Revenue integrity:</w:t>
            </w:r>
            <w:r>
              <w:rPr>
                <w:lang w:eastAsia="en-AU"/>
              </w:rPr>
              <w:t xml:space="preserve"> The tax system should be sustainable over time, and minimise opportunities for tax avoidance and arbitrage.</w:t>
            </w:r>
          </w:p>
          <w:p w14:paraId="3D1BC3AC" w14:textId="77777777" w:rsidR="002E3CD5" w:rsidRDefault="002E3CD5" w:rsidP="00AC667E">
            <w:pPr>
              <w:pStyle w:val="ListParagraph"/>
              <w:numPr>
                <w:ilvl w:val="0"/>
                <w:numId w:val="39"/>
              </w:numPr>
              <w:spacing w:before="109" w:after="0" w:line="240" w:lineRule="auto"/>
              <w:ind w:left="495" w:hanging="495"/>
              <w:contextualSpacing w:val="0"/>
              <w:rPr>
                <w:lang w:eastAsia="en-AU"/>
              </w:rPr>
            </w:pPr>
            <w:r w:rsidRPr="000A2ADC">
              <w:rPr>
                <w:b/>
                <w:lang w:eastAsia="en-AU"/>
              </w:rPr>
              <w:t xml:space="preserve">Fiscal </w:t>
            </w:r>
            <w:r>
              <w:rPr>
                <w:b/>
                <w:lang w:eastAsia="en-AU"/>
              </w:rPr>
              <w:t>impact</w:t>
            </w:r>
            <w:r w:rsidRPr="000A2ADC">
              <w:rPr>
                <w:b/>
                <w:lang w:eastAsia="en-AU"/>
              </w:rPr>
              <w:t>:</w:t>
            </w:r>
            <w:r>
              <w:rPr>
                <w:lang w:eastAsia="en-AU"/>
              </w:rPr>
              <w:t xml:space="preserve"> Tax reforms need to be affordable given fiscal constraints</w:t>
            </w:r>
            <w:r w:rsidR="005B2349">
              <w:rPr>
                <w:lang w:eastAsia="en-AU"/>
              </w:rPr>
              <w:t>, and the tax system must raise sufficient revenue to support the Government’s fiscal strategy.</w:t>
            </w:r>
          </w:p>
          <w:p w14:paraId="6D2E66B0" w14:textId="77777777" w:rsidR="002E3CD5" w:rsidRDefault="002E3CD5" w:rsidP="00AC667E">
            <w:pPr>
              <w:pStyle w:val="ListParagraph"/>
              <w:numPr>
                <w:ilvl w:val="0"/>
                <w:numId w:val="39"/>
              </w:numPr>
              <w:spacing w:before="109" w:after="0" w:line="240" w:lineRule="auto"/>
              <w:ind w:left="495" w:hanging="495"/>
              <w:contextualSpacing w:val="0"/>
              <w:rPr>
                <w:lang w:eastAsia="en-AU"/>
              </w:rPr>
            </w:pPr>
            <w:r w:rsidRPr="000A2ADC">
              <w:rPr>
                <w:b/>
                <w:lang w:eastAsia="en-AU"/>
              </w:rPr>
              <w:lastRenderedPageBreak/>
              <w:t>Compliance and administration cost:</w:t>
            </w:r>
            <w:r>
              <w:rPr>
                <w:lang w:eastAsia="en-AU"/>
              </w:rPr>
              <w:t xml:space="preserve"> The tax system should be as simple and low cost as possible for taxpayers to comply with and for the Inland Revenue Department to administer.</w:t>
            </w:r>
          </w:p>
          <w:p w14:paraId="28265989" w14:textId="77777777" w:rsidR="002E3CD5" w:rsidRDefault="002E3CD5" w:rsidP="00AC667E">
            <w:pPr>
              <w:pStyle w:val="ListParagraph"/>
              <w:numPr>
                <w:ilvl w:val="0"/>
                <w:numId w:val="39"/>
              </w:numPr>
              <w:spacing w:before="109" w:after="0" w:line="240" w:lineRule="auto"/>
              <w:ind w:left="495" w:hanging="495"/>
              <w:contextualSpacing w:val="0"/>
              <w:rPr>
                <w:lang w:eastAsia="en-AU"/>
              </w:rPr>
            </w:pPr>
            <w:r w:rsidRPr="000A2ADC">
              <w:rPr>
                <w:b/>
                <w:lang w:eastAsia="en-AU"/>
              </w:rPr>
              <w:t>Coherence:</w:t>
            </w:r>
            <w:r>
              <w:rPr>
                <w:lang w:eastAsia="en-AU"/>
              </w:rPr>
              <w:t xml:space="preserve"> Individual reform options should make sense in the context of the entire tax system. While a particular measure may seem sensible when viewed in isolation, implementing the proposal may not be desirable given the tax system as a whole. </w:t>
            </w:r>
          </w:p>
          <w:p w14:paraId="6245B050" w14:textId="77777777" w:rsidR="002E3CD5" w:rsidRPr="009C4129" w:rsidRDefault="002E3CD5" w:rsidP="00980F05">
            <w:pPr>
              <w:spacing w:before="218" w:after="218" w:line="240" w:lineRule="auto"/>
              <w:rPr>
                <w:rFonts w:cs="Arial"/>
                <w:szCs w:val="22"/>
                <w:lang w:eastAsia="en-AU"/>
              </w:rPr>
            </w:pPr>
            <w:r>
              <w:rPr>
                <w:lang w:eastAsia="en-AU"/>
              </w:rPr>
              <w:t>The trade-offs between the different criteria are discussed in detail below.</w:t>
            </w:r>
            <w:r w:rsidR="005B2349">
              <w:rPr>
                <w:lang w:eastAsia="en-AU"/>
              </w:rPr>
              <w:t xml:space="preserve"> </w:t>
            </w:r>
          </w:p>
        </w:tc>
      </w:tr>
    </w:tbl>
    <w:p w14:paraId="11AB5A8C" w14:textId="77777777" w:rsidR="002E3CD5" w:rsidRPr="009C4129" w:rsidRDefault="002E3CD5" w:rsidP="002E3CD5">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E3CD5" w:rsidRPr="009C4129" w14:paraId="7C707D0F" w14:textId="77777777" w:rsidTr="00AC667E">
        <w:trPr>
          <w:trHeight w:val="124"/>
        </w:trPr>
        <w:tc>
          <w:tcPr>
            <w:tcW w:w="5000" w:type="pct"/>
            <w:shd w:val="clear" w:color="auto" w:fill="99CDDD"/>
          </w:tcPr>
          <w:p w14:paraId="75BD5B9D" w14:textId="77777777" w:rsidR="002E3CD5" w:rsidRPr="009C4129" w:rsidRDefault="002E3CD5" w:rsidP="00AC667E">
            <w:pPr>
              <w:keepNext/>
              <w:spacing w:before="54" w:after="54" w:line="240" w:lineRule="auto"/>
              <w:rPr>
                <w:rFonts w:cs="Arial"/>
                <w:b/>
                <w:szCs w:val="22"/>
                <w:lang w:eastAsia="en-AU"/>
              </w:rPr>
            </w:pPr>
            <w:r>
              <w:rPr>
                <w:rFonts w:cs="Arial"/>
                <w:b/>
                <w:szCs w:val="22"/>
                <w:lang w:eastAsia="en-AU"/>
              </w:rPr>
              <w:t xml:space="preserve">3.3   </w:t>
            </w:r>
            <w:r w:rsidRPr="009C4129">
              <w:rPr>
                <w:rFonts w:cs="Arial"/>
                <w:b/>
                <w:szCs w:val="22"/>
                <w:lang w:eastAsia="en-AU"/>
              </w:rPr>
              <w:t>What other</w:t>
            </w:r>
            <w:r w:rsidRPr="004A11FC">
              <w:rPr>
                <w:rFonts w:cs="Arial"/>
                <w:b/>
                <w:szCs w:val="22"/>
                <w:lang w:eastAsia="en-AU"/>
              </w:rPr>
              <w:t xml:space="preserve"> </w:t>
            </w:r>
            <w:r w:rsidRPr="009C4129">
              <w:rPr>
                <w:rFonts w:cs="Arial"/>
                <w:b/>
                <w:szCs w:val="22"/>
                <w:lang w:eastAsia="en-AU"/>
              </w:rPr>
              <w:t>options have been ruled out of scope, or not considered, and why?</w:t>
            </w:r>
          </w:p>
        </w:tc>
      </w:tr>
      <w:tr w:rsidR="002E3CD5" w:rsidRPr="009C4129" w14:paraId="0426D86E" w14:textId="77777777" w:rsidTr="00E14877">
        <w:trPr>
          <w:trHeight w:val="1672"/>
        </w:trPr>
        <w:tc>
          <w:tcPr>
            <w:tcW w:w="5000" w:type="pct"/>
            <w:shd w:val="clear" w:color="auto" w:fill="FFFFFF"/>
          </w:tcPr>
          <w:p w14:paraId="027A9F5D" w14:textId="77777777" w:rsidR="002E3CD5" w:rsidRDefault="002E3CD5" w:rsidP="00C167FA">
            <w:pPr>
              <w:spacing w:before="218" w:after="218" w:line="240" w:lineRule="auto"/>
            </w:pPr>
            <w:r>
              <w:t xml:space="preserve">The analysis is limited by the tax options already ruled out by the Government, including a </w:t>
            </w:r>
            <w:r w:rsidRPr="00C167FA">
              <w:t>comprehensive</w:t>
            </w:r>
            <w:r>
              <w:t xml:space="preserve"> capital gains tax, a tax on a deemed rate of return for residential property, a wealth tax, or any new measure outside of the current tax framework. </w:t>
            </w:r>
          </w:p>
          <w:p w14:paraId="35407074" w14:textId="77777777" w:rsidR="002E3CD5" w:rsidRPr="009C4129" w:rsidRDefault="002E3CD5" w:rsidP="00AC667E">
            <w:pPr>
              <w:spacing w:after="0" w:line="240" w:lineRule="auto"/>
              <w:jc w:val="both"/>
              <w:rPr>
                <w:rFonts w:cs="Arial"/>
                <w:szCs w:val="22"/>
                <w:lang w:eastAsia="en-AU"/>
              </w:rPr>
            </w:pPr>
            <w:r>
              <w:t>The Government has set out that it intends to bring forward a broader range of supply-side measures.</w:t>
            </w:r>
          </w:p>
        </w:tc>
      </w:tr>
    </w:tbl>
    <w:p w14:paraId="6149A69C" w14:textId="77777777" w:rsidR="002E3CD5" w:rsidRPr="0049234F" w:rsidRDefault="002E3CD5" w:rsidP="002E3CD5">
      <w:pPr>
        <w:pStyle w:val="spacer"/>
        <w:sectPr w:rsidR="002E3CD5" w:rsidRPr="0049234F" w:rsidSect="00FA7EFC">
          <w:headerReference w:type="default" r:id="rId9"/>
          <w:footerReference w:type="default" r:id="rId10"/>
          <w:pgSz w:w="11906" w:h="16838"/>
          <w:pgMar w:top="1134" w:right="1418" w:bottom="992" w:left="1418" w:header="709" w:footer="709" w:gutter="0"/>
          <w:cols w:space="708"/>
          <w:docGrid w:linePitch="360"/>
        </w:sectPr>
      </w:pPr>
    </w:p>
    <w:p w14:paraId="6189A6C8" w14:textId="77777777" w:rsidR="002E3CD5" w:rsidRPr="0005691A" w:rsidRDefault="002E3CD5" w:rsidP="002E3CD5">
      <w:pPr>
        <w:tabs>
          <w:tab w:val="left" w:pos="2550"/>
        </w:tabs>
        <w:spacing w:after="120" w:line="240" w:lineRule="auto"/>
        <w:rPr>
          <w:rFonts w:cs="Arial"/>
          <w:b/>
          <w:color w:val="0082AB"/>
          <w:spacing w:val="20"/>
          <w:w w:val="90"/>
          <w:sz w:val="32"/>
          <w:szCs w:val="24"/>
        </w:rPr>
      </w:pPr>
      <w:r w:rsidRPr="0005691A">
        <w:rPr>
          <w:rFonts w:cs="Arial"/>
          <w:b/>
          <w:color w:val="0082AB"/>
          <w:spacing w:val="20"/>
          <w:w w:val="90"/>
          <w:sz w:val="32"/>
          <w:szCs w:val="24"/>
        </w:rPr>
        <w:lastRenderedPageBreak/>
        <w:t>Section 4:  Impact Analysis</w:t>
      </w:r>
    </w:p>
    <w:p w14:paraId="78D02703" w14:textId="77777777" w:rsidR="002E3CD5" w:rsidRDefault="002E3CD5" w:rsidP="002E3CD5">
      <w:pPr>
        <w:spacing w:line="240" w:lineRule="auto"/>
        <w:rPr>
          <w:rFonts w:cs="Arial"/>
          <w:i/>
          <w:szCs w:val="22"/>
        </w:rPr>
      </w:pPr>
      <w:r w:rsidRPr="009435C4">
        <w:rPr>
          <w:rFonts w:cs="Arial"/>
          <w:b/>
          <w:szCs w:val="22"/>
        </w:rPr>
        <w:t xml:space="preserve">Marginal impact: How does each of the options identified </w:t>
      </w:r>
      <w:r>
        <w:rPr>
          <w:rFonts w:cs="Arial"/>
          <w:b/>
          <w:szCs w:val="22"/>
        </w:rPr>
        <w:t xml:space="preserve">in </w:t>
      </w:r>
      <w:r w:rsidRPr="009435C4">
        <w:rPr>
          <w:rFonts w:cs="Arial"/>
          <w:b/>
          <w:szCs w:val="22"/>
        </w:rPr>
        <w:t xml:space="preserve">section 3.1 compare with </w:t>
      </w:r>
      <w:r>
        <w:rPr>
          <w:rFonts w:cs="Arial"/>
          <w:b/>
          <w:szCs w:val="22"/>
        </w:rPr>
        <w:t xml:space="preserve">taking no action </w:t>
      </w:r>
      <w:r w:rsidRPr="009435C4">
        <w:rPr>
          <w:rFonts w:cs="Arial"/>
          <w:b/>
          <w:szCs w:val="22"/>
        </w:rPr>
        <w:t>under each of the criteria set out in section 3.2?</w:t>
      </w:r>
      <w:r w:rsidRPr="009435C4">
        <w:rPr>
          <w:rFonts w:cs="Arial"/>
          <w:b/>
          <w:i/>
          <w:szCs w:val="22"/>
        </w:rPr>
        <w:t xml:space="preserve"> </w:t>
      </w:r>
    </w:p>
    <w:tbl>
      <w:tblPr>
        <w:tblW w:w="15264" w:type="dxa"/>
        <w:tblInd w:w="-71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552"/>
        <w:gridCol w:w="992"/>
        <w:gridCol w:w="1560"/>
        <w:gridCol w:w="1559"/>
        <w:gridCol w:w="1417"/>
        <w:gridCol w:w="1276"/>
        <w:gridCol w:w="992"/>
        <w:gridCol w:w="1134"/>
        <w:gridCol w:w="1276"/>
        <w:gridCol w:w="1372"/>
        <w:gridCol w:w="1134"/>
      </w:tblGrid>
      <w:tr w:rsidR="00E52224" w:rsidRPr="005910FD" w14:paraId="533B14A8" w14:textId="77777777" w:rsidTr="00E52224">
        <w:trPr>
          <w:trHeight w:val="1172"/>
        </w:trPr>
        <w:tc>
          <w:tcPr>
            <w:tcW w:w="2552" w:type="dxa"/>
            <w:shd w:val="clear" w:color="auto" w:fill="99CDDD"/>
          </w:tcPr>
          <w:p w14:paraId="64758E8E" w14:textId="77777777" w:rsidR="004F104F" w:rsidRPr="006E0F54" w:rsidRDefault="004F104F" w:rsidP="004F104F">
            <w:pPr>
              <w:spacing w:before="38" w:after="38" w:line="240" w:lineRule="auto"/>
              <w:jc w:val="both"/>
              <w:rPr>
                <w:rFonts w:cs="Arial"/>
                <w:b/>
                <w:color w:val="FFFFFF"/>
                <w:sz w:val="16"/>
                <w:szCs w:val="16"/>
              </w:rPr>
            </w:pPr>
          </w:p>
        </w:tc>
        <w:tc>
          <w:tcPr>
            <w:tcW w:w="992" w:type="dxa"/>
            <w:shd w:val="clear" w:color="auto" w:fill="99CDDD"/>
          </w:tcPr>
          <w:p w14:paraId="0CEAD028"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No action</w:t>
            </w:r>
          </w:p>
        </w:tc>
        <w:tc>
          <w:tcPr>
            <w:tcW w:w="1560" w:type="dxa"/>
            <w:shd w:val="clear" w:color="auto" w:fill="99CDDD"/>
          </w:tcPr>
          <w:p w14:paraId="27403798"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Option 1A</w:t>
            </w:r>
          </w:p>
          <w:p w14:paraId="65A18A5F" w14:textId="77777777" w:rsidR="004F104F" w:rsidRPr="006E0F54" w:rsidRDefault="004F104F" w:rsidP="004F104F">
            <w:pPr>
              <w:spacing w:before="38" w:after="38" w:line="240" w:lineRule="auto"/>
              <w:rPr>
                <w:rFonts w:cs="Arial"/>
                <w:color w:val="000000"/>
                <w:sz w:val="16"/>
                <w:szCs w:val="16"/>
              </w:rPr>
            </w:pPr>
            <w:r w:rsidRPr="006E0F54">
              <w:rPr>
                <w:rFonts w:cs="Arial"/>
                <w:color w:val="000000"/>
                <w:sz w:val="16"/>
                <w:szCs w:val="16"/>
              </w:rPr>
              <w:t>20 year BL and no new build exemption</w:t>
            </w:r>
          </w:p>
        </w:tc>
        <w:tc>
          <w:tcPr>
            <w:tcW w:w="1559" w:type="dxa"/>
            <w:shd w:val="clear" w:color="auto" w:fill="99CDDD"/>
          </w:tcPr>
          <w:p w14:paraId="01465BA5"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 xml:space="preserve">Option 1B </w:t>
            </w:r>
          </w:p>
          <w:p w14:paraId="03368975" w14:textId="77777777" w:rsidR="004F104F" w:rsidRPr="006E0F54" w:rsidRDefault="004F104F" w:rsidP="00980F05">
            <w:pPr>
              <w:spacing w:before="38" w:after="38" w:line="240" w:lineRule="auto"/>
              <w:rPr>
                <w:rFonts w:cs="Arial"/>
                <w:color w:val="000000"/>
                <w:sz w:val="16"/>
                <w:szCs w:val="16"/>
              </w:rPr>
            </w:pPr>
            <w:r w:rsidRPr="006E0F54">
              <w:rPr>
                <w:rFonts w:cs="Arial"/>
                <w:color w:val="000000"/>
                <w:sz w:val="16"/>
                <w:szCs w:val="16"/>
              </w:rPr>
              <w:t xml:space="preserve">20 year BL and 5yr </w:t>
            </w:r>
            <w:r w:rsidR="001B61F2">
              <w:rPr>
                <w:rFonts w:cs="Arial"/>
                <w:color w:val="000000"/>
                <w:sz w:val="16"/>
                <w:szCs w:val="16"/>
              </w:rPr>
              <w:t>BL for new builds</w:t>
            </w:r>
          </w:p>
        </w:tc>
        <w:tc>
          <w:tcPr>
            <w:tcW w:w="1417" w:type="dxa"/>
            <w:shd w:val="clear" w:color="auto" w:fill="99CDDD"/>
          </w:tcPr>
          <w:p w14:paraId="5E44100A"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 xml:space="preserve">Option 1C </w:t>
            </w:r>
          </w:p>
          <w:p w14:paraId="7428405B" w14:textId="77777777" w:rsidR="004F104F" w:rsidRPr="006E0F54" w:rsidRDefault="004F104F">
            <w:pPr>
              <w:spacing w:before="38" w:after="38" w:line="240" w:lineRule="auto"/>
              <w:rPr>
                <w:rFonts w:cs="Arial"/>
                <w:color w:val="000000"/>
                <w:sz w:val="16"/>
                <w:szCs w:val="16"/>
              </w:rPr>
            </w:pPr>
            <w:r w:rsidRPr="006E0F54">
              <w:rPr>
                <w:rFonts w:cs="Arial"/>
                <w:color w:val="000000"/>
                <w:sz w:val="16"/>
                <w:szCs w:val="16"/>
              </w:rPr>
              <w:t>20 year BL and full new build exemption</w:t>
            </w:r>
          </w:p>
        </w:tc>
        <w:tc>
          <w:tcPr>
            <w:tcW w:w="1276" w:type="dxa"/>
            <w:shd w:val="clear" w:color="auto" w:fill="99CDDD"/>
          </w:tcPr>
          <w:p w14:paraId="4739EA27"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Option 2A</w:t>
            </w:r>
          </w:p>
          <w:p w14:paraId="13D8C731" w14:textId="77777777" w:rsidR="004F104F" w:rsidRPr="006E0F54" w:rsidRDefault="004F104F" w:rsidP="004F104F">
            <w:pPr>
              <w:spacing w:before="38" w:after="38" w:line="240" w:lineRule="auto"/>
              <w:rPr>
                <w:rFonts w:cs="Arial"/>
                <w:b/>
                <w:color w:val="000000"/>
                <w:sz w:val="16"/>
                <w:szCs w:val="16"/>
              </w:rPr>
            </w:pPr>
            <w:r w:rsidRPr="006E0F54">
              <w:rPr>
                <w:rFonts w:cs="Arial"/>
                <w:color w:val="000000"/>
                <w:sz w:val="16"/>
                <w:szCs w:val="16"/>
              </w:rPr>
              <w:t>15 year BL and no new build exemption</w:t>
            </w:r>
          </w:p>
        </w:tc>
        <w:tc>
          <w:tcPr>
            <w:tcW w:w="992" w:type="dxa"/>
            <w:shd w:val="clear" w:color="auto" w:fill="99CDDD"/>
          </w:tcPr>
          <w:p w14:paraId="7E5E614A"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 xml:space="preserve">Option 2B </w:t>
            </w:r>
          </w:p>
          <w:p w14:paraId="05C74075" w14:textId="77777777" w:rsidR="004F104F" w:rsidRPr="006E0F54" w:rsidRDefault="004F104F" w:rsidP="004F104F">
            <w:pPr>
              <w:spacing w:before="38" w:after="38" w:line="240" w:lineRule="auto"/>
              <w:rPr>
                <w:rFonts w:cs="Arial"/>
                <w:b/>
                <w:color w:val="000000"/>
                <w:sz w:val="16"/>
                <w:szCs w:val="16"/>
              </w:rPr>
            </w:pPr>
            <w:r w:rsidRPr="006E0F54">
              <w:rPr>
                <w:rFonts w:cs="Arial"/>
                <w:color w:val="000000"/>
                <w:sz w:val="16"/>
                <w:szCs w:val="16"/>
              </w:rPr>
              <w:t>15 year BL a</w:t>
            </w:r>
            <w:r w:rsidR="001B61F2">
              <w:rPr>
                <w:rFonts w:cs="Arial"/>
                <w:color w:val="000000"/>
                <w:sz w:val="16"/>
                <w:szCs w:val="16"/>
              </w:rPr>
              <w:t xml:space="preserve">nd </w:t>
            </w:r>
            <w:r w:rsidR="001B61F2" w:rsidRPr="00E0490F">
              <w:rPr>
                <w:rFonts w:cs="Arial"/>
                <w:color w:val="000000"/>
                <w:sz w:val="16"/>
                <w:szCs w:val="16"/>
              </w:rPr>
              <w:t xml:space="preserve">5yr </w:t>
            </w:r>
            <w:r w:rsidR="001B61F2">
              <w:rPr>
                <w:rFonts w:cs="Arial"/>
                <w:color w:val="000000"/>
                <w:sz w:val="16"/>
                <w:szCs w:val="16"/>
              </w:rPr>
              <w:t>BL for new builds</w:t>
            </w:r>
          </w:p>
        </w:tc>
        <w:tc>
          <w:tcPr>
            <w:tcW w:w="1134" w:type="dxa"/>
            <w:shd w:val="clear" w:color="auto" w:fill="99CDDD"/>
          </w:tcPr>
          <w:p w14:paraId="4800839F"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 xml:space="preserve">Option 2C </w:t>
            </w:r>
          </w:p>
          <w:p w14:paraId="56C650AA" w14:textId="77777777" w:rsidR="004F104F" w:rsidRPr="006E0F54" w:rsidRDefault="004F104F" w:rsidP="004F104F">
            <w:pPr>
              <w:spacing w:before="38" w:after="38" w:line="240" w:lineRule="auto"/>
              <w:rPr>
                <w:rFonts w:cs="Arial"/>
                <w:b/>
                <w:color w:val="000000"/>
                <w:sz w:val="16"/>
                <w:szCs w:val="16"/>
              </w:rPr>
            </w:pPr>
            <w:r w:rsidRPr="006E0F54">
              <w:rPr>
                <w:rFonts w:cs="Arial"/>
                <w:color w:val="000000"/>
                <w:sz w:val="16"/>
                <w:szCs w:val="16"/>
              </w:rPr>
              <w:t>15 year BL and full new build exemption</w:t>
            </w:r>
          </w:p>
        </w:tc>
        <w:tc>
          <w:tcPr>
            <w:tcW w:w="1276" w:type="dxa"/>
            <w:shd w:val="clear" w:color="auto" w:fill="99CDDD"/>
          </w:tcPr>
          <w:p w14:paraId="111164CD"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Option 3A</w:t>
            </w:r>
          </w:p>
          <w:p w14:paraId="6354B42F" w14:textId="77777777" w:rsidR="004F104F" w:rsidRPr="006E0F54" w:rsidRDefault="004F104F" w:rsidP="004F104F">
            <w:pPr>
              <w:spacing w:before="38" w:after="38" w:line="240" w:lineRule="auto"/>
              <w:rPr>
                <w:rFonts w:cs="Arial"/>
                <w:b/>
                <w:color w:val="000000"/>
                <w:sz w:val="16"/>
                <w:szCs w:val="16"/>
              </w:rPr>
            </w:pPr>
            <w:r w:rsidRPr="006E0F54">
              <w:rPr>
                <w:rFonts w:cs="Arial"/>
                <w:color w:val="000000"/>
                <w:sz w:val="16"/>
                <w:szCs w:val="16"/>
              </w:rPr>
              <w:t>10 year BL and no new build exemption</w:t>
            </w:r>
          </w:p>
        </w:tc>
        <w:tc>
          <w:tcPr>
            <w:tcW w:w="1372" w:type="dxa"/>
            <w:shd w:val="clear" w:color="auto" w:fill="99CDDD"/>
          </w:tcPr>
          <w:p w14:paraId="43915341"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 xml:space="preserve">Option 3B </w:t>
            </w:r>
          </w:p>
          <w:p w14:paraId="3933B8D5" w14:textId="77777777" w:rsidR="004F104F" w:rsidRPr="006E0F54" w:rsidRDefault="004F104F" w:rsidP="004F104F">
            <w:pPr>
              <w:spacing w:before="38" w:after="38" w:line="240" w:lineRule="auto"/>
              <w:rPr>
                <w:rFonts w:cs="Arial"/>
                <w:b/>
                <w:color w:val="000000"/>
                <w:sz w:val="16"/>
                <w:szCs w:val="16"/>
              </w:rPr>
            </w:pPr>
            <w:r w:rsidRPr="006E0F54">
              <w:rPr>
                <w:rFonts w:cs="Arial"/>
                <w:color w:val="000000"/>
                <w:sz w:val="16"/>
                <w:szCs w:val="16"/>
              </w:rPr>
              <w:t xml:space="preserve">10 year BL and </w:t>
            </w:r>
            <w:r w:rsidR="001B61F2" w:rsidRPr="00E0490F">
              <w:rPr>
                <w:rFonts w:cs="Arial"/>
                <w:color w:val="000000"/>
                <w:sz w:val="16"/>
                <w:szCs w:val="16"/>
              </w:rPr>
              <w:t xml:space="preserve">5yr </w:t>
            </w:r>
            <w:r w:rsidR="001B61F2">
              <w:rPr>
                <w:rFonts w:cs="Arial"/>
                <w:color w:val="000000"/>
                <w:sz w:val="16"/>
                <w:szCs w:val="16"/>
              </w:rPr>
              <w:t>BL for new builds</w:t>
            </w:r>
          </w:p>
        </w:tc>
        <w:tc>
          <w:tcPr>
            <w:tcW w:w="1134" w:type="dxa"/>
            <w:shd w:val="clear" w:color="auto" w:fill="99CDDD"/>
          </w:tcPr>
          <w:p w14:paraId="1046A384" w14:textId="77777777" w:rsidR="004F104F" w:rsidRPr="006E0F54" w:rsidRDefault="004F104F" w:rsidP="004F104F">
            <w:pPr>
              <w:spacing w:before="38" w:after="38" w:line="240" w:lineRule="auto"/>
              <w:rPr>
                <w:rFonts w:cs="Arial"/>
                <w:b/>
                <w:color w:val="000000"/>
                <w:sz w:val="16"/>
                <w:szCs w:val="16"/>
              </w:rPr>
            </w:pPr>
            <w:r w:rsidRPr="006E0F54">
              <w:rPr>
                <w:rFonts w:cs="Arial"/>
                <w:b/>
                <w:color w:val="000000"/>
                <w:sz w:val="16"/>
                <w:szCs w:val="16"/>
              </w:rPr>
              <w:t xml:space="preserve">Option 3C </w:t>
            </w:r>
          </w:p>
          <w:p w14:paraId="00FBB428" w14:textId="77777777" w:rsidR="004F104F" w:rsidRPr="006E0F54" w:rsidRDefault="004F104F" w:rsidP="004F104F">
            <w:pPr>
              <w:spacing w:before="38" w:after="38" w:line="240" w:lineRule="auto"/>
              <w:rPr>
                <w:rFonts w:cs="Arial"/>
                <w:b/>
                <w:color w:val="000000"/>
                <w:sz w:val="16"/>
                <w:szCs w:val="16"/>
              </w:rPr>
            </w:pPr>
            <w:r w:rsidRPr="006E0F54">
              <w:rPr>
                <w:rFonts w:cs="Arial"/>
                <w:color w:val="000000"/>
                <w:sz w:val="16"/>
                <w:szCs w:val="16"/>
              </w:rPr>
              <w:t>10 year BL and full new build exemption</w:t>
            </w:r>
          </w:p>
        </w:tc>
      </w:tr>
      <w:tr w:rsidR="00E52224" w:rsidRPr="00DD7964" w14:paraId="1CC3DCFE" w14:textId="77777777" w:rsidTr="006E0F54">
        <w:trPr>
          <w:trHeight w:val="810"/>
        </w:trPr>
        <w:tc>
          <w:tcPr>
            <w:tcW w:w="2552" w:type="dxa"/>
            <w:shd w:val="clear" w:color="auto" w:fill="99CDDD"/>
          </w:tcPr>
          <w:p w14:paraId="1C945EBB"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Support greater housing affordability for first home buyers</w:t>
            </w:r>
          </w:p>
        </w:tc>
        <w:tc>
          <w:tcPr>
            <w:tcW w:w="992" w:type="dxa"/>
            <w:shd w:val="clear" w:color="auto" w:fill="auto"/>
          </w:tcPr>
          <w:p w14:paraId="0302E7E1"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21866234" w14:textId="77777777" w:rsidR="00F10F10" w:rsidRPr="006E0F54" w:rsidRDefault="00D24C66" w:rsidP="00F10F10">
            <w:pPr>
              <w:pStyle w:val="TableText"/>
              <w:spacing w:before="38" w:after="38" w:line="240" w:lineRule="auto"/>
              <w:jc w:val="center"/>
              <w:rPr>
                <w:sz w:val="16"/>
                <w:szCs w:val="16"/>
              </w:rPr>
            </w:pPr>
            <w:r w:rsidRPr="00E0490F">
              <w:rPr>
                <w:rFonts w:cs="Arial"/>
                <w:b/>
                <w:sz w:val="16"/>
                <w:szCs w:val="16"/>
              </w:rPr>
              <w:t>0 /</w:t>
            </w:r>
            <w:r w:rsidR="00F10F10" w:rsidRPr="006E0F54">
              <w:rPr>
                <w:rFonts w:cs="Arial"/>
                <w:b/>
                <w:sz w:val="16"/>
                <w:szCs w:val="16"/>
              </w:rPr>
              <w:t xml:space="preserve"> </w:t>
            </w:r>
            <w:r w:rsidR="00F10F10" w:rsidRPr="006E0F54">
              <w:rPr>
                <w:rFonts w:cs="Arial"/>
                <w:b/>
                <w:color w:val="00B050"/>
                <w:sz w:val="16"/>
                <w:szCs w:val="16"/>
              </w:rPr>
              <w:t xml:space="preserve">+ </w:t>
            </w:r>
            <w:r w:rsidR="00F10F10" w:rsidRPr="006E0F54">
              <w:rPr>
                <w:rFonts w:cs="Arial"/>
                <w:b/>
                <w:sz w:val="16"/>
                <w:szCs w:val="16"/>
              </w:rPr>
              <w:t xml:space="preserve"> </w:t>
            </w:r>
          </w:p>
        </w:tc>
        <w:tc>
          <w:tcPr>
            <w:tcW w:w="1559" w:type="dxa"/>
          </w:tcPr>
          <w:p w14:paraId="3B7238F7" w14:textId="77777777" w:rsidR="00F10F10" w:rsidRPr="006E0F54" w:rsidRDefault="00F10F10" w:rsidP="00F10F10">
            <w:pPr>
              <w:pStyle w:val="TableText"/>
              <w:spacing w:before="38" w:after="38" w:line="240" w:lineRule="auto"/>
              <w:jc w:val="center"/>
              <w:rPr>
                <w:rFonts w:cs="Arial"/>
                <w:b/>
                <w:color w:val="00B050"/>
                <w:sz w:val="16"/>
                <w:szCs w:val="16"/>
              </w:rPr>
            </w:pPr>
            <w:r w:rsidRPr="006E0F54">
              <w:rPr>
                <w:rFonts w:cs="Arial"/>
                <w:b/>
                <w:sz w:val="16"/>
                <w:szCs w:val="16"/>
              </w:rPr>
              <w:t xml:space="preserve"> 0 / </w:t>
            </w:r>
            <w:r w:rsidRPr="006E0F54">
              <w:rPr>
                <w:rFonts w:cs="Arial"/>
                <w:b/>
                <w:color w:val="00B050"/>
                <w:sz w:val="16"/>
                <w:szCs w:val="16"/>
              </w:rPr>
              <w:t xml:space="preserve">+ </w:t>
            </w:r>
          </w:p>
          <w:p w14:paraId="28001E91" w14:textId="77777777" w:rsidR="00F10F10" w:rsidRPr="006E0F54" w:rsidRDefault="00F10F10" w:rsidP="00F10F10">
            <w:pPr>
              <w:pStyle w:val="TableText"/>
              <w:spacing w:before="38" w:after="38" w:line="240" w:lineRule="auto"/>
              <w:jc w:val="center"/>
              <w:rPr>
                <w:rFonts w:cs="Arial"/>
                <w:b/>
                <w:color w:val="00B050"/>
                <w:sz w:val="16"/>
                <w:szCs w:val="16"/>
              </w:rPr>
            </w:pPr>
          </w:p>
        </w:tc>
        <w:tc>
          <w:tcPr>
            <w:tcW w:w="1417" w:type="dxa"/>
          </w:tcPr>
          <w:p w14:paraId="27A17B6A" w14:textId="77777777" w:rsidR="00F10F10" w:rsidRPr="006E0F54" w:rsidRDefault="005B2349" w:rsidP="00F10F10">
            <w:pPr>
              <w:pStyle w:val="TableText"/>
              <w:spacing w:before="38" w:after="38" w:line="240" w:lineRule="auto"/>
              <w:jc w:val="center"/>
              <w:rPr>
                <w:rFonts w:cs="Arial"/>
                <w:b/>
                <w:sz w:val="16"/>
                <w:szCs w:val="16"/>
              </w:rPr>
            </w:pPr>
            <w:r w:rsidRPr="00E0490F">
              <w:rPr>
                <w:rFonts w:cs="Arial"/>
                <w:b/>
                <w:sz w:val="16"/>
                <w:szCs w:val="16"/>
              </w:rPr>
              <w:t>0</w:t>
            </w:r>
          </w:p>
        </w:tc>
        <w:tc>
          <w:tcPr>
            <w:tcW w:w="1276" w:type="dxa"/>
          </w:tcPr>
          <w:p w14:paraId="79086A12"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 xml:space="preserve">+ </w:t>
            </w:r>
            <w:r w:rsidRPr="006E0F54">
              <w:rPr>
                <w:rFonts w:cs="Arial"/>
                <w:b/>
                <w:sz w:val="16"/>
                <w:szCs w:val="16"/>
              </w:rPr>
              <w:t xml:space="preserve"> </w:t>
            </w:r>
          </w:p>
        </w:tc>
        <w:tc>
          <w:tcPr>
            <w:tcW w:w="992" w:type="dxa"/>
          </w:tcPr>
          <w:p w14:paraId="52DA2934" w14:textId="77777777" w:rsidR="00F10F10" w:rsidRPr="006E0F54" w:rsidRDefault="00F10F10" w:rsidP="00F10F10">
            <w:pPr>
              <w:pStyle w:val="TableText"/>
              <w:spacing w:before="38" w:after="38" w:line="240" w:lineRule="auto"/>
              <w:jc w:val="center"/>
              <w:rPr>
                <w:rFonts w:cs="Arial"/>
                <w:b/>
                <w:color w:val="00B050"/>
                <w:sz w:val="16"/>
                <w:szCs w:val="16"/>
              </w:rPr>
            </w:pPr>
            <w:r w:rsidRPr="006E0F54">
              <w:rPr>
                <w:rFonts w:cs="Arial"/>
                <w:b/>
                <w:sz w:val="16"/>
                <w:szCs w:val="16"/>
              </w:rPr>
              <w:t xml:space="preserve"> 0 / </w:t>
            </w:r>
            <w:r w:rsidRPr="006E0F54">
              <w:rPr>
                <w:rFonts w:cs="Arial"/>
                <w:b/>
                <w:color w:val="00B050"/>
                <w:sz w:val="16"/>
                <w:szCs w:val="16"/>
              </w:rPr>
              <w:t xml:space="preserve">+ </w:t>
            </w:r>
          </w:p>
          <w:p w14:paraId="166B82B0" w14:textId="77777777" w:rsidR="00F10F10" w:rsidRPr="006E0F54" w:rsidRDefault="00F10F10" w:rsidP="00F10F10">
            <w:pPr>
              <w:pStyle w:val="TableText"/>
              <w:spacing w:before="38" w:after="38" w:line="240" w:lineRule="auto"/>
              <w:jc w:val="center"/>
              <w:rPr>
                <w:rFonts w:cs="Arial"/>
                <w:b/>
                <w:sz w:val="16"/>
                <w:szCs w:val="16"/>
              </w:rPr>
            </w:pPr>
          </w:p>
        </w:tc>
        <w:tc>
          <w:tcPr>
            <w:tcW w:w="1134" w:type="dxa"/>
          </w:tcPr>
          <w:p w14:paraId="358168C3" w14:textId="77777777" w:rsidR="00F10F10" w:rsidRPr="006E0F54" w:rsidRDefault="005B2349" w:rsidP="00F10F10">
            <w:pPr>
              <w:pStyle w:val="TableText"/>
              <w:spacing w:before="38" w:after="38" w:line="240" w:lineRule="auto"/>
              <w:jc w:val="center"/>
              <w:rPr>
                <w:rFonts w:cs="Arial"/>
                <w:b/>
                <w:sz w:val="16"/>
                <w:szCs w:val="16"/>
              </w:rPr>
            </w:pPr>
            <w:r w:rsidRPr="00E0490F">
              <w:rPr>
                <w:rFonts w:cs="Arial"/>
                <w:b/>
                <w:sz w:val="16"/>
                <w:szCs w:val="16"/>
              </w:rPr>
              <w:t>0</w:t>
            </w:r>
          </w:p>
        </w:tc>
        <w:tc>
          <w:tcPr>
            <w:tcW w:w="1276" w:type="dxa"/>
          </w:tcPr>
          <w:p w14:paraId="409CDDFA"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 xml:space="preserve">+ </w:t>
            </w:r>
            <w:r w:rsidRPr="006E0F54">
              <w:rPr>
                <w:rFonts w:cs="Arial"/>
                <w:b/>
                <w:sz w:val="16"/>
                <w:szCs w:val="16"/>
              </w:rPr>
              <w:t xml:space="preserve"> </w:t>
            </w:r>
          </w:p>
        </w:tc>
        <w:tc>
          <w:tcPr>
            <w:tcW w:w="1372" w:type="dxa"/>
          </w:tcPr>
          <w:p w14:paraId="5CFC9131" w14:textId="77777777" w:rsidR="00F10F10" w:rsidRPr="006E0F54" w:rsidRDefault="00F10F10" w:rsidP="00F10F10">
            <w:pPr>
              <w:pStyle w:val="TableText"/>
              <w:spacing w:before="38" w:after="38" w:line="240" w:lineRule="auto"/>
              <w:jc w:val="center"/>
              <w:rPr>
                <w:rFonts w:cs="Arial"/>
                <w:b/>
                <w:color w:val="00B050"/>
                <w:sz w:val="16"/>
                <w:szCs w:val="16"/>
              </w:rPr>
            </w:pPr>
            <w:r w:rsidRPr="006E0F54">
              <w:rPr>
                <w:rFonts w:cs="Arial"/>
                <w:b/>
                <w:sz w:val="16"/>
                <w:szCs w:val="16"/>
              </w:rPr>
              <w:t xml:space="preserve"> 0 / </w:t>
            </w:r>
            <w:r w:rsidRPr="006E0F54">
              <w:rPr>
                <w:rFonts w:cs="Arial"/>
                <w:b/>
                <w:color w:val="00B050"/>
                <w:sz w:val="16"/>
                <w:szCs w:val="16"/>
              </w:rPr>
              <w:t xml:space="preserve">+ </w:t>
            </w:r>
          </w:p>
          <w:p w14:paraId="605AE8AE" w14:textId="77777777" w:rsidR="00F10F10" w:rsidRPr="006E0F54" w:rsidRDefault="00F10F10" w:rsidP="00F10F10">
            <w:pPr>
              <w:pStyle w:val="TableText"/>
              <w:spacing w:before="38" w:after="38" w:line="240" w:lineRule="auto"/>
              <w:jc w:val="center"/>
              <w:rPr>
                <w:rFonts w:cs="Arial"/>
                <w:b/>
                <w:sz w:val="16"/>
                <w:szCs w:val="16"/>
              </w:rPr>
            </w:pPr>
          </w:p>
        </w:tc>
        <w:tc>
          <w:tcPr>
            <w:tcW w:w="1134" w:type="dxa"/>
          </w:tcPr>
          <w:p w14:paraId="1A9D39EC" w14:textId="77777777" w:rsidR="00F10F10" w:rsidRPr="006E0F54" w:rsidRDefault="005B2349" w:rsidP="00F10F10">
            <w:pPr>
              <w:pStyle w:val="TableText"/>
              <w:spacing w:before="38" w:after="38" w:line="240" w:lineRule="auto"/>
              <w:jc w:val="center"/>
              <w:rPr>
                <w:rFonts w:cs="Arial"/>
                <w:b/>
                <w:sz w:val="16"/>
                <w:szCs w:val="16"/>
              </w:rPr>
            </w:pPr>
            <w:r w:rsidRPr="00E0490F">
              <w:rPr>
                <w:rFonts w:cs="Arial"/>
                <w:b/>
                <w:sz w:val="16"/>
                <w:szCs w:val="16"/>
              </w:rPr>
              <w:t>0</w:t>
            </w:r>
          </w:p>
        </w:tc>
      </w:tr>
      <w:tr w:rsidR="00E52224" w:rsidRPr="00DD7964" w14:paraId="13E12E0E" w14:textId="77777777" w:rsidTr="006E0F54">
        <w:trPr>
          <w:trHeight w:val="810"/>
        </w:trPr>
        <w:tc>
          <w:tcPr>
            <w:tcW w:w="2552" w:type="dxa"/>
            <w:shd w:val="clear" w:color="auto" w:fill="99CDDD"/>
          </w:tcPr>
          <w:p w14:paraId="2101AFFA"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Dampening investor demand</w:t>
            </w:r>
            <w:r w:rsidR="00243679">
              <w:rPr>
                <w:rFonts w:cs="Arial"/>
                <w:b/>
                <w:color w:val="000000"/>
                <w:sz w:val="16"/>
                <w:szCs w:val="16"/>
              </w:rPr>
              <w:t xml:space="preserve"> for existing housing stock</w:t>
            </w:r>
            <w:r w:rsidRPr="006E0F54">
              <w:rPr>
                <w:rFonts w:cs="Arial"/>
                <w:b/>
                <w:color w:val="000000"/>
                <w:sz w:val="16"/>
                <w:szCs w:val="16"/>
              </w:rPr>
              <w:t xml:space="preserve"> </w:t>
            </w:r>
          </w:p>
        </w:tc>
        <w:tc>
          <w:tcPr>
            <w:tcW w:w="992" w:type="dxa"/>
            <w:shd w:val="clear" w:color="auto" w:fill="auto"/>
          </w:tcPr>
          <w:p w14:paraId="58C8CA08"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29FB884C" w14:textId="77777777" w:rsidR="00F10F10" w:rsidRPr="006E0F54" w:rsidRDefault="00F10F10" w:rsidP="00F10F10">
            <w:pPr>
              <w:pStyle w:val="TableText"/>
              <w:spacing w:before="38" w:after="38" w:line="240" w:lineRule="auto"/>
              <w:jc w:val="center"/>
              <w:rPr>
                <w:sz w:val="16"/>
                <w:szCs w:val="16"/>
              </w:rPr>
            </w:pPr>
            <w:r w:rsidRPr="006E0F54">
              <w:rPr>
                <w:rFonts w:cs="Arial"/>
                <w:b/>
                <w:color w:val="00B050"/>
                <w:sz w:val="16"/>
                <w:szCs w:val="16"/>
              </w:rPr>
              <w:t>+</w:t>
            </w:r>
          </w:p>
        </w:tc>
        <w:tc>
          <w:tcPr>
            <w:tcW w:w="1559" w:type="dxa"/>
          </w:tcPr>
          <w:p w14:paraId="31A89AF6" w14:textId="77777777" w:rsidR="00F10F10" w:rsidRPr="006E0F54" w:rsidRDefault="00F10F10" w:rsidP="00F10F10">
            <w:pPr>
              <w:pStyle w:val="TableText"/>
              <w:spacing w:before="38" w:after="38" w:line="240" w:lineRule="auto"/>
              <w:jc w:val="center"/>
              <w:rPr>
                <w:rFonts w:cs="Arial"/>
                <w:b/>
                <w:color w:val="00B050"/>
                <w:sz w:val="16"/>
                <w:szCs w:val="16"/>
              </w:rPr>
            </w:pPr>
            <w:r w:rsidRPr="006E0F54">
              <w:rPr>
                <w:rFonts w:cs="Arial"/>
                <w:b/>
                <w:color w:val="00B050"/>
                <w:sz w:val="16"/>
                <w:szCs w:val="16"/>
              </w:rPr>
              <w:t>+</w:t>
            </w:r>
          </w:p>
        </w:tc>
        <w:tc>
          <w:tcPr>
            <w:tcW w:w="1417" w:type="dxa"/>
          </w:tcPr>
          <w:p w14:paraId="2C4D908E" w14:textId="77777777" w:rsidR="00F10F10" w:rsidRPr="006E0F54" w:rsidRDefault="003B6A15" w:rsidP="00F10F10">
            <w:pPr>
              <w:pStyle w:val="TableText"/>
              <w:spacing w:before="38" w:after="38" w:line="240" w:lineRule="auto"/>
              <w:jc w:val="center"/>
              <w:rPr>
                <w:rFonts w:cs="Arial"/>
                <w:b/>
                <w:sz w:val="16"/>
                <w:szCs w:val="16"/>
              </w:rPr>
            </w:pPr>
            <w:r w:rsidRPr="00E0490F">
              <w:rPr>
                <w:rFonts w:cs="Arial"/>
                <w:b/>
                <w:color w:val="00B050"/>
                <w:sz w:val="16"/>
                <w:szCs w:val="16"/>
              </w:rPr>
              <w:t>+</w:t>
            </w:r>
          </w:p>
        </w:tc>
        <w:tc>
          <w:tcPr>
            <w:tcW w:w="1276" w:type="dxa"/>
          </w:tcPr>
          <w:p w14:paraId="36AF727A"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992" w:type="dxa"/>
          </w:tcPr>
          <w:p w14:paraId="03C77277"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1134" w:type="dxa"/>
          </w:tcPr>
          <w:p w14:paraId="157EDEEE" w14:textId="77777777" w:rsidR="00F10F10" w:rsidRPr="006E0F54" w:rsidRDefault="003B6A15" w:rsidP="00F10F10">
            <w:pPr>
              <w:pStyle w:val="TableText"/>
              <w:spacing w:before="38" w:after="38" w:line="240" w:lineRule="auto"/>
              <w:jc w:val="center"/>
              <w:rPr>
                <w:rFonts w:cs="Arial"/>
                <w:b/>
                <w:sz w:val="16"/>
                <w:szCs w:val="16"/>
              </w:rPr>
            </w:pPr>
            <w:r w:rsidRPr="00E0490F">
              <w:rPr>
                <w:rFonts w:cs="Arial"/>
                <w:b/>
                <w:color w:val="00B050"/>
                <w:sz w:val="16"/>
                <w:szCs w:val="16"/>
              </w:rPr>
              <w:t>+</w:t>
            </w:r>
          </w:p>
        </w:tc>
        <w:tc>
          <w:tcPr>
            <w:tcW w:w="1276" w:type="dxa"/>
          </w:tcPr>
          <w:p w14:paraId="3F3AFD91" w14:textId="77777777" w:rsidR="00F10F10" w:rsidRPr="006E0F54" w:rsidRDefault="003B6A15" w:rsidP="00F10F10">
            <w:pPr>
              <w:pStyle w:val="TableText"/>
              <w:spacing w:before="38" w:after="38" w:line="240" w:lineRule="auto"/>
              <w:jc w:val="center"/>
              <w:rPr>
                <w:rFonts w:cs="Arial"/>
                <w:b/>
                <w:sz w:val="16"/>
                <w:szCs w:val="16"/>
              </w:rPr>
            </w:pPr>
            <w:r w:rsidRPr="00E0490F">
              <w:rPr>
                <w:rFonts w:cs="Arial"/>
                <w:b/>
                <w:sz w:val="16"/>
                <w:szCs w:val="16"/>
              </w:rPr>
              <w:t xml:space="preserve">0 / </w:t>
            </w:r>
            <w:r w:rsidRPr="00E0490F">
              <w:rPr>
                <w:rFonts w:cs="Arial"/>
                <w:b/>
                <w:color w:val="00B050"/>
                <w:sz w:val="16"/>
                <w:szCs w:val="16"/>
              </w:rPr>
              <w:t xml:space="preserve">+ </w:t>
            </w:r>
            <w:r w:rsidRPr="00E0490F">
              <w:rPr>
                <w:rFonts w:cs="Arial"/>
                <w:b/>
                <w:sz w:val="16"/>
                <w:szCs w:val="16"/>
              </w:rPr>
              <w:t xml:space="preserve"> </w:t>
            </w:r>
          </w:p>
        </w:tc>
        <w:tc>
          <w:tcPr>
            <w:tcW w:w="1372" w:type="dxa"/>
          </w:tcPr>
          <w:p w14:paraId="551E8ADA"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1134" w:type="dxa"/>
          </w:tcPr>
          <w:p w14:paraId="0FC1AB9C" w14:textId="77777777" w:rsidR="00F10F10" w:rsidRPr="006E0F54" w:rsidRDefault="003B6A15" w:rsidP="00F10F10">
            <w:pPr>
              <w:pStyle w:val="TableText"/>
              <w:spacing w:before="38" w:after="38" w:line="240" w:lineRule="auto"/>
              <w:jc w:val="center"/>
              <w:rPr>
                <w:rFonts w:cs="Arial"/>
                <w:b/>
                <w:sz w:val="16"/>
                <w:szCs w:val="16"/>
              </w:rPr>
            </w:pPr>
            <w:r w:rsidRPr="00E0490F">
              <w:rPr>
                <w:rFonts w:cs="Arial"/>
                <w:b/>
                <w:color w:val="00B050"/>
                <w:sz w:val="16"/>
                <w:szCs w:val="16"/>
              </w:rPr>
              <w:t>+</w:t>
            </w:r>
          </w:p>
        </w:tc>
      </w:tr>
      <w:tr w:rsidR="00E52224" w:rsidRPr="00DD7964" w14:paraId="77A6F7E9" w14:textId="77777777" w:rsidTr="006E0F54">
        <w:trPr>
          <w:trHeight w:val="575"/>
        </w:trPr>
        <w:tc>
          <w:tcPr>
            <w:tcW w:w="2552" w:type="dxa"/>
            <w:shd w:val="clear" w:color="auto" w:fill="99CDDD"/>
          </w:tcPr>
          <w:p w14:paraId="40B09345"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Improve affordability in the rental market</w:t>
            </w:r>
          </w:p>
        </w:tc>
        <w:tc>
          <w:tcPr>
            <w:tcW w:w="992" w:type="dxa"/>
            <w:shd w:val="clear" w:color="auto" w:fill="auto"/>
          </w:tcPr>
          <w:p w14:paraId="510EA325"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39959D8E" w14:textId="5F2D0FD2" w:rsidR="00F10F10" w:rsidRPr="006E0F54" w:rsidRDefault="00DE6A98" w:rsidP="005241F5">
            <w:pPr>
              <w:pStyle w:val="TableText"/>
              <w:spacing w:before="38" w:after="38" w:line="240" w:lineRule="auto"/>
              <w:jc w:val="center"/>
              <w:rPr>
                <w:sz w:val="16"/>
                <w:szCs w:val="16"/>
              </w:rPr>
            </w:pPr>
            <w:r w:rsidRPr="006E0F54">
              <w:rPr>
                <w:rFonts w:cs="Arial"/>
                <w:b/>
                <w:color w:val="FF0000"/>
                <w:sz w:val="16"/>
                <w:szCs w:val="16"/>
              </w:rPr>
              <w:t>-</w:t>
            </w:r>
            <w:r w:rsidRPr="006E0F54">
              <w:rPr>
                <w:sz w:val="16"/>
                <w:szCs w:val="16"/>
              </w:rPr>
              <w:t xml:space="preserve"> </w:t>
            </w:r>
          </w:p>
        </w:tc>
        <w:tc>
          <w:tcPr>
            <w:tcW w:w="1559" w:type="dxa"/>
          </w:tcPr>
          <w:p w14:paraId="3BCA25A1"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w:t>
            </w:r>
            <w:r w:rsidRPr="006E0F54">
              <w:rPr>
                <w:sz w:val="16"/>
                <w:szCs w:val="16"/>
              </w:rPr>
              <w:t xml:space="preserve"> </w:t>
            </w:r>
            <w:r w:rsidRPr="006E0F54">
              <w:rPr>
                <w:b/>
                <w:sz w:val="16"/>
                <w:szCs w:val="16"/>
              </w:rPr>
              <w:t>/ 0</w:t>
            </w:r>
          </w:p>
        </w:tc>
        <w:tc>
          <w:tcPr>
            <w:tcW w:w="1417" w:type="dxa"/>
          </w:tcPr>
          <w:p w14:paraId="5512718C" w14:textId="77777777" w:rsidR="00F10F10" w:rsidRPr="006E0F54" w:rsidRDefault="00D24C66" w:rsidP="00F10F10">
            <w:pPr>
              <w:pStyle w:val="TableText"/>
              <w:spacing w:before="38" w:after="38" w:line="240" w:lineRule="auto"/>
              <w:jc w:val="center"/>
              <w:rPr>
                <w:rFonts w:cs="Arial"/>
                <w:b/>
                <w:color w:val="FF0000"/>
                <w:sz w:val="16"/>
                <w:szCs w:val="16"/>
              </w:rPr>
            </w:pPr>
            <w:r w:rsidRPr="00E0490F">
              <w:rPr>
                <w:rFonts w:cs="Arial"/>
                <w:b/>
                <w:sz w:val="16"/>
                <w:szCs w:val="16"/>
              </w:rPr>
              <w:t xml:space="preserve">0 </w:t>
            </w:r>
          </w:p>
        </w:tc>
        <w:tc>
          <w:tcPr>
            <w:tcW w:w="1276" w:type="dxa"/>
          </w:tcPr>
          <w:p w14:paraId="3F9ADC74"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 xml:space="preserve">- </w:t>
            </w:r>
          </w:p>
        </w:tc>
        <w:tc>
          <w:tcPr>
            <w:tcW w:w="992" w:type="dxa"/>
          </w:tcPr>
          <w:p w14:paraId="33082AC1"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w:t>
            </w:r>
            <w:r w:rsidRPr="006E0F54">
              <w:rPr>
                <w:sz w:val="16"/>
                <w:szCs w:val="16"/>
              </w:rPr>
              <w:t xml:space="preserve"> </w:t>
            </w:r>
            <w:r w:rsidRPr="006E0F54">
              <w:rPr>
                <w:b/>
                <w:sz w:val="16"/>
                <w:szCs w:val="16"/>
              </w:rPr>
              <w:t>/ 0</w:t>
            </w:r>
          </w:p>
        </w:tc>
        <w:tc>
          <w:tcPr>
            <w:tcW w:w="1134" w:type="dxa"/>
          </w:tcPr>
          <w:p w14:paraId="5B5CF512" w14:textId="77777777" w:rsidR="00F10F10" w:rsidRPr="006E0F54" w:rsidRDefault="00D24C66" w:rsidP="00F10F10">
            <w:pPr>
              <w:pStyle w:val="TableText"/>
              <w:spacing w:before="38" w:after="38" w:line="240" w:lineRule="auto"/>
              <w:jc w:val="center"/>
              <w:rPr>
                <w:rFonts w:cs="Arial"/>
                <w:b/>
                <w:color w:val="FF0000"/>
                <w:sz w:val="16"/>
                <w:szCs w:val="16"/>
              </w:rPr>
            </w:pPr>
            <w:r w:rsidRPr="00E0490F">
              <w:rPr>
                <w:rFonts w:cs="Arial"/>
                <w:b/>
                <w:sz w:val="16"/>
                <w:szCs w:val="16"/>
              </w:rPr>
              <w:t>0</w:t>
            </w:r>
          </w:p>
        </w:tc>
        <w:tc>
          <w:tcPr>
            <w:tcW w:w="1276" w:type="dxa"/>
          </w:tcPr>
          <w:p w14:paraId="18328DE8"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 xml:space="preserve">- </w:t>
            </w:r>
          </w:p>
        </w:tc>
        <w:tc>
          <w:tcPr>
            <w:tcW w:w="1372" w:type="dxa"/>
          </w:tcPr>
          <w:p w14:paraId="667AB301"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w:t>
            </w:r>
            <w:r w:rsidRPr="006E0F54">
              <w:rPr>
                <w:sz w:val="16"/>
                <w:szCs w:val="16"/>
              </w:rPr>
              <w:t xml:space="preserve"> </w:t>
            </w:r>
            <w:r w:rsidRPr="006E0F54">
              <w:rPr>
                <w:b/>
                <w:sz w:val="16"/>
                <w:szCs w:val="16"/>
              </w:rPr>
              <w:t>/ 0</w:t>
            </w:r>
          </w:p>
        </w:tc>
        <w:tc>
          <w:tcPr>
            <w:tcW w:w="1134" w:type="dxa"/>
          </w:tcPr>
          <w:p w14:paraId="0C321046" w14:textId="77777777" w:rsidR="00F10F10" w:rsidRPr="006E0F54" w:rsidRDefault="00D24C66" w:rsidP="00F10F10">
            <w:pPr>
              <w:pStyle w:val="TableText"/>
              <w:spacing w:before="38" w:after="38" w:line="240" w:lineRule="auto"/>
              <w:jc w:val="center"/>
              <w:rPr>
                <w:rFonts w:cs="Arial"/>
                <w:b/>
                <w:color w:val="FF0000"/>
                <w:sz w:val="16"/>
                <w:szCs w:val="16"/>
              </w:rPr>
            </w:pPr>
            <w:r w:rsidRPr="00E0490F">
              <w:rPr>
                <w:rFonts w:cs="Arial"/>
                <w:b/>
                <w:sz w:val="16"/>
                <w:szCs w:val="16"/>
              </w:rPr>
              <w:t>0</w:t>
            </w:r>
          </w:p>
        </w:tc>
      </w:tr>
      <w:tr w:rsidR="00E52224" w:rsidRPr="00DD7964" w14:paraId="031E3225" w14:textId="77777777" w:rsidTr="006E0F54">
        <w:trPr>
          <w:trHeight w:val="383"/>
        </w:trPr>
        <w:tc>
          <w:tcPr>
            <w:tcW w:w="2552" w:type="dxa"/>
            <w:shd w:val="clear" w:color="auto" w:fill="99CDDD"/>
          </w:tcPr>
          <w:p w14:paraId="5B81A579"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Efficiency and growth</w:t>
            </w:r>
          </w:p>
        </w:tc>
        <w:tc>
          <w:tcPr>
            <w:tcW w:w="992" w:type="dxa"/>
            <w:shd w:val="clear" w:color="auto" w:fill="auto"/>
          </w:tcPr>
          <w:p w14:paraId="17B5E84E"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389DA78B" w14:textId="77777777" w:rsidR="00F10F10" w:rsidRPr="006E0F54" w:rsidRDefault="00F10F10">
            <w:pPr>
              <w:pStyle w:val="TableText"/>
              <w:spacing w:before="38" w:after="38" w:line="240" w:lineRule="auto"/>
              <w:jc w:val="center"/>
              <w:rPr>
                <w:sz w:val="16"/>
                <w:szCs w:val="16"/>
              </w:rPr>
            </w:pPr>
            <w:r w:rsidRPr="006E0F54">
              <w:rPr>
                <w:rFonts w:cs="Arial"/>
                <w:b/>
                <w:color w:val="00B050"/>
                <w:sz w:val="16"/>
                <w:szCs w:val="16"/>
              </w:rPr>
              <w:t>+</w:t>
            </w:r>
          </w:p>
        </w:tc>
        <w:tc>
          <w:tcPr>
            <w:tcW w:w="1559" w:type="dxa"/>
          </w:tcPr>
          <w:p w14:paraId="1331439C"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sz w:val="16"/>
                <w:szCs w:val="16"/>
              </w:rPr>
              <w:t xml:space="preserve">0 / </w:t>
            </w:r>
            <w:r w:rsidRPr="006E0F54">
              <w:rPr>
                <w:rFonts w:cs="Arial"/>
                <w:b/>
                <w:color w:val="00B050"/>
                <w:sz w:val="16"/>
                <w:szCs w:val="16"/>
              </w:rPr>
              <w:t>+</w:t>
            </w:r>
          </w:p>
        </w:tc>
        <w:tc>
          <w:tcPr>
            <w:tcW w:w="1417" w:type="dxa"/>
          </w:tcPr>
          <w:p w14:paraId="63FB6F6B"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3FEE3B1B"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0</w:t>
            </w:r>
          </w:p>
        </w:tc>
        <w:tc>
          <w:tcPr>
            <w:tcW w:w="992" w:type="dxa"/>
          </w:tcPr>
          <w:p w14:paraId="315E4F7B"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w:t>
            </w:r>
          </w:p>
        </w:tc>
        <w:tc>
          <w:tcPr>
            <w:tcW w:w="1134" w:type="dxa"/>
          </w:tcPr>
          <w:p w14:paraId="0A1BDEE7"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6A4306C0"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372" w:type="dxa"/>
          </w:tcPr>
          <w:p w14:paraId="2866F4DA"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134" w:type="dxa"/>
          </w:tcPr>
          <w:p w14:paraId="10CC27C4"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r>
      <w:tr w:rsidR="00E52224" w:rsidRPr="00DD7964" w14:paraId="2B960721" w14:textId="77777777" w:rsidTr="006E0F54">
        <w:trPr>
          <w:trHeight w:val="415"/>
        </w:trPr>
        <w:tc>
          <w:tcPr>
            <w:tcW w:w="2552" w:type="dxa"/>
            <w:shd w:val="clear" w:color="auto" w:fill="99CDDD"/>
          </w:tcPr>
          <w:p w14:paraId="387661CD"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Equity and fairness (horizontal and vertical)</w:t>
            </w:r>
          </w:p>
        </w:tc>
        <w:tc>
          <w:tcPr>
            <w:tcW w:w="992" w:type="dxa"/>
            <w:shd w:val="clear" w:color="auto" w:fill="auto"/>
          </w:tcPr>
          <w:p w14:paraId="3092BD55"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087637C7" w14:textId="77777777" w:rsidR="00F10F10" w:rsidRPr="006E0F54" w:rsidRDefault="00F10F10" w:rsidP="00F10F10">
            <w:pPr>
              <w:pStyle w:val="TableText"/>
              <w:spacing w:before="38" w:after="38" w:line="240" w:lineRule="auto"/>
              <w:jc w:val="center"/>
              <w:rPr>
                <w:rFonts w:cs="Arial"/>
                <w:b/>
                <w:color w:val="00B050"/>
                <w:sz w:val="16"/>
                <w:szCs w:val="16"/>
              </w:rPr>
            </w:pPr>
            <w:r w:rsidRPr="006E0F54">
              <w:rPr>
                <w:rFonts w:cs="Arial"/>
                <w:b/>
                <w:color w:val="00B050"/>
                <w:sz w:val="16"/>
                <w:szCs w:val="16"/>
              </w:rPr>
              <w:t>+</w:t>
            </w:r>
          </w:p>
        </w:tc>
        <w:tc>
          <w:tcPr>
            <w:tcW w:w="1559" w:type="dxa"/>
          </w:tcPr>
          <w:p w14:paraId="3A46953A"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417" w:type="dxa"/>
          </w:tcPr>
          <w:p w14:paraId="40D793EF"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295304B4"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992" w:type="dxa"/>
          </w:tcPr>
          <w:p w14:paraId="70E82ECD"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134" w:type="dxa"/>
          </w:tcPr>
          <w:p w14:paraId="16585E45"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572530D7"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1372" w:type="dxa"/>
          </w:tcPr>
          <w:p w14:paraId="48CF95A7"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134" w:type="dxa"/>
          </w:tcPr>
          <w:p w14:paraId="5EACF092"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r>
      <w:tr w:rsidR="00E52224" w:rsidRPr="00DD7964" w14:paraId="06126CB4" w14:textId="77777777" w:rsidTr="006E0F54">
        <w:trPr>
          <w:trHeight w:val="383"/>
        </w:trPr>
        <w:tc>
          <w:tcPr>
            <w:tcW w:w="2552" w:type="dxa"/>
            <w:shd w:val="clear" w:color="auto" w:fill="99CDDD"/>
          </w:tcPr>
          <w:p w14:paraId="359C3AA8"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Integrity</w:t>
            </w:r>
          </w:p>
        </w:tc>
        <w:tc>
          <w:tcPr>
            <w:tcW w:w="992" w:type="dxa"/>
            <w:shd w:val="clear" w:color="auto" w:fill="auto"/>
          </w:tcPr>
          <w:p w14:paraId="45830550" w14:textId="77777777" w:rsidR="00F10F10" w:rsidRPr="006E0F54" w:rsidRDefault="00F10F10" w:rsidP="00F10F10">
            <w:pPr>
              <w:pStyle w:val="TableText"/>
              <w:spacing w:before="38" w:after="38" w:line="240" w:lineRule="auto"/>
              <w:jc w:val="center"/>
              <w:rPr>
                <w:sz w:val="16"/>
                <w:szCs w:val="16"/>
              </w:rPr>
            </w:pPr>
            <w:r w:rsidRPr="006E0F54">
              <w:rPr>
                <w:b/>
                <w:sz w:val="16"/>
                <w:szCs w:val="16"/>
              </w:rPr>
              <w:t>0</w:t>
            </w:r>
          </w:p>
        </w:tc>
        <w:tc>
          <w:tcPr>
            <w:tcW w:w="1560" w:type="dxa"/>
            <w:shd w:val="clear" w:color="auto" w:fill="auto"/>
          </w:tcPr>
          <w:p w14:paraId="4E6FB670" w14:textId="77777777" w:rsidR="00F10F10" w:rsidRPr="006E0F54" w:rsidRDefault="00F10F10" w:rsidP="00F10F10">
            <w:pPr>
              <w:pStyle w:val="TableText"/>
              <w:spacing w:before="38" w:after="38" w:line="240" w:lineRule="auto"/>
              <w:jc w:val="center"/>
              <w:rPr>
                <w:sz w:val="16"/>
                <w:szCs w:val="16"/>
              </w:rPr>
            </w:pPr>
            <w:r w:rsidRPr="006E0F54">
              <w:rPr>
                <w:rFonts w:cs="Arial"/>
                <w:b/>
                <w:color w:val="00B050"/>
                <w:sz w:val="16"/>
                <w:szCs w:val="16"/>
              </w:rPr>
              <w:t>+</w:t>
            </w:r>
          </w:p>
        </w:tc>
        <w:tc>
          <w:tcPr>
            <w:tcW w:w="1559" w:type="dxa"/>
          </w:tcPr>
          <w:p w14:paraId="2EB6C181"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sz w:val="16"/>
                <w:szCs w:val="16"/>
              </w:rPr>
              <w:t xml:space="preserve">0 / </w:t>
            </w:r>
            <w:r w:rsidRPr="006E0F54">
              <w:rPr>
                <w:rFonts w:cs="Arial"/>
                <w:b/>
                <w:color w:val="00B050"/>
                <w:sz w:val="16"/>
                <w:szCs w:val="16"/>
              </w:rPr>
              <w:t>+</w:t>
            </w:r>
          </w:p>
        </w:tc>
        <w:tc>
          <w:tcPr>
            <w:tcW w:w="1417" w:type="dxa"/>
          </w:tcPr>
          <w:p w14:paraId="342A2B09"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50C1C273"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992" w:type="dxa"/>
          </w:tcPr>
          <w:p w14:paraId="344D88E0"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134" w:type="dxa"/>
          </w:tcPr>
          <w:p w14:paraId="1D88BDB6"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21E2BBC5"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1372" w:type="dxa"/>
          </w:tcPr>
          <w:p w14:paraId="124A4771"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134" w:type="dxa"/>
          </w:tcPr>
          <w:p w14:paraId="46A3697B"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r>
      <w:tr w:rsidR="00E52224" w:rsidRPr="00DD7964" w14:paraId="0A99C740" w14:textId="77777777" w:rsidTr="006E0F54">
        <w:trPr>
          <w:trHeight w:val="383"/>
        </w:trPr>
        <w:tc>
          <w:tcPr>
            <w:tcW w:w="2552" w:type="dxa"/>
            <w:shd w:val="clear" w:color="auto" w:fill="99CDDD"/>
          </w:tcPr>
          <w:p w14:paraId="0BE0E0C7"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Revenue impact</w:t>
            </w:r>
          </w:p>
        </w:tc>
        <w:tc>
          <w:tcPr>
            <w:tcW w:w="992" w:type="dxa"/>
            <w:shd w:val="clear" w:color="auto" w:fill="auto"/>
          </w:tcPr>
          <w:p w14:paraId="4D1BEC49"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43449CFD" w14:textId="77777777" w:rsidR="00F10F10" w:rsidRPr="006E0F54" w:rsidRDefault="00F10F10" w:rsidP="00F10F10">
            <w:pPr>
              <w:pStyle w:val="TableText"/>
              <w:spacing w:before="38" w:after="38" w:line="240" w:lineRule="auto"/>
              <w:jc w:val="center"/>
              <w:rPr>
                <w:sz w:val="16"/>
                <w:szCs w:val="16"/>
              </w:rPr>
            </w:pPr>
            <w:r w:rsidRPr="006E0F54">
              <w:rPr>
                <w:rFonts w:cs="Arial"/>
                <w:b/>
                <w:color w:val="00B050"/>
                <w:sz w:val="16"/>
                <w:szCs w:val="16"/>
              </w:rPr>
              <w:t>+</w:t>
            </w:r>
          </w:p>
        </w:tc>
        <w:tc>
          <w:tcPr>
            <w:tcW w:w="1559" w:type="dxa"/>
          </w:tcPr>
          <w:p w14:paraId="3A47620A" w14:textId="77777777" w:rsidR="00F10F10" w:rsidRPr="006E0F54" w:rsidRDefault="00F10F10" w:rsidP="00F10F10">
            <w:pPr>
              <w:pStyle w:val="TableText"/>
              <w:spacing w:before="38" w:after="38" w:line="240" w:lineRule="auto"/>
              <w:jc w:val="center"/>
              <w:rPr>
                <w:rFonts w:cs="Arial"/>
                <w:b/>
                <w:color w:val="00B050"/>
                <w:sz w:val="16"/>
                <w:szCs w:val="16"/>
              </w:rPr>
            </w:pPr>
            <w:r w:rsidRPr="006E0F54">
              <w:rPr>
                <w:rFonts w:cs="Arial"/>
                <w:b/>
                <w:sz w:val="16"/>
                <w:szCs w:val="16"/>
              </w:rPr>
              <w:t xml:space="preserve">0 / </w:t>
            </w:r>
            <w:r w:rsidRPr="006E0F54">
              <w:rPr>
                <w:rFonts w:cs="Arial"/>
                <w:b/>
                <w:color w:val="00B050"/>
                <w:sz w:val="16"/>
                <w:szCs w:val="16"/>
              </w:rPr>
              <w:t>+</w:t>
            </w:r>
          </w:p>
        </w:tc>
        <w:tc>
          <w:tcPr>
            <w:tcW w:w="1417" w:type="dxa"/>
          </w:tcPr>
          <w:p w14:paraId="5F88E216" w14:textId="77777777" w:rsidR="00F10F10" w:rsidRPr="006E0F54" w:rsidRDefault="008A32FD" w:rsidP="00F10F10">
            <w:pPr>
              <w:pStyle w:val="TableText"/>
              <w:spacing w:before="38" w:after="38" w:line="240" w:lineRule="auto"/>
              <w:jc w:val="center"/>
              <w:rPr>
                <w:rFonts w:cs="Arial"/>
                <w:b/>
                <w:sz w:val="16"/>
                <w:szCs w:val="16"/>
              </w:rPr>
            </w:pPr>
            <w:r w:rsidRPr="006E0F54">
              <w:rPr>
                <w:rFonts w:cs="Arial"/>
                <w:b/>
                <w:color w:val="000000" w:themeColor="text1"/>
                <w:sz w:val="16"/>
                <w:szCs w:val="16"/>
              </w:rPr>
              <w:t>*</w:t>
            </w:r>
          </w:p>
        </w:tc>
        <w:tc>
          <w:tcPr>
            <w:tcW w:w="1276" w:type="dxa"/>
          </w:tcPr>
          <w:p w14:paraId="215658A2"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992" w:type="dxa"/>
          </w:tcPr>
          <w:p w14:paraId="0893153F"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134" w:type="dxa"/>
          </w:tcPr>
          <w:p w14:paraId="0DA2D5ED" w14:textId="77777777" w:rsidR="00F10F10" w:rsidRPr="006E0F54" w:rsidRDefault="008A32FD" w:rsidP="00F10F10">
            <w:pPr>
              <w:pStyle w:val="TableText"/>
              <w:spacing w:before="38" w:after="38" w:line="240" w:lineRule="auto"/>
              <w:jc w:val="center"/>
              <w:rPr>
                <w:rFonts w:cs="Arial"/>
                <w:b/>
                <w:sz w:val="16"/>
                <w:szCs w:val="16"/>
              </w:rPr>
            </w:pPr>
            <w:r w:rsidRPr="00E0490F">
              <w:rPr>
                <w:rFonts w:cs="Arial"/>
                <w:b/>
                <w:color w:val="000000" w:themeColor="text1"/>
                <w:sz w:val="16"/>
                <w:szCs w:val="16"/>
              </w:rPr>
              <w:t>*</w:t>
            </w:r>
          </w:p>
        </w:tc>
        <w:tc>
          <w:tcPr>
            <w:tcW w:w="1276" w:type="dxa"/>
          </w:tcPr>
          <w:p w14:paraId="3AF595E0"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1372" w:type="dxa"/>
          </w:tcPr>
          <w:p w14:paraId="7A8395BA"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134" w:type="dxa"/>
          </w:tcPr>
          <w:p w14:paraId="2513FB3B" w14:textId="77777777" w:rsidR="00F10F10" w:rsidRPr="006E0F54" w:rsidRDefault="008A32FD" w:rsidP="00F10F10">
            <w:pPr>
              <w:pStyle w:val="TableText"/>
              <w:spacing w:before="38" w:after="38" w:line="240" w:lineRule="auto"/>
              <w:jc w:val="center"/>
              <w:rPr>
                <w:rFonts w:cs="Arial"/>
                <w:b/>
                <w:sz w:val="16"/>
                <w:szCs w:val="16"/>
              </w:rPr>
            </w:pPr>
            <w:r w:rsidRPr="00E0490F">
              <w:rPr>
                <w:rFonts w:cs="Arial"/>
                <w:b/>
                <w:color w:val="000000" w:themeColor="text1"/>
                <w:sz w:val="16"/>
                <w:szCs w:val="16"/>
              </w:rPr>
              <w:t>*</w:t>
            </w:r>
          </w:p>
        </w:tc>
      </w:tr>
      <w:tr w:rsidR="00E52224" w:rsidRPr="00DD7964" w14:paraId="19895FDD" w14:textId="77777777" w:rsidTr="006E0F54">
        <w:trPr>
          <w:trHeight w:val="575"/>
        </w:trPr>
        <w:tc>
          <w:tcPr>
            <w:tcW w:w="2552" w:type="dxa"/>
            <w:shd w:val="clear" w:color="auto" w:fill="99CDDD"/>
          </w:tcPr>
          <w:p w14:paraId="487D9A4C"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Compliance and administration costs</w:t>
            </w:r>
          </w:p>
        </w:tc>
        <w:tc>
          <w:tcPr>
            <w:tcW w:w="992" w:type="dxa"/>
            <w:shd w:val="clear" w:color="auto" w:fill="auto"/>
          </w:tcPr>
          <w:p w14:paraId="15952A5B"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1686A93F" w14:textId="77777777" w:rsidR="00F10F10" w:rsidRPr="006E0F54" w:rsidRDefault="00F10F10" w:rsidP="00F10F10">
            <w:pPr>
              <w:pStyle w:val="TableText"/>
              <w:spacing w:before="38" w:after="38" w:line="240" w:lineRule="auto"/>
              <w:jc w:val="center"/>
              <w:rPr>
                <w:rFonts w:cs="Arial"/>
                <w:b/>
                <w:color w:val="00B050"/>
                <w:sz w:val="16"/>
                <w:szCs w:val="16"/>
              </w:rPr>
            </w:pPr>
            <w:r w:rsidRPr="006E0F54">
              <w:rPr>
                <w:rFonts w:cs="Arial"/>
                <w:b/>
                <w:color w:val="FF0000"/>
                <w:sz w:val="16"/>
                <w:szCs w:val="16"/>
              </w:rPr>
              <w:t>-</w:t>
            </w:r>
          </w:p>
        </w:tc>
        <w:tc>
          <w:tcPr>
            <w:tcW w:w="1559" w:type="dxa"/>
          </w:tcPr>
          <w:p w14:paraId="4717949A"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 xml:space="preserve">- - </w:t>
            </w:r>
          </w:p>
        </w:tc>
        <w:tc>
          <w:tcPr>
            <w:tcW w:w="1417" w:type="dxa"/>
          </w:tcPr>
          <w:p w14:paraId="6EACB30E"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sz w:val="16"/>
                <w:szCs w:val="16"/>
              </w:rPr>
              <w:t>0</w:t>
            </w:r>
          </w:p>
        </w:tc>
        <w:tc>
          <w:tcPr>
            <w:tcW w:w="1276" w:type="dxa"/>
          </w:tcPr>
          <w:p w14:paraId="725E1B7D"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w:t>
            </w:r>
          </w:p>
        </w:tc>
        <w:tc>
          <w:tcPr>
            <w:tcW w:w="992" w:type="dxa"/>
          </w:tcPr>
          <w:p w14:paraId="1F5190E9"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 xml:space="preserve">- - </w:t>
            </w:r>
          </w:p>
        </w:tc>
        <w:tc>
          <w:tcPr>
            <w:tcW w:w="1134" w:type="dxa"/>
          </w:tcPr>
          <w:p w14:paraId="1730EFEC"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sz w:val="16"/>
                <w:szCs w:val="16"/>
              </w:rPr>
              <w:t>0</w:t>
            </w:r>
          </w:p>
        </w:tc>
        <w:tc>
          <w:tcPr>
            <w:tcW w:w="1276" w:type="dxa"/>
          </w:tcPr>
          <w:p w14:paraId="4B70E9D4"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w:t>
            </w:r>
          </w:p>
        </w:tc>
        <w:tc>
          <w:tcPr>
            <w:tcW w:w="1372" w:type="dxa"/>
          </w:tcPr>
          <w:p w14:paraId="45C75397"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color w:val="FF0000"/>
                <w:sz w:val="16"/>
                <w:szCs w:val="16"/>
              </w:rPr>
              <w:t xml:space="preserve">- - </w:t>
            </w:r>
          </w:p>
        </w:tc>
        <w:tc>
          <w:tcPr>
            <w:tcW w:w="1134" w:type="dxa"/>
          </w:tcPr>
          <w:p w14:paraId="0ADE9F13"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sz w:val="16"/>
                <w:szCs w:val="16"/>
              </w:rPr>
              <w:t>0</w:t>
            </w:r>
          </w:p>
        </w:tc>
      </w:tr>
      <w:tr w:rsidR="00E52224" w:rsidRPr="00DD7964" w14:paraId="4362C50C" w14:textId="77777777" w:rsidTr="006E0F54">
        <w:trPr>
          <w:trHeight w:val="415"/>
        </w:trPr>
        <w:tc>
          <w:tcPr>
            <w:tcW w:w="2552" w:type="dxa"/>
            <w:shd w:val="clear" w:color="auto" w:fill="99CDDD"/>
          </w:tcPr>
          <w:p w14:paraId="462F7175"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Coherence</w:t>
            </w:r>
          </w:p>
        </w:tc>
        <w:tc>
          <w:tcPr>
            <w:tcW w:w="992" w:type="dxa"/>
            <w:shd w:val="clear" w:color="auto" w:fill="auto"/>
          </w:tcPr>
          <w:p w14:paraId="25207CFB"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6A677D1A" w14:textId="77777777" w:rsidR="00F10F10" w:rsidRPr="006E0F54" w:rsidRDefault="00F10F10" w:rsidP="00F10F10">
            <w:pPr>
              <w:pStyle w:val="TableText"/>
              <w:spacing w:before="38" w:after="38" w:line="240" w:lineRule="auto"/>
              <w:jc w:val="center"/>
              <w:rPr>
                <w:rFonts w:cs="Arial"/>
                <w:b/>
                <w:color w:val="00B050"/>
                <w:sz w:val="16"/>
                <w:szCs w:val="16"/>
              </w:rPr>
            </w:pPr>
            <w:r w:rsidRPr="006E0F54">
              <w:rPr>
                <w:rFonts w:cs="Arial"/>
                <w:b/>
                <w:color w:val="00B050"/>
                <w:sz w:val="16"/>
                <w:szCs w:val="16"/>
              </w:rPr>
              <w:t>+</w:t>
            </w:r>
          </w:p>
        </w:tc>
        <w:tc>
          <w:tcPr>
            <w:tcW w:w="1559" w:type="dxa"/>
          </w:tcPr>
          <w:p w14:paraId="1F373912"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sz w:val="16"/>
                <w:szCs w:val="16"/>
              </w:rPr>
              <w:t xml:space="preserve">0 / </w:t>
            </w:r>
            <w:r w:rsidRPr="006E0F54">
              <w:rPr>
                <w:rFonts w:cs="Arial"/>
                <w:b/>
                <w:color w:val="00B050"/>
                <w:sz w:val="16"/>
                <w:szCs w:val="16"/>
              </w:rPr>
              <w:t>+</w:t>
            </w:r>
          </w:p>
        </w:tc>
        <w:tc>
          <w:tcPr>
            <w:tcW w:w="1417" w:type="dxa"/>
          </w:tcPr>
          <w:p w14:paraId="24952D39"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09F4BAB4"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992" w:type="dxa"/>
          </w:tcPr>
          <w:p w14:paraId="0CAB3A73"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134" w:type="dxa"/>
          </w:tcPr>
          <w:p w14:paraId="1FEE03F4"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091A67A2"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00B050"/>
                <w:sz w:val="16"/>
                <w:szCs w:val="16"/>
              </w:rPr>
              <w:t>+</w:t>
            </w:r>
          </w:p>
        </w:tc>
        <w:tc>
          <w:tcPr>
            <w:tcW w:w="1372" w:type="dxa"/>
          </w:tcPr>
          <w:p w14:paraId="550669F9"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1134" w:type="dxa"/>
          </w:tcPr>
          <w:p w14:paraId="721C512B"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r>
      <w:tr w:rsidR="00E52224" w:rsidRPr="00DD7964" w14:paraId="59B586EF" w14:textId="77777777" w:rsidTr="006E0F54">
        <w:trPr>
          <w:trHeight w:val="383"/>
        </w:trPr>
        <w:tc>
          <w:tcPr>
            <w:tcW w:w="2552" w:type="dxa"/>
            <w:shd w:val="clear" w:color="auto" w:fill="99CDDD"/>
          </w:tcPr>
          <w:p w14:paraId="3F2E42E3" w14:textId="77777777" w:rsidR="00F10F10" w:rsidRPr="006E0F54" w:rsidRDefault="00F10F10" w:rsidP="00F10F10">
            <w:pPr>
              <w:spacing w:before="38" w:after="38" w:line="240" w:lineRule="auto"/>
              <w:rPr>
                <w:rFonts w:cs="Arial"/>
                <w:b/>
                <w:color w:val="000000"/>
                <w:sz w:val="16"/>
                <w:szCs w:val="16"/>
              </w:rPr>
            </w:pPr>
            <w:r w:rsidRPr="006E0F54">
              <w:rPr>
                <w:rFonts w:cs="Arial"/>
                <w:b/>
                <w:color w:val="000000"/>
                <w:sz w:val="16"/>
                <w:szCs w:val="16"/>
              </w:rPr>
              <w:t>Overall conclusion</w:t>
            </w:r>
          </w:p>
        </w:tc>
        <w:tc>
          <w:tcPr>
            <w:tcW w:w="992" w:type="dxa"/>
            <w:shd w:val="clear" w:color="auto" w:fill="auto"/>
          </w:tcPr>
          <w:p w14:paraId="6CC8DD06" w14:textId="77777777" w:rsidR="00F10F10" w:rsidRPr="006E0F54" w:rsidRDefault="00F10F10" w:rsidP="00F10F10">
            <w:pPr>
              <w:pStyle w:val="TableText"/>
              <w:spacing w:before="38" w:after="38" w:line="240" w:lineRule="auto"/>
              <w:jc w:val="center"/>
              <w:rPr>
                <w:b/>
                <w:sz w:val="16"/>
                <w:szCs w:val="16"/>
              </w:rPr>
            </w:pPr>
            <w:r w:rsidRPr="006E0F54">
              <w:rPr>
                <w:b/>
                <w:sz w:val="16"/>
                <w:szCs w:val="16"/>
              </w:rPr>
              <w:t>0</w:t>
            </w:r>
          </w:p>
        </w:tc>
        <w:tc>
          <w:tcPr>
            <w:tcW w:w="1560" w:type="dxa"/>
            <w:shd w:val="clear" w:color="auto" w:fill="auto"/>
          </w:tcPr>
          <w:p w14:paraId="70D411DC" w14:textId="77777777" w:rsidR="00F10F10" w:rsidRPr="006E0F54" w:rsidRDefault="00F10F10" w:rsidP="00F10F10">
            <w:pPr>
              <w:pStyle w:val="TableText"/>
              <w:spacing w:before="38" w:after="38" w:line="240" w:lineRule="auto"/>
              <w:jc w:val="center"/>
              <w:rPr>
                <w:sz w:val="16"/>
                <w:szCs w:val="16"/>
              </w:rPr>
            </w:pPr>
            <w:r w:rsidRPr="006E0F54">
              <w:rPr>
                <w:rFonts w:cs="Arial"/>
                <w:b/>
                <w:color w:val="00B050"/>
                <w:sz w:val="16"/>
                <w:szCs w:val="16"/>
              </w:rPr>
              <w:t>+</w:t>
            </w:r>
          </w:p>
        </w:tc>
        <w:tc>
          <w:tcPr>
            <w:tcW w:w="1559" w:type="dxa"/>
          </w:tcPr>
          <w:p w14:paraId="12BE074E" w14:textId="77777777" w:rsidR="00F10F10" w:rsidRPr="006E0F54" w:rsidRDefault="00F10F10" w:rsidP="00F10F10">
            <w:pPr>
              <w:pStyle w:val="TableText"/>
              <w:spacing w:before="38" w:after="38" w:line="240" w:lineRule="auto"/>
              <w:jc w:val="center"/>
              <w:rPr>
                <w:rFonts w:cs="Arial"/>
                <w:b/>
                <w:color w:val="FF0000"/>
                <w:sz w:val="16"/>
                <w:szCs w:val="16"/>
              </w:rPr>
            </w:pPr>
            <w:r w:rsidRPr="006E0F54">
              <w:rPr>
                <w:rFonts w:cs="Arial"/>
                <w:b/>
                <w:sz w:val="16"/>
                <w:szCs w:val="16"/>
              </w:rPr>
              <w:t>0</w:t>
            </w:r>
          </w:p>
        </w:tc>
        <w:tc>
          <w:tcPr>
            <w:tcW w:w="1417" w:type="dxa"/>
          </w:tcPr>
          <w:p w14:paraId="1F2B01D9"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4FF29263"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 </w:t>
            </w:r>
            <w:r w:rsidRPr="006E0F54">
              <w:rPr>
                <w:rFonts w:cs="Arial"/>
                <w:b/>
                <w:color w:val="00B050"/>
                <w:sz w:val="16"/>
                <w:szCs w:val="16"/>
              </w:rPr>
              <w:t>+</w:t>
            </w:r>
          </w:p>
        </w:tc>
        <w:tc>
          <w:tcPr>
            <w:tcW w:w="992" w:type="dxa"/>
          </w:tcPr>
          <w:p w14:paraId="27E6AE6B"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0</w:t>
            </w:r>
          </w:p>
        </w:tc>
        <w:tc>
          <w:tcPr>
            <w:tcW w:w="1134" w:type="dxa"/>
          </w:tcPr>
          <w:p w14:paraId="57BDF92A"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c>
          <w:tcPr>
            <w:tcW w:w="1276" w:type="dxa"/>
          </w:tcPr>
          <w:p w14:paraId="2E0CA63D"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 xml:space="preserve">0 </w:t>
            </w:r>
          </w:p>
        </w:tc>
        <w:tc>
          <w:tcPr>
            <w:tcW w:w="1372" w:type="dxa"/>
          </w:tcPr>
          <w:p w14:paraId="36522DCE"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sz w:val="16"/>
                <w:szCs w:val="16"/>
              </w:rPr>
              <w:t>0</w:t>
            </w:r>
          </w:p>
        </w:tc>
        <w:tc>
          <w:tcPr>
            <w:tcW w:w="1134" w:type="dxa"/>
          </w:tcPr>
          <w:p w14:paraId="09B401CB" w14:textId="77777777" w:rsidR="00F10F10" w:rsidRPr="006E0F54" w:rsidRDefault="00F10F10" w:rsidP="00F10F10">
            <w:pPr>
              <w:pStyle w:val="TableText"/>
              <w:spacing w:before="38" w:after="38" w:line="240" w:lineRule="auto"/>
              <w:jc w:val="center"/>
              <w:rPr>
                <w:rFonts w:cs="Arial"/>
                <w:b/>
                <w:sz w:val="16"/>
                <w:szCs w:val="16"/>
              </w:rPr>
            </w:pPr>
            <w:r w:rsidRPr="006E0F54">
              <w:rPr>
                <w:rFonts w:cs="Arial"/>
                <w:b/>
                <w:color w:val="FF0000"/>
                <w:sz w:val="16"/>
                <w:szCs w:val="16"/>
              </w:rPr>
              <w:t>-</w:t>
            </w:r>
          </w:p>
        </w:tc>
      </w:tr>
    </w:tbl>
    <w:p w14:paraId="240675E3" w14:textId="77777777" w:rsidR="002E3CD5" w:rsidRPr="006E0F54" w:rsidRDefault="002E3CD5" w:rsidP="002E3CD5">
      <w:pPr>
        <w:spacing w:before="240" w:after="120" w:line="240" w:lineRule="auto"/>
        <w:rPr>
          <w:rFonts w:cs="Arial"/>
          <w:b/>
          <w:sz w:val="16"/>
          <w:szCs w:val="16"/>
        </w:rPr>
      </w:pPr>
      <w:r w:rsidRPr="006E0F54">
        <w:rPr>
          <w:rFonts w:cs="Arial"/>
          <w:b/>
          <w:sz w:val="16"/>
          <w:szCs w:val="16"/>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6996"/>
      </w:tblGrid>
      <w:tr w:rsidR="002E3CD5" w:rsidRPr="00B3741C" w14:paraId="11F1F601" w14:textId="77777777" w:rsidTr="00AC667E">
        <w:tc>
          <w:tcPr>
            <w:tcW w:w="6996" w:type="dxa"/>
          </w:tcPr>
          <w:p w14:paraId="26E550FF" w14:textId="77777777" w:rsidR="002E3CD5" w:rsidRPr="006E0F54" w:rsidRDefault="002E3CD5" w:rsidP="00AC667E">
            <w:pPr>
              <w:spacing w:after="76" w:line="240" w:lineRule="auto"/>
              <w:rPr>
                <w:rFonts w:cs="Arial"/>
                <w:b/>
                <w:sz w:val="16"/>
                <w:szCs w:val="16"/>
              </w:rPr>
            </w:pPr>
            <w:r w:rsidRPr="006E0F54">
              <w:rPr>
                <w:rFonts w:cs="Arial"/>
                <w:b/>
                <w:color w:val="00B050"/>
                <w:sz w:val="16"/>
                <w:szCs w:val="16"/>
              </w:rPr>
              <w:t>++</w:t>
            </w:r>
            <w:r w:rsidRPr="006E0F54">
              <w:rPr>
                <w:rFonts w:cs="Arial"/>
                <w:sz w:val="16"/>
                <w:szCs w:val="16"/>
              </w:rPr>
              <w:t xml:space="preserve">  </w:t>
            </w:r>
            <w:r w:rsidRPr="006E0F54">
              <w:rPr>
                <w:rFonts w:cs="Arial"/>
                <w:sz w:val="16"/>
                <w:szCs w:val="16"/>
              </w:rPr>
              <w:tab/>
              <w:t>much better than doing nothing/the status quo</w:t>
            </w:r>
          </w:p>
        </w:tc>
        <w:tc>
          <w:tcPr>
            <w:tcW w:w="6996" w:type="dxa"/>
          </w:tcPr>
          <w:p w14:paraId="4660FDB5" w14:textId="77777777" w:rsidR="002E3CD5" w:rsidRPr="006E0F54" w:rsidRDefault="002E3CD5" w:rsidP="00AC667E">
            <w:pPr>
              <w:spacing w:after="76" w:line="240" w:lineRule="auto"/>
              <w:rPr>
                <w:rFonts w:cs="Arial"/>
                <w:b/>
                <w:sz w:val="16"/>
                <w:szCs w:val="16"/>
              </w:rPr>
            </w:pPr>
            <w:r w:rsidRPr="006E0F54">
              <w:rPr>
                <w:rFonts w:cs="Arial"/>
                <w:b/>
                <w:color w:val="FF0000"/>
                <w:sz w:val="16"/>
                <w:szCs w:val="16"/>
              </w:rPr>
              <w:t>-</w:t>
            </w:r>
            <w:r w:rsidRPr="006E0F54">
              <w:rPr>
                <w:rFonts w:cs="Arial"/>
                <w:sz w:val="16"/>
                <w:szCs w:val="16"/>
              </w:rPr>
              <w:t xml:space="preserve"> </w:t>
            </w:r>
            <w:r w:rsidRPr="006E0F54">
              <w:rPr>
                <w:rFonts w:cs="Arial"/>
                <w:sz w:val="16"/>
                <w:szCs w:val="16"/>
              </w:rPr>
              <w:tab/>
              <w:t>worse than doing nothing/the status quo</w:t>
            </w:r>
          </w:p>
        </w:tc>
      </w:tr>
      <w:tr w:rsidR="002E3CD5" w:rsidRPr="00B3741C" w14:paraId="626A8D15" w14:textId="77777777" w:rsidTr="00AC667E">
        <w:tc>
          <w:tcPr>
            <w:tcW w:w="6996" w:type="dxa"/>
          </w:tcPr>
          <w:p w14:paraId="0A773166" w14:textId="77777777" w:rsidR="002E3CD5" w:rsidRPr="006E0F54" w:rsidRDefault="002E3CD5" w:rsidP="00AC667E">
            <w:pPr>
              <w:spacing w:after="76" w:line="240" w:lineRule="auto"/>
              <w:rPr>
                <w:rFonts w:cs="Arial"/>
                <w:b/>
                <w:sz w:val="16"/>
                <w:szCs w:val="16"/>
              </w:rPr>
            </w:pPr>
            <w:r w:rsidRPr="006E0F54">
              <w:rPr>
                <w:rFonts w:cs="Arial"/>
                <w:b/>
                <w:color w:val="00B050"/>
                <w:sz w:val="16"/>
                <w:szCs w:val="16"/>
              </w:rPr>
              <w:t>+</w:t>
            </w:r>
            <w:r w:rsidRPr="006E0F54">
              <w:rPr>
                <w:rFonts w:cs="Arial"/>
                <w:color w:val="00B050"/>
                <w:sz w:val="16"/>
                <w:szCs w:val="16"/>
              </w:rPr>
              <w:t xml:space="preserve"> </w:t>
            </w:r>
            <w:r w:rsidRPr="006E0F54">
              <w:rPr>
                <w:rFonts w:cs="Arial"/>
                <w:sz w:val="16"/>
                <w:szCs w:val="16"/>
              </w:rPr>
              <w:t xml:space="preserve"> </w:t>
            </w:r>
            <w:r w:rsidRPr="006E0F54">
              <w:rPr>
                <w:rFonts w:cs="Arial"/>
                <w:sz w:val="16"/>
                <w:szCs w:val="16"/>
              </w:rPr>
              <w:tab/>
              <w:t>better than doing nothing/the status quo</w:t>
            </w:r>
          </w:p>
        </w:tc>
        <w:tc>
          <w:tcPr>
            <w:tcW w:w="6996" w:type="dxa"/>
          </w:tcPr>
          <w:p w14:paraId="19AECFE7" w14:textId="77777777" w:rsidR="002E3CD5" w:rsidRPr="006E0F54" w:rsidRDefault="002E3CD5" w:rsidP="00AC667E">
            <w:pPr>
              <w:spacing w:after="76" w:line="240" w:lineRule="auto"/>
              <w:rPr>
                <w:rFonts w:cs="Arial"/>
                <w:b/>
                <w:sz w:val="16"/>
                <w:szCs w:val="16"/>
              </w:rPr>
            </w:pPr>
            <w:r w:rsidRPr="006E0F54">
              <w:rPr>
                <w:rFonts w:cs="Arial"/>
                <w:b/>
                <w:color w:val="FF0000"/>
                <w:sz w:val="16"/>
                <w:szCs w:val="16"/>
              </w:rPr>
              <w:t>- -</w:t>
            </w:r>
            <w:r w:rsidRPr="006E0F54">
              <w:rPr>
                <w:rFonts w:cs="Arial"/>
                <w:sz w:val="16"/>
                <w:szCs w:val="16"/>
              </w:rPr>
              <w:t xml:space="preserve"> </w:t>
            </w:r>
            <w:r w:rsidRPr="006E0F54">
              <w:rPr>
                <w:rFonts w:cs="Arial"/>
                <w:sz w:val="16"/>
                <w:szCs w:val="16"/>
              </w:rPr>
              <w:tab/>
              <w:t>much worse than doing nothing/the status quo</w:t>
            </w:r>
          </w:p>
        </w:tc>
      </w:tr>
      <w:tr w:rsidR="002E3CD5" w:rsidRPr="00B3741C" w14:paraId="53841118" w14:textId="77777777" w:rsidTr="00AC667E">
        <w:tc>
          <w:tcPr>
            <w:tcW w:w="6996" w:type="dxa"/>
          </w:tcPr>
          <w:p w14:paraId="2CB3595D" w14:textId="77777777" w:rsidR="002E3CD5" w:rsidRPr="006E0F54" w:rsidRDefault="002E3CD5" w:rsidP="00AC667E">
            <w:pPr>
              <w:spacing w:after="76" w:line="240" w:lineRule="auto"/>
              <w:rPr>
                <w:rFonts w:cs="Arial"/>
                <w:b/>
                <w:sz w:val="16"/>
                <w:szCs w:val="16"/>
              </w:rPr>
            </w:pPr>
            <w:r w:rsidRPr="006E0F54">
              <w:rPr>
                <w:rFonts w:cs="Arial"/>
                <w:b/>
                <w:sz w:val="16"/>
                <w:szCs w:val="16"/>
              </w:rPr>
              <w:t>0</w:t>
            </w:r>
            <w:r w:rsidRPr="006E0F54">
              <w:rPr>
                <w:rFonts w:cs="Arial"/>
                <w:sz w:val="16"/>
                <w:szCs w:val="16"/>
              </w:rPr>
              <w:tab/>
              <w:t>about the same as doing nothing/the status quo</w:t>
            </w:r>
          </w:p>
        </w:tc>
        <w:tc>
          <w:tcPr>
            <w:tcW w:w="6996" w:type="dxa"/>
          </w:tcPr>
          <w:p w14:paraId="77780C7D" w14:textId="77777777" w:rsidR="002E3CD5" w:rsidRPr="006E0F54" w:rsidRDefault="002E3CD5" w:rsidP="00AC667E">
            <w:pPr>
              <w:spacing w:after="76" w:line="240" w:lineRule="auto"/>
              <w:rPr>
                <w:rFonts w:cs="Arial"/>
                <w:sz w:val="16"/>
                <w:szCs w:val="16"/>
              </w:rPr>
            </w:pPr>
            <w:r w:rsidRPr="006E0F54">
              <w:rPr>
                <w:rFonts w:cs="Arial"/>
                <w:sz w:val="16"/>
                <w:szCs w:val="16"/>
              </w:rPr>
              <w:t>*            Overall impacts depend on further analysis and more detailed design</w:t>
            </w:r>
          </w:p>
        </w:tc>
      </w:tr>
    </w:tbl>
    <w:p w14:paraId="0C909EF6" w14:textId="77777777" w:rsidR="002E3CD5" w:rsidRPr="00657EC5" w:rsidRDefault="002E3CD5" w:rsidP="002E3CD5">
      <w:pPr>
        <w:rPr>
          <w:rFonts w:ascii="Arial Narrow" w:hAnsi="Arial Narrow"/>
          <w:sz w:val="20"/>
        </w:rPr>
        <w:sectPr w:rsidR="002E3CD5" w:rsidRPr="00657EC5" w:rsidSect="00FE1832">
          <w:footerReference w:type="default" r:id="rId11"/>
          <w:pgSz w:w="16838" w:h="11906" w:orient="landscape"/>
          <w:pgMar w:top="1134" w:right="1418" w:bottom="992" w:left="1418" w:header="709" w:footer="709" w:gutter="0"/>
          <w:cols w:space="708"/>
          <w:docGrid w:linePitch="360"/>
        </w:sectPr>
      </w:pPr>
    </w:p>
    <w:p w14:paraId="232F03A8" w14:textId="0DC4163F" w:rsidR="002E3CD5" w:rsidRDefault="002E3CD5" w:rsidP="002E3CD5">
      <w:pPr>
        <w:spacing w:line="240" w:lineRule="auto"/>
        <w:rPr>
          <w:rFonts w:cs="Arial"/>
          <w:b/>
          <w:szCs w:val="22"/>
          <w:lang w:eastAsia="en-AU"/>
        </w:rPr>
      </w:pPr>
      <w:r>
        <w:rPr>
          <w:rFonts w:cs="Arial"/>
          <w:b/>
          <w:szCs w:val="22"/>
          <w:lang w:eastAsia="en-AU"/>
        </w:rPr>
        <w:lastRenderedPageBreak/>
        <w:t xml:space="preserve">Option 1A: </w:t>
      </w:r>
      <w:r w:rsidRPr="00270140">
        <w:rPr>
          <w:rFonts w:cs="Arial"/>
          <w:b/>
          <w:szCs w:val="22"/>
          <w:lang w:eastAsia="en-AU"/>
        </w:rPr>
        <w:t>Extending the bright</w:t>
      </w:r>
      <w:r>
        <w:rPr>
          <w:rFonts w:cs="Arial"/>
          <w:b/>
          <w:szCs w:val="22"/>
          <w:lang w:eastAsia="en-AU"/>
        </w:rPr>
        <w:t>-</w:t>
      </w:r>
      <w:r w:rsidRPr="00270140">
        <w:rPr>
          <w:rFonts w:cs="Arial"/>
          <w:b/>
          <w:szCs w:val="22"/>
          <w:lang w:eastAsia="en-AU"/>
        </w:rPr>
        <w:t xml:space="preserve">line period to </w:t>
      </w:r>
      <w:r w:rsidRPr="00302AC3">
        <w:rPr>
          <w:rFonts w:cs="Arial"/>
          <w:b/>
          <w:szCs w:val="22"/>
          <w:lang w:eastAsia="en-AU"/>
        </w:rPr>
        <w:t>20</w:t>
      </w:r>
      <w:r w:rsidRPr="00270140">
        <w:rPr>
          <w:rFonts w:cs="Arial"/>
          <w:b/>
          <w:szCs w:val="22"/>
          <w:lang w:eastAsia="en-AU"/>
        </w:rPr>
        <w:t xml:space="preserve"> years</w:t>
      </w:r>
      <w:r>
        <w:rPr>
          <w:rFonts w:cs="Arial"/>
          <w:b/>
          <w:szCs w:val="22"/>
          <w:lang w:eastAsia="en-AU"/>
        </w:rPr>
        <w:t xml:space="preserve"> for property acquired </w:t>
      </w:r>
      <w:r w:rsidR="004E57E8">
        <w:rPr>
          <w:rFonts w:cs="Arial"/>
          <w:b/>
          <w:szCs w:val="22"/>
          <w:lang w:eastAsia="en-AU"/>
        </w:rPr>
        <w:t xml:space="preserve">on or after the application date </w:t>
      </w:r>
      <w:r>
        <w:rPr>
          <w:rFonts w:cs="Arial"/>
          <w:b/>
          <w:szCs w:val="22"/>
          <w:lang w:eastAsia="en-AU"/>
        </w:rPr>
        <w:t>(no new-build exemption)</w:t>
      </w:r>
    </w:p>
    <w:p w14:paraId="5DAC1806" w14:textId="77777777" w:rsidR="002E3CD5" w:rsidRDefault="002E3CD5" w:rsidP="002E3CD5">
      <w:pPr>
        <w:spacing w:line="240" w:lineRule="auto"/>
        <w:rPr>
          <w:rFonts w:cs="Arial"/>
          <w:b/>
          <w:i/>
          <w:szCs w:val="22"/>
          <w:lang w:eastAsia="en-AU"/>
        </w:rPr>
      </w:pPr>
      <w:r w:rsidRPr="00220FF6">
        <w:rPr>
          <w:rFonts w:cs="Arial"/>
          <w:b/>
          <w:i/>
          <w:szCs w:val="22"/>
          <w:lang w:eastAsia="en-AU"/>
        </w:rPr>
        <w:t xml:space="preserve">Support greater housing affordability </w:t>
      </w:r>
      <w:r>
        <w:rPr>
          <w:rFonts w:cs="Arial"/>
          <w:b/>
          <w:i/>
          <w:szCs w:val="22"/>
          <w:lang w:eastAsia="en-AU"/>
        </w:rPr>
        <w:t>by putting downward pressure on house prices</w:t>
      </w:r>
    </w:p>
    <w:p w14:paraId="2E228FC6" w14:textId="77777777" w:rsidR="002E3CD5" w:rsidRDefault="002E3CD5" w:rsidP="002E3CD5">
      <w:pPr>
        <w:spacing w:line="240" w:lineRule="auto"/>
        <w:rPr>
          <w:rFonts w:cs="Arial"/>
          <w:szCs w:val="22"/>
          <w:lang w:eastAsia="en-AU"/>
        </w:rPr>
      </w:pPr>
      <w:r>
        <w:rPr>
          <w:rFonts w:cs="Arial"/>
          <w:szCs w:val="22"/>
          <w:lang w:eastAsia="en-AU"/>
        </w:rPr>
        <w:t xml:space="preserve">Extending the bright-line period </w:t>
      </w:r>
      <w:r w:rsidR="00E52224">
        <w:rPr>
          <w:rFonts w:cs="Arial"/>
          <w:szCs w:val="22"/>
          <w:lang w:eastAsia="en-AU"/>
        </w:rPr>
        <w:t xml:space="preserve">to 20 years </w:t>
      </w:r>
      <w:r>
        <w:rPr>
          <w:rFonts w:cs="Arial"/>
          <w:szCs w:val="22"/>
          <w:lang w:eastAsia="en-AU"/>
        </w:rPr>
        <w:t>would increase</w:t>
      </w:r>
      <w:r w:rsidRPr="00220FF6">
        <w:rPr>
          <w:rFonts w:cs="Arial"/>
          <w:szCs w:val="22"/>
          <w:lang w:eastAsia="en-AU"/>
        </w:rPr>
        <w:t xml:space="preserve"> the </w:t>
      </w:r>
      <w:r>
        <w:rPr>
          <w:rFonts w:cs="Arial"/>
          <w:szCs w:val="22"/>
          <w:lang w:eastAsia="en-AU"/>
        </w:rPr>
        <w:t xml:space="preserve">tax cost of investment property compared with the status quo. All else being equal, this would </w:t>
      </w:r>
      <w:r w:rsidRPr="00220FF6">
        <w:rPr>
          <w:rFonts w:cs="Arial"/>
          <w:szCs w:val="22"/>
          <w:lang w:eastAsia="en-AU"/>
        </w:rPr>
        <w:t>put downward</w:t>
      </w:r>
      <w:r>
        <w:rPr>
          <w:rFonts w:cs="Arial"/>
          <w:szCs w:val="22"/>
          <w:lang w:eastAsia="en-AU"/>
        </w:rPr>
        <w:t xml:space="preserve"> pressure on</w:t>
      </w:r>
      <w:r w:rsidRPr="00220FF6">
        <w:rPr>
          <w:rFonts w:cs="Arial"/>
          <w:szCs w:val="22"/>
          <w:lang w:eastAsia="en-AU"/>
        </w:rPr>
        <w:t xml:space="preserve"> </w:t>
      </w:r>
      <w:r>
        <w:rPr>
          <w:rFonts w:cs="Arial"/>
          <w:szCs w:val="22"/>
          <w:lang w:eastAsia="en-AU"/>
        </w:rPr>
        <w:t>demand and therefore on</w:t>
      </w:r>
      <w:r w:rsidRPr="00220FF6">
        <w:rPr>
          <w:rFonts w:cs="Arial"/>
          <w:szCs w:val="22"/>
          <w:lang w:eastAsia="en-AU"/>
        </w:rPr>
        <w:t xml:space="preserve"> property prices</w:t>
      </w:r>
      <w:r>
        <w:rPr>
          <w:rFonts w:cs="Arial"/>
          <w:szCs w:val="22"/>
          <w:lang w:eastAsia="en-AU"/>
        </w:rPr>
        <w:t xml:space="preserve">. This would benefit first home buyers, especially current renters with higher incomes. </w:t>
      </w:r>
      <w:r w:rsidRPr="00B473BC">
        <w:rPr>
          <w:rFonts w:cs="Arial"/>
          <w:szCs w:val="22"/>
          <w:lang w:eastAsia="en-AU"/>
        </w:rPr>
        <w:t>Due to the lack of</w:t>
      </w:r>
      <w:r>
        <w:rPr>
          <w:rFonts w:cs="Arial"/>
          <w:szCs w:val="22"/>
          <w:lang w:eastAsia="en-AU"/>
        </w:rPr>
        <w:t xml:space="preserve"> robust </w:t>
      </w:r>
      <w:r w:rsidRPr="00B473BC">
        <w:rPr>
          <w:rFonts w:cs="Arial"/>
          <w:szCs w:val="22"/>
          <w:lang w:eastAsia="en-AU"/>
        </w:rPr>
        <w:t xml:space="preserve">empirical </w:t>
      </w:r>
      <w:r>
        <w:rPr>
          <w:rFonts w:cs="Arial"/>
          <w:szCs w:val="22"/>
          <w:lang w:eastAsia="en-AU"/>
        </w:rPr>
        <w:t>evidence or models</w:t>
      </w:r>
      <w:r w:rsidRPr="00B473BC">
        <w:rPr>
          <w:rFonts w:cs="Arial"/>
          <w:szCs w:val="22"/>
          <w:lang w:eastAsia="en-AU"/>
        </w:rPr>
        <w:t>, this impact</w:t>
      </w:r>
      <w:r>
        <w:rPr>
          <w:rFonts w:cs="Arial"/>
          <w:szCs w:val="22"/>
          <w:lang w:eastAsia="en-AU"/>
        </w:rPr>
        <w:t xml:space="preserve"> </w:t>
      </w:r>
      <w:r w:rsidRPr="00B473BC">
        <w:rPr>
          <w:rFonts w:cs="Arial"/>
          <w:szCs w:val="22"/>
          <w:lang w:eastAsia="en-AU"/>
        </w:rPr>
        <w:t>cannot be quantified</w:t>
      </w:r>
      <w:r>
        <w:rPr>
          <w:rFonts w:cs="Arial"/>
          <w:szCs w:val="22"/>
          <w:lang w:eastAsia="en-AU"/>
        </w:rPr>
        <w:t xml:space="preserve">. </w:t>
      </w:r>
    </w:p>
    <w:p w14:paraId="7EF2607D" w14:textId="77777777" w:rsidR="002E3CD5" w:rsidRDefault="002E3CD5" w:rsidP="002E3CD5">
      <w:pPr>
        <w:spacing w:line="240" w:lineRule="auto"/>
        <w:rPr>
          <w:rFonts w:cs="Arial"/>
          <w:szCs w:val="22"/>
          <w:lang w:eastAsia="en-AU"/>
        </w:rPr>
      </w:pPr>
      <w:r>
        <w:rPr>
          <w:rFonts w:cs="Arial"/>
          <w:szCs w:val="22"/>
          <w:lang w:eastAsia="en-AU"/>
        </w:rPr>
        <w:t>H</w:t>
      </w:r>
      <w:r w:rsidRPr="00260B61">
        <w:rPr>
          <w:rFonts w:cs="Arial"/>
          <w:szCs w:val="22"/>
          <w:lang w:eastAsia="en-AU"/>
        </w:rPr>
        <w:t xml:space="preserve">ouse prices continued to rise at the same time as the bright-line </w:t>
      </w:r>
      <w:r w:rsidR="00376B19">
        <w:rPr>
          <w:rFonts w:cs="Arial"/>
          <w:szCs w:val="22"/>
          <w:lang w:eastAsia="en-AU"/>
        </w:rPr>
        <w:t xml:space="preserve">test </w:t>
      </w:r>
      <w:r w:rsidRPr="00260B61">
        <w:rPr>
          <w:rFonts w:cs="Arial"/>
          <w:szCs w:val="22"/>
          <w:lang w:eastAsia="en-AU"/>
        </w:rPr>
        <w:t xml:space="preserve">was introduced </w:t>
      </w:r>
      <w:r>
        <w:rPr>
          <w:rFonts w:cs="Arial"/>
          <w:szCs w:val="22"/>
          <w:lang w:eastAsia="en-AU"/>
        </w:rPr>
        <w:t xml:space="preserve">in 2015 </w:t>
      </w:r>
      <w:r w:rsidRPr="00260B61">
        <w:rPr>
          <w:rFonts w:cs="Arial"/>
          <w:szCs w:val="22"/>
          <w:lang w:eastAsia="en-AU"/>
        </w:rPr>
        <w:t xml:space="preserve">and extended in 2018, however it is not possible to determine whether they would have increased more in the absence of those policy changes or the extent of the impact that </w:t>
      </w:r>
      <w:r>
        <w:rPr>
          <w:rFonts w:cs="Arial"/>
          <w:szCs w:val="22"/>
          <w:lang w:eastAsia="en-AU"/>
        </w:rPr>
        <w:t xml:space="preserve">the bright-line </w:t>
      </w:r>
      <w:r w:rsidR="00376B19">
        <w:rPr>
          <w:rFonts w:cs="Arial"/>
          <w:szCs w:val="22"/>
          <w:lang w:eastAsia="en-AU"/>
        </w:rPr>
        <w:t xml:space="preserve">test </w:t>
      </w:r>
      <w:r>
        <w:rPr>
          <w:rFonts w:cs="Arial"/>
          <w:szCs w:val="22"/>
          <w:lang w:eastAsia="en-AU"/>
        </w:rPr>
        <w:t>may have had. It is difficult to predict the impact of a much lengthier extension.</w:t>
      </w:r>
    </w:p>
    <w:p w14:paraId="336C9924" w14:textId="77777777" w:rsidR="002E3CD5" w:rsidRDefault="002E3CD5" w:rsidP="002E3CD5">
      <w:pPr>
        <w:spacing w:line="240" w:lineRule="auto"/>
        <w:rPr>
          <w:rFonts w:cs="Arial"/>
          <w:szCs w:val="22"/>
          <w:lang w:eastAsia="en-AU"/>
        </w:rPr>
      </w:pPr>
      <w:r w:rsidRPr="00B473BC">
        <w:rPr>
          <w:rFonts w:cs="Arial"/>
          <w:szCs w:val="22"/>
          <w:lang w:eastAsia="en-AU"/>
        </w:rPr>
        <w:t>Existing property owners could</w:t>
      </w:r>
      <w:r>
        <w:rPr>
          <w:rFonts w:cs="Arial"/>
          <w:szCs w:val="22"/>
          <w:lang w:eastAsia="en-AU"/>
        </w:rPr>
        <w:t xml:space="preserve"> </w:t>
      </w:r>
      <w:r w:rsidRPr="00B473BC">
        <w:rPr>
          <w:rFonts w:cs="Arial"/>
          <w:szCs w:val="22"/>
          <w:lang w:eastAsia="en-AU"/>
        </w:rPr>
        <w:t>be negatively impacted if the</w:t>
      </w:r>
      <w:r>
        <w:rPr>
          <w:rFonts w:cs="Arial"/>
          <w:szCs w:val="22"/>
          <w:lang w:eastAsia="en-AU"/>
        </w:rPr>
        <w:t xml:space="preserve"> </w:t>
      </w:r>
      <w:r w:rsidRPr="00B473BC">
        <w:rPr>
          <w:rFonts w:cs="Arial"/>
          <w:szCs w:val="22"/>
          <w:lang w:eastAsia="en-AU"/>
        </w:rPr>
        <w:t>policy results in house prices</w:t>
      </w:r>
      <w:r>
        <w:rPr>
          <w:rFonts w:cs="Arial"/>
          <w:szCs w:val="22"/>
          <w:lang w:eastAsia="en-AU"/>
        </w:rPr>
        <w:t xml:space="preserve"> </w:t>
      </w:r>
      <w:r w:rsidRPr="00B473BC">
        <w:rPr>
          <w:rFonts w:cs="Arial"/>
          <w:szCs w:val="22"/>
          <w:lang w:eastAsia="en-AU"/>
        </w:rPr>
        <w:t>being lower than they would</w:t>
      </w:r>
      <w:r>
        <w:rPr>
          <w:rFonts w:cs="Arial"/>
          <w:szCs w:val="22"/>
          <w:lang w:eastAsia="en-AU"/>
        </w:rPr>
        <w:t xml:space="preserve"> </w:t>
      </w:r>
      <w:r w:rsidRPr="00B473BC">
        <w:rPr>
          <w:rFonts w:cs="Arial"/>
          <w:szCs w:val="22"/>
          <w:lang w:eastAsia="en-AU"/>
        </w:rPr>
        <w:t>have been otherwise.</w:t>
      </w:r>
      <w:r>
        <w:rPr>
          <w:rFonts w:cs="Arial"/>
          <w:szCs w:val="22"/>
          <w:lang w:eastAsia="en-AU"/>
        </w:rPr>
        <w:t xml:space="preserve">  </w:t>
      </w:r>
      <w:r w:rsidRPr="00B473BC">
        <w:rPr>
          <w:rFonts w:cs="Arial"/>
          <w:szCs w:val="22"/>
          <w:lang w:eastAsia="en-AU"/>
        </w:rPr>
        <w:t>Due to the lack of</w:t>
      </w:r>
      <w:r>
        <w:rPr>
          <w:rFonts w:cs="Arial"/>
          <w:szCs w:val="22"/>
          <w:lang w:eastAsia="en-AU"/>
        </w:rPr>
        <w:t xml:space="preserve"> </w:t>
      </w:r>
      <w:r w:rsidRPr="00B473BC">
        <w:rPr>
          <w:rFonts w:cs="Arial"/>
          <w:szCs w:val="22"/>
          <w:lang w:eastAsia="en-AU"/>
        </w:rPr>
        <w:t>empirical data, this impact</w:t>
      </w:r>
      <w:r>
        <w:rPr>
          <w:rFonts w:cs="Arial"/>
          <w:szCs w:val="22"/>
          <w:lang w:eastAsia="en-AU"/>
        </w:rPr>
        <w:t xml:space="preserve"> </w:t>
      </w:r>
      <w:r w:rsidRPr="00B473BC">
        <w:rPr>
          <w:rFonts w:cs="Arial"/>
          <w:szCs w:val="22"/>
          <w:lang w:eastAsia="en-AU"/>
        </w:rPr>
        <w:t>cannot be quantified.</w:t>
      </w:r>
    </w:p>
    <w:p w14:paraId="683BCC1F" w14:textId="77777777" w:rsidR="002E3CD5" w:rsidRDefault="002E3CD5" w:rsidP="002E3CD5">
      <w:pPr>
        <w:spacing w:line="240" w:lineRule="auto"/>
        <w:rPr>
          <w:rFonts w:cs="Arial"/>
          <w:szCs w:val="22"/>
          <w:lang w:eastAsia="en-AU"/>
        </w:rPr>
      </w:pPr>
      <w:r>
        <w:rPr>
          <w:rFonts w:cs="Arial"/>
          <w:szCs w:val="22"/>
          <w:lang w:eastAsia="en-AU"/>
        </w:rPr>
        <w:t>The price impact could</w:t>
      </w:r>
      <w:r w:rsidRPr="00220FF6">
        <w:rPr>
          <w:rFonts w:cs="Arial"/>
          <w:szCs w:val="22"/>
          <w:lang w:eastAsia="en-AU"/>
        </w:rPr>
        <w:t xml:space="preserve"> be moderat</w:t>
      </w:r>
      <w:r>
        <w:rPr>
          <w:rFonts w:cs="Arial"/>
          <w:szCs w:val="22"/>
          <w:lang w:eastAsia="en-AU"/>
        </w:rPr>
        <w:t>ed in the long run as there could</w:t>
      </w:r>
      <w:r w:rsidRPr="00220FF6">
        <w:rPr>
          <w:rFonts w:cs="Arial"/>
          <w:szCs w:val="22"/>
          <w:lang w:eastAsia="en-AU"/>
        </w:rPr>
        <w:t xml:space="preserve"> be a reduced incentive to build new houses. </w:t>
      </w:r>
      <w:r>
        <w:rPr>
          <w:rFonts w:cs="Arial"/>
          <w:szCs w:val="22"/>
          <w:lang w:eastAsia="en-AU"/>
        </w:rPr>
        <w:t xml:space="preserve"> T</w:t>
      </w:r>
      <w:r w:rsidRPr="00F77E9E">
        <w:rPr>
          <w:rFonts w:cs="Arial"/>
          <w:szCs w:val="22"/>
          <w:lang w:eastAsia="en-AU"/>
        </w:rPr>
        <w:t>he impacts on long</w:t>
      </w:r>
      <w:r>
        <w:rPr>
          <w:rFonts w:cs="Arial"/>
          <w:szCs w:val="22"/>
          <w:lang w:eastAsia="en-AU"/>
        </w:rPr>
        <w:t>-</w:t>
      </w:r>
      <w:r w:rsidRPr="00F77E9E">
        <w:rPr>
          <w:rFonts w:cs="Arial"/>
          <w:szCs w:val="22"/>
          <w:lang w:eastAsia="en-AU"/>
        </w:rPr>
        <w:t>run supply from this measure may be small as the supply of new houses is currently limited by regulatory, infrastructure and sector capacity constraints, and there is excess demand for new houses.</w:t>
      </w:r>
      <w:r>
        <w:rPr>
          <w:rFonts w:cs="Arial"/>
          <w:szCs w:val="22"/>
          <w:lang w:eastAsia="en-AU"/>
        </w:rPr>
        <w:t xml:space="preserve">  </w:t>
      </w:r>
      <w:r w:rsidRPr="00F77E9E">
        <w:rPr>
          <w:rFonts w:cs="Arial"/>
          <w:szCs w:val="22"/>
          <w:lang w:eastAsia="en-AU"/>
        </w:rPr>
        <w:t>Given the complexity and dysfunction in the housing market, the impact of demand-side tax measures on the long</w:t>
      </w:r>
      <w:r>
        <w:rPr>
          <w:rFonts w:cs="Arial"/>
          <w:szCs w:val="22"/>
          <w:lang w:eastAsia="en-AU"/>
        </w:rPr>
        <w:t>-</w:t>
      </w:r>
      <w:r w:rsidRPr="00F77E9E">
        <w:rPr>
          <w:rFonts w:cs="Arial"/>
          <w:szCs w:val="22"/>
          <w:lang w:eastAsia="en-AU"/>
        </w:rPr>
        <w:t xml:space="preserve">run supply of new houses is complex and uncertain.  </w:t>
      </w:r>
    </w:p>
    <w:p w14:paraId="5912BD7E" w14:textId="77777777" w:rsidR="002E3CD5" w:rsidRDefault="002E3CD5" w:rsidP="002E3CD5">
      <w:pPr>
        <w:spacing w:line="240" w:lineRule="auto"/>
        <w:rPr>
          <w:rFonts w:cs="Arial"/>
          <w:b/>
          <w:i/>
          <w:szCs w:val="22"/>
          <w:lang w:eastAsia="en-AU"/>
        </w:rPr>
      </w:pPr>
      <w:r>
        <w:rPr>
          <w:rFonts w:cs="Arial"/>
          <w:b/>
          <w:i/>
          <w:szCs w:val="22"/>
          <w:lang w:eastAsia="en-AU"/>
        </w:rPr>
        <w:t>Dampening investment demand</w:t>
      </w:r>
      <w:r w:rsidR="001803DF">
        <w:rPr>
          <w:rFonts w:cs="Arial"/>
          <w:b/>
          <w:i/>
          <w:szCs w:val="22"/>
          <w:lang w:eastAsia="en-AU"/>
        </w:rPr>
        <w:t xml:space="preserve"> </w:t>
      </w:r>
      <w:r w:rsidR="001803DF" w:rsidRPr="001803DF">
        <w:rPr>
          <w:rFonts w:cs="Arial"/>
          <w:b/>
          <w:i/>
          <w:szCs w:val="22"/>
          <w:lang w:eastAsia="en-AU"/>
        </w:rPr>
        <w:t>for existing housing stock</w:t>
      </w:r>
    </w:p>
    <w:p w14:paraId="3EFC6AC2" w14:textId="4C76C9A8" w:rsidR="002E3CD5" w:rsidRPr="00020ABF" w:rsidRDefault="002E3CD5" w:rsidP="002E3CD5">
      <w:pPr>
        <w:spacing w:line="240" w:lineRule="auto"/>
        <w:rPr>
          <w:rFonts w:eastAsia="Calibri" w:cs="Arial"/>
        </w:rPr>
      </w:pPr>
      <w:r w:rsidRPr="00302AC3">
        <w:rPr>
          <w:rFonts w:cs="Arial"/>
        </w:rPr>
        <w:t xml:space="preserve">Extending the bright-line test </w:t>
      </w:r>
      <w:r w:rsidR="00E52224">
        <w:rPr>
          <w:rFonts w:cs="Arial"/>
        </w:rPr>
        <w:t xml:space="preserve">to 20 years </w:t>
      </w:r>
      <w:r w:rsidRPr="00302AC3">
        <w:rPr>
          <w:rFonts w:cs="Arial"/>
        </w:rPr>
        <w:t>would increase the expected tax paid by property investors, compared with the status quo</w:t>
      </w:r>
      <w:r w:rsidR="00C81241">
        <w:rPr>
          <w:rFonts w:cs="Arial"/>
        </w:rPr>
        <w:t>, and therefore</w:t>
      </w:r>
      <w:r>
        <w:rPr>
          <w:rFonts w:cs="Arial"/>
        </w:rPr>
        <w:t xml:space="preserve"> </w:t>
      </w:r>
      <w:r w:rsidRPr="00302AC3">
        <w:rPr>
          <w:rFonts w:cs="Arial"/>
        </w:rPr>
        <w:t xml:space="preserve">would discourage </w:t>
      </w:r>
      <w:r>
        <w:rPr>
          <w:rFonts w:cs="Arial"/>
        </w:rPr>
        <w:t xml:space="preserve">residential </w:t>
      </w:r>
      <w:r w:rsidRPr="00302AC3">
        <w:rPr>
          <w:rFonts w:cs="Arial"/>
        </w:rPr>
        <w:t>property investment</w:t>
      </w:r>
      <w:r w:rsidR="005B6E67">
        <w:rPr>
          <w:rFonts w:cs="Arial"/>
        </w:rPr>
        <w:t xml:space="preserve"> (including for new builds)</w:t>
      </w:r>
      <w:r w:rsidRPr="00302AC3">
        <w:rPr>
          <w:rFonts w:cs="Arial"/>
        </w:rPr>
        <w:t>.</w:t>
      </w:r>
      <w:r>
        <w:rPr>
          <w:rFonts w:eastAsia="Calibri" w:cs="Arial"/>
        </w:rPr>
        <w:t xml:space="preserve"> </w:t>
      </w:r>
      <w:r w:rsidRPr="001A7356">
        <w:rPr>
          <w:rFonts w:eastAsia="Calibri" w:cs="Arial"/>
        </w:rPr>
        <w:t>However, the impact on residential property investors</w:t>
      </w:r>
      <w:r w:rsidR="00E52224">
        <w:rPr>
          <w:rFonts w:eastAsia="Calibri" w:cs="Arial"/>
        </w:rPr>
        <w:t>’</w:t>
      </w:r>
      <w:r>
        <w:rPr>
          <w:rFonts w:eastAsia="Calibri" w:cs="Arial"/>
        </w:rPr>
        <w:t xml:space="preserve"> </w:t>
      </w:r>
      <w:r w:rsidRPr="001A7356">
        <w:rPr>
          <w:rFonts w:eastAsia="Calibri" w:cs="Arial"/>
        </w:rPr>
        <w:t xml:space="preserve">is strongly </w:t>
      </w:r>
      <w:r>
        <w:rPr>
          <w:rFonts w:eastAsia="Calibri" w:cs="Arial"/>
        </w:rPr>
        <w:t>dependent</w:t>
      </w:r>
      <w:r w:rsidRPr="001A7356">
        <w:rPr>
          <w:rFonts w:eastAsia="Calibri" w:cs="Arial"/>
        </w:rPr>
        <w:t xml:space="preserve"> on the behavioural responses and on the availabi</w:t>
      </w:r>
      <w:r w:rsidRPr="005D1F6D">
        <w:rPr>
          <w:rFonts w:eastAsia="Calibri" w:cs="Arial"/>
        </w:rPr>
        <w:t>lity of higher-yielding alternative</w:t>
      </w:r>
      <w:r w:rsidRPr="00020ABF">
        <w:rPr>
          <w:rFonts w:eastAsia="Calibri" w:cs="Arial"/>
        </w:rPr>
        <w:t xml:space="preserve"> investment options.</w:t>
      </w:r>
      <w:r>
        <w:rPr>
          <w:rFonts w:eastAsia="Calibri" w:cs="Arial"/>
        </w:rPr>
        <w:t xml:space="preserve"> It may also encourage potential investors to increase their investment in their main home, the gains from which will remain tax-free.</w:t>
      </w:r>
    </w:p>
    <w:p w14:paraId="74986219" w14:textId="77777777" w:rsidR="002E3CD5" w:rsidRDefault="002E3CD5" w:rsidP="002E3CD5">
      <w:pPr>
        <w:spacing w:line="240" w:lineRule="auto"/>
        <w:rPr>
          <w:rFonts w:cs="Arial"/>
          <w:b/>
          <w:i/>
          <w:szCs w:val="22"/>
          <w:lang w:eastAsia="en-AU"/>
        </w:rPr>
      </w:pPr>
      <w:r>
        <w:rPr>
          <w:rFonts w:cs="Arial"/>
          <w:b/>
          <w:i/>
          <w:szCs w:val="22"/>
          <w:lang w:eastAsia="en-AU"/>
        </w:rPr>
        <w:t>I</w:t>
      </w:r>
      <w:r w:rsidRPr="00835D3C">
        <w:rPr>
          <w:rFonts w:cs="Arial"/>
          <w:b/>
          <w:i/>
          <w:szCs w:val="22"/>
          <w:lang w:eastAsia="en-AU"/>
        </w:rPr>
        <w:t>mprove affordability in the rental market</w:t>
      </w:r>
    </w:p>
    <w:p w14:paraId="14F8602E" w14:textId="77777777" w:rsidR="002E3CD5" w:rsidRDefault="002E3CD5" w:rsidP="002E3CD5">
      <w:pPr>
        <w:spacing w:line="240" w:lineRule="auto"/>
        <w:rPr>
          <w:rFonts w:cs="Arial"/>
          <w:szCs w:val="22"/>
          <w:lang w:eastAsia="en-AU"/>
        </w:rPr>
      </w:pPr>
      <w:r w:rsidRPr="00F77E9E">
        <w:rPr>
          <w:rFonts w:cs="Arial"/>
          <w:szCs w:val="22"/>
          <w:lang w:eastAsia="en-AU"/>
        </w:rPr>
        <w:t>There is potential</w:t>
      </w:r>
      <w:r>
        <w:rPr>
          <w:rFonts w:cs="Arial"/>
          <w:szCs w:val="22"/>
          <w:lang w:eastAsia="en-AU"/>
        </w:rPr>
        <w:t xml:space="preserve"> for an extension to the bright-</w:t>
      </w:r>
      <w:r w:rsidRPr="00F77E9E">
        <w:rPr>
          <w:rFonts w:cs="Arial"/>
          <w:szCs w:val="22"/>
          <w:lang w:eastAsia="en-AU"/>
        </w:rPr>
        <w:t xml:space="preserve">line test to reduce investor demand for new </w:t>
      </w:r>
      <w:r>
        <w:rPr>
          <w:rFonts w:cs="Arial"/>
          <w:szCs w:val="22"/>
          <w:lang w:eastAsia="en-AU"/>
        </w:rPr>
        <w:t xml:space="preserve">rental </w:t>
      </w:r>
      <w:r w:rsidRPr="00F77E9E">
        <w:rPr>
          <w:rFonts w:cs="Arial"/>
          <w:szCs w:val="22"/>
          <w:lang w:eastAsia="en-AU"/>
        </w:rPr>
        <w:t>supply</w:t>
      </w:r>
      <w:r>
        <w:rPr>
          <w:rFonts w:cs="Arial"/>
          <w:szCs w:val="22"/>
          <w:lang w:eastAsia="en-AU"/>
        </w:rPr>
        <w:t>, compared with the status quo</w:t>
      </w:r>
      <w:r w:rsidRPr="00F77E9E">
        <w:rPr>
          <w:rFonts w:cs="Arial"/>
          <w:szCs w:val="22"/>
          <w:lang w:eastAsia="en-AU"/>
        </w:rPr>
        <w:t xml:space="preserve">. </w:t>
      </w:r>
      <w:r>
        <w:t>Even if there were no long</w:t>
      </w:r>
      <w:r w:rsidR="00B909C7">
        <w:t>-</w:t>
      </w:r>
      <w:r>
        <w:t xml:space="preserve">run reduction in new builds, the bright-line extension may potentially put upward pressure on rents as some of the increase in tax may </w:t>
      </w:r>
      <w:r w:rsidRPr="000F45B4">
        <w:rPr>
          <w:rFonts w:eastAsia="Calibri" w:cs="Arial"/>
        </w:rPr>
        <w:t>be</w:t>
      </w:r>
      <w:r>
        <w:t xml:space="preserve"> passed onto renters either directly (through higher rents) or through a reduction in rental supply as fewer properties are purchased by investor landlords in the future. </w:t>
      </w:r>
    </w:p>
    <w:p w14:paraId="178E8B5F" w14:textId="77777777" w:rsidR="002E3CD5" w:rsidRDefault="007952B9" w:rsidP="002E3CD5">
      <w:pPr>
        <w:spacing w:line="240" w:lineRule="auto"/>
        <w:rPr>
          <w:rFonts w:cs="Arial"/>
          <w:szCs w:val="22"/>
          <w:lang w:eastAsia="en-AU"/>
        </w:rPr>
      </w:pPr>
      <w:r>
        <w:rPr>
          <w:rFonts w:cs="Arial"/>
          <w:szCs w:val="22"/>
          <w:lang w:eastAsia="en-AU"/>
        </w:rPr>
        <w:t xml:space="preserve">Alternatively, to the extent that rents are set by income levels, they may not significantly increase as a result of this policy. </w:t>
      </w:r>
      <w:r w:rsidR="002E3CD5">
        <w:rPr>
          <w:rFonts w:cs="Arial"/>
          <w:szCs w:val="22"/>
          <w:lang w:eastAsia="en-AU"/>
        </w:rPr>
        <w:t xml:space="preserve">However, as noted above, this depends on behavioural responses and features of the rental market. </w:t>
      </w:r>
    </w:p>
    <w:p w14:paraId="52857A00" w14:textId="5A406D88" w:rsidR="002E3CD5" w:rsidRDefault="002E3CD5" w:rsidP="002E3CD5">
      <w:pPr>
        <w:spacing w:line="240" w:lineRule="auto"/>
        <w:rPr>
          <w:rFonts w:cs="Arial"/>
          <w:szCs w:val="22"/>
          <w:lang w:eastAsia="en-AU"/>
        </w:rPr>
      </w:pPr>
      <w:r>
        <w:rPr>
          <w:rFonts w:cs="Arial"/>
          <w:szCs w:val="22"/>
          <w:lang w:eastAsia="en-AU"/>
        </w:rPr>
        <w:t xml:space="preserve">If this policy were to result in increased rents and reduced rental supply, it could impact on living standards if </w:t>
      </w:r>
      <w:r w:rsidRPr="000F45B4">
        <w:t>tenants</w:t>
      </w:r>
      <w:r>
        <w:rPr>
          <w:rFonts w:cs="Arial"/>
          <w:szCs w:val="22"/>
          <w:lang w:eastAsia="en-AU"/>
        </w:rPr>
        <w:t xml:space="preserve"> </w:t>
      </w:r>
      <w:r w:rsidR="001B61F2">
        <w:rPr>
          <w:rFonts w:cs="Arial"/>
          <w:szCs w:val="22"/>
          <w:lang w:eastAsia="en-AU"/>
        </w:rPr>
        <w:t xml:space="preserve">spend a large proportion of their income on housing. Specifically, </w:t>
      </w:r>
      <w:r w:rsidR="00C81241">
        <w:rPr>
          <w:rFonts w:cs="Arial"/>
          <w:szCs w:val="22"/>
          <w:lang w:eastAsia="en-AU"/>
        </w:rPr>
        <w:t>rent to income</w:t>
      </w:r>
      <w:r w:rsidR="00945CF6">
        <w:rPr>
          <w:rFonts w:cs="Arial"/>
          <w:szCs w:val="22"/>
          <w:lang w:eastAsia="en-AU"/>
        </w:rPr>
        <w:t xml:space="preserve"> ratios</w:t>
      </w:r>
      <w:r w:rsidR="00C81241">
        <w:rPr>
          <w:rFonts w:cs="Arial"/>
          <w:szCs w:val="22"/>
          <w:lang w:eastAsia="en-AU"/>
        </w:rPr>
        <w:t xml:space="preserve"> may increase</w:t>
      </w:r>
      <w:r w:rsidR="00945CF6">
        <w:rPr>
          <w:rFonts w:cs="Arial"/>
          <w:szCs w:val="22"/>
          <w:lang w:eastAsia="en-AU"/>
        </w:rPr>
        <w:t>,</w:t>
      </w:r>
      <w:r w:rsidR="00C81241">
        <w:rPr>
          <w:rFonts w:cs="Arial"/>
          <w:szCs w:val="22"/>
          <w:lang w:eastAsia="en-AU"/>
        </w:rPr>
        <w:t xml:space="preserve"> or </w:t>
      </w:r>
      <w:r w:rsidR="001B61F2">
        <w:rPr>
          <w:rFonts w:cs="Arial"/>
          <w:szCs w:val="22"/>
          <w:lang w:eastAsia="en-AU"/>
        </w:rPr>
        <w:t xml:space="preserve">tenants could be </w:t>
      </w:r>
      <w:r>
        <w:rPr>
          <w:rFonts w:cs="Arial"/>
          <w:szCs w:val="22"/>
          <w:lang w:eastAsia="en-AU"/>
        </w:rPr>
        <w:t xml:space="preserve">forced to live in premises that are not </w:t>
      </w:r>
      <w:r w:rsidRPr="00E52DB9">
        <w:rPr>
          <w:rFonts w:cs="Arial"/>
          <w:szCs w:val="22"/>
          <w:lang w:eastAsia="en-AU"/>
        </w:rPr>
        <w:t>suitable for the occupants or t</w:t>
      </w:r>
      <w:r>
        <w:rPr>
          <w:rFonts w:cs="Arial"/>
          <w:szCs w:val="22"/>
          <w:lang w:eastAsia="en-AU"/>
        </w:rPr>
        <w:t>he number of occupants, and in extreme cases, could cause homelessness</w:t>
      </w:r>
      <w:r w:rsidRPr="00E52DB9">
        <w:rPr>
          <w:rFonts w:cs="Arial"/>
          <w:szCs w:val="22"/>
          <w:lang w:eastAsia="en-AU"/>
        </w:rPr>
        <w:t xml:space="preserve">. </w:t>
      </w:r>
      <w:r>
        <w:rPr>
          <w:rFonts w:cs="Arial"/>
          <w:szCs w:val="22"/>
          <w:lang w:eastAsia="en-AU"/>
        </w:rPr>
        <w:t xml:space="preserve">Higher rents would decrease financial, social, and human capital stocks for renters. </w:t>
      </w:r>
      <w:r w:rsidRPr="00526787">
        <w:rPr>
          <w:rFonts w:cs="Arial"/>
          <w:szCs w:val="22"/>
          <w:lang w:eastAsia="en-AU"/>
        </w:rPr>
        <w:t>In this context, financial capital refers to</w:t>
      </w:r>
      <w:r>
        <w:rPr>
          <w:rFonts w:cs="Arial"/>
          <w:szCs w:val="22"/>
          <w:lang w:eastAsia="en-AU"/>
        </w:rPr>
        <w:t xml:space="preserve"> the accumulation of </w:t>
      </w:r>
      <w:r w:rsidRPr="00526787">
        <w:rPr>
          <w:rFonts w:cs="Arial"/>
          <w:szCs w:val="22"/>
          <w:lang w:eastAsia="en-AU"/>
        </w:rPr>
        <w:t xml:space="preserve">assets by the person. Social capital refers to the social connections that contribute to societal wellbeing by </w:t>
      </w:r>
      <w:r w:rsidRPr="00526787">
        <w:rPr>
          <w:rFonts w:cs="Arial"/>
          <w:szCs w:val="22"/>
          <w:lang w:eastAsia="en-AU"/>
        </w:rPr>
        <w:lastRenderedPageBreak/>
        <w:t>promoting coordination and collaboration between people and groups in society.</w:t>
      </w:r>
      <w:r>
        <w:rPr>
          <w:rFonts w:cs="Arial"/>
          <w:szCs w:val="22"/>
          <w:lang w:eastAsia="en-AU"/>
        </w:rPr>
        <w:t xml:space="preserve"> </w:t>
      </w:r>
      <w:r w:rsidRPr="00526787">
        <w:rPr>
          <w:rFonts w:cs="Arial"/>
          <w:szCs w:val="22"/>
          <w:lang w:eastAsia="en-AU"/>
        </w:rPr>
        <w:t>The more secure a person’s housing is, the more likely they are to make those connections.</w:t>
      </w:r>
      <w:r w:rsidRPr="00243DDA">
        <w:rPr>
          <w:rFonts w:cs="Arial"/>
          <w:szCs w:val="22"/>
          <w:lang w:eastAsia="en-AU"/>
        </w:rPr>
        <w:t xml:space="preserve"> </w:t>
      </w:r>
      <w:r>
        <w:rPr>
          <w:rFonts w:cs="Arial"/>
          <w:szCs w:val="22"/>
          <w:lang w:eastAsia="en-AU"/>
        </w:rPr>
        <w:t>Human capital includes health, which could be negatively affected by additional crowding.</w:t>
      </w:r>
    </w:p>
    <w:p w14:paraId="65A63E92" w14:textId="77777777" w:rsidR="002E3CD5" w:rsidRDefault="002E3CD5" w:rsidP="002E3CD5">
      <w:pPr>
        <w:spacing w:line="240" w:lineRule="auto"/>
        <w:rPr>
          <w:rFonts w:cs="Arial"/>
          <w:szCs w:val="22"/>
          <w:lang w:eastAsia="en-AU"/>
        </w:rPr>
      </w:pPr>
      <w:r>
        <w:rPr>
          <w:rFonts w:cs="Arial"/>
          <w:szCs w:val="22"/>
          <w:lang w:eastAsia="en-AU"/>
        </w:rPr>
        <w:t xml:space="preserve">To the extent that proposals place upward pressure on rents, this appears more likely to disproportionately impact low-income households, younger people, </w:t>
      </w:r>
      <w:r w:rsidR="00231FD6">
        <w:rPr>
          <w:rFonts w:cs="Arial"/>
          <w:szCs w:val="22"/>
          <w:lang w:eastAsia="en-AU"/>
        </w:rPr>
        <w:t>Māori</w:t>
      </w:r>
      <w:r>
        <w:rPr>
          <w:rFonts w:cs="Arial"/>
          <w:szCs w:val="22"/>
          <w:lang w:eastAsia="en-AU"/>
        </w:rPr>
        <w:t>, and Pacific peoples, who are less likely to own their home relative to the general population. In addition, as around 43% of children are living in rental accommodation, upward pressure on rents could have negative impacts on child wellbeing and child poverty.</w:t>
      </w:r>
      <w:r w:rsidR="002A3558">
        <w:rPr>
          <w:rFonts w:cs="Arial"/>
          <w:szCs w:val="22"/>
          <w:lang w:eastAsia="en-AU"/>
        </w:rPr>
        <w:t xml:space="preserve"> Increases in rents may also lead to an increase in spending on the accommodation supplement and temporary additional support although it is difficult to quantify this impact at this stage.</w:t>
      </w:r>
    </w:p>
    <w:p w14:paraId="35BB4872" w14:textId="77777777" w:rsidR="002E3CD5" w:rsidRPr="00AE71AC" w:rsidRDefault="002E3CD5" w:rsidP="002E3CD5">
      <w:pPr>
        <w:spacing w:line="240" w:lineRule="auto"/>
        <w:rPr>
          <w:b/>
          <w:i/>
          <w:lang w:eastAsia="en-AU"/>
        </w:rPr>
      </w:pPr>
      <w:r w:rsidRPr="000F45B4">
        <w:rPr>
          <w:b/>
          <w:i/>
          <w:lang w:eastAsia="en-AU"/>
        </w:rPr>
        <w:t>Efficiency</w:t>
      </w:r>
    </w:p>
    <w:p w14:paraId="6CD71C59" w14:textId="77777777" w:rsidR="002E3CD5" w:rsidRPr="00AE71AC" w:rsidRDefault="002E3CD5" w:rsidP="002E3CD5">
      <w:pPr>
        <w:tabs>
          <w:tab w:val="left" w:pos="2550"/>
        </w:tabs>
        <w:spacing w:after="120" w:line="240" w:lineRule="auto"/>
        <w:rPr>
          <w:b/>
          <w:i/>
          <w:lang w:eastAsia="en-AU"/>
        </w:rPr>
      </w:pPr>
      <w:r w:rsidRPr="00AE71AC">
        <w:rPr>
          <w:i/>
          <w:szCs w:val="22"/>
        </w:rPr>
        <w:t>Taxing more economic income</w:t>
      </w:r>
    </w:p>
    <w:p w14:paraId="1367617E" w14:textId="77777777" w:rsidR="002E3CD5" w:rsidRPr="00AE71AC" w:rsidRDefault="002E3CD5" w:rsidP="002E3CD5">
      <w:pPr>
        <w:spacing w:line="240" w:lineRule="auto"/>
      </w:pPr>
      <w:r w:rsidRPr="00AE71AC">
        <w:rPr>
          <w:szCs w:val="22"/>
        </w:rPr>
        <w:t>Taxing more capital gains through extending the bright-line period could have efficiency benefits by ensuring that more economic income is taxed.</w:t>
      </w:r>
      <w:r>
        <w:rPr>
          <w:szCs w:val="22"/>
        </w:rPr>
        <w:t xml:space="preserve"> </w:t>
      </w:r>
      <w:r w:rsidRPr="006335E0">
        <w:rPr>
          <w:szCs w:val="22"/>
        </w:rPr>
        <w:t xml:space="preserve">In other words, it would bring the taxation of investment in residential properties </w:t>
      </w:r>
      <w:r w:rsidR="00E138FC">
        <w:rPr>
          <w:szCs w:val="22"/>
        </w:rPr>
        <w:t xml:space="preserve">more </w:t>
      </w:r>
      <w:r w:rsidRPr="006335E0">
        <w:rPr>
          <w:szCs w:val="22"/>
        </w:rPr>
        <w:t xml:space="preserve">in line with the taxation of other investment income that </w:t>
      </w:r>
      <w:r w:rsidRPr="000F45B4">
        <w:rPr>
          <w:rFonts w:cs="Arial"/>
          <w:szCs w:val="22"/>
          <w:lang w:eastAsia="en-AU"/>
        </w:rPr>
        <w:t>does</w:t>
      </w:r>
      <w:r w:rsidRPr="006335E0">
        <w:rPr>
          <w:szCs w:val="22"/>
        </w:rPr>
        <w:t xml:space="preserve"> not earn capital gains, such as interest income.</w:t>
      </w:r>
      <w:r>
        <w:rPr>
          <w:szCs w:val="22"/>
        </w:rPr>
        <w:t xml:space="preserve"> This could improve allocative efficiency to the extent there is more consistent taxation between residential property and some other investment classes. This means investors will be making choices on the basis of actual differences in returns between assets, rather than one generated by tax advantages. </w:t>
      </w:r>
    </w:p>
    <w:p w14:paraId="0013ECA1" w14:textId="4E7CE5C7" w:rsidR="002E3CD5" w:rsidRDefault="002E3CD5" w:rsidP="002E3CD5">
      <w:pPr>
        <w:spacing w:line="240" w:lineRule="auto"/>
        <w:rPr>
          <w:szCs w:val="22"/>
        </w:rPr>
      </w:pPr>
      <w:r w:rsidRPr="00AE71AC">
        <w:t>However, in line with the status quo, i</w:t>
      </w:r>
      <w:r w:rsidRPr="00AE71AC">
        <w:rPr>
          <w:szCs w:val="22"/>
        </w:rPr>
        <w:t>t would not apply to many other gains</w:t>
      </w:r>
      <w:r w:rsidR="00E138FC">
        <w:rPr>
          <w:szCs w:val="22"/>
        </w:rPr>
        <w:t>,</w:t>
      </w:r>
      <w:r w:rsidRPr="00AE71AC">
        <w:rPr>
          <w:szCs w:val="22"/>
        </w:rPr>
        <w:t xml:space="preserve"> including those on listed shares, agricultural land, commercial or industrial property</w:t>
      </w:r>
      <w:r w:rsidR="00E138FC">
        <w:rPr>
          <w:szCs w:val="22"/>
        </w:rPr>
        <w:t>,</w:t>
      </w:r>
      <w:r w:rsidRPr="00AE71AC">
        <w:rPr>
          <w:szCs w:val="22"/>
        </w:rPr>
        <w:t xml:space="preserve"> or to the sale of businesses.  </w:t>
      </w:r>
      <w:r w:rsidRPr="000F45B4">
        <w:rPr>
          <w:rFonts w:cs="Arial"/>
          <w:szCs w:val="22"/>
          <w:lang w:eastAsia="en-AU"/>
        </w:rPr>
        <w:t>Because</w:t>
      </w:r>
      <w:r w:rsidRPr="00AE71AC">
        <w:rPr>
          <w:szCs w:val="22"/>
        </w:rPr>
        <w:t xml:space="preserve"> it would apply to gains on only </w:t>
      </w:r>
      <w:r>
        <w:rPr>
          <w:szCs w:val="22"/>
        </w:rPr>
        <w:t>one</w:t>
      </w:r>
      <w:r w:rsidRPr="00AE71AC">
        <w:rPr>
          <w:szCs w:val="22"/>
        </w:rPr>
        <w:t xml:space="preserve"> category of property (albeit</w:t>
      </w:r>
      <w:r w:rsidR="00CE7F15">
        <w:rPr>
          <w:szCs w:val="22"/>
        </w:rPr>
        <w:t xml:space="preserve"> a</w:t>
      </w:r>
      <w:r w:rsidRPr="00AE71AC">
        <w:rPr>
          <w:szCs w:val="22"/>
        </w:rPr>
        <w:t xml:space="preserve"> very high value</w:t>
      </w:r>
      <w:r w:rsidR="00CE7F15">
        <w:rPr>
          <w:szCs w:val="22"/>
        </w:rPr>
        <w:t xml:space="preserve"> category</w:t>
      </w:r>
      <w:r w:rsidRPr="00AE71AC">
        <w:rPr>
          <w:szCs w:val="22"/>
        </w:rPr>
        <w:t xml:space="preserve">), </w:t>
      </w:r>
      <w:r>
        <w:rPr>
          <w:szCs w:val="22"/>
        </w:rPr>
        <w:t>it would have smaller potential efficiency gains than a comprehensive capital gains tax.</w:t>
      </w:r>
    </w:p>
    <w:p w14:paraId="17698567" w14:textId="77777777" w:rsidR="002E3CD5" w:rsidRPr="004B7918" w:rsidRDefault="002E3CD5" w:rsidP="002E3CD5">
      <w:pPr>
        <w:tabs>
          <w:tab w:val="left" w:pos="2550"/>
        </w:tabs>
        <w:spacing w:after="120" w:line="240" w:lineRule="auto"/>
        <w:rPr>
          <w:rFonts w:cs="Arial"/>
          <w:i/>
          <w:szCs w:val="22"/>
          <w:lang w:eastAsia="en-AU"/>
        </w:rPr>
      </w:pPr>
      <w:r>
        <w:rPr>
          <w:rFonts w:cs="Arial"/>
          <w:i/>
          <w:szCs w:val="22"/>
          <w:lang w:eastAsia="en-AU"/>
        </w:rPr>
        <w:t>Lock-in i</w:t>
      </w:r>
      <w:r w:rsidRPr="004B7918">
        <w:rPr>
          <w:rFonts w:cs="Arial"/>
          <w:i/>
          <w:szCs w:val="22"/>
          <w:lang w:eastAsia="en-AU"/>
        </w:rPr>
        <w:t xml:space="preserve">mpacts of </w:t>
      </w:r>
      <w:r>
        <w:rPr>
          <w:rFonts w:cs="Arial"/>
          <w:i/>
          <w:szCs w:val="22"/>
          <w:lang w:eastAsia="en-AU"/>
        </w:rPr>
        <w:t xml:space="preserve">extending </w:t>
      </w:r>
      <w:r w:rsidRPr="000F45B4">
        <w:rPr>
          <w:i/>
          <w:szCs w:val="22"/>
        </w:rPr>
        <w:t>the</w:t>
      </w:r>
      <w:r>
        <w:rPr>
          <w:rFonts w:cs="Arial"/>
          <w:i/>
          <w:szCs w:val="22"/>
          <w:lang w:eastAsia="en-AU"/>
        </w:rPr>
        <w:t xml:space="preserve"> bright-line period</w:t>
      </w:r>
    </w:p>
    <w:p w14:paraId="462F7AA3" w14:textId="77777777" w:rsidR="002E3CD5" w:rsidRDefault="002E3CD5" w:rsidP="002E3CD5">
      <w:pPr>
        <w:spacing w:line="240" w:lineRule="auto"/>
        <w:rPr>
          <w:rFonts w:cs="Arial"/>
          <w:szCs w:val="22"/>
          <w:lang w:eastAsia="en-AU"/>
        </w:rPr>
      </w:pPr>
      <w:r>
        <w:rPr>
          <w:rFonts w:cs="Arial"/>
          <w:szCs w:val="22"/>
          <w:lang w:eastAsia="en-AU"/>
        </w:rPr>
        <w:t>E</w:t>
      </w:r>
      <w:r w:rsidRPr="00BF1709">
        <w:rPr>
          <w:rFonts w:cs="Arial"/>
          <w:szCs w:val="22"/>
          <w:lang w:eastAsia="en-AU"/>
        </w:rPr>
        <w:t xml:space="preserve">xtending the bright-line test </w:t>
      </w:r>
      <w:r>
        <w:rPr>
          <w:rFonts w:cs="Arial"/>
          <w:szCs w:val="22"/>
          <w:lang w:eastAsia="en-AU"/>
        </w:rPr>
        <w:t xml:space="preserve">would extend the </w:t>
      </w:r>
      <w:r w:rsidRPr="00BF1709">
        <w:rPr>
          <w:rFonts w:cs="Arial"/>
          <w:szCs w:val="22"/>
          <w:lang w:eastAsia="en-AU"/>
        </w:rPr>
        <w:t>‘lock-in’ effect for propert</w:t>
      </w:r>
      <w:r>
        <w:rPr>
          <w:rFonts w:cs="Arial"/>
          <w:szCs w:val="22"/>
          <w:lang w:eastAsia="en-AU"/>
        </w:rPr>
        <w:t xml:space="preserve">ies held for a longer period, compared with the status quo. </w:t>
      </w:r>
      <w:r w:rsidR="002A3558">
        <w:rPr>
          <w:rFonts w:cs="Arial"/>
          <w:szCs w:val="22"/>
          <w:lang w:eastAsia="en-AU"/>
        </w:rPr>
        <w:t xml:space="preserve">However, </w:t>
      </w:r>
      <w:r w:rsidR="002A3558">
        <w:rPr>
          <w:szCs w:val="22"/>
        </w:rPr>
        <w:t>t</w:t>
      </w:r>
      <w:r>
        <w:rPr>
          <w:szCs w:val="22"/>
        </w:rPr>
        <w:t>here could be competing effects on lock-in from extending the bright-line test, provided the extension is for a sufficiently long period</w:t>
      </w:r>
      <w:r w:rsidR="002A3558">
        <w:rPr>
          <w:szCs w:val="22"/>
        </w:rPr>
        <w:t xml:space="preserve"> (discussed below)</w:t>
      </w:r>
      <w:r>
        <w:rPr>
          <w:szCs w:val="22"/>
        </w:rPr>
        <w:t>.</w:t>
      </w:r>
      <w:r w:rsidR="006E1644">
        <w:rPr>
          <w:szCs w:val="22"/>
        </w:rPr>
        <w:t xml:space="preserve"> </w:t>
      </w:r>
    </w:p>
    <w:p w14:paraId="2680ABE2" w14:textId="33A20154" w:rsidR="002E3CD5" w:rsidRDefault="002E3CD5" w:rsidP="002E3CD5">
      <w:pPr>
        <w:spacing w:line="240" w:lineRule="auto"/>
        <w:rPr>
          <w:rFonts w:cs="Arial"/>
          <w:szCs w:val="22"/>
          <w:lang w:eastAsia="en-AU"/>
        </w:rPr>
      </w:pPr>
      <w:r>
        <w:rPr>
          <w:rFonts w:cs="Arial"/>
          <w:szCs w:val="22"/>
          <w:lang w:eastAsia="en-AU"/>
        </w:rPr>
        <w:t>The lock-in</w:t>
      </w:r>
      <w:r w:rsidRPr="00BF1709">
        <w:rPr>
          <w:rFonts w:cs="Arial"/>
          <w:szCs w:val="22"/>
          <w:lang w:eastAsia="en-AU"/>
        </w:rPr>
        <w:t xml:space="preserve"> is the incentive for residential property investors to hold property for longer to avoid the tax liability.</w:t>
      </w:r>
      <w:r>
        <w:rPr>
          <w:rFonts w:cs="Arial"/>
          <w:szCs w:val="22"/>
          <w:lang w:eastAsia="en-AU"/>
        </w:rPr>
        <w:t xml:space="preserve"> This</w:t>
      </w:r>
      <w:r w:rsidR="001B1CBA">
        <w:rPr>
          <w:rFonts w:cs="Arial"/>
          <w:szCs w:val="22"/>
          <w:lang w:eastAsia="en-AU"/>
        </w:rPr>
        <w:t xml:space="preserve"> potentially has economic costs</w:t>
      </w:r>
      <w:r w:rsidRPr="00BF1709">
        <w:rPr>
          <w:rFonts w:cs="Arial"/>
          <w:szCs w:val="22"/>
          <w:lang w:eastAsia="en-AU"/>
        </w:rPr>
        <w:t xml:space="preserve">, as it may discourage </w:t>
      </w:r>
      <w:r w:rsidRPr="000F45B4">
        <w:rPr>
          <w:szCs w:val="22"/>
        </w:rPr>
        <w:t>people</w:t>
      </w:r>
      <w:r w:rsidRPr="00BF1709">
        <w:rPr>
          <w:rFonts w:cs="Arial"/>
          <w:szCs w:val="22"/>
          <w:lang w:eastAsia="en-AU"/>
        </w:rPr>
        <w:t xml:space="preserve"> selling property to others who may put it to more productive use, such as housing intensification or a higher utilisation rate.</w:t>
      </w:r>
      <w:r>
        <w:t xml:space="preserve"> </w:t>
      </w:r>
      <w:r w:rsidRPr="001D2740">
        <w:rPr>
          <w:rFonts w:cs="Arial"/>
          <w:szCs w:val="22"/>
          <w:lang w:eastAsia="en-AU"/>
        </w:rPr>
        <w:t>It may also impact the allocation of investment as individuals may retain rental properties even when they wished to change investments, such as starting a new business.</w:t>
      </w:r>
    </w:p>
    <w:p w14:paraId="314EB73F" w14:textId="3CA95BB2" w:rsidR="002E3CD5" w:rsidRDefault="002E3CD5" w:rsidP="002E3CD5">
      <w:pPr>
        <w:spacing w:line="240" w:lineRule="auto"/>
        <w:rPr>
          <w:rFonts w:cs="Arial"/>
          <w:szCs w:val="22"/>
          <w:lang w:eastAsia="en-AU"/>
        </w:rPr>
      </w:pPr>
      <w:r w:rsidRPr="001D2740">
        <w:rPr>
          <w:rFonts w:cs="Arial"/>
          <w:szCs w:val="22"/>
          <w:lang w:eastAsia="en-AU"/>
        </w:rPr>
        <w:t>Lock-in, a discouragement to sell, already arises with the current 5-year bright-line test</w:t>
      </w:r>
      <w:r>
        <w:rPr>
          <w:rFonts w:cs="Arial"/>
          <w:szCs w:val="22"/>
          <w:lang w:eastAsia="en-AU"/>
        </w:rPr>
        <w:t xml:space="preserve"> (“the status quo”)</w:t>
      </w:r>
      <w:r w:rsidRPr="001D2740">
        <w:rPr>
          <w:rFonts w:cs="Arial"/>
          <w:szCs w:val="22"/>
          <w:lang w:eastAsia="en-AU"/>
        </w:rPr>
        <w:t xml:space="preserve">. </w:t>
      </w:r>
      <w:r>
        <w:rPr>
          <w:rFonts w:cs="Arial"/>
          <w:szCs w:val="22"/>
          <w:lang w:eastAsia="en-AU"/>
        </w:rPr>
        <w:t xml:space="preserve"> In determining the impact of extending the bright-line period, data on the holding period for </w:t>
      </w:r>
      <w:r w:rsidRPr="000F45B4">
        <w:rPr>
          <w:szCs w:val="22"/>
        </w:rPr>
        <w:t>residential</w:t>
      </w:r>
      <w:r>
        <w:rPr>
          <w:rFonts w:cs="Arial"/>
          <w:szCs w:val="22"/>
          <w:lang w:eastAsia="en-AU"/>
        </w:rPr>
        <w:t xml:space="preserve"> property has been considered:</w:t>
      </w:r>
    </w:p>
    <w:p w14:paraId="33D64F91" w14:textId="77777777" w:rsidR="00C26422" w:rsidRDefault="00C26422">
      <w:pPr>
        <w:spacing w:after="0" w:line="240" w:lineRule="auto"/>
        <w:rPr>
          <w:rFonts w:eastAsia="Calibri" w:cs="Arial"/>
          <w:b/>
          <w:szCs w:val="22"/>
          <w:lang w:val="en-NZ" w:eastAsia="en-NZ"/>
        </w:rPr>
      </w:pPr>
      <w:r>
        <w:rPr>
          <w:rFonts w:eastAsia="Calibri" w:cs="Arial"/>
          <w:b/>
          <w:szCs w:val="22"/>
          <w:lang w:val="en-NZ" w:eastAsia="en-NZ"/>
        </w:rPr>
        <w:br w:type="page"/>
      </w:r>
    </w:p>
    <w:p w14:paraId="63155472" w14:textId="18774D1F" w:rsidR="002E3CD5" w:rsidRPr="001D2740" w:rsidRDefault="002E3CD5" w:rsidP="002E3CD5">
      <w:pPr>
        <w:spacing w:after="200" w:line="240" w:lineRule="auto"/>
        <w:ind w:left="709" w:hanging="709"/>
        <w:rPr>
          <w:rFonts w:eastAsia="Calibri" w:cs="Arial"/>
          <w:b/>
          <w:szCs w:val="22"/>
          <w:lang w:val="en-NZ" w:eastAsia="en-NZ"/>
        </w:rPr>
      </w:pPr>
      <w:r w:rsidRPr="001D2740">
        <w:rPr>
          <w:rFonts w:eastAsia="Calibri" w:cs="Arial"/>
          <w:b/>
          <w:szCs w:val="22"/>
          <w:lang w:val="en-NZ" w:eastAsia="en-NZ"/>
        </w:rPr>
        <w:lastRenderedPageBreak/>
        <w:t>Table 1. Holding period for residential property sold in 2017</w:t>
      </w:r>
    </w:p>
    <w:tbl>
      <w:tblPr>
        <w:tblStyle w:val="TableGrid1"/>
        <w:tblW w:w="0" w:type="auto"/>
        <w:jc w:val="center"/>
        <w:tblLook w:val="04A0" w:firstRow="1" w:lastRow="0" w:firstColumn="1" w:lastColumn="0" w:noHBand="0" w:noVBand="1"/>
      </w:tblPr>
      <w:tblGrid>
        <w:gridCol w:w="1648"/>
        <w:gridCol w:w="1241"/>
        <w:gridCol w:w="1241"/>
        <w:gridCol w:w="1241"/>
        <w:gridCol w:w="1241"/>
        <w:gridCol w:w="1242"/>
      </w:tblGrid>
      <w:tr w:rsidR="002E3CD5" w:rsidRPr="001D2740" w14:paraId="319E6E4D" w14:textId="77777777" w:rsidTr="00AC667E">
        <w:trPr>
          <w:jc w:val="center"/>
        </w:trPr>
        <w:tc>
          <w:tcPr>
            <w:tcW w:w="1648" w:type="dxa"/>
            <w:shd w:val="clear" w:color="auto" w:fill="BFBFBF"/>
          </w:tcPr>
          <w:p w14:paraId="445573B4"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b/>
                <w:szCs w:val="22"/>
                <w:lang w:val="en-NZ" w:eastAsia="en-NZ"/>
              </w:rPr>
              <w:t>Holding period</w:t>
            </w:r>
          </w:p>
        </w:tc>
        <w:tc>
          <w:tcPr>
            <w:tcW w:w="1241" w:type="dxa"/>
            <w:shd w:val="clear" w:color="auto" w:fill="BFBFBF"/>
          </w:tcPr>
          <w:p w14:paraId="1D449583"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b/>
                <w:szCs w:val="22"/>
                <w:lang w:val="en-NZ" w:eastAsia="en-NZ"/>
              </w:rPr>
              <w:t>2 years or less</w:t>
            </w:r>
          </w:p>
        </w:tc>
        <w:tc>
          <w:tcPr>
            <w:tcW w:w="1241" w:type="dxa"/>
            <w:shd w:val="clear" w:color="auto" w:fill="BFBFBF"/>
          </w:tcPr>
          <w:p w14:paraId="6B288340"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b/>
                <w:szCs w:val="22"/>
                <w:lang w:val="en-NZ" w:eastAsia="en-NZ"/>
              </w:rPr>
              <w:t>5 years or less</w:t>
            </w:r>
          </w:p>
        </w:tc>
        <w:tc>
          <w:tcPr>
            <w:tcW w:w="1241" w:type="dxa"/>
            <w:shd w:val="clear" w:color="auto" w:fill="BFBFBF"/>
          </w:tcPr>
          <w:p w14:paraId="0C402517"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b/>
                <w:szCs w:val="22"/>
                <w:lang w:val="en-NZ" w:eastAsia="en-NZ"/>
              </w:rPr>
              <w:t>10 years or less</w:t>
            </w:r>
          </w:p>
        </w:tc>
        <w:tc>
          <w:tcPr>
            <w:tcW w:w="1241" w:type="dxa"/>
            <w:shd w:val="clear" w:color="auto" w:fill="BFBFBF"/>
          </w:tcPr>
          <w:p w14:paraId="13DB9A22" w14:textId="77777777" w:rsidR="002E3CD5" w:rsidRPr="001D2740" w:rsidRDefault="002E3CD5" w:rsidP="00AC667E">
            <w:pPr>
              <w:spacing w:after="182" w:line="240" w:lineRule="auto"/>
              <w:rPr>
                <w:rFonts w:eastAsia="Calibri" w:cs="Arial"/>
                <w:b/>
                <w:szCs w:val="22"/>
                <w:lang w:val="en-NZ" w:eastAsia="en-NZ"/>
              </w:rPr>
            </w:pPr>
            <w:r w:rsidRPr="00A343F2">
              <w:rPr>
                <w:rFonts w:eastAsia="Calibri" w:cs="Arial"/>
                <w:b/>
                <w:szCs w:val="22"/>
                <w:lang w:val="en-NZ" w:eastAsia="en-NZ"/>
              </w:rPr>
              <w:t>15</w:t>
            </w:r>
            <w:r w:rsidRPr="001D2740">
              <w:rPr>
                <w:rFonts w:eastAsia="Calibri" w:cs="Arial"/>
                <w:b/>
                <w:szCs w:val="22"/>
                <w:lang w:val="en-NZ" w:eastAsia="en-NZ"/>
              </w:rPr>
              <w:t xml:space="preserve"> years or less</w:t>
            </w:r>
          </w:p>
        </w:tc>
        <w:tc>
          <w:tcPr>
            <w:tcW w:w="1242" w:type="dxa"/>
            <w:shd w:val="clear" w:color="auto" w:fill="BFBFBF"/>
          </w:tcPr>
          <w:p w14:paraId="6AB4B55C"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b/>
                <w:szCs w:val="22"/>
                <w:lang w:val="en-NZ" w:eastAsia="en-NZ"/>
              </w:rPr>
              <w:t>20 years or less</w:t>
            </w:r>
          </w:p>
        </w:tc>
      </w:tr>
      <w:tr w:rsidR="002E3CD5" w:rsidRPr="001D2740" w14:paraId="73939798" w14:textId="77777777" w:rsidTr="00AC667E">
        <w:trPr>
          <w:jc w:val="center"/>
        </w:trPr>
        <w:tc>
          <w:tcPr>
            <w:tcW w:w="1648" w:type="dxa"/>
          </w:tcPr>
          <w:p w14:paraId="25FA5EAF"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b/>
                <w:szCs w:val="22"/>
                <w:lang w:val="en-NZ" w:eastAsia="en-NZ"/>
              </w:rPr>
              <w:t>Percentage of property sold</w:t>
            </w:r>
          </w:p>
        </w:tc>
        <w:tc>
          <w:tcPr>
            <w:tcW w:w="1241" w:type="dxa"/>
          </w:tcPr>
          <w:p w14:paraId="110F29D5"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szCs w:val="22"/>
                <w:lang w:val="en-NZ" w:eastAsia="en-NZ"/>
              </w:rPr>
              <w:t>18%</w:t>
            </w:r>
          </w:p>
        </w:tc>
        <w:tc>
          <w:tcPr>
            <w:tcW w:w="1241" w:type="dxa"/>
          </w:tcPr>
          <w:p w14:paraId="0DC48415"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szCs w:val="22"/>
                <w:lang w:val="en-NZ" w:eastAsia="en-NZ"/>
              </w:rPr>
              <w:t>42%</w:t>
            </w:r>
          </w:p>
        </w:tc>
        <w:tc>
          <w:tcPr>
            <w:tcW w:w="1241" w:type="dxa"/>
          </w:tcPr>
          <w:p w14:paraId="470BD9D8"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szCs w:val="22"/>
                <w:lang w:val="en-NZ" w:eastAsia="en-NZ"/>
              </w:rPr>
              <w:t>64%</w:t>
            </w:r>
          </w:p>
        </w:tc>
        <w:tc>
          <w:tcPr>
            <w:tcW w:w="1241" w:type="dxa"/>
          </w:tcPr>
          <w:p w14:paraId="2CB1007F"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szCs w:val="22"/>
                <w:lang w:val="en-NZ" w:eastAsia="en-NZ"/>
              </w:rPr>
              <w:t>83%</w:t>
            </w:r>
          </w:p>
        </w:tc>
        <w:tc>
          <w:tcPr>
            <w:tcW w:w="1242" w:type="dxa"/>
          </w:tcPr>
          <w:p w14:paraId="1D6CD77D" w14:textId="77777777" w:rsidR="002E3CD5" w:rsidRPr="001D2740" w:rsidRDefault="002E3CD5" w:rsidP="00AC667E">
            <w:pPr>
              <w:spacing w:after="182" w:line="240" w:lineRule="auto"/>
              <w:rPr>
                <w:rFonts w:eastAsia="Calibri" w:cs="Arial"/>
                <w:b/>
                <w:szCs w:val="22"/>
                <w:lang w:val="en-NZ" w:eastAsia="en-NZ"/>
              </w:rPr>
            </w:pPr>
            <w:r w:rsidRPr="001D2740">
              <w:rPr>
                <w:rFonts w:eastAsia="Calibri" w:cs="Arial"/>
                <w:szCs w:val="22"/>
                <w:lang w:val="en-NZ" w:eastAsia="en-NZ"/>
              </w:rPr>
              <w:t>91%</w:t>
            </w:r>
          </w:p>
        </w:tc>
      </w:tr>
    </w:tbl>
    <w:p w14:paraId="002BA379" w14:textId="77777777" w:rsidR="002E3CD5" w:rsidRPr="001D2740" w:rsidRDefault="002E3CD5" w:rsidP="00C26422">
      <w:pPr>
        <w:spacing w:after="200" w:line="240" w:lineRule="auto"/>
        <w:ind w:left="1134" w:hanging="567"/>
        <w:rPr>
          <w:rFonts w:eastAsia="Calibri" w:cs="Arial"/>
          <w:i/>
          <w:sz w:val="18"/>
          <w:szCs w:val="18"/>
          <w:lang w:val="en-NZ" w:eastAsia="en-NZ"/>
        </w:rPr>
      </w:pPr>
      <w:r w:rsidRPr="001D2740">
        <w:rPr>
          <w:rFonts w:eastAsia="Calibri" w:cs="Arial"/>
          <w:sz w:val="18"/>
          <w:szCs w:val="18"/>
          <w:lang w:val="en-NZ" w:eastAsia="en-NZ"/>
        </w:rPr>
        <w:t>Source</w:t>
      </w:r>
      <w:r w:rsidRPr="001D2740">
        <w:rPr>
          <w:rFonts w:eastAsia="Calibri" w:cs="Arial"/>
          <w:i/>
          <w:sz w:val="18"/>
          <w:szCs w:val="18"/>
          <w:lang w:val="en-NZ" w:eastAsia="en-NZ"/>
        </w:rPr>
        <w:t xml:space="preserve">: </w:t>
      </w:r>
      <w:proofErr w:type="spellStart"/>
      <w:r w:rsidRPr="001D2740">
        <w:rPr>
          <w:rFonts w:eastAsia="Calibri" w:cs="Arial"/>
          <w:i/>
          <w:sz w:val="18"/>
          <w:szCs w:val="18"/>
          <w:lang w:val="en-NZ" w:eastAsia="en-NZ"/>
        </w:rPr>
        <w:t>Corelogic</w:t>
      </w:r>
      <w:proofErr w:type="spellEnd"/>
      <w:r w:rsidRPr="001D2740">
        <w:rPr>
          <w:rFonts w:eastAsia="Calibri" w:cs="Arial"/>
          <w:i/>
          <w:sz w:val="18"/>
          <w:szCs w:val="18"/>
          <w:lang w:val="en-NZ" w:eastAsia="en-NZ"/>
        </w:rPr>
        <w:t xml:space="preserve"> data prepared for the Tax Working Group</w:t>
      </w:r>
    </w:p>
    <w:p w14:paraId="252B192C" w14:textId="77777777" w:rsidR="002E3CD5" w:rsidRPr="001D2740" w:rsidRDefault="002E3CD5" w:rsidP="002E3CD5">
      <w:pPr>
        <w:spacing w:after="200" w:line="240" w:lineRule="auto"/>
        <w:ind w:left="567"/>
        <w:rPr>
          <w:rFonts w:eastAsia="Calibri" w:cs="Arial"/>
          <w:i/>
          <w:sz w:val="18"/>
          <w:szCs w:val="18"/>
          <w:lang w:val="en-NZ" w:eastAsia="en-NZ"/>
        </w:rPr>
      </w:pPr>
      <w:r w:rsidRPr="001D2740">
        <w:rPr>
          <w:rFonts w:eastAsia="Calibri" w:cs="Arial"/>
          <w:i/>
          <w:sz w:val="18"/>
          <w:szCs w:val="18"/>
          <w:lang w:val="en-NZ" w:eastAsia="en-NZ"/>
        </w:rPr>
        <w:t xml:space="preserve">Note: This data includes residential property sold by owner-occupiers as well as investors. The data excludes property which </w:t>
      </w:r>
      <w:proofErr w:type="spellStart"/>
      <w:r w:rsidRPr="001D2740">
        <w:rPr>
          <w:rFonts w:eastAsia="Calibri" w:cs="Arial"/>
          <w:i/>
          <w:sz w:val="18"/>
          <w:szCs w:val="18"/>
          <w:lang w:val="en-NZ" w:eastAsia="en-NZ"/>
        </w:rPr>
        <w:t>Corelogic</w:t>
      </w:r>
      <w:proofErr w:type="spellEnd"/>
      <w:r w:rsidRPr="001D2740">
        <w:rPr>
          <w:rFonts w:eastAsia="Calibri" w:cs="Arial"/>
          <w:i/>
          <w:sz w:val="18"/>
          <w:szCs w:val="18"/>
          <w:lang w:val="en-NZ" w:eastAsia="en-NZ"/>
        </w:rPr>
        <w:t xml:space="preserve"> could not determine a holding period for (which may be a result of it being held for a very long period of time which could mean the results understate the average holding period). This data is for properties classified as either residential or lifestyle. </w:t>
      </w:r>
      <w:r w:rsidRPr="001D2740">
        <w:rPr>
          <w:rFonts w:eastAsia="Calibri" w:cs="Arial"/>
          <w:sz w:val="18"/>
          <w:szCs w:val="18"/>
          <w:lang w:val="en-NZ" w:eastAsia="en-NZ"/>
        </w:rPr>
        <w:t xml:space="preserve">  </w:t>
      </w:r>
    </w:p>
    <w:p w14:paraId="01717A04" w14:textId="33B181C7" w:rsidR="002E3CD5" w:rsidRDefault="002E3CD5" w:rsidP="002E3CD5">
      <w:pPr>
        <w:spacing w:line="240" w:lineRule="auto"/>
        <w:rPr>
          <w:rFonts w:cs="Arial"/>
          <w:szCs w:val="22"/>
          <w:lang w:eastAsia="en-AU"/>
        </w:rPr>
      </w:pPr>
      <w:r>
        <w:rPr>
          <w:rFonts w:cs="Arial"/>
          <w:szCs w:val="22"/>
          <w:lang w:eastAsia="en-AU"/>
        </w:rPr>
        <w:t>T</w:t>
      </w:r>
      <w:r w:rsidRPr="00A92B31">
        <w:rPr>
          <w:rFonts w:cs="Arial"/>
          <w:szCs w:val="22"/>
          <w:lang w:eastAsia="en-AU"/>
        </w:rPr>
        <w:t xml:space="preserve">his data should be seen as indicative only as it includes both owner-occupied and rental properties and excludes some sales. </w:t>
      </w:r>
      <w:r>
        <w:rPr>
          <w:rFonts w:cs="Arial"/>
          <w:szCs w:val="22"/>
          <w:lang w:eastAsia="en-AU"/>
        </w:rPr>
        <w:t xml:space="preserve"> </w:t>
      </w:r>
      <w:r w:rsidRPr="00A92B31">
        <w:rPr>
          <w:rFonts w:cs="Arial"/>
          <w:szCs w:val="22"/>
          <w:lang w:eastAsia="en-AU"/>
        </w:rPr>
        <w:t xml:space="preserve">The median holding period for residential property is approximately 7-8 years. Around 40% of properties sold were held for 5 </w:t>
      </w:r>
      <w:r w:rsidR="00E138FC">
        <w:rPr>
          <w:rFonts w:cs="Arial"/>
          <w:szCs w:val="22"/>
          <w:lang w:eastAsia="en-AU"/>
        </w:rPr>
        <w:t xml:space="preserve">or fewer </w:t>
      </w:r>
      <w:r w:rsidRPr="00A92B31">
        <w:rPr>
          <w:rFonts w:cs="Arial"/>
          <w:szCs w:val="22"/>
          <w:lang w:eastAsia="en-AU"/>
        </w:rPr>
        <w:t xml:space="preserve">years and around 90% of properties sold were held for 20 </w:t>
      </w:r>
      <w:r w:rsidR="00E138FC">
        <w:rPr>
          <w:rFonts w:cs="Arial"/>
          <w:szCs w:val="22"/>
          <w:lang w:eastAsia="en-AU"/>
        </w:rPr>
        <w:t xml:space="preserve">or fewer </w:t>
      </w:r>
      <w:r w:rsidRPr="00A92B31">
        <w:rPr>
          <w:rFonts w:cs="Arial"/>
          <w:szCs w:val="22"/>
          <w:lang w:eastAsia="en-AU"/>
        </w:rPr>
        <w:t>years.</w:t>
      </w:r>
    </w:p>
    <w:p w14:paraId="7962A2D2" w14:textId="3BCC7F2B" w:rsidR="002E3CD5" w:rsidRDefault="002E3CD5" w:rsidP="002E3CD5">
      <w:pPr>
        <w:spacing w:line="240" w:lineRule="auto"/>
        <w:rPr>
          <w:rFonts w:cs="Arial"/>
          <w:szCs w:val="22"/>
          <w:lang w:eastAsia="en-AU"/>
        </w:rPr>
      </w:pPr>
      <w:r w:rsidRPr="004B7918">
        <w:rPr>
          <w:rFonts w:cs="Arial"/>
          <w:szCs w:val="22"/>
          <w:lang w:eastAsia="en-AU"/>
        </w:rPr>
        <w:t>While in principle a bright-line test of any length will have lock-in effects that will result in some economic distortions, there will be a point at which the timeframe is so long (e.g. a period of 999 years) that it will be effectively indefinite. At this point the lock-in effects will be lower than a shorter bright-line period</w:t>
      </w:r>
      <w:r w:rsidR="004E45D0">
        <w:rPr>
          <w:rFonts w:cs="Arial"/>
          <w:szCs w:val="22"/>
          <w:lang w:eastAsia="en-AU"/>
        </w:rPr>
        <w:t>, as the cost of waiting out the test will be too high for most owners</w:t>
      </w:r>
      <w:r>
        <w:rPr>
          <w:rFonts w:cs="Arial"/>
          <w:szCs w:val="22"/>
          <w:lang w:eastAsia="en-AU"/>
        </w:rPr>
        <w:t>.  As a result, extending the bright-line period sufficiently can reduce the overall lock-in effect.</w:t>
      </w:r>
    </w:p>
    <w:p w14:paraId="580D5B68" w14:textId="77777777" w:rsidR="006E1644" w:rsidRDefault="004E45D0" w:rsidP="002E3CD5">
      <w:pPr>
        <w:spacing w:line="240" w:lineRule="auto"/>
        <w:rPr>
          <w:rFonts w:cs="Arial"/>
          <w:szCs w:val="22"/>
          <w:lang w:eastAsia="en-AU"/>
        </w:rPr>
      </w:pPr>
      <w:r>
        <w:rPr>
          <w:rFonts w:cs="Arial"/>
          <w:szCs w:val="22"/>
          <w:lang w:eastAsia="en-AU"/>
        </w:rPr>
        <w:t>There are</w:t>
      </w:r>
      <w:r w:rsidR="006E1644">
        <w:rPr>
          <w:rFonts w:cs="Arial"/>
          <w:szCs w:val="22"/>
          <w:lang w:eastAsia="en-AU"/>
        </w:rPr>
        <w:t>,</w:t>
      </w:r>
      <w:r>
        <w:rPr>
          <w:rFonts w:cs="Arial"/>
          <w:szCs w:val="22"/>
          <w:lang w:eastAsia="en-AU"/>
        </w:rPr>
        <w:t xml:space="preserve"> </w:t>
      </w:r>
      <w:r w:rsidR="006E1644">
        <w:rPr>
          <w:rFonts w:cs="Arial"/>
          <w:szCs w:val="22"/>
          <w:lang w:eastAsia="en-AU"/>
        </w:rPr>
        <w:t xml:space="preserve">however, </w:t>
      </w:r>
      <w:r>
        <w:rPr>
          <w:rFonts w:cs="Arial"/>
          <w:szCs w:val="22"/>
          <w:lang w:eastAsia="en-AU"/>
        </w:rPr>
        <w:t>competing effects from a moderately longer test</w:t>
      </w:r>
      <w:r w:rsidR="006E1644">
        <w:rPr>
          <w:rFonts w:cs="Arial"/>
          <w:szCs w:val="22"/>
          <w:lang w:eastAsia="en-AU"/>
        </w:rPr>
        <w:t xml:space="preserve"> and it is not possible to determine the length at which lock-in will be minimised</w:t>
      </w:r>
      <w:r>
        <w:rPr>
          <w:rFonts w:cs="Arial"/>
          <w:szCs w:val="22"/>
          <w:lang w:eastAsia="en-AU"/>
        </w:rPr>
        <w:t xml:space="preserve">. </w:t>
      </w:r>
    </w:p>
    <w:p w14:paraId="13789999" w14:textId="50172593" w:rsidR="002E3CD5" w:rsidRDefault="006E1644" w:rsidP="002E3CD5">
      <w:pPr>
        <w:spacing w:line="240" w:lineRule="auto"/>
        <w:rPr>
          <w:rFonts w:cs="Arial"/>
          <w:szCs w:val="22"/>
          <w:lang w:eastAsia="en-AU"/>
        </w:rPr>
      </w:pPr>
      <w:r>
        <w:rPr>
          <w:rFonts w:cs="Arial"/>
          <w:szCs w:val="22"/>
          <w:lang w:eastAsia="en-AU"/>
        </w:rPr>
        <w:t>On the one hand, t</w:t>
      </w:r>
      <w:r w:rsidR="002E3CD5">
        <w:rPr>
          <w:rFonts w:cs="Arial"/>
          <w:szCs w:val="22"/>
          <w:lang w:eastAsia="en-AU"/>
        </w:rPr>
        <w:t xml:space="preserve">he </w:t>
      </w:r>
      <w:r w:rsidR="002E3CD5" w:rsidRPr="004B7918">
        <w:rPr>
          <w:rFonts w:cs="Arial"/>
          <w:szCs w:val="22"/>
          <w:lang w:eastAsia="en-AU"/>
        </w:rPr>
        <w:t xml:space="preserve">lock-in effects become much more potent if capital gains are a large fraction of the value of an asset. </w:t>
      </w:r>
      <w:r w:rsidR="002E3CD5">
        <w:rPr>
          <w:rFonts w:cs="Arial"/>
          <w:szCs w:val="22"/>
          <w:lang w:eastAsia="en-AU"/>
        </w:rPr>
        <w:t xml:space="preserve"> As a result, a</w:t>
      </w:r>
      <w:r w:rsidR="002E3CD5" w:rsidRPr="004B7918">
        <w:rPr>
          <w:rFonts w:cs="Arial"/>
          <w:szCs w:val="22"/>
          <w:lang w:eastAsia="en-AU"/>
        </w:rPr>
        <w:t>n extension of the b</w:t>
      </w:r>
      <w:r w:rsidR="002E3CD5">
        <w:rPr>
          <w:rFonts w:cs="Arial"/>
          <w:szCs w:val="22"/>
          <w:lang w:eastAsia="en-AU"/>
        </w:rPr>
        <w:t>right-line test to 20 years would</w:t>
      </w:r>
      <w:r w:rsidR="002E3CD5" w:rsidRPr="004B7918">
        <w:rPr>
          <w:rFonts w:cs="Arial"/>
          <w:szCs w:val="22"/>
          <w:lang w:eastAsia="en-AU"/>
        </w:rPr>
        <w:t xml:space="preserve"> make it much more common for assets to have generated substantial </w:t>
      </w:r>
      <w:r w:rsidR="002E3CD5">
        <w:rPr>
          <w:rFonts w:cs="Arial"/>
          <w:szCs w:val="22"/>
          <w:lang w:eastAsia="en-AU"/>
        </w:rPr>
        <w:t xml:space="preserve">taxable </w:t>
      </w:r>
      <w:r w:rsidR="002E3CD5" w:rsidRPr="004B7918">
        <w:rPr>
          <w:rFonts w:cs="Arial"/>
          <w:szCs w:val="22"/>
          <w:lang w:eastAsia="en-AU"/>
        </w:rPr>
        <w:t>capital gains and be subject t</w:t>
      </w:r>
      <w:r w:rsidR="002E3CD5">
        <w:rPr>
          <w:rFonts w:cs="Arial"/>
          <w:szCs w:val="22"/>
          <w:lang w:eastAsia="en-AU"/>
        </w:rPr>
        <w:t>o high levels of tax when they we</w:t>
      </w:r>
      <w:r w:rsidR="002E3CD5" w:rsidRPr="004B7918">
        <w:rPr>
          <w:rFonts w:cs="Arial"/>
          <w:szCs w:val="22"/>
          <w:lang w:eastAsia="en-AU"/>
        </w:rPr>
        <w:t>re sold.</w:t>
      </w:r>
      <w:r w:rsidR="002E3CD5">
        <w:rPr>
          <w:rFonts w:cs="Arial"/>
          <w:szCs w:val="22"/>
          <w:lang w:eastAsia="en-AU"/>
        </w:rPr>
        <w:t xml:space="preserve">  A longer bright-line period, like 20 years, will</w:t>
      </w:r>
      <w:r w:rsidR="002E3CD5" w:rsidRPr="004B7918">
        <w:rPr>
          <w:rFonts w:cs="Arial"/>
          <w:szCs w:val="22"/>
          <w:lang w:eastAsia="en-AU"/>
        </w:rPr>
        <w:t xml:space="preserve"> have a much stronger lock-in effect than the current 5-year test</w:t>
      </w:r>
      <w:r w:rsidR="002E3CD5">
        <w:rPr>
          <w:rFonts w:cs="Arial"/>
          <w:szCs w:val="22"/>
          <w:lang w:eastAsia="en-AU"/>
        </w:rPr>
        <w:t>, for the subset of properties that are held for a lengthy period.</w:t>
      </w:r>
    </w:p>
    <w:p w14:paraId="14A93CE1" w14:textId="6919BE24" w:rsidR="002E3CD5" w:rsidRDefault="002E3CD5" w:rsidP="002E3CD5">
      <w:pPr>
        <w:spacing w:line="240" w:lineRule="auto"/>
        <w:rPr>
          <w:rFonts w:cs="Arial"/>
          <w:szCs w:val="22"/>
          <w:lang w:eastAsia="en-AU"/>
        </w:rPr>
      </w:pPr>
      <w:r>
        <w:rPr>
          <w:rFonts w:cs="Arial"/>
          <w:szCs w:val="22"/>
          <w:lang w:eastAsia="en-AU"/>
        </w:rPr>
        <w:t>However,</w:t>
      </w:r>
      <w:r w:rsidRPr="004B7918">
        <w:rPr>
          <w:rFonts w:cs="Arial"/>
          <w:szCs w:val="22"/>
          <w:lang w:eastAsia="en-AU"/>
        </w:rPr>
        <w:t xml:space="preserve"> a longer test may encourage more investors who </w:t>
      </w:r>
      <w:r w:rsidR="001B1CBA">
        <w:rPr>
          <w:rFonts w:cs="Arial"/>
          <w:szCs w:val="22"/>
          <w:lang w:eastAsia="en-AU"/>
        </w:rPr>
        <w:t xml:space="preserve">wish to hold </w:t>
      </w:r>
      <w:r w:rsidRPr="004B7918">
        <w:rPr>
          <w:rFonts w:cs="Arial"/>
          <w:szCs w:val="22"/>
          <w:lang w:eastAsia="en-AU"/>
        </w:rPr>
        <w:t xml:space="preserve">for </w:t>
      </w:r>
      <w:r w:rsidR="001B1CBA">
        <w:rPr>
          <w:rFonts w:cs="Arial"/>
          <w:szCs w:val="22"/>
          <w:lang w:eastAsia="en-AU"/>
        </w:rPr>
        <w:t>shorter periods</w:t>
      </w:r>
      <w:r w:rsidRPr="004B7918">
        <w:rPr>
          <w:rFonts w:cs="Arial"/>
          <w:szCs w:val="22"/>
          <w:lang w:eastAsia="en-AU"/>
        </w:rPr>
        <w:t xml:space="preserve"> to sell</w:t>
      </w:r>
      <w:r w:rsidR="004E45D0">
        <w:rPr>
          <w:rFonts w:cs="Arial"/>
          <w:szCs w:val="22"/>
          <w:lang w:eastAsia="en-AU"/>
        </w:rPr>
        <w:t xml:space="preserve"> within the bright-line period</w:t>
      </w:r>
      <w:r w:rsidR="001B1CBA">
        <w:rPr>
          <w:rFonts w:cs="Arial"/>
          <w:szCs w:val="22"/>
          <w:lang w:eastAsia="en-AU"/>
        </w:rPr>
        <w:t xml:space="preserve"> as compared to a short</w:t>
      </w:r>
      <w:r w:rsidR="004E45D0">
        <w:rPr>
          <w:rFonts w:cs="Arial"/>
          <w:szCs w:val="22"/>
          <w:lang w:eastAsia="en-AU"/>
        </w:rPr>
        <w:t>er</w:t>
      </w:r>
      <w:r w:rsidR="001B1CBA">
        <w:rPr>
          <w:rFonts w:cs="Arial"/>
          <w:szCs w:val="22"/>
          <w:lang w:eastAsia="en-AU"/>
        </w:rPr>
        <w:t xml:space="preserve"> test. </w:t>
      </w:r>
      <w:r w:rsidR="004E45D0">
        <w:rPr>
          <w:rFonts w:cs="Arial"/>
          <w:szCs w:val="22"/>
          <w:lang w:eastAsia="en-AU"/>
        </w:rPr>
        <w:t>For example, c</w:t>
      </w:r>
      <w:r w:rsidR="001B1CBA">
        <w:rPr>
          <w:rFonts w:cs="Arial"/>
          <w:szCs w:val="22"/>
          <w:lang w:eastAsia="en-AU"/>
        </w:rPr>
        <w:t>ompared to the status quo</w:t>
      </w:r>
      <w:r w:rsidR="00945CF6">
        <w:rPr>
          <w:rFonts w:cs="Arial"/>
          <w:szCs w:val="22"/>
          <w:lang w:eastAsia="en-AU"/>
        </w:rPr>
        <w:t>,</w:t>
      </w:r>
      <w:r w:rsidR="001B1CBA">
        <w:rPr>
          <w:rFonts w:cs="Arial"/>
          <w:szCs w:val="22"/>
          <w:lang w:eastAsia="en-AU"/>
        </w:rPr>
        <w:t xml:space="preserve"> a longer test may encourage more sales within 5 years, </w:t>
      </w:r>
      <w:r w:rsidRPr="004B7918">
        <w:rPr>
          <w:rFonts w:cs="Arial"/>
          <w:szCs w:val="22"/>
          <w:lang w:eastAsia="en-AU"/>
        </w:rPr>
        <w:t xml:space="preserve">when </w:t>
      </w:r>
      <w:r w:rsidR="001B1CBA">
        <w:rPr>
          <w:rFonts w:cs="Arial"/>
          <w:szCs w:val="22"/>
          <w:lang w:eastAsia="en-AU"/>
        </w:rPr>
        <w:t>investors</w:t>
      </w:r>
      <w:r w:rsidRPr="004B7918">
        <w:rPr>
          <w:rFonts w:cs="Arial"/>
          <w:szCs w:val="22"/>
          <w:lang w:eastAsia="en-AU"/>
        </w:rPr>
        <w:t xml:space="preserve"> would have otherwise waited out the 5</w:t>
      </w:r>
      <w:r>
        <w:rPr>
          <w:rFonts w:cs="Arial"/>
          <w:szCs w:val="22"/>
          <w:lang w:eastAsia="en-AU"/>
        </w:rPr>
        <w:t>-</w:t>
      </w:r>
      <w:r w:rsidRPr="004B7918">
        <w:rPr>
          <w:rFonts w:cs="Arial"/>
          <w:szCs w:val="22"/>
          <w:lang w:eastAsia="en-AU"/>
        </w:rPr>
        <w:t>year period.</w:t>
      </w:r>
      <w:r w:rsidR="001B1CBA">
        <w:rPr>
          <w:rFonts w:cs="Arial"/>
          <w:szCs w:val="22"/>
          <w:lang w:eastAsia="en-AU"/>
        </w:rPr>
        <w:t xml:space="preserve"> </w:t>
      </w:r>
      <w:r w:rsidRPr="004B7918">
        <w:rPr>
          <w:rFonts w:cs="Arial"/>
          <w:szCs w:val="22"/>
          <w:lang w:eastAsia="en-AU"/>
        </w:rPr>
        <w:t>This is because they would have to wait a very long time in order to not pay the tax under a longer test</w:t>
      </w:r>
      <w:r>
        <w:rPr>
          <w:rFonts w:cs="Arial"/>
          <w:szCs w:val="22"/>
          <w:lang w:eastAsia="en-AU"/>
        </w:rPr>
        <w:t xml:space="preserve">. </w:t>
      </w:r>
      <w:r w:rsidRPr="004B7918">
        <w:rPr>
          <w:rFonts w:cs="Arial"/>
          <w:szCs w:val="22"/>
          <w:lang w:eastAsia="en-AU"/>
        </w:rPr>
        <w:t>The bright-line period would need to be relatively long (e.g. 20 years) to provide sufficient discouragement to ‘waiting out the period’ for individuals whose preference is to sell in a short period of time</w:t>
      </w:r>
      <w:r>
        <w:rPr>
          <w:rFonts w:cs="Arial"/>
          <w:szCs w:val="22"/>
          <w:lang w:eastAsia="en-AU"/>
        </w:rPr>
        <w:t xml:space="preserve">. </w:t>
      </w:r>
    </w:p>
    <w:p w14:paraId="3B91435A" w14:textId="13FB0A7B" w:rsidR="002E3CD5" w:rsidRDefault="005B2357" w:rsidP="002E3CD5">
      <w:pPr>
        <w:spacing w:line="240" w:lineRule="auto"/>
        <w:rPr>
          <w:rFonts w:cs="Arial"/>
          <w:szCs w:val="22"/>
          <w:lang w:eastAsia="en-AU"/>
        </w:rPr>
      </w:pPr>
      <w:r>
        <w:rPr>
          <w:rFonts w:cs="Arial"/>
          <w:szCs w:val="22"/>
          <w:lang w:eastAsia="en-AU"/>
        </w:rPr>
        <w:t>As noted</w:t>
      </w:r>
      <w:r w:rsidR="000511E6">
        <w:rPr>
          <w:rFonts w:cs="Arial"/>
          <w:szCs w:val="22"/>
          <w:lang w:eastAsia="en-AU"/>
        </w:rPr>
        <w:t xml:space="preserve"> previously,</w:t>
      </w:r>
      <w:r>
        <w:rPr>
          <w:rFonts w:cs="Arial"/>
          <w:szCs w:val="22"/>
          <w:lang w:eastAsia="en-AU"/>
        </w:rPr>
        <w:t xml:space="preserve"> there is not good empirical evidence on which to assess these impacts. </w:t>
      </w:r>
      <w:r w:rsidR="002A3558">
        <w:rPr>
          <w:rFonts w:cs="Arial"/>
          <w:szCs w:val="22"/>
          <w:lang w:eastAsia="en-AU"/>
        </w:rPr>
        <w:t>The data does suggest, however, that a significant number of houses are sold before 10 years, so reducing lock-in for these sales may well have a benefit.</w:t>
      </w:r>
    </w:p>
    <w:p w14:paraId="4ED1B5B3" w14:textId="0A3DEC5A" w:rsidR="002A3558" w:rsidRDefault="002E3CD5" w:rsidP="000511E6">
      <w:pPr>
        <w:spacing w:line="240" w:lineRule="auto"/>
        <w:rPr>
          <w:rFonts w:cs="Arial"/>
          <w:szCs w:val="22"/>
          <w:lang w:eastAsia="en-AU"/>
        </w:rPr>
      </w:pPr>
      <w:r>
        <w:rPr>
          <w:rFonts w:cs="Arial"/>
          <w:szCs w:val="22"/>
          <w:lang w:eastAsia="en-AU"/>
        </w:rPr>
        <w:t>In any event, it is likely that</w:t>
      </w:r>
      <w:r w:rsidR="006B4DC8">
        <w:rPr>
          <w:rFonts w:cs="Arial"/>
          <w:szCs w:val="22"/>
          <w:lang w:eastAsia="en-AU"/>
        </w:rPr>
        <w:t xml:space="preserve"> the</w:t>
      </w:r>
      <w:r>
        <w:rPr>
          <w:rFonts w:cs="Arial"/>
          <w:szCs w:val="22"/>
          <w:lang w:eastAsia="en-AU"/>
        </w:rPr>
        <w:t xml:space="preserve"> </w:t>
      </w:r>
      <w:r w:rsidRPr="004B7918">
        <w:rPr>
          <w:rFonts w:cs="Arial"/>
          <w:szCs w:val="22"/>
          <w:lang w:eastAsia="en-AU"/>
        </w:rPr>
        <w:t>lock-in</w:t>
      </w:r>
      <w:r w:rsidR="000511E6">
        <w:rPr>
          <w:rFonts w:cs="Arial"/>
          <w:szCs w:val="22"/>
          <w:lang w:eastAsia="en-AU"/>
        </w:rPr>
        <w:t xml:space="preserve"> impact</w:t>
      </w:r>
      <w:r w:rsidRPr="004B7918">
        <w:rPr>
          <w:rFonts w:cs="Arial"/>
          <w:szCs w:val="22"/>
          <w:lang w:eastAsia="en-AU"/>
        </w:rPr>
        <w:t xml:space="preserve"> will not </w:t>
      </w:r>
      <w:r w:rsidR="006E1644">
        <w:rPr>
          <w:rFonts w:cs="Arial"/>
          <w:szCs w:val="22"/>
          <w:lang w:eastAsia="en-AU"/>
        </w:rPr>
        <w:t>significantly</w:t>
      </w:r>
      <w:r w:rsidR="000511E6">
        <w:rPr>
          <w:rFonts w:cs="Arial"/>
          <w:szCs w:val="22"/>
          <w:lang w:eastAsia="en-AU"/>
        </w:rPr>
        <w:t xml:space="preserve"> affect the utilisation rate of </w:t>
      </w:r>
      <w:r w:rsidR="006B4DC8">
        <w:rPr>
          <w:rFonts w:cs="Arial"/>
          <w:szCs w:val="22"/>
          <w:lang w:eastAsia="en-AU"/>
        </w:rPr>
        <w:t xml:space="preserve">existing </w:t>
      </w:r>
      <w:r w:rsidR="000511E6">
        <w:rPr>
          <w:rFonts w:cs="Arial"/>
          <w:szCs w:val="22"/>
          <w:lang w:eastAsia="en-AU"/>
        </w:rPr>
        <w:t xml:space="preserve">housing stock. </w:t>
      </w:r>
      <w:r>
        <w:rPr>
          <w:rFonts w:cs="Arial"/>
          <w:szCs w:val="22"/>
          <w:lang w:eastAsia="en-AU"/>
        </w:rPr>
        <w:t xml:space="preserve">This is because, in many cases, the </w:t>
      </w:r>
      <w:r w:rsidRPr="004B7918">
        <w:rPr>
          <w:rFonts w:cs="Arial"/>
          <w:szCs w:val="22"/>
          <w:lang w:eastAsia="en-AU"/>
        </w:rPr>
        <w:t>property would continue to be put to the same or similar use by a different owner</w:t>
      </w:r>
      <w:r w:rsidR="000511E6">
        <w:rPr>
          <w:rFonts w:cs="Arial"/>
          <w:szCs w:val="22"/>
          <w:lang w:eastAsia="en-AU"/>
        </w:rPr>
        <w:t>,</w:t>
      </w:r>
      <w:r w:rsidRPr="004B7918">
        <w:rPr>
          <w:rFonts w:cs="Arial"/>
          <w:szCs w:val="22"/>
          <w:lang w:eastAsia="en-AU"/>
        </w:rPr>
        <w:t xml:space="preserve"> </w:t>
      </w:r>
      <w:r>
        <w:rPr>
          <w:rFonts w:cs="Arial"/>
          <w:szCs w:val="22"/>
          <w:lang w:eastAsia="en-AU"/>
        </w:rPr>
        <w:t>meaning that a delay in sale would</w:t>
      </w:r>
      <w:r w:rsidRPr="004B7918">
        <w:rPr>
          <w:rFonts w:cs="Arial"/>
          <w:szCs w:val="22"/>
          <w:lang w:eastAsia="en-AU"/>
        </w:rPr>
        <w:t xml:space="preserve"> not result in a less productive use of the asset. For example, where a rental property is sold</w:t>
      </w:r>
      <w:r w:rsidR="000511E6">
        <w:rPr>
          <w:rFonts w:cs="Arial"/>
          <w:szCs w:val="22"/>
          <w:lang w:eastAsia="en-AU"/>
        </w:rPr>
        <w:t>,</w:t>
      </w:r>
      <w:r w:rsidRPr="004B7918">
        <w:rPr>
          <w:rFonts w:cs="Arial"/>
          <w:szCs w:val="22"/>
          <w:lang w:eastAsia="en-AU"/>
        </w:rPr>
        <w:t xml:space="preserve"> it is likely to be sold for continued use as accommodation for renters or owner-occupiers.</w:t>
      </w:r>
      <w:r w:rsidR="00E52224">
        <w:rPr>
          <w:rFonts w:cs="Arial"/>
          <w:szCs w:val="22"/>
          <w:lang w:eastAsia="en-AU"/>
        </w:rPr>
        <w:t xml:space="preserve"> </w:t>
      </w:r>
    </w:p>
    <w:p w14:paraId="5E348458" w14:textId="67B5CCD8" w:rsidR="002E3CD5" w:rsidRDefault="002A3558" w:rsidP="002E3CD5">
      <w:pPr>
        <w:spacing w:line="240" w:lineRule="auto"/>
        <w:rPr>
          <w:rFonts w:cs="Arial"/>
          <w:szCs w:val="22"/>
          <w:lang w:eastAsia="en-AU"/>
        </w:rPr>
      </w:pPr>
      <w:r>
        <w:rPr>
          <w:rFonts w:cs="Arial"/>
          <w:szCs w:val="22"/>
          <w:lang w:eastAsia="en-AU"/>
        </w:rPr>
        <w:t>I</w:t>
      </w:r>
      <w:r w:rsidRPr="004B7918">
        <w:rPr>
          <w:rFonts w:cs="Arial"/>
          <w:szCs w:val="22"/>
          <w:lang w:eastAsia="en-AU"/>
        </w:rPr>
        <w:t>n some cases</w:t>
      </w:r>
      <w:r>
        <w:rPr>
          <w:rFonts w:cs="Arial"/>
          <w:szCs w:val="22"/>
          <w:lang w:eastAsia="en-AU"/>
        </w:rPr>
        <w:t>,</w:t>
      </w:r>
      <w:r w:rsidRPr="004B7918">
        <w:rPr>
          <w:rFonts w:cs="Arial"/>
          <w:szCs w:val="22"/>
          <w:lang w:eastAsia="en-AU"/>
        </w:rPr>
        <w:t xml:space="preserve"> lock-in may prevent sales to developers who may have intensified the use of the land when existing investors would not.</w:t>
      </w:r>
      <w:r>
        <w:rPr>
          <w:rFonts w:cs="Arial"/>
          <w:szCs w:val="22"/>
          <w:lang w:eastAsia="en-AU"/>
        </w:rPr>
        <w:t xml:space="preserve"> However, while lock-in may delay intensification,</w:t>
      </w:r>
      <w:r w:rsidR="005B2357">
        <w:rPr>
          <w:rFonts w:cs="Arial"/>
          <w:szCs w:val="22"/>
          <w:lang w:eastAsia="en-AU"/>
        </w:rPr>
        <w:t xml:space="preserve"> </w:t>
      </w:r>
      <w:r w:rsidR="006E1644">
        <w:rPr>
          <w:rFonts w:cs="Arial"/>
          <w:szCs w:val="22"/>
          <w:lang w:eastAsia="en-AU"/>
        </w:rPr>
        <w:t>this would not be a long term impact as lock-in only</w:t>
      </w:r>
      <w:r w:rsidR="005B2357">
        <w:rPr>
          <w:rFonts w:cs="Arial"/>
          <w:szCs w:val="22"/>
          <w:lang w:eastAsia="en-AU"/>
        </w:rPr>
        <w:t xml:space="preserve"> delays</w:t>
      </w:r>
      <w:r w:rsidR="000511E6">
        <w:rPr>
          <w:rFonts w:cs="Arial"/>
          <w:szCs w:val="22"/>
          <w:lang w:eastAsia="en-AU"/>
        </w:rPr>
        <w:t xml:space="preserve"> the</w:t>
      </w:r>
      <w:r w:rsidR="005B2357">
        <w:rPr>
          <w:rFonts w:cs="Arial"/>
          <w:szCs w:val="22"/>
          <w:lang w:eastAsia="en-AU"/>
        </w:rPr>
        <w:t xml:space="preserve"> sale</w:t>
      </w:r>
      <w:r w:rsidR="00E52224">
        <w:rPr>
          <w:rFonts w:cs="Arial"/>
          <w:szCs w:val="22"/>
          <w:lang w:eastAsia="en-AU"/>
        </w:rPr>
        <w:t>.</w:t>
      </w:r>
    </w:p>
    <w:p w14:paraId="1FC60886" w14:textId="31DB6797" w:rsidR="002E3CD5" w:rsidRDefault="002E3CD5" w:rsidP="002E3CD5">
      <w:pPr>
        <w:spacing w:line="240" w:lineRule="auto"/>
        <w:rPr>
          <w:rFonts w:cs="Arial"/>
          <w:szCs w:val="22"/>
          <w:lang w:eastAsia="en-AU"/>
        </w:rPr>
      </w:pPr>
      <w:r w:rsidRPr="004B7918">
        <w:rPr>
          <w:rFonts w:cs="Arial"/>
          <w:szCs w:val="22"/>
          <w:lang w:eastAsia="en-AU"/>
        </w:rPr>
        <w:lastRenderedPageBreak/>
        <w:t xml:space="preserve">A concern is </w:t>
      </w:r>
      <w:r>
        <w:rPr>
          <w:rFonts w:cs="Arial"/>
          <w:szCs w:val="22"/>
          <w:lang w:eastAsia="en-AU"/>
        </w:rPr>
        <w:t xml:space="preserve">whether </w:t>
      </w:r>
      <w:r w:rsidR="006E1644">
        <w:rPr>
          <w:rFonts w:cs="Arial"/>
          <w:szCs w:val="22"/>
          <w:lang w:eastAsia="en-AU"/>
        </w:rPr>
        <w:t>lock-in</w:t>
      </w:r>
      <w:r>
        <w:rPr>
          <w:rFonts w:cs="Arial"/>
          <w:szCs w:val="22"/>
          <w:lang w:eastAsia="en-AU"/>
        </w:rPr>
        <w:t xml:space="preserve"> would</w:t>
      </w:r>
      <w:r w:rsidRPr="004B7918">
        <w:rPr>
          <w:rFonts w:cs="Arial"/>
          <w:szCs w:val="22"/>
          <w:lang w:eastAsia="en-AU"/>
        </w:rPr>
        <w:t xml:space="preserve"> make it relatively unattractive for taxpayers to sell little-used second homes for lengthy periods of time</w:t>
      </w:r>
      <w:r w:rsidR="006E1644">
        <w:rPr>
          <w:rFonts w:cs="Arial"/>
          <w:szCs w:val="22"/>
          <w:lang w:eastAsia="en-AU"/>
        </w:rPr>
        <w:t xml:space="preserve"> and whether t</w:t>
      </w:r>
      <w:r w:rsidRPr="004B7918">
        <w:rPr>
          <w:rFonts w:cs="Arial"/>
          <w:szCs w:val="22"/>
          <w:lang w:eastAsia="en-AU"/>
        </w:rPr>
        <w:t xml:space="preserve">his </w:t>
      </w:r>
      <w:r>
        <w:rPr>
          <w:rFonts w:cs="Arial"/>
          <w:szCs w:val="22"/>
          <w:lang w:eastAsia="en-AU"/>
        </w:rPr>
        <w:t>would</w:t>
      </w:r>
      <w:r w:rsidRPr="004B7918">
        <w:rPr>
          <w:rFonts w:cs="Arial"/>
          <w:szCs w:val="22"/>
          <w:lang w:eastAsia="en-AU"/>
        </w:rPr>
        <w:t xml:space="preserve"> </w:t>
      </w:r>
      <w:r w:rsidR="006E1644">
        <w:rPr>
          <w:rFonts w:cs="Arial"/>
          <w:szCs w:val="22"/>
          <w:lang w:eastAsia="en-AU"/>
        </w:rPr>
        <w:t xml:space="preserve">significantly </w:t>
      </w:r>
      <w:r w:rsidRPr="004B7918">
        <w:rPr>
          <w:rFonts w:cs="Arial"/>
          <w:szCs w:val="22"/>
          <w:lang w:eastAsia="en-AU"/>
        </w:rPr>
        <w:t xml:space="preserve">detract from </w:t>
      </w:r>
      <w:r w:rsidR="006E1644">
        <w:rPr>
          <w:rFonts w:cs="Arial"/>
          <w:szCs w:val="22"/>
          <w:lang w:eastAsia="en-AU"/>
        </w:rPr>
        <w:t>the</w:t>
      </w:r>
      <w:r w:rsidRPr="004B7918">
        <w:rPr>
          <w:rFonts w:cs="Arial"/>
          <w:szCs w:val="22"/>
          <w:lang w:eastAsia="en-AU"/>
        </w:rPr>
        <w:t xml:space="preserve"> supply</w:t>
      </w:r>
      <w:r w:rsidR="006E1644">
        <w:rPr>
          <w:rFonts w:cs="Arial"/>
          <w:szCs w:val="22"/>
          <w:lang w:eastAsia="en-AU"/>
        </w:rPr>
        <w:t xml:space="preserve"> of main homes</w:t>
      </w:r>
      <w:r w:rsidRPr="004B7918">
        <w:rPr>
          <w:rFonts w:cs="Arial"/>
          <w:szCs w:val="22"/>
          <w:lang w:eastAsia="en-AU"/>
        </w:rPr>
        <w:t xml:space="preserve">. </w:t>
      </w:r>
      <w:r>
        <w:rPr>
          <w:rFonts w:cs="Arial"/>
          <w:szCs w:val="22"/>
          <w:lang w:eastAsia="en-AU"/>
        </w:rPr>
        <w:t xml:space="preserve"> This will depend on the extent to which </w:t>
      </w:r>
      <w:r w:rsidR="00E138FC">
        <w:rPr>
          <w:rFonts w:cs="Arial"/>
          <w:szCs w:val="22"/>
          <w:lang w:eastAsia="en-AU"/>
        </w:rPr>
        <w:t>such homes (e</w:t>
      </w:r>
      <w:r w:rsidR="00376B19">
        <w:rPr>
          <w:rFonts w:cs="Arial"/>
          <w:szCs w:val="22"/>
          <w:lang w:eastAsia="en-AU"/>
        </w:rPr>
        <w:t>.</w:t>
      </w:r>
      <w:r w:rsidR="00E138FC">
        <w:rPr>
          <w:rFonts w:cs="Arial"/>
          <w:szCs w:val="22"/>
          <w:lang w:eastAsia="en-AU"/>
        </w:rPr>
        <w:t>g</w:t>
      </w:r>
      <w:r w:rsidR="00376B19">
        <w:rPr>
          <w:rFonts w:cs="Arial"/>
          <w:szCs w:val="22"/>
          <w:lang w:eastAsia="en-AU"/>
        </w:rPr>
        <w:t>.</w:t>
      </w:r>
      <w:r w:rsidR="00E138FC">
        <w:rPr>
          <w:rFonts w:cs="Arial"/>
          <w:szCs w:val="22"/>
          <w:lang w:eastAsia="en-AU"/>
        </w:rPr>
        <w:t xml:space="preserve"> </w:t>
      </w:r>
      <w:r w:rsidRPr="004B7918">
        <w:rPr>
          <w:rFonts w:cs="Arial"/>
          <w:szCs w:val="22"/>
          <w:lang w:eastAsia="en-AU"/>
        </w:rPr>
        <w:t>holiday homes</w:t>
      </w:r>
      <w:r w:rsidR="00E138FC">
        <w:rPr>
          <w:rFonts w:cs="Arial"/>
          <w:szCs w:val="22"/>
          <w:lang w:eastAsia="en-AU"/>
        </w:rPr>
        <w:t>)</w:t>
      </w:r>
      <w:r w:rsidRPr="004B7918">
        <w:rPr>
          <w:rFonts w:cs="Arial"/>
          <w:szCs w:val="22"/>
          <w:lang w:eastAsia="en-AU"/>
        </w:rPr>
        <w:t xml:space="preserve"> </w:t>
      </w:r>
      <w:r>
        <w:rPr>
          <w:rFonts w:cs="Arial"/>
          <w:szCs w:val="22"/>
          <w:lang w:eastAsia="en-AU"/>
        </w:rPr>
        <w:t>are</w:t>
      </w:r>
      <w:r w:rsidRPr="004B7918">
        <w:rPr>
          <w:rFonts w:cs="Arial"/>
          <w:szCs w:val="22"/>
          <w:lang w:eastAsia="en-AU"/>
        </w:rPr>
        <w:t xml:space="preserve"> in areas sufficiently close to major working centres for them to be acquired by owner-occupiers or </w:t>
      </w:r>
      <w:r>
        <w:rPr>
          <w:rFonts w:cs="Arial"/>
          <w:szCs w:val="22"/>
          <w:lang w:eastAsia="en-AU"/>
        </w:rPr>
        <w:t>by landlords for rental housing</w:t>
      </w:r>
      <w:r w:rsidRPr="004B7918">
        <w:rPr>
          <w:rFonts w:cs="Arial"/>
          <w:szCs w:val="22"/>
          <w:lang w:eastAsia="en-AU"/>
        </w:rPr>
        <w:t>.</w:t>
      </w:r>
      <w:r>
        <w:rPr>
          <w:rFonts w:cs="Arial"/>
          <w:szCs w:val="22"/>
          <w:lang w:eastAsia="en-AU"/>
        </w:rPr>
        <w:t xml:space="preserve">  There is limited data to determine this impact.  However, it is considered that not all</w:t>
      </w:r>
      <w:r w:rsidRPr="004B7918">
        <w:rPr>
          <w:rFonts w:cs="Arial"/>
          <w:szCs w:val="22"/>
          <w:lang w:eastAsia="en-AU"/>
        </w:rPr>
        <w:t xml:space="preserve"> second homes, such as baches, </w:t>
      </w:r>
      <w:r>
        <w:rPr>
          <w:rFonts w:cs="Arial"/>
          <w:szCs w:val="22"/>
          <w:lang w:eastAsia="en-AU"/>
        </w:rPr>
        <w:t>could</w:t>
      </w:r>
      <w:r w:rsidRPr="004B7918">
        <w:rPr>
          <w:rFonts w:cs="Arial"/>
          <w:szCs w:val="22"/>
          <w:lang w:eastAsia="en-AU"/>
        </w:rPr>
        <w:t xml:space="preserve"> be converted to primary residences due to their location, and hence a delay in selling these houses </w:t>
      </w:r>
      <w:r>
        <w:rPr>
          <w:rFonts w:cs="Arial"/>
          <w:szCs w:val="22"/>
          <w:lang w:eastAsia="en-AU"/>
        </w:rPr>
        <w:t>would</w:t>
      </w:r>
      <w:r w:rsidRPr="004B7918">
        <w:rPr>
          <w:rFonts w:cs="Arial"/>
          <w:szCs w:val="22"/>
          <w:lang w:eastAsia="en-AU"/>
        </w:rPr>
        <w:t xml:space="preserve"> not have much impact on the supply of primary residences in economic centres. </w:t>
      </w:r>
      <w:r>
        <w:rPr>
          <w:rFonts w:cs="Arial"/>
          <w:szCs w:val="22"/>
          <w:lang w:eastAsia="en-AU"/>
        </w:rPr>
        <w:t xml:space="preserve"> </w:t>
      </w:r>
      <w:r w:rsidRPr="004B7918">
        <w:rPr>
          <w:rFonts w:cs="Arial"/>
          <w:szCs w:val="22"/>
          <w:lang w:eastAsia="en-AU"/>
        </w:rPr>
        <w:t>In addition, little-used second homes are likely to form only a relatively small part of the overall housing stock.</w:t>
      </w:r>
      <w:r>
        <w:rPr>
          <w:rFonts w:cs="Arial"/>
          <w:szCs w:val="22"/>
          <w:lang w:eastAsia="en-AU"/>
        </w:rPr>
        <w:t xml:space="preserve"> </w:t>
      </w:r>
    </w:p>
    <w:p w14:paraId="0B41CD62" w14:textId="6F8A65BD" w:rsidR="002E3CD5" w:rsidRDefault="002E3CD5" w:rsidP="002E3CD5">
      <w:pPr>
        <w:spacing w:line="240" w:lineRule="auto"/>
        <w:rPr>
          <w:rFonts w:cs="Arial"/>
          <w:szCs w:val="22"/>
          <w:lang w:eastAsia="en-AU"/>
        </w:rPr>
      </w:pPr>
      <w:r>
        <w:rPr>
          <w:rFonts w:cs="Arial"/>
          <w:szCs w:val="22"/>
          <w:lang w:eastAsia="en-AU"/>
        </w:rPr>
        <w:t xml:space="preserve">Accordingly, on balance, we do not expect the lock-in effect to have a significant </w:t>
      </w:r>
      <w:r w:rsidR="002A3558">
        <w:rPr>
          <w:rFonts w:cs="Arial"/>
          <w:szCs w:val="22"/>
          <w:lang w:eastAsia="en-AU"/>
        </w:rPr>
        <w:t>impact on housing utilisation compared with the status quo</w:t>
      </w:r>
      <w:r>
        <w:rPr>
          <w:rFonts w:cs="Arial"/>
          <w:szCs w:val="22"/>
          <w:lang w:eastAsia="en-AU"/>
        </w:rPr>
        <w:t>.</w:t>
      </w:r>
      <w:r w:rsidR="006E1644">
        <w:rPr>
          <w:rFonts w:cs="Arial"/>
          <w:szCs w:val="22"/>
          <w:lang w:eastAsia="en-AU"/>
        </w:rPr>
        <w:t xml:space="preserve"> While lo</w:t>
      </w:r>
      <w:r w:rsidR="005B2357">
        <w:rPr>
          <w:rFonts w:cs="Arial"/>
          <w:szCs w:val="22"/>
          <w:lang w:eastAsia="en-AU"/>
        </w:rPr>
        <w:t>ck-in may delay</w:t>
      </w:r>
      <w:r w:rsidR="006E1644">
        <w:rPr>
          <w:rFonts w:cs="Arial"/>
          <w:szCs w:val="22"/>
          <w:lang w:eastAsia="en-AU"/>
        </w:rPr>
        <w:t xml:space="preserve"> investors exiting investments to undertake high</w:t>
      </w:r>
      <w:r w:rsidR="0072028B">
        <w:rPr>
          <w:rFonts w:cs="Arial"/>
          <w:szCs w:val="22"/>
          <w:lang w:eastAsia="en-AU"/>
        </w:rPr>
        <w:t>er</w:t>
      </w:r>
      <w:r w:rsidR="006E1644">
        <w:rPr>
          <w:rFonts w:cs="Arial"/>
          <w:szCs w:val="22"/>
          <w:lang w:eastAsia="en-AU"/>
        </w:rPr>
        <w:t xml:space="preserve"> value investments, a prospective rule would only apply to new investments</w:t>
      </w:r>
      <w:r w:rsidR="0072028B">
        <w:rPr>
          <w:rFonts w:cs="Arial"/>
          <w:szCs w:val="22"/>
          <w:lang w:eastAsia="en-AU"/>
        </w:rPr>
        <w:t>. T</w:t>
      </w:r>
      <w:r w:rsidR="006E1644">
        <w:rPr>
          <w:rFonts w:cs="Arial"/>
          <w:szCs w:val="22"/>
          <w:lang w:eastAsia="en-AU"/>
        </w:rPr>
        <w:t>herefore</w:t>
      </w:r>
      <w:r w:rsidR="0072028B">
        <w:rPr>
          <w:rFonts w:cs="Arial"/>
          <w:szCs w:val="22"/>
          <w:lang w:eastAsia="en-AU"/>
        </w:rPr>
        <w:t>,</w:t>
      </w:r>
      <w:r w:rsidR="006E1644">
        <w:rPr>
          <w:rFonts w:cs="Arial"/>
          <w:szCs w:val="22"/>
          <w:lang w:eastAsia="en-AU"/>
        </w:rPr>
        <w:t xml:space="preserve"> investors will </w:t>
      </w:r>
      <w:r w:rsidR="0072028B">
        <w:rPr>
          <w:rFonts w:cs="Arial"/>
          <w:szCs w:val="22"/>
          <w:lang w:eastAsia="en-AU"/>
        </w:rPr>
        <w:t xml:space="preserve">factor </w:t>
      </w:r>
      <w:r w:rsidR="00BF1B40">
        <w:rPr>
          <w:rFonts w:cs="Arial"/>
          <w:szCs w:val="22"/>
          <w:lang w:eastAsia="en-AU"/>
        </w:rPr>
        <w:t xml:space="preserve">in </w:t>
      </w:r>
      <w:r w:rsidR="0072028B">
        <w:rPr>
          <w:rFonts w:cs="Arial"/>
          <w:szCs w:val="22"/>
          <w:lang w:eastAsia="en-AU"/>
        </w:rPr>
        <w:t>these considerations (long term expected return and holding period)</w:t>
      </w:r>
      <w:r w:rsidR="006E1644">
        <w:rPr>
          <w:rFonts w:cs="Arial"/>
          <w:szCs w:val="22"/>
          <w:lang w:eastAsia="en-AU"/>
        </w:rPr>
        <w:t xml:space="preserve"> when they enter the investment</w:t>
      </w:r>
      <w:r w:rsidR="004377DC">
        <w:rPr>
          <w:rFonts w:cs="Arial"/>
          <w:szCs w:val="22"/>
          <w:lang w:eastAsia="en-AU"/>
        </w:rPr>
        <w:t>.</w:t>
      </w:r>
    </w:p>
    <w:p w14:paraId="7670CDC3" w14:textId="77777777" w:rsidR="002E3CD5" w:rsidRPr="00AE71AC" w:rsidRDefault="002E3CD5" w:rsidP="002E3CD5">
      <w:pPr>
        <w:spacing w:line="240" w:lineRule="auto"/>
        <w:rPr>
          <w:b/>
          <w:i/>
          <w:lang w:eastAsia="en-AU"/>
        </w:rPr>
      </w:pPr>
      <w:r w:rsidRPr="00AE71AC">
        <w:rPr>
          <w:b/>
          <w:i/>
          <w:lang w:eastAsia="en-AU"/>
        </w:rPr>
        <w:t xml:space="preserve">Revenue </w:t>
      </w:r>
      <w:r w:rsidRPr="000F45B4">
        <w:rPr>
          <w:rFonts w:cs="Arial"/>
          <w:b/>
          <w:i/>
          <w:szCs w:val="22"/>
          <w:lang w:eastAsia="en-AU"/>
        </w:rPr>
        <w:t>integrity</w:t>
      </w:r>
    </w:p>
    <w:p w14:paraId="6092B5A3" w14:textId="77777777" w:rsidR="002E3CD5" w:rsidRPr="00AE71AC" w:rsidRDefault="002E3CD5" w:rsidP="002E3CD5">
      <w:pPr>
        <w:tabs>
          <w:tab w:val="left" w:pos="2550"/>
        </w:tabs>
        <w:spacing w:after="120" w:line="240" w:lineRule="auto"/>
      </w:pPr>
      <w:r w:rsidRPr="00AE71AC">
        <w:t xml:space="preserve">Extending the bright-line test will enhance the integrity of the tax system to the extent it </w:t>
      </w:r>
      <w:r w:rsidRPr="00AE71AC">
        <w:rPr>
          <w:lang w:eastAsia="en-AU"/>
        </w:rPr>
        <w:t>minimises</w:t>
      </w:r>
      <w:r w:rsidRPr="00AE71AC">
        <w:rPr>
          <w:b/>
          <w:i/>
          <w:lang w:eastAsia="en-AU"/>
        </w:rPr>
        <w:t xml:space="preserve"> </w:t>
      </w:r>
      <w:r w:rsidRPr="00AE71AC">
        <w:t xml:space="preserve">opportunities for tax avoidance and arbitrage. </w:t>
      </w:r>
    </w:p>
    <w:p w14:paraId="774F1B88" w14:textId="2B960446" w:rsidR="002E3CD5" w:rsidRDefault="002E3CD5" w:rsidP="002E3CD5">
      <w:pPr>
        <w:tabs>
          <w:tab w:val="left" w:pos="2550"/>
        </w:tabs>
        <w:spacing w:after="120" w:line="240" w:lineRule="auto"/>
      </w:pPr>
      <w:r w:rsidRPr="00AE71AC">
        <w:t xml:space="preserve">This is because the extended bright-line period would cover the majority of property transactions involving </w:t>
      </w:r>
      <w:r w:rsidR="000511E6" w:rsidRPr="00AE71AC">
        <w:t>non-owner-occupied</w:t>
      </w:r>
      <w:r w:rsidRPr="00AE71AC">
        <w:t xml:space="preserve"> residential properties, and thus reduce the ability to rely on the </w:t>
      </w:r>
      <w:r w:rsidRPr="000F45B4">
        <w:rPr>
          <w:rFonts w:cs="Arial"/>
          <w:szCs w:val="22"/>
          <w:lang w:eastAsia="en-AU"/>
        </w:rPr>
        <w:t>exclusions</w:t>
      </w:r>
      <w:r w:rsidRPr="00AE71AC">
        <w:t xml:space="preserve"> from the existing complex suite of land tax rules. </w:t>
      </w:r>
      <w:r>
        <w:t>There are existing integrity rules that apply to the current 5 year bright-line test that will carry over to the extension (for example, to deal with land-rich companies).</w:t>
      </w:r>
      <w:r w:rsidRPr="00AE71AC">
        <w:t xml:space="preserve"> It will be important to buttress the extended test with appropriate administrative action (see below).</w:t>
      </w:r>
    </w:p>
    <w:p w14:paraId="30E03122" w14:textId="570B1889" w:rsidR="005B2357" w:rsidRPr="00E30FFC" w:rsidRDefault="005B2357" w:rsidP="00C26422">
      <w:pPr>
        <w:spacing w:line="240" w:lineRule="auto"/>
      </w:pPr>
      <w:r>
        <w:t xml:space="preserve">As discussed, an extended test </w:t>
      </w:r>
      <w:r w:rsidRPr="00AE71AC">
        <w:t>may</w:t>
      </w:r>
      <w:r>
        <w:t xml:space="preserve"> </w:t>
      </w:r>
      <w:r w:rsidRPr="00AE71AC">
        <w:t xml:space="preserve">increase </w:t>
      </w:r>
      <w:r w:rsidRPr="00E30FFC">
        <w:t>the</w:t>
      </w:r>
      <w:r w:rsidRPr="00AE71AC">
        <w:t xml:space="preserve"> incentive to avoid the bright-line test </w:t>
      </w:r>
      <w:r>
        <w:t>for properties held for long period</w:t>
      </w:r>
      <w:r w:rsidR="000511E6">
        <w:t>s</w:t>
      </w:r>
      <w:r>
        <w:t xml:space="preserve"> through delaying sale</w:t>
      </w:r>
      <w:r w:rsidR="008D1ECE">
        <w:t>s</w:t>
      </w:r>
      <w:r>
        <w:t xml:space="preserve"> </w:t>
      </w:r>
      <w:r w:rsidRPr="00AE71AC">
        <w:t>as the gains are potentially large</w:t>
      </w:r>
      <w:r>
        <w:t xml:space="preserve"> (lock-in)</w:t>
      </w:r>
      <w:r w:rsidRPr="00AE71AC">
        <w:t>.</w:t>
      </w:r>
    </w:p>
    <w:p w14:paraId="23C9C197" w14:textId="77777777" w:rsidR="002E3CD5" w:rsidRPr="00E30FFC" w:rsidRDefault="002E3CD5" w:rsidP="00C26422">
      <w:pPr>
        <w:spacing w:line="240" w:lineRule="auto"/>
        <w:rPr>
          <w:b/>
          <w:i/>
        </w:rPr>
      </w:pPr>
      <w:r w:rsidRPr="00E30FFC">
        <w:rPr>
          <w:b/>
          <w:i/>
          <w:lang w:eastAsia="en-AU"/>
        </w:rPr>
        <w:t>Equity</w:t>
      </w:r>
      <w:r w:rsidRPr="00E30FFC">
        <w:rPr>
          <w:b/>
          <w:i/>
        </w:rPr>
        <w:t xml:space="preserve"> </w:t>
      </w:r>
    </w:p>
    <w:p w14:paraId="0E148856" w14:textId="77777777" w:rsidR="002E3CD5" w:rsidRPr="00E30FFC" w:rsidRDefault="002E3CD5" w:rsidP="00E30FFC">
      <w:pPr>
        <w:spacing w:line="240" w:lineRule="auto"/>
        <w:rPr>
          <w:lang w:eastAsia="en-AU"/>
        </w:rPr>
      </w:pPr>
      <w:r w:rsidRPr="00E30FFC">
        <w:rPr>
          <w:lang w:eastAsia="en-AU"/>
        </w:rPr>
        <w:t xml:space="preserve">Extending the bright-line period would extend the taxation of gains from </w:t>
      </w:r>
      <w:r w:rsidR="00E138FC" w:rsidRPr="00E30FFC">
        <w:rPr>
          <w:lang w:eastAsia="en-AU"/>
        </w:rPr>
        <w:t>a particular type</w:t>
      </w:r>
      <w:r w:rsidRPr="00E30FFC">
        <w:rPr>
          <w:lang w:eastAsia="en-AU"/>
        </w:rPr>
        <w:t xml:space="preserve"> of property – non owner-occupied residential property.  This would enhance horizontal equity in relation to income from salary and wages, which is fully taxed.  In contrast, capital gains derived from the sales of businesses or </w:t>
      </w:r>
      <w:r w:rsidR="00E138FC" w:rsidRPr="00E30FFC">
        <w:rPr>
          <w:lang w:eastAsia="en-AU"/>
        </w:rPr>
        <w:t xml:space="preserve">some </w:t>
      </w:r>
      <w:r w:rsidRPr="00E30FFC">
        <w:rPr>
          <w:lang w:eastAsia="en-AU"/>
        </w:rPr>
        <w:t>other assets would continue to not be taxed (as under the status quo).</w:t>
      </w:r>
    </w:p>
    <w:p w14:paraId="44BF13D9" w14:textId="77777777" w:rsidR="002E3CD5" w:rsidRPr="00E30FFC" w:rsidRDefault="001C2404" w:rsidP="002E3CD5">
      <w:pPr>
        <w:spacing w:line="240" w:lineRule="auto"/>
        <w:rPr>
          <w:lang w:eastAsia="en-AU"/>
        </w:rPr>
      </w:pPr>
      <w:r w:rsidRPr="00E30FFC">
        <w:rPr>
          <w:lang w:eastAsia="en-AU"/>
        </w:rPr>
        <w:t>Some</w:t>
      </w:r>
      <w:r w:rsidR="002E3CD5" w:rsidRPr="00E30FFC">
        <w:rPr>
          <w:lang w:eastAsia="en-AU"/>
        </w:rPr>
        <w:t xml:space="preserve"> of those with second homes or rental property who sell within the bright-line period </w:t>
      </w:r>
      <w:r w:rsidR="001803DF" w:rsidRPr="00E30FFC">
        <w:rPr>
          <w:lang w:eastAsia="en-AU"/>
        </w:rPr>
        <w:t>could</w:t>
      </w:r>
      <w:r w:rsidR="002E3CD5" w:rsidRPr="00E30FFC">
        <w:rPr>
          <w:lang w:eastAsia="en-AU"/>
        </w:rPr>
        <w:t xml:space="preserve"> be taxed on much of their gain at 39%</w:t>
      </w:r>
      <w:r w:rsidR="00E138FC" w:rsidRPr="00E30FFC">
        <w:rPr>
          <w:lang w:eastAsia="en-AU"/>
        </w:rPr>
        <w:t>,</w:t>
      </w:r>
      <w:r w:rsidR="002E3CD5" w:rsidRPr="00E30FFC">
        <w:rPr>
          <w:lang w:eastAsia="en-AU"/>
        </w:rPr>
        <w:t xml:space="preserve"> even if their normal levels of income are much lower than $180,000.</w:t>
      </w:r>
      <w:r w:rsidR="001803DF" w:rsidRPr="00E30FFC">
        <w:footnoteReference w:id="16"/>
      </w:r>
      <w:r w:rsidR="002E3CD5" w:rsidRPr="00E30FFC">
        <w:rPr>
          <w:lang w:eastAsia="en-AU"/>
        </w:rPr>
        <w:t xml:space="preserve">  This is because gains that have accrued over many years </w:t>
      </w:r>
      <w:r w:rsidR="00E138FC" w:rsidRPr="00E30FFC">
        <w:rPr>
          <w:lang w:eastAsia="en-AU"/>
        </w:rPr>
        <w:t xml:space="preserve">would </w:t>
      </w:r>
      <w:r w:rsidR="002E3CD5" w:rsidRPr="00E30FFC">
        <w:rPr>
          <w:lang w:eastAsia="en-AU"/>
        </w:rPr>
        <w:t xml:space="preserve">be taxed in a single year.  This could be seen as unfair when many other types of gains including gains on listed shares, on agricultural land, on commercial or industrial property or on the sales of businesses would continue not to be taxed.  However, payment of tax on the gain will be delayed until sale of the property, giving taxpayers a benefit in that tax is delayed compared to when income was earned. </w:t>
      </w:r>
    </w:p>
    <w:p w14:paraId="7169460B" w14:textId="77777777" w:rsidR="002E3CD5" w:rsidRDefault="002E3CD5" w:rsidP="002E3CD5">
      <w:pPr>
        <w:spacing w:line="240" w:lineRule="auto"/>
        <w:rPr>
          <w:rFonts w:cs="Arial"/>
          <w:szCs w:val="22"/>
          <w:lang w:eastAsia="en-AU"/>
        </w:rPr>
      </w:pPr>
      <w:r>
        <w:rPr>
          <w:rFonts w:cs="Arial"/>
          <w:szCs w:val="22"/>
          <w:lang w:eastAsia="en-AU"/>
        </w:rPr>
        <w:t>Increasing</w:t>
      </w:r>
      <w:r w:rsidRPr="00DA0923">
        <w:rPr>
          <w:rFonts w:cs="Arial"/>
          <w:szCs w:val="22"/>
          <w:lang w:eastAsia="en-AU"/>
        </w:rPr>
        <w:t xml:space="preserve"> the tax rate on capital </w:t>
      </w:r>
      <w:r>
        <w:rPr>
          <w:rFonts w:cs="Arial"/>
          <w:szCs w:val="22"/>
          <w:lang w:eastAsia="en-AU"/>
        </w:rPr>
        <w:t>would likely be pro</w:t>
      </w:r>
      <w:r w:rsidRPr="00DA0923">
        <w:rPr>
          <w:rFonts w:cs="Arial"/>
          <w:szCs w:val="22"/>
          <w:lang w:eastAsia="en-AU"/>
        </w:rPr>
        <w:t xml:space="preserve">gressive (since capital income </w:t>
      </w:r>
      <w:r>
        <w:rPr>
          <w:rFonts w:cs="Arial"/>
          <w:szCs w:val="22"/>
          <w:lang w:eastAsia="en-AU"/>
        </w:rPr>
        <w:t xml:space="preserve">from selling residential investment properties </w:t>
      </w:r>
      <w:r w:rsidRPr="00DA0923">
        <w:rPr>
          <w:rFonts w:cs="Arial"/>
          <w:szCs w:val="22"/>
          <w:lang w:eastAsia="en-AU"/>
        </w:rPr>
        <w:t>tends to be earned</w:t>
      </w:r>
      <w:r>
        <w:rPr>
          <w:rFonts w:cs="Arial"/>
          <w:szCs w:val="22"/>
          <w:lang w:eastAsia="en-AU"/>
        </w:rPr>
        <w:t xml:space="preserve"> </w:t>
      </w:r>
      <w:r w:rsidRPr="00DA0923">
        <w:rPr>
          <w:rFonts w:cs="Arial"/>
          <w:szCs w:val="22"/>
          <w:lang w:eastAsia="en-AU"/>
        </w:rPr>
        <w:t>disproportionately</w:t>
      </w:r>
      <w:r>
        <w:rPr>
          <w:rFonts w:cs="Arial"/>
          <w:szCs w:val="22"/>
          <w:lang w:eastAsia="en-AU"/>
        </w:rPr>
        <w:t xml:space="preserve"> by those on higher incomes), so would improve </w:t>
      </w:r>
      <w:r w:rsidRPr="00DA0923">
        <w:rPr>
          <w:rFonts w:cs="Arial"/>
          <w:szCs w:val="22"/>
          <w:lang w:eastAsia="en-AU"/>
        </w:rPr>
        <w:t>vertical equity</w:t>
      </w:r>
      <w:r>
        <w:rPr>
          <w:rFonts w:cs="Arial"/>
          <w:szCs w:val="22"/>
          <w:lang w:eastAsia="en-AU"/>
        </w:rPr>
        <w:t>.</w:t>
      </w:r>
      <w:r w:rsidR="00354785">
        <w:rPr>
          <w:rStyle w:val="FootnoteReference"/>
          <w:rFonts w:cs="Arial"/>
          <w:szCs w:val="22"/>
          <w:lang w:eastAsia="en-AU"/>
        </w:rPr>
        <w:footnoteReference w:id="17"/>
      </w:r>
    </w:p>
    <w:p w14:paraId="6EB10882" w14:textId="77777777" w:rsidR="002E3CD5" w:rsidRDefault="002E3CD5" w:rsidP="002E3CD5">
      <w:pPr>
        <w:spacing w:line="240" w:lineRule="auto"/>
        <w:rPr>
          <w:lang w:eastAsia="en-AU"/>
        </w:rPr>
      </w:pPr>
      <w:r>
        <w:rPr>
          <w:b/>
          <w:i/>
          <w:lang w:eastAsia="en-AU"/>
        </w:rPr>
        <w:lastRenderedPageBreak/>
        <w:t>Fiscal</w:t>
      </w:r>
      <w:r w:rsidRPr="00220FF6">
        <w:rPr>
          <w:b/>
          <w:i/>
          <w:lang w:eastAsia="en-AU"/>
        </w:rPr>
        <w:t xml:space="preserve"> impact</w:t>
      </w:r>
      <w:r>
        <w:rPr>
          <w:lang w:eastAsia="en-AU"/>
        </w:rPr>
        <w:t xml:space="preserve"> </w:t>
      </w:r>
    </w:p>
    <w:p w14:paraId="18A04E74" w14:textId="77777777" w:rsidR="002E3CD5" w:rsidRDefault="002E3CD5" w:rsidP="002E3CD5">
      <w:pPr>
        <w:spacing w:line="240" w:lineRule="auto"/>
        <w:rPr>
          <w:lang w:eastAsia="en-AU"/>
        </w:rPr>
      </w:pPr>
      <w:r>
        <w:rPr>
          <w:lang w:eastAsia="en-AU"/>
        </w:rPr>
        <w:t>Extending the bright-line test will raise revenue. Inland Revenue has a static model to predict possible revenue arising from a 20 year bright-line extension. However, the precise sum of revenue raised will depend on investors</w:t>
      </w:r>
      <w:r w:rsidR="00E138FC">
        <w:rPr>
          <w:lang w:eastAsia="en-AU"/>
        </w:rPr>
        <w:t>’</w:t>
      </w:r>
      <w:r>
        <w:rPr>
          <w:lang w:eastAsia="en-AU"/>
        </w:rPr>
        <w:t xml:space="preserve"> behavioural responses that we are unable to model.</w:t>
      </w:r>
    </w:p>
    <w:p w14:paraId="58EE68EB" w14:textId="77777777" w:rsidR="002E3CD5" w:rsidRDefault="002E3CD5" w:rsidP="002E3CD5">
      <w:pPr>
        <w:spacing w:line="240" w:lineRule="auto"/>
        <w:rPr>
          <w:lang w:eastAsia="en-AU"/>
        </w:rPr>
      </w:pPr>
      <w:r>
        <w:rPr>
          <w:lang w:eastAsia="en-AU"/>
        </w:rPr>
        <w:t xml:space="preserve">Behavioural responses might include restructuring house ownership to lower marginal tax rates or increased rates of sales by investors who have determined they cannot wait 20 years. These </w:t>
      </w:r>
      <w:r w:rsidR="00E138FC">
        <w:rPr>
          <w:lang w:eastAsia="en-AU"/>
        </w:rPr>
        <w:t>e</w:t>
      </w:r>
      <w:r>
        <w:rPr>
          <w:lang w:eastAsia="en-AU"/>
        </w:rPr>
        <w:t xml:space="preserve">ffects will </w:t>
      </w:r>
      <w:r w:rsidRPr="000F45B4">
        <w:rPr>
          <w:rFonts w:cs="Arial"/>
          <w:szCs w:val="22"/>
          <w:lang w:eastAsia="en-AU"/>
        </w:rPr>
        <w:t>impact</w:t>
      </w:r>
      <w:r>
        <w:rPr>
          <w:lang w:eastAsia="en-AU"/>
        </w:rPr>
        <w:t xml:space="preserve"> our estimates but cannot be modelled with any level of confidence.</w:t>
      </w:r>
    </w:p>
    <w:p w14:paraId="4D3BE2BA" w14:textId="77777777" w:rsidR="002E3CD5" w:rsidRDefault="002E3CD5" w:rsidP="002E3CD5">
      <w:pPr>
        <w:spacing w:line="240" w:lineRule="auto"/>
        <w:rPr>
          <w:lang w:eastAsia="en-AU"/>
        </w:rPr>
      </w:pPr>
      <w:r>
        <w:rPr>
          <w:lang w:eastAsia="en-AU"/>
        </w:rPr>
        <w:t xml:space="preserve">The static model predicts that there will be no new revenue over the forecast period, as any sales in this period would be captured by the existing 5 year bright-line test. The static model suggests that an extended 20 year bright-line will start generating revenue in 2029. On the assumption of no behavioural </w:t>
      </w:r>
      <w:r w:rsidRPr="000F45B4">
        <w:rPr>
          <w:rFonts w:cs="Arial"/>
          <w:szCs w:val="22"/>
          <w:lang w:eastAsia="en-AU"/>
        </w:rPr>
        <w:t>changes</w:t>
      </w:r>
      <w:r>
        <w:rPr>
          <w:lang w:eastAsia="en-AU"/>
        </w:rPr>
        <w:t xml:space="preserve">, the sums generated should increase over time and could reach around 0.2% of GDP in annual revenue </w:t>
      </w:r>
      <w:r w:rsidR="00E138FC">
        <w:rPr>
          <w:lang w:eastAsia="en-AU"/>
        </w:rPr>
        <w:t xml:space="preserve">in </w:t>
      </w:r>
      <w:r>
        <w:rPr>
          <w:lang w:eastAsia="en-AU"/>
        </w:rPr>
        <w:t>2035, depending on the behavioural responses of investors.</w:t>
      </w:r>
    </w:p>
    <w:p w14:paraId="5E6EA414" w14:textId="77777777" w:rsidR="00C26422" w:rsidRDefault="002E3CD5" w:rsidP="002E3CD5">
      <w:pPr>
        <w:spacing w:line="240" w:lineRule="auto"/>
        <w:rPr>
          <w:b/>
          <w:i/>
          <w:lang w:eastAsia="en-AU"/>
        </w:rPr>
      </w:pPr>
      <w:r w:rsidRPr="00B62839">
        <w:rPr>
          <w:lang w:eastAsia="en-AU"/>
        </w:rPr>
        <w:t>There are many assumptions underlying this estimate, including assumptions on the distribution of ownership, the average gain on sale and how this might change over time, the volume of sales, the probability an exemption is claimed, and the share of sales already taxable under other provisions. These assumptions have a direct impact on the estimated fiscal gain. More importantly, we expect the lock-in effect to dampen any potential fiscal gains, particularly in the longer term.</w:t>
      </w:r>
      <w:r>
        <w:rPr>
          <w:lang w:eastAsia="en-AU"/>
        </w:rPr>
        <w:t xml:space="preserve"> </w:t>
      </w:r>
    </w:p>
    <w:p w14:paraId="6866DFCD" w14:textId="77777777" w:rsidR="00C26422" w:rsidRDefault="002E3CD5" w:rsidP="002E3CD5">
      <w:pPr>
        <w:spacing w:line="240" w:lineRule="auto"/>
        <w:rPr>
          <w:rFonts w:cs="Arial"/>
          <w:szCs w:val="22"/>
          <w:lang w:eastAsia="en-AU"/>
        </w:rPr>
      </w:pPr>
      <w:r w:rsidRPr="00220FF6">
        <w:rPr>
          <w:b/>
          <w:i/>
          <w:lang w:eastAsia="en-AU"/>
        </w:rPr>
        <w:t>Compliance and administration costs</w:t>
      </w:r>
      <w:r>
        <w:rPr>
          <w:lang w:eastAsia="en-AU"/>
        </w:rPr>
        <w:t xml:space="preserve"> </w:t>
      </w:r>
    </w:p>
    <w:p w14:paraId="0F972A47" w14:textId="77777777" w:rsidR="00C26422" w:rsidRDefault="002E3CD5" w:rsidP="002E3CD5">
      <w:pPr>
        <w:spacing w:line="240" w:lineRule="auto"/>
        <w:rPr>
          <w:rFonts w:eastAsia="Calibri" w:cs="Arial"/>
        </w:rPr>
      </w:pPr>
      <w:r w:rsidRPr="0061756E">
        <w:rPr>
          <w:rFonts w:cs="Arial"/>
          <w:szCs w:val="22"/>
          <w:lang w:eastAsia="en-AU"/>
        </w:rPr>
        <w:t xml:space="preserve">The bright-line extension </w:t>
      </w:r>
      <w:r>
        <w:rPr>
          <w:rFonts w:cs="Arial"/>
          <w:szCs w:val="22"/>
          <w:lang w:eastAsia="en-AU"/>
        </w:rPr>
        <w:t xml:space="preserve">could </w:t>
      </w:r>
      <w:r w:rsidRPr="0061756E">
        <w:rPr>
          <w:rFonts w:cs="Arial"/>
          <w:szCs w:val="22"/>
          <w:lang w:eastAsia="en-AU"/>
        </w:rPr>
        <w:t>impose some compliance costs on relatively unsophisticated taxpayers</w:t>
      </w:r>
      <w:r>
        <w:rPr>
          <w:rFonts w:cs="Arial"/>
          <w:szCs w:val="22"/>
          <w:lang w:eastAsia="en-AU"/>
        </w:rPr>
        <w:t xml:space="preserve">.  </w:t>
      </w:r>
      <w:r w:rsidRPr="004C42BC">
        <w:rPr>
          <w:rFonts w:cs="Arial"/>
          <w:szCs w:val="22"/>
          <w:lang w:eastAsia="en-AU"/>
        </w:rPr>
        <w:t xml:space="preserve">For example, taxpayers </w:t>
      </w:r>
      <w:r w:rsidR="00E138FC">
        <w:rPr>
          <w:rFonts w:cs="Arial"/>
          <w:szCs w:val="22"/>
          <w:lang w:eastAsia="en-AU"/>
        </w:rPr>
        <w:t>(</w:t>
      </w:r>
      <w:r w:rsidRPr="004C42BC">
        <w:rPr>
          <w:rFonts w:cs="Arial"/>
          <w:szCs w:val="22"/>
          <w:lang w:eastAsia="en-AU"/>
        </w:rPr>
        <w:t>including those with second homes</w:t>
      </w:r>
      <w:r w:rsidR="00E138FC">
        <w:rPr>
          <w:rFonts w:cs="Arial"/>
          <w:szCs w:val="22"/>
          <w:lang w:eastAsia="en-AU"/>
        </w:rPr>
        <w:t>)</w:t>
      </w:r>
      <w:r w:rsidRPr="004C42BC">
        <w:rPr>
          <w:rFonts w:cs="Arial"/>
          <w:szCs w:val="22"/>
          <w:lang w:eastAsia="en-AU"/>
        </w:rPr>
        <w:t xml:space="preserve"> will often make some capital improvements to a property over a 20-year period.  It can be complicated to distinguish capital improvements from repairs and maintenance.  </w:t>
      </w:r>
      <w:r w:rsidR="001803DF">
        <w:rPr>
          <w:rFonts w:cs="Arial"/>
          <w:szCs w:val="22"/>
          <w:lang w:eastAsia="en-AU"/>
        </w:rPr>
        <w:t>T</w:t>
      </w:r>
      <w:r w:rsidRPr="004C42BC">
        <w:rPr>
          <w:rFonts w:cs="Arial"/>
          <w:szCs w:val="22"/>
          <w:lang w:eastAsia="en-AU"/>
        </w:rPr>
        <w:t xml:space="preserve">axpayers </w:t>
      </w:r>
      <w:r>
        <w:rPr>
          <w:rFonts w:cs="Arial"/>
          <w:szCs w:val="22"/>
          <w:lang w:eastAsia="en-AU"/>
        </w:rPr>
        <w:t xml:space="preserve">will </w:t>
      </w:r>
      <w:r w:rsidR="001803DF">
        <w:rPr>
          <w:rFonts w:cs="Arial"/>
          <w:szCs w:val="22"/>
          <w:lang w:eastAsia="en-AU"/>
        </w:rPr>
        <w:t xml:space="preserve">be </w:t>
      </w:r>
      <w:r>
        <w:rPr>
          <w:rFonts w:cs="Arial"/>
          <w:szCs w:val="22"/>
          <w:lang w:eastAsia="en-AU"/>
        </w:rPr>
        <w:t>require</w:t>
      </w:r>
      <w:r w:rsidR="001803DF">
        <w:rPr>
          <w:rFonts w:cs="Arial"/>
          <w:szCs w:val="22"/>
          <w:lang w:eastAsia="en-AU"/>
        </w:rPr>
        <w:t>d</w:t>
      </w:r>
      <w:r>
        <w:rPr>
          <w:rFonts w:cs="Arial"/>
          <w:szCs w:val="22"/>
          <w:lang w:eastAsia="en-AU"/>
        </w:rPr>
        <w:t xml:space="preserve"> to </w:t>
      </w:r>
      <w:r w:rsidRPr="004C42BC">
        <w:rPr>
          <w:rFonts w:cs="Arial"/>
          <w:szCs w:val="22"/>
          <w:lang w:eastAsia="en-AU"/>
        </w:rPr>
        <w:t xml:space="preserve">keep records </w:t>
      </w:r>
      <w:r w:rsidR="001803DF">
        <w:rPr>
          <w:rFonts w:cs="Arial"/>
          <w:szCs w:val="22"/>
          <w:lang w:eastAsia="en-AU"/>
        </w:rPr>
        <w:t xml:space="preserve">of capital improvements </w:t>
      </w:r>
      <w:r w:rsidRPr="004C42BC">
        <w:rPr>
          <w:rFonts w:cs="Arial"/>
          <w:szCs w:val="22"/>
          <w:lang w:eastAsia="en-AU"/>
        </w:rPr>
        <w:t xml:space="preserve">for 20 years because money spent on capital improvements can </w:t>
      </w:r>
      <w:r w:rsidR="001803DF">
        <w:rPr>
          <w:rFonts w:cs="Arial"/>
          <w:szCs w:val="22"/>
          <w:lang w:eastAsia="en-AU"/>
        </w:rPr>
        <w:t xml:space="preserve">only </w:t>
      </w:r>
      <w:r w:rsidRPr="004C42BC">
        <w:rPr>
          <w:rFonts w:cs="Arial"/>
          <w:szCs w:val="22"/>
          <w:lang w:eastAsia="en-AU"/>
        </w:rPr>
        <w:t>be deducted from a gain on sale.</w:t>
      </w:r>
      <w:r w:rsidR="00E52224">
        <w:rPr>
          <w:rStyle w:val="FootnoteReference"/>
          <w:rFonts w:cs="Arial"/>
          <w:szCs w:val="22"/>
          <w:lang w:eastAsia="en-AU"/>
        </w:rPr>
        <w:footnoteReference w:id="18"/>
      </w:r>
      <w:r w:rsidRPr="004C42BC">
        <w:rPr>
          <w:rFonts w:cs="Arial"/>
          <w:szCs w:val="22"/>
          <w:lang w:eastAsia="en-AU"/>
        </w:rPr>
        <w:t xml:space="preserve">  </w:t>
      </w:r>
      <w:r>
        <w:rPr>
          <w:rFonts w:cs="Arial"/>
          <w:szCs w:val="22"/>
          <w:lang w:eastAsia="en-AU"/>
        </w:rPr>
        <w:t xml:space="preserve">This may mean that </w:t>
      </w:r>
      <w:r w:rsidRPr="004C42BC">
        <w:rPr>
          <w:rFonts w:cs="Arial"/>
          <w:szCs w:val="22"/>
          <w:lang w:eastAsia="en-AU"/>
        </w:rPr>
        <w:t xml:space="preserve">taxpayers </w:t>
      </w:r>
      <w:r>
        <w:rPr>
          <w:rFonts w:cs="Arial"/>
          <w:szCs w:val="22"/>
          <w:lang w:eastAsia="en-AU"/>
        </w:rPr>
        <w:t xml:space="preserve">would have </w:t>
      </w:r>
      <w:r w:rsidRPr="004C42BC">
        <w:rPr>
          <w:rFonts w:cs="Arial"/>
          <w:szCs w:val="22"/>
          <w:lang w:eastAsia="en-AU"/>
        </w:rPr>
        <w:t xml:space="preserve">to keep records of </w:t>
      </w:r>
      <w:r>
        <w:rPr>
          <w:rFonts w:cs="Arial"/>
          <w:szCs w:val="22"/>
          <w:lang w:eastAsia="en-AU"/>
        </w:rPr>
        <w:t xml:space="preserve">improvement costs </w:t>
      </w:r>
      <w:r w:rsidRPr="004C42BC">
        <w:rPr>
          <w:rFonts w:cs="Arial"/>
          <w:szCs w:val="22"/>
          <w:lang w:eastAsia="en-AU"/>
        </w:rPr>
        <w:t>for 20 years</w:t>
      </w:r>
      <w:r>
        <w:rPr>
          <w:rFonts w:cs="Arial"/>
          <w:szCs w:val="22"/>
          <w:lang w:eastAsia="en-AU"/>
        </w:rPr>
        <w:t>,</w:t>
      </w:r>
      <w:r w:rsidRPr="004C42BC">
        <w:rPr>
          <w:rFonts w:cs="Arial"/>
          <w:szCs w:val="22"/>
          <w:lang w:eastAsia="en-AU"/>
        </w:rPr>
        <w:t xml:space="preserve"> </w:t>
      </w:r>
      <w:r>
        <w:rPr>
          <w:rFonts w:cs="Arial"/>
          <w:szCs w:val="22"/>
          <w:lang w:eastAsia="en-AU"/>
        </w:rPr>
        <w:t>even</w:t>
      </w:r>
      <w:r w:rsidRPr="004C42BC">
        <w:rPr>
          <w:rFonts w:cs="Arial"/>
          <w:szCs w:val="22"/>
          <w:lang w:eastAsia="en-AU"/>
        </w:rPr>
        <w:t xml:space="preserve"> if the property is ultimately held for more than 20 years</w:t>
      </w:r>
      <w:r w:rsidRPr="0061756E">
        <w:rPr>
          <w:rFonts w:cs="Arial"/>
          <w:szCs w:val="22"/>
          <w:lang w:eastAsia="en-AU"/>
        </w:rPr>
        <w:t>.</w:t>
      </w:r>
      <w:r>
        <w:rPr>
          <w:rStyle w:val="FootnoteReference"/>
          <w:rFonts w:cs="Arial"/>
          <w:szCs w:val="22"/>
          <w:lang w:eastAsia="en-AU"/>
        </w:rPr>
        <w:footnoteReference w:id="19"/>
      </w:r>
    </w:p>
    <w:p w14:paraId="588D0668" w14:textId="77777777" w:rsidR="00C26422" w:rsidRDefault="002E3CD5" w:rsidP="002E3CD5">
      <w:pPr>
        <w:spacing w:line="240" w:lineRule="auto"/>
        <w:rPr>
          <w:b/>
          <w:i/>
          <w:lang w:eastAsia="en-AU"/>
        </w:rPr>
      </w:pPr>
      <w:r w:rsidRPr="005D32BE">
        <w:rPr>
          <w:rFonts w:eastAsia="Calibri" w:cs="Arial"/>
        </w:rPr>
        <w:t xml:space="preserve">To implement the extension to the bright-line period, there will be administration costs to Inland </w:t>
      </w:r>
      <w:r w:rsidRPr="000F45B4">
        <w:rPr>
          <w:rFonts w:cs="Arial"/>
          <w:szCs w:val="22"/>
          <w:lang w:eastAsia="en-AU"/>
        </w:rPr>
        <w:t>Revenue</w:t>
      </w:r>
      <w:r w:rsidRPr="005D32BE">
        <w:rPr>
          <w:rFonts w:eastAsia="Calibri" w:cs="Arial"/>
        </w:rPr>
        <w:t xml:space="preserve"> and LINZ to the extent updates are required to the relevant forms, systems and guidance. </w:t>
      </w:r>
    </w:p>
    <w:p w14:paraId="5D22E75F" w14:textId="77777777" w:rsidR="00C26422" w:rsidRDefault="002E3CD5" w:rsidP="002E3CD5">
      <w:pPr>
        <w:spacing w:line="240" w:lineRule="auto"/>
        <w:rPr>
          <w:rFonts w:cs="Arial"/>
          <w:szCs w:val="22"/>
          <w:lang w:eastAsia="en-AU"/>
        </w:rPr>
      </w:pPr>
      <w:r w:rsidRPr="000F45B4">
        <w:rPr>
          <w:b/>
          <w:i/>
          <w:lang w:eastAsia="en-AU"/>
        </w:rPr>
        <w:t>Coherence</w:t>
      </w:r>
    </w:p>
    <w:p w14:paraId="7532464D" w14:textId="77777777" w:rsidR="00C26422" w:rsidRDefault="002E3CD5" w:rsidP="002E3CD5">
      <w:pPr>
        <w:spacing w:line="240" w:lineRule="auto"/>
        <w:rPr>
          <w:b/>
          <w:i/>
          <w:lang w:eastAsia="en-AU"/>
        </w:rPr>
      </w:pPr>
      <w:r>
        <w:rPr>
          <w:rFonts w:cs="Arial"/>
          <w:szCs w:val="22"/>
          <w:lang w:eastAsia="en-AU"/>
        </w:rPr>
        <w:t>Extending the bright-line broadens the tax base by taxing more economic income.  To that extent</w:t>
      </w:r>
      <w:r w:rsidR="00782424">
        <w:rPr>
          <w:rFonts w:cs="Arial"/>
          <w:szCs w:val="22"/>
          <w:lang w:eastAsia="en-AU"/>
        </w:rPr>
        <w:t>,</w:t>
      </w:r>
      <w:r>
        <w:rPr>
          <w:rFonts w:cs="Arial"/>
          <w:szCs w:val="22"/>
          <w:lang w:eastAsia="en-AU"/>
        </w:rPr>
        <w:t xml:space="preserve"> it enhances the coherence of the tax system compared to the status quo. </w:t>
      </w:r>
      <w:r w:rsidR="004C1D72">
        <w:rPr>
          <w:rFonts w:cs="Arial"/>
          <w:szCs w:val="22"/>
          <w:lang w:eastAsia="en-AU"/>
        </w:rPr>
        <w:t>However, it would result in a variety of rules taxing capital gains, which would be less coherent than a comprehensive capital gains tax.</w:t>
      </w:r>
    </w:p>
    <w:p w14:paraId="2C8A1FD8" w14:textId="77777777" w:rsidR="00C26422" w:rsidRDefault="002E3CD5" w:rsidP="002E3CD5">
      <w:pPr>
        <w:spacing w:line="240" w:lineRule="auto"/>
      </w:pPr>
      <w:r w:rsidRPr="00220FF6">
        <w:rPr>
          <w:b/>
          <w:i/>
          <w:lang w:eastAsia="en-AU"/>
        </w:rPr>
        <w:t xml:space="preserve">Overall </w:t>
      </w:r>
      <w:r>
        <w:rPr>
          <w:b/>
          <w:i/>
          <w:lang w:eastAsia="en-AU"/>
        </w:rPr>
        <w:t>conclusion</w:t>
      </w:r>
    </w:p>
    <w:p w14:paraId="39442E26" w14:textId="77777777" w:rsidR="00C26422" w:rsidRDefault="002E3CD5" w:rsidP="002E3CD5">
      <w:pPr>
        <w:spacing w:line="240" w:lineRule="auto"/>
        <w:rPr>
          <w:rFonts w:cs="Arial"/>
          <w:b/>
          <w:szCs w:val="22"/>
          <w:lang w:eastAsia="en-AU"/>
        </w:rPr>
      </w:pPr>
      <w:r>
        <w:t xml:space="preserve">On balance, the Treasury recommends this option. The extension </w:t>
      </w:r>
      <w:r w:rsidRPr="00A073B3">
        <w:t xml:space="preserve">will help meet some of the Government’s housing </w:t>
      </w:r>
      <w:r w:rsidRPr="000F45B4">
        <w:rPr>
          <w:rFonts w:cs="Arial"/>
          <w:szCs w:val="22"/>
          <w:lang w:eastAsia="en-AU"/>
        </w:rPr>
        <w:t>market</w:t>
      </w:r>
      <w:r w:rsidRPr="00A073B3">
        <w:t xml:space="preserve"> objectives. </w:t>
      </w:r>
      <w:r>
        <w:t xml:space="preserve">Extending the bright-line test should put downward pressure on house prices in the short to medium term, and provide </w:t>
      </w:r>
      <w:r w:rsidRPr="00C7681B">
        <w:rPr>
          <w:rFonts w:eastAsia="Calibri" w:cs="Arial"/>
          <w:szCs w:val="22"/>
          <w:lang w:eastAsia="en-NZ"/>
        </w:rPr>
        <w:t xml:space="preserve">equity and efficiency benefits </w:t>
      </w:r>
      <w:r>
        <w:rPr>
          <w:rFonts w:eastAsia="Calibri" w:cs="Arial"/>
          <w:szCs w:val="22"/>
          <w:lang w:eastAsia="en-NZ"/>
        </w:rPr>
        <w:t>as more economic income is taxed. Conversely, e</w:t>
      </w:r>
      <w:r w:rsidRPr="00A073B3">
        <w:t xml:space="preserve">xtending the bright-line test </w:t>
      </w:r>
      <w:r>
        <w:t xml:space="preserve">may </w:t>
      </w:r>
      <w:r w:rsidRPr="00A073B3">
        <w:t>put upward pressure on rents</w:t>
      </w:r>
      <w:r>
        <w:t xml:space="preserve"> and have potential lock-in effects (although </w:t>
      </w:r>
      <w:r w:rsidRPr="00C7681B">
        <w:rPr>
          <w:rFonts w:eastAsia="Calibri" w:cs="Arial"/>
          <w:szCs w:val="22"/>
          <w:lang w:eastAsia="en-NZ"/>
        </w:rPr>
        <w:t xml:space="preserve">the additional costs </w:t>
      </w:r>
      <w:r w:rsidRPr="00C7681B">
        <w:rPr>
          <w:rFonts w:eastAsia="Calibri" w:cs="Arial"/>
          <w:szCs w:val="22"/>
          <w:lang w:eastAsia="en-NZ"/>
        </w:rPr>
        <w:lastRenderedPageBreak/>
        <w:t xml:space="preserve">of </w:t>
      </w:r>
      <w:r>
        <w:rPr>
          <w:rFonts w:eastAsia="Calibri" w:cs="Arial"/>
          <w:szCs w:val="22"/>
          <w:lang w:eastAsia="en-NZ"/>
        </w:rPr>
        <w:t xml:space="preserve">these are </w:t>
      </w:r>
      <w:r w:rsidRPr="00C7681B">
        <w:rPr>
          <w:rFonts w:eastAsia="Calibri" w:cs="Arial"/>
          <w:szCs w:val="22"/>
          <w:lang w:eastAsia="en-NZ"/>
        </w:rPr>
        <w:t>unclear</w:t>
      </w:r>
      <w:r>
        <w:rPr>
          <w:rFonts w:eastAsia="Calibri" w:cs="Arial"/>
          <w:szCs w:val="22"/>
          <w:lang w:eastAsia="en-NZ"/>
        </w:rPr>
        <w:t>, and the Treasury’s view is that lock-in will not significantly reduce housing utilisation).</w:t>
      </w:r>
    </w:p>
    <w:p w14:paraId="5C7643DF" w14:textId="77777777" w:rsidR="00C26422" w:rsidRDefault="002E3CD5" w:rsidP="002E3CD5">
      <w:pPr>
        <w:spacing w:line="240" w:lineRule="auto"/>
        <w:rPr>
          <w:rFonts w:cs="Arial"/>
          <w:b/>
          <w:szCs w:val="22"/>
          <w:lang w:eastAsia="en-AU"/>
        </w:rPr>
      </w:pPr>
      <w:r>
        <w:rPr>
          <w:rFonts w:cs="Arial"/>
          <w:b/>
          <w:szCs w:val="22"/>
          <w:lang w:eastAsia="en-AU"/>
        </w:rPr>
        <w:t xml:space="preserve">Option 1B: </w:t>
      </w:r>
      <w:r w:rsidRPr="006E0F54">
        <w:rPr>
          <w:b/>
          <w:lang w:eastAsia="en-AU"/>
        </w:rPr>
        <w:t>Extending</w:t>
      </w:r>
      <w:r w:rsidRPr="00270140">
        <w:rPr>
          <w:rFonts w:cs="Arial"/>
          <w:b/>
          <w:szCs w:val="22"/>
          <w:lang w:eastAsia="en-AU"/>
        </w:rPr>
        <w:t xml:space="preserve"> the bright</w:t>
      </w:r>
      <w:r>
        <w:rPr>
          <w:rFonts w:cs="Arial"/>
          <w:b/>
          <w:szCs w:val="22"/>
          <w:lang w:eastAsia="en-AU"/>
        </w:rPr>
        <w:t>-</w:t>
      </w:r>
      <w:r w:rsidRPr="00270140">
        <w:rPr>
          <w:rFonts w:cs="Arial"/>
          <w:b/>
          <w:szCs w:val="22"/>
          <w:lang w:eastAsia="en-AU"/>
        </w:rPr>
        <w:t xml:space="preserve">line period to </w:t>
      </w:r>
      <w:r w:rsidRPr="00302AC3">
        <w:rPr>
          <w:rFonts w:cs="Arial"/>
          <w:b/>
          <w:szCs w:val="22"/>
          <w:lang w:eastAsia="en-AU"/>
        </w:rPr>
        <w:t>20</w:t>
      </w:r>
      <w:r w:rsidRPr="00270140">
        <w:rPr>
          <w:rFonts w:cs="Arial"/>
          <w:b/>
          <w:szCs w:val="22"/>
          <w:lang w:eastAsia="en-AU"/>
        </w:rPr>
        <w:t xml:space="preserve"> years</w:t>
      </w:r>
      <w:r>
        <w:rPr>
          <w:rFonts w:cs="Arial"/>
          <w:b/>
          <w:szCs w:val="22"/>
          <w:lang w:eastAsia="en-AU"/>
        </w:rPr>
        <w:t xml:space="preserve"> for property </w:t>
      </w:r>
      <w:r w:rsidR="004E57E8">
        <w:rPr>
          <w:rFonts w:cs="Arial"/>
          <w:b/>
          <w:szCs w:val="22"/>
          <w:lang w:eastAsia="en-AU"/>
        </w:rPr>
        <w:t xml:space="preserve">acquired on or after the application date </w:t>
      </w:r>
      <w:r>
        <w:rPr>
          <w:rFonts w:cs="Arial"/>
          <w:b/>
          <w:szCs w:val="22"/>
          <w:lang w:eastAsia="en-AU"/>
        </w:rPr>
        <w:t xml:space="preserve">– excluding new </w:t>
      </w:r>
      <w:r w:rsidRPr="006F586A">
        <w:rPr>
          <w:rFonts w:cs="Arial"/>
          <w:b/>
          <w:szCs w:val="22"/>
          <w:lang w:eastAsia="en-AU"/>
        </w:rPr>
        <w:t>builds (applying a 5-year bright-line to new-builds)</w:t>
      </w:r>
    </w:p>
    <w:p w14:paraId="21A86171" w14:textId="77777777" w:rsidR="00C26422" w:rsidRDefault="002E3CD5" w:rsidP="002E3CD5">
      <w:pPr>
        <w:spacing w:line="240" w:lineRule="auto"/>
        <w:rPr>
          <w:rFonts w:cs="Arial"/>
          <w:szCs w:val="22"/>
          <w:lang w:eastAsia="en-AU"/>
        </w:rPr>
      </w:pPr>
      <w:r w:rsidRPr="00302AC3">
        <w:rPr>
          <w:rFonts w:cs="Arial"/>
          <w:szCs w:val="22"/>
          <w:lang w:eastAsia="en-AU"/>
        </w:rPr>
        <w:t xml:space="preserve">Extending the bright-line test would put downward pressure on property prices, but in doing so </w:t>
      </w:r>
      <w:r>
        <w:rPr>
          <w:rFonts w:cs="Arial"/>
          <w:szCs w:val="22"/>
          <w:lang w:eastAsia="en-AU"/>
        </w:rPr>
        <w:t xml:space="preserve">may </w:t>
      </w:r>
      <w:r w:rsidRPr="00302AC3">
        <w:rPr>
          <w:rFonts w:cs="Arial"/>
          <w:szCs w:val="22"/>
          <w:lang w:eastAsia="en-AU"/>
        </w:rPr>
        <w:t xml:space="preserve">reduce </w:t>
      </w:r>
      <w:r w:rsidRPr="000F45B4">
        <w:rPr>
          <w:rFonts w:eastAsia="Calibri" w:cs="Arial"/>
          <w:szCs w:val="22"/>
          <w:lang w:eastAsia="en-NZ"/>
        </w:rPr>
        <w:t>incentives</w:t>
      </w:r>
      <w:r w:rsidRPr="00302AC3">
        <w:rPr>
          <w:rFonts w:cs="Arial"/>
          <w:szCs w:val="22"/>
          <w:lang w:eastAsia="en-AU"/>
        </w:rPr>
        <w:t xml:space="preserve"> to build new houses.</w:t>
      </w:r>
      <w:r>
        <w:rPr>
          <w:rFonts w:cs="Arial"/>
          <w:szCs w:val="22"/>
          <w:lang w:eastAsia="en-AU"/>
        </w:rPr>
        <w:t xml:space="preserve"> </w:t>
      </w:r>
      <w:r w:rsidR="008951CD">
        <w:rPr>
          <w:rFonts w:cs="Arial"/>
          <w:szCs w:val="22"/>
          <w:lang w:eastAsia="en-AU"/>
        </w:rPr>
        <w:t xml:space="preserve">A reduction in supply, compared to without the tax, would mitigate somewhat any reduction in house prices arising from the tax over the longer term. </w:t>
      </w:r>
      <w:r w:rsidR="00A66006" w:rsidRPr="0094494C">
        <w:rPr>
          <w:rFonts w:cs="Arial"/>
          <w:szCs w:val="22"/>
          <w:lang w:eastAsia="en-AU"/>
        </w:rPr>
        <w:t>Data from CoreLogic shows that almost 40% of new build properties were purchased by multiple</w:t>
      </w:r>
      <w:r w:rsidR="00316A3C">
        <w:rPr>
          <w:rFonts w:cs="Arial"/>
          <w:szCs w:val="22"/>
          <w:lang w:eastAsia="en-AU"/>
        </w:rPr>
        <w:t>-</w:t>
      </w:r>
      <w:r w:rsidR="00A66006" w:rsidRPr="0094494C">
        <w:rPr>
          <w:rFonts w:cs="Arial"/>
          <w:szCs w:val="22"/>
          <w:lang w:eastAsia="en-AU"/>
        </w:rPr>
        <w:t>property owners (a proxy for investors) in 2020.</w:t>
      </w:r>
      <w:r w:rsidR="00A66006">
        <w:rPr>
          <w:rFonts w:cs="Arial"/>
          <w:szCs w:val="22"/>
          <w:lang w:eastAsia="en-AU"/>
        </w:rPr>
        <w:t xml:space="preserve"> </w:t>
      </w:r>
      <w:r>
        <w:rPr>
          <w:rFonts w:cs="Arial"/>
          <w:szCs w:val="22"/>
          <w:lang w:eastAsia="en-AU"/>
        </w:rPr>
        <w:t xml:space="preserve">One option to mitigate the reduced incentive to build is to </w:t>
      </w:r>
      <w:r w:rsidRPr="000F45B4">
        <w:t>exclude</w:t>
      </w:r>
      <w:r>
        <w:rPr>
          <w:rFonts w:cs="Arial"/>
          <w:szCs w:val="22"/>
          <w:lang w:eastAsia="en-AU"/>
        </w:rPr>
        <w:t xml:space="preserve"> new housing from the </w:t>
      </w:r>
      <w:r w:rsidR="00A66006">
        <w:rPr>
          <w:rFonts w:cs="Arial"/>
          <w:szCs w:val="22"/>
          <w:lang w:eastAsia="en-AU"/>
        </w:rPr>
        <w:t xml:space="preserve">bright-line </w:t>
      </w:r>
      <w:r>
        <w:rPr>
          <w:rFonts w:cs="Arial"/>
          <w:szCs w:val="22"/>
          <w:lang w:eastAsia="en-AU"/>
        </w:rPr>
        <w:t>extension.</w:t>
      </w:r>
      <w:r w:rsidRPr="004667AA">
        <w:rPr>
          <w:rFonts w:cs="Arial"/>
          <w:szCs w:val="22"/>
          <w:lang w:eastAsia="en-AU"/>
        </w:rPr>
        <w:t xml:space="preserve"> </w:t>
      </w:r>
      <w:r w:rsidR="008061F0">
        <w:rPr>
          <w:rFonts w:cs="Arial"/>
          <w:szCs w:val="22"/>
          <w:lang w:eastAsia="en-AU"/>
        </w:rPr>
        <w:t xml:space="preserve">This would mean that the 5-year bright-line period </w:t>
      </w:r>
      <w:r w:rsidR="002B4C92">
        <w:rPr>
          <w:rFonts w:cs="Arial"/>
          <w:szCs w:val="22"/>
          <w:lang w:eastAsia="en-AU"/>
        </w:rPr>
        <w:t xml:space="preserve">would </w:t>
      </w:r>
      <w:r w:rsidR="008061F0">
        <w:rPr>
          <w:rFonts w:cs="Arial"/>
          <w:szCs w:val="22"/>
          <w:lang w:eastAsia="en-AU"/>
        </w:rPr>
        <w:t>still appl</w:t>
      </w:r>
      <w:r w:rsidR="002B4C92">
        <w:rPr>
          <w:rFonts w:cs="Arial"/>
          <w:szCs w:val="22"/>
          <w:lang w:eastAsia="en-AU"/>
        </w:rPr>
        <w:t>y</w:t>
      </w:r>
      <w:r w:rsidR="008061F0">
        <w:rPr>
          <w:rFonts w:cs="Arial"/>
          <w:szCs w:val="22"/>
          <w:lang w:eastAsia="en-AU"/>
        </w:rPr>
        <w:t xml:space="preserve"> to new builds. </w:t>
      </w:r>
    </w:p>
    <w:p w14:paraId="60C41A04" w14:textId="77777777" w:rsidR="00C26422" w:rsidRDefault="002E3CD5" w:rsidP="002E3CD5">
      <w:pPr>
        <w:spacing w:line="240" w:lineRule="auto"/>
        <w:rPr>
          <w:rFonts w:cs="Arial"/>
          <w:szCs w:val="22"/>
          <w:lang w:eastAsia="en-AU"/>
        </w:rPr>
      </w:pPr>
      <w:r>
        <w:rPr>
          <w:rFonts w:cs="Arial"/>
          <w:szCs w:val="22"/>
          <w:lang w:eastAsia="en-AU"/>
        </w:rPr>
        <w:t>This option will have the same costs and benefits as Option 1</w:t>
      </w:r>
      <w:r w:rsidR="005D1402">
        <w:rPr>
          <w:rFonts w:cs="Arial"/>
          <w:szCs w:val="22"/>
          <w:lang w:eastAsia="en-AU"/>
        </w:rPr>
        <w:t>A</w:t>
      </w:r>
      <w:r>
        <w:rPr>
          <w:rFonts w:cs="Arial"/>
          <w:szCs w:val="22"/>
          <w:lang w:eastAsia="en-AU"/>
        </w:rPr>
        <w:t xml:space="preserve">, but on a smaller scale and with additional </w:t>
      </w:r>
      <w:r w:rsidRPr="000F45B4">
        <w:t>further</w:t>
      </w:r>
      <w:r>
        <w:rPr>
          <w:rFonts w:cs="Arial"/>
          <w:szCs w:val="22"/>
          <w:lang w:eastAsia="en-AU"/>
        </w:rPr>
        <w:t xml:space="preserve"> compliance and administrative costs. The analysis below focuses on the differences in the impacts of these options.</w:t>
      </w:r>
    </w:p>
    <w:p w14:paraId="4EED0A02" w14:textId="77777777" w:rsidR="00C26422" w:rsidRDefault="002E3CD5" w:rsidP="002E3CD5">
      <w:pPr>
        <w:spacing w:line="240" w:lineRule="auto"/>
        <w:rPr>
          <w:rFonts w:cs="Arial"/>
          <w:szCs w:val="22"/>
          <w:lang w:eastAsia="en-AU"/>
        </w:rPr>
      </w:pPr>
      <w:r w:rsidRPr="00220FF6">
        <w:rPr>
          <w:rFonts w:cs="Arial"/>
          <w:b/>
          <w:i/>
          <w:szCs w:val="22"/>
          <w:lang w:eastAsia="en-AU"/>
        </w:rPr>
        <w:t xml:space="preserve">Support </w:t>
      </w:r>
      <w:r w:rsidRPr="000F45B4">
        <w:rPr>
          <w:b/>
          <w:i/>
          <w:lang w:eastAsia="en-AU"/>
        </w:rPr>
        <w:t>greater</w:t>
      </w:r>
      <w:r w:rsidRPr="00220FF6">
        <w:rPr>
          <w:rFonts w:cs="Arial"/>
          <w:b/>
          <w:i/>
          <w:szCs w:val="22"/>
          <w:lang w:eastAsia="en-AU"/>
        </w:rPr>
        <w:t xml:space="preserve"> housing affordability </w:t>
      </w:r>
      <w:r>
        <w:rPr>
          <w:rFonts w:cs="Arial"/>
          <w:b/>
          <w:i/>
          <w:szCs w:val="22"/>
          <w:lang w:eastAsia="en-AU"/>
        </w:rPr>
        <w:t>by putting downward pressure on house prices</w:t>
      </w:r>
    </w:p>
    <w:p w14:paraId="5F2F5ED6" w14:textId="77777777" w:rsidR="00C26422" w:rsidRDefault="002E3CD5" w:rsidP="002E3CD5">
      <w:pPr>
        <w:spacing w:line="240" w:lineRule="auto"/>
        <w:rPr>
          <w:b/>
          <w:i/>
          <w:lang w:eastAsia="en-AU"/>
        </w:rPr>
      </w:pPr>
      <w:r w:rsidRPr="008B07DB">
        <w:rPr>
          <w:rFonts w:cs="Arial"/>
          <w:szCs w:val="22"/>
          <w:lang w:eastAsia="en-AU"/>
        </w:rPr>
        <w:t xml:space="preserve">Compared to applying the </w:t>
      </w:r>
      <w:r w:rsidR="008061F0">
        <w:rPr>
          <w:rFonts w:cs="Arial"/>
          <w:szCs w:val="22"/>
          <w:lang w:eastAsia="en-AU"/>
        </w:rPr>
        <w:t>extended bright-line</w:t>
      </w:r>
      <w:r w:rsidR="008061F0" w:rsidRPr="008B07DB">
        <w:rPr>
          <w:rFonts w:cs="Arial"/>
          <w:szCs w:val="22"/>
          <w:lang w:eastAsia="en-AU"/>
        </w:rPr>
        <w:t xml:space="preserve"> </w:t>
      </w:r>
      <w:r w:rsidR="00316A3C">
        <w:rPr>
          <w:rFonts w:cs="Arial"/>
          <w:szCs w:val="22"/>
          <w:lang w:eastAsia="en-AU"/>
        </w:rPr>
        <w:t xml:space="preserve">test </w:t>
      </w:r>
      <w:r w:rsidRPr="008B07DB">
        <w:rPr>
          <w:rFonts w:cs="Arial"/>
          <w:szCs w:val="22"/>
          <w:lang w:eastAsia="en-AU"/>
        </w:rPr>
        <w:t>to all properties, special rules for new builds would lead investors to demand more new build properties</w:t>
      </w:r>
      <w:r w:rsidR="00DD428A">
        <w:rPr>
          <w:rFonts w:cs="Arial"/>
          <w:szCs w:val="22"/>
          <w:lang w:eastAsia="en-AU"/>
        </w:rPr>
        <w:t xml:space="preserve"> (as opposed to existing dwellings)</w:t>
      </w:r>
      <w:r w:rsidRPr="008B07DB">
        <w:rPr>
          <w:rFonts w:cs="Arial"/>
          <w:szCs w:val="22"/>
          <w:lang w:eastAsia="en-AU"/>
        </w:rPr>
        <w:t>, as they attract a significant tax advantage. That, in turn, means that the price of new builds is likely to be higher</w:t>
      </w:r>
      <w:r w:rsidR="00C04878">
        <w:rPr>
          <w:rFonts w:cs="Arial"/>
          <w:szCs w:val="22"/>
          <w:lang w:eastAsia="en-AU"/>
        </w:rPr>
        <w:t xml:space="preserve"> than without the exemption</w:t>
      </w:r>
      <w:r w:rsidRPr="008B07DB">
        <w:rPr>
          <w:rFonts w:cs="Arial"/>
          <w:szCs w:val="22"/>
          <w:lang w:eastAsia="en-AU"/>
        </w:rPr>
        <w:t xml:space="preserve">, which will mean that buyers who do not </w:t>
      </w:r>
      <w:r w:rsidRPr="000F45B4">
        <w:t>have</w:t>
      </w:r>
      <w:r w:rsidRPr="008B07DB">
        <w:rPr>
          <w:rFonts w:cs="Arial"/>
          <w:szCs w:val="22"/>
          <w:lang w:eastAsia="en-AU"/>
        </w:rPr>
        <w:t xml:space="preserve"> a tax advantage </w:t>
      </w:r>
      <w:r w:rsidR="00A806E7">
        <w:rPr>
          <w:rFonts w:cs="Arial"/>
          <w:szCs w:val="22"/>
          <w:lang w:eastAsia="en-AU"/>
        </w:rPr>
        <w:t>(e</w:t>
      </w:r>
      <w:r w:rsidR="00376B19">
        <w:rPr>
          <w:rFonts w:cs="Arial"/>
          <w:szCs w:val="22"/>
          <w:lang w:eastAsia="en-AU"/>
        </w:rPr>
        <w:t>.</w:t>
      </w:r>
      <w:r w:rsidR="00A806E7">
        <w:rPr>
          <w:rFonts w:cs="Arial"/>
          <w:szCs w:val="22"/>
          <w:lang w:eastAsia="en-AU"/>
        </w:rPr>
        <w:t>g</w:t>
      </w:r>
      <w:r w:rsidR="00376B19">
        <w:rPr>
          <w:rFonts w:cs="Arial"/>
          <w:szCs w:val="22"/>
          <w:lang w:eastAsia="en-AU"/>
        </w:rPr>
        <w:t>.</w:t>
      </w:r>
      <w:r w:rsidR="00A806E7">
        <w:rPr>
          <w:rFonts w:cs="Arial"/>
          <w:szCs w:val="22"/>
          <w:lang w:eastAsia="en-AU"/>
        </w:rPr>
        <w:t xml:space="preserve"> owner-occupiers) </w:t>
      </w:r>
      <w:r w:rsidRPr="008B07DB">
        <w:rPr>
          <w:rFonts w:cs="Arial"/>
          <w:szCs w:val="22"/>
          <w:lang w:eastAsia="en-AU"/>
        </w:rPr>
        <w:t>will tend to shift their demand to existing stock</w:t>
      </w:r>
      <w:r w:rsidR="00316A3C">
        <w:rPr>
          <w:rFonts w:cs="Arial"/>
          <w:szCs w:val="22"/>
          <w:lang w:eastAsia="en-AU"/>
        </w:rPr>
        <w:t xml:space="preserve"> (particularly if they are priced out of market for new builds)</w:t>
      </w:r>
      <w:r w:rsidRPr="008B07DB">
        <w:rPr>
          <w:rFonts w:cs="Arial"/>
          <w:szCs w:val="22"/>
          <w:lang w:eastAsia="en-AU"/>
        </w:rPr>
        <w:t xml:space="preserve">. </w:t>
      </w:r>
      <w:r w:rsidR="003D2500">
        <w:rPr>
          <w:rFonts w:cs="Arial"/>
          <w:szCs w:val="22"/>
          <w:lang w:eastAsia="en-AU"/>
        </w:rPr>
        <w:t xml:space="preserve">There could be an impact on supply to the extent that it increases greenfield development or intensification. </w:t>
      </w:r>
      <w:r w:rsidR="00EE44D9" w:rsidRPr="003D2500">
        <w:rPr>
          <w:rFonts w:cs="Arial"/>
          <w:szCs w:val="22"/>
          <w:lang w:eastAsia="en-AU"/>
        </w:rPr>
        <w:t xml:space="preserve">Over the long term </w:t>
      </w:r>
      <w:r w:rsidR="003D2500" w:rsidRPr="003D2500">
        <w:rPr>
          <w:rFonts w:cs="Arial"/>
          <w:szCs w:val="22"/>
          <w:lang w:eastAsia="en-AU"/>
        </w:rPr>
        <w:t xml:space="preserve">any </w:t>
      </w:r>
      <w:r w:rsidR="00EE44D9" w:rsidRPr="003D2500">
        <w:rPr>
          <w:rFonts w:cs="Arial"/>
          <w:szCs w:val="22"/>
          <w:lang w:eastAsia="en-AU"/>
        </w:rPr>
        <w:t>increased supply will put down pressure on prices.</w:t>
      </w:r>
      <w:r w:rsidR="00EE44D9">
        <w:rPr>
          <w:rFonts w:cs="Arial"/>
          <w:szCs w:val="22"/>
          <w:lang w:eastAsia="en-AU"/>
        </w:rPr>
        <w:t xml:space="preserve"> </w:t>
      </w:r>
      <w:r w:rsidRPr="008B07DB">
        <w:rPr>
          <w:rFonts w:cs="Arial"/>
          <w:szCs w:val="22"/>
          <w:lang w:eastAsia="en-AU"/>
        </w:rPr>
        <w:t xml:space="preserve">The overall impact of those offsetting shifts in the long run are unclear, and depend on </w:t>
      </w:r>
      <w:r w:rsidR="005F4D05">
        <w:rPr>
          <w:rFonts w:cs="Arial"/>
          <w:szCs w:val="22"/>
          <w:lang w:eastAsia="en-AU"/>
        </w:rPr>
        <w:t>the exemption’s</w:t>
      </w:r>
      <w:r w:rsidR="005F4D05" w:rsidRPr="008B07DB">
        <w:rPr>
          <w:rFonts w:cs="Arial"/>
          <w:szCs w:val="22"/>
          <w:lang w:eastAsia="en-AU"/>
        </w:rPr>
        <w:t xml:space="preserve"> </w:t>
      </w:r>
      <w:r w:rsidRPr="008B07DB">
        <w:rPr>
          <w:rFonts w:cs="Arial"/>
          <w:szCs w:val="22"/>
          <w:lang w:eastAsia="en-AU"/>
        </w:rPr>
        <w:t xml:space="preserve">design, but </w:t>
      </w:r>
      <w:r w:rsidR="00376B19">
        <w:rPr>
          <w:rFonts w:cs="Arial"/>
          <w:szCs w:val="22"/>
          <w:lang w:eastAsia="en-AU"/>
        </w:rPr>
        <w:t>intuition suggests</w:t>
      </w:r>
      <w:r w:rsidRPr="008B07DB">
        <w:rPr>
          <w:rFonts w:cs="Arial"/>
          <w:szCs w:val="22"/>
          <w:lang w:eastAsia="en-AU"/>
        </w:rPr>
        <w:t xml:space="preserve"> that any impact of the tax changes on house prices, supply, or rents will be smaller than without an exemption</w:t>
      </w:r>
      <w:r>
        <w:rPr>
          <w:rFonts w:cs="Arial"/>
          <w:szCs w:val="22"/>
          <w:lang w:eastAsia="en-AU"/>
        </w:rPr>
        <w:t>.</w:t>
      </w:r>
    </w:p>
    <w:p w14:paraId="2F6D03BC" w14:textId="77777777" w:rsidR="00C26422" w:rsidRDefault="002E3CD5" w:rsidP="002E3CD5">
      <w:pPr>
        <w:spacing w:line="240" w:lineRule="auto"/>
        <w:rPr>
          <w:rFonts w:cs="Arial"/>
          <w:szCs w:val="22"/>
          <w:lang w:eastAsia="en-AU"/>
        </w:rPr>
      </w:pPr>
      <w:r w:rsidRPr="000F45B4">
        <w:rPr>
          <w:b/>
          <w:i/>
          <w:lang w:eastAsia="en-AU"/>
        </w:rPr>
        <w:t>Dampening</w:t>
      </w:r>
      <w:r>
        <w:rPr>
          <w:rFonts w:cs="Arial"/>
          <w:b/>
          <w:i/>
          <w:szCs w:val="22"/>
          <w:lang w:eastAsia="en-AU"/>
        </w:rPr>
        <w:t xml:space="preserve"> investment </w:t>
      </w:r>
      <w:r w:rsidRPr="000F45B4">
        <w:rPr>
          <w:b/>
          <w:i/>
          <w:lang w:eastAsia="en-AU"/>
        </w:rPr>
        <w:t>demand</w:t>
      </w:r>
      <w:r w:rsidR="001803DF">
        <w:rPr>
          <w:b/>
          <w:i/>
          <w:lang w:eastAsia="en-AU"/>
        </w:rPr>
        <w:t xml:space="preserve"> </w:t>
      </w:r>
      <w:r w:rsidR="001803DF" w:rsidRPr="001803DF">
        <w:rPr>
          <w:b/>
          <w:i/>
          <w:lang w:eastAsia="en-AU"/>
        </w:rPr>
        <w:t>for existing housing stock</w:t>
      </w:r>
    </w:p>
    <w:p w14:paraId="2FAD2FC7" w14:textId="77777777" w:rsidR="00C26422" w:rsidRDefault="002E3CD5" w:rsidP="002E3CD5">
      <w:pPr>
        <w:spacing w:line="240" w:lineRule="auto"/>
        <w:rPr>
          <w:rFonts w:cs="Arial"/>
          <w:b/>
          <w:i/>
          <w:szCs w:val="22"/>
          <w:lang w:eastAsia="en-AU"/>
        </w:rPr>
      </w:pPr>
      <w:r>
        <w:rPr>
          <w:rFonts w:cs="Arial"/>
          <w:szCs w:val="22"/>
          <w:lang w:eastAsia="en-AU"/>
        </w:rPr>
        <w:t xml:space="preserve">A new build exemption could potentially reduce investment in existing property, as compared to either the status quo or having no exemption from the tax proposals, as new build properties would be at a tax advantage. </w:t>
      </w:r>
      <w:r w:rsidR="00C04878">
        <w:rPr>
          <w:rFonts w:cs="Arial"/>
          <w:szCs w:val="22"/>
          <w:lang w:eastAsia="en-AU"/>
        </w:rPr>
        <w:t xml:space="preserve">Investor demand </w:t>
      </w:r>
      <w:r w:rsidR="00347B58">
        <w:rPr>
          <w:rFonts w:cs="Arial"/>
          <w:szCs w:val="22"/>
          <w:lang w:eastAsia="en-AU"/>
        </w:rPr>
        <w:t xml:space="preserve">for new builds </w:t>
      </w:r>
      <w:r w:rsidR="00C04878">
        <w:rPr>
          <w:rFonts w:cs="Arial"/>
          <w:szCs w:val="22"/>
          <w:lang w:eastAsia="en-AU"/>
        </w:rPr>
        <w:t>would not be expected to be reduced compared to the status quo</w:t>
      </w:r>
      <w:r w:rsidR="00347B58">
        <w:rPr>
          <w:rFonts w:cs="Arial"/>
          <w:szCs w:val="22"/>
          <w:lang w:eastAsia="en-AU"/>
        </w:rPr>
        <w:t>.</w:t>
      </w:r>
    </w:p>
    <w:p w14:paraId="1CD31E49" w14:textId="77777777" w:rsidR="00C26422" w:rsidRDefault="002E3CD5" w:rsidP="002E3CD5">
      <w:pPr>
        <w:spacing w:line="240" w:lineRule="auto"/>
        <w:rPr>
          <w:lang w:eastAsia="en-AU"/>
        </w:rPr>
      </w:pPr>
      <w:r>
        <w:rPr>
          <w:rFonts w:cs="Arial"/>
          <w:b/>
          <w:i/>
          <w:szCs w:val="22"/>
          <w:lang w:eastAsia="en-AU"/>
        </w:rPr>
        <w:t>I</w:t>
      </w:r>
      <w:r w:rsidRPr="00835D3C">
        <w:rPr>
          <w:rFonts w:cs="Arial"/>
          <w:b/>
          <w:i/>
          <w:szCs w:val="22"/>
          <w:lang w:eastAsia="en-AU"/>
        </w:rPr>
        <w:t xml:space="preserve">mprove </w:t>
      </w:r>
      <w:r w:rsidRPr="000F45B4">
        <w:rPr>
          <w:b/>
          <w:i/>
          <w:lang w:eastAsia="en-AU"/>
        </w:rPr>
        <w:t>affordability</w:t>
      </w:r>
      <w:r w:rsidRPr="00835D3C">
        <w:rPr>
          <w:rFonts w:cs="Arial"/>
          <w:b/>
          <w:i/>
          <w:szCs w:val="22"/>
          <w:lang w:eastAsia="en-AU"/>
        </w:rPr>
        <w:t xml:space="preserve"> in the rental market</w:t>
      </w:r>
    </w:p>
    <w:p w14:paraId="2E31ECEB" w14:textId="77777777" w:rsidR="00C26422" w:rsidRDefault="00782424" w:rsidP="002E3CD5">
      <w:pPr>
        <w:spacing w:line="240" w:lineRule="auto"/>
        <w:rPr>
          <w:b/>
          <w:i/>
          <w:lang w:eastAsia="en-AU"/>
        </w:rPr>
      </w:pPr>
      <w:r>
        <w:rPr>
          <w:lang w:eastAsia="en-AU"/>
        </w:rPr>
        <w:t>C</w:t>
      </w:r>
      <w:r w:rsidR="002E3CD5">
        <w:rPr>
          <w:lang w:eastAsia="en-AU"/>
        </w:rPr>
        <w:t>osts for investors in new builds would be lower</w:t>
      </w:r>
      <w:r>
        <w:rPr>
          <w:lang w:eastAsia="en-AU"/>
        </w:rPr>
        <w:t xml:space="preserve"> with an exemption</w:t>
      </w:r>
      <w:r w:rsidR="002E3CD5">
        <w:rPr>
          <w:lang w:eastAsia="en-AU"/>
        </w:rPr>
        <w:t xml:space="preserve">, </w:t>
      </w:r>
      <w:r>
        <w:rPr>
          <w:lang w:eastAsia="en-AU"/>
        </w:rPr>
        <w:t xml:space="preserve">and </w:t>
      </w:r>
      <w:r w:rsidR="00347B58">
        <w:rPr>
          <w:lang w:eastAsia="en-AU"/>
        </w:rPr>
        <w:t>supply may be h</w:t>
      </w:r>
      <w:r>
        <w:rPr>
          <w:lang w:eastAsia="en-AU"/>
        </w:rPr>
        <w:t>igher than without an exemption. This could</w:t>
      </w:r>
      <w:r w:rsidR="00347B58">
        <w:rPr>
          <w:lang w:eastAsia="en-AU"/>
        </w:rPr>
        <w:t xml:space="preserve"> </w:t>
      </w:r>
      <w:r w:rsidR="002E3CD5">
        <w:rPr>
          <w:lang w:eastAsia="en-AU"/>
        </w:rPr>
        <w:t xml:space="preserve">suggest any potential increase in rents </w:t>
      </w:r>
      <w:r>
        <w:rPr>
          <w:lang w:eastAsia="en-AU"/>
        </w:rPr>
        <w:t>for new builds w</w:t>
      </w:r>
      <w:r w:rsidR="002E3CD5">
        <w:rPr>
          <w:lang w:eastAsia="en-AU"/>
        </w:rPr>
        <w:t>ould be lower</w:t>
      </w:r>
      <w:r w:rsidR="00441AB5">
        <w:rPr>
          <w:lang w:eastAsia="en-AU"/>
        </w:rPr>
        <w:t xml:space="preserve"> than for existing dwellings</w:t>
      </w:r>
      <w:r w:rsidR="002E3CD5">
        <w:rPr>
          <w:lang w:eastAsia="en-AU"/>
        </w:rPr>
        <w:t xml:space="preserve">, </w:t>
      </w:r>
      <w:r>
        <w:rPr>
          <w:lang w:eastAsia="en-AU"/>
        </w:rPr>
        <w:t xml:space="preserve">but </w:t>
      </w:r>
      <w:r w:rsidR="002E3CD5">
        <w:t>equilibrium prices for the whole rental market would likely prevail.</w:t>
      </w:r>
      <w:r w:rsidR="002E3CD5">
        <w:rPr>
          <w:lang w:eastAsia="en-AU"/>
        </w:rPr>
        <w:t xml:space="preserve">  As a result</w:t>
      </w:r>
      <w:r w:rsidR="002E3CD5" w:rsidRPr="009303AC">
        <w:rPr>
          <w:lang w:eastAsia="en-AU"/>
        </w:rPr>
        <w:t xml:space="preserve">, </w:t>
      </w:r>
      <w:r w:rsidR="00347B58">
        <w:rPr>
          <w:lang w:eastAsia="en-AU"/>
        </w:rPr>
        <w:t xml:space="preserve">there </w:t>
      </w:r>
      <w:r w:rsidR="00987447">
        <w:rPr>
          <w:lang w:eastAsia="en-AU"/>
        </w:rPr>
        <w:t xml:space="preserve">may </w:t>
      </w:r>
      <w:r w:rsidR="00347B58">
        <w:rPr>
          <w:lang w:eastAsia="en-AU"/>
        </w:rPr>
        <w:t>be upward pressure on rents as compared to</w:t>
      </w:r>
      <w:r w:rsidR="002E3CD5" w:rsidRPr="009303AC">
        <w:rPr>
          <w:lang w:eastAsia="en-AU"/>
        </w:rPr>
        <w:t xml:space="preserve"> the status quo</w:t>
      </w:r>
      <w:r w:rsidR="00987447">
        <w:rPr>
          <w:lang w:eastAsia="en-AU"/>
        </w:rPr>
        <w:t>,</w:t>
      </w:r>
      <w:r w:rsidR="002E3CD5">
        <w:rPr>
          <w:lang w:eastAsia="en-AU"/>
        </w:rPr>
        <w:t xml:space="preserve"> but </w:t>
      </w:r>
      <w:r w:rsidR="002E3CD5">
        <w:rPr>
          <w:rFonts w:cs="Arial"/>
          <w:szCs w:val="22"/>
          <w:lang w:val="en-NZ" w:eastAsia="en-NZ"/>
        </w:rPr>
        <w:t>lower</w:t>
      </w:r>
      <w:r w:rsidR="002E3CD5" w:rsidRPr="0011593E">
        <w:rPr>
          <w:rFonts w:cs="Arial"/>
          <w:szCs w:val="22"/>
          <w:lang w:val="en-NZ" w:eastAsia="en-NZ"/>
        </w:rPr>
        <w:t xml:space="preserve"> than without an exemption</w:t>
      </w:r>
      <w:r w:rsidR="002E3CD5" w:rsidRPr="009303AC">
        <w:rPr>
          <w:lang w:eastAsia="en-AU"/>
        </w:rPr>
        <w:t>.</w:t>
      </w:r>
      <w:r w:rsidR="002E3CD5">
        <w:rPr>
          <w:lang w:eastAsia="en-AU"/>
        </w:rPr>
        <w:t xml:space="preserve"> The scale of this is uncertain and depends on the behavioural responses of the investors and owner-occupiers. This would mitigate some of the potential negative living standards impacts from the bright-line extension. </w:t>
      </w:r>
    </w:p>
    <w:p w14:paraId="0033E1D6" w14:textId="77777777" w:rsidR="00C26422" w:rsidRDefault="002E3CD5" w:rsidP="002E3CD5">
      <w:pPr>
        <w:spacing w:line="240" w:lineRule="auto"/>
        <w:rPr>
          <w:rFonts w:cs="Arial"/>
          <w:szCs w:val="22"/>
          <w:lang w:eastAsia="en-AU"/>
        </w:rPr>
      </w:pPr>
      <w:r w:rsidRPr="000F45B4">
        <w:rPr>
          <w:b/>
          <w:i/>
          <w:lang w:eastAsia="en-AU"/>
        </w:rPr>
        <w:t>Efficiency</w:t>
      </w:r>
    </w:p>
    <w:p w14:paraId="25113E9B" w14:textId="77777777" w:rsidR="00C26422" w:rsidRDefault="002E3CD5" w:rsidP="002E3CD5">
      <w:pPr>
        <w:spacing w:line="240" w:lineRule="auto"/>
      </w:pPr>
      <w:r>
        <w:rPr>
          <w:rFonts w:cs="Arial"/>
          <w:szCs w:val="22"/>
          <w:lang w:eastAsia="en-AU"/>
        </w:rPr>
        <w:t>Excluding new builds would reduce the efficiency benefits of Option 1</w:t>
      </w:r>
      <w:r w:rsidR="008061F0">
        <w:rPr>
          <w:rFonts w:cs="Arial"/>
          <w:szCs w:val="22"/>
          <w:lang w:eastAsia="en-AU"/>
        </w:rPr>
        <w:t>A</w:t>
      </w:r>
      <w:r>
        <w:rPr>
          <w:rFonts w:cs="Arial"/>
          <w:szCs w:val="22"/>
          <w:lang w:eastAsia="en-AU"/>
        </w:rPr>
        <w:t xml:space="preserve">, as capital gains on new builds purchased by early investors would remain relatively lightly taxed and out of line with other investment income. </w:t>
      </w:r>
      <w:r>
        <w:t>The Treasury considers there are likely to be more efficient ways to directly support supply, for example through an explicit subsidy for developers.</w:t>
      </w:r>
    </w:p>
    <w:p w14:paraId="3D43EE6E" w14:textId="77777777" w:rsidR="00C26422" w:rsidRDefault="002E3CD5" w:rsidP="002E3CD5">
      <w:pPr>
        <w:spacing w:line="240" w:lineRule="auto"/>
        <w:rPr>
          <w:b/>
          <w:i/>
          <w:lang w:eastAsia="en-AU"/>
        </w:rPr>
      </w:pPr>
      <w:r w:rsidRPr="000F45B4">
        <w:rPr>
          <w:b/>
          <w:i/>
          <w:lang w:eastAsia="en-AU"/>
        </w:rPr>
        <w:lastRenderedPageBreak/>
        <w:t>Equity</w:t>
      </w:r>
    </w:p>
    <w:p w14:paraId="66CC47F3" w14:textId="77777777" w:rsidR="00C26422" w:rsidRDefault="002E3CD5" w:rsidP="002E3CD5">
      <w:pPr>
        <w:spacing w:line="240" w:lineRule="auto"/>
        <w:rPr>
          <w:lang w:eastAsia="en-AU"/>
        </w:rPr>
      </w:pPr>
      <w:r w:rsidRPr="009D7DD9">
        <w:rPr>
          <w:lang w:eastAsia="en-AU"/>
        </w:rPr>
        <w:t xml:space="preserve">The impacts of the exemption </w:t>
      </w:r>
      <w:r w:rsidR="00E619A0">
        <w:rPr>
          <w:lang w:eastAsia="en-AU"/>
        </w:rPr>
        <w:t>reduce</w:t>
      </w:r>
      <w:r>
        <w:rPr>
          <w:lang w:eastAsia="en-AU"/>
        </w:rPr>
        <w:t xml:space="preserve"> the equity impacts of the extension</w:t>
      </w:r>
      <w:r w:rsidR="008061F0">
        <w:rPr>
          <w:lang w:eastAsia="en-AU"/>
        </w:rPr>
        <w:t xml:space="preserve"> of the bright-line</w:t>
      </w:r>
      <w:r>
        <w:rPr>
          <w:lang w:eastAsia="en-AU"/>
        </w:rPr>
        <w:t xml:space="preserve">. </w:t>
      </w:r>
      <w:r w:rsidR="00E619A0">
        <w:rPr>
          <w:lang w:eastAsia="en-AU"/>
        </w:rPr>
        <w:t>Specifically, e</w:t>
      </w:r>
      <w:r>
        <w:rPr>
          <w:lang w:eastAsia="en-AU"/>
        </w:rPr>
        <w:t xml:space="preserve">xtending the </w:t>
      </w:r>
      <w:r w:rsidRPr="000F45B4">
        <w:rPr>
          <w:rFonts w:cs="Arial"/>
          <w:szCs w:val="22"/>
          <w:lang w:eastAsia="en-AU"/>
        </w:rPr>
        <w:t>bright</w:t>
      </w:r>
      <w:r>
        <w:rPr>
          <w:lang w:eastAsia="en-AU"/>
        </w:rPr>
        <w:t>-line test improves horizontal equity because more economic income is taxed; exempting some of this income means less is taxed which has a lower impact on horizontal equity. There is a similar effect for vertical equity considerations.</w:t>
      </w:r>
    </w:p>
    <w:p w14:paraId="5DDCAD8B" w14:textId="77777777" w:rsidR="00C26422" w:rsidRDefault="002E3CD5" w:rsidP="002E3CD5">
      <w:pPr>
        <w:spacing w:line="240" w:lineRule="auto"/>
        <w:rPr>
          <w:rFonts w:cs="Arial"/>
          <w:szCs w:val="22"/>
          <w:lang w:eastAsia="en-AU"/>
        </w:rPr>
      </w:pPr>
      <w:r w:rsidRPr="000F45B4">
        <w:rPr>
          <w:b/>
          <w:i/>
          <w:lang w:eastAsia="en-AU"/>
        </w:rPr>
        <w:t>Integrity</w:t>
      </w:r>
    </w:p>
    <w:p w14:paraId="15A2F10F" w14:textId="77777777" w:rsidR="00C26422" w:rsidRDefault="002E3CD5" w:rsidP="002E3CD5">
      <w:pPr>
        <w:spacing w:line="240" w:lineRule="auto"/>
        <w:rPr>
          <w:b/>
          <w:i/>
          <w:lang w:eastAsia="en-AU"/>
        </w:rPr>
      </w:pPr>
      <w:r>
        <w:rPr>
          <w:rFonts w:cs="Arial"/>
          <w:szCs w:val="22"/>
          <w:lang w:eastAsia="en-AU"/>
        </w:rPr>
        <w:t xml:space="preserve">Providing an exemption for new builds would likely be difficult to apply in practice and could open opportunities for tax avoidance. </w:t>
      </w:r>
    </w:p>
    <w:p w14:paraId="0E1598B0" w14:textId="77777777" w:rsidR="00C26422" w:rsidRDefault="002E3CD5" w:rsidP="002E3CD5">
      <w:pPr>
        <w:spacing w:line="240" w:lineRule="auto"/>
        <w:rPr>
          <w:lang w:eastAsia="en-AU"/>
        </w:rPr>
      </w:pPr>
      <w:r w:rsidRPr="00220FF6">
        <w:rPr>
          <w:b/>
          <w:i/>
          <w:lang w:eastAsia="en-AU"/>
        </w:rPr>
        <w:t>Compliance costs and administration costs</w:t>
      </w:r>
      <w:r>
        <w:rPr>
          <w:lang w:eastAsia="en-AU"/>
        </w:rPr>
        <w:t xml:space="preserve"> </w:t>
      </w:r>
    </w:p>
    <w:p w14:paraId="3B496E96" w14:textId="77777777" w:rsidR="00C26422" w:rsidRDefault="002E3CD5" w:rsidP="002E3CD5">
      <w:pPr>
        <w:spacing w:line="240" w:lineRule="auto"/>
        <w:rPr>
          <w:b/>
          <w:i/>
          <w:lang w:eastAsia="en-AU"/>
        </w:rPr>
      </w:pPr>
      <w:r>
        <w:rPr>
          <w:lang w:eastAsia="en-AU"/>
        </w:rPr>
        <w:t>A</w:t>
      </w:r>
      <w:r w:rsidRPr="001A4FFC">
        <w:rPr>
          <w:lang w:eastAsia="en-AU"/>
        </w:rPr>
        <w:t xml:space="preserve"> new build exemption w</w:t>
      </w:r>
      <w:r>
        <w:rPr>
          <w:lang w:eastAsia="en-AU"/>
        </w:rPr>
        <w:t>ould</w:t>
      </w:r>
      <w:r w:rsidRPr="001A4FFC">
        <w:rPr>
          <w:lang w:eastAsia="en-AU"/>
        </w:rPr>
        <w:t xml:space="preserve"> create complexity and compliance costs for taxpayers</w:t>
      </w:r>
      <w:r w:rsidR="00E30FFC">
        <w:rPr>
          <w:lang w:eastAsia="en-AU"/>
        </w:rPr>
        <w:t>, and administrative costs for Inland Revenue</w:t>
      </w:r>
    </w:p>
    <w:p w14:paraId="4B8018EB" w14:textId="77777777" w:rsidR="00C26422" w:rsidRDefault="002E3CD5" w:rsidP="002E3CD5">
      <w:pPr>
        <w:spacing w:line="240" w:lineRule="auto"/>
        <w:rPr>
          <w:lang w:eastAsia="en-AU"/>
        </w:rPr>
      </w:pPr>
      <w:r w:rsidRPr="00220FF6">
        <w:rPr>
          <w:b/>
          <w:i/>
          <w:lang w:eastAsia="en-AU"/>
        </w:rPr>
        <w:t>Revenue impact</w:t>
      </w:r>
      <w:r>
        <w:rPr>
          <w:lang w:eastAsia="en-AU"/>
        </w:rPr>
        <w:t xml:space="preserve"> </w:t>
      </w:r>
    </w:p>
    <w:p w14:paraId="1F540DA0" w14:textId="77777777" w:rsidR="00C26422" w:rsidRDefault="002E3CD5" w:rsidP="002E3CD5">
      <w:pPr>
        <w:spacing w:line="240" w:lineRule="auto"/>
        <w:rPr>
          <w:b/>
          <w:i/>
          <w:lang w:eastAsia="en-AU"/>
        </w:rPr>
      </w:pPr>
      <w:r>
        <w:rPr>
          <w:lang w:eastAsia="en-AU"/>
        </w:rPr>
        <w:t xml:space="preserve">Providing an exemption for new builds would reduce the revenue </w:t>
      </w:r>
      <w:r w:rsidR="00441AB5">
        <w:rPr>
          <w:lang w:eastAsia="en-AU"/>
        </w:rPr>
        <w:t>that the Government would otherwise receive</w:t>
      </w:r>
      <w:r>
        <w:rPr>
          <w:lang w:eastAsia="en-AU"/>
        </w:rPr>
        <w:t xml:space="preserve"> under the bright-</w:t>
      </w:r>
      <w:r w:rsidRPr="000F45B4">
        <w:rPr>
          <w:rFonts w:cs="Arial"/>
          <w:szCs w:val="22"/>
          <w:lang w:eastAsia="en-AU"/>
        </w:rPr>
        <w:t>line</w:t>
      </w:r>
      <w:r>
        <w:rPr>
          <w:lang w:eastAsia="en-AU"/>
        </w:rPr>
        <w:t xml:space="preserve"> extension.  It </w:t>
      </w:r>
      <w:r w:rsidRPr="000F45B4">
        <w:rPr>
          <w:rFonts w:cs="Arial"/>
          <w:szCs w:val="22"/>
          <w:lang w:eastAsia="en-AU"/>
        </w:rPr>
        <w:t>has</w:t>
      </w:r>
      <w:r>
        <w:rPr>
          <w:lang w:eastAsia="en-AU"/>
        </w:rPr>
        <w:t xml:space="preserve"> not </w:t>
      </w:r>
      <w:r w:rsidRPr="000F45B4">
        <w:rPr>
          <w:rFonts w:cs="Arial"/>
          <w:szCs w:val="22"/>
          <w:lang w:eastAsia="en-AU"/>
        </w:rPr>
        <w:t>been</w:t>
      </w:r>
      <w:r>
        <w:rPr>
          <w:lang w:eastAsia="en-AU"/>
        </w:rPr>
        <w:t xml:space="preserve"> possible in the tight timeframe to estimate the quantum of the revenue impact of the exemption.</w:t>
      </w:r>
    </w:p>
    <w:p w14:paraId="1CEEE8F6" w14:textId="77777777" w:rsidR="00C26422" w:rsidRDefault="002E3CD5" w:rsidP="002E3CD5">
      <w:pPr>
        <w:spacing w:line="240" w:lineRule="auto"/>
        <w:rPr>
          <w:lang w:eastAsia="en-AU"/>
        </w:rPr>
      </w:pPr>
      <w:r w:rsidRPr="00302AC3">
        <w:rPr>
          <w:b/>
          <w:i/>
          <w:lang w:eastAsia="en-AU"/>
        </w:rPr>
        <w:t>Coherence</w:t>
      </w:r>
    </w:p>
    <w:p w14:paraId="3FD795D4" w14:textId="77777777" w:rsidR="00C26422" w:rsidRDefault="002E3CD5" w:rsidP="002E3CD5">
      <w:pPr>
        <w:spacing w:line="240" w:lineRule="auto"/>
        <w:rPr>
          <w:b/>
          <w:i/>
          <w:lang w:eastAsia="en-AU"/>
        </w:rPr>
      </w:pPr>
      <w:r>
        <w:rPr>
          <w:lang w:eastAsia="en-AU"/>
        </w:rPr>
        <w:t xml:space="preserve">The new build exemption would reduce the coherence of the tax system by creating a distortion in the types of economic </w:t>
      </w:r>
      <w:r w:rsidRPr="000F45B4">
        <w:rPr>
          <w:rFonts w:cs="Arial"/>
          <w:szCs w:val="22"/>
          <w:lang w:eastAsia="en-AU"/>
        </w:rPr>
        <w:t>income</w:t>
      </w:r>
      <w:r>
        <w:rPr>
          <w:lang w:eastAsia="en-AU"/>
        </w:rPr>
        <w:t xml:space="preserve"> that is taxed. The exemption would not be based on</w:t>
      </w:r>
      <w:r w:rsidRPr="001C7832">
        <w:rPr>
          <w:lang w:eastAsia="en-AU"/>
        </w:rPr>
        <w:t xml:space="preserve"> </w:t>
      </w:r>
      <w:r>
        <w:rPr>
          <w:lang w:eastAsia="en-AU"/>
        </w:rPr>
        <w:t xml:space="preserve">established tax principles. </w:t>
      </w:r>
    </w:p>
    <w:p w14:paraId="37C397BF" w14:textId="77777777" w:rsidR="00C26422" w:rsidRDefault="002E3CD5" w:rsidP="002E3CD5">
      <w:pPr>
        <w:spacing w:line="240" w:lineRule="auto"/>
      </w:pPr>
      <w:r w:rsidRPr="00220FF6">
        <w:rPr>
          <w:b/>
          <w:i/>
          <w:lang w:eastAsia="en-AU"/>
        </w:rPr>
        <w:t xml:space="preserve">Overall </w:t>
      </w:r>
      <w:r>
        <w:rPr>
          <w:b/>
          <w:i/>
          <w:lang w:eastAsia="en-AU"/>
        </w:rPr>
        <w:t>conclusion</w:t>
      </w:r>
    </w:p>
    <w:p w14:paraId="3CE3B59A" w14:textId="77777777" w:rsidR="00C26422" w:rsidRDefault="002E3CD5" w:rsidP="002E3CD5">
      <w:pPr>
        <w:spacing w:line="240" w:lineRule="auto"/>
        <w:rPr>
          <w:b/>
        </w:rPr>
      </w:pPr>
      <w:r>
        <w:t xml:space="preserve">The Treasury does not support a new build exemption. The Treasury considers there are likely to be </w:t>
      </w:r>
      <w:r>
        <w:rPr>
          <w:lang w:eastAsia="en-AU"/>
        </w:rPr>
        <w:t>better</w:t>
      </w:r>
      <w:r>
        <w:t xml:space="preserve"> ways to directly support supply, for example through an explicit subsidy for developers. In </w:t>
      </w:r>
      <w:r>
        <w:rPr>
          <w:lang w:eastAsia="en-AU"/>
        </w:rPr>
        <w:t>addition</w:t>
      </w:r>
      <w:r>
        <w:t xml:space="preserve"> to the challenges set out above, the Treasury considers it would be very difficult to amend or remove an exemption in the future if further analysis concluded that alternative measures achieved a similar outcome at lower cost.</w:t>
      </w:r>
    </w:p>
    <w:p w14:paraId="3A88A21D" w14:textId="6DA3B856" w:rsidR="002E3CD5" w:rsidRPr="00C26422" w:rsidRDefault="002E3CD5" w:rsidP="002E3CD5">
      <w:pPr>
        <w:spacing w:line="240" w:lineRule="auto"/>
        <w:rPr>
          <w:b/>
          <w:i/>
          <w:lang w:eastAsia="en-AU"/>
        </w:rPr>
      </w:pPr>
      <w:r>
        <w:rPr>
          <w:b/>
        </w:rPr>
        <w:t xml:space="preserve">Option 1C: </w:t>
      </w:r>
      <w:r w:rsidRPr="006E0F54">
        <w:rPr>
          <w:b/>
          <w:lang w:eastAsia="en-AU"/>
        </w:rPr>
        <w:t>Extending</w:t>
      </w:r>
      <w:r w:rsidRPr="00270140">
        <w:rPr>
          <w:rFonts w:cs="Arial"/>
          <w:b/>
          <w:szCs w:val="22"/>
          <w:lang w:eastAsia="en-AU"/>
        </w:rPr>
        <w:t xml:space="preserve"> the bright</w:t>
      </w:r>
      <w:r>
        <w:rPr>
          <w:rFonts w:cs="Arial"/>
          <w:b/>
          <w:szCs w:val="22"/>
          <w:lang w:eastAsia="en-AU"/>
        </w:rPr>
        <w:t>-</w:t>
      </w:r>
      <w:r w:rsidRPr="00270140">
        <w:rPr>
          <w:rFonts w:cs="Arial"/>
          <w:b/>
          <w:szCs w:val="22"/>
          <w:lang w:eastAsia="en-AU"/>
        </w:rPr>
        <w:t xml:space="preserve">line period to </w:t>
      </w:r>
      <w:r w:rsidRPr="00302AC3">
        <w:rPr>
          <w:rFonts w:cs="Arial"/>
          <w:b/>
          <w:szCs w:val="22"/>
          <w:lang w:eastAsia="en-AU"/>
        </w:rPr>
        <w:t>20</w:t>
      </w:r>
      <w:r w:rsidRPr="00270140">
        <w:rPr>
          <w:rFonts w:cs="Arial"/>
          <w:b/>
          <w:szCs w:val="22"/>
          <w:lang w:eastAsia="en-AU"/>
        </w:rPr>
        <w:t xml:space="preserve"> years</w:t>
      </w:r>
      <w:r>
        <w:rPr>
          <w:rFonts w:cs="Arial"/>
          <w:b/>
          <w:szCs w:val="22"/>
          <w:lang w:eastAsia="en-AU"/>
        </w:rPr>
        <w:t xml:space="preserve"> for property </w:t>
      </w:r>
      <w:r w:rsidR="00154595" w:rsidRPr="00154595">
        <w:rPr>
          <w:rFonts w:cs="Arial"/>
          <w:b/>
          <w:szCs w:val="22"/>
          <w:lang w:eastAsia="en-AU"/>
        </w:rPr>
        <w:t>acquired on or after the application date</w:t>
      </w:r>
      <w:r w:rsidR="00154595" w:rsidRPr="00154595" w:rsidDel="00154595">
        <w:rPr>
          <w:rFonts w:cs="Arial"/>
          <w:b/>
          <w:szCs w:val="22"/>
          <w:lang w:eastAsia="en-AU"/>
        </w:rPr>
        <w:t xml:space="preserve"> </w:t>
      </w:r>
      <w:r>
        <w:rPr>
          <w:rFonts w:cs="Arial"/>
          <w:b/>
          <w:szCs w:val="22"/>
          <w:lang w:eastAsia="en-AU"/>
        </w:rPr>
        <w:t xml:space="preserve">– completely excluding new </w:t>
      </w:r>
      <w:r w:rsidRPr="008A36B8">
        <w:rPr>
          <w:rFonts w:cs="Arial"/>
          <w:b/>
          <w:szCs w:val="22"/>
          <w:lang w:eastAsia="en-AU"/>
        </w:rPr>
        <w:t xml:space="preserve">builds </w:t>
      </w:r>
      <w:r w:rsidR="005D1402">
        <w:rPr>
          <w:rFonts w:cs="Arial"/>
          <w:b/>
          <w:szCs w:val="22"/>
          <w:lang w:eastAsia="en-AU"/>
        </w:rPr>
        <w:t>from the bright-line test</w:t>
      </w:r>
    </w:p>
    <w:p w14:paraId="2EAAC770" w14:textId="427DA135" w:rsidR="005D1402" w:rsidRDefault="005D1402" w:rsidP="00E4704D">
      <w:pPr>
        <w:spacing w:line="240" w:lineRule="auto"/>
      </w:pPr>
      <w:r>
        <w:rPr>
          <w:rFonts w:cs="Arial"/>
          <w:szCs w:val="22"/>
          <w:lang w:eastAsia="en-AU"/>
        </w:rPr>
        <w:t xml:space="preserve">This option will have </w:t>
      </w:r>
      <w:r w:rsidR="00A806E7">
        <w:rPr>
          <w:rFonts w:cs="Arial"/>
          <w:szCs w:val="22"/>
          <w:lang w:eastAsia="en-AU"/>
        </w:rPr>
        <w:t>similar</w:t>
      </w:r>
      <w:r>
        <w:rPr>
          <w:rFonts w:cs="Arial"/>
          <w:szCs w:val="22"/>
          <w:lang w:eastAsia="en-AU"/>
        </w:rPr>
        <w:t xml:space="preserve"> cost</w:t>
      </w:r>
      <w:r w:rsidR="00900C38">
        <w:rPr>
          <w:rFonts w:cs="Arial"/>
          <w:szCs w:val="22"/>
          <w:lang w:eastAsia="en-AU"/>
        </w:rPr>
        <w:t>s and benefits as Option 1A</w:t>
      </w:r>
      <w:r w:rsidR="00A66006">
        <w:rPr>
          <w:rFonts w:cs="Arial"/>
          <w:szCs w:val="22"/>
          <w:lang w:eastAsia="en-AU"/>
        </w:rPr>
        <w:t xml:space="preserve"> for existing dwellings</w:t>
      </w:r>
      <w:r>
        <w:rPr>
          <w:rFonts w:cs="Arial"/>
          <w:szCs w:val="22"/>
          <w:lang w:eastAsia="en-AU"/>
        </w:rPr>
        <w:t xml:space="preserve">. </w:t>
      </w:r>
      <w:r w:rsidR="00A66006">
        <w:rPr>
          <w:rFonts w:cs="Arial"/>
          <w:szCs w:val="22"/>
          <w:lang w:eastAsia="en-AU"/>
        </w:rPr>
        <w:t xml:space="preserve">However, completely excluding new builds from the bright-line </w:t>
      </w:r>
      <w:r w:rsidR="00F61E2A">
        <w:rPr>
          <w:rFonts w:cs="Arial"/>
          <w:szCs w:val="22"/>
          <w:lang w:eastAsia="en-AU"/>
        </w:rPr>
        <w:t xml:space="preserve">test </w:t>
      </w:r>
      <w:r w:rsidR="00A66006">
        <w:rPr>
          <w:rFonts w:cs="Arial"/>
          <w:szCs w:val="22"/>
          <w:lang w:eastAsia="en-AU"/>
        </w:rPr>
        <w:t xml:space="preserve">will reduce the taxation of such properties compared with the status quo (as such properties are currently subject to the 5 year bright-line test). </w:t>
      </w:r>
      <w:r w:rsidR="00782424">
        <w:rPr>
          <w:rFonts w:cs="Arial"/>
          <w:szCs w:val="22"/>
          <w:lang w:eastAsia="en-AU"/>
        </w:rPr>
        <w:t>The analysis below focu</w:t>
      </w:r>
      <w:r>
        <w:rPr>
          <w:rFonts w:cs="Arial"/>
          <w:szCs w:val="22"/>
          <w:lang w:eastAsia="en-AU"/>
        </w:rPr>
        <w:t>ses on the differences in the impacts of these options</w:t>
      </w:r>
      <w:r w:rsidR="00A806E7">
        <w:rPr>
          <w:rFonts w:cs="Arial"/>
          <w:szCs w:val="22"/>
          <w:lang w:eastAsia="en-AU"/>
        </w:rPr>
        <w:t xml:space="preserve"> for newly-</w:t>
      </w:r>
      <w:r w:rsidR="00E619A0">
        <w:rPr>
          <w:rFonts w:cs="Arial"/>
          <w:szCs w:val="22"/>
          <w:lang w:eastAsia="en-AU"/>
        </w:rPr>
        <w:t>built houses</w:t>
      </w:r>
      <w:r>
        <w:rPr>
          <w:rFonts w:cs="Arial"/>
          <w:szCs w:val="22"/>
          <w:lang w:eastAsia="en-AU"/>
        </w:rPr>
        <w:t xml:space="preserve">. </w:t>
      </w:r>
    </w:p>
    <w:p w14:paraId="0CF50597" w14:textId="350CEEE7" w:rsidR="002E3CD5" w:rsidRDefault="002E3CD5" w:rsidP="00C26422">
      <w:pPr>
        <w:spacing w:line="240" w:lineRule="auto"/>
        <w:rPr>
          <w:rFonts w:cs="Arial"/>
          <w:szCs w:val="22"/>
        </w:rPr>
      </w:pPr>
      <w:r w:rsidRPr="00C26422">
        <w:rPr>
          <w:rFonts w:cs="Arial"/>
          <w:b/>
          <w:szCs w:val="22"/>
          <w:lang w:eastAsia="en-AU"/>
        </w:rPr>
        <w:t>Support greater housing affordability by putting downward pressure on house prices</w:t>
      </w:r>
    </w:p>
    <w:p w14:paraId="2EE420C3" w14:textId="06FEF4BB" w:rsidR="002E3CD5" w:rsidRDefault="002E3CD5" w:rsidP="002E3CD5">
      <w:pPr>
        <w:pStyle w:val="NormalWeb"/>
        <w:spacing w:before="0" w:beforeAutospacing="0" w:after="0" w:afterAutospacing="0"/>
        <w:rPr>
          <w:rFonts w:ascii="Arial" w:hAnsi="Arial" w:cs="Arial"/>
          <w:sz w:val="22"/>
          <w:szCs w:val="22"/>
          <w:lang w:val="en-GB"/>
        </w:rPr>
      </w:pPr>
      <w:r>
        <w:rPr>
          <w:rFonts w:ascii="Arial" w:hAnsi="Arial" w:cs="Arial"/>
          <w:sz w:val="22"/>
          <w:szCs w:val="22"/>
          <w:lang w:val="en-GB"/>
        </w:rPr>
        <w:t xml:space="preserve">Excluding new builds from the bright-line test </w:t>
      </w:r>
      <w:r w:rsidR="00034950">
        <w:rPr>
          <w:rFonts w:ascii="Arial" w:hAnsi="Arial" w:cs="Arial"/>
          <w:sz w:val="22"/>
          <w:szCs w:val="22"/>
          <w:lang w:val="en-GB"/>
        </w:rPr>
        <w:t xml:space="preserve">altogether </w:t>
      </w:r>
      <w:r w:rsidR="00BC6644">
        <w:rPr>
          <w:rFonts w:ascii="Arial" w:hAnsi="Arial" w:cs="Arial"/>
          <w:sz w:val="22"/>
          <w:szCs w:val="22"/>
          <w:lang w:val="en-GB"/>
        </w:rPr>
        <w:t xml:space="preserve">may </w:t>
      </w:r>
      <w:r>
        <w:rPr>
          <w:rFonts w:ascii="Arial" w:hAnsi="Arial" w:cs="Arial"/>
          <w:sz w:val="22"/>
          <w:szCs w:val="22"/>
          <w:lang w:val="en-GB"/>
        </w:rPr>
        <w:t>encourage investment in newly-built residential property relative to other higher taxed investments e.g. bank deposits. It</w:t>
      </w:r>
      <w:r w:rsidR="00032FD3">
        <w:rPr>
          <w:rFonts w:ascii="Arial" w:hAnsi="Arial" w:cs="Arial"/>
          <w:sz w:val="22"/>
          <w:szCs w:val="22"/>
          <w:lang w:val="en-GB"/>
        </w:rPr>
        <w:t xml:space="preserve"> is also likely to</w:t>
      </w:r>
      <w:r>
        <w:rPr>
          <w:rFonts w:ascii="Arial" w:hAnsi="Arial" w:cs="Arial"/>
          <w:sz w:val="22"/>
          <w:szCs w:val="22"/>
          <w:lang w:val="en-GB"/>
        </w:rPr>
        <w:t xml:space="preserve"> encourage property investors to </w:t>
      </w:r>
      <w:r w:rsidR="00032FD3">
        <w:rPr>
          <w:rFonts w:ascii="Arial" w:hAnsi="Arial" w:cs="Arial"/>
          <w:sz w:val="22"/>
          <w:szCs w:val="22"/>
          <w:lang w:val="en-GB"/>
        </w:rPr>
        <w:t>purchase</w:t>
      </w:r>
      <w:r>
        <w:rPr>
          <w:rFonts w:ascii="Arial" w:hAnsi="Arial" w:cs="Arial"/>
          <w:sz w:val="22"/>
          <w:szCs w:val="22"/>
          <w:lang w:val="en-GB"/>
        </w:rPr>
        <w:t xml:space="preserve"> new</w:t>
      </w:r>
      <w:r w:rsidR="00F61E2A">
        <w:rPr>
          <w:rFonts w:ascii="Arial" w:hAnsi="Arial" w:cs="Arial"/>
          <w:sz w:val="22"/>
          <w:szCs w:val="22"/>
          <w:lang w:val="en-GB"/>
        </w:rPr>
        <w:t xml:space="preserve"> </w:t>
      </w:r>
      <w:r>
        <w:rPr>
          <w:rFonts w:ascii="Arial" w:hAnsi="Arial" w:cs="Arial"/>
          <w:sz w:val="22"/>
          <w:szCs w:val="22"/>
          <w:lang w:val="en-GB"/>
        </w:rPr>
        <w:t xml:space="preserve">builds </w:t>
      </w:r>
      <w:r w:rsidR="00032FD3">
        <w:rPr>
          <w:rFonts w:ascii="Arial" w:hAnsi="Arial" w:cs="Arial"/>
          <w:sz w:val="22"/>
          <w:szCs w:val="22"/>
          <w:lang w:val="en-GB"/>
        </w:rPr>
        <w:t>instead of</w:t>
      </w:r>
      <w:r>
        <w:rPr>
          <w:rFonts w:ascii="Arial" w:hAnsi="Arial" w:cs="Arial"/>
          <w:sz w:val="22"/>
          <w:szCs w:val="22"/>
          <w:lang w:val="en-GB"/>
        </w:rPr>
        <w:t xml:space="preserve"> existing housing. The effect of this is multidirectional. </w:t>
      </w:r>
      <w:r w:rsidR="00032FD3">
        <w:rPr>
          <w:rFonts w:ascii="Arial" w:hAnsi="Arial" w:cs="Arial"/>
          <w:sz w:val="22"/>
          <w:szCs w:val="22"/>
          <w:lang w:val="en-GB"/>
        </w:rPr>
        <w:t>Greater demand for</w:t>
      </w:r>
      <w:r>
        <w:rPr>
          <w:rFonts w:ascii="Arial" w:hAnsi="Arial" w:cs="Arial"/>
          <w:sz w:val="22"/>
          <w:szCs w:val="22"/>
          <w:lang w:val="en-GB"/>
        </w:rPr>
        <w:t xml:space="preserve"> new</w:t>
      </w:r>
      <w:r w:rsidR="00F61E2A">
        <w:rPr>
          <w:rFonts w:ascii="Arial" w:hAnsi="Arial" w:cs="Arial"/>
          <w:sz w:val="22"/>
          <w:szCs w:val="22"/>
          <w:lang w:val="en-GB"/>
        </w:rPr>
        <w:t xml:space="preserve"> </w:t>
      </w:r>
      <w:r>
        <w:rPr>
          <w:rFonts w:ascii="Arial" w:hAnsi="Arial" w:cs="Arial"/>
          <w:sz w:val="22"/>
          <w:szCs w:val="22"/>
          <w:lang w:val="en-GB"/>
        </w:rPr>
        <w:t>builds could increase housing supply</w:t>
      </w:r>
      <w:r w:rsidR="00032FD3">
        <w:rPr>
          <w:rFonts w:ascii="Arial" w:hAnsi="Arial" w:cs="Arial"/>
          <w:sz w:val="22"/>
          <w:szCs w:val="22"/>
          <w:lang w:val="en-GB"/>
        </w:rPr>
        <w:t xml:space="preserve"> over the longer term</w:t>
      </w:r>
      <w:r w:rsidR="00BD5EC0">
        <w:rPr>
          <w:rFonts w:ascii="Arial" w:hAnsi="Arial" w:cs="Arial"/>
          <w:sz w:val="22"/>
          <w:szCs w:val="22"/>
          <w:lang w:val="en-GB"/>
        </w:rPr>
        <w:t>.</w:t>
      </w:r>
      <w:r>
        <w:rPr>
          <w:rFonts w:ascii="Arial" w:hAnsi="Arial" w:cs="Arial"/>
          <w:sz w:val="22"/>
          <w:szCs w:val="22"/>
          <w:lang w:val="en-GB"/>
        </w:rPr>
        <w:t xml:space="preserve"> </w:t>
      </w:r>
      <w:r w:rsidR="00BD5EC0">
        <w:rPr>
          <w:rFonts w:ascii="Arial" w:hAnsi="Arial" w:cs="Arial"/>
          <w:sz w:val="22"/>
          <w:szCs w:val="22"/>
          <w:lang w:val="en-GB"/>
        </w:rPr>
        <w:t xml:space="preserve">To </w:t>
      </w:r>
      <w:r>
        <w:rPr>
          <w:rFonts w:ascii="Arial" w:hAnsi="Arial" w:cs="Arial"/>
          <w:sz w:val="22"/>
          <w:szCs w:val="22"/>
          <w:lang w:val="en-GB"/>
        </w:rPr>
        <w:t xml:space="preserve">the extent this </w:t>
      </w:r>
      <w:r w:rsidR="00032FD3">
        <w:rPr>
          <w:rFonts w:ascii="Arial" w:hAnsi="Arial" w:cs="Arial"/>
          <w:sz w:val="22"/>
          <w:szCs w:val="22"/>
          <w:lang w:val="en-GB"/>
        </w:rPr>
        <w:t>eventuates</w:t>
      </w:r>
      <w:r>
        <w:rPr>
          <w:rFonts w:ascii="Arial" w:hAnsi="Arial" w:cs="Arial"/>
          <w:sz w:val="22"/>
          <w:szCs w:val="22"/>
          <w:lang w:val="en-GB"/>
        </w:rPr>
        <w:t xml:space="preserve">, </w:t>
      </w:r>
      <w:r w:rsidR="00BD5EC0">
        <w:rPr>
          <w:rFonts w:ascii="Arial" w:hAnsi="Arial" w:cs="Arial"/>
          <w:sz w:val="22"/>
          <w:szCs w:val="22"/>
          <w:lang w:val="en-GB"/>
        </w:rPr>
        <w:t xml:space="preserve">this </w:t>
      </w:r>
      <w:r>
        <w:rPr>
          <w:rFonts w:ascii="Arial" w:hAnsi="Arial" w:cs="Arial"/>
          <w:sz w:val="22"/>
          <w:szCs w:val="22"/>
          <w:lang w:val="en-GB"/>
        </w:rPr>
        <w:t xml:space="preserve">could </w:t>
      </w:r>
      <w:r w:rsidR="007D78C6">
        <w:rPr>
          <w:rFonts w:ascii="Arial" w:hAnsi="Arial" w:cs="Arial"/>
          <w:sz w:val="22"/>
          <w:szCs w:val="22"/>
          <w:lang w:val="en-GB"/>
        </w:rPr>
        <w:t>put downward</w:t>
      </w:r>
      <w:r>
        <w:rPr>
          <w:rFonts w:ascii="Arial" w:hAnsi="Arial" w:cs="Arial"/>
          <w:sz w:val="22"/>
          <w:szCs w:val="22"/>
          <w:lang w:val="en-GB"/>
        </w:rPr>
        <w:t xml:space="preserve"> pressure on house prices</w:t>
      </w:r>
      <w:r w:rsidR="00BC6644">
        <w:rPr>
          <w:rFonts w:ascii="Arial" w:hAnsi="Arial" w:cs="Arial"/>
          <w:sz w:val="22"/>
          <w:szCs w:val="22"/>
          <w:lang w:val="en-GB"/>
        </w:rPr>
        <w:t xml:space="preserve"> in the long-run</w:t>
      </w:r>
      <w:r>
        <w:rPr>
          <w:rFonts w:ascii="Arial" w:hAnsi="Arial" w:cs="Arial"/>
          <w:sz w:val="22"/>
          <w:szCs w:val="22"/>
          <w:lang w:val="en-GB"/>
        </w:rPr>
        <w:t>. However, exempting new</w:t>
      </w:r>
      <w:r w:rsidR="00F61E2A">
        <w:rPr>
          <w:rFonts w:ascii="Arial" w:hAnsi="Arial" w:cs="Arial"/>
          <w:sz w:val="22"/>
          <w:szCs w:val="22"/>
          <w:lang w:val="en-GB"/>
        </w:rPr>
        <w:t xml:space="preserve"> </w:t>
      </w:r>
      <w:r>
        <w:rPr>
          <w:rFonts w:ascii="Arial" w:hAnsi="Arial" w:cs="Arial"/>
          <w:sz w:val="22"/>
          <w:szCs w:val="22"/>
          <w:lang w:val="en-GB"/>
        </w:rPr>
        <w:t xml:space="preserve">builds from the bright-line </w:t>
      </w:r>
      <w:r w:rsidR="007D78C6">
        <w:rPr>
          <w:rFonts w:ascii="Arial" w:hAnsi="Arial" w:cs="Arial"/>
          <w:sz w:val="22"/>
          <w:szCs w:val="22"/>
          <w:lang w:val="en-GB"/>
        </w:rPr>
        <w:t xml:space="preserve">test </w:t>
      </w:r>
      <w:r>
        <w:rPr>
          <w:rFonts w:ascii="Arial" w:hAnsi="Arial" w:cs="Arial"/>
          <w:sz w:val="22"/>
          <w:szCs w:val="22"/>
          <w:lang w:val="en-GB"/>
        </w:rPr>
        <w:t>decreases the tax cost of this type of investment property compared to the status quo. This</w:t>
      </w:r>
      <w:r w:rsidR="00BC6644">
        <w:rPr>
          <w:rFonts w:ascii="Arial" w:hAnsi="Arial" w:cs="Arial"/>
          <w:sz w:val="22"/>
          <w:szCs w:val="22"/>
          <w:lang w:val="en-GB"/>
        </w:rPr>
        <w:t xml:space="preserve"> could</w:t>
      </w:r>
      <w:r>
        <w:rPr>
          <w:rFonts w:ascii="Arial" w:hAnsi="Arial" w:cs="Arial"/>
          <w:sz w:val="22"/>
          <w:szCs w:val="22"/>
          <w:lang w:val="en-GB"/>
        </w:rPr>
        <w:t xml:space="preserve"> put upward pressure on demand </w:t>
      </w:r>
      <w:r w:rsidR="007D78C6">
        <w:rPr>
          <w:rFonts w:ascii="Arial" w:hAnsi="Arial" w:cs="Arial"/>
          <w:sz w:val="22"/>
          <w:szCs w:val="22"/>
          <w:lang w:val="en-GB"/>
        </w:rPr>
        <w:t>for new builds</w:t>
      </w:r>
      <w:r w:rsidR="00032FD3">
        <w:rPr>
          <w:rFonts w:ascii="Arial" w:hAnsi="Arial" w:cs="Arial"/>
          <w:sz w:val="22"/>
          <w:szCs w:val="22"/>
          <w:lang w:val="en-GB"/>
        </w:rPr>
        <w:t xml:space="preserve"> and increase the amount investors are willing </w:t>
      </w:r>
      <w:r w:rsidR="00EB270D">
        <w:rPr>
          <w:rFonts w:ascii="Arial" w:hAnsi="Arial" w:cs="Arial"/>
          <w:sz w:val="22"/>
          <w:szCs w:val="22"/>
          <w:lang w:val="en-GB"/>
        </w:rPr>
        <w:t>to pay</w:t>
      </w:r>
      <w:r w:rsidR="00032FD3">
        <w:rPr>
          <w:rFonts w:ascii="Arial" w:hAnsi="Arial" w:cs="Arial"/>
          <w:sz w:val="22"/>
          <w:szCs w:val="22"/>
          <w:lang w:val="en-GB"/>
        </w:rPr>
        <w:t>,</w:t>
      </w:r>
      <w:r w:rsidR="007D78C6">
        <w:rPr>
          <w:rFonts w:ascii="Arial" w:hAnsi="Arial" w:cs="Arial"/>
          <w:sz w:val="22"/>
          <w:szCs w:val="22"/>
          <w:lang w:val="en-GB"/>
        </w:rPr>
        <w:t xml:space="preserve"> </w:t>
      </w:r>
      <w:r>
        <w:rPr>
          <w:rFonts w:ascii="Arial" w:hAnsi="Arial" w:cs="Arial"/>
          <w:sz w:val="22"/>
          <w:szCs w:val="22"/>
          <w:lang w:val="en-GB"/>
        </w:rPr>
        <w:t xml:space="preserve">and </w:t>
      </w:r>
      <w:r w:rsidR="00032FD3">
        <w:rPr>
          <w:rFonts w:ascii="Arial" w:hAnsi="Arial" w:cs="Arial"/>
          <w:sz w:val="22"/>
          <w:szCs w:val="22"/>
          <w:lang w:val="en-GB"/>
        </w:rPr>
        <w:t xml:space="preserve">therefore </w:t>
      </w:r>
      <w:r w:rsidR="007D78C6">
        <w:rPr>
          <w:rFonts w:ascii="Arial" w:hAnsi="Arial" w:cs="Arial"/>
          <w:sz w:val="22"/>
          <w:szCs w:val="22"/>
          <w:lang w:val="en-GB"/>
        </w:rPr>
        <w:t>the</w:t>
      </w:r>
      <w:r>
        <w:rPr>
          <w:rFonts w:ascii="Arial" w:hAnsi="Arial" w:cs="Arial"/>
          <w:sz w:val="22"/>
          <w:szCs w:val="22"/>
          <w:lang w:val="en-GB"/>
        </w:rPr>
        <w:t xml:space="preserve"> price</w:t>
      </w:r>
      <w:r w:rsidR="007D78C6">
        <w:rPr>
          <w:rFonts w:ascii="Arial" w:hAnsi="Arial" w:cs="Arial"/>
          <w:sz w:val="22"/>
          <w:szCs w:val="22"/>
          <w:lang w:val="en-GB"/>
        </w:rPr>
        <w:t xml:space="preserve"> of new builds.</w:t>
      </w:r>
      <w:r>
        <w:rPr>
          <w:rFonts w:ascii="Arial" w:hAnsi="Arial" w:cs="Arial"/>
          <w:sz w:val="22"/>
          <w:szCs w:val="22"/>
          <w:lang w:val="en-GB"/>
        </w:rPr>
        <w:t xml:space="preserve"> </w:t>
      </w:r>
    </w:p>
    <w:p w14:paraId="00C9A772" w14:textId="77777777" w:rsidR="002E3CD5" w:rsidRDefault="002E3CD5" w:rsidP="002E3CD5">
      <w:pPr>
        <w:pStyle w:val="NormalWeb"/>
        <w:spacing w:before="0" w:beforeAutospacing="0" w:after="0" w:afterAutospacing="0"/>
        <w:rPr>
          <w:rFonts w:ascii="Arial" w:hAnsi="Arial" w:cs="Arial"/>
          <w:sz w:val="22"/>
          <w:szCs w:val="22"/>
          <w:lang w:val="en-GB"/>
        </w:rPr>
      </w:pPr>
    </w:p>
    <w:p w14:paraId="53296248" w14:textId="77777777" w:rsidR="002E3CD5" w:rsidRDefault="002E3CD5">
      <w:pPr>
        <w:pStyle w:val="NormalWeb"/>
        <w:spacing w:before="0" w:beforeAutospacing="0" w:after="0" w:afterAutospacing="0"/>
        <w:rPr>
          <w:rFonts w:ascii="Arial" w:hAnsi="Arial" w:cs="Arial"/>
          <w:sz w:val="22"/>
          <w:szCs w:val="22"/>
          <w:lang w:val="en-GB"/>
        </w:rPr>
      </w:pPr>
      <w:r>
        <w:rPr>
          <w:rFonts w:ascii="Arial" w:hAnsi="Arial" w:cs="Arial"/>
          <w:sz w:val="22"/>
          <w:szCs w:val="22"/>
          <w:lang w:val="en-GB"/>
        </w:rPr>
        <w:lastRenderedPageBreak/>
        <w:t xml:space="preserve">The net </w:t>
      </w:r>
      <w:r w:rsidR="00987447">
        <w:rPr>
          <w:rFonts w:ascii="Arial" w:hAnsi="Arial" w:cs="Arial"/>
          <w:sz w:val="22"/>
          <w:szCs w:val="22"/>
          <w:lang w:val="en-GB"/>
        </w:rPr>
        <w:t xml:space="preserve">impact </w:t>
      </w:r>
      <w:r>
        <w:rPr>
          <w:rFonts w:ascii="Arial" w:hAnsi="Arial" w:cs="Arial"/>
          <w:sz w:val="22"/>
          <w:szCs w:val="22"/>
          <w:lang w:val="en-GB"/>
        </w:rPr>
        <w:t xml:space="preserve">of these effects </w:t>
      </w:r>
      <w:r w:rsidR="00900C38">
        <w:rPr>
          <w:rFonts w:ascii="Arial" w:hAnsi="Arial" w:cs="Arial"/>
          <w:sz w:val="22"/>
          <w:szCs w:val="22"/>
          <w:lang w:val="en-GB"/>
        </w:rPr>
        <w:t>is</w:t>
      </w:r>
      <w:r w:rsidR="008B771C">
        <w:rPr>
          <w:rFonts w:ascii="Arial" w:hAnsi="Arial" w:cs="Arial"/>
          <w:sz w:val="22"/>
          <w:szCs w:val="22"/>
          <w:lang w:val="en-GB"/>
        </w:rPr>
        <w:t xml:space="preserve"> unclear. There is a risk this could </w:t>
      </w:r>
      <w:r>
        <w:rPr>
          <w:rFonts w:ascii="Arial" w:hAnsi="Arial" w:cs="Arial"/>
          <w:sz w:val="22"/>
          <w:szCs w:val="22"/>
          <w:lang w:val="en-GB"/>
        </w:rPr>
        <w:t>negatively impact first home buyers</w:t>
      </w:r>
      <w:r w:rsidR="007D78C6">
        <w:rPr>
          <w:rFonts w:ascii="Arial" w:hAnsi="Arial" w:cs="Arial"/>
          <w:sz w:val="22"/>
          <w:szCs w:val="22"/>
          <w:lang w:val="en-GB"/>
        </w:rPr>
        <w:t xml:space="preserve"> wishing to purchase new build properties</w:t>
      </w:r>
      <w:r w:rsidR="00032FD3">
        <w:rPr>
          <w:rFonts w:ascii="Arial" w:hAnsi="Arial" w:cs="Arial"/>
          <w:sz w:val="22"/>
          <w:szCs w:val="22"/>
          <w:lang w:val="en-GB"/>
        </w:rPr>
        <w:t xml:space="preserve"> and shift owner-occupier demand into the existing stock (which may be lower quality)</w:t>
      </w:r>
      <w:r>
        <w:rPr>
          <w:rFonts w:ascii="Arial" w:hAnsi="Arial" w:cs="Arial"/>
          <w:sz w:val="22"/>
          <w:szCs w:val="22"/>
          <w:lang w:val="en-GB"/>
        </w:rPr>
        <w:t xml:space="preserve">. Due to the lack of robust empirical evidence or models, these impacts cannot be quantified. </w:t>
      </w:r>
    </w:p>
    <w:p w14:paraId="75AC41E4" w14:textId="77777777" w:rsidR="002E3CD5" w:rsidRPr="006F586A" w:rsidRDefault="002E3CD5" w:rsidP="002E3CD5">
      <w:pPr>
        <w:pStyle w:val="NormalWeb"/>
        <w:spacing w:after="0"/>
        <w:rPr>
          <w:rFonts w:ascii="Arial" w:hAnsi="Arial" w:cs="Arial"/>
          <w:b/>
          <w:i/>
          <w:sz w:val="22"/>
          <w:szCs w:val="22"/>
          <w:lang w:val="en-GB"/>
        </w:rPr>
      </w:pPr>
      <w:r w:rsidRPr="006F586A">
        <w:rPr>
          <w:rFonts w:ascii="Arial" w:hAnsi="Arial" w:cs="Arial"/>
          <w:b/>
          <w:i/>
          <w:sz w:val="22"/>
          <w:szCs w:val="22"/>
          <w:lang w:val="en-GB"/>
        </w:rPr>
        <w:t>Dampening investment demand</w:t>
      </w:r>
      <w:r w:rsidR="001803DF">
        <w:rPr>
          <w:rFonts w:ascii="Arial" w:hAnsi="Arial" w:cs="Arial"/>
          <w:b/>
          <w:i/>
          <w:sz w:val="22"/>
          <w:szCs w:val="22"/>
          <w:lang w:val="en-GB"/>
        </w:rPr>
        <w:t xml:space="preserve"> </w:t>
      </w:r>
      <w:r w:rsidR="001803DF" w:rsidRPr="001803DF">
        <w:rPr>
          <w:rFonts w:ascii="Arial" w:hAnsi="Arial" w:cs="Arial"/>
          <w:b/>
          <w:i/>
          <w:sz w:val="22"/>
          <w:szCs w:val="22"/>
          <w:lang w:val="en-GB"/>
        </w:rPr>
        <w:t>for existing housing stock</w:t>
      </w:r>
    </w:p>
    <w:p w14:paraId="53BF1D57" w14:textId="6F68001A" w:rsidR="002E3CD5" w:rsidRDefault="00BD5337" w:rsidP="00C26422">
      <w:pPr>
        <w:spacing w:line="240" w:lineRule="auto"/>
        <w:rPr>
          <w:rFonts w:cs="Arial"/>
          <w:szCs w:val="22"/>
        </w:rPr>
      </w:pPr>
      <w:r>
        <w:rPr>
          <w:rFonts w:cs="Arial"/>
          <w:szCs w:val="22"/>
        </w:rPr>
        <w:t>As noted above, e</w:t>
      </w:r>
      <w:r w:rsidR="002E3CD5">
        <w:rPr>
          <w:rFonts w:cs="Arial"/>
          <w:szCs w:val="22"/>
        </w:rPr>
        <w:t xml:space="preserve">xempting new builds from the bright-line test </w:t>
      </w:r>
      <w:r w:rsidR="00EB270D">
        <w:rPr>
          <w:rFonts w:cs="Arial"/>
          <w:szCs w:val="22"/>
        </w:rPr>
        <w:t>altogether is likely to</w:t>
      </w:r>
      <w:r w:rsidR="00BC6644">
        <w:rPr>
          <w:rFonts w:cs="Arial"/>
          <w:szCs w:val="22"/>
        </w:rPr>
        <w:t xml:space="preserve"> </w:t>
      </w:r>
      <w:r>
        <w:rPr>
          <w:rFonts w:cs="Arial"/>
          <w:szCs w:val="22"/>
        </w:rPr>
        <w:t>encourage</w:t>
      </w:r>
      <w:r w:rsidR="00900C38">
        <w:rPr>
          <w:rFonts w:cs="Arial"/>
          <w:szCs w:val="22"/>
        </w:rPr>
        <w:t xml:space="preserve"> </w:t>
      </w:r>
      <w:r>
        <w:rPr>
          <w:rFonts w:cs="Arial"/>
          <w:szCs w:val="22"/>
        </w:rPr>
        <w:t xml:space="preserve">investors to </w:t>
      </w:r>
      <w:r w:rsidR="00EB270D">
        <w:rPr>
          <w:rFonts w:cs="Arial"/>
          <w:szCs w:val="22"/>
        </w:rPr>
        <w:t xml:space="preserve">purchase </w:t>
      </w:r>
      <w:r>
        <w:rPr>
          <w:rFonts w:cs="Arial"/>
          <w:szCs w:val="22"/>
        </w:rPr>
        <w:t xml:space="preserve">new residential properties </w:t>
      </w:r>
      <w:r w:rsidR="00EB270D">
        <w:rPr>
          <w:rFonts w:cs="Arial"/>
          <w:szCs w:val="22"/>
        </w:rPr>
        <w:t>instead of</w:t>
      </w:r>
      <w:r w:rsidR="009E1997">
        <w:rPr>
          <w:rFonts w:cs="Arial"/>
          <w:szCs w:val="22"/>
        </w:rPr>
        <w:t xml:space="preserve"> existing residential </w:t>
      </w:r>
      <w:r w:rsidR="007D78C6">
        <w:rPr>
          <w:rFonts w:cs="Arial"/>
          <w:szCs w:val="22"/>
        </w:rPr>
        <w:t>properties</w:t>
      </w:r>
      <w:r w:rsidR="00F33803">
        <w:rPr>
          <w:rFonts w:cs="Arial"/>
          <w:szCs w:val="22"/>
        </w:rPr>
        <w:t xml:space="preserve">. This is likely to reduce investor demand for existing stock.  </w:t>
      </w:r>
      <w:r w:rsidR="00F61E2A">
        <w:rPr>
          <w:rFonts w:cs="Arial"/>
          <w:szCs w:val="22"/>
        </w:rPr>
        <w:t>However, the quantum would</w:t>
      </w:r>
      <w:r w:rsidR="002E3CD5">
        <w:rPr>
          <w:rFonts w:cs="Arial"/>
          <w:szCs w:val="22"/>
        </w:rPr>
        <w:t xml:space="preserve"> </w:t>
      </w:r>
      <w:r w:rsidR="002E3CD5" w:rsidRPr="00C26422">
        <w:rPr>
          <w:lang w:eastAsia="en-AU"/>
        </w:rPr>
        <w:t>depend</w:t>
      </w:r>
      <w:r w:rsidR="002E3CD5">
        <w:rPr>
          <w:rFonts w:cs="Arial"/>
          <w:szCs w:val="22"/>
        </w:rPr>
        <w:t xml:space="preserve"> on property investors’ behavioural responses and broader supply constraints. </w:t>
      </w:r>
    </w:p>
    <w:p w14:paraId="54C17270" w14:textId="6D0CCC60" w:rsidR="00AC667E" w:rsidRPr="00C26422" w:rsidRDefault="00AC667E" w:rsidP="00C26422">
      <w:pPr>
        <w:spacing w:line="240" w:lineRule="auto"/>
        <w:rPr>
          <w:rFonts w:cs="Arial"/>
          <w:i/>
          <w:iCs/>
          <w:szCs w:val="22"/>
        </w:rPr>
      </w:pPr>
      <w:r w:rsidRPr="00C26422">
        <w:rPr>
          <w:rFonts w:cs="Arial"/>
          <w:b/>
          <w:bCs/>
          <w:i/>
          <w:iCs/>
          <w:szCs w:val="22"/>
        </w:rPr>
        <w:t>Improve affordability in the rental market</w:t>
      </w:r>
    </w:p>
    <w:p w14:paraId="3699AA1C" w14:textId="77777777" w:rsidR="00C26422" w:rsidRDefault="00AC667E" w:rsidP="00C26422">
      <w:pPr>
        <w:spacing w:line="240" w:lineRule="auto"/>
        <w:rPr>
          <w:rFonts w:cs="Arial"/>
          <w:szCs w:val="22"/>
        </w:rPr>
      </w:pPr>
      <w:r>
        <w:rPr>
          <w:rFonts w:cs="Arial"/>
          <w:szCs w:val="22"/>
        </w:rPr>
        <w:t xml:space="preserve">Exempting new builds </w:t>
      </w:r>
      <w:r w:rsidR="00BC6644">
        <w:rPr>
          <w:rFonts w:cs="Arial"/>
          <w:szCs w:val="22"/>
        </w:rPr>
        <w:t>could</w:t>
      </w:r>
      <w:r>
        <w:rPr>
          <w:rFonts w:cs="Arial"/>
          <w:szCs w:val="22"/>
        </w:rPr>
        <w:t xml:space="preserve"> increase investor demand for new rental supply, compared with the status quo. In the short-term, an exemption could potentially put downward pressure on rents to the extent that the decrease in tax is passed onto renters. However, as noted above, this depends on behavioural responses and features of the rental market. Alternatively, to the extent that rents are set by income levels, they may not decrease as a result of this policy.</w:t>
      </w:r>
    </w:p>
    <w:p w14:paraId="3DD03A1E" w14:textId="0BD2F1FA" w:rsidR="00C26422" w:rsidRDefault="00AC667E" w:rsidP="00C26422">
      <w:pPr>
        <w:spacing w:line="240" w:lineRule="auto"/>
        <w:rPr>
          <w:rFonts w:cs="Arial"/>
          <w:szCs w:val="22"/>
        </w:rPr>
      </w:pPr>
      <w:r>
        <w:rPr>
          <w:rFonts w:cs="Arial"/>
          <w:szCs w:val="22"/>
        </w:rPr>
        <w:t>Over the long-term</w:t>
      </w:r>
      <w:r w:rsidR="004617D4">
        <w:rPr>
          <w:rFonts w:cs="Arial"/>
          <w:szCs w:val="22"/>
        </w:rPr>
        <w:t>,</w:t>
      </w:r>
      <w:r>
        <w:rPr>
          <w:rFonts w:cs="Arial"/>
          <w:szCs w:val="22"/>
        </w:rPr>
        <w:t xml:space="preserve"> an exemption could put downward pressure on rents</w:t>
      </w:r>
      <w:r w:rsidR="00BD5EC0">
        <w:rPr>
          <w:rFonts w:cs="Arial"/>
          <w:szCs w:val="22"/>
        </w:rPr>
        <w:t>, t</w:t>
      </w:r>
      <w:r>
        <w:rPr>
          <w:rFonts w:cs="Arial"/>
          <w:szCs w:val="22"/>
        </w:rPr>
        <w:t xml:space="preserve">o the extent </w:t>
      </w:r>
      <w:r w:rsidR="00BD5EC0">
        <w:rPr>
          <w:rFonts w:cs="Arial"/>
          <w:szCs w:val="22"/>
        </w:rPr>
        <w:t xml:space="preserve">it </w:t>
      </w:r>
      <w:r>
        <w:rPr>
          <w:rFonts w:cs="Arial"/>
          <w:szCs w:val="22"/>
        </w:rPr>
        <w:t xml:space="preserve">encourages </w:t>
      </w:r>
      <w:r w:rsidR="004617D4">
        <w:rPr>
          <w:rFonts w:cs="Arial"/>
          <w:szCs w:val="22"/>
        </w:rPr>
        <w:t xml:space="preserve">an </w:t>
      </w:r>
      <w:r>
        <w:rPr>
          <w:rFonts w:cs="Arial"/>
          <w:szCs w:val="22"/>
        </w:rPr>
        <w:t xml:space="preserve">increase in </w:t>
      </w:r>
      <w:r w:rsidR="00BC6644">
        <w:rPr>
          <w:rFonts w:cs="Arial"/>
          <w:szCs w:val="22"/>
        </w:rPr>
        <w:t xml:space="preserve">long-run </w:t>
      </w:r>
      <w:r>
        <w:rPr>
          <w:rFonts w:cs="Arial"/>
          <w:szCs w:val="22"/>
        </w:rPr>
        <w:t>supply through greenfield developments and intensification.</w:t>
      </w:r>
    </w:p>
    <w:p w14:paraId="5A62287B" w14:textId="77777777" w:rsidR="00C26422" w:rsidRDefault="00AC667E" w:rsidP="00C26422">
      <w:pPr>
        <w:spacing w:line="240" w:lineRule="auto"/>
        <w:rPr>
          <w:rFonts w:cs="Arial"/>
          <w:szCs w:val="22"/>
        </w:rPr>
      </w:pPr>
      <w:r>
        <w:rPr>
          <w:rFonts w:cs="Arial"/>
          <w:szCs w:val="22"/>
        </w:rPr>
        <w:t xml:space="preserve">If this policy were to result in decreased rents and increased rental supply, it </w:t>
      </w:r>
      <w:r w:rsidR="004617D4">
        <w:rPr>
          <w:rFonts w:cs="Arial"/>
          <w:szCs w:val="22"/>
        </w:rPr>
        <w:t>w</w:t>
      </w:r>
      <w:r>
        <w:rPr>
          <w:rFonts w:cs="Arial"/>
          <w:szCs w:val="22"/>
        </w:rPr>
        <w:t xml:space="preserve">ould improve living standards. Lower rents would increase financial, social, and human capital stocks for renters. This is likely to specifically benefit low-income households, younger people, </w:t>
      </w:r>
      <w:r w:rsidR="00231FD6">
        <w:rPr>
          <w:rFonts w:cs="Arial"/>
          <w:szCs w:val="22"/>
        </w:rPr>
        <w:t>Māori</w:t>
      </w:r>
      <w:r>
        <w:rPr>
          <w:rFonts w:cs="Arial"/>
          <w:szCs w:val="22"/>
        </w:rPr>
        <w:t xml:space="preserve">, and Pacific peoples, who are less likely to own their home relative to the general population. In addition, </w:t>
      </w:r>
      <w:r w:rsidR="00987447">
        <w:rPr>
          <w:rFonts w:cs="Arial"/>
          <w:szCs w:val="22"/>
        </w:rPr>
        <w:t>any reduction in rents and increase in rental supply is</w:t>
      </w:r>
      <w:r>
        <w:rPr>
          <w:rFonts w:cs="Arial"/>
          <w:szCs w:val="22"/>
        </w:rPr>
        <w:t xml:space="preserve"> likely to benefit child wellbeing and </w:t>
      </w:r>
      <w:r w:rsidR="00987447">
        <w:rPr>
          <w:rFonts w:cs="Arial"/>
          <w:szCs w:val="22"/>
        </w:rPr>
        <w:t xml:space="preserve">reduce </w:t>
      </w:r>
      <w:r>
        <w:rPr>
          <w:rFonts w:cs="Arial"/>
          <w:szCs w:val="22"/>
        </w:rPr>
        <w:t>child poverty.</w:t>
      </w:r>
    </w:p>
    <w:p w14:paraId="56CD178D" w14:textId="77777777" w:rsidR="00C26422" w:rsidRDefault="00AC667E" w:rsidP="00C26422">
      <w:pPr>
        <w:spacing w:line="240" w:lineRule="auto"/>
        <w:rPr>
          <w:rFonts w:cs="Arial"/>
          <w:b/>
          <w:i/>
          <w:szCs w:val="22"/>
        </w:rPr>
      </w:pPr>
      <w:r w:rsidRPr="007B4CDB">
        <w:rPr>
          <w:rFonts w:cs="Arial"/>
          <w:b/>
          <w:i/>
          <w:szCs w:val="22"/>
        </w:rPr>
        <w:t>Efficiency</w:t>
      </w:r>
    </w:p>
    <w:p w14:paraId="74450576" w14:textId="77777777" w:rsidR="00C26422" w:rsidRDefault="00AC667E" w:rsidP="00C26422">
      <w:pPr>
        <w:spacing w:line="240" w:lineRule="auto"/>
        <w:rPr>
          <w:rFonts w:cs="Arial"/>
          <w:i/>
          <w:szCs w:val="22"/>
        </w:rPr>
      </w:pPr>
      <w:r w:rsidRPr="005D1402">
        <w:rPr>
          <w:rFonts w:cs="Arial"/>
          <w:i/>
          <w:szCs w:val="22"/>
        </w:rPr>
        <w:t>Taxing more economic income</w:t>
      </w:r>
    </w:p>
    <w:p w14:paraId="4408B89F" w14:textId="1D9F8F58" w:rsidR="00C26422" w:rsidRPr="00C26422" w:rsidRDefault="006D1E41" w:rsidP="00C26422">
      <w:pPr>
        <w:spacing w:line="240" w:lineRule="auto"/>
        <w:rPr>
          <w:rFonts w:cs="Arial"/>
          <w:szCs w:val="22"/>
        </w:rPr>
      </w:pPr>
      <w:r w:rsidRPr="004D3A7A">
        <w:rPr>
          <w:rFonts w:cs="Arial"/>
          <w:szCs w:val="22"/>
        </w:rPr>
        <w:t>Exempting new builds</w:t>
      </w:r>
      <w:r>
        <w:rPr>
          <w:rFonts w:cs="Arial"/>
          <w:szCs w:val="22"/>
        </w:rPr>
        <w:t xml:space="preserve"> from</w:t>
      </w:r>
      <w:r w:rsidRPr="004D3A7A">
        <w:rPr>
          <w:rFonts w:cs="Arial"/>
          <w:szCs w:val="22"/>
        </w:rPr>
        <w:t xml:space="preserve"> </w:t>
      </w:r>
      <w:r>
        <w:rPr>
          <w:rFonts w:cs="Arial"/>
          <w:szCs w:val="22"/>
        </w:rPr>
        <w:t xml:space="preserve">a bright-line test </w:t>
      </w:r>
      <w:r w:rsidR="00F61E2A">
        <w:rPr>
          <w:rFonts w:cs="Arial"/>
          <w:szCs w:val="22"/>
        </w:rPr>
        <w:t>w</w:t>
      </w:r>
      <w:r w:rsidR="00AC667E" w:rsidRPr="006E0F54">
        <w:rPr>
          <w:rFonts w:cs="Arial"/>
          <w:szCs w:val="22"/>
        </w:rPr>
        <w:t xml:space="preserve">ould reduce the efficiency of the tax system by reducing economic income that is taxed, relative to the status quo. It would also </w:t>
      </w:r>
      <w:r w:rsidR="00AC667E" w:rsidRPr="006E5C0A">
        <w:rPr>
          <w:rFonts w:cs="Arial"/>
          <w:szCs w:val="22"/>
        </w:rPr>
        <w:t xml:space="preserve">negatively impact allocative efficiency by increasing the tax bias towards investing in newly-built residential property as opposed to </w:t>
      </w:r>
      <w:r w:rsidR="00A806E7">
        <w:rPr>
          <w:rFonts w:cs="Arial"/>
          <w:szCs w:val="22"/>
        </w:rPr>
        <w:t xml:space="preserve">existing housing or </w:t>
      </w:r>
      <w:r w:rsidR="00AC667E" w:rsidRPr="006E5C0A">
        <w:rPr>
          <w:rFonts w:cs="Arial"/>
          <w:szCs w:val="22"/>
        </w:rPr>
        <w:t xml:space="preserve">other investments, such as </w:t>
      </w:r>
      <w:r w:rsidR="008079FD">
        <w:rPr>
          <w:rFonts w:cs="Arial"/>
          <w:szCs w:val="22"/>
        </w:rPr>
        <w:t>bonds</w:t>
      </w:r>
      <w:r w:rsidR="00AC667E" w:rsidRPr="006E5C0A">
        <w:rPr>
          <w:rFonts w:cs="Arial"/>
          <w:szCs w:val="22"/>
        </w:rPr>
        <w:t>.</w:t>
      </w:r>
    </w:p>
    <w:p w14:paraId="485ED643" w14:textId="6F0AE2DD" w:rsidR="00AC667E" w:rsidRDefault="00AC667E" w:rsidP="00C26422">
      <w:pPr>
        <w:spacing w:line="240" w:lineRule="auto"/>
        <w:rPr>
          <w:rFonts w:cs="Arial"/>
          <w:i/>
          <w:szCs w:val="22"/>
        </w:rPr>
      </w:pPr>
      <w:r w:rsidRPr="007B4CDB">
        <w:rPr>
          <w:rFonts w:cs="Arial"/>
          <w:i/>
          <w:szCs w:val="22"/>
        </w:rPr>
        <w:t>Lock-in impacts</w:t>
      </w:r>
    </w:p>
    <w:p w14:paraId="0A1B06C0" w14:textId="77777777" w:rsidR="00C26422" w:rsidRDefault="00AC667E" w:rsidP="00C26422">
      <w:pPr>
        <w:spacing w:line="240" w:lineRule="auto"/>
        <w:rPr>
          <w:rFonts w:cs="Arial"/>
          <w:szCs w:val="22"/>
        </w:rPr>
      </w:pPr>
      <w:r w:rsidRPr="006E0F54">
        <w:rPr>
          <w:rFonts w:cs="Arial"/>
          <w:szCs w:val="22"/>
        </w:rPr>
        <w:t>Exempting new builds from any bright-line test would fully mitigate the lock-in effects for new build property compared with the status quo.</w:t>
      </w:r>
    </w:p>
    <w:p w14:paraId="49B26834" w14:textId="1FE75E58" w:rsidR="00AC667E" w:rsidRPr="00C26422" w:rsidRDefault="00AC667E" w:rsidP="00C26422">
      <w:pPr>
        <w:spacing w:line="240" w:lineRule="auto"/>
        <w:rPr>
          <w:rFonts w:cs="Arial"/>
          <w:szCs w:val="22"/>
        </w:rPr>
      </w:pPr>
      <w:r w:rsidRPr="007D78C6">
        <w:rPr>
          <w:rFonts w:cs="Arial"/>
          <w:b/>
          <w:i/>
          <w:szCs w:val="22"/>
        </w:rPr>
        <w:t>Equity and fairness</w:t>
      </w:r>
    </w:p>
    <w:p w14:paraId="4F6A867B" w14:textId="77777777" w:rsidR="00C26422" w:rsidRDefault="00AC667E" w:rsidP="00C26422">
      <w:pPr>
        <w:spacing w:line="240" w:lineRule="auto"/>
        <w:rPr>
          <w:rFonts w:cs="Arial"/>
          <w:szCs w:val="22"/>
        </w:rPr>
      </w:pPr>
      <w:r w:rsidRPr="006E0F54">
        <w:rPr>
          <w:rFonts w:cs="Arial"/>
          <w:szCs w:val="22"/>
        </w:rPr>
        <w:t xml:space="preserve">Exempting new builds from the bright-line test would reduce the taxation of gains from </w:t>
      </w:r>
      <w:r>
        <w:rPr>
          <w:rFonts w:cs="Arial"/>
          <w:szCs w:val="22"/>
        </w:rPr>
        <w:t xml:space="preserve">newly-built residential properties. </w:t>
      </w:r>
      <w:r w:rsidRPr="006E0F54">
        <w:rPr>
          <w:rFonts w:cs="Arial"/>
          <w:szCs w:val="22"/>
        </w:rPr>
        <w:t>This would reduce horizontal equity in relation to income from salary an</w:t>
      </w:r>
      <w:r>
        <w:rPr>
          <w:rFonts w:cs="Arial"/>
          <w:szCs w:val="22"/>
        </w:rPr>
        <w:t>d wages, which is fully taxed. </w:t>
      </w:r>
      <w:r w:rsidRPr="006E0F54">
        <w:rPr>
          <w:rFonts w:cs="Arial"/>
          <w:szCs w:val="22"/>
        </w:rPr>
        <w:t>Decreasing the tax rate on capital would likely be regressive (since capital income from selling residential investment properties tends to be earned disproportionately by those on higher incomes)</w:t>
      </w:r>
      <w:r w:rsidR="00A3370B">
        <w:rPr>
          <w:rStyle w:val="FootnoteReference"/>
          <w:rFonts w:cs="Arial"/>
          <w:szCs w:val="22"/>
        </w:rPr>
        <w:footnoteReference w:id="20"/>
      </w:r>
      <w:r w:rsidRPr="006E0F54">
        <w:rPr>
          <w:rFonts w:cs="Arial"/>
          <w:szCs w:val="22"/>
        </w:rPr>
        <w:t>, so would decrease vertical equity.</w:t>
      </w:r>
    </w:p>
    <w:p w14:paraId="6D9F687C" w14:textId="77777777" w:rsidR="00C26422" w:rsidRDefault="00C26422">
      <w:pPr>
        <w:spacing w:after="0" w:line="240" w:lineRule="auto"/>
        <w:rPr>
          <w:rFonts w:eastAsiaTheme="minorHAnsi" w:cs="Arial"/>
          <w:b/>
          <w:i/>
          <w:szCs w:val="22"/>
          <w:lang w:eastAsia="en-NZ"/>
        </w:rPr>
      </w:pPr>
      <w:r>
        <w:rPr>
          <w:rFonts w:cs="Arial"/>
          <w:b/>
          <w:i/>
          <w:szCs w:val="22"/>
        </w:rPr>
        <w:br w:type="page"/>
      </w:r>
    </w:p>
    <w:p w14:paraId="6A2BD914" w14:textId="2F33B47A" w:rsidR="00C26422" w:rsidRDefault="00AC667E" w:rsidP="00C26422">
      <w:pPr>
        <w:spacing w:line="240" w:lineRule="auto"/>
        <w:rPr>
          <w:rFonts w:cs="Arial"/>
          <w:szCs w:val="22"/>
        </w:rPr>
      </w:pPr>
      <w:r w:rsidRPr="007D78C6">
        <w:rPr>
          <w:rFonts w:cs="Arial"/>
          <w:b/>
          <w:i/>
          <w:szCs w:val="22"/>
        </w:rPr>
        <w:lastRenderedPageBreak/>
        <w:t>Revenue integrity</w:t>
      </w:r>
    </w:p>
    <w:p w14:paraId="38D84320" w14:textId="77777777" w:rsidR="00C26422" w:rsidRDefault="00AC667E" w:rsidP="00C26422">
      <w:pPr>
        <w:spacing w:line="240" w:lineRule="auto"/>
        <w:rPr>
          <w:rFonts w:cs="Arial"/>
          <w:szCs w:val="22"/>
        </w:rPr>
      </w:pPr>
      <w:r>
        <w:rPr>
          <w:rFonts w:cs="Arial"/>
          <w:szCs w:val="22"/>
        </w:rPr>
        <w:t xml:space="preserve">Creating an </w:t>
      </w:r>
      <w:r w:rsidR="00987447">
        <w:rPr>
          <w:rFonts w:cs="Arial"/>
          <w:szCs w:val="22"/>
        </w:rPr>
        <w:t xml:space="preserve">exemption </w:t>
      </w:r>
      <w:r>
        <w:rPr>
          <w:rFonts w:cs="Arial"/>
          <w:szCs w:val="22"/>
        </w:rPr>
        <w:t xml:space="preserve">for new builds would reduce the integrity of the tax system. It </w:t>
      </w:r>
      <w:r w:rsidR="004617D4">
        <w:rPr>
          <w:rFonts w:cs="Arial"/>
          <w:szCs w:val="22"/>
        </w:rPr>
        <w:t>c</w:t>
      </w:r>
      <w:r>
        <w:rPr>
          <w:rFonts w:cs="Arial"/>
          <w:szCs w:val="22"/>
        </w:rPr>
        <w:t xml:space="preserve">ould create incentives and opportunities to avoid taxation on the capital gains from residential property investment. It </w:t>
      </w:r>
      <w:r>
        <w:rPr>
          <w:rFonts w:cs="Arial"/>
          <w:szCs w:val="22"/>
          <w:lang w:eastAsia="en-AU"/>
        </w:rPr>
        <w:t>could</w:t>
      </w:r>
      <w:r>
        <w:rPr>
          <w:rFonts w:cs="Arial"/>
          <w:szCs w:val="22"/>
        </w:rPr>
        <w:t xml:space="preserve"> mean a greater reliance on the other land sale rules in the Income Tax Act that have been</w:t>
      </w:r>
      <w:r w:rsidR="00517AD4">
        <w:rPr>
          <w:rFonts w:cs="Arial"/>
          <w:szCs w:val="22"/>
        </w:rPr>
        <w:t xml:space="preserve"> difficult to apply in practice, such as the </w:t>
      </w:r>
      <w:r w:rsidR="00A806E7">
        <w:rPr>
          <w:rFonts w:cs="Arial"/>
          <w:szCs w:val="22"/>
        </w:rPr>
        <w:t>i</w:t>
      </w:r>
      <w:r w:rsidR="00517AD4">
        <w:rPr>
          <w:rFonts w:cs="Arial"/>
          <w:szCs w:val="22"/>
        </w:rPr>
        <w:t xml:space="preserve">ntention </w:t>
      </w:r>
      <w:r w:rsidR="00A806E7">
        <w:rPr>
          <w:rFonts w:cs="Arial"/>
          <w:szCs w:val="22"/>
        </w:rPr>
        <w:t>t</w:t>
      </w:r>
      <w:r w:rsidR="00517AD4">
        <w:rPr>
          <w:rFonts w:cs="Arial"/>
          <w:szCs w:val="22"/>
        </w:rPr>
        <w:t>est.</w:t>
      </w:r>
      <w:r w:rsidR="00F61E2A">
        <w:rPr>
          <w:rFonts w:cs="Arial"/>
          <w:szCs w:val="22"/>
        </w:rPr>
        <w:t xml:space="preserve"> </w:t>
      </w:r>
      <w:r w:rsidR="00F61E2A" w:rsidRPr="00F61E2A">
        <w:rPr>
          <w:rFonts w:cs="Arial"/>
          <w:szCs w:val="22"/>
        </w:rPr>
        <w:t>Even with improvements in information and reporting requirements since the introduction of the original bright-line test, there would still be practical difficulties in relying on a subjective rule like the intention test for a large group of taxpayers.</w:t>
      </w:r>
    </w:p>
    <w:p w14:paraId="45438D2C" w14:textId="77777777" w:rsidR="00C26422" w:rsidRDefault="00AC667E" w:rsidP="00C26422">
      <w:pPr>
        <w:spacing w:line="240" w:lineRule="auto"/>
        <w:rPr>
          <w:rFonts w:cs="Arial"/>
          <w:szCs w:val="22"/>
        </w:rPr>
      </w:pPr>
      <w:r w:rsidRPr="007D78C6">
        <w:rPr>
          <w:rFonts w:cs="Arial"/>
          <w:b/>
          <w:i/>
          <w:szCs w:val="22"/>
        </w:rPr>
        <w:t>Fiscal impact</w:t>
      </w:r>
    </w:p>
    <w:p w14:paraId="40CD6E23" w14:textId="77777777" w:rsidR="00C26422" w:rsidRDefault="00AC667E" w:rsidP="00C26422">
      <w:pPr>
        <w:spacing w:line="240" w:lineRule="auto"/>
        <w:rPr>
          <w:rFonts w:cs="Arial"/>
          <w:szCs w:val="22"/>
        </w:rPr>
      </w:pPr>
      <w:r w:rsidRPr="006E0F54">
        <w:rPr>
          <w:rFonts w:cs="Arial"/>
          <w:szCs w:val="22"/>
        </w:rPr>
        <w:t xml:space="preserve">Exempting new builds from the bright-line test altogether </w:t>
      </w:r>
      <w:r w:rsidR="00517AD4">
        <w:rPr>
          <w:rFonts w:cs="Arial"/>
          <w:szCs w:val="22"/>
        </w:rPr>
        <w:t>would</w:t>
      </w:r>
      <w:r w:rsidRPr="006E0F54">
        <w:rPr>
          <w:rFonts w:cs="Arial"/>
          <w:szCs w:val="22"/>
        </w:rPr>
        <w:t xml:space="preserve"> result in forgone revenue within the </w:t>
      </w:r>
      <w:r w:rsidRPr="006E0F54">
        <w:rPr>
          <w:rFonts w:cs="Arial"/>
          <w:szCs w:val="22"/>
          <w:lang w:eastAsia="en-AU"/>
        </w:rPr>
        <w:t>forecast</w:t>
      </w:r>
      <w:r w:rsidRPr="006E0F54">
        <w:rPr>
          <w:rFonts w:cs="Arial"/>
          <w:szCs w:val="22"/>
        </w:rPr>
        <w:t xml:space="preserve"> period and out-years. However, officials have not had sufficient time to quantify this foregone revenue. </w:t>
      </w:r>
    </w:p>
    <w:p w14:paraId="00EF9C03" w14:textId="77777777" w:rsidR="00C26422" w:rsidRDefault="00AC667E" w:rsidP="00C26422">
      <w:pPr>
        <w:spacing w:line="240" w:lineRule="auto"/>
        <w:rPr>
          <w:rFonts w:cs="Arial"/>
          <w:szCs w:val="22"/>
        </w:rPr>
      </w:pPr>
      <w:r w:rsidRPr="007D78C6">
        <w:rPr>
          <w:rFonts w:cs="Arial"/>
          <w:b/>
          <w:i/>
          <w:szCs w:val="22"/>
        </w:rPr>
        <w:t>Compliance and administration costs</w:t>
      </w:r>
    </w:p>
    <w:p w14:paraId="14F1A6F1" w14:textId="77777777" w:rsidR="00C26422" w:rsidRDefault="00AC667E" w:rsidP="00C26422">
      <w:pPr>
        <w:spacing w:line="240" w:lineRule="auto"/>
        <w:rPr>
          <w:rFonts w:cs="Arial"/>
          <w:szCs w:val="22"/>
        </w:rPr>
      </w:pPr>
      <w:r w:rsidRPr="006E0F54">
        <w:rPr>
          <w:rFonts w:cs="Arial"/>
          <w:szCs w:val="22"/>
        </w:rPr>
        <w:t>T</w:t>
      </w:r>
      <w:r>
        <w:rPr>
          <w:rFonts w:cs="Arial"/>
          <w:szCs w:val="22"/>
        </w:rPr>
        <w:t xml:space="preserve">he proposed exemption would reduce the compliance costs for new-build residential investors </w:t>
      </w:r>
      <w:r w:rsidR="00517AD4">
        <w:rPr>
          <w:rFonts w:cs="Arial"/>
          <w:szCs w:val="22"/>
        </w:rPr>
        <w:t>who</w:t>
      </w:r>
      <w:r>
        <w:rPr>
          <w:rFonts w:cs="Arial"/>
          <w:szCs w:val="22"/>
        </w:rPr>
        <w:t xml:space="preserve"> would no longer need to file a tax return or keep records to establish deductions </w:t>
      </w:r>
      <w:r>
        <w:rPr>
          <w:rFonts w:cs="Arial"/>
          <w:szCs w:val="22"/>
          <w:lang w:eastAsia="en-AU"/>
        </w:rPr>
        <w:t>under</w:t>
      </w:r>
      <w:r>
        <w:rPr>
          <w:rFonts w:cs="Arial"/>
          <w:szCs w:val="22"/>
        </w:rPr>
        <w:t xml:space="preserve"> the bright-line test.</w:t>
      </w:r>
    </w:p>
    <w:p w14:paraId="5B4B4544" w14:textId="77777777" w:rsidR="00C26422" w:rsidRDefault="00AC667E" w:rsidP="006E0F54">
      <w:pPr>
        <w:pStyle w:val="NormalWeb"/>
        <w:spacing w:before="0" w:beforeAutospacing="0" w:after="0" w:afterAutospacing="0"/>
        <w:rPr>
          <w:rFonts w:ascii="Arial" w:hAnsi="Arial" w:cs="Arial"/>
          <w:sz w:val="22"/>
          <w:szCs w:val="22"/>
          <w:lang w:val="en-GB"/>
        </w:rPr>
      </w:pPr>
      <w:r>
        <w:rPr>
          <w:rFonts w:ascii="Arial" w:hAnsi="Arial" w:cs="Arial"/>
          <w:sz w:val="22"/>
          <w:szCs w:val="22"/>
          <w:lang w:val="en-GB"/>
        </w:rPr>
        <w:t>However, it would create</w:t>
      </w:r>
      <w:r w:rsidR="00517AD4">
        <w:rPr>
          <w:rFonts w:ascii="Arial" w:hAnsi="Arial" w:cs="Arial"/>
          <w:sz w:val="22"/>
          <w:szCs w:val="22"/>
          <w:lang w:val="en-GB"/>
        </w:rPr>
        <w:t xml:space="preserve"> some</w:t>
      </w:r>
      <w:r>
        <w:rPr>
          <w:rFonts w:ascii="Arial" w:hAnsi="Arial" w:cs="Arial"/>
          <w:sz w:val="22"/>
          <w:szCs w:val="22"/>
          <w:lang w:val="en-GB"/>
        </w:rPr>
        <w:t xml:space="preserve"> </w:t>
      </w:r>
      <w:r w:rsidR="00517AD4">
        <w:rPr>
          <w:rFonts w:ascii="Arial" w:hAnsi="Arial" w:cs="Arial"/>
          <w:sz w:val="22"/>
          <w:szCs w:val="22"/>
          <w:lang w:val="en-GB"/>
        </w:rPr>
        <w:t>compliance</w:t>
      </w:r>
      <w:r>
        <w:rPr>
          <w:rFonts w:ascii="Arial" w:hAnsi="Arial" w:cs="Arial"/>
          <w:sz w:val="22"/>
          <w:szCs w:val="22"/>
          <w:lang w:val="en-GB"/>
        </w:rPr>
        <w:t xml:space="preserve"> costs for investors </w:t>
      </w:r>
      <w:r w:rsidR="00517AD4">
        <w:rPr>
          <w:rFonts w:ascii="Arial" w:hAnsi="Arial" w:cs="Arial"/>
          <w:sz w:val="22"/>
          <w:szCs w:val="22"/>
          <w:lang w:val="en-GB"/>
        </w:rPr>
        <w:t>as they would have</w:t>
      </w:r>
      <w:r>
        <w:rPr>
          <w:rFonts w:ascii="Arial" w:hAnsi="Arial" w:cs="Arial"/>
          <w:sz w:val="22"/>
          <w:szCs w:val="22"/>
          <w:lang w:val="en-GB"/>
        </w:rPr>
        <w:t xml:space="preserve"> to prove the relevant property satisfied the requirements to be a new build.</w:t>
      </w:r>
    </w:p>
    <w:p w14:paraId="3728F0BF" w14:textId="77777777" w:rsidR="00C26422" w:rsidRDefault="00AC667E" w:rsidP="00C26422">
      <w:pPr>
        <w:spacing w:line="240" w:lineRule="auto"/>
        <w:rPr>
          <w:rFonts w:cs="Arial"/>
          <w:szCs w:val="22"/>
        </w:rPr>
      </w:pPr>
      <w:r>
        <w:rPr>
          <w:rFonts w:cs="Arial"/>
          <w:szCs w:val="22"/>
        </w:rPr>
        <w:t xml:space="preserve">Exempting </w:t>
      </w:r>
      <w:r>
        <w:rPr>
          <w:rFonts w:cs="Arial"/>
          <w:szCs w:val="22"/>
          <w:lang w:eastAsia="en-AU"/>
        </w:rPr>
        <w:t>new</w:t>
      </w:r>
      <w:r>
        <w:rPr>
          <w:rFonts w:cs="Arial"/>
          <w:szCs w:val="22"/>
        </w:rPr>
        <w:t xml:space="preserve"> builds from the bright-line </w:t>
      </w:r>
      <w:r w:rsidR="00F61E2A">
        <w:rPr>
          <w:rFonts w:cs="Arial"/>
          <w:szCs w:val="22"/>
        </w:rPr>
        <w:t xml:space="preserve">test </w:t>
      </w:r>
      <w:r>
        <w:rPr>
          <w:rFonts w:cs="Arial"/>
          <w:szCs w:val="22"/>
        </w:rPr>
        <w:t>is likely to put more pressure on the other land sale rules in the Income Tax Act. This is likely to increase the administr</w:t>
      </w:r>
      <w:r w:rsidR="00517AD4">
        <w:rPr>
          <w:rFonts w:cs="Arial"/>
          <w:szCs w:val="22"/>
        </w:rPr>
        <w:t xml:space="preserve">ation costs for Inland Revenue </w:t>
      </w:r>
      <w:r w:rsidR="004617D4">
        <w:rPr>
          <w:rFonts w:cs="Arial"/>
          <w:szCs w:val="22"/>
        </w:rPr>
        <w:t>(</w:t>
      </w:r>
      <w:r w:rsidR="00517AD4">
        <w:rPr>
          <w:rFonts w:cs="Arial"/>
          <w:szCs w:val="22"/>
        </w:rPr>
        <w:t xml:space="preserve">e.g. utilising the </w:t>
      </w:r>
      <w:r w:rsidR="00A806E7">
        <w:rPr>
          <w:rFonts w:cs="Arial"/>
          <w:szCs w:val="22"/>
        </w:rPr>
        <w:t>i</w:t>
      </w:r>
      <w:r w:rsidR="00517AD4">
        <w:rPr>
          <w:rFonts w:cs="Arial"/>
          <w:szCs w:val="22"/>
        </w:rPr>
        <w:t xml:space="preserve">ntention </w:t>
      </w:r>
      <w:r w:rsidR="00A806E7">
        <w:rPr>
          <w:rFonts w:cs="Arial"/>
          <w:szCs w:val="22"/>
        </w:rPr>
        <w:t>t</w:t>
      </w:r>
      <w:r w:rsidR="00517AD4">
        <w:rPr>
          <w:rFonts w:cs="Arial"/>
          <w:szCs w:val="22"/>
        </w:rPr>
        <w:t>est</w:t>
      </w:r>
      <w:r>
        <w:rPr>
          <w:rFonts w:cs="Arial"/>
          <w:szCs w:val="22"/>
        </w:rPr>
        <w:t xml:space="preserve"> </w:t>
      </w:r>
      <w:r w:rsidR="00517AD4">
        <w:rPr>
          <w:rFonts w:cs="Arial"/>
          <w:szCs w:val="22"/>
        </w:rPr>
        <w:t>is more resource intensive than applying the bright-line test</w:t>
      </w:r>
      <w:r w:rsidR="004617D4">
        <w:rPr>
          <w:rFonts w:cs="Arial"/>
          <w:szCs w:val="22"/>
        </w:rPr>
        <w:t>)</w:t>
      </w:r>
      <w:r>
        <w:rPr>
          <w:rFonts w:cs="Arial"/>
          <w:szCs w:val="22"/>
        </w:rPr>
        <w:t>.</w:t>
      </w:r>
      <w:r w:rsidR="00F61E2A">
        <w:rPr>
          <w:rFonts w:cs="Arial"/>
          <w:szCs w:val="22"/>
        </w:rPr>
        <w:t xml:space="preserve"> A</w:t>
      </w:r>
      <w:r w:rsidR="00F61E2A" w:rsidRPr="00F61E2A">
        <w:rPr>
          <w:rFonts w:cs="Arial"/>
          <w:szCs w:val="22"/>
        </w:rPr>
        <w:t xml:space="preserve">s the intention test is subjective in nature, there would be practical concerns with actively relying on such a rule </w:t>
      </w:r>
      <w:r w:rsidR="00F61E2A">
        <w:rPr>
          <w:rFonts w:cs="Arial"/>
          <w:szCs w:val="22"/>
        </w:rPr>
        <w:t>for a large group of taxpayers.</w:t>
      </w:r>
      <w:r w:rsidR="00F61E2A" w:rsidRPr="00F61E2A">
        <w:rPr>
          <w:rFonts w:cs="Arial"/>
          <w:szCs w:val="22"/>
        </w:rPr>
        <w:t xml:space="preserve">  Where an investigation is opened to determine whether the intention test applies, this would also create compliance costs for taxpayers</w:t>
      </w:r>
      <w:r w:rsidR="00F61E2A">
        <w:rPr>
          <w:rFonts w:cs="Arial"/>
          <w:szCs w:val="22"/>
        </w:rPr>
        <w:t>.</w:t>
      </w:r>
    </w:p>
    <w:p w14:paraId="0CD8F307" w14:textId="77777777" w:rsidR="00C26422" w:rsidRDefault="00AC667E" w:rsidP="00C26422">
      <w:pPr>
        <w:spacing w:line="240" w:lineRule="auto"/>
        <w:rPr>
          <w:rFonts w:cs="Arial"/>
          <w:b/>
          <w:i/>
          <w:szCs w:val="22"/>
        </w:rPr>
      </w:pPr>
      <w:r w:rsidRPr="007D78C6">
        <w:rPr>
          <w:rFonts w:cs="Arial"/>
          <w:b/>
          <w:i/>
          <w:szCs w:val="22"/>
        </w:rPr>
        <w:t>Coherence</w:t>
      </w:r>
    </w:p>
    <w:p w14:paraId="6F3A59B1" w14:textId="77777777" w:rsidR="00C26422" w:rsidRDefault="00AC667E" w:rsidP="00C26422">
      <w:pPr>
        <w:spacing w:line="240" w:lineRule="auto"/>
        <w:rPr>
          <w:rFonts w:cs="Arial"/>
          <w:b/>
          <w:i/>
          <w:szCs w:val="22"/>
        </w:rPr>
      </w:pPr>
      <w:r w:rsidRPr="006E0F54">
        <w:rPr>
          <w:rFonts w:cs="Arial"/>
          <w:szCs w:val="22"/>
        </w:rPr>
        <w:t xml:space="preserve">Excluding new builds from the bright-line test would reduce the coherence of the tax system by </w:t>
      </w:r>
      <w:r w:rsidRPr="006E0F54">
        <w:rPr>
          <w:rFonts w:cs="Arial"/>
          <w:szCs w:val="22"/>
          <w:lang w:eastAsia="en-AU"/>
        </w:rPr>
        <w:t>excluding</w:t>
      </w:r>
      <w:r w:rsidRPr="006E0F54">
        <w:rPr>
          <w:rFonts w:cs="Arial"/>
          <w:szCs w:val="22"/>
        </w:rPr>
        <w:t xml:space="preserve"> economic income from the tax b</w:t>
      </w:r>
      <w:r w:rsidR="00517AD4">
        <w:rPr>
          <w:rFonts w:cs="Arial"/>
          <w:szCs w:val="22"/>
        </w:rPr>
        <w:t>ase. Further, it would create an additional</w:t>
      </w:r>
      <w:r w:rsidRPr="006E0F54">
        <w:rPr>
          <w:rFonts w:cs="Arial"/>
          <w:szCs w:val="22"/>
        </w:rPr>
        <w:t xml:space="preserve"> distinction not based on taxation principles.</w:t>
      </w:r>
    </w:p>
    <w:p w14:paraId="796AF89B" w14:textId="77777777" w:rsidR="00C26422" w:rsidRDefault="00AC667E" w:rsidP="00C26422">
      <w:pPr>
        <w:spacing w:line="240" w:lineRule="auto"/>
        <w:rPr>
          <w:rFonts w:cs="Arial"/>
          <w:b/>
          <w:i/>
          <w:szCs w:val="22"/>
        </w:rPr>
      </w:pPr>
      <w:r w:rsidRPr="007D78C6">
        <w:rPr>
          <w:rFonts w:cs="Arial"/>
          <w:b/>
          <w:i/>
          <w:szCs w:val="22"/>
        </w:rPr>
        <w:t>Overall conclusion</w:t>
      </w:r>
    </w:p>
    <w:p w14:paraId="1377167B" w14:textId="77777777" w:rsidR="00C26422" w:rsidRDefault="00AC667E" w:rsidP="00C26422">
      <w:pPr>
        <w:spacing w:line="240" w:lineRule="auto"/>
        <w:rPr>
          <w:rFonts w:cs="Arial"/>
          <w:szCs w:val="22"/>
        </w:rPr>
      </w:pPr>
      <w:r w:rsidRPr="006E5C0A">
        <w:rPr>
          <w:rFonts w:cs="Arial"/>
          <w:szCs w:val="22"/>
        </w:rPr>
        <w:t>On balance, the Treasury does not support excluding new builds from the bright-line test</w:t>
      </w:r>
      <w:r w:rsidR="00AF3F32">
        <w:rPr>
          <w:rFonts w:cs="Arial"/>
          <w:szCs w:val="22"/>
        </w:rPr>
        <w:t xml:space="preserve"> altogether</w:t>
      </w:r>
      <w:r w:rsidRPr="006E5C0A">
        <w:rPr>
          <w:rFonts w:cs="Arial"/>
          <w:szCs w:val="22"/>
        </w:rPr>
        <w:t xml:space="preserve">. The exemption </w:t>
      </w:r>
      <w:r w:rsidR="007D78C6">
        <w:rPr>
          <w:rFonts w:cs="Arial"/>
          <w:szCs w:val="22"/>
        </w:rPr>
        <w:t xml:space="preserve">would reduce the effectiveness of the extension in achieving </w:t>
      </w:r>
      <w:r w:rsidRPr="006E5C0A">
        <w:rPr>
          <w:rFonts w:cs="Arial"/>
          <w:szCs w:val="22"/>
        </w:rPr>
        <w:t xml:space="preserve">the Government's objective of supporting first home buyers by </w:t>
      </w:r>
      <w:r w:rsidR="007D78C6">
        <w:rPr>
          <w:rFonts w:cs="Arial"/>
          <w:szCs w:val="22"/>
        </w:rPr>
        <w:t xml:space="preserve">reducing any downward </w:t>
      </w:r>
      <w:r w:rsidR="00517AD4">
        <w:rPr>
          <w:rFonts w:cs="Arial"/>
          <w:szCs w:val="22"/>
        </w:rPr>
        <w:t xml:space="preserve">pressure on property </w:t>
      </w:r>
      <w:r w:rsidR="00517AD4">
        <w:rPr>
          <w:rFonts w:cs="Arial"/>
          <w:szCs w:val="22"/>
          <w:lang w:eastAsia="en-AU"/>
        </w:rPr>
        <w:t>prices</w:t>
      </w:r>
      <w:r w:rsidR="00517AD4">
        <w:rPr>
          <w:rFonts w:cs="Arial"/>
          <w:szCs w:val="22"/>
        </w:rPr>
        <w:t xml:space="preserve"> </w:t>
      </w:r>
      <w:r w:rsidR="008079FD">
        <w:rPr>
          <w:rFonts w:cs="Arial"/>
          <w:szCs w:val="22"/>
        </w:rPr>
        <w:t xml:space="preserve">and </w:t>
      </w:r>
      <w:r w:rsidR="00F33803">
        <w:rPr>
          <w:rFonts w:cs="Arial"/>
          <w:szCs w:val="22"/>
        </w:rPr>
        <w:t>having a lesser impact on</w:t>
      </w:r>
      <w:r w:rsidR="008079FD">
        <w:rPr>
          <w:rFonts w:cs="Arial"/>
          <w:szCs w:val="22"/>
        </w:rPr>
        <w:t xml:space="preserve"> investor demand</w:t>
      </w:r>
      <w:r w:rsidR="00517AD4">
        <w:rPr>
          <w:rFonts w:cs="Arial"/>
          <w:szCs w:val="22"/>
        </w:rPr>
        <w:t>. H</w:t>
      </w:r>
      <w:r w:rsidRPr="006E5C0A">
        <w:rPr>
          <w:rFonts w:cs="Arial"/>
          <w:szCs w:val="22"/>
        </w:rPr>
        <w:t xml:space="preserve">owever, it </w:t>
      </w:r>
      <w:r w:rsidR="00BC6644">
        <w:rPr>
          <w:rFonts w:cs="Arial"/>
          <w:szCs w:val="22"/>
        </w:rPr>
        <w:t>could</w:t>
      </w:r>
      <w:r w:rsidRPr="006E5C0A">
        <w:rPr>
          <w:rFonts w:cs="Arial"/>
          <w:szCs w:val="22"/>
        </w:rPr>
        <w:t xml:space="preserve"> </w:t>
      </w:r>
      <w:r w:rsidR="007D78C6">
        <w:rPr>
          <w:rFonts w:cs="Arial"/>
          <w:szCs w:val="22"/>
        </w:rPr>
        <w:t xml:space="preserve">reduce the extent of </w:t>
      </w:r>
      <w:r w:rsidR="008079FD">
        <w:rPr>
          <w:rFonts w:cs="Arial"/>
          <w:szCs w:val="22"/>
        </w:rPr>
        <w:t>any</w:t>
      </w:r>
      <w:r w:rsidR="007D78C6">
        <w:rPr>
          <w:rFonts w:cs="Arial"/>
          <w:szCs w:val="22"/>
        </w:rPr>
        <w:t xml:space="preserve"> upward pressure </w:t>
      </w:r>
      <w:r w:rsidRPr="006E0F54">
        <w:rPr>
          <w:rFonts w:cs="Arial"/>
          <w:szCs w:val="22"/>
        </w:rPr>
        <w:t xml:space="preserve">on rents. It </w:t>
      </w:r>
      <w:r w:rsidR="00BC6644">
        <w:rPr>
          <w:rFonts w:cs="Arial"/>
          <w:szCs w:val="22"/>
        </w:rPr>
        <w:t>c</w:t>
      </w:r>
      <w:r w:rsidRPr="006E0F54">
        <w:rPr>
          <w:rFonts w:cs="Arial"/>
          <w:szCs w:val="22"/>
        </w:rPr>
        <w:t xml:space="preserve">ould reduce the efficiency of the tax system by reducing economic income that is taxed. It </w:t>
      </w:r>
      <w:r w:rsidR="00BC6644">
        <w:rPr>
          <w:rFonts w:cs="Arial"/>
          <w:szCs w:val="22"/>
        </w:rPr>
        <w:t>c</w:t>
      </w:r>
      <w:r w:rsidRPr="006E0F54">
        <w:rPr>
          <w:rFonts w:cs="Arial"/>
          <w:szCs w:val="22"/>
        </w:rPr>
        <w:t xml:space="preserve">ould reduce the fairness and integrity of the tax system, and would have a fiscal cost. </w:t>
      </w:r>
      <w:r w:rsidR="00F33803">
        <w:rPr>
          <w:rFonts w:cs="Arial"/>
          <w:szCs w:val="22"/>
        </w:rPr>
        <w:t>If the Government wishes to pursue an exemption, the Treasury prefers that exempt properties be subject to the 5 year test.</w:t>
      </w:r>
    </w:p>
    <w:p w14:paraId="3934D298" w14:textId="77777777" w:rsidR="00C26422" w:rsidRPr="00C26422" w:rsidRDefault="002E3CD5" w:rsidP="00C26422">
      <w:pPr>
        <w:spacing w:line="240" w:lineRule="auto"/>
        <w:rPr>
          <w:rFonts w:cs="Arial"/>
        </w:rPr>
      </w:pPr>
      <w:r w:rsidRPr="006F586A">
        <w:rPr>
          <w:b/>
        </w:rPr>
        <w:t>Option 2A</w:t>
      </w:r>
      <w:r>
        <w:rPr>
          <w:b/>
        </w:rPr>
        <w:t xml:space="preserve">: Extending the bright-line period to 15 years for property </w:t>
      </w:r>
      <w:r w:rsidR="004E57E8">
        <w:rPr>
          <w:rFonts w:cs="Arial"/>
          <w:b/>
          <w:szCs w:val="22"/>
          <w:lang w:eastAsia="en-AU"/>
        </w:rPr>
        <w:t xml:space="preserve">acquired on or </w:t>
      </w:r>
      <w:r w:rsidR="004E57E8" w:rsidRPr="00C26422">
        <w:rPr>
          <w:rFonts w:cs="Arial"/>
          <w:b/>
          <w:szCs w:val="22"/>
          <w:lang w:eastAsia="en-AU"/>
        </w:rPr>
        <w:t xml:space="preserve">after the application date </w:t>
      </w:r>
      <w:r w:rsidR="00F33803" w:rsidRPr="00C26422">
        <w:rPr>
          <w:rFonts w:cs="Arial"/>
          <w:b/>
          <w:szCs w:val="22"/>
          <w:lang w:eastAsia="en-AU"/>
        </w:rPr>
        <w:t>(no new-build exemption)</w:t>
      </w:r>
    </w:p>
    <w:p w14:paraId="3946C063" w14:textId="77777777" w:rsidR="00C26422" w:rsidRPr="00C26422" w:rsidRDefault="00BB0145" w:rsidP="00C26422">
      <w:pPr>
        <w:spacing w:line="240" w:lineRule="auto"/>
        <w:rPr>
          <w:rFonts w:cs="Arial"/>
          <w:szCs w:val="22"/>
        </w:rPr>
      </w:pPr>
      <w:r w:rsidRPr="00C26422">
        <w:rPr>
          <w:rFonts w:cs="Arial"/>
          <w:b/>
          <w:i/>
          <w:szCs w:val="22"/>
          <w:lang w:eastAsia="en-AU"/>
        </w:rPr>
        <w:t>S</w:t>
      </w:r>
      <w:r w:rsidR="002E3CD5" w:rsidRPr="00C26422">
        <w:rPr>
          <w:rFonts w:cs="Arial"/>
          <w:b/>
          <w:i/>
          <w:szCs w:val="22"/>
          <w:lang w:eastAsia="en-AU"/>
        </w:rPr>
        <w:t xml:space="preserve">upport greater </w:t>
      </w:r>
      <w:r w:rsidR="002E3CD5" w:rsidRPr="00C26422">
        <w:rPr>
          <w:b/>
          <w:i/>
          <w:iCs/>
        </w:rPr>
        <w:t>housing</w:t>
      </w:r>
      <w:r w:rsidR="002E3CD5" w:rsidRPr="00C26422">
        <w:rPr>
          <w:rFonts w:cs="Arial"/>
          <w:b/>
          <w:i/>
          <w:szCs w:val="22"/>
          <w:lang w:eastAsia="en-AU"/>
        </w:rPr>
        <w:t xml:space="preserve"> affordability by putting downward pressure on house prices</w:t>
      </w:r>
    </w:p>
    <w:p w14:paraId="51896214" w14:textId="09270711" w:rsidR="00F813AC" w:rsidRPr="00C26422" w:rsidRDefault="006F4BF9" w:rsidP="00C26422">
      <w:pPr>
        <w:spacing w:line="240" w:lineRule="auto"/>
        <w:rPr>
          <w:rFonts w:cs="Arial"/>
          <w:b/>
          <w:i/>
          <w:szCs w:val="22"/>
        </w:rPr>
      </w:pPr>
      <w:r w:rsidRPr="00C26422">
        <w:rPr>
          <w:rFonts w:cs="Arial"/>
          <w:szCs w:val="22"/>
        </w:rPr>
        <w:t xml:space="preserve">Extending the bright-line period to 15 years would </w:t>
      </w:r>
      <w:r w:rsidR="00987447" w:rsidRPr="00C26422">
        <w:rPr>
          <w:rFonts w:cs="Arial"/>
          <w:szCs w:val="22"/>
        </w:rPr>
        <w:t xml:space="preserve">likely </w:t>
      </w:r>
      <w:r w:rsidRPr="00C26422">
        <w:rPr>
          <w:rFonts w:cs="Arial"/>
          <w:szCs w:val="22"/>
        </w:rPr>
        <w:t xml:space="preserve">increase the tax </w:t>
      </w:r>
      <w:r w:rsidR="00A3370B" w:rsidRPr="00C26422">
        <w:rPr>
          <w:rFonts w:cs="Arial"/>
          <w:szCs w:val="22"/>
        </w:rPr>
        <w:t>imposed on</w:t>
      </w:r>
      <w:r w:rsidRPr="00C26422">
        <w:rPr>
          <w:rFonts w:cs="Arial"/>
          <w:szCs w:val="22"/>
        </w:rPr>
        <w:t xml:space="preserve"> </w:t>
      </w:r>
      <w:r w:rsidR="003327DB" w:rsidRPr="00C26422">
        <w:rPr>
          <w:rFonts w:cs="Arial"/>
          <w:szCs w:val="22"/>
        </w:rPr>
        <w:t xml:space="preserve">many </w:t>
      </w:r>
      <w:r w:rsidRPr="00C26422">
        <w:rPr>
          <w:rFonts w:cs="Arial"/>
          <w:szCs w:val="22"/>
        </w:rPr>
        <w:t xml:space="preserve">investment </w:t>
      </w:r>
      <w:r w:rsidR="00987447" w:rsidRPr="00C26422">
        <w:rPr>
          <w:rFonts w:cs="Arial"/>
          <w:szCs w:val="22"/>
        </w:rPr>
        <w:t xml:space="preserve">properties </w:t>
      </w:r>
      <w:r w:rsidRPr="00C26422">
        <w:rPr>
          <w:rFonts w:cs="Arial"/>
          <w:szCs w:val="22"/>
        </w:rPr>
        <w:t xml:space="preserve">compared with the status quo. It would increase the </w:t>
      </w:r>
      <w:r w:rsidR="00A3370B" w:rsidRPr="00C26422">
        <w:rPr>
          <w:rFonts w:cs="Arial"/>
          <w:szCs w:val="22"/>
        </w:rPr>
        <w:t>tax impo</w:t>
      </w:r>
      <w:r w:rsidR="00A3370B">
        <w:rPr>
          <w:rFonts w:cs="Arial"/>
          <w:szCs w:val="22"/>
        </w:rPr>
        <w:t>sed</w:t>
      </w:r>
      <w:r w:rsidRPr="006E0F54">
        <w:rPr>
          <w:rFonts w:cs="Arial"/>
          <w:szCs w:val="22"/>
        </w:rPr>
        <w:t xml:space="preserve"> less than a 20</w:t>
      </w:r>
      <w:r w:rsidR="00987447">
        <w:rPr>
          <w:rFonts w:cs="Arial"/>
          <w:szCs w:val="22"/>
        </w:rPr>
        <w:t>-</w:t>
      </w:r>
      <w:r w:rsidRPr="006E0F54">
        <w:rPr>
          <w:rFonts w:cs="Arial"/>
          <w:szCs w:val="22"/>
        </w:rPr>
        <w:t xml:space="preserve">year </w:t>
      </w:r>
      <w:r w:rsidR="00A3370B">
        <w:rPr>
          <w:rFonts w:cs="Arial"/>
          <w:szCs w:val="22"/>
        </w:rPr>
        <w:t>period,</w:t>
      </w:r>
      <w:r w:rsidR="00A3370B" w:rsidRPr="006E0F54">
        <w:rPr>
          <w:rFonts w:cs="Arial"/>
          <w:szCs w:val="22"/>
        </w:rPr>
        <w:t xml:space="preserve"> </w:t>
      </w:r>
      <w:r w:rsidRPr="006E0F54">
        <w:rPr>
          <w:rFonts w:cs="Arial"/>
          <w:szCs w:val="22"/>
        </w:rPr>
        <w:t xml:space="preserve">but more than a </w:t>
      </w:r>
      <w:r w:rsidR="00987447" w:rsidRPr="006E0F54">
        <w:rPr>
          <w:rFonts w:cs="Arial"/>
          <w:szCs w:val="22"/>
        </w:rPr>
        <w:t>10</w:t>
      </w:r>
      <w:r w:rsidR="00987447">
        <w:rPr>
          <w:rFonts w:cs="Arial"/>
          <w:szCs w:val="22"/>
        </w:rPr>
        <w:t>-</w:t>
      </w:r>
      <w:r w:rsidRPr="006E0F54">
        <w:rPr>
          <w:rFonts w:cs="Arial"/>
          <w:szCs w:val="22"/>
        </w:rPr>
        <w:t xml:space="preserve">year </w:t>
      </w:r>
      <w:r w:rsidR="00A3370B">
        <w:rPr>
          <w:rFonts w:cs="Arial"/>
          <w:szCs w:val="22"/>
        </w:rPr>
        <w:t>period</w:t>
      </w:r>
      <w:r w:rsidRPr="006E0F54">
        <w:rPr>
          <w:rFonts w:cs="Arial"/>
          <w:szCs w:val="22"/>
        </w:rPr>
        <w:t xml:space="preserve">. </w:t>
      </w:r>
      <w:r w:rsidR="00F813AC">
        <w:rPr>
          <w:rFonts w:cs="Arial"/>
          <w:szCs w:val="22"/>
        </w:rPr>
        <w:t xml:space="preserve">Available data suggests </w:t>
      </w:r>
      <w:r w:rsidR="00F813AC" w:rsidRPr="006F586A">
        <w:rPr>
          <w:rFonts w:cs="Arial"/>
          <w:szCs w:val="22"/>
        </w:rPr>
        <w:t xml:space="preserve">that </w:t>
      </w:r>
      <w:r w:rsidR="00F813AC">
        <w:rPr>
          <w:rFonts w:cs="Arial"/>
          <w:szCs w:val="22"/>
        </w:rPr>
        <w:t>around</w:t>
      </w:r>
      <w:r w:rsidR="00F813AC" w:rsidRPr="006F586A">
        <w:rPr>
          <w:rFonts w:cs="Arial"/>
          <w:szCs w:val="22"/>
        </w:rPr>
        <w:t xml:space="preserve"> </w:t>
      </w:r>
      <w:r w:rsidR="00F813AC" w:rsidRPr="006F586A">
        <w:rPr>
          <w:rFonts w:cs="Arial"/>
          <w:szCs w:val="22"/>
        </w:rPr>
        <w:lastRenderedPageBreak/>
        <w:t xml:space="preserve">80% of </w:t>
      </w:r>
      <w:r w:rsidR="00F813AC">
        <w:rPr>
          <w:rFonts w:cs="Arial"/>
          <w:szCs w:val="22"/>
        </w:rPr>
        <w:t>properties</w:t>
      </w:r>
      <w:r w:rsidR="00F813AC" w:rsidRPr="006F586A">
        <w:rPr>
          <w:rFonts w:cs="Arial"/>
          <w:szCs w:val="22"/>
        </w:rPr>
        <w:t xml:space="preserve"> </w:t>
      </w:r>
      <w:r w:rsidR="00F813AC">
        <w:rPr>
          <w:rFonts w:cs="Arial"/>
          <w:szCs w:val="22"/>
        </w:rPr>
        <w:t>are currently sold within a 15 year holding period at present</w:t>
      </w:r>
      <w:r w:rsidR="00F813AC" w:rsidRPr="006F586A">
        <w:rPr>
          <w:rFonts w:cs="Arial"/>
          <w:szCs w:val="22"/>
        </w:rPr>
        <w:t>.</w:t>
      </w:r>
      <w:r w:rsidR="00F813AC">
        <w:rPr>
          <w:rStyle w:val="FootnoteReference"/>
          <w:rFonts w:cs="Arial"/>
          <w:szCs w:val="22"/>
        </w:rPr>
        <w:footnoteReference w:id="21"/>
      </w:r>
      <w:r w:rsidR="00F813AC">
        <w:rPr>
          <w:rFonts w:cs="Arial"/>
          <w:szCs w:val="22"/>
        </w:rPr>
        <w:t xml:space="preserve"> This proportion may reduce if the bright-line period were extended to 15 years, as more investors are likely to hold beyond 15 years to avoid the tax liability.</w:t>
      </w:r>
    </w:p>
    <w:p w14:paraId="1E8483D1" w14:textId="21EEB5E8" w:rsidR="006F4BF9" w:rsidRPr="006E0F54" w:rsidRDefault="00F813AC" w:rsidP="006E0F54">
      <w:pPr>
        <w:tabs>
          <w:tab w:val="left" w:pos="2550"/>
        </w:tabs>
        <w:spacing w:after="120" w:line="240" w:lineRule="auto"/>
        <w:rPr>
          <w:rFonts w:cs="Arial"/>
          <w:szCs w:val="22"/>
        </w:rPr>
      </w:pPr>
      <w:r>
        <w:rPr>
          <w:rFonts w:cs="Arial"/>
          <w:szCs w:val="22"/>
        </w:rPr>
        <w:t>W</w:t>
      </w:r>
      <w:r w:rsidR="006F4BF9" w:rsidRPr="006E0F54">
        <w:rPr>
          <w:rFonts w:cs="Arial"/>
          <w:szCs w:val="22"/>
        </w:rPr>
        <w:t>hile a 15 year bright-line period would put downward pressure on demand and therefore on property price</w:t>
      </w:r>
      <w:r>
        <w:rPr>
          <w:rFonts w:cs="Arial"/>
          <w:szCs w:val="22"/>
        </w:rPr>
        <w:t xml:space="preserve"> inflation</w:t>
      </w:r>
      <w:r w:rsidR="006F4BF9" w:rsidRPr="006E0F54">
        <w:rPr>
          <w:rFonts w:cs="Arial"/>
          <w:szCs w:val="22"/>
        </w:rPr>
        <w:t xml:space="preserve">, it </w:t>
      </w:r>
      <w:r w:rsidR="00920C4A">
        <w:rPr>
          <w:rFonts w:cs="Arial"/>
          <w:szCs w:val="22"/>
        </w:rPr>
        <w:t xml:space="preserve">is likely to </w:t>
      </w:r>
      <w:r w:rsidR="006F4BF9" w:rsidRPr="006E0F54">
        <w:rPr>
          <w:rFonts w:cs="Arial"/>
          <w:szCs w:val="22"/>
        </w:rPr>
        <w:t xml:space="preserve">have less of an impact than a </w:t>
      </w:r>
      <w:r w:rsidR="00A3370B" w:rsidRPr="006E0F54">
        <w:rPr>
          <w:rFonts w:cs="Arial"/>
          <w:szCs w:val="22"/>
        </w:rPr>
        <w:t>20</w:t>
      </w:r>
      <w:r w:rsidR="00A3370B">
        <w:rPr>
          <w:rFonts w:cs="Arial"/>
          <w:szCs w:val="22"/>
        </w:rPr>
        <w:t>-</w:t>
      </w:r>
      <w:r w:rsidR="006F4BF9" w:rsidRPr="006E0F54">
        <w:rPr>
          <w:rFonts w:cs="Arial"/>
          <w:szCs w:val="22"/>
        </w:rPr>
        <w:t>year period. The benefit to first home buyers, therefore, could be less than a 20-year</w:t>
      </w:r>
      <w:r w:rsidR="00A3370B">
        <w:rPr>
          <w:rFonts w:cs="Arial"/>
          <w:szCs w:val="22"/>
        </w:rPr>
        <w:t xml:space="preserve"> period</w:t>
      </w:r>
      <w:r w:rsidR="006F4BF9" w:rsidRPr="006E0F54">
        <w:rPr>
          <w:rFonts w:cs="Arial"/>
          <w:szCs w:val="22"/>
        </w:rPr>
        <w:t xml:space="preserve">. Due to the lack of robust empirical evidence or models, </w:t>
      </w:r>
      <w:r w:rsidR="004617D4">
        <w:rPr>
          <w:rFonts w:cs="Arial"/>
          <w:szCs w:val="22"/>
        </w:rPr>
        <w:t>the difference in</w:t>
      </w:r>
      <w:r w:rsidR="006F4BF9" w:rsidRPr="006E0F54">
        <w:rPr>
          <w:rFonts w:cs="Arial"/>
          <w:szCs w:val="22"/>
        </w:rPr>
        <w:t xml:space="preserve"> impact</w:t>
      </w:r>
      <w:r w:rsidR="004617D4">
        <w:rPr>
          <w:rFonts w:cs="Arial"/>
          <w:szCs w:val="22"/>
        </w:rPr>
        <w:t>s</w:t>
      </w:r>
      <w:r w:rsidR="006F4BF9" w:rsidRPr="006E0F54">
        <w:rPr>
          <w:rFonts w:cs="Arial"/>
          <w:szCs w:val="22"/>
        </w:rPr>
        <w:t xml:space="preserve"> cannot be quantified.</w:t>
      </w:r>
    </w:p>
    <w:p w14:paraId="5AA14E05" w14:textId="77777777" w:rsidR="00C26422" w:rsidRDefault="006F4BF9" w:rsidP="00C26422">
      <w:pPr>
        <w:spacing w:line="240" w:lineRule="auto"/>
        <w:rPr>
          <w:rFonts w:cs="Arial"/>
          <w:szCs w:val="22"/>
        </w:rPr>
      </w:pPr>
      <w:r w:rsidRPr="006E5C0A">
        <w:rPr>
          <w:rFonts w:cs="Arial"/>
          <w:szCs w:val="22"/>
        </w:rPr>
        <w:t xml:space="preserve">The </w:t>
      </w:r>
      <w:r w:rsidR="00B4542C">
        <w:rPr>
          <w:rFonts w:cs="Arial"/>
          <w:szCs w:val="22"/>
        </w:rPr>
        <w:t>increase</w:t>
      </w:r>
      <w:r w:rsidR="00A3370B">
        <w:rPr>
          <w:rFonts w:cs="Arial"/>
          <w:szCs w:val="22"/>
        </w:rPr>
        <w:t>d</w:t>
      </w:r>
      <w:r w:rsidR="00B4542C">
        <w:rPr>
          <w:rFonts w:cs="Arial"/>
          <w:szCs w:val="22"/>
        </w:rPr>
        <w:t xml:space="preserve"> </w:t>
      </w:r>
      <w:r w:rsidRPr="006E5C0A">
        <w:rPr>
          <w:rFonts w:cs="Arial"/>
          <w:szCs w:val="22"/>
        </w:rPr>
        <w:t>tax could have less of a long-run impact on supply than a</w:t>
      </w:r>
      <w:r w:rsidR="00A3370B">
        <w:rPr>
          <w:rFonts w:cs="Arial"/>
          <w:szCs w:val="22"/>
        </w:rPr>
        <w:t>n</w:t>
      </w:r>
      <w:r w:rsidRPr="006E5C0A">
        <w:rPr>
          <w:rFonts w:cs="Arial"/>
          <w:szCs w:val="22"/>
        </w:rPr>
        <w:t xml:space="preserve"> </w:t>
      </w:r>
      <w:r w:rsidR="00A3370B">
        <w:rPr>
          <w:rFonts w:cs="Arial"/>
          <w:szCs w:val="22"/>
        </w:rPr>
        <w:t xml:space="preserve">extension to </w:t>
      </w:r>
      <w:r w:rsidRPr="006E5C0A">
        <w:rPr>
          <w:rFonts w:cs="Arial"/>
          <w:szCs w:val="22"/>
        </w:rPr>
        <w:t>20-year</w:t>
      </w:r>
      <w:r w:rsidR="00A3370B">
        <w:rPr>
          <w:rFonts w:cs="Arial"/>
          <w:szCs w:val="22"/>
        </w:rPr>
        <w:t>s</w:t>
      </w:r>
      <w:r w:rsidRPr="006E5C0A">
        <w:rPr>
          <w:rFonts w:cs="Arial"/>
          <w:szCs w:val="22"/>
        </w:rPr>
        <w:t>. However</w:t>
      </w:r>
      <w:r w:rsidRPr="006E0F54">
        <w:rPr>
          <w:rFonts w:cs="Arial"/>
          <w:szCs w:val="22"/>
        </w:rPr>
        <w:t>, as noted above, given the complexity and dysfunction in the housing market, the impact of demand-side tax measures on the long-run supply of new houses is complex and uncertain.</w:t>
      </w:r>
    </w:p>
    <w:p w14:paraId="14057FCA" w14:textId="77777777" w:rsidR="00C26422" w:rsidRDefault="002E3CD5" w:rsidP="00C26422">
      <w:pPr>
        <w:spacing w:line="240" w:lineRule="auto"/>
        <w:rPr>
          <w:rFonts w:cs="Arial"/>
          <w:szCs w:val="22"/>
        </w:rPr>
      </w:pPr>
      <w:r w:rsidRPr="006E0F54">
        <w:rPr>
          <w:rFonts w:cs="Arial"/>
          <w:b/>
          <w:i/>
          <w:szCs w:val="22"/>
        </w:rPr>
        <w:t>Dampening investment demand</w:t>
      </w:r>
      <w:r w:rsidR="001803DF">
        <w:rPr>
          <w:rFonts w:cs="Arial"/>
          <w:b/>
          <w:i/>
          <w:szCs w:val="22"/>
        </w:rPr>
        <w:t xml:space="preserve"> </w:t>
      </w:r>
      <w:r w:rsidR="001803DF" w:rsidRPr="001803DF">
        <w:rPr>
          <w:rFonts w:cs="Arial"/>
          <w:b/>
          <w:i/>
          <w:szCs w:val="22"/>
        </w:rPr>
        <w:t>for existing housing stock</w:t>
      </w:r>
    </w:p>
    <w:p w14:paraId="36416303" w14:textId="77777777" w:rsidR="00C26422" w:rsidRDefault="00C476AA" w:rsidP="00C26422">
      <w:pPr>
        <w:spacing w:line="240" w:lineRule="auto"/>
        <w:rPr>
          <w:rFonts w:cs="Arial"/>
          <w:szCs w:val="22"/>
        </w:rPr>
      </w:pPr>
      <w:r>
        <w:rPr>
          <w:rFonts w:cs="Arial"/>
          <w:szCs w:val="22"/>
        </w:rPr>
        <w:t>Similar to Option 1A, e</w:t>
      </w:r>
      <w:r w:rsidR="00B4542C" w:rsidRPr="0048581E">
        <w:rPr>
          <w:rFonts w:cs="Arial"/>
          <w:szCs w:val="22"/>
        </w:rPr>
        <w:t>xtend</w:t>
      </w:r>
      <w:r w:rsidR="00B4542C">
        <w:rPr>
          <w:rFonts w:cs="Arial"/>
          <w:szCs w:val="22"/>
        </w:rPr>
        <w:t>ing the bright-line period to 15</w:t>
      </w:r>
      <w:r w:rsidR="00B4542C" w:rsidRPr="0048581E">
        <w:rPr>
          <w:rFonts w:cs="Arial"/>
          <w:szCs w:val="22"/>
        </w:rPr>
        <w:t xml:space="preserve"> years </w:t>
      </w:r>
      <w:r w:rsidR="00BA511B">
        <w:rPr>
          <w:rFonts w:cs="Arial"/>
          <w:szCs w:val="22"/>
        </w:rPr>
        <w:t xml:space="preserve">would </w:t>
      </w:r>
      <w:r w:rsidR="00F813AC">
        <w:rPr>
          <w:rFonts w:cs="Arial"/>
          <w:szCs w:val="22"/>
        </w:rPr>
        <w:t xml:space="preserve">likely </w:t>
      </w:r>
      <w:r w:rsidR="00BA511B">
        <w:rPr>
          <w:rFonts w:cs="Arial"/>
          <w:szCs w:val="22"/>
        </w:rPr>
        <w:t>reduce investor demand for investment property</w:t>
      </w:r>
      <w:r w:rsidR="00722320">
        <w:rPr>
          <w:rFonts w:cs="Arial"/>
          <w:szCs w:val="22"/>
        </w:rPr>
        <w:t xml:space="preserve"> (including new builds)</w:t>
      </w:r>
      <w:r>
        <w:rPr>
          <w:rFonts w:cs="Arial"/>
          <w:szCs w:val="22"/>
        </w:rPr>
        <w:t xml:space="preserve"> but to a lesser extent</w:t>
      </w:r>
      <w:r w:rsidR="00E4704D">
        <w:rPr>
          <w:rFonts w:cs="Arial"/>
          <w:szCs w:val="22"/>
        </w:rPr>
        <w:t>.</w:t>
      </w:r>
    </w:p>
    <w:p w14:paraId="3698D7A4" w14:textId="77777777" w:rsidR="00C26422" w:rsidRDefault="002E3CD5" w:rsidP="00C26422">
      <w:pPr>
        <w:spacing w:line="240" w:lineRule="auto"/>
        <w:rPr>
          <w:rFonts w:cs="Arial"/>
          <w:szCs w:val="22"/>
        </w:rPr>
      </w:pPr>
      <w:r w:rsidRPr="006E0F54">
        <w:rPr>
          <w:rFonts w:cs="Arial"/>
          <w:b/>
          <w:i/>
          <w:szCs w:val="22"/>
        </w:rPr>
        <w:t>Improve affordability in the rental market</w:t>
      </w:r>
    </w:p>
    <w:p w14:paraId="565C06D8" w14:textId="77777777" w:rsidR="00C26422" w:rsidRDefault="00EC37A2" w:rsidP="00C26422">
      <w:pPr>
        <w:spacing w:line="240" w:lineRule="auto"/>
        <w:rPr>
          <w:rFonts w:cs="Arial"/>
          <w:szCs w:val="22"/>
        </w:rPr>
      </w:pPr>
      <w:r w:rsidRPr="006E0F54">
        <w:rPr>
          <w:rFonts w:cs="Arial"/>
          <w:szCs w:val="22"/>
        </w:rPr>
        <w:t>Extending the bright-line period</w:t>
      </w:r>
      <w:r>
        <w:rPr>
          <w:rFonts w:cs="Arial"/>
          <w:szCs w:val="22"/>
        </w:rPr>
        <w:t xml:space="preserve"> to 15 years has the potential </w:t>
      </w:r>
      <w:r w:rsidRPr="006E0F54">
        <w:rPr>
          <w:rFonts w:cs="Arial"/>
          <w:szCs w:val="22"/>
        </w:rPr>
        <w:t xml:space="preserve">to reduce investor demand for new rental supply, compared with the status quo. </w:t>
      </w:r>
      <w:r w:rsidR="0098750C">
        <w:rPr>
          <w:rFonts w:cs="Arial"/>
          <w:szCs w:val="22"/>
        </w:rPr>
        <w:t xml:space="preserve">However, it is likely to have less of an impact than for a longer bright-line test. The increased tax liability may be partially passed onto renters, however this will be less than for a longer test. </w:t>
      </w:r>
      <w:r w:rsidRPr="006E0F54">
        <w:rPr>
          <w:rFonts w:cs="Arial"/>
          <w:szCs w:val="22"/>
        </w:rPr>
        <w:t xml:space="preserve">This suggests that </w:t>
      </w:r>
      <w:r w:rsidR="0098750C">
        <w:rPr>
          <w:rFonts w:cs="Arial"/>
          <w:szCs w:val="22"/>
        </w:rPr>
        <w:t>an extension to 15 year</w:t>
      </w:r>
      <w:r w:rsidRPr="006E0F54">
        <w:rPr>
          <w:rFonts w:cs="Arial"/>
          <w:szCs w:val="22"/>
        </w:rPr>
        <w:t xml:space="preserve"> </w:t>
      </w:r>
      <w:r w:rsidR="0098750C">
        <w:rPr>
          <w:rFonts w:cs="Arial"/>
          <w:szCs w:val="22"/>
        </w:rPr>
        <w:t>may</w:t>
      </w:r>
      <w:r w:rsidRPr="006E0F54">
        <w:rPr>
          <w:rFonts w:cs="Arial"/>
          <w:szCs w:val="22"/>
        </w:rPr>
        <w:t xml:space="preserve"> put upward pressure on rents</w:t>
      </w:r>
      <w:r w:rsidR="0098750C">
        <w:rPr>
          <w:rFonts w:cs="Arial"/>
          <w:szCs w:val="22"/>
        </w:rPr>
        <w:t>, which would negatively impact on renter’s living standards,</w:t>
      </w:r>
      <w:r w:rsidRPr="006E0F54">
        <w:rPr>
          <w:rFonts w:cs="Arial"/>
          <w:szCs w:val="22"/>
        </w:rPr>
        <w:t xml:space="preserve"> </w:t>
      </w:r>
      <w:r w:rsidR="0098750C">
        <w:rPr>
          <w:rFonts w:cs="Arial"/>
          <w:szCs w:val="22"/>
        </w:rPr>
        <w:t>but this is likely</w:t>
      </w:r>
      <w:r w:rsidRPr="006E0F54">
        <w:rPr>
          <w:rFonts w:cs="Arial"/>
          <w:szCs w:val="22"/>
        </w:rPr>
        <w:t xml:space="preserve"> </w:t>
      </w:r>
      <w:r w:rsidR="0098750C">
        <w:rPr>
          <w:rFonts w:cs="Arial"/>
          <w:szCs w:val="22"/>
        </w:rPr>
        <w:t xml:space="preserve">to be </w:t>
      </w:r>
      <w:r w:rsidRPr="006E0F54">
        <w:rPr>
          <w:rFonts w:cs="Arial"/>
          <w:szCs w:val="22"/>
        </w:rPr>
        <w:t xml:space="preserve">less than </w:t>
      </w:r>
      <w:r w:rsidR="0098750C">
        <w:rPr>
          <w:rFonts w:cs="Arial"/>
          <w:szCs w:val="22"/>
        </w:rPr>
        <w:t xml:space="preserve">with </w:t>
      </w:r>
      <w:r w:rsidRPr="006E0F54">
        <w:rPr>
          <w:rFonts w:cs="Arial"/>
          <w:szCs w:val="22"/>
        </w:rPr>
        <w:t xml:space="preserve">a 20-year bright-line period. </w:t>
      </w:r>
    </w:p>
    <w:p w14:paraId="2AB289F2" w14:textId="77777777" w:rsidR="00C26422" w:rsidRDefault="002E3CD5" w:rsidP="00C26422">
      <w:pPr>
        <w:spacing w:line="240" w:lineRule="auto"/>
        <w:rPr>
          <w:rFonts w:cs="Arial"/>
          <w:szCs w:val="22"/>
        </w:rPr>
      </w:pPr>
      <w:r w:rsidRPr="006E0F54">
        <w:rPr>
          <w:rFonts w:cs="Arial"/>
          <w:b/>
          <w:i/>
          <w:szCs w:val="22"/>
        </w:rPr>
        <w:t>Efficiency</w:t>
      </w:r>
    </w:p>
    <w:p w14:paraId="3C0CD722" w14:textId="77777777" w:rsidR="00C26422" w:rsidRDefault="00EC37A2" w:rsidP="00C26422">
      <w:pPr>
        <w:pStyle w:val="NormalWeb"/>
        <w:spacing w:before="0" w:beforeAutospacing="0" w:after="240" w:afterAutospacing="0"/>
        <w:rPr>
          <w:rFonts w:ascii="Arial" w:hAnsi="Arial" w:cs="Arial"/>
          <w:sz w:val="22"/>
          <w:szCs w:val="22"/>
          <w:lang w:val="en-GB"/>
        </w:rPr>
      </w:pPr>
      <w:r w:rsidRPr="006E0F54">
        <w:rPr>
          <w:rFonts w:ascii="Arial" w:hAnsi="Arial" w:cs="Arial"/>
          <w:i/>
          <w:sz w:val="22"/>
          <w:szCs w:val="22"/>
          <w:lang w:val="en-GB"/>
        </w:rPr>
        <w:t>Taxing more economic income</w:t>
      </w:r>
    </w:p>
    <w:p w14:paraId="4CC83368" w14:textId="77777777" w:rsidR="00C26422" w:rsidRDefault="00EC37A2" w:rsidP="00C26422">
      <w:pPr>
        <w:spacing w:line="240" w:lineRule="auto"/>
        <w:rPr>
          <w:rFonts w:cs="Arial"/>
          <w:szCs w:val="22"/>
        </w:rPr>
      </w:pPr>
      <w:r w:rsidRPr="006E0F54">
        <w:rPr>
          <w:rFonts w:cs="Arial"/>
          <w:szCs w:val="22"/>
        </w:rPr>
        <w:t>Extending the bright-line period to 15 years would increase the amount of economic income that is taxed compared to the status quo. This would improve allocati</w:t>
      </w:r>
      <w:r>
        <w:rPr>
          <w:rFonts w:cs="Arial"/>
          <w:szCs w:val="22"/>
        </w:rPr>
        <w:t>ve efficiency</w:t>
      </w:r>
      <w:r w:rsidR="00A3370B">
        <w:rPr>
          <w:rFonts w:cs="Arial"/>
          <w:szCs w:val="22"/>
        </w:rPr>
        <w:t>,</w:t>
      </w:r>
      <w:r>
        <w:rPr>
          <w:rFonts w:cs="Arial"/>
          <w:szCs w:val="22"/>
        </w:rPr>
        <w:t xml:space="preserve"> </w:t>
      </w:r>
      <w:r w:rsidRPr="006E0F54">
        <w:rPr>
          <w:rFonts w:cs="Arial"/>
          <w:szCs w:val="22"/>
        </w:rPr>
        <w:t>but</w:t>
      </w:r>
      <w:r>
        <w:rPr>
          <w:rFonts w:cs="Arial"/>
          <w:szCs w:val="22"/>
        </w:rPr>
        <w:t xml:space="preserve"> </w:t>
      </w:r>
      <w:r w:rsidRPr="006E0F54">
        <w:rPr>
          <w:rFonts w:cs="Arial"/>
          <w:szCs w:val="22"/>
        </w:rPr>
        <w:t>not as much as a 20-year period.</w:t>
      </w:r>
    </w:p>
    <w:p w14:paraId="5F87598B" w14:textId="77777777" w:rsidR="00C26422" w:rsidRDefault="00EC37A2" w:rsidP="00C26422">
      <w:pPr>
        <w:pStyle w:val="NormalWeb"/>
        <w:spacing w:before="0" w:beforeAutospacing="0" w:after="240" w:afterAutospacing="0"/>
        <w:rPr>
          <w:rFonts w:ascii="Arial" w:hAnsi="Arial" w:cs="Arial"/>
          <w:sz w:val="22"/>
          <w:szCs w:val="22"/>
          <w:lang w:val="en-GB"/>
        </w:rPr>
      </w:pPr>
      <w:r w:rsidRPr="006E0F54">
        <w:rPr>
          <w:rFonts w:ascii="Arial" w:hAnsi="Arial" w:cs="Arial"/>
          <w:i/>
          <w:sz w:val="22"/>
          <w:szCs w:val="22"/>
          <w:lang w:val="en-GB"/>
        </w:rPr>
        <w:t>Lock-in impacts of extending bright-line period to 15 years</w:t>
      </w:r>
    </w:p>
    <w:p w14:paraId="7DDBAA83" w14:textId="77777777" w:rsidR="00C26422" w:rsidRDefault="00EC37A2" w:rsidP="00C26422">
      <w:pPr>
        <w:spacing w:line="240" w:lineRule="auto"/>
        <w:rPr>
          <w:rFonts w:cs="Arial"/>
          <w:szCs w:val="22"/>
        </w:rPr>
      </w:pPr>
      <w:r w:rsidRPr="006E0F54">
        <w:rPr>
          <w:rFonts w:cs="Arial"/>
          <w:szCs w:val="22"/>
        </w:rPr>
        <w:t>Extending the bright-line period to 15 years would increase the lock-in effect for properties held for a longer period than the status quo. As noted above, there are competing effects on lock</w:t>
      </w:r>
      <w:r w:rsidR="00792C08">
        <w:rPr>
          <w:rFonts w:cs="Arial"/>
          <w:szCs w:val="22"/>
        </w:rPr>
        <w:t>-in</w:t>
      </w:r>
      <w:r w:rsidRPr="006E0F54">
        <w:rPr>
          <w:rFonts w:cs="Arial"/>
          <w:szCs w:val="22"/>
        </w:rPr>
        <w:t xml:space="preserve"> from different bright-line periods.</w:t>
      </w:r>
    </w:p>
    <w:p w14:paraId="19DBFEB3" w14:textId="77777777" w:rsidR="00C26422" w:rsidRDefault="00EC37A2" w:rsidP="00C26422">
      <w:pPr>
        <w:spacing w:line="240" w:lineRule="auto"/>
        <w:rPr>
          <w:rFonts w:cs="Arial"/>
          <w:szCs w:val="22"/>
        </w:rPr>
      </w:pPr>
      <w:r w:rsidRPr="006E0F54">
        <w:rPr>
          <w:rFonts w:cs="Arial"/>
          <w:szCs w:val="22"/>
        </w:rPr>
        <w:t xml:space="preserve">A 15-year period may be sufficiently long to discourage many investors from holding onto property to wait out the holding period. However, the accumulated capital gains might become a large fraction of the value of asset over a 15-year period, encouraging investors to hold onto the property. There is not good data to help with determining the relative impacts of the different effects described above. </w:t>
      </w:r>
    </w:p>
    <w:p w14:paraId="6148AEBF" w14:textId="77777777" w:rsidR="00C26422" w:rsidRDefault="00EC37A2" w:rsidP="00C26422">
      <w:pPr>
        <w:spacing w:line="240" w:lineRule="auto"/>
        <w:rPr>
          <w:rFonts w:cs="Arial"/>
          <w:szCs w:val="22"/>
        </w:rPr>
      </w:pPr>
      <w:r w:rsidRPr="006E0F54">
        <w:rPr>
          <w:rFonts w:cs="Arial"/>
          <w:szCs w:val="22"/>
        </w:rPr>
        <w:t>In any event, as noted above, it is likely that the lock-in will not</w:t>
      </w:r>
      <w:r w:rsidR="00F813AC">
        <w:rPr>
          <w:rFonts w:cs="Arial"/>
          <w:szCs w:val="22"/>
        </w:rPr>
        <w:t xml:space="preserve"> reduce housing supply through</w:t>
      </w:r>
      <w:r w:rsidRPr="006E0F54">
        <w:rPr>
          <w:rFonts w:cs="Arial"/>
          <w:szCs w:val="22"/>
        </w:rPr>
        <w:t xml:space="preserve"> low utilisation </w:t>
      </w:r>
      <w:r w:rsidR="00BB0145">
        <w:rPr>
          <w:rFonts w:cs="Arial"/>
          <w:szCs w:val="22"/>
        </w:rPr>
        <w:t>of the existing housing stock. </w:t>
      </w:r>
      <w:r w:rsidRPr="006E0F54">
        <w:rPr>
          <w:rFonts w:cs="Arial"/>
          <w:szCs w:val="22"/>
        </w:rPr>
        <w:t>This is because, in many cases, the property would continue to be put to the same or similar use by a different owner</w:t>
      </w:r>
      <w:r w:rsidR="00792C08">
        <w:rPr>
          <w:rFonts w:cs="Arial"/>
          <w:szCs w:val="22"/>
        </w:rPr>
        <w:t>,</w:t>
      </w:r>
      <w:r w:rsidRPr="006E0F54">
        <w:rPr>
          <w:rFonts w:cs="Arial"/>
          <w:szCs w:val="22"/>
        </w:rPr>
        <w:t xml:space="preserve"> meaning that a delay in sale would not result in a less productive use of the asset.</w:t>
      </w:r>
    </w:p>
    <w:p w14:paraId="4F7A87DC" w14:textId="77777777" w:rsidR="00C26422" w:rsidRDefault="00C26422">
      <w:pPr>
        <w:spacing w:after="0" w:line="240" w:lineRule="auto"/>
        <w:rPr>
          <w:rFonts w:cs="Arial"/>
          <w:b/>
          <w:i/>
          <w:szCs w:val="22"/>
        </w:rPr>
      </w:pPr>
      <w:r>
        <w:rPr>
          <w:rFonts w:cs="Arial"/>
          <w:b/>
          <w:i/>
          <w:szCs w:val="22"/>
        </w:rPr>
        <w:br w:type="page"/>
      </w:r>
    </w:p>
    <w:p w14:paraId="60A73F06" w14:textId="12332762" w:rsidR="00C26422" w:rsidRDefault="00BB0145" w:rsidP="00C26422">
      <w:pPr>
        <w:spacing w:line="240" w:lineRule="auto"/>
        <w:rPr>
          <w:rFonts w:cs="Arial"/>
          <w:szCs w:val="22"/>
        </w:rPr>
      </w:pPr>
      <w:r w:rsidRPr="006E0F54">
        <w:rPr>
          <w:rFonts w:cs="Arial"/>
          <w:b/>
          <w:i/>
          <w:szCs w:val="22"/>
        </w:rPr>
        <w:lastRenderedPageBreak/>
        <w:t>Equity</w:t>
      </w:r>
    </w:p>
    <w:p w14:paraId="5E79A7C9" w14:textId="7EB42974" w:rsidR="00BB0145" w:rsidRDefault="00BB0145" w:rsidP="00C26422">
      <w:pPr>
        <w:spacing w:line="240" w:lineRule="auto"/>
        <w:rPr>
          <w:rFonts w:cs="Arial"/>
          <w:szCs w:val="22"/>
        </w:rPr>
      </w:pPr>
      <w:r>
        <w:rPr>
          <w:rFonts w:cs="Arial"/>
          <w:szCs w:val="22"/>
        </w:rPr>
        <w:t>Extending the bright-line period to 15 years would extend the taxation of gains from non-owner-occupied residential property, compared with the status quo. This would enhance horizontal equity in relation to income from salary and wages, which is fully taxed. It would not enhance horizontal equity as much as a 20-year bright-line period.  </w:t>
      </w:r>
    </w:p>
    <w:p w14:paraId="4E0E31B5" w14:textId="77777777" w:rsidR="00C26422" w:rsidRDefault="00BB0145" w:rsidP="00C26422">
      <w:pPr>
        <w:spacing w:line="240" w:lineRule="auto"/>
        <w:rPr>
          <w:rFonts w:cs="Arial"/>
          <w:szCs w:val="22"/>
        </w:rPr>
      </w:pPr>
      <w:r w:rsidRPr="00C26422">
        <w:rPr>
          <w:rFonts w:cs="Arial"/>
          <w:szCs w:val="22"/>
        </w:rPr>
        <w:t xml:space="preserve">As discussed above, increasing the </w:t>
      </w:r>
      <w:r w:rsidR="006E6570" w:rsidRPr="00C26422">
        <w:rPr>
          <w:rFonts w:cs="Arial"/>
          <w:szCs w:val="22"/>
        </w:rPr>
        <w:t xml:space="preserve">effective </w:t>
      </w:r>
      <w:r w:rsidRPr="00C26422">
        <w:rPr>
          <w:rFonts w:cs="Arial"/>
          <w:szCs w:val="22"/>
        </w:rPr>
        <w:t>tax rate on capital would likely be progressive (since capital income from selling residential investment properties tends to be earned disproportionately by those on higher incomes),</w:t>
      </w:r>
      <w:r w:rsidR="00354785" w:rsidRPr="00C26422">
        <w:footnoteReference w:id="22"/>
      </w:r>
      <w:r w:rsidRPr="00C26422">
        <w:rPr>
          <w:rFonts w:cs="Arial"/>
          <w:szCs w:val="22"/>
        </w:rPr>
        <w:t xml:space="preserve"> so would improve vertical equity compared with the status quo.</w:t>
      </w:r>
      <w:r w:rsidRPr="006E0F54">
        <w:rPr>
          <w:rFonts w:cs="Arial"/>
          <w:szCs w:val="22"/>
        </w:rPr>
        <w:t xml:space="preserve"> However, it would not improve vertical equity as much as a 20-year bright-line period. </w:t>
      </w:r>
    </w:p>
    <w:p w14:paraId="75637C24" w14:textId="77777777" w:rsidR="00C26422" w:rsidRDefault="00BB0145" w:rsidP="00FC61D8">
      <w:pPr>
        <w:spacing w:line="240" w:lineRule="auto"/>
        <w:rPr>
          <w:rFonts w:cs="Arial"/>
          <w:b/>
          <w:i/>
          <w:szCs w:val="22"/>
        </w:rPr>
      </w:pPr>
      <w:r w:rsidRPr="007B4CDB">
        <w:rPr>
          <w:rFonts w:cs="Arial"/>
          <w:b/>
          <w:i/>
          <w:szCs w:val="22"/>
        </w:rPr>
        <w:t>Revenue integrity</w:t>
      </w:r>
    </w:p>
    <w:p w14:paraId="3EEA48FC" w14:textId="77777777" w:rsidR="00C26422" w:rsidRDefault="00BB0145" w:rsidP="00C26422">
      <w:pPr>
        <w:spacing w:line="240" w:lineRule="auto"/>
        <w:rPr>
          <w:rFonts w:cs="Arial"/>
          <w:szCs w:val="22"/>
        </w:rPr>
      </w:pPr>
      <w:r w:rsidRPr="00FC61D8">
        <w:rPr>
          <w:rFonts w:cs="Arial"/>
          <w:szCs w:val="22"/>
        </w:rPr>
        <w:t>Extending the bright-line test to 15 years would enhance the integrity of the tax system to the extent it minimised</w:t>
      </w:r>
      <w:r>
        <w:rPr>
          <w:rFonts w:cs="Arial"/>
          <w:szCs w:val="22"/>
        </w:rPr>
        <w:t xml:space="preserve"> opportunities for tax avoidance and arbitrage. A 15-year </w:t>
      </w:r>
      <w:r w:rsidR="00A3370B">
        <w:rPr>
          <w:rFonts w:cs="Arial"/>
          <w:szCs w:val="22"/>
        </w:rPr>
        <w:t xml:space="preserve">period </w:t>
      </w:r>
      <w:r>
        <w:rPr>
          <w:rFonts w:cs="Arial"/>
          <w:szCs w:val="22"/>
        </w:rPr>
        <w:t xml:space="preserve">would increase the proportion of residential property transactions </w:t>
      </w:r>
      <w:r w:rsidR="009953C9">
        <w:rPr>
          <w:rFonts w:cs="Arial"/>
          <w:szCs w:val="22"/>
        </w:rPr>
        <w:t xml:space="preserve">that are </w:t>
      </w:r>
      <w:r>
        <w:rPr>
          <w:rFonts w:cs="Arial"/>
          <w:szCs w:val="22"/>
        </w:rPr>
        <w:t>covered by the test, so it would reduce the ability</w:t>
      </w:r>
      <w:r w:rsidR="009953C9">
        <w:rPr>
          <w:rFonts w:cs="Arial"/>
          <w:szCs w:val="22"/>
        </w:rPr>
        <w:t xml:space="preserve"> of land owners</w:t>
      </w:r>
      <w:r>
        <w:rPr>
          <w:rFonts w:cs="Arial"/>
          <w:szCs w:val="22"/>
        </w:rPr>
        <w:t xml:space="preserve"> to rely on the exclusions to the existing set of </w:t>
      </w:r>
      <w:r w:rsidR="00792C08">
        <w:rPr>
          <w:rFonts w:cs="Arial"/>
          <w:szCs w:val="22"/>
        </w:rPr>
        <w:t xml:space="preserve">complex </w:t>
      </w:r>
      <w:r>
        <w:rPr>
          <w:rFonts w:cs="Arial"/>
          <w:szCs w:val="22"/>
        </w:rPr>
        <w:t>land rules.</w:t>
      </w:r>
    </w:p>
    <w:p w14:paraId="5E910194" w14:textId="77777777" w:rsidR="00C26422" w:rsidRDefault="00BB0145" w:rsidP="00C26422">
      <w:pPr>
        <w:spacing w:line="240" w:lineRule="auto"/>
        <w:rPr>
          <w:rFonts w:cs="Arial"/>
          <w:b/>
          <w:i/>
          <w:szCs w:val="22"/>
        </w:rPr>
      </w:pPr>
      <w:r w:rsidRPr="007B4CDB">
        <w:rPr>
          <w:rFonts w:cs="Arial"/>
          <w:b/>
          <w:i/>
          <w:szCs w:val="22"/>
        </w:rPr>
        <w:t xml:space="preserve">Fiscal impact </w:t>
      </w:r>
    </w:p>
    <w:p w14:paraId="2F92BEB0" w14:textId="77777777" w:rsidR="00C26422" w:rsidRDefault="00BB0145" w:rsidP="00C26422">
      <w:pPr>
        <w:spacing w:line="240" w:lineRule="auto"/>
        <w:rPr>
          <w:rFonts w:cs="Arial"/>
          <w:szCs w:val="22"/>
        </w:rPr>
      </w:pPr>
      <w:r w:rsidRPr="001367E5">
        <w:rPr>
          <w:rFonts w:cs="Arial"/>
          <w:szCs w:val="22"/>
        </w:rPr>
        <w:t xml:space="preserve">Having a bright-line period of 15 years would raise more </w:t>
      </w:r>
      <w:r w:rsidR="006E6570">
        <w:rPr>
          <w:rFonts w:cs="Arial"/>
          <w:szCs w:val="22"/>
        </w:rPr>
        <w:t>revenue</w:t>
      </w:r>
      <w:r w:rsidRPr="001367E5">
        <w:rPr>
          <w:rFonts w:cs="Arial"/>
          <w:szCs w:val="22"/>
        </w:rPr>
        <w:t xml:space="preserve"> than the status quo and a 10-year period, but less than a 20-year bright-line </w:t>
      </w:r>
      <w:r w:rsidR="006E6570">
        <w:rPr>
          <w:rFonts w:cs="Arial"/>
          <w:szCs w:val="22"/>
        </w:rPr>
        <w:t>test</w:t>
      </w:r>
      <w:r w:rsidRPr="001367E5">
        <w:rPr>
          <w:rFonts w:cs="Arial"/>
          <w:szCs w:val="22"/>
        </w:rPr>
        <w:t xml:space="preserve">. </w:t>
      </w:r>
      <w:r>
        <w:rPr>
          <w:rFonts w:cs="Arial"/>
          <w:szCs w:val="22"/>
        </w:rPr>
        <w:t>However, the precise revenue raised will depend on investors</w:t>
      </w:r>
      <w:r w:rsidR="00792C08">
        <w:rPr>
          <w:rFonts w:cs="Arial"/>
          <w:szCs w:val="22"/>
        </w:rPr>
        <w:t>’</w:t>
      </w:r>
      <w:r>
        <w:rPr>
          <w:rFonts w:cs="Arial"/>
          <w:szCs w:val="22"/>
        </w:rPr>
        <w:t xml:space="preserve"> behavioural responses that we are unable to model.</w:t>
      </w:r>
    </w:p>
    <w:p w14:paraId="394690D4" w14:textId="77777777" w:rsidR="00C26422" w:rsidRDefault="00BB0145" w:rsidP="00C26422">
      <w:pPr>
        <w:spacing w:line="240" w:lineRule="auto"/>
        <w:rPr>
          <w:rFonts w:cs="Arial"/>
          <w:b/>
          <w:i/>
          <w:szCs w:val="22"/>
        </w:rPr>
      </w:pPr>
      <w:r w:rsidRPr="007B4CDB">
        <w:rPr>
          <w:rFonts w:cs="Arial"/>
          <w:b/>
          <w:i/>
          <w:szCs w:val="22"/>
        </w:rPr>
        <w:t xml:space="preserve">Compliance and administration costs </w:t>
      </w:r>
    </w:p>
    <w:p w14:paraId="5A51E6A1" w14:textId="77777777" w:rsidR="00C26422" w:rsidRDefault="00BB0145" w:rsidP="00C26422">
      <w:pPr>
        <w:spacing w:line="240" w:lineRule="auto"/>
        <w:rPr>
          <w:rFonts w:cs="Arial"/>
          <w:szCs w:val="22"/>
        </w:rPr>
      </w:pPr>
      <w:r w:rsidRPr="001367E5">
        <w:rPr>
          <w:rFonts w:cs="Arial"/>
          <w:szCs w:val="22"/>
        </w:rPr>
        <w:t xml:space="preserve">The additional compliance and administration costs are likely to be greater than the status quo and a 10-year period, </w:t>
      </w:r>
      <w:r w:rsidR="006E6570">
        <w:rPr>
          <w:rFonts w:cs="Arial"/>
          <w:szCs w:val="22"/>
        </w:rPr>
        <w:t>and</w:t>
      </w:r>
      <w:r w:rsidRPr="001367E5">
        <w:rPr>
          <w:rFonts w:cs="Arial"/>
          <w:szCs w:val="22"/>
        </w:rPr>
        <w:t xml:space="preserve"> are likely to be similar to a 20-year period.</w:t>
      </w:r>
    </w:p>
    <w:p w14:paraId="7C43F909" w14:textId="77777777" w:rsidR="00C26422" w:rsidRDefault="00BB0145" w:rsidP="00C26422">
      <w:pPr>
        <w:spacing w:line="240" w:lineRule="auto"/>
        <w:rPr>
          <w:rFonts w:cs="Arial"/>
          <w:b/>
          <w:i/>
          <w:szCs w:val="22"/>
        </w:rPr>
      </w:pPr>
      <w:r w:rsidRPr="007B4CDB">
        <w:rPr>
          <w:rFonts w:cs="Arial"/>
          <w:b/>
          <w:i/>
          <w:szCs w:val="22"/>
        </w:rPr>
        <w:t>Coherence</w:t>
      </w:r>
    </w:p>
    <w:p w14:paraId="1B890FF8" w14:textId="77777777" w:rsidR="00C26422" w:rsidRDefault="00BB0145" w:rsidP="00C26422">
      <w:pPr>
        <w:spacing w:line="240" w:lineRule="auto"/>
        <w:rPr>
          <w:rFonts w:cs="Arial"/>
          <w:szCs w:val="22"/>
        </w:rPr>
      </w:pPr>
      <w:r>
        <w:rPr>
          <w:rFonts w:cs="Arial"/>
          <w:szCs w:val="22"/>
        </w:rPr>
        <w:t xml:space="preserve">Extending the bright-line period to 15 years would broaden the tax base by taxing more economic income, but less </w:t>
      </w:r>
      <w:r w:rsidR="006E6570">
        <w:rPr>
          <w:rFonts w:cs="Arial"/>
          <w:szCs w:val="22"/>
        </w:rPr>
        <w:t xml:space="preserve">so </w:t>
      </w:r>
      <w:r>
        <w:rPr>
          <w:rFonts w:cs="Arial"/>
          <w:szCs w:val="22"/>
        </w:rPr>
        <w:t>than a 20</w:t>
      </w:r>
      <w:r w:rsidR="00F61E2A">
        <w:rPr>
          <w:rFonts w:cs="Arial"/>
          <w:szCs w:val="22"/>
        </w:rPr>
        <w:t>-</w:t>
      </w:r>
      <w:r>
        <w:rPr>
          <w:rFonts w:cs="Arial"/>
          <w:szCs w:val="22"/>
        </w:rPr>
        <w:t>year period. To that extent, it enhances the coherence of the entire tax system compared to the status quo.</w:t>
      </w:r>
    </w:p>
    <w:p w14:paraId="195C612D" w14:textId="77777777" w:rsidR="00C26422" w:rsidRDefault="00BB0145" w:rsidP="00C26422">
      <w:pPr>
        <w:spacing w:line="240" w:lineRule="auto"/>
        <w:rPr>
          <w:rFonts w:cs="Arial"/>
          <w:b/>
          <w:bCs/>
          <w:i/>
          <w:iCs/>
          <w:szCs w:val="22"/>
        </w:rPr>
      </w:pPr>
      <w:r>
        <w:rPr>
          <w:rFonts w:cs="Arial"/>
          <w:b/>
          <w:bCs/>
          <w:i/>
          <w:iCs/>
          <w:szCs w:val="22"/>
        </w:rPr>
        <w:t>Overall conclusion</w:t>
      </w:r>
    </w:p>
    <w:p w14:paraId="0A7E6899" w14:textId="77777777" w:rsidR="00C26422" w:rsidRDefault="00BB0145" w:rsidP="00C26422">
      <w:pPr>
        <w:spacing w:line="240" w:lineRule="auto"/>
        <w:rPr>
          <w:rFonts w:cs="Arial"/>
          <w:szCs w:val="22"/>
        </w:rPr>
      </w:pPr>
      <w:r w:rsidRPr="006E0F54">
        <w:rPr>
          <w:rFonts w:cs="Arial"/>
          <w:szCs w:val="22"/>
        </w:rPr>
        <w:t xml:space="preserve">On balance, </w:t>
      </w:r>
      <w:r w:rsidR="00903A87" w:rsidRPr="006E0F54">
        <w:rPr>
          <w:rFonts w:cs="Arial"/>
          <w:szCs w:val="22"/>
        </w:rPr>
        <w:t xml:space="preserve">this is not </w:t>
      </w:r>
      <w:r w:rsidRPr="006E0F54">
        <w:rPr>
          <w:rFonts w:cs="Arial"/>
          <w:szCs w:val="22"/>
        </w:rPr>
        <w:t>the Treasury</w:t>
      </w:r>
      <w:r w:rsidR="00903A87" w:rsidRPr="006E0F54">
        <w:rPr>
          <w:rFonts w:cs="Arial"/>
          <w:szCs w:val="22"/>
        </w:rPr>
        <w:t xml:space="preserve">’s preferred </w:t>
      </w:r>
      <w:r w:rsidRPr="006E0F54">
        <w:rPr>
          <w:rFonts w:cs="Arial"/>
          <w:szCs w:val="22"/>
        </w:rPr>
        <w:t>option</w:t>
      </w:r>
      <w:r w:rsidR="001367E5" w:rsidRPr="006E0F54">
        <w:rPr>
          <w:rFonts w:cs="Arial"/>
          <w:szCs w:val="22"/>
        </w:rPr>
        <w:t>.</w:t>
      </w:r>
      <w:r w:rsidR="00903A87" w:rsidRPr="006E0F54">
        <w:rPr>
          <w:rFonts w:cs="Arial"/>
          <w:szCs w:val="22"/>
        </w:rPr>
        <w:t xml:space="preserve"> </w:t>
      </w:r>
      <w:r w:rsidR="001367E5" w:rsidRPr="006E0F54">
        <w:rPr>
          <w:rFonts w:cs="Arial"/>
          <w:szCs w:val="22"/>
        </w:rPr>
        <w:t xml:space="preserve">However, </w:t>
      </w:r>
      <w:r w:rsidR="00903A87" w:rsidRPr="006E0F54">
        <w:rPr>
          <w:rFonts w:cs="Arial"/>
          <w:szCs w:val="22"/>
        </w:rPr>
        <w:t>the Treasury recommends it over the status quo</w:t>
      </w:r>
      <w:r w:rsidRPr="006E0F54">
        <w:rPr>
          <w:rFonts w:cs="Arial"/>
          <w:szCs w:val="22"/>
        </w:rPr>
        <w:t>.</w:t>
      </w:r>
      <w:r>
        <w:rPr>
          <w:rFonts w:cs="Arial"/>
          <w:szCs w:val="22"/>
        </w:rPr>
        <w:t xml:space="preserve"> The extension will help meet some of the Government’s housing market objectives - but not to the same extent as a 20-year extension. Extending the bright-line test </w:t>
      </w:r>
      <w:r w:rsidR="00903A87">
        <w:rPr>
          <w:rFonts w:cs="Arial"/>
          <w:szCs w:val="22"/>
        </w:rPr>
        <w:t>w</w:t>
      </w:r>
      <w:r>
        <w:rPr>
          <w:rFonts w:cs="Arial"/>
          <w:szCs w:val="22"/>
        </w:rPr>
        <w:t>ould put downward pressure on house prices in the short to medium term, and provide equity and efficiency benefits as more economic income is taxed. Conversely, extending the bright-line test may put upward pressure on rents and have potential lock-in effects (although the additional costs of these are unclear, and the Treasury’s view is that lock-in will not significantly reduce housing utilisation).</w:t>
      </w:r>
    </w:p>
    <w:p w14:paraId="56DCB585" w14:textId="77777777" w:rsidR="00C26422" w:rsidRDefault="00BB0145" w:rsidP="00C26422">
      <w:pPr>
        <w:spacing w:line="240" w:lineRule="auto"/>
        <w:rPr>
          <w:rFonts w:cs="Arial"/>
          <w:b/>
          <w:i/>
          <w:szCs w:val="22"/>
        </w:rPr>
      </w:pPr>
      <w:r w:rsidRPr="00861726">
        <w:rPr>
          <w:rFonts w:cs="Arial"/>
          <w:b/>
          <w:szCs w:val="22"/>
        </w:rPr>
        <w:t>Option</w:t>
      </w:r>
      <w:r w:rsidR="00997CF8" w:rsidRPr="007A7CA4">
        <w:rPr>
          <w:rFonts w:cs="Arial"/>
          <w:b/>
          <w:szCs w:val="22"/>
        </w:rPr>
        <w:t>s</w:t>
      </w:r>
      <w:r w:rsidRPr="007A7CA4">
        <w:rPr>
          <w:rFonts w:cs="Arial"/>
          <w:b/>
          <w:szCs w:val="22"/>
        </w:rPr>
        <w:t xml:space="preserve"> 2B and 2C: Extending the bright-line period to 15 years for property </w:t>
      </w:r>
      <w:r w:rsidR="004E57E8" w:rsidRPr="007A7CA4">
        <w:rPr>
          <w:rFonts w:cs="Arial"/>
          <w:b/>
          <w:szCs w:val="22"/>
        </w:rPr>
        <w:t xml:space="preserve">acquired on or after the application date </w:t>
      </w:r>
      <w:r w:rsidR="005D1402" w:rsidRPr="007A7CA4">
        <w:rPr>
          <w:rFonts w:cs="Arial"/>
          <w:b/>
          <w:szCs w:val="22"/>
        </w:rPr>
        <w:t>with exemptions for new builds</w:t>
      </w:r>
    </w:p>
    <w:p w14:paraId="58578C38" w14:textId="77777777" w:rsidR="00C26422" w:rsidRDefault="00D915EB" w:rsidP="00C26422">
      <w:pPr>
        <w:spacing w:line="240" w:lineRule="auto"/>
        <w:rPr>
          <w:rFonts w:cs="Arial"/>
          <w:szCs w:val="22"/>
        </w:rPr>
      </w:pPr>
      <w:r w:rsidRPr="007A7CA4">
        <w:rPr>
          <w:rFonts w:cs="Arial"/>
          <w:szCs w:val="22"/>
        </w:rPr>
        <w:t xml:space="preserve">Providing either a full or partial exemption for new builds from a </w:t>
      </w:r>
      <w:r w:rsidR="00596443" w:rsidRPr="007A7CA4">
        <w:rPr>
          <w:rFonts w:cs="Arial"/>
          <w:szCs w:val="22"/>
        </w:rPr>
        <w:t>15</w:t>
      </w:r>
      <w:r w:rsidRPr="007A7CA4">
        <w:rPr>
          <w:rFonts w:cs="Arial"/>
          <w:szCs w:val="22"/>
        </w:rPr>
        <w:t xml:space="preserve"> year bright-line extension would have similar impacts to Options 1B and 1C</w:t>
      </w:r>
      <w:r w:rsidR="00861726">
        <w:rPr>
          <w:rFonts w:cs="Arial"/>
          <w:szCs w:val="22"/>
        </w:rPr>
        <w:t>.</w:t>
      </w:r>
    </w:p>
    <w:p w14:paraId="2D9347F4" w14:textId="77777777" w:rsidR="00C26422" w:rsidRDefault="00BB0145" w:rsidP="00C26422">
      <w:pPr>
        <w:spacing w:line="240" w:lineRule="auto"/>
        <w:rPr>
          <w:rFonts w:cs="Arial"/>
          <w:b/>
          <w:i/>
          <w:szCs w:val="22"/>
          <w:lang w:eastAsia="en-AU"/>
        </w:rPr>
      </w:pPr>
      <w:r w:rsidRPr="007A7CA4">
        <w:rPr>
          <w:rFonts w:cs="Arial"/>
          <w:b/>
        </w:rPr>
        <w:lastRenderedPageBreak/>
        <w:t xml:space="preserve">Option 3A: Extending the bright-line period to 10 years for property </w:t>
      </w:r>
      <w:r w:rsidR="004E57E8" w:rsidRPr="007A7CA4">
        <w:rPr>
          <w:rFonts w:cs="Arial"/>
          <w:b/>
        </w:rPr>
        <w:t>acquired on or after the application date</w:t>
      </w:r>
      <w:r w:rsidR="003327DB" w:rsidRPr="007A7CA4">
        <w:rPr>
          <w:rFonts w:cs="Arial"/>
          <w:b/>
        </w:rPr>
        <w:t xml:space="preserve"> </w:t>
      </w:r>
      <w:r w:rsidR="003327DB" w:rsidRPr="007A7CA4">
        <w:rPr>
          <w:rFonts w:cs="Arial"/>
          <w:b/>
          <w:szCs w:val="22"/>
          <w:lang w:eastAsia="en-AU"/>
        </w:rPr>
        <w:t>(no new-build exemption)</w:t>
      </w:r>
    </w:p>
    <w:p w14:paraId="4BBDC6AC" w14:textId="77777777" w:rsidR="00C26422" w:rsidRDefault="00BB0145" w:rsidP="00C26422">
      <w:pPr>
        <w:spacing w:line="240" w:lineRule="auto"/>
        <w:rPr>
          <w:rFonts w:cs="Arial"/>
          <w:b/>
          <w:i/>
          <w:szCs w:val="22"/>
          <w:lang w:eastAsia="en-AU"/>
        </w:rPr>
      </w:pPr>
      <w:r w:rsidRPr="007A7CA4">
        <w:rPr>
          <w:rFonts w:cs="Arial"/>
          <w:b/>
          <w:i/>
          <w:szCs w:val="22"/>
          <w:lang w:eastAsia="en-AU"/>
        </w:rPr>
        <w:t>Support greater housing affordability by putting downward pressure on house prices</w:t>
      </w:r>
    </w:p>
    <w:p w14:paraId="328876CD" w14:textId="77777777" w:rsidR="00C26422" w:rsidRDefault="00BB0145" w:rsidP="00C26422">
      <w:pPr>
        <w:spacing w:line="240" w:lineRule="auto"/>
        <w:rPr>
          <w:rFonts w:cs="Arial"/>
          <w:szCs w:val="22"/>
        </w:rPr>
      </w:pPr>
      <w:r w:rsidRPr="007A7CA4">
        <w:rPr>
          <w:rFonts w:cs="Arial"/>
          <w:szCs w:val="22"/>
        </w:rPr>
        <w:t xml:space="preserve">Extending the bright-line period to 10 years would </w:t>
      </w:r>
      <w:r w:rsidR="003327DB" w:rsidRPr="007A7CA4">
        <w:rPr>
          <w:rFonts w:cs="Arial"/>
          <w:szCs w:val="22"/>
        </w:rPr>
        <w:t xml:space="preserve">likely </w:t>
      </w:r>
      <w:r w:rsidRPr="007A7CA4">
        <w:rPr>
          <w:rFonts w:cs="Arial"/>
          <w:szCs w:val="22"/>
        </w:rPr>
        <w:t xml:space="preserve">increase the tax </w:t>
      </w:r>
      <w:r w:rsidR="00A3370B" w:rsidRPr="007A7CA4">
        <w:rPr>
          <w:rFonts w:cs="Arial"/>
          <w:szCs w:val="22"/>
        </w:rPr>
        <w:t>imposed on</w:t>
      </w:r>
      <w:r w:rsidRPr="007A7CA4">
        <w:rPr>
          <w:rFonts w:cs="Arial"/>
          <w:szCs w:val="22"/>
        </w:rPr>
        <w:t xml:space="preserve"> </w:t>
      </w:r>
      <w:r w:rsidR="003327DB" w:rsidRPr="007A7CA4">
        <w:rPr>
          <w:rFonts w:cs="Arial"/>
          <w:szCs w:val="22"/>
        </w:rPr>
        <w:t xml:space="preserve">some </w:t>
      </w:r>
      <w:r w:rsidRPr="007A7CA4">
        <w:rPr>
          <w:rFonts w:cs="Arial"/>
          <w:szCs w:val="22"/>
        </w:rPr>
        <w:t xml:space="preserve">investment </w:t>
      </w:r>
      <w:r w:rsidR="00A3370B" w:rsidRPr="007A7CA4">
        <w:rPr>
          <w:rFonts w:cs="Arial"/>
          <w:szCs w:val="22"/>
        </w:rPr>
        <w:t xml:space="preserve">properties </w:t>
      </w:r>
      <w:r w:rsidRPr="007A7CA4">
        <w:rPr>
          <w:rFonts w:cs="Arial"/>
          <w:szCs w:val="22"/>
        </w:rPr>
        <w:t xml:space="preserve">compared </w:t>
      </w:r>
      <w:r w:rsidR="00A3370B" w:rsidRPr="007A7CA4">
        <w:rPr>
          <w:rFonts w:cs="Arial"/>
          <w:szCs w:val="22"/>
        </w:rPr>
        <w:t xml:space="preserve">to </w:t>
      </w:r>
      <w:r w:rsidRPr="007A7CA4">
        <w:rPr>
          <w:rFonts w:cs="Arial"/>
          <w:szCs w:val="22"/>
        </w:rPr>
        <w:t xml:space="preserve">the status quo. However, it would increase the overall tax </w:t>
      </w:r>
      <w:r w:rsidR="00A3370B" w:rsidRPr="007A7CA4">
        <w:rPr>
          <w:rFonts w:cs="Arial"/>
          <w:szCs w:val="22"/>
        </w:rPr>
        <w:t xml:space="preserve">imposed </w:t>
      </w:r>
      <w:r w:rsidR="00920C4A" w:rsidRPr="007A7CA4">
        <w:rPr>
          <w:rFonts w:cs="Arial"/>
          <w:szCs w:val="22"/>
        </w:rPr>
        <w:t xml:space="preserve">by </w:t>
      </w:r>
      <w:r w:rsidRPr="007A7CA4">
        <w:rPr>
          <w:rFonts w:cs="Arial"/>
          <w:szCs w:val="22"/>
        </w:rPr>
        <w:t xml:space="preserve">less than a longer extension. </w:t>
      </w:r>
      <w:r w:rsidR="003327DB" w:rsidRPr="007A7CA4">
        <w:rPr>
          <w:rFonts w:cs="Arial"/>
          <w:szCs w:val="22"/>
        </w:rPr>
        <w:t>Available data suggests that around two-thirds of properties are currently sold within 10 years, although this figure may reduce substantially under a 10 year bright-line test.</w:t>
      </w:r>
    </w:p>
    <w:p w14:paraId="4B19B86D" w14:textId="77777777" w:rsidR="00C26422" w:rsidRDefault="003327DB" w:rsidP="00C26422">
      <w:pPr>
        <w:spacing w:line="240" w:lineRule="auto"/>
        <w:rPr>
          <w:rFonts w:cs="Arial"/>
          <w:szCs w:val="22"/>
        </w:rPr>
      </w:pPr>
      <w:r w:rsidRPr="007A7CA4">
        <w:rPr>
          <w:rFonts w:cs="Arial"/>
          <w:szCs w:val="22"/>
        </w:rPr>
        <w:t>W</w:t>
      </w:r>
      <w:r w:rsidR="00BB0145" w:rsidRPr="007A7CA4">
        <w:rPr>
          <w:rFonts w:cs="Arial"/>
          <w:szCs w:val="22"/>
        </w:rPr>
        <w:t>hile a 10 year bright-line period would put downward pressure on demand and therefore on property price</w:t>
      </w:r>
      <w:r w:rsidRPr="007A7CA4">
        <w:rPr>
          <w:rFonts w:cs="Arial"/>
          <w:szCs w:val="22"/>
        </w:rPr>
        <w:t xml:space="preserve"> inflation</w:t>
      </w:r>
      <w:r w:rsidR="00BB0145" w:rsidRPr="007A7CA4">
        <w:rPr>
          <w:rFonts w:cs="Arial"/>
          <w:szCs w:val="22"/>
        </w:rPr>
        <w:t>, it would have less of an impact than a longer period. The benefit to first home buyers, therefore, would be less than a longer extension. Due to the lack of robust empirical evidence or models, this impact cannot be quantified.</w:t>
      </w:r>
    </w:p>
    <w:p w14:paraId="0A4A170A" w14:textId="77777777" w:rsidR="00C26422" w:rsidRDefault="00BB0145" w:rsidP="00C26422">
      <w:pPr>
        <w:spacing w:line="240" w:lineRule="auto"/>
        <w:rPr>
          <w:rFonts w:cs="Arial"/>
          <w:szCs w:val="22"/>
        </w:rPr>
      </w:pPr>
      <w:r w:rsidRPr="007A7CA4">
        <w:rPr>
          <w:rFonts w:cs="Arial"/>
          <w:szCs w:val="22"/>
        </w:rPr>
        <w:t>In contrast, the lower overall tax cost could have less of a long-run impact on supply. However, as noted above, given the complexity and dysfunction in the housing market, the impact of demand-side tax measures on the long-run supply of new houses is complex and uncertain</w:t>
      </w:r>
      <w:r w:rsidR="006130F3" w:rsidRPr="007A7CA4">
        <w:rPr>
          <w:rFonts w:cs="Arial"/>
          <w:szCs w:val="22"/>
        </w:rPr>
        <w:t>.</w:t>
      </w:r>
    </w:p>
    <w:p w14:paraId="669E9082" w14:textId="77777777" w:rsidR="00C26422" w:rsidRDefault="00443A64" w:rsidP="00C26422">
      <w:pPr>
        <w:spacing w:line="240" w:lineRule="auto"/>
        <w:rPr>
          <w:rFonts w:cs="Arial"/>
          <w:szCs w:val="22"/>
        </w:rPr>
      </w:pPr>
      <w:r w:rsidRPr="007A7CA4">
        <w:rPr>
          <w:rFonts w:cs="Arial"/>
          <w:b/>
          <w:i/>
          <w:szCs w:val="22"/>
        </w:rPr>
        <w:t>Dampening investment demand</w:t>
      </w:r>
      <w:r w:rsidR="001803DF" w:rsidRPr="007A7CA4">
        <w:rPr>
          <w:rFonts w:cs="Arial"/>
          <w:b/>
          <w:i/>
          <w:szCs w:val="22"/>
        </w:rPr>
        <w:t xml:space="preserve"> for existing housing stock</w:t>
      </w:r>
    </w:p>
    <w:p w14:paraId="3993DDEE" w14:textId="77777777" w:rsidR="00C26422" w:rsidRDefault="004614D2" w:rsidP="00C26422">
      <w:pPr>
        <w:spacing w:line="240" w:lineRule="auto"/>
        <w:rPr>
          <w:rFonts w:cs="Arial"/>
          <w:b/>
          <w:i/>
          <w:szCs w:val="22"/>
        </w:rPr>
      </w:pPr>
      <w:r w:rsidRPr="0048581E">
        <w:rPr>
          <w:rFonts w:cs="Arial"/>
          <w:szCs w:val="22"/>
        </w:rPr>
        <w:t>Extend</w:t>
      </w:r>
      <w:r>
        <w:rPr>
          <w:rFonts w:cs="Arial"/>
          <w:szCs w:val="22"/>
        </w:rPr>
        <w:t>ing the bright-line period to 10</w:t>
      </w:r>
      <w:r w:rsidRPr="0048581E">
        <w:rPr>
          <w:rFonts w:cs="Arial"/>
          <w:szCs w:val="22"/>
        </w:rPr>
        <w:t xml:space="preserve"> years </w:t>
      </w:r>
      <w:r>
        <w:rPr>
          <w:rFonts w:cs="Arial"/>
          <w:szCs w:val="22"/>
        </w:rPr>
        <w:t xml:space="preserve">may reduce investor demand for investment property (including new builds). </w:t>
      </w:r>
    </w:p>
    <w:p w14:paraId="59674413" w14:textId="77777777" w:rsidR="00C26422" w:rsidRDefault="00443A64" w:rsidP="00C26422">
      <w:pPr>
        <w:spacing w:line="240" w:lineRule="auto"/>
      </w:pPr>
      <w:r w:rsidRPr="006F586A">
        <w:rPr>
          <w:rFonts w:cs="Arial"/>
          <w:b/>
          <w:i/>
          <w:szCs w:val="22"/>
        </w:rPr>
        <w:t>Improve affordability in the rental market</w:t>
      </w:r>
    </w:p>
    <w:p w14:paraId="2FBF553B" w14:textId="77777777" w:rsidR="00C26422" w:rsidRDefault="00BB0145" w:rsidP="00C26422">
      <w:pPr>
        <w:spacing w:line="240" w:lineRule="auto"/>
      </w:pPr>
      <w:r w:rsidRPr="00140C96">
        <w:rPr>
          <w:rFonts w:cs="Arial"/>
        </w:rPr>
        <w:t>Extending the bright-line period</w:t>
      </w:r>
      <w:r w:rsidR="00443A64" w:rsidRPr="00140C96">
        <w:rPr>
          <w:rFonts w:cs="Arial"/>
        </w:rPr>
        <w:t xml:space="preserve"> to 10</w:t>
      </w:r>
      <w:r w:rsidR="00792C08" w:rsidRPr="00140C96">
        <w:rPr>
          <w:rFonts w:cs="Arial"/>
        </w:rPr>
        <w:t xml:space="preserve"> </w:t>
      </w:r>
      <w:r w:rsidR="00443A64" w:rsidRPr="00140C96">
        <w:rPr>
          <w:rFonts w:cs="Arial"/>
        </w:rPr>
        <w:t>years has the potential </w:t>
      </w:r>
      <w:r w:rsidRPr="00140C96">
        <w:rPr>
          <w:rFonts w:cs="Arial"/>
        </w:rPr>
        <w:t xml:space="preserve">to reduce investor demand for new rental supply, compared with the status quo. However, it is likely to have less of an impact than a longer bright-line period. </w:t>
      </w:r>
      <w:r w:rsidR="004614D2" w:rsidRPr="00140C96">
        <w:rPr>
          <w:rFonts w:cs="Arial"/>
        </w:rPr>
        <w:t>The increase i</w:t>
      </w:r>
      <w:r w:rsidR="00C476AA" w:rsidRPr="00140C96">
        <w:rPr>
          <w:rFonts w:cs="Arial"/>
        </w:rPr>
        <w:t>n</w:t>
      </w:r>
      <w:r w:rsidR="004614D2" w:rsidRPr="00140C96">
        <w:rPr>
          <w:rFonts w:cs="Arial"/>
        </w:rPr>
        <w:t xml:space="preserve"> tax liability will be smaller than for a longer period. </w:t>
      </w:r>
      <w:r w:rsidRPr="00140C96">
        <w:rPr>
          <w:rFonts w:cs="Arial"/>
        </w:rPr>
        <w:t xml:space="preserve">This suggests that </w:t>
      </w:r>
      <w:r w:rsidR="004614D2" w:rsidRPr="00140C96">
        <w:rPr>
          <w:rFonts w:cs="Arial"/>
        </w:rPr>
        <w:t>an extension to 10 years may put some upward pressure on rents, which would have negative impacts on renter’s living standards, but this</w:t>
      </w:r>
      <w:r w:rsidRPr="00140C96">
        <w:rPr>
          <w:rFonts w:cs="Arial"/>
        </w:rPr>
        <w:t xml:space="preserve"> is likely to</w:t>
      </w:r>
      <w:r w:rsidR="004614D2" w:rsidRPr="00140C96">
        <w:rPr>
          <w:rFonts w:cs="Arial"/>
        </w:rPr>
        <w:t xml:space="preserve"> be</w:t>
      </w:r>
      <w:r w:rsidRPr="00140C96">
        <w:rPr>
          <w:rFonts w:cs="Arial"/>
        </w:rPr>
        <w:t xml:space="preserve"> less than </w:t>
      </w:r>
      <w:r w:rsidR="004614D2" w:rsidRPr="00140C96">
        <w:rPr>
          <w:rFonts w:cs="Arial"/>
        </w:rPr>
        <w:t xml:space="preserve">with </w:t>
      </w:r>
      <w:r w:rsidRPr="00140C96">
        <w:rPr>
          <w:rFonts w:cs="Arial"/>
        </w:rPr>
        <w:t>a longer bright-line period.</w:t>
      </w:r>
    </w:p>
    <w:p w14:paraId="05D6BB75" w14:textId="77777777" w:rsidR="00C26422" w:rsidRDefault="00BB0145" w:rsidP="00C26422">
      <w:pPr>
        <w:spacing w:line="240" w:lineRule="auto"/>
        <w:rPr>
          <w:rFonts w:cs="Arial"/>
          <w:b/>
          <w:i/>
          <w:szCs w:val="22"/>
        </w:rPr>
      </w:pPr>
      <w:r w:rsidRPr="006E0F54">
        <w:rPr>
          <w:rFonts w:cs="Arial"/>
          <w:b/>
          <w:i/>
          <w:szCs w:val="22"/>
        </w:rPr>
        <w:t>Efficiency</w:t>
      </w:r>
    </w:p>
    <w:p w14:paraId="0AE3635C" w14:textId="77777777" w:rsidR="00C26422" w:rsidRDefault="00BB0145" w:rsidP="00C26422">
      <w:pPr>
        <w:spacing w:line="240" w:lineRule="auto"/>
        <w:rPr>
          <w:rFonts w:cs="Arial"/>
          <w:i/>
          <w:szCs w:val="22"/>
        </w:rPr>
      </w:pPr>
      <w:r w:rsidRPr="006E0F54">
        <w:rPr>
          <w:rFonts w:cs="Arial"/>
          <w:i/>
          <w:szCs w:val="22"/>
        </w:rPr>
        <w:t>Taxing more economic income</w:t>
      </w:r>
    </w:p>
    <w:p w14:paraId="117E4670" w14:textId="77777777" w:rsidR="00C26422" w:rsidRDefault="00BB0145" w:rsidP="00C26422">
      <w:pPr>
        <w:spacing w:line="240" w:lineRule="auto"/>
        <w:rPr>
          <w:rFonts w:ascii="Calibri" w:hAnsi="Calibri" w:cs="Calibri"/>
          <w:szCs w:val="22"/>
        </w:rPr>
      </w:pPr>
      <w:r w:rsidRPr="006E0F54">
        <w:rPr>
          <w:rFonts w:cs="Arial"/>
          <w:szCs w:val="22"/>
        </w:rPr>
        <w:t>Extending the bright-line period to 10 years would increase the amount of economic income that is taxed compared to the status quo, but not as much as a longer period. This would improve allocative efficiency compared with the status quo but not as much as a longer period</w:t>
      </w:r>
      <w:r>
        <w:rPr>
          <w:rFonts w:ascii="Calibri" w:hAnsi="Calibri" w:cs="Calibri"/>
          <w:szCs w:val="22"/>
        </w:rPr>
        <w:t>.</w:t>
      </w:r>
    </w:p>
    <w:p w14:paraId="38C1B43D" w14:textId="77777777" w:rsidR="00C26422" w:rsidRPr="00FC61D8" w:rsidRDefault="00BB0145" w:rsidP="00C26422">
      <w:pPr>
        <w:spacing w:line="240" w:lineRule="auto"/>
        <w:rPr>
          <w:rFonts w:cs="Arial"/>
          <w:i/>
          <w:szCs w:val="22"/>
        </w:rPr>
      </w:pPr>
      <w:r w:rsidRPr="00FC61D8">
        <w:rPr>
          <w:rFonts w:cs="Arial"/>
          <w:i/>
          <w:szCs w:val="22"/>
        </w:rPr>
        <w:t>Lock-in impacts of extending bright-line period to 10 years</w:t>
      </w:r>
    </w:p>
    <w:p w14:paraId="0BC33619" w14:textId="77777777" w:rsidR="00C26422" w:rsidRDefault="00D915EB" w:rsidP="00C26422">
      <w:pPr>
        <w:spacing w:line="240" w:lineRule="auto"/>
        <w:rPr>
          <w:rFonts w:cs="Arial"/>
          <w:szCs w:val="22"/>
        </w:rPr>
      </w:pPr>
      <w:r w:rsidRPr="00E4704D">
        <w:rPr>
          <w:rFonts w:cs="Arial"/>
          <w:szCs w:val="22"/>
        </w:rPr>
        <w:t xml:space="preserve">Extending the bright-line period to 10 years would create lock-in for properties held for 5-10 years. Under the status quo (5 years), there is currently no lock-in for the properties held for </w:t>
      </w:r>
      <w:r w:rsidR="009953C9">
        <w:rPr>
          <w:rFonts w:cs="Arial"/>
          <w:szCs w:val="22"/>
        </w:rPr>
        <w:t>more than 5 years</w:t>
      </w:r>
      <w:r w:rsidRPr="00E4704D">
        <w:rPr>
          <w:rFonts w:cs="Arial"/>
          <w:szCs w:val="22"/>
        </w:rPr>
        <w:t>. As noted above, there are competing effects on lock-in from different bright-line periods</w:t>
      </w:r>
      <w:r w:rsidR="00920C4A" w:rsidRPr="00E4704D">
        <w:rPr>
          <w:rFonts w:cs="Arial"/>
          <w:szCs w:val="22"/>
        </w:rPr>
        <w:t xml:space="preserve"> and </w:t>
      </w:r>
      <w:r w:rsidRPr="00E4704D">
        <w:rPr>
          <w:rFonts w:cs="Arial"/>
          <w:szCs w:val="22"/>
        </w:rPr>
        <w:t xml:space="preserve">it cannot be </w:t>
      </w:r>
      <w:r w:rsidR="006E6570" w:rsidRPr="00E4704D">
        <w:rPr>
          <w:rFonts w:cs="Arial"/>
          <w:szCs w:val="22"/>
        </w:rPr>
        <w:t>determined</w:t>
      </w:r>
      <w:r w:rsidRPr="00E4704D">
        <w:rPr>
          <w:rFonts w:cs="Arial"/>
          <w:szCs w:val="22"/>
        </w:rPr>
        <w:t xml:space="preserve"> whether a 10, 15 or 20</w:t>
      </w:r>
      <w:r w:rsidR="00F61E2A" w:rsidRPr="00E4704D">
        <w:rPr>
          <w:rFonts w:cs="Arial"/>
          <w:szCs w:val="22"/>
        </w:rPr>
        <w:t>-</w:t>
      </w:r>
      <w:r w:rsidRPr="00E4704D">
        <w:rPr>
          <w:rFonts w:cs="Arial"/>
          <w:szCs w:val="22"/>
        </w:rPr>
        <w:t xml:space="preserve">year test would have the greatest lock-in.  </w:t>
      </w:r>
    </w:p>
    <w:p w14:paraId="530B77D0" w14:textId="76A521BC" w:rsidR="00C26422" w:rsidRDefault="00D915EB" w:rsidP="00C26422">
      <w:pPr>
        <w:spacing w:line="240" w:lineRule="auto"/>
        <w:rPr>
          <w:rFonts w:cs="Arial"/>
          <w:szCs w:val="22"/>
        </w:rPr>
      </w:pPr>
      <w:r w:rsidRPr="00E4704D">
        <w:rPr>
          <w:rFonts w:cs="Arial"/>
          <w:szCs w:val="22"/>
        </w:rPr>
        <w:t>Compared to a 20</w:t>
      </w:r>
      <w:r w:rsidR="00F61E2A" w:rsidRPr="00E4704D">
        <w:rPr>
          <w:rFonts w:cs="Arial"/>
          <w:szCs w:val="22"/>
        </w:rPr>
        <w:t>-</w:t>
      </w:r>
      <w:r w:rsidRPr="00E4704D">
        <w:rPr>
          <w:rFonts w:cs="Arial"/>
          <w:szCs w:val="22"/>
        </w:rPr>
        <w:t>year test, a 10</w:t>
      </w:r>
      <w:r w:rsidR="00A3370B" w:rsidRPr="00E4704D">
        <w:rPr>
          <w:rFonts w:cs="Arial"/>
          <w:szCs w:val="22"/>
        </w:rPr>
        <w:t>-</w:t>
      </w:r>
      <w:r w:rsidRPr="00E4704D">
        <w:rPr>
          <w:rFonts w:cs="Arial"/>
          <w:szCs w:val="22"/>
        </w:rPr>
        <w:t>year test may not significantly reduce lock-in for properties intended to be held for short periods, as many individuals w</w:t>
      </w:r>
      <w:r w:rsidR="00F61E2A" w:rsidRPr="00E4704D">
        <w:rPr>
          <w:rFonts w:cs="Arial"/>
          <w:szCs w:val="22"/>
        </w:rPr>
        <w:t>ill be willing to wait out a 10-</w:t>
      </w:r>
      <w:r w:rsidRPr="00E4704D">
        <w:rPr>
          <w:rFonts w:cs="Arial"/>
          <w:szCs w:val="22"/>
        </w:rPr>
        <w:t>year test. Based on the data discussed above, around two thirds of properties are currently sold before 10 years and may b</w:t>
      </w:r>
      <w:r w:rsidR="00F61E2A" w:rsidRPr="00E4704D">
        <w:rPr>
          <w:rFonts w:cs="Arial"/>
          <w:szCs w:val="22"/>
        </w:rPr>
        <w:t>e subject to lock-in under a 10-</w:t>
      </w:r>
      <w:r w:rsidR="009F6780" w:rsidRPr="00E4704D">
        <w:rPr>
          <w:rFonts w:cs="Arial"/>
          <w:szCs w:val="22"/>
        </w:rPr>
        <w:t>year test.  However a 10-</w:t>
      </w:r>
      <w:r w:rsidRPr="00E4704D">
        <w:rPr>
          <w:rFonts w:cs="Arial"/>
          <w:szCs w:val="22"/>
        </w:rPr>
        <w:t xml:space="preserve">year test will not give rise to lock-in for properties held between 10 and 20 years, and as the tax </w:t>
      </w:r>
      <w:r w:rsidRPr="00E4704D">
        <w:rPr>
          <w:rFonts w:cs="Arial"/>
          <w:szCs w:val="22"/>
        </w:rPr>
        <w:lastRenderedPageBreak/>
        <w:t>liability will be lower at 10 year</w:t>
      </w:r>
      <w:r w:rsidR="006E6570" w:rsidRPr="00E4704D">
        <w:rPr>
          <w:rFonts w:cs="Arial"/>
          <w:szCs w:val="22"/>
        </w:rPr>
        <w:t>s</w:t>
      </w:r>
      <w:r w:rsidRPr="00E4704D">
        <w:rPr>
          <w:rFonts w:cs="Arial"/>
          <w:szCs w:val="22"/>
        </w:rPr>
        <w:t xml:space="preserve"> than 20 years</w:t>
      </w:r>
      <w:r w:rsidR="006E6570" w:rsidRPr="00E4704D">
        <w:rPr>
          <w:rFonts w:cs="Arial"/>
          <w:szCs w:val="22"/>
        </w:rPr>
        <w:t>,</w:t>
      </w:r>
      <w:r w:rsidRPr="00E4704D">
        <w:rPr>
          <w:rFonts w:cs="Arial"/>
          <w:szCs w:val="22"/>
        </w:rPr>
        <w:t xml:space="preserve"> the lock-in effect will be lower approaching 10 years than 20 years.</w:t>
      </w:r>
    </w:p>
    <w:p w14:paraId="7635691A" w14:textId="77777777" w:rsidR="00C26422" w:rsidRDefault="00BB0145" w:rsidP="00C26422">
      <w:pPr>
        <w:spacing w:line="240" w:lineRule="auto"/>
        <w:rPr>
          <w:rFonts w:cs="Arial"/>
          <w:b/>
          <w:bCs/>
          <w:i/>
          <w:iCs/>
          <w:szCs w:val="22"/>
        </w:rPr>
      </w:pPr>
      <w:r>
        <w:rPr>
          <w:rFonts w:cs="Arial"/>
          <w:b/>
          <w:bCs/>
          <w:i/>
          <w:iCs/>
          <w:szCs w:val="22"/>
        </w:rPr>
        <w:t>Equity</w:t>
      </w:r>
    </w:p>
    <w:p w14:paraId="5E9C9BC1" w14:textId="77777777" w:rsidR="00C26422" w:rsidRDefault="00BB0145" w:rsidP="00C26422">
      <w:pPr>
        <w:spacing w:line="240" w:lineRule="auto"/>
        <w:rPr>
          <w:rFonts w:cs="Arial"/>
          <w:szCs w:val="22"/>
        </w:rPr>
      </w:pPr>
      <w:r>
        <w:rPr>
          <w:rFonts w:cs="Arial"/>
          <w:szCs w:val="22"/>
        </w:rPr>
        <w:t xml:space="preserve">Extending the bright-line period to 10 years would extend the taxation of gains from </w:t>
      </w:r>
      <w:r w:rsidR="00E931E4">
        <w:rPr>
          <w:rFonts w:cs="Arial"/>
          <w:szCs w:val="22"/>
        </w:rPr>
        <w:t>non-owner-occupied</w:t>
      </w:r>
      <w:r>
        <w:rPr>
          <w:rFonts w:cs="Arial"/>
          <w:szCs w:val="22"/>
        </w:rPr>
        <w:t xml:space="preserve"> residential property, compared with the status quo.  This would enhance horizontal equity in relation to income from salary and wages, which is fully taxed. However, it would not enhance horizontal equity as much as a longer bright-line period.</w:t>
      </w:r>
    </w:p>
    <w:p w14:paraId="469E846C" w14:textId="77777777" w:rsidR="00C26422" w:rsidRDefault="00BB0145" w:rsidP="00C26422">
      <w:pPr>
        <w:spacing w:line="240" w:lineRule="auto"/>
        <w:rPr>
          <w:rFonts w:cs="Arial"/>
          <w:szCs w:val="22"/>
        </w:rPr>
      </w:pPr>
      <w:r>
        <w:rPr>
          <w:rFonts w:cs="Arial"/>
          <w:szCs w:val="22"/>
        </w:rPr>
        <w:t xml:space="preserve">Increasing the tax </w:t>
      </w:r>
      <w:r w:rsidR="00D43AA0">
        <w:rPr>
          <w:rFonts w:cs="Arial"/>
          <w:szCs w:val="22"/>
        </w:rPr>
        <w:t xml:space="preserve">imposed </w:t>
      </w:r>
      <w:r>
        <w:rPr>
          <w:rFonts w:cs="Arial"/>
          <w:szCs w:val="22"/>
        </w:rPr>
        <w:t xml:space="preserve">on capital </w:t>
      </w:r>
      <w:r w:rsidR="00D43AA0">
        <w:rPr>
          <w:rFonts w:cs="Arial"/>
          <w:szCs w:val="22"/>
        </w:rPr>
        <w:t xml:space="preserve">income </w:t>
      </w:r>
      <w:r>
        <w:rPr>
          <w:rFonts w:cs="Arial"/>
          <w:szCs w:val="22"/>
        </w:rPr>
        <w:t>would likely be progressive (since capital income from selling residential investment properties tends to be earned disproportionately by those on higher incomes), so would improve vertical equity compared with the status quo.</w:t>
      </w:r>
      <w:r w:rsidR="00354785">
        <w:rPr>
          <w:rStyle w:val="FootnoteReference"/>
          <w:rFonts w:cs="Arial"/>
          <w:szCs w:val="22"/>
        </w:rPr>
        <w:footnoteReference w:id="23"/>
      </w:r>
      <w:r>
        <w:rPr>
          <w:rFonts w:cs="Arial"/>
          <w:szCs w:val="22"/>
        </w:rPr>
        <w:t xml:space="preserve"> However, it would not improve vertical equity as much as a longer bright-line period.</w:t>
      </w:r>
    </w:p>
    <w:p w14:paraId="3F0BB334" w14:textId="77777777" w:rsidR="00C26422" w:rsidRDefault="00E931E4" w:rsidP="00C26422">
      <w:pPr>
        <w:spacing w:line="240" w:lineRule="auto"/>
        <w:rPr>
          <w:rFonts w:cs="Arial"/>
          <w:b/>
          <w:bCs/>
          <w:i/>
          <w:iCs/>
          <w:szCs w:val="22"/>
        </w:rPr>
      </w:pPr>
      <w:r>
        <w:rPr>
          <w:rFonts w:cs="Arial"/>
          <w:b/>
          <w:bCs/>
          <w:i/>
          <w:iCs/>
          <w:szCs w:val="22"/>
        </w:rPr>
        <w:t>Revenue integrity</w:t>
      </w:r>
    </w:p>
    <w:p w14:paraId="2F23AB33" w14:textId="168D1FDA" w:rsidR="00AF1807" w:rsidRDefault="00BB0145" w:rsidP="00C26422">
      <w:pPr>
        <w:spacing w:line="240" w:lineRule="auto"/>
        <w:rPr>
          <w:rFonts w:cs="Arial"/>
          <w:szCs w:val="22"/>
        </w:rPr>
      </w:pPr>
      <w:r>
        <w:rPr>
          <w:rFonts w:cs="Arial"/>
          <w:szCs w:val="22"/>
        </w:rPr>
        <w:t>Extending the bright-line period to 10 years would enhance the integrity of the tax system to the extent it minimises opportunities for tax avoidance and arbitrage. It would extend the range of property transactions covered by the rule, compared with the status quo. However, more transactions would be subject to the other land rules (with their complexities and exclusions) than under a longer bright-line period.</w:t>
      </w:r>
    </w:p>
    <w:p w14:paraId="01645C78" w14:textId="77777777" w:rsidR="00C26422" w:rsidRDefault="00BB0145" w:rsidP="00C26422">
      <w:pPr>
        <w:spacing w:line="240" w:lineRule="auto"/>
        <w:rPr>
          <w:rFonts w:cs="Arial"/>
          <w:b/>
          <w:bCs/>
          <w:i/>
          <w:iCs/>
          <w:szCs w:val="22"/>
        </w:rPr>
      </w:pPr>
      <w:r>
        <w:rPr>
          <w:rFonts w:cs="Arial"/>
          <w:b/>
          <w:bCs/>
          <w:i/>
          <w:iCs/>
          <w:szCs w:val="22"/>
        </w:rPr>
        <w:t xml:space="preserve">Fiscal impact </w:t>
      </w:r>
    </w:p>
    <w:p w14:paraId="1F076FEA" w14:textId="77777777" w:rsidR="00C26422" w:rsidRDefault="00BB0145" w:rsidP="00C26422">
      <w:pPr>
        <w:spacing w:line="240" w:lineRule="auto"/>
        <w:rPr>
          <w:rFonts w:cs="Arial"/>
          <w:szCs w:val="22"/>
        </w:rPr>
      </w:pPr>
      <w:r w:rsidRPr="006E0F54">
        <w:rPr>
          <w:rFonts w:cs="Arial"/>
          <w:szCs w:val="22"/>
        </w:rPr>
        <w:t xml:space="preserve">Having a bright-line period of 10 </w:t>
      </w:r>
      <w:r w:rsidRPr="00806928">
        <w:rPr>
          <w:rFonts w:cs="Arial"/>
          <w:szCs w:val="22"/>
        </w:rPr>
        <w:t xml:space="preserve">years would raise more </w:t>
      </w:r>
      <w:r w:rsidR="006E6570">
        <w:rPr>
          <w:rFonts w:cs="Arial"/>
          <w:szCs w:val="22"/>
        </w:rPr>
        <w:t>revenue</w:t>
      </w:r>
      <w:r w:rsidRPr="00806928">
        <w:rPr>
          <w:rFonts w:cs="Arial"/>
          <w:szCs w:val="22"/>
        </w:rPr>
        <w:t xml:space="preserve"> than the status quo, but less than a longer bright-line period. </w:t>
      </w:r>
      <w:r>
        <w:rPr>
          <w:rFonts w:cs="Arial"/>
          <w:szCs w:val="22"/>
        </w:rPr>
        <w:t>However, the precise revenue raised will depend on investor’s behavioural respon</w:t>
      </w:r>
      <w:r w:rsidR="00E931E4">
        <w:rPr>
          <w:rFonts w:cs="Arial"/>
          <w:szCs w:val="22"/>
        </w:rPr>
        <w:t>ses that we are unable to model</w:t>
      </w:r>
    </w:p>
    <w:p w14:paraId="0A75B5DB" w14:textId="77777777" w:rsidR="00C26422" w:rsidRDefault="00BB0145" w:rsidP="00C26422">
      <w:pPr>
        <w:spacing w:line="240" w:lineRule="auto"/>
        <w:rPr>
          <w:rFonts w:cs="Arial"/>
          <w:b/>
          <w:bCs/>
          <w:i/>
          <w:iCs/>
          <w:szCs w:val="22"/>
        </w:rPr>
      </w:pPr>
      <w:r>
        <w:rPr>
          <w:rFonts w:cs="Arial"/>
          <w:b/>
          <w:bCs/>
          <w:i/>
          <w:iCs/>
          <w:szCs w:val="22"/>
        </w:rPr>
        <w:t xml:space="preserve">Compliance and administration costs </w:t>
      </w:r>
    </w:p>
    <w:p w14:paraId="6FE0A843" w14:textId="77777777" w:rsidR="00C26422" w:rsidRDefault="00BB0145" w:rsidP="00C26422">
      <w:pPr>
        <w:spacing w:line="240" w:lineRule="auto"/>
        <w:rPr>
          <w:rFonts w:cs="Arial"/>
          <w:szCs w:val="22"/>
        </w:rPr>
      </w:pPr>
      <w:r w:rsidRPr="006E0F54">
        <w:rPr>
          <w:rFonts w:cs="Arial"/>
          <w:szCs w:val="22"/>
        </w:rPr>
        <w:t>The additional compliance and administration costs are likely to be greater than the status quo, but less than a longer bright-line period.</w:t>
      </w:r>
    </w:p>
    <w:p w14:paraId="5FFE786D" w14:textId="77777777" w:rsidR="00C167FA" w:rsidRDefault="00BB0145" w:rsidP="00C26422">
      <w:pPr>
        <w:spacing w:line="240" w:lineRule="auto"/>
        <w:rPr>
          <w:rFonts w:cs="Arial"/>
          <w:b/>
          <w:bCs/>
          <w:i/>
          <w:iCs/>
          <w:szCs w:val="22"/>
        </w:rPr>
      </w:pPr>
      <w:r>
        <w:rPr>
          <w:rFonts w:cs="Arial"/>
          <w:b/>
          <w:bCs/>
          <w:i/>
          <w:iCs/>
          <w:szCs w:val="22"/>
        </w:rPr>
        <w:t>Coherence</w:t>
      </w:r>
    </w:p>
    <w:p w14:paraId="3E724605" w14:textId="77777777" w:rsidR="00C167FA" w:rsidRDefault="00E931E4" w:rsidP="00C167FA">
      <w:pPr>
        <w:spacing w:line="240" w:lineRule="auto"/>
        <w:rPr>
          <w:rFonts w:cs="Arial"/>
          <w:szCs w:val="22"/>
        </w:rPr>
      </w:pPr>
      <w:r w:rsidRPr="006E0F54">
        <w:rPr>
          <w:rFonts w:cs="Arial"/>
          <w:szCs w:val="22"/>
        </w:rPr>
        <w:t>E</w:t>
      </w:r>
      <w:r w:rsidR="00BB0145" w:rsidRPr="006E0F54">
        <w:rPr>
          <w:rFonts w:cs="Arial"/>
          <w:szCs w:val="22"/>
        </w:rPr>
        <w:t>xtending the bright-line period to 10 years would tax more economic income than the status quo, but less than a longer period. It would enhance the coherence of the tax system but less than a longer period.</w:t>
      </w:r>
      <w:r w:rsidR="00D915EB">
        <w:rPr>
          <w:rFonts w:cs="Arial"/>
          <w:szCs w:val="22"/>
        </w:rPr>
        <w:t xml:space="preserve"> Compared to a comprehensive capital gains tax, having multiple mechanisms to tax capital gains would be less coherent.</w:t>
      </w:r>
    </w:p>
    <w:p w14:paraId="7507B558" w14:textId="77777777" w:rsidR="00C167FA" w:rsidRDefault="00BB0145" w:rsidP="00C167FA">
      <w:pPr>
        <w:spacing w:line="240" w:lineRule="auto"/>
        <w:rPr>
          <w:rFonts w:cs="Arial"/>
          <w:b/>
          <w:bCs/>
          <w:i/>
          <w:iCs/>
          <w:szCs w:val="22"/>
        </w:rPr>
      </w:pPr>
      <w:r>
        <w:rPr>
          <w:rFonts w:cs="Arial"/>
          <w:b/>
          <w:bCs/>
          <w:i/>
          <w:iCs/>
          <w:szCs w:val="22"/>
        </w:rPr>
        <w:t>Overall conclusion</w:t>
      </w:r>
    </w:p>
    <w:p w14:paraId="3D682AA5" w14:textId="77777777" w:rsidR="00C167FA" w:rsidRDefault="00903A87" w:rsidP="00C167FA">
      <w:pPr>
        <w:spacing w:line="240" w:lineRule="auto"/>
        <w:rPr>
          <w:rFonts w:cs="Arial"/>
          <w:szCs w:val="22"/>
        </w:rPr>
      </w:pPr>
      <w:r w:rsidRPr="006E0F54">
        <w:rPr>
          <w:rFonts w:cs="Arial"/>
          <w:szCs w:val="22"/>
        </w:rPr>
        <w:t>On balance</w:t>
      </w:r>
      <w:r w:rsidR="00AF1807" w:rsidRPr="006E0F54">
        <w:rPr>
          <w:rFonts w:cs="Arial"/>
          <w:szCs w:val="22"/>
        </w:rPr>
        <w:t>,</w:t>
      </w:r>
      <w:r w:rsidRPr="006E0F54">
        <w:rPr>
          <w:rFonts w:cs="Arial"/>
          <w:szCs w:val="22"/>
        </w:rPr>
        <w:t xml:space="preserve"> the Treasury </w:t>
      </w:r>
      <w:r w:rsidR="00AF1807" w:rsidRPr="006E0F54">
        <w:rPr>
          <w:rFonts w:cs="Arial"/>
          <w:szCs w:val="22"/>
        </w:rPr>
        <w:t>would prefer an</w:t>
      </w:r>
      <w:r w:rsidRPr="006E0F54">
        <w:rPr>
          <w:rFonts w:cs="Arial"/>
          <w:szCs w:val="22"/>
        </w:rPr>
        <w:t xml:space="preserve"> extension of the bright-line </w:t>
      </w:r>
      <w:r w:rsidR="00AF1807" w:rsidRPr="006E0F54">
        <w:rPr>
          <w:rFonts w:cs="Arial"/>
          <w:szCs w:val="22"/>
        </w:rPr>
        <w:t xml:space="preserve">test for a period longer than </w:t>
      </w:r>
      <w:r w:rsidRPr="006E0F54">
        <w:rPr>
          <w:rFonts w:cs="Arial"/>
          <w:szCs w:val="22"/>
        </w:rPr>
        <w:t>10 years.</w:t>
      </w:r>
      <w:r>
        <w:rPr>
          <w:rFonts w:cs="Arial"/>
          <w:szCs w:val="22"/>
        </w:rPr>
        <w:t xml:space="preserve"> </w:t>
      </w:r>
      <w:r w:rsidR="00E931E4" w:rsidRPr="00806928">
        <w:rPr>
          <w:rFonts w:cs="Arial"/>
          <w:szCs w:val="22"/>
        </w:rPr>
        <w:t xml:space="preserve">Extending the bright-line period to 10-years </w:t>
      </w:r>
      <w:r w:rsidR="00BB0145" w:rsidRPr="00806928">
        <w:rPr>
          <w:rFonts w:cs="Arial"/>
          <w:szCs w:val="22"/>
        </w:rPr>
        <w:t>w</w:t>
      </w:r>
      <w:r w:rsidR="006816A0">
        <w:rPr>
          <w:rFonts w:cs="Arial"/>
          <w:szCs w:val="22"/>
        </w:rPr>
        <w:t>ould</w:t>
      </w:r>
      <w:r w:rsidR="00BB0145" w:rsidRPr="00806928">
        <w:rPr>
          <w:rFonts w:cs="Arial"/>
          <w:szCs w:val="22"/>
        </w:rPr>
        <w:t xml:space="preserve"> help meet some of the Government’s housing market objectives</w:t>
      </w:r>
      <w:r w:rsidR="00E931E4" w:rsidRPr="00806928">
        <w:rPr>
          <w:rFonts w:cs="Arial"/>
          <w:szCs w:val="22"/>
        </w:rPr>
        <w:t xml:space="preserve"> but to lesser extent than a longer period</w:t>
      </w:r>
      <w:r w:rsidR="00BB0145" w:rsidRPr="00806928">
        <w:rPr>
          <w:rFonts w:cs="Arial"/>
          <w:szCs w:val="22"/>
        </w:rPr>
        <w:t xml:space="preserve">. </w:t>
      </w:r>
      <w:r w:rsidR="00D93104">
        <w:rPr>
          <w:rFonts w:cs="Arial"/>
          <w:szCs w:val="22"/>
        </w:rPr>
        <w:t>The</w:t>
      </w:r>
      <w:r w:rsidR="00E931E4" w:rsidRPr="00806928">
        <w:rPr>
          <w:rFonts w:cs="Arial"/>
          <w:szCs w:val="22"/>
        </w:rPr>
        <w:t xml:space="preserve"> extension</w:t>
      </w:r>
      <w:r w:rsidR="00BB0145" w:rsidRPr="00806928">
        <w:rPr>
          <w:rFonts w:cs="Arial"/>
          <w:szCs w:val="22"/>
        </w:rPr>
        <w:t xml:space="preserve"> </w:t>
      </w:r>
      <w:r>
        <w:rPr>
          <w:rFonts w:cs="Arial"/>
          <w:szCs w:val="22"/>
        </w:rPr>
        <w:t>may</w:t>
      </w:r>
      <w:r w:rsidR="00BB0145" w:rsidRPr="00806928">
        <w:rPr>
          <w:rFonts w:cs="Arial"/>
          <w:szCs w:val="22"/>
        </w:rPr>
        <w:t xml:space="preserve"> put </w:t>
      </w:r>
      <w:r w:rsidR="00920C4A">
        <w:rPr>
          <w:rFonts w:cs="Arial"/>
          <w:szCs w:val="22"/>
        </w:rPr>
        <w:t xml:space="preserve">some </w:t>
      </w:r>
      <w:r w:rsidR="00BB0145" w:rsidRPr="00806928">
        <w:rPr>
          <w:rFonts w:cs="Arial"/>
          <w:szCs w:val="22"/>
        </w:rPr>
        <w:t>downward pressure on house price</w:t>
      </w:r>
      <w:r w:rsidR="000D7F8D">
        <w:rPr>
          <w:rFonts w:cs="Arial"/>
          <w:szCs w:val="22"/>
        </w:rPr>
        <w:t xml:space="preserve"> inflation</w:t>
      </w:r>
      <w:r w:rsidR="00BB0145" w:rsidRPr="00806928">
        <w:rPr>
          <w:rFonts w:cs="Arial"/>
          <w:szCs w:val="22"/>
        </w:rPr>
        <w:t xml:space="preserve"> in the short to medium term, and provide equity and efficiency benefits as more economic income is taxed</w:t>
      </w:r>
      <w:r>
        <w:rPr>
          <w:rFonts w:cs="Arial"/>
          <w:szCs w:val="22"/>
        </w:rPr>
        <w:t>, however these benefits will be significantly less than for a 20 year period</w:t>
      </w:r>
      <w:r w:rsidR="00BB0145" w:rsidRPr="00806928">
        <w:rPr>
          <w:rFonts w:cs="Arial"/>
          <w:szCs w:val="22"/>
        </w:rPr>
        <w:t xml:space="preserve">. Conversely, extending the bright-line test </w:t>
      </w:r>
      <w:r w:rsidR="000D7F8D">
        <w:rPr>
          <w:rFonts w:cs="Arial"/>
          <w:szCs w:val="22"/>
        </w:rPr>
        <w:t xml:space="preserve">to 10 years </w:t>
      </w:r>
      <w:r w:rsidR="00BB0145" w:rsidRPr="00806928">
        <w:rPr>
          <w:rFonts w:cs="Arial"/>
          <w:szCs w:val="22"/>
        </w:rPr>
        <w:t>may put</w:t>
      </w:r>
      <w:r w:rsidR="00920C4A">
        <w:rPr>
          <w:rFonts w:cs="Arial"/>
          <w:szCs w:val="22"/>
        </w:rPr>
        <w:t xml:space="preserve"> some</w:t>
      </w:r>
      <w:r w:rsidR="00BB0145" w:rsidRPr="00806928">
        <w:rPr>
          <w:rFonts w:cs="Arial"/>
          <w:szCs w:val="22"/>
        </w:rPr>
        <w:t xml:space="preserve"> upward pressure on rents</w:t>
      </w:r>
      <w:r w:rsidR="000D7F8D">
        <w:rPr>
          <w:rFonts w:cs="Arial"/>
          <w:szCs w:val="22"/>
        </w:rPr>
        <w:t>, but less than for a longer extension,</w:t>
      </w:r>
      <w:r w:rsidR="00BB0145" w:rsidRPr="00806928">
        <w:rPr>
          <w:rFonts w:cs="Arial"/>
          <w:szCs w:val="22"/>
        </w:rPr>
        <w:t xml:space="preserve"> and have potential lock-in effects</w:t>
      </w:r>
      <w:r w:rsidR="000D7F8D">
        <w:rPr>
          <w:rFonts w:cs="Arial"/>
          <w:szCs w:val="22"/>
        </w:rPr>
        <w:t xml:space="preserve"> </w:t>
      </w:r>
      <w:r w:rsidR="00BB0145" w:rsidRPr="00806928">
        <w:rPr>
          <w:rFonts w:cs="Arial"/>
          <w:szCs w:val="22"/>
        </w:rPr>
        <w:t>(although the additional costs of these are unclear, and the Treasury’s view is that lock-in will not significantly reduce housing utilisation).</w:t>
      </w:r>
      <w:r w:rsidRPr="00903A87">
        <w:rPr>
          <w:rFonts w:cs="Arial"/>
          <w:szCs w:val="22"/>
        </w:rPr>
        <w:t xml:space="preserve"> </w:t>
      </w:r>
      <w:r>
        <w:rPr>
          <w:rFonts w:cs="Arial"/>
          <w:szCs w:val="22"/>
        </w:rPr>
        <w:t>It may be relatively easy to avoid the tax liability under a 10 year test by delaying the sale of property.</w:t>
      </w:r>
    </w:p>
    <w:p w14:paraId="62FE23B7" w14:textId="77777777" w:rsidR="00C167FA" w:rsidRDefault="00443A64" w:rsidP="00C167FA">
      <w:pPr>
        <w:spacing w:line="240" w:lineRule="auto"/>
        <w:rPr>
          <w:rFonts w:cs="Arial"/>
          <w:b/>
          <w:szCs w:val="22"/>
        </w:rPr>
      </w:pPr>
      <w:r w:rsidRPr="006E0F54">
        <w:rPr>
          <w:rFonts w:cs="Arial"/>
          <w:b/>
          <w:szCs w:val="22"/>
        </w:rPr>
        <w:lastRenderedPageBreak/>
        <w:t xml:space="preserve">Option 3B and 3C: Extending the bright-line period to </w:t>
      </w:r>
      <w:r>
        <w:rPr>
          <w:rFonts w:cs="Arial"/>
          <w:b/>
          <w:szCs w:val="22"/>
        </w:rPr>
        <w:t>10</w:t>
      </w:r>
      <w:r w:rsidRPr="006E0F54">
        <w:rPr>
          <w:rFonts w:cs="Arial"/>
          <w:b/>
          <w:szCs w:val="22"/>
        </w:rPr>
        <w:t xml:space="preserve"> years for property </w:t>
      </w:r>
      <w:r w:rsidR="00154595" w:rsidRPr="0068035B">
        <w:rPr>
          <w:rFonts w:cs="Arial"/>
          <w:b/>
          <w:szCs w:val="22"/>
        </w:rPr>
        <w:t>acquired on or after the application date</w:t>
      </w:r>
      <w:r w:rsidR="00154595" w:rsidRPr="006E0F54" w:rsidDel="00154595">
        <w:rPr>
          <w:rFonts w:cs="Arial"/>
          <w:b/>
          <w:szCs w:val="22"/>
        </w:rPr>
        <w:t xml:space="preserve"> </w:t>
      </w:r>
      <w:r w:rsidR="005D1402">
        <w:rPr>
          <w:rFonts w:cs="Arial"/>
          <w:b/>
          <w:szCs w:val="22"/>
        </w:rPr>
        <w:t>with exemptions for new builds</w:t>
      </w:r>
    </w:p>
    <w:p w14:paraId="5396F3B6" w14:textId="69E72187" w:rsidR="00D915EB" w:rsidRDefault="00D915EB" w:rsidP="00C167FA">
      <w:pPr>
        <w:spacing w:line="240" w:lineRule="auto"/>
        <w:rPr>
          <w:rFonts w:cs="Arial"/>
          <w:szCs w:val="22"/>
        </w:rPr>
      </w:pPr>
      <w:r>
        <w:rPr>
          <w:rFonts w:cs="Arial"/>
          <w:szCs w:val="22"/>
        </w:rPr>
        <w:t>Providing either a full or partial exemption for new builds from a ten year bright-line extension would have similar impacts to Options 1B and 1C</w:t>
      </w:r>
      <w:r w:rsidR="00E4704D">
        <w:rPr>
          <w:rFonts w:cs="Arial"/>
          <w:szCs w:val="22"/>
        </w:rPr>
        <w:t>, though to a smaller extent.</w:t>
      </w:r>
    </w:p>
    <w:p w14:paraId="5B72FE57" w14:textId="77777777" w:rsidR="002E3CD5" w:rsidRPr="0005691A" w:rsidRDefault="002E3CD5" w:rsidP="002E3CD5">
      <w:pPr>
        <w:tabs>
          <w:tab w:val="left" w:pos="2550"/>
        </w:tabs>
        <w:spacing w:before="240" w:after="120" w:line="240" w:lineRule="auto"/>
        <w:rPr>
          <w:rFonts w:cs="Arial"/>
          <w:b/>
          <w:color w:val="0082AB"/>
          <w:spacing w:val="20"/>
          <w:w w:val="90"/>
          <w:sz w:val="32"/>
          <w:szCs w:val="24"/>
        </w:rPr>
      </w:pPr>
      <w:r w:rsidRPr="0005691A">
        <w:rPr>
          <w:rFonts w:cs="Arial"/>
          <w:b/>
          <w:color w:val="0082AB"/>
          <w:spacing w:val="20"/>
          <w:w w:val="90"/>
          <w:sz w:val="32"/>
          <w:szCs w:val="24"/>
        </w:rPr>
        <w:t>Section 5:  Conclusions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E3CD5" w:rsidRPr="0049467D" w14:paraId="01F535D9" w14:textId="77777777" w:rsidTr="00AC667E">
        <w:trPr>
          <w:trHeight w:val="529"/>
        </w:trPr>
        <w:tc>
          <w:tcPr>
            <w:tcW w:w="9072" w:type="dxa"/>
            <w:shd w:val="clear" w:color="auto" w:fill="99CDDD"/>
          </w:tcPr>
          <w:p w14:paraId="65943655" w14:textId="77777777" w:rsidR="002E3CD5" w:rsidRPr="0049467D" w:rsidRDefault="002E3CD5" w:rsidP="00AC667E">
            <w:pPr>
              <w:spacing w:before="54" w:after="54" w:line="240" w:lineRule="auto"/>
              <w:rPr>
                <w:rFonts w:cs="Arial"/>
                <w:b/>
                <w:szCs w:val="22"/>
                <w:lang w:eastAsia="en-AU"/>
              </w:rPr>
            </w:pPr>
            <w:r>
              <w:rPr>
                <w:rFonts w:cs="Arial"/>
                <w:b/>
                <w:szCs w:val="22"/>
                <w:lang w:eastAsia="en-AU"/>
              </w:rPr>
              <w:br w:type="page"/>
              <w:t xml:space="preserve">5.1   </w:t>
            </w:r>
            <w:r w:rsidRPr="0049467D">
              <w:rPr>
                <w:rFonts w:cs="Arial"/>
                <w:b/>
                <w:szCs w:val="22"/>
                <w:lang w:eastAsia="en-AU"/>
              </w:rPr>
              <w:t xml:space="preserve">What option, or combination of options is likely </w:t>
            </w:r>
            <w:r>
              <w:rPr>
                <w:rFonts w:cs="Arial"/>
                <w:b/>
                <w:szCs w:val="22"/>
                <w:lang w:eastAsia="en-AU"/>
              </w:rPr>
              <w:t xml:space="preserve">to </w:t>
            </w:r>
            <w:r w:rsidRPr="0049467D">
              <w:rPr>
                <w:rFonts w:cs="Arial"/>
                <w:b/>
                <w:szCs w:val="22"/>
                <w:lang w:eastAsia="en-AU"/>
              </w:rPr>
              <w:t>best address the problem, meet the policy objectives and deliver the highest net benefits?</w:t>
            </w:r>
          </w:p>
        </w:tc>
      </w:tr>
      <w:tr w:rsidR="002E3CD5" w:rsidRPr="0049467D" w14:paraId="47DCB1A3" w14:textId="77777777" w:rsidTr="007A7CA4">
        <w:trPr>
          <w:trHeight w:val="1592"/>
        </w:trPr>
        <w:tc>
          <w:tcPr>
            <w:tcW w:w="9072" w:type="dxa"/>
            <w:shd w:val="clear" w:color="auto" w:fill="FFFFFF"/>
          </w:tcPr>
          <w:p w14:paraId="4AAEFDB4" w14:textId="77777777" w:rsidR="002E3CD5" w:rsidRDefault="002E3CD5" w:rsidP="00C167FA">
            <w:pPr>
              <w:spacing w:before="218" w:after="218" w:line="240" w:lineRule="auto"/>
            </w:pPr>
            <w:r>
              <w:t xml:space="preserve">In light of the </w:t>
            </w:r>
            <w:r w:rsidRPr="000F45B4">
              <w:rPr>
                <w:rFonts w:cs="Arial"/>
                <w:szCs w:val="22"/>
                <w:lang w:eastAsia="en-AU"/>
              </w:rPr>
              <w:t>Government’s</w:t>
            </w:r>
            <w:r>
              <w:t xml:space="preserve"> objectives and the above constraints, on balance the </w:t>
            </w:r>
            <w:r w:rsidRPr="00A966CB">
              <w:t xml:space="preserve">Treasury’s preferred option is </w:t>
            </w:r>
            <w:r w:rsidRPr="00AE71AC">
              <w:rPr>
                <w:b/>
              </w:rPr>
              <w:t>an extension of the bright-line period from 5 years to 20 years with no exemption for new builds</w:t>
            </w:r>
            <w:r>
              <w:t xml:space="preserve">. </w:t>
            </w:r>
          </w:p>
          <w:p w14:paraId="3647CD3D" w14:textId="77777777" w:rsidR="002E3CD5" w:rsidRPr="00905515" w:rsidRDefault="002E3CD5" w:rsidP="00AC667E">
            <w:pPr>
              <w:spacing w:after="218" w:line="240" w:lineRule="auto"/>
            </w:pPr>
            <w:r>
              <w:t xml:space="preserve">While tax settings are not the primary driver of problems in the housing market, extending the bright-line test should put downward pressure on house prices in the short to medium term, and provide </w:t>
            </w:r>
            <w:r w:rsidRPr="00A86D84">
              <w:rPr>
                <w:rFonts w:eastAsia="Calibri" w:cs="Arial"/>
                <w:szCs w:val="22"/>
                <w:lang w:eastAsia="en-NZ"/>
              </w:rPr>
              <w:t xml:space="preserve">equity and efficiency benefits in taxing more economic income. However, </w:t>
            </w:r>
            <w:r>
              <w:t xml:space="preserve">extending the bright-line test may put upward pressure on rents. </w:t>
            </w:r>
          </w:p>
          <w:p w14:paraId="7B9977BF" w14:textId="77777777" w:rsidR="002E3CD5" w:rsidRDefault="002E3CD5" w:rsidP="00AC667E">
            <w:pPr>
              <w:spacing w:after="218" w:line="240" w:lineRule="auto"/>
            </w:pPr>
            <w:r>
              <w:t xml:space="preserve">While the extension may result in lock-in effects, </w:t>
            </w:r>
            <w:r w:rsidRPr="00B3560B">
              <w:rPr>
                <w:rFonts w:eastAsia="Calibri" w:cs="Arial"/>
                <w:szCs w:val="22"/>
                <w:lang w:eastAsia="en-NZ"/>
              </w:rPr>
              <w:t>the additional costs of these are unclear.  The Treasury’s view is th</w:t>
            </w:r>
            <w:r w:rsidRPr="000F45B4">
              <w:rPr>
                <w:rFonts w:eastAsia="Calibri" w:cs="Arial"/>
                <w:szCs w:val="22"/>
                <w:lang w:eastAsia="en-NZ"/>
              </w:rPr>
              <w:t>at lock-in will not significantly reduce housing utilisation.</w:t>
            </w:r>
          </w:p>
          <w:p w14:paraId="4993CB61" w14:textId="1A6C6D92" w:rsidR="002E3CD5" w:rsidRDefault="002E3CD5" w:rsidP="00AC667E">
            <w:pPr>
              <w:spacing w:after="218" w:line="240" w:lineRule="auto"/>
              <w:rPr>
                <w:rFonts w:cs="Arial"/>
                <w:szCs w:val="22"/>
                <w:lang w:eastAsia="en-AU"/>
              </w:rPr>
            </w:pPr>
            <w:r>
              <w:t xml:space="preserve">Therefore, the Treasury considers the measure improves the tax system on balance and contributes to the Government’s stated demand-side housing objectives: </w:t>
            </w:r>
            <w:r w:rsidR="00A806E7">
              <w:rPr>
                <w:rFonts w:cs="Arial"/>
                <w:szCs w:val="22"/>
                <w:lang w:eastAsia="en-AU"/>
              </w:rPr>
              <w:t xml:space="preserve">to </w:t>
            </w:r>
            <w:r w:rsidR="00A806E7" w:rsidRPr="00550308">
              <w:rPr>
                <w:rFonts w:cs="Arial"/>
                <w:szCs w:val="22"/>
                <w:lang w:eastAsia="en-AU"/>
              </w:rPr>
              <w:t xml:space="preserve">support </w:t>
            </w:r>
            <w:r w:rsidR="00A806E7" w:rsidRPr="0020203E">
              <w:rPr>
                <w:rFonts w:cs="Arial"/>
                <w:szCs w:val="22"/>
                <w:lang w:eastAsia="en-AU"/>
              </w:rPr>
              <w:t>more sustainable house prices, including by dampening investor demand for existing housing stock, which would improve affordability for first-home buyers</w:t>
            </w:r>
            <w:r>
              <w:rPr>
                <w:rFonts w:cs="Arial"/>
                <w:szCs w:val="22"/>
                <w:lang w:eastAsia="en-AU"/>
              </w:rPr>
              <w:t>.</w:t>
            </w:r>
          </w:p>
          <w:p w14:paraId="45EE1EC8" w14:textId="77777777" w:rsidR="00D43AA0" w:rsidRPr="00952868" w:rsidRDefault="00D43AA0" w:rsidP="00D43AA0">
            <w:pPr>
              <w:spacing w:after="218" w:line="240" w:lineRule="auto"/>
              <w:rPr>
                <w:rFonts w:cs="Arial"/>
                <w:szCs w:val="22"/>
                <w:lang w:eastAsia="en-AU"/>
              </w:rPr>
            </w:pPr>
            <w:r>
              <w:rPr>
                <w:rFonts w:cs="Arial"/>
                <w:szCs w:val="22"/>
                <w:lang w:eastAsia="en-AU"/>
              </w:rPr>
              <w:t>The Treasury’s preferred option is a 20-year bright</w:t>
            </w:r>
            <w:r w:rsidR="000D7F8D">
              <w:rPr>
                <w:rFonts w:cs="Arial"/>
                <w:szCs w:val="22"/>
                <w:lang w:eastAsia="en-AU"/>
              </w:rPr>
              <w:t>-</w:t>
            </w:r>
            <w:r>
              <w:rPr>
                <w:rFonts w:cs="Arial"/>
                <w:szCs w:val="22"/>
                <w:lang w:eastAsia="en-AU"/>
              </w:rPr>
              <w:t>line test, however it also considers a 15-year bright</w:t>
            </w:r>
            <w:r w:rsidR="000D7F8D">
              <w:rPr>
                <w:rFonts w:cs="Arial"/>
                <w:szCs w:val="22"/>
                <w:lang w:eastAsia="en-AU"/>
              </w:rPr>
              <w:t>-</w:t>
            </w:r>
            <w:r>
              <w:rPr>
                <w:rFonts w:cs="Arial"/>
                <w:szCs w:val="22"/>
                <w:lang w:eastAsia="en-AU"/>
              </w:rPr>
              <w:t xml:space="preserve">line test is superior to the status quo as it would </w:t>
            </w:r>
            <w:r>
              <w:rPr>
                <w:rFonts w:cs="Arial"/>
                <w:szCs w:val="22"/>
              </w:rPr>
              <w:t>help meet some of the Government’s housing market objectives - but not to the same extent as a 20-year bright</w:t>
            </w:r>
            <w:r w:rsidR="000D7F8D">
              <w:rPr>
                <w:rFonts w:cs="Arial"/>
                <w:szCs w:val="22"/>
              </w:rPr>
              <w:t>-</w:t>
            </w:r>
            <w:r>
              <w:rPr>
                <w:rFonts w:cs="Arial"/>
                <w:szCs w:val="22"/>
              </w:rPr>
              <w:t>line test.</w:t>
            </w:r>
            <w:r>
              <w:rPr>
                <w:rFonts w:cs="Arial"/>
                <w:szCs w:val="22"/>
                <w:lang w:eastAsia="en-AU"/>
              </w:rPr>
              <w:t xml:space="preserve"> In the time available, the Treasury has not formed a view on whether a 10-year bright</w:t>
            </w:r>
            <w:r w:rsidR="000D7F8D">
              <w:rPr>
                <w:rFonts w:cs="Arial"/>
                <w:szCs w:val="22"/>
                <w:lang w:eastAsia="en-AU"/>
              </w:rPr>
              <w:t>-</w:t>
            </w:r>
            <w:r>
              <w:rPr>
                <w:rFonts w:cs="Arial"/>
                <w:szCs w:val="22"/>
                <w:lang w:eastAsia="en-AU"/>
              </w:rPr>
              <w:t>line test is preferable to the status quo.</w:t>
            </w:r>
          </w:p>
          <w:p w14:paraId="5B1FB0A0" w14:textId="6998E34B" w:rsidR="00D43AA0" w:rsidRDefault="00D43AA0" w:rsidP="00AC667E">
            <w:pPr>
              <w:spacing w:after="218" w:line="240" w:lineRule="auto"/>
            </w:pPr>
            <w:r>
              <w:t>The Treasury does not recommend providing an exemption from the extended or existing bright-</w:t>
            </w:r>
            <w:r w:rsidRPr="000F45B4">
              <w:rPr>
                <w:rFonts w:cs="Arial"/>
                <w:szCs w:val="22"/>
                <w:lang w:eastAsia="en-AU"/>
              </w:rPr>
              <w:t>line</w:t>
            </w:r>
            <w:r>
              <w:t xml:space="preserve"> test for early investors in newly constructed homes. An exemption comes with additional administrative and compliance costs, and over time reduces the coherence of the tax system. While increasing housing supply is important, the Treasury considers there are likely to be better ways to directly support supply, for example through an explicit subsidy for developers. </w:t>
            </w:r>
            <w:r w:rsidR="000D7F8D">
              <w:t>If the Government wishes to implement an exemption, the Treasury prefers exempt property to be subject to the 5 year</w:t>
            </w:r>
            <w:r w:rsidR="009953C9">
              <w:t xml:space="preserve"> </w:t>
            </w:r>
            <w:r w:rsidR="00C167FA">
              <w:t>bright</w:t>
            </w:r>
            <w:r w:rsidR="009953C9">
              <w:t>-line</w:t>
            </w:r>
            <w:r w:rsidR="000D7F8D">
              <w:t xml:space="preserve"> test.</w:t>
            </w:r>
          </w:p>
          <w:p w14:paraId="33D1BD12" w14:textId="77777777" w:rsidR="002E3CD5" w:rsidRPr="0049467D" w:rsidRDefault="002E3CD5" w:rsidP="00AC667E">
            <w:pPr>
              <w:spacing w:after="218" w:line="240" w:lineRule="auto"/>
              <w:rPr>
                <w:lang w:eastAsia="en-AU"/>
              </w:rPr>
            </w:pPr>
            <w:r w:rsidRPr="00F45BC4">
              <w:rPr>
                <w:lang w:eastAsia="en-AU"/>
              </w:rPr>
              <w:t>There are significant data and analytical limitations, and so there is a low rating for the evidential certainty</w:t>
            </w:r>
            <w:r>
              <w:rPr>
                <w:lang w:eastAsia="en-AU"/>
              </w:rPr>
              <w:t xml:space="preserve"> of the relevant impacts</w:t>
            </w:r>
            <w:r w:rsidRPr="00F45BC4">
              <w:rPr>
                <w:lang w:eastAsia="en-AU"/>
              </w:rPr>
              <w:t xml:space="preserve">. </w:t>
            </w:r>
            <w:r>
              <w:rPr>
                <w:lang w:eastAsia="en-AU"/>
              </w:rPr>
              <w:t xml:space="preserve"> </w:t>
            </w:r>
            <w:r w:rsidRPr="00F45BC4">
              <w:rPr>
                <w:lang w:eastAsia="en-AU"/>
              </w:rPr>
              <w:t>In addition, the analysis has been prepared under significant time constraints</w:t>
            </w:r>
            <w:r w:rsidR="00792C08">
              <w:rPr>
                <w:lang w:eastAsia="en-AU"/>
              </w:rPr>
              <w:t>,</w:t>
            </w:r>
            <w:r w:rsidRPr="00F45BC4">
              <w:rPr>
                <w:lang w:eastAsia="en-AU"/>
              </w:rPr>
              <w:t xml:space="preserve"> further limiting the evidential certainty.</w:t>
            </w:r>
          </w:p>
          <w:p w14:paraId="104F28CB" w14:textId="77777777" w:rsidR="002E3CD5" w:rsidRPr="0049467D" w:rsidRDefault="002E3CD5" w:rsidP="00AC667E">
            <w:pPr>
              <w:spacing w:after="218" w:line="240" w:lineRule="auto"/>
              <w:rPr>
                <w:rFonts w:cs="Arial"/>
                <w:szCs w:val="22"/>
                <w:lang w:eastAsia="en-AU"/>
              </w:rPr>
            </w:pPr>
            <w:r>
              <w:rPr>
                <w:lang w:eastAsia="en-AU"/>
              </w:rPr>
              <w:t>Due to time constraints, there has been no opportunity for consultation on the proposal to extend the bright-line period or the proposed exemption for new builds.</w:t>
            </w:r>
          </w:p>
        </w:tc>
      </w:tr>
    </w:tbl>
    <w:p w14:paraId="6A4B6C6D" w14:textId="77777777" w:rsidR="002E3CD5" w:rsidRDefault="002E3CD5" w:rsidP="002E3CD5">
      <w:pPr>
        <w:spacing w:after="0" w:line="240" w:lineRule="auto"/>
        <w:rPr>
          <w:sz w:val="16"/>
          <w:szCs w:val="22"/>
          <w:lang w:eastAsia="en-AU"/>
        </w:rPr>
      </w:pPr>
      <w:r>
        <w:br w:type="page"/>
      </w:r>
    </w:p>
    <w:tbl>
      <w:tblPr>
        <w:tblW w:w="500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9060"/>
      </w:tblGrid>
      <w:tr w:rsidR="002E3CD5" w:rsidRPr="0049467D" w14:paraId="60B4F4C5" w14:textId="77777777" w:rsidTr="00AC667E">
        <w:trPr>
          <w:trHeight w:val="141"/>
        </w:trPr>
        <w:tc>
          <w:tcPr>
            <w:tcW w:w="5000" w:type="pct"/>
            <w:shd w:val="clear" w:color="auto" w:fill="99CDDD"/>
            <w:hideMark/>
          </w:tcPr>
          <w:p w14:paraId="07B5B387" w14:textId="77777777" w:rsidR="002E3CD5" w:rsidRPr="0049467D" w:rsidRDefault="002E3CD5" w:rsidP="00AC667E">
            <w:pPr>
              <w:keepNext/>
              <w:keepLines/>
              <w:spacing w:before="54" w:after="54" w:line="240" w:lineRule="auto"/>
              <w:rPr>
                <w:rFonts w:cs="Arial"/>
                <w:b/>
                <w:szCs w:val="22"/>
                <w:lang w:eastAsia="en-AU"/>
              </w:rPr>
            </w:pPr>
            <w:r>
              <w:lastRenderedPageBreak/>
              <w:br w:type="page"/>
            </w:r>
            <w:r>
              <w:rPr>
                <w:rFonts w:cs="Arial"/>
                <w:b/>
                <w:szCs w:val="22"/>
                <w:lang w:eastAsia="en-AU"/>
              </w:rPr>
              <w:t xml:space="preserve">5.2   </w:t>
            </w:r>
            <w:r w:rsidRPr="0049467D">
              <w:rPr>
                <w:rFonts w:cs="Arial"/>
                <w:b/>
                <w:szCs w:val="22"/>
                <w:lang w:eastAsia="en-AU"/>
              </w:rPr>
              <w:t>Summary table of costs and benefits of the preferred approach</w:t>
            </w:r>
          </w:p>
        </w:tc>
      </w:tr>
    </w:tbl>
    <w:p w14:paraId="191F0249" w14:textId="77777777" w:rsidR="002E3CD5" w:rsidRPr="00657EC5" w:rsidRDefault="002E3CD5" w:rsidP="00C167FA">
      <w:pPr>
        <w:tabs>
          <w:tab w:val="left" w:pos="1708"/>
        </w:tabs>
        <w:spacing w:before="240" w:after="0"/>
        <w:rPr>
          <w:lang w:eastAsia="en-AU"/>
        </w:rPr>
      </w:pPr>
    </w:p>
    <w:tbl>
      <w:tblPr>
        <w:tblpPr w:leftFromText="180" w:rightFromText="180" w:vertAnchor="text" w:tblpX="114" w:tblpY="1"/>
        <w:tblOverlap w:val="never"/>
        <w:tblW w:w="908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874"/>
        <w:gridCol w:w="3508"/>
        <w:gridCol w:w="2410"/>
        <w:gridCol w:w="1289"/>
      </w:tblGrid>
      <w:tr w:rsidR="002E3CD5" w:rsidRPr="0049467D" w14:paraId="416F9B16" w14:textId="77777777" w:rsidTr="00C167FA">
        <w:trPr>
          <w:trHeight w:val="732"/>
        </w:trPr>
        <w:tc>
          <w:tcPr>
            <w:tcW w:w="1874" w:type="dxa"/>
            <w:tcBorders>
              <w:top w:val="single" w:sz="4" w:space="0" w:color="DDDDDD"/>
              <w:left w:val="single" w:sz="4" w:space="0" w:color="DDDDDD"/>
              <w:bottom w:val="single" w:sz="4" w:space="0" w:color="DDDDDD"/>
              <w:right w:val="single" w:sz="4" w:space="0" w:color="DDDDDD"/>
            </w:tcBorders>
            <w:shd w:val="clear" w:color="auto" w:fill="99CDDD"/>
          </w:tcPr>
          <w:p w14:paraId="55A76064" w14:textId="77777777" w:rsidR="002E3CD5" w:rsidRPr="0049467D" w:rsidRDefault="002E3CD5" w:rsidP="00AC667E">
            <w:pPr>
              <w:pStyle w:val="TableText"/>
              <w:autoSpaceDE/>
              <w:autoSpaceDN/>
              <w:adjustRightInd/>
              <w:spacing w:before="54" w:after="54" w:line="240" w:lineRule="auto"/>
              <w:rPr>
                <w:rFonts w:eastAsia="Calibri" w:cs="Arial"/>
                <w:sz w:val="22"/>
              </w:rPr>
            </w:pPr>
            <w:r w:rsidRPr="0049467D">
              <w:rPr>
                <w:rFonts w:eastAsia="Calibri" w:cs="Arial"/>
                <w:b/>
                <w:sz w:val="22"/>
              </w:rPr>
              <w:t>Affected parties</w:t>
            </w:r>
            <w:r w:rsidRPr="0049467D">
              <w:rPr>
                <w:rFonts w:eastAsia="Calibri" w:cs="Arial"/>
                <w:sz w:val="22"/>
              </w:rPr>
              <w:t xml:space="preserve"> </w:t>
            </w:r>
            <w:r w:rsidRPr="0049467D">
              <w:rPr>
                <w:rFonts w:eastAsia="Calibri" w:cs="Arial"/>
                <w:i/>
                <w:sz w:val="22"/>
              </w:rPr>
              <w:t>(identify)</w:t>
            </w:r>
          </w:p>
        </w:tc>
        <w:tc>
          <w:tcPr>
            <w:tcW w:w="3508" w:type="dxa"/>
            <w:tcBorders>
              <w:top w:val="single" w:sz="4" w:space="0" w:color="DDDDDD"/>
              <w:left w:val="single" w:sz="4" w:space="0" w:color="DDDDDD"/>
              <w:bottom w:val="single" w:sz="4" w:space="0" w:color="DDDDDD"/>
              <w:right w:val="single" w:sz="4" w:space="0" w:color="DDDDDD"/>
            </w:tcBorders>
            <w:shd w:val="clear" w:color="auto" w:fill="99CDDD"/>
          </w:tcPr>
          <w:p w14:paraId="1129CD2C" w14:textId="77777777" w:rsidR="002E3CD5" w:rsidRPr="0049467D" w:rsidRDefault="002E3CD5" w:rsidP="00AC667E">
            <w:pPr>
              <w:pStyle w:val="TableText"/>
              <w:autoSpaceDE/>
              <w:autoSpaceDN/>
              <w:adjustRightInd/>
              <w:spacing w:before="54" w:after="54" w:line="240" w:lineRule="auto"/>
              <w:rPr>
                <w:rFonts w:eastAsia="Calibri" w:cs="Arial"/>
                <w:sz w:val="22"/>
              </w:rPr>
            </w:pPr>
            <w:r w:rsidRPr="0049467D">
              <w:rPr>
                <w:rFonts w:eastAsia="Calibri" w:cs="Arial"/>
                <w:b/>
                <w:sz w:val="22"/>
              </w:rPr>
              <w:t>Comment</w:t>
            </w:r>
            <w:r w:rsidRPr="0049467D">
              <w:rPr>
                <w:rFonts w:eastAsia="Calibri" w:cs="Arial"/>
                <w:i/>
                <w:sz w:val="22"/>
              </w:rPr>
              <w:t>: nature of cost or benefit (</w:t>
            </w:r>
            <w:proofErr w:type="spellStart"/>
            <w:r w:rsidRPr="0049467D">
              <w:rPr>
                <w:rFonts w:eastAsia="Calibri" w:cs="Arial"/>
                <w:i/>
                <w:sz w:val="22"/>
              </w:rPr>
              <w:t>eg</w:t>
            </w:r>
            <w:proofErr w:type="spellEnd"/>
            <w:r>
              <w:rPr>
                <w:rFonts w:eastAsia="Calibri" w:cs="Arial"/>
                <w:i/>
                <w:sz w:val="22"/>
              </w:rPr>
              <w:t>,</w:t>
            </w:r>
            <w:r w:rsidRPr="0049467D">
              <w:rPr>
                <w:rFonts w:eastAsia="Calibri" w:cs="Arial"/>
                <w:i/>
                <w:sz w:val="22"/>
              </w:rPr>
              <w:t xml:space="preserve"> ongoing, one-off), evidence and assumption (</w:t>
            </w:r>
            <w:proofErr w:type="spellStart"/>
            <w:r w:rsidRPr="0049467D">
              <w:rPr>
                <w:rFonts w:eastAsia="Calibri" w:cs="Arial"/>
                <w:i/>
                <w:sz w:val="22"/>
              </w:rPr>
              <w:t>eg</w:t>
            </w:r>
            <w:proofErr w:type="spellEnd"/>
            <w:r>
              <w:rPr>
                <w:rFonts w:eastAsia="Calibri" w:cs="Arial"/>
                <w:i/>
                <w:sz w:val="22"/>
              </w:rPr>
              <w:t>,</w:t>
            </w:r>
            <w:r w:rsidRPr="0049467D">
              <w:rPr>
                <w:rFonts w:eastAsia="Calibri" w:cs="Arial"/>
                <w:i/>
                <w:sz w:val="22"/>
              </w:rPr>
              <w:t xml:space="preserve"> compliance rates), risks</w:t>
            </w:r>
          </w:p>
        </w:tc>
        <w:tc>
          <w:tcPr>
            <w:tcW w:w="2410" w:type="dxa"/>
            <w:tcBorders>
              <w:top w:val="single" w:sz="4" w:space="0" w:color="DDDDDD"/>
              <w:left w:val="single" w:sz="4" w:space="0" w:color="DDDDDD"/>
              <w:bottom w:val="single" w:sz="4" w:space="0" w:color="DDDDDD"/>
              <w:right w:val="single" w:sz="4" w:space="0" w:color="DDDDDD"/>
            </w:tcBorders>
            <w:shd w:val="clear" w:color="auto" w:fill="99CDDD"/>
          </w:tcPr>
          <w:p w14:paraId="0BB0D998" w14:textId="77777777" w:rsidR="002E3CD5" w:rsidRPr="0049467D" w:rsidRDefault="002E3CD5" w:rsidP="00AC667E">
            <w:pPr>
              <w:pStyle w:val="TableText"/>
              <w:autoSpaceDE/>
              <w:autoSpaceDN/>
              <w:adjustRightInd/>
              <w:spacing w:before="54" w:after="54" w:line="240" w:lineRule="auto"/>
              <w:rPr>
                <w:rFonts w:eastAsia="Calibri" w:cs="Arial"/>
                <w:b/>
                <w:sz w:val="22"/>
              </w:rPr>
            </w:pPr>
            <w:r w:rsidRPr="0049467D">
              <w:rPr>
                <w:rFonts w:eastAsia="Calibri" w:cs="Arial"/>
                <w:b/>
                <w:sz w:val="22"/>
              </w:rPr>
              <w:t>Impact</w:t>
            </w:r>
          </w:p>
          <w:p w14:paraId="1A985012" w14:textId="77777777" w:rsidR="002E3CD5" w:rsidRPr="0049467D" w:rsidRDefault="002E3CD5" w:rsidP="00AC667E">
            <w:pPr>
              <w:pStyle w:val="TableText"/>
              <w:autoSpaceDE/>
              <w:autoSpaceDN/>
              <w:adjustRightInd/>
              <w:spacing w:before="54" w:after="54" w:line="240" w:lineRule="auto"/>
              <w:rPr>
                <w:rFonts w:eastAsia="Calibri" w:cs="Arial"/>
                <w:i/>
                <w:sz w:val="22"/>
              </w:rPr>
            </w:pPr>
            <w:r w:rsidRPr="0049467D">
              <w:rPr>
                <w:rFonts w:eastAsia="Calibri" w:cs="Arial"/>
                <w:i/>
                <w:sz w:val="22"/>
              </w:rPr>
              <w:t>$m present value</w:t>
            </w:r>
            <w:r>
              <w:rPr>
                <w:rFonts w:eastAsia="Calibri" w:cs="Arial"/>
                <w:i/>
                <w:sz w:val="22"/>
              </w:rPr>
              <w:t xml:space="preserve"> where appropriate</w:t>
            </w:r>
            <w:r w:rsidRPr="0049467D">
              <w:rPr>
                <w:rFonts w:eastAsia="Calibri" w:cs="Arial"/>
                <w:i/>
                <w:sz w:val="22"/>
              </w:rPr>
              <w:t xml:space="preserve">,  for monetised impacts; high, medium or low for non-monetised impacts  </w:t>
            </w:r>
          </w:p>
        </w:tc>
        <w:tc>
          <w:tcPr>
            <w:tcW w:w="1289" w:type="dxa"/>
            <w:tcBorders>
              <w:top w:val="single" w:sz="4" w:space="0" w:color="DDDDDD"/>
              <w:left w:val="single" w:sz="4" w:space="0" w:color="DDDDDD"/>
              <w:bottom w:val="single" w:sz="4" w:space="0" w:color="DDDDDD"/>
              <w:right w:val="single" w:sz="4" w:space="0" w:color="DDDDDD"/>
            </w:tcBorders>
            <w:shd w:val="clear" w:color="auto" w:fill="99CDDD"/>
          </w:tcPr>
          <w:p w14:paraId="604490B0" w14:textId="77777777" w:rsidR="002E3CD5" w:rsidRPr="0049467D" w:rsidRDefault="002E3CD5" w:rsidP="00AC667E">
            <w:pPr>
              <w:pStyle w:val="TableText"/>
              <w:autoSpaceDE/>
              <w:autoSpaceDN/>
              <w:adjustRightInd/>
              <w:spacing w:before="54" w:after="54"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r w:rsidRPr="0049467D">
              <w:rPr>
                <w:rFonts w:eastAsia="Calibri" w:cs="Arial"/>
                <w:sz w:val="22"/>
              </w:rPr>
              <w:t xml:space="preserve"> </w:t>
            </w:r>
            <w:r w:rsidRPr="0049467D">
              <w:rPr>
                <w:rFonts w:eastAsia="Calibri" w:cs="Arial"/>
                <w:i/>
                <w:sz w:val="22"/>
              </w:rPr>
              <w:t>(High, medium or low)</w:t>
            </w:r>
            <w:r w:rsidRPr="0049467D">
              <w:rPr>
                <w:rFonts w:eastAsia="Calibri" w:cs="Arial"/>
                <w:sz w:val="22"/>
              </w:rPr>
              <w:t xml:space="preserve"> </w:t>
            </w:r>
          </w:p>
        </w:tc>
      </w:tr>
      <w:tr w:rsidR="002E3CD5" w:rsidRPr="0049467D" w14:paraId="3F2231DD" w14:textId="77777777" w:rsidTr="00AC667E">
        <w:trPr>
          <w:trHeight w:val="253"/>
        </w:trPr>
        <w:tc>
          <w:tcPr>
            <w:tcW w:w="9081" w:type="dxa"/>
            <w:gridSpan w:val="4"/>
            <w:tcBorders>
              <w:top w:val="single" w:sz="4" w:space="0" w:color="DDDDDD"/>
              <w:left w:val="nil"/>
              <w:bottom w:val="single" w:sz="4" w:space="0" w:color="DDDDDD"/>
              <w:right w:val="nil"/>
            </w:tcBorders>
          </w:tcPr>
          <w:p w14:paraId="719D6B16" w14:textId="77777777" w:rsidR="002E3CD5" w:rsidRPr="0049467D" w:rsidRDefault="002E3CD5" w:rsidP="00AC667E">
            <w:pPr>
              <w:pStyle w:val="spacer"/>
              <w:keepNext/>
              <w:rPr>
                <w:rFonts w:eastAsia="Calibri"/>
              </w:rPr>
            </w:pPr>
          </w:p>
        </w:tc>
      </w:tr>
      <w:tr w:rsidR="002E3CD5" w:rsidRPr="0049467D" w14:paraId="2C553167" w14:textId="77777777" w:rsidTr="00AC667E">
        <w:trPr>
          <w:trHeight w:val="253"/>
        </w:trPr>
        <w:tc>
          <w:tcPr>
            <w:tcW w:w="9081" w:type="dxa"/>
            <w:gridSpan w:val="4"/>
            <w:tcBorders>
              <w:top w:val="single" w:sz="4" w:space="0" w:color="DDDDDD"/>
              <w:left w:val="single" w:sz="4" w:space="0" w:color="DDDDDD"/>
              <w:bottom w:val="single" w:sz="4" w:space="0" w:color="DDDDDD"/>
              <w:right w:val="single" w:sz="4" w:space="0" w:color="DDDDDD"/>
            </w:tcBorders>
            <w:shd w:val="clear" w:color="auto" w:fill="99CDDD"/>
          </w:tcPr>
          <w:p w14:paraId="1DDFC354" w14:textId="77777777" w:rsidR="002E3CD5" w:rsidRPr="0049467D" w:rsidRDefault="002E3CD5" w:rsidP="00AC667E">
            <w:pPr>
              <w:keepNext/>
              <w:spacing w:before="36" w:after="18" w:line="240" w:lineRule="auto"/>
              <w:rPr>
                <w:rFonts w:eastAsia="Calibri" w:cs="Arial"/>
                <w:b/>
                <w:szCs w:val="22"/>
              </w:rPr>
            </w:pPr>
            <w:r w:rsidRPr="0049467D">
              <w:rPr>
                <w:rFonts w:eastAsia="Calibri" w:cs="Arial"/>
                <w:b/>
                <w:szCs w:val="22"/>
              </w:rPr>
              <w:t>Additional costs of proposed approach compared to taking no action</w:t>
            </w:r>
          </w:p>
        </w:tc>
      </w:tr>
      <w:tr w:rsidR="002E3CD5" w:rsidRPr="000F45B4" w14:paraId="1C8B60BA" w14:textId="77777777" w:rsidTr="00C167FA">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5B55059F" w14:textId="77777777" w:rsidR="002E3CD5" w:rsidRPr="000F45B4" w:rsidRDefault="002E3CD5" w:rsidP="00C167FA">
            <w:pPr>
              <w:spacing w:before="218" w:after="218" w:line="240" w:lineRule="auto"/>
              <w:rPr>
                <w:rFonts w:eastAsia="Calibri" w:cs="Arial"/>
              </w:rPr>
            </w:pPr>
            <w:r w:rsidRPr="000F45B4">
              <w:rPr>
                <w:rFonts w:eastAsia="Calibri" w:cs="Arial"/>
              </w:rPr>
              <w:t xml:space="preserve">Regulated </w:t>
            </w:r>
            <w:r w:rsidRPr="00C167FA">
              <w:t>parties</w:t>
            </w:r>
            <w:r w:rsidRPr="000F45B4">
              <w:rPr>
                <w:rFonts w:eastAsia="Calibri" w:cs="Arial"/>
              </w:rPr>
              <w:t>:   Residential property investors</w:t>
            </w:r>
          </w:p>
        </w:tc>
        <w:tc>
          <w:tcPr>
            <w:tcW w:w="3508" w:type="dxa"/>
            <w:tcBorders>
              <w:top w:val="single" w:sz="4" w:space="0" w:color="DDDDDD"/>
              <w:left w:val="single" w:sz="4" w:space="0" w:color="DDDDDD"/>
              <w:bottom w:val="single" w:sz="4" w:space="0" w:color="DDDDDD"/>
              <w:right w:val="single" w:sz="4" w:space="0" w:color="DDDDDD"/>
            </w:tcBorders>
            <w:shd w:val="clear" w:color="auto" w:fill="auto"/>
          </w:tcPr>
          <w:p w14:paraId="67C5905B" w14:textId="77777777" w:rsidR="002E3CD5" w:rsidRPr="000F45B4" w:rsidRDefault="002E3CD5" w:rsidP="00C167FA">
            <w:pPr>
              <w:spacing w:before="218" w:after="218" w:line="240" w:lineRule="auto"/>
              <w:rPr>
                <w:rFonts w:eastAsia="Calibri" w:cs="Arial"/>
              </w:rPr>
            </w:pPr>
            <w:r w:rsidRPr="000F45B4">
              <w:rPr>
                <w:rFonts w:cs="Arial"/>
              </w:rPr>
              <w:t xml:space="preserve">Extending the bright-line test would increase the expected tax paid by </w:t>
            </w:r>
            <w:r w:rsidRPr="00C167FA">
              <w:t>property</w:t>
            </w:r>
            <w:r w:rsidRPr="000F45B4">
              <w:rPr>
                <w:rFonts w:cs="Arial"/>
              </w:rPr>
              <w:t xml:space="preserve"> investors.</w:t>
            </w:r>
            <w:r w:rsidRPr="000F45B4">
              <w:rPr>
                <w:rFonts w:eastAsia="Calibri" w:cs="Arial"/>
              </w:rPr>
              <w:t xml:space="preserve">  This </w:t>
            </w:r>
            <w:r w:rsidR="00A806E7">
              <w:rPr>
                <w:rFonts w:eastAsia="Calibri" w:cs="Arial"/>
              </w:rPr>
              <w:t>c</w:t>
            </w:r>
            <w:r w:rsidRPr="000F45B4">
              <w:rPr>
                <w:rFonts w:eastAsia="Calibri" w:cs="Arial"/>
              </w:rPr>
              <w:t xml:space="preserve">ould put </w:t>
            </w:r>
            <w:r w:rsidRPr="000F45B4">
              <w:rPr>
                <w:rFonts w:cs="Arial"/>
              </w:rPr>
              <w:t>downward</w:t>
            </w:r>
            <w:r w:rsidRPr="000F45B4">
              <w:rPr>
                <w:rFonts w:eastAsia="Calibri" w:cs="Arial"/>
              </w:rPr>
              <w:t xml:space="preserve"> pressure on house prices. </w:t>
            </w:r>
          </w:p>
          <w:p w14:paraId="213FECF8"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 xml:space="preserve">For the marginal investor, the proposals </w:t>
            </w:r>
            <w:r w:rsidR="00A806E7">
              <w:rPr>
                <w:rFonts w:eastAsia="Calibri" w:cs="Arial"/>
                <w:sz w:val="22"/>
              </w:rPr>
              <w:t>c</w:t>
            </w:r>
            <w:r w:rsidRPr="000F45B4">
              <w:rPr>
                <w:rFonts w:eastAsia="Calibri" w:cs="Arial"/>
                <w:sz w:val="22"/>
              </w:rPr>
              <w:t xml:space="preserve">ould </w:t>
            </w:r>
            <w:r w:rsidRPr="000F45B4">
              <w:rPr>
                <w:rFonts w:cs="Arial"/>
                <w:sz w:val="22"/>
              </w:rPr>
              <w:t>be</w:t>
            </w:r>
            <w:r w:rsidRPr="000F45B4">
              <w:rPr>
                <w:rFonts w:eastAsia="Calibri" w:cs="Arial"/>
                <w:sz w:val="22"/>
              </w:rPr>
              <w:t xml:space="preserve"> the ‘tipping point,’ so they would forgo the purchase, as other alternative investments become relatively more attractive.  However, if the reduced return is still expected to be the highest yielding investment (adjusted for risk) then it is rational for them to purchase the property.</w:t>
            </w:r>
          </w:p>
          <w:p w14:paraId="2C72ADE0"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 xml:space="preserve">All investors face some risk of being taxed under the extended bright-line, </w:t>
            </w:r>
            <w:r w:rsidRPr="000F45B4">
              <w:rPr>
                <w:rFonts w:cs="Arial"/>
                <w:sz w:val="22"/>
              </w:rPr>
              <w:t>including</w:t>
            </w:r>
            <w:r w:rsidRPr="000F45B4">
              <w:rPr>
                <w:rFonts w:eastAsia="Calibri" w:cs="Arial"/>
                <w:sz w:val="22"/>
              </w:rPr>
              <w:t xml:space="preserve"> those who did not acquire the residential property with an intention of resale.  This </w:t>
            </w:r>
            <w:r w:rsidRPr="000F45B4">
              <w:rPr>
                <w:rFonts w:cs="Arial"/>
                <w:sz w:val="22"/>
              </w:rPr>
              <w:t>could</w:t>
            </w:r>
            <w:r w:rsidRPr="000F45B4">
              <w:rPr>
                <w:rFonts w:eastAsia="Calibri" w:cs="Arial"/>
                <w:sz w:val="22"/>
              </w:rPr>
              <w:t xml:space="preserve"> discourage investors concerned that they may face unexpected circumstances that would lead them to have to sell before 20 years has passed.</w:t>
            </w:r>
          </w:p>
          <w:p w14:paraId="468544AA"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 xml:space="preserve">The extended bright-line test also increases the incentive for investors to hold on to their properties for a period exceeding 20 years (the “lock-in effect”).  They may delay the sale of the property beyond </w:t>
            </w:r>
            <w:r w:rsidRPr="000F45B4">
              <w:rPr>
                <w:rFonts w:cs="Arial"/>
                <w:sz w:val="22"/>
              </w:rPr>
              <w:t>what</w:t>
            </w:r>
            <w:r w:rsidRPr="000F45B4">
              <w:rPr>
                <w:rFonts w:eastAsia="Calibri" w:cs="Arial"/>
                <w:sz w:val="22"/>
              </w:rPr>
              <w:t xml:space="preserve"> may have otherwise been optimal.  While these investors would not incur the costs of the tax, the timing </w:t>
            </w:r>
            <w:r w:rsidRPr="000F45B4">
              <w:rPr>
                <w:rFonts w:eastAsia="Calibri" w:cs="Arial"/>
                <w:sz w:val="22"/>
              </w:rPr>
              <w:lastRenderedPageBreak/>
              <w:t>distortion may reduce their overall gain.</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01A802E1" w14:textId="77777777" w:rsidR="002E3CD5" w:rsidRPr="000F45B4" w:rsidRDefault="002E3CD5" w:rsidP="00C167FA">
            <w:pPr>
              <w:spacing w:before="218" w:after="218" w:line="240" w:lineRule="auto"/>
              <w:rPr>
                <w:rFonts w:eastAsia="Calibri" w:cs="Arial"/>
              </w:rPr>
            </w:pPr>
            <w:r w:rsidRPr="000F45B4">
              <w:rPr>
                <w:rFonts w:eastAsia="Calibri" w:cs="Arial"/>
              </w:rPr>
              <w:lastRenderedPageBreak/>
              <w:t xml:space="preserve">The quantum of the impact </w:t>
            </w:r>
            <w:r w:rsidRPr="00C167FA">
              <w:t>on</w:t>
            </w:r>
            <w:r w:rsidRPr="000F45B4">
              <w:rPr>
                <w:rFonts w:eastAsia="Calibri" w:cs="Arial"/>
              </w:rPr>
              <w:t xml:space="preserve"> residential property investors is strongly dependant on the behavioural responses and on the availability of higher yielding alternative investment options.</w:t>
            </w:r>
          </w:p>
          <w:p w14:paraId="25833267"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As these factors are not known, the impact on investors is not able to be quantified.</w:t>
            </w:r>
          </w:p>
          <w:p w14:paraId="353169E5"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cs="Arial"/>
                <w:sz w:val="22"/>
              </w:rPr>
              <w:t xml:space="preserve">House prices continued to rise at the </w:t>
            </w:r>
            <w:r w:rsidRPr="000F45B4">
              <w:rPr>
                <w:rFonts w:eastAsia="Calibri" w:cs="Arial"/>
                <w:sz w:val="22"/>
              </w:rPr>
              <w:t>same</w:t>
            </w:r>
            <w:r w:rsidRPr="000F45B4">
              <w:rPr>
                <w:rFonts w:cs="Arial"/>
                <w:sz w:val="22"/>
              </w:rPr>
              <w:t xml:space="preserve"> time as the bright-line was introduced in 2015 and extended in 2018, however it is not possible to determine whether they would have increased more in the absence of those policy changes or the extent of the impact that the bright-line may have had. It is difficult to predict the impact of a much lengthier extension.</w:t>
            </w:r>
          </w:p>
          <w:p w14:paraId="43B83851"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 xml:space="preserve">One indicator of the possible impact on property investors is the estimated increase in tax revenue. </w:t>
            </w:r>
            <w:r w:rsidRPr="000F45B4">
              <w:rPr>
                <w:rFonts w:cs="Arial"/>
                <w:sz w:val="22"/>
              </w:rPr>
              <w:t xml:space="preserve">Inland Revenue’s static </w:t>
            </w:r>
            <w:r w:rsidRPr="000F45B4">
              <w:rPr>
                <w:rFonts w:cs="Arial"/>
                <w:sz w:val="22"/>
              </w:rPr>
              <w:lastRenderedPageBreak/>
              <w:t>model predicts that there will be no new revenue over the forecast period, as any sales in this period would be captured by the existing 5 year bright-line test. The static model suggests that an extended 20 year bright-line will start generating revenue in 2029.   On the assumption of no behavioural changes, the sums generated should increase over time and could reach around 0.2% of GDP in annual revenue 2035, depending on the behavioural responses of investors.</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0D554D83" w14:textId="77777777" w:rsidR="002E3CD5" w:rsidRPr="000F45B4" w:rsidRDefault="002E3CD5" w:rsidP="00C167FA">
            <w:pPr>
              <w:spacing w:before="218" w:after="218" w:line="240" w:lineRule="auto"/>
              <w:rPr>
                <w:rFonts w:eastAsia="Calibri" w:cs="Arial"/>
              </w:rPr>
            </w:pPr>
            <w:r w:rsidRPr="00C167FA">
              <w:lastRenderedPageBreak/>
              <w:t>Low</w:t>
            </w:r>
          </w:p>
        </w:tc>
      </w:tr>
      <w:tr w:rsidR="002E3CD5" w:rsidRPr="000F45B4" w14:paraId="63AFAA51" w14:textId="77777777" w:rsidTr="00C167FA">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2A0A73A6"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 xml:space="preserve">Regulated parties:  Owner-occupiers  </w:t>
            </w:r>
          </w:p>
        </w:tc>
        <w:tc>
          <w:tcPr>
            <w:tcW w:w="3508" w:type="dxa"/>
            <w:tcBorders>
              <w:top w:val="single" w:sz="4" w:space="0" w:color="DDDDDD"/>
              <w:left w:val="single" w:sz="4" w:space="0" w:color="DDDDDD"/>
              <w:bottom w:val="single" w:sz="4" w:space="0" w:color="DDDDDD"/>
              <w:right w:val="single" w:sz="4" w:space="0" w:color="DDDDDD"/>
            </w:tcBorders>
            <w:shd w:val="clear" w:color="auto" w:fill="auto"/>
          </w:tcPr>
          <w:p w14:paraId="6E0363FE"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To the extent that the extension of the bright-line test succeeds in reducing demand from residential property investors, this could result in house prices being lower than they would have been otherwise.  This could negatively impact current owner-occupiers, and reduce their financial capital.</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13200C6D"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Due to the lack of empirical data, this impact cannot be quantified, but it is expected to be marginal (for the reasons set out above).</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4F895C88"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Low</w:t>
            </w:r>
          </w:p>
        </w:tc>
      </w:tr>
      <w:tr w:rsidR="002E3CD5" w:rsidRPr="000F45B4" w14:paraId="52BF68E9" w14:textId="77777777" w:rsidTr="00C167FA">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6525C841"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Regulated parties: residential tenants</w:t>
            </w:r>
          </w:p>
        </w:tc>
        <w:tc>
          <w:tcPr>
            <w:tcW w:w="3508" w:type="dxa"/>
            <w:tcBorders>
              <w:top w:val="single" w:sz="4" w:space="0" w:color="DDDDDD"/>
              <w:left w:val="single" w:sz="4" w:space="0" w:color="DDDDDD"/>
              <w:bottom w:val="single" w:sz="4" w:space="0" w:color="DDDDDD"/>
              <w:right w:val="single" w:sz="4" w:space="0" w:color="DDDDDD"/>
            </w:tcBorders>
            <w:shd w:val="clear" w:color="auto" w:fill="auto"/>
          </w:tcPr>
          <w:p w14:paraId="758055DA" w14:textId="77777777" w:rsidR="002E3CD5" w:rsidRPr="000F45B4" w:rsidRDefault="002E3CD5" w:rsidP="00AC667E">
            <w:pPr>
              <w:pStyle w:val="TableText"/>
              <w:keepNext/>
              <w:spacing w:before="91" w:beforeAutospacing="1" w:after="109" w:line="240" w:lineRule="auto"/>
              <w:rPr>
                <w:rFonts w:cs="Arial"/>
                <w:sz w:val="22"/>
              </w:rPr>
            </w:pPr>
            <w:r w:rsidRPr="000F45B4">
              <w:rPr>
                <w:rFonts w:cs="Arial"/>
                <w:sz w:val="22"/>
              </w:rPr>
              <w:t>The extension may put upward pressure on rents through decreasing rental supply.  This means renters may be negatively impacted by the proposals.</w:t>
            </w:r>
          </w:p>
          <w:p w14:paraId="576A9025" w14:textId="77777777" w:rsidR="002E3CD5" w:rsidRPr="000F45B4" w:rsidRDefault="002E3CD5" w:rsidP="00AC667E">
            <w:pPr>
              <w:spacing w:before="91" w:beforeAutospacing="1" w:after="109" w:line="240" w:lineRule="auto"/>
              <w:rPr>
                <w:rFonts w:cs="Arial"/>
                <w:szCs w:val="22"/>
                <w:lang w:eastAsia="en-AU"/>
              </w:rPr>
            </w:pPr>
            <w:r w:rsidRPr="000F45B4">
              <w:rPr>
                <w:rFonts w:cs="Arial"/>
                <w:szCs w:val="22"/>
                <w:lang w:eastAsia="en-AU"/>
              </w:rPr>
              <w:t xml:space="preserve">Increased rents may impact tenants’ living standards as it may mean that </w:t>
            </w:r>
            <w:r w:rsidR="006D18E2">
              <w:rPr>
                <w:rFonts w:cs="Arial"/>
                <w:szCs w:val="22"/>
                <w:lang w:eastAsia="en-AU"/>
              </w:rPr>
              <w:t>housing costs are high compared to their incomes or they</w:t>
            </w:r>
            <w:r w:rsidR="006D18E2" w:rsidRPr="000F45B4">
              <w:rPr>
                <w:rFonts w:cs="Arial"/>
                <w:szCs w:val="22"/>
                <w:lang w:eastAsia="en-AU"/>
              </w:rPr>
              <w:t xml:space="preserve"> </w:t>
            </w:r>
            <w:r w:rsidRPr="000F45B4">
              <w:rPr>
                <w:rFonts w:cs="Arial"/>
                <w:szCs w:val="22"/>
                <w:lang w:eastAsia="en-AU"/>
              </w:rPr>
              <w:t>are forced to live in premises that are not suitable for the occupants or the number of occupants, and limit their level of privacy and personal space.  It may also cause crowding.  Overall, this would reduce their financial and social capitals.</w:t>
            </w:r>
          </w:p>
          <w:p w14:paraId="2E28B056" w14:textId="77777777" w:rsidR="002E3CD5" w:rsidRPr="000F45B4" w:rsidRDefault="002E3CD5" w:rsidP="006E0F54">
            <w:pPr>
              <w:spacing w:before="91" w:beforeAutospacing="1" w:after="109" w:line="240" w:lineRule="auto"/>
              <w:rPr>
                <w:rFonts w:cs="Arial"/>
              </w:rPr>
            </w:pPr>
            <w:r w:rsidRPr="000F45B4">
              <w:rPr>
                <w:rFonts w:cs="Arial"/>
              </w:rPr>
              <w:t xml:space="preserve">To the extent that proposals place upward pressure on rents, this appears more likely to </w:t>
            </w:r>
            <w:r w:rsidRPr="000F45B4">
              <w:rPr>
                <w:rFonts w:cs="Arial"/>
              </w:rPr>
              <w:lastRenderedPageBreak/>
              <w:t xml:space="preserve">disproportionately impact low-income households, younger people, </w:t>
            </w:r>
            <w:r w:rsidR="00231FD6">
              <w:rPr>
                <w:rFonts w:cs="Arial"/>
              </w:rPr>
              <w:t>Māori</w:t>
            </w:r>
            <w:r w:rsidRPr="000F45B4">
              <w:rPr>
                <w:rFonts w:cs="Arial"/>
              </w:rPr>
              <w:t>, and Pacific peoples, who are less likely to own their home relative to the general population. In addition, as around 43% of children are living in rental accommodation, upward pressure on rents could have negative impacts on child wellbeing and child poverty.</w:t>
            </w:r>
          </w:p>
          <w:p w14:paraId="6A01A55D"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cs="Arial"/>
                <w:sz w:val="22"/>
              </w:rPr>
              <w:t xml:space="preserve">Some renters may take advantage of lower house prices to become owner-occupiers.  This would give them the opportunity to increase their financial and social capitals. </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5C31BD9F"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lastRenderedPageBreak/>
              <w:t>Due to the lack of empirical data, this impact cannot be quantified.  It would depend on both the market conditions and the behaviour of market participants.</w:t>
            </w:r>
          </w:p>
          <w:p w14:paraId="7B44589F"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t xml:space="preserve">The overall change in demand (which influences the rental price), will depend on the extent to which people alter behaviour in response to the price change.  This could be in the form of a transition to home-ownership (for the higher-income renters), a move down </w:t>
            </w:r>
            <w:r w:rsidRPr="000F45B4">
              <w:rPr>
                <w:rFonts w:eastAsia="Calibri" w:cs="Arial"/>
                <w:sz w:val="22"/>
              </w:rPr>
              <w:lastRenderedPageBreak/>
              <w:t>the housing spectrum (e.g. a younger person may move back in with their parents), or an increase in household occupancy rates to spread the rental costs over more people.</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0808C021"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eastAsia="Calibri" w:cs="Arial"/>
                <w:sz w:val="22"/>
              </w:rPr>
              <w:lastRenderedPageBreak/>
              <w:t>Low</w:t>
            </w:r>
          </w:p>
        </w:tc>
      </w:tr>
      <w:tr w:rsidR="002E3CD5" w:rsidRPr="000F45B4" w14:paraId="37580D9C" w14:textId="77777777" w:rsidTr="00C167FA">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142891F5" w14:textId="77777777" w:rsidR="002E3CD5" w:rsidRPr="000F45B4" w:rsidRDefault="002E3CD5" w:rsidP="00AC667E">
            <w:pPr>
              <w:pStyle w:val="TableText"/>
              <w:keepNext/>
              <w:spacing w:before="91" w:beforeAutospacing="1" w:after="109" w:line="240" w:lineRule="auto"/>
              <w:rPr>
                <w:rFonts w:eastAsia="Calibri" w:cs="Arial"/>
                <w:sz w:val="22"/>
                <w:highlight w:val="yellow"/>
              </w:rPr>
            </w:pPr>
            <w:r w:rsidRPr="000F45B4">
              <w:rPr>
                <w:rFonts w:eastAsia="Calibri" w:cs="Arial"/>
                <w:sz w:val="22"/>
              </w:rPr>
              <w:t>Regulated parties:   stakeholders with interests in macro-financial stability (including banks)</w:t>
            </w:r>
          </w:p>
        </w:tc>
        <w:tc>
          <w:tcPr>
            <w:tcW w:w="3508" w:type="dxa"/>
            <w:tcBorders>
              <w:top w:val="single" w:sz="4" w:space="0" w:color="DDDDDD"/>
              <w:left w:val="single" w:sz="4" w:space="0" w:color="DDDDDD"/>
              <w:bottom w:val="single" w:sz="4" w:space="0" w:color="DDDDDD"/>
              <w:right w:val="single" w:sz="4" w:space="0" w:color="DDDDDD"/>
            </w:tcBorders>
            <w:shd w:val="clear" w:color="auto" w:fill="auto"/>
          </w:tcPr>
          <w:p w14:paraId="73741946" w14:textId="77777777" w:rsidR="002E3CD5" w:rsidRPr="000F45B4" w:rsidRDefault="002E3CD5" w:rsidP="006D18E2">
            <w:pPr>
              <w:pStyle w:val="TableText"/>
              <w:keepNext/>
              <w:spacing w:before="91" w:beforeAutospacing="1" w:after="109" w:line="240" w:lineRule="auto"/>
              <w:rPr>
                <w:rFonts w:eastAsia="Calibri" w:cs="Arial"/>
                <w:sz w:val="22"/>
                <w:highlight w:val="yellow"/>
              </w:rPr>
            </w:pPr>
            <w:r w:rsidRPr="000F45B4">
              <w:rPr>
                <w:rFonts w:eastAsia="Calibri" w:cs="Arial"/>
                <w:sz w:val="22"/>
              </w:rPr>
              <w:t xml:space="preserve">To the extent that the extension of the bright-line test succeeds in reducing demand from residential property investors, this reduction in aggregate demand for residential property at the margin may reduce price pressures, all else being equal.  </w:t>
            </w:r>
            <w:r w:rsidR="006D18E2">
              <w:rPr>
                <w:rFonts w:eastAsia="Calibri" w:cs="Arial"/>
                <w:sz w:val="22"/>
              </w:rPr>
              <w:t>If there was a large price impact, t</w:t>
            </w:r>
            <w:r w:rsidRPr="000F45B4">
              <w:rPr>
                <w:rFonts w:eastAsia="Calibri" w:cs="Arial"/>
                <w:sz w:val="22"/>
              </w:rPr>
              <w:t>his may have a negative impact at the margins for banks.</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47FA9840" w14:textId="77777777" w:rsidR="002E3CD5" w:rsidRPr="000F45B4" w:rsidRDefault="002E3CD5" w:rsidP="006D18E2">
            <w:pPr>
              <w:pStyle w:val="TableText"/>
              <w:keepNext/>
              <w:spacing w:before="91" w:beforeAutospacing="1" w:after="109" w:line="240" w:lineRule="auto"/>
              <w:rPr>
                <w:rFonts w:eastAsia="Calibri" w:cs="Arial"/>
                <w:sz w:val="22"/>
                <w:highlight w:val="yellow"/>
              </w:rPr>
            </w:pPr>
            <w:r w:rsidRPr="000F45B4">
              <w:rPr>
                <w:rFonts w:eastAsia="Calibri" w:cs="Arial"/>
                <w:sz w:val="22"/>
              </w:rPr>
              <w:t>The impact for banks is unquantifiable but is unlikely to be significant.</w:t>
            </w:r>
            <w:r w:rsidR="006D18E2">
              <w:rPr>
                <w:rFonts w:eastAsia="Calibri" w:cs="Arial"/>
                <w:sz w:val="22"/>
              </w:rPr>
              <w:t xml:space="preserve">  The Reserve Bank has advised current banking system buffers are strong.</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73AFB8F9" w14:textId="77777777" w:rsidR="002E3CD5" w:rsidRPr="000F45B4" w:rsidRDefault="002E3CD5" w:rsidP="00AC667E">
            <w:pPr>
              <w:pStyle w:val="TableText"/>
              <w:keepNext/>
              <w:spacing w:before="91" w:beforeAutospacing="1" w:after="109" w:line="240" w:lineRule="auto"/>
              <w:rPr>
                <w:rFonts w:eastAsia="Calibri" w:cs="Arial"/>
                <w:sz w:val="22"/>
                <w:highlight w:val="yellow"/>
              </w:rPr>
            </w:pPr>
            <w:r w:rsidRPr="000F45B4">
              <w:rPr>
                <w:rFonts w:eastAsia="Calibri" w:cs="Arial"/>
                <w:sz w:val="22"/>
              </w:rPr>
              <w:t>Low</w:t>
            </w:r>
          </w:p>
        </w:tc>
      </w:tr>
      <w:tr w:rsidR="002E3CD5" w:rsidRPr="000F45B4" w14:paraId="58C1220D" w14:textId="77777777" w:rsidTr="00C167FA">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480EFBE7" w14:textId="77777777" w:rsidR="002E3CD5" w:rsidRPr="000F45B4" w:rsidRDefault="002E3CD5" w:rsidP="00AC667E">
            <w:pPr>
              <w:pStyle w:val="TableText"/>
              <w:keepNext/>
              <w:spacing w:before="91" w:beforeAutospacing="1" w:after="109" w:line="240" w:lineRule="auto"/>
              <w:rPr>
                <w:rFonts w:eastAsia="Calibri" w:cs="Arial"/>
                <w:sz w:val="22"/>
                <w:highlight w:val="yellow"/>
              </w:rPr>
            </w:pPr>
            <w:r w:rsidRPr="000F45B4">
              <w:rPr>
                <w:rFonts w:eastAsia="Calibri" w:cs="Arial"/>
                <w:sz w:val="22"/>
              </w:rPr>
              <w:t>Regulators/ regulatory agencies</w:t>
            </w:r>
          </w:p>
        </w:tc>
        <w:tc>
          <w:tcPr>
            <w:tcW w:w="3508" w:type="dxa"/>
            <w:tcBorders>
              <w:top w:val="single" w:sz="4" w:space="0" w:color="DDDDDD"/>
              <w:left w:val="single" w:sz="4" w:space="0" w:color="DDDDDD"/>
              <w:bottom w:val="single" w:sz="4" w:space="0" w:color="DDDDDD"/>
              <w:right w:val="single" w:sz="4" w:space="0" w:color="DDDDDD"/>
            </w:tcBorders>
            <w:shd w:val="clear" w:color="auto" w:fill="auto"/>
          </w:tcPr>
          <w:p w14:paraId="01E2ABC8" w14:textId="77777777" w:rsidR="002E3CD5" w:rsidRPr="00190A9C" w:rsidRDefault="002E3CD5" w:rsidP="00AC667E">
            <w:pPr>
              <w:pStyle w:val="TableText"/>
              <w:keepNext/>
              <w:spacing w:before="91" w:beforeAutospacing="1" w:after="109" w:line="240" w:lineRule="auto"/>
              <w:rPr>
                <w:rFonts w:eastAsia="Calibri" w:cs="Arial"/>
                <w:sz w:val="22"/>
                <w:highlight w:val="yellow"/>
              </w:rPr>
            </w:pPr>
            <w:r w:rsidRPr="00190A9C">
              <w:rPr>
                <w:rFonts w:eastAsia="Calibri" w:cs="Arial"/>
                <w:sz w:val="22"/>
              </w:rPr>
              <w:t xml:space="preserve">To implement the extension to the bright-line period (and relevant changes), there will be administration costs to Inland Revenue and LINZ to the extent updates are required to the relevant forms, systems and guidance. </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6FE4C97B" w14:textId="77777777" w:rsidR="002E3CD5" w:rsidRPr="000F45B4" w:rsidRDefault="002E3CD5" w:rsidP="00AC667E">
            <w:pPr>
              <w:pStyle w:val="TableText"/>
              <w:keepNext/>
              <w:spacing w:before="91" w:beforeAutospacing="1" w:after="109" w:line="240" w:lineRule="auto"/>
              <w:rPr>
                <w:rFonts w:eastAsia="Calibri" w:cs="Arial"/>
                <w:sz w:val="22"/>
                <w:highlight w:val="yellow"/>
              </w:rPr>
            </w:pP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37126BDF" w14:textId="77777777" w:rsidR="002E3CD5" w:rsidRPr="000F45B4" w:rsidRDefault="002E3CD5" w:rsidP="00AC667E">
            <w:pPr>
              <w:pStyle w:val="TableText"/>
              <w:keepNext/>
              <w:spacing w:before="91" w:beforeAutospacing="1" w:after="109" w:line="240" w:lineRule="auto"/>
              <w:rPr>
                <w:rFonts w:eastAsia="Calibri" w:cs="Arial"/>
                <w:sz w:val="22"/>
                <w:highlight w:val="yellow"/>
              </w:rPr>
            </w:pPr>
          </w:p>
        </w:tc>
      </w:tr>
      <w:tr w:rsidR="001779A9" w:rsidRPr="000F45B4" w14:paraId="4D13F825" w14:textId="77777777" w:rsidTr="00C167FA">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044436FA" w14:textId="77777777" w:rsidR="001779A9" w:rsidRPr="000F45B4" w:rsidRDefault="001779A9" w:rsidP="001779A9">
            <w:pPr>
              <w:pStyle w:val="TableText"/>
              <w:keepNext/>
              <w:spacing w:before="91" w:beforeAutospacing="1" w:after="109" w:line="240" w:lineRule="auto"/>
              <w:rPr>
                <w:rFonts w:eastAsia="Calibri" w:cs="Arial"/>
                <w:sz w:val="22"/>
              </w:rPr>
            </w:pPr>
            <w:r w:rsidRPr="000F45B4">
              <w:rPr>
                <w:rFonts w:eastAsia="Calibri" w:cs="Arial"/>
                <w:sz w:val="22"/>
              </w:rPr>
              <w:t>Wider government</w:t>
            </w:r>
          </w:p>
        </w:tc>
        <w:tc>
          <w:tcPr>
            <w:tcW w:w="3508" w:type="dxa"/>
            <w:tcBorders>
              <w:top w:val="single" w:sz="4" w:space="0" w:color="DDDDDD"/>
              <w:left w:val="single" w:sz="4" w:space="0" w:color="DDDDDD"/>
              <w:bottom w:val="single" w:sz="4" w:space="0" w:color="DDDDDD"/>
              <w:right w:val="single" w:sz="4" w:space="0" w:color="DDDDDD"/>
            </w:tcBorders>
            <w:shd w:val="clear" w:color="auto" w:fill="auto"/>
          </w:tcPr>
          <w:p w14:paraId="47FDB7A9" w14:textId="77777777" w:rsidR="001779A9" w:rsidRPr="00190A9C" w:rsidRDefault="001779A9" w:rsidP="001779A9">
            <w:pPr>
              <w:pStyle w:val="TableText"/>
              <w:keepNext/>
              <w:spacing w:before="91" w:beforeAutospacing="1" w:after="109" w:line="240" w:lineRule="auto"/>
              <w:rPr>
                <w:rFonts w:eastAsia="Calibri" w:cs="Arial"/>
                <w:sz w:val="22"/>
              </w:rPr>
            </w:pPr>
            <w:r w:rsidRPr="006E0F54">
              <w:rPr>
                <w:rFonts w:cs="Arial"/>
                <w:sz w:val="22"/>
              </w:rPr>
              <w:t xml:space="preserve">To the extent that the policy results in </w:t>
            </w:r>
            <w:r w:rsidRPr="006E0F54">
              <w:rPr>
                <w:rFonts w:eastAsia="Calibri" w:cs="Arial"/>
                <w:sz w:val="22"/>
              </w:rPr>
              <w:t>increased</w:t>
            </w:r>
            <w:r w:rsidRPr="006E0F54">
              <w:rPr>
                <w:rFonts w:cs="Arial"/>
                <w:sz w:val="22"/>
              </w:rPr>
              <w:t xml:space="preserve"> pressure on rents, it may also lead to an increase in spending on </w:t>
            </w:r>
            <w:r w:rsidRPr="006E0F54">
              <w:rPr>
                <w:rFonts w:eastAsia="Calibri" w:cs="Arial"/>
                <w:sz w:val="22"/>
              </w:rPr>
              <w:t>the</w:t>
            </w:r>
            <w:r w:rsidRPr="006E0F54">
              <w:rPr>
                <w:rFonts w:cs="Arial"/>
                <w:sz w:val="22"/>
              </w:rPr>
              <w:t xml:space="preserve"> accommodation supplement and temporary additional support.</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6B7BB9FD" w14:textId="77777777" w:rsidR="001779A9" w:rsidRPr="006E0F54" w:rsidRDefault="001779A9" w:rsidP="001779A9">
            <w:pPr>
              <w:pStyle w:val="TableText"/>
              <w:keepNext/>
              <w:spacing w:before="91" w:beforeAutospacing="1" w:after="109" w:line="240" w:lineRule="auto"/>
              <w:rPr>
                <w:rFonts w:eastAsia="Calibri" w:cs="Arial"/>
                <w:sz w:val="22"/>
              </w:rPr>
            </w:pPr>
            <w:r w:rsidRPr="006E0F54">
              <w:rPr>
                <w:rFonts w:eastAsia="Calibri" w:cs="Arial"/>
                <w:sz w:val="22"/>
              </w:rPr>
              <w:t>Due to the lack of data, it is difficult to quantify this impact at this stage.</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049B18D3" w14:textId="77777777" w:rsidR="001779A9" w:rsidRPr="000F45B4" w:rsidRDefault="00565A08" w:rsidP="001779A9">
            <w:pPr>
              <w:pStyle w:val="TableText"/>
              <w:keepNext/>
              <w:spacing w:before="91" w:beforeAutospacing="1" w:after="109" w:line="240" w:lineRule="auto"/>
              <w:rPr>
                <w:rFonts w:eastAsia="Calibri" w:cs="Arial"/>
                <w:sz w:val="22"/>
                <w:highlight w:val="yellow"/>
              </w:rPr>
            </w:pPr>
            <w:r w:rsidRPr="006E0F54">
              <w:rPr>
                <w:rFonts w:eastAsia="Calibri" w:cs="Arial"/>
                <w:sz w:val="22"/>
              </w:rPr>
              <w:t>Low</w:t>
            </w:r>
          </w:p>
        </w:tc>
      </w:tr>
      <w:tr w:rsidR="001779A9" w:rsidRPr="000F45B4" w14:paraId="53E8D802" w14:textId="77777777" w:rsidTr="00C167FA">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122384B4" w14:textId="77777777" w:rsidR="001779A9" w:rsidRPr="000F45B4" w:rsidRDefault="001779A9" w:rsidP="001779A9">
            <w:pPr>
              <w:pStyle w:val="TableText"/>
              <w:keepNext/>
              <w:spacing w:before="91" w:beforeAutospacing="1" w:after="109" w:line="240" w:lineRule="auto"/>
              <w:rPr>
                <w:rFonts w:eastAsia="Calibri" w:cs="Arial"/>
                <w:sz w:val="22"/>
              </w:rPr>
            </w:pPr>
            <w:r w:rsidRPr="000F45B4">
              <w:rPr>
                <w:rFonts w:eastAsia="Calibri" w:cs="Arial"/>
                <w:b/>
                <w:sz w:val="22"/>
              </w:rPr>
              <w:t>Total Monetised  Benefit</w:t>
            </w:r>
          </w:p>
        </w:tc>
        <w:tc>
          <w:tcPr>
            <w:tcW w:w="3508" w:type="dxa"/>
            <w:tcBorders>
              <w:top w:val="single" w:sz="4" w:space="0" w:color="DDDDDD"/>
              <w:left w:val="single" w:sz="4" w:space="0" w:color="DDDDDD"/>
              <w:bottom w:val="single" w:sz="4" w:space="0" w:color="DDDDDD"/>
              <w:right w:val="single" w:sz="4" w:space="0" w:color="DDDDDD"/>
            </w:tcBorders>
            <w:shd w:val="clear" w:color="auto" w:fill="auto"/>
          </w:tcPr>
          <w:p w14:paraId="77A69806" w14:textId="77777777" w:rsidR="001779A9" w:rsidRPr="00CC25B3" w:rsidRDefault="001779A9" w:rsidP="001779A9">
            <w:pPr>
              <w:pStyle w:val="TableText"/>
              <w:keepNext/>
              <w:spacing w:before="91" w:beforeAutospacing="1" w:after="109" w:line="240" w:lineRule="auto"/>
              <w:rPr>
                <w:rFonts w:eastAsia="Calibri" w:cs="Arial"/>
                <w:sz w:val="22"/>
              </w:rPr>
            </w:pPr>
            <w:r w:rsidRPr="00CC25B3">
              <w:rPr>
                <w:rFonts w:eastAsia="Calibri" w:cs="Arial"/>
                <w:sz w:val="22"/>
              </w:rPr>
              <w:t xml:space="preserve">We do not have confidence </w:t>
            </w:r>
            <w:r>
              <w:rPr>
                <w:rFonts w:eastAsia="Calibri" w:cs="Arial"/>
                <w:sz w:val="22"/>
              </w:rPr>
              <w:t>in the ability to provide a total monetised cost</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4D230595" w14:textId="77777777" w:rsidR="001779A9" w:rsidRPr="00565A08" w:rsidRDefault="001779A9" w:rsidP="001779A9">
            <w:pPr>
              <w:pStyle w:val="TableText"/>
              <w:keepNext/>
              <w:spacing w:before="91" w:beforeAutospacing="1" w:after="109" w:line="240" w:lineRule="auto"/>
              <w:rPr>
                <w:rFonts w:eastAsia="Calibri" w:cs="Arial"/>
                <w:sz w:val="22"/>
              </w:rPr>
            </w:pPr>
            <w:r w:rsidRPr="00565A08">
              <w:rPr>
                <w:rFonts w:eastAsia="Calibri" w:cs="Arial"/>
                <w:sz w:val="22"/>
              </w:rPr>
              <w:t>Low</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5399F214" w14:textId="77777777" w:rsidR="001779A9" w:rsidRPr="000F45B4" w:rsidRDefault="001779A9" w:rsidP="001779A9">
            <w:pPr>
              <w:pStyle w:val="TableText"/>
              <w:keepNext/>
              <w:spacing w:before="91" w:beforeAutospacing="1" w:after="109" w:line="240" w:lineRule="auto"/>
              <w:rPr>
                <w:rFonts w:eastAsia="Calibri" w:cs="Arial"/>
                <w:sz w:val="22"/>
              </w:rPr>
            </w:pPr>
            <w:r>
              <w:rPr>
                <w:rFonts w:eastAsia="Calibri" w:cs="Arial"/>
                <w:sz w:val="22"/>
              </w:rPr>
              <w:t>Low</w:t>
            </w:r>
          </w:p>
        </w:tc>
      </w:tr>
      <w:tr w:rsidR="001779A9" w:rsidRPr="000F45B4" w14:paraId="59ED540C" w14:textId="77777777" w:rsidTr="00C167FA">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26B3B066" w14:textId="77777777" w:rsidR="001779A9" w:rsidRPr="000F45B4" w:rsidRDefault="001779A9" w:rsidP="001779A9">
            <w:pPr>
              <w:pStyle w:val="TableText"/>
              <w:keepNext/>
              <w:spacing w:before="91" w:beforeAutospacing="1" w:after="109" w:line="240" w:lineRule="auto"/>
              <w:rPr>
                <w:rFonts w:eastAsia="Calibri" w:cs="Arial"/>
                <w:b/>
                <w:sz w:val="22"/>
              </w:rPr>
            </w:pPr>
            <w:r w:rsidRPr="000F45B4">
              <w:rPr>
                <w:rFonts w:eastAsia="Calibri" w:cs="Arial"/>
                <w:b/>
                <w:sz w:val="22"/>
              </w:rPr>
              <w:t xml:space="preserve">Non-monetised costs </w:t>
            </w:r>
          </w:p>
        </w:tc>
        <w:tc>
          <w:tcPr>
            <w:tcW w:w="3508" w:type="dxa"/>
            <w:tcBorders>
              <w:top w:val="single" w:sz="4" w:space="0" w:color="DDDDDD"/>
              <w:left w:val="single" w:sz="4" w:space="0" w:color="DDDDDD"/>
              <w:bottom w:val="single" w:sz="4" w:space="0" w:color="DDDDDD"/>
              <w:right w:val="single" w:sz="4" w:space="0" w:color="DDDDDD"/>
            </w:tcBorders>
            <w:shd w:val="clear" w:color="auto" w:fill="auto"/>
          </w:tcPr>
          <w:p w14:paraId="56831391" w14:textId="77777777" w:rsidR="001779A9" w:rsidRPr="00CC25B3" w:rsidRDefault="001779A9" w:rsidP="001779A9">
            <w:pPr>
              <w:pStyle w:val="TableText"/>
              <w:keepNext/>
              <w:spacing w:before="91" w:beforeAutospacing="1" w:after="109" w:line="240" w:lineRule="auto"/>
              <w:rPr>
                <w:rFonts w:eastAsia="Calibri" w:cs="Arial"/>
                <w:sz w:val="22"/>
              </w:rPr>
            </w:pPr>
            <w:r w:rsidRPr="00CC25B3">
              <w:rPr>
                <w:rFonts w:eastAsia="Calibri" w:cs="Arial"/>
                <w:sz w:val="22"/>
              </w:rPr>
              <w:t>As described above</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7D928BB2" w14:textId="77777777" w:rsidR="001779A9" w:rsidRPr="00CC25B3" w:rsidRDefault="001779A9" w:rsidP="001779A9">
            <w:pPr>
              <w:pStyle w:val="TableText"/>
              <w:keepNext/>
              <w:spacing w:before="91" w:beforeAutospacing="1" w:after="109" w:line="240" w:lineRule="auto"/>
              <w:rPr>
                <w:rFonts w:eastAsia="Calibri" w:cs="Arial"/>
                <w:sz w:val="22"/>
              </w:rPr>
            </w:pPr>
            <w:r w:rsidRPr="00CC25B3">
              <w:rPr>
                <w:rFonts w:eastAsia="Calibri" w:cs="Arial"/>
                <w:sz w:val="22"/>
              </w:rPr>
              <w:t>Low</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7A062CB0" w14:textId="77777777" w:rsidR="001779A9" w:rsidRPr="000F45B4" w:rsidRDefault="001779A9" w:rsidP="001779A9">
            <w:pPr>
              <w:pStyle w:val="TableText"/>
              <w:keepNext/>
              <w:spacing w:before="91" w:beforeAutospacing="1" w:after="109" w:line="240" w:lineRule="auto"/>
              <w:rPr>
                <w:rFonts w:eastAsia="Calibri" w:cs="Arial"/>
                <w:sz w:val="22"/>
              </w:rPr>
            </w:pPr>
            <w:r>
              <w:rPr>
                <w:rFonts w:eastAsia="Calibri" w:cs="Arial"/>
                <w:sz w:val="22"/>
              </w:rPr>
              <w:t>Low</w:t>
            </w:r>
          </w:p>
        </w:tc>
      </w:tr>
    </w:tbl>
    <w:p w14:paraId="1B62ACD2" w14:textId="15D402C4" w:rsidR="00C167FA" w:rsidRDefault="00C167FA" w:rsidP="00C167FA">
      <w:pPr>
        <w:pStyle w:val="spacer"/>
        <w:spacing w:before="100" w:beforeAutospacing="1" w:after="240"/>
        <w:rPr>
          <w:rFonts w:cs="Arial"/>
          <w:sz w:val="22"/>
        </w:rPr>
      </w:pPr>
    </w:p>
    <w:p w14:paraId="34901074" w14:textId="619A6365" w:rsidR="0007167E" w:rsidRPr="00C167FA" w:rsidRDefault="00C167FA" w:rsidP="00C167FA">
      <w:pPr>
        <w:spacing w:after="0" w:line="240" w:lineRule="auto"/>
        <w:rPr>
          <w:rFonts w:cs="Arial"/>
          <w:szCs w:val="22"/>
          <w:lang w:eastAsia="en-AU"/>
        </w:rPr>
      </w:pPr>
      <w:r>
        <w:rPr>
          <w:rFonts w:cs="Arial"/>
        </w:rPr>
        <w:br w:type="page"/>
      </w:r>
    </w:p>
    <w:tbl>
      <w:tblPr>
        <w:tblpPr w:leftFromText="180" w:rightFromText="180" w:vertAnchor="text" w:tblpX="114" w:tblpY="1"/>
        <w:tblOverlap w:val="never"/>
        <w:tblW w:w="908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874"/>
        <w:gridCol w:w="3508"/>
        <w:gridCol w:w="2410"/>
        <w:gridCol w:w="1289"/>
      </w:tblGrid>
      <w:tr w:rsidR="002E3CD5" w:rsidRPr="000F45B4" w14:paraId="392083F1" w14:textId="77777777" w:rsidTr="00AC667E">
        <w:trPr>
          <w:trHeight w:val="253"/>
        </w:trPr>
        <w:tc>
          <w:tcPr>
            <w:tcW w:w="9081" w:type="dxa"/>
            <w:gridSpan w:val="4"/>
            <w:shd w:val="clear" w:color="auto" w:fill="99CDDD"/>
          </w:tcPr>
          <w:p w14:paraId="338CBC4C" w14:textId="77777777" w:rsidR="002E3CD5" w:rsidRPr="000F45B4" w:rsidRDefault="002E3CD5" w:rsidP="00AC667E">
            <w:pPr>
              <w:spacing w:before="91" w:beforeAutospacing="1" w:after="109" w:line="240" w:lineRule="auto"/>
              <w:rPr>
                <w:rFonts w:eastAsia="Calibri" w:cs="Arial"/>
                <w:b/>
                <w:szCs w:val="22"/>
              </w:rPr>
            </w:pPr>
            <w:r w:rsidRPr="000F45B4">
              <w:rPr>
                <w:rFonts w:eastAsia="Calibri" w:cs="Arial"/>
                <w:b/>
                <w:szCs w:val="22"/>
              </w:rPr>
              <w:lastRenderedPageBreak/>
              <w:t>Expected benefits of proposed approach compared to taking no action</w:t>
            </w:r>
          </w:p>
        </w:tc>
      </w:tr>
      <w:tr w:rsidR="002E3CD5" w:rsidRPr="000F45B4" w14:paraId="3CDF9AF3" w14:textId="77777777" w:rsidTr="00AC667E">
        <w:trPr>
          <w:trHeight w:val="253"/>
        </w:trPr>
        <w:tc>
          <w:tcPr>
            <w:tcW w:w="1874" w:type="dxa"/>
            <w:shd w:val="clear" w:color="auto" w:fill="auto"/>
          </w:tcPr>
          <w:p w14:paraId="2F728BF5" w14:textId="77777777" w:rsidR="002E3CD5" w:rsidRPr="000F45B4" w:rsidRDefault="002E3CD5" w:rsidP="00AC667E">
            <w:pPr>
              <w:pStyle w:val="TableText"/>
              <w:spacing w:before="91" w:beforeAutospacing="1" w:after="109" w:line="240" w:lineRule="auto"/>
              <w:rPr>
                <w:rFonts w:eastAsia="Calibri" w:cs="Arial"/>
                <w:sz w:val="22"/>
              </w:rPr>
            </w:pPr>
            <w:r w:rsidRPr="000F45B4">
              <w:rPr>
                <w:rFonts w:eastAsia="Calibri" w:cs="Arial"/>
                <w:sz w:val="22"/>
              </w:rPr>
              <w:t>Regulated parties: first home buyers</w:t>
            </w:r>
          </w:p>
        </w:tc>
        <w:tc>
          <w:tcPr>
            <w:tcW w:w="3508" w:type="dxa"/>
            <w:shd w:val="clear" w:color="auto" w:fill="auto"/>
          </w:tcPr>
          <w:p w14:paraId="586FF83D" w14:textId="77777777" w:rsidR="002E3CD5" w:rsidRPr="000F45B4" w:rsidRDefault="002E3CD5" w:rsidP="00AC667E">
            <w:pPr>
              <w:pStyle w:val="TableText"/>
              <w:spacing w:before="91" w:beforeAutospacing="1" w:after="109" w:line="240" w:lineRule="auto"/>
              <w:rPr>
                <w:rFonts w:eastAsia="Calibri" w:cs="Arial"/>
                <w:sz w:val="22"/>
              </w:rPr>
            </w:pPr>
            <w:r w:rsidRPr="000F45B4">
              <w:rPr>
                <w:rFonts w:eastAsia="Calibri" w:cs="Arial"/>
                <w:sz w:val="22"/>
              </w:rPr>
              <w:t>At the margin, reduced competition from residential property investors in the market may reduce pressure on prices and make it somewhat easier for prospective first-home buyers to purchase a property.  This would improve their financial capital and social capital (as indicated above).</w:t>
            </w:r>
          </w:p>
        </w:tc>
        <w:tc>
          <w:tcPr>
            <w:tcW w:w="2410" w:type="dxa"/>
            <w:shd w:val="clear" w:color="auto" w:fill="auto"/>
          </w:tcPr>
          <w:p w14:paraId="5A932BE0" w14:textId="77777777" w:rsidR="002E3CD5" w:rsidRPr="000F45B4" w:rsidRDefault="002E3CD5" w:rsidP="00AC667E">
            <w:pPr>
              <w:pStyle w:val="TableText"/>
              <w:spacing w:before="91" w:beforeAutospacing="1" w:after="109" w:line="240" w:lineRule="auto"/>
              <w:rPr>
                <w:rFonts w:eastAsia="Calibri" w:cs="Arial"/>
                <w:sz w:val="22"/>
              </w:rPr>
            </w:pPr>
            <w:r w:rsidRPr="000F45B4">
              <w:rPr>
                <w:rFonts w:eastAsia="Calibri" w:cs="Arial"/>
                <w:sz w:val="22"/>
              </w:rPr>
              <w:t>Due to the lack of empirical data, this impact cannot be quantified.  It would depend on both the market conditions and the behaviour of market participants.</w:t>
            </w:r>
          </w:p>
        </w:tc>
        <w:tc>
          <w:tcPr>
            <w:tcW w:w="1289" w:type="dxa"/>
            <w:shd w:val="clear" w:color="auto" w:fill="auto"/>
          </w:tcPr>
          <w:p w14:paraId="5B0729E8" w14:textId="77777777" w:rsidR="002E3CD5" w:rsidRPr="000F45B4" w:rsidRDefault="002E3CD5" w:rsidP="00AC667E">
            <w:pPr>
              <w:pStyle w:val="TableText"/>
              <w:spacing w:before="91" w:beforeAutospacing="1" w:after="109" w:line="240" w:lineRule="auto"/>
              <w:rPr>
                <w:rFonts w:eastAsia="Calibri" w:cs="Arial"/>
                <w:sz w:val="22"/>
              </w:rPr>
            </w:pPr>
            <w:r w:rsidRPr="000F45B4">
              <w:rPr>
                <w:rFonts w:eastAsia="Calibri" w:cs="Arial"/>
                <w:sz w:val="22"/>
              </w:rPr>
              <w:t>Low</w:t>
            </w:r>
          </w:p>
        </w:tc>
      </w:tr>
      <w:tr w:rsidR="002E3CD5" w:rsidRPr="000F45B4" w14:paraId="49AC38F4" w14:textId="77777777" w:rsidTr="00AC667E">
        <w:trPr>
          <w:trHeight w:val="253"/>
        </w:trPr>
        <w:tc>
          <w:tcPr>
            <w:tcW w:w="1874" w:type="dxa"/>
            <w:shd w:val="clear" w:color="auto" w:fill="auto"/>
          </w:tcPr>
          <w:p w14:paraId="694824CE" w14:textId="77777777" w:rsidR="002E3CD5" w:rsidRPr="000F45B4" w:rsidRDefault="002E3CD5" w:rsidP="00AC667E">
            <w:pPr>
              <w:pStyle w:val="TableText"/>
              <w:spacing w:before="91" w:beforeAutospacing="1" w:after="109" w:line="240" w:lineRule="auto"/>
              <w:rPr>
                <w:rFonts w:eastAsia="Calibri" w:cs="Arial"/>
                <w:sz w:val="22"/>
              </w:rPr>
            </w:pPr>
            <w:r w:rsidRPr="000F45B4">
              <w:rPr>
                <w:rFonts w:eastAsia="Calibri" w:cs="Arial"/>
                <w:sz w:val="22"/>
              </w:rPr>
              <w:t>Wider government</w:t>
            </w:r>
          </w:p>
        </w:tc>
        <w:tc>
          <w:tcPr>
            <w:tcW w:w="3508" w:type="dxa"/>
            <w:shd w:val="clear" w:color="auto" w:fill="auto"/>
          </w:tcPr>
          <w:p w14:paraId="0FB8EC73" w14:textId="77777777" w:rsidR="002E3CD5" w:rsidRPr="000F45B4" w:rsidRDefault="002E3CD5" w:rsidP="00AC667E">
            <w:pPr>
              <w:pStyle w:val="TableText"/>
              <w:spacing w:before="91" w:beforeAutospacing="1" w:after="109" w:line="240" w:lineRule="auto"/>
              <w:rPr>
                <w:rFonts w:eastAsia="Calibri" w:cs="Arial"/>
                <w:sz w:val="22"/>
              </w:rPr>
            </w:pPr>
            <w:r w:rsidRPr="000F45B4">
              <w:rPr>
                <w:rFonts w:eastAsia="Calibri" w:cs="Arial"/>
                <w:sz w:val="22"/>
              </w:rPr>
              <w:t>Increased revenue would be collected from the sale of residential investment property, as the extension of the bright-line test would make more sales taxable.</w:t>
            </w:r>
          </w:p>
        </w:tc>
        <w:tc>
          <w:tcPr>
            <w:tcW w:w="2410" w:type="dxa"/>
            <w:shd w:val="clear" w:color="auto" w:fill="auto"/>
          </w:tcPr>
          <w:p w14:paraId="4453A3AF" w14:textId="77777777" w:rsidR="002E3CD5" w:rsidRPr="000F45B4" w:rsidRDefault="002E3CD5" w:rsidP="00AC667E">
            <w:pPr>
              <w:pStyle w:val="TableText"/>
              <w:keepNext/>
              <w:spacing w:before="91" w:beforeAutospacing="1" w:after="109" w:line="240" w:lineRule="auto"/>
              <w:rPr>
                <w:rFonts w:eastAsia="Calibri" w:cs="Arial"/>
                <w:sz w:val="22"/>
              </w:rPr>
            </w:pPr>
            <w:r w:rsidRPr="000F45B4">
              <w:rPr>
                <w:rFonts w:cs="Arial"/>
                <w:sz w:val="22"/>
              </w:rPr>
              <w:t>Inland Revenue’s static model predicts that there will be no new revenue over the forecast period, as any sales in this period would be captured by the existing 5 year bright-line test. The static model suggests that an extended 20 year bright-line will start generating revenue in 2029.   On the assumption of no behavioural changes, the sums generated should increase over time and could reach around 0.2% of GDP in annual revenue 2035, depending on the behavioural responses of investors.</w:t>
            </w:r>
            <w:r w:rsidR="00190A9C">
              <w:rPr>
                <w:rFonts w:cs="Arial"/>
                <w:sz w:val="22"/>
              </w:rPr>
              <w:t xml:space="preserve"> This on the basis of no exemptions for new builds.</w:t>
            </w:r>
          </w:p>
        </w:tc>
        <w:tc>
          <w:tcPr>
            <w:tcW w:w="1289" w:type="dxa"/>
            <w:shd w:val="clear" w:color="auto" w:fill="auto"/>
          </w:tcPr>
          <w:p w14:paraId="57BB5B59" w14:textId="77777777" w:rsidR="002E3CD5" w:rsidRPr="000F45B4" w:rsidRDefault="002E3CD5" w:rsidP="00AC667E">
            <w:pPr>
              <w:pStyle w:val="TableText"/>
              <w:spacing w:before="91" w:beforeAutospacing="1" w:after="109" w:line="240" w:lineRule="auto"/>
              <w:rPr>
                <w:rFonts w:eastAsia="Calibri" w:cs="Arial"/>
                <w:sz w:val="22"/>
              </w:rPr>
            </w:pPr>
            <w:r w:rsidRPr="000F45B4">
              <w:rPr>
                <w:rFonts w:eastAsia="Calibri" w:cs="Arial"/>
                <w:sz w:val="22"/>
              </w:rPr>
              <w:t>Medium</w:t>
            </w:r>
          </w:p>
        </w:tc>
      </w:tr>
      <w:tr w:rsidR="002E3CD5" w:rsidRPr="000F45B4" w14:paraId="0F83E34A" w14:textId="77777777" w:rsidTr="00AC667E">
        <w:trPr>
          <w:trHeight w:val="253"/>
        </w:trPr>
        <w:tc>
          <w:tcPr>
            <w:tcW w:w="1874" w:type="dxa"/>
            <w:shd w:val="clear" w:color="auto" w:fill="auto"/>
          </w:tcPr>
          <w:p w14:paraId="6F11B763" w14:textId="77777777" w:rsidR="002E3CD5" w:rsidRPr="000F45B4" w:rsidRDefault="002E3CD5" w:rsidP="00AC667E">
            <w:pPr>
              <w:pStyle w:val="TableText"/>
              <w:spacing w:before="91" w:beforeAutospacing="1" w:after="109" w:line="240" w:lineRule="auto"/>
              <w:rPr>
                <w:rFonts w:eastAsia="Calibri" w:cs="Arial"/>
                <w:b/>
                <w:sz w:val="22"/>
              </w:rPr>
            </w:pPr>
            <w:r w:rsidRPr="000F45B4">
              <w:rPr>
                <w:rFonts w:eastAsia="Calibri" w:cs="Arial"/>
                <w:b/>
                <w:sz w:val="22"/>
              </w:rPr>
              <w:t>Total Monetised  Benefit</w:t>
            </w:r>
          </w:p>
        </w:tc>
        <w:tc>
          <w:tcPr>
            <w:tcW w:w="3508" w:type="dxa"/>
            <w:shd w:val="clear" w:color="auto" w:fill="auto"/>
          </w:tcPr>
          <w:p w14:paraId="15B54D80" w14:textId="77777777" w:rsidR="002E3CD5" w:rsidRPr="000F45B4" w:rsidRDefault="002E3CD5" w:rsidP="00AC667E">
            <w:pPr>
              <w:pStyle w:val="TableText"/>
              <w:spacing w:before="91" w:beforeAutospacing="1" w:after="109" w:line="240" w:lineRule="auto"/>
              <w:rPr>
                <w:rFonts w:eastAsia="Calibri" w:cs="Arial"/>
                <w:sz w:val="22"/>
              </w:rPr>
            </w:pPr>
            <w:r w:rsidRPr="00CC25B3">
              <w:rPr>
                <w:rFonts w:eastAsia="Calibri" w:cs="Arial"/>
                <w:sz w:val="22"/>
              </w:rPr>
              <w:t xml:space="preserve">We do not have confidence </w:t>
            </w:r>
            <w:r>
              <w:rPr>
                <w:rFonts w:eastAsia="Calibri" w:cs="Arial"/>
                <w:sz w:val="22"/>
              </w:rPr>
              <w:t>in the ability to provide a total monetised benefit.</w:t>
            </w:r>
          </w:p>
        </w:tc>
        <w:tc>
          <w:tcPr>
            <w:tcW w:w="2410" w:type="dxa"/>
            <w:shd w:val="clear" w:color="auto" w:fill="auto"/>
          </w:tcPr>
          <w:p w14:paraId="676AD6C7" w14:textId="77777777" w:rsidR="002E3CD5" w:rsidRPr="00CC25B3" w:rsidRDefault="002E3CD5" w:rsidP="00AC667E">
            <w:pPr>
              <w:pStyle w:val="TableText"/>
              <w:spacing w:before="91" w:beforeAutospacing="1" w:after="109" w:line="240" w:lineRule="auto"/>
              <w:rPr>
                <w:rFonts w:eastAsia="Calibri" w:cs="Arial"/>
                <w:iCs/>
                <w:sz w:val="22"/>
              </w:rPr>
            </w:pPr>
            <w:r w:rsidRPr="00CC25B3">
              <w:rPr>
                <w:rFonts w:eastAsia="Calibri" w:cs="Arial"/>
                <w:iCs/>
                <w:sz w:val="22"/>
              </w:rPr>
              <w:t>Low</w:t>
            </w:r>
          </w:p>
        </w:tc>
        <w:tc>
          <w:tcPr>
            <w:tcW w:w="1289" w:type="dxa"/>
            <w:shd w:val="clear" w:color="auto" w:fill="auto"/>
          </w:tcPr>
          <w:p w14:paraId="08BE81BD" w14:textId="77777777" w:rsidR="002E3CD5" w:rsidRPr="000F45B4" w:rsidRDefault="002E3CD5" w:rsidP="00AC667E">
            <w:pPr>
              <w:pStyle w:val="TableText"/>
              <w:spacing w:before="91" w:beforeAutospacing="1" w:after="109" w:line="240" w:lineRule="auto"/>
              <w:rPr>
                <w:rFonts w:eastAsia="Calibri" w:cs="Arial"/>
                <w:sz w:val="22"/>
              </w:rPr>
            </w:pPr>
            <w:r>
              <w:rPr>
                <w:rFonts w:eastAsia="Calibri" w:cs="Arial"/>
                <w:sz w:val="22"/>
              </w:rPr>
              <w:t>Low</w:t>
            </w:r>
          </w:p>
        </w:tc>
      </w:tr>
      <w:tr w:rsidR="002E3CD5" w:rsidRPr="000F45B4" w14:paraId="6AD97638" w14:textId="77777777" w:rsidTr="00AC667E">
        <w:trPr>
          <w:trHeight w:val="253"/>
        </w:trPr>
        <w:tc>
          <w:tcPr>
            <w:tcW w:w="1874" w:type="dxa"/>
            <w:shd w:val="clear" w:color="auto" w:fill="auto"/>
          </w:tcPr>
          <w:p w14:paraId="51B34721" w14:textId="77777777" w:rsidR="002E3CD5" w:rsidRPr="000F45B4" w:rsidRDefault="002E3CD5" w:rsidP="00AC667E">
            <w:pPr>
              <w:pStyle w:val="TableText"/>
              <w:spacing w:before="91" w:beforeAutospacing="1" w:after="109" w:line="240" w:lineRule="auto"/>
              <w:rPr>
                <w:rFonts w:eastAsia="Calibri" w:cs="Arial"/>
                <w:b/>
                <w:sz w:val="22"/>
              </w:rPr>
            </w:pPr>
            <w:r w:rsidRPr="000F45B4">
              <w:rPr>
                <w:rFonts w:eastAsia="Calibri" w:cs="Arial"/>
                <w:b/>
                <w:sz w:val="22"/>
              </w:rPr>
              <w:t>Non-monetised benefits</w:t>
            </w:r>
          </w:p>
        </w:tc>
        <w:tc>
          <w:tcPr>
            <w:tcW w:w="3508" w:type="dxa"/>
            <w:shd w:val="clear" w:color="auto" w:fill="auto"/>
          </w:tcPr>
          <w:p w14:paraId="65BC8E22" w14:textId="77777777" w:rsidR="002E3CD5" w:rsidRPr="000F45B4" w:rsidRDefault="002E3CD5" w:rsidP="00AC667E">
            <w:pPr>
              <w:pStyle w:val="TableText"/>
              <w:spacing w:before="91" w:beforeAutospacing="1" w:after="109" w:line="240" w:lineRule="auto"/>
              <w:rPr>
                <w:rFonts w:eastAsia="Calibri" w:cs="Arial"/>
                <w:sz w:val="22"/>
              </w:rPr>
            </w:pPr>
            <w:r w:rsidRPr="00CC25B3">
              <w:rPr>
                <w:rFonts w:eastAsia="Calibri" w:cs="Arial"/>
                <w:sz w:val="22"/>
              </w:rPr>
              <w:t>As described above</w:t>
            </w:r>
            <w:r>
              <w:rPr>
                <w:rFonts w:eastAsia="Calibri" w:cs="Arial"/>
                <w:sz w:val="22"/>
              </w:rPr>
              <w:t>.</w:t>
            </w:r>
          </w:p>
        </w:tc>
        <w:tc>
          <w:tcPr>
            <w:tcW w:w="2410" w:type="dxa"/>
            <w:shd w:val="clear" w:color="auto" w:fill="auto"/>
          </w:tcPr>
          <w:p w14:paraId="0DA5A3B1" w14:textId="77777777" w:rsidR="002E3CD5" w:rsidRPr="00CC25B3" w:rsidRDefault="002E3CD5" w:rsidP="00AC667E">
            <w:pPr>
              <w:pStyle w:val="TableText"/>
              <w:spacing w:before="91" w:beforeAutospacing="1" w:after="109" w:line="240" w:lineRule="auto"/>
              <w:rPr>
                <w:rFonts w:eastAsia="Calibri" w:cs="Arial"/>
                <w:iCs/>
                <w:sz w:val="22"/>
              </w:rPr>
            </w:pPr>
            <w:r w:rsidRPr="00CC25B3">
              <w:rPr>
                <w:rFonts w:eastAsia="Calibri" w:cs="Arial"/>
                <w:iCs/>
                <w:sz w:val="22"/>
              </w:rPr>
              <w:t>Low</w:t>
            </w:r>
          </w:p>
        </w:tc>
        <w:tc>
          <w:tcPr>
            <w:tcW w:w="1289" w:type="dxa"/>
            <w:shd w:val="clear" w:color="auto" w:fill="auto"/>
          </w:tcPr>
          <w:p w14:paraId="26858203" w14:textId="77777777" w:rsidR="002E3CD5" w:rsidRPr="000F45B4" w:rsidRDefault="002E3CD5" w:rsidP="00AC667E">
            <w:pPr>
              <w:pStyle w:val="TableText"/>
              <w:spacing w:before="91" w:beforeAutospacing="1" w:after="109" w:line="240" w:lineRule="auto"/>
              <w:rPr>
                <w:rFonts w:eastAsia="Calibri" w:cs="Arial"/>
                <w:sz w:val="22"/>
              </w:rPr>
            </w:pPr>
            <w:r>
              <w:rPr>
                <w:rFonts w:eastAsia="Calibri" w:cs="Arial"/>
                <w:sz w:val="22"/>
              </w:rPr>
              <w:t>Low</w:t>
            </w:r>
          </w:p>
        </w:tc>
      </w:tr>
    </w:tbl>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E3CD5" w:rsidRPr="000F45B4" w14:paraId="5C89D0E7" w14:textId="77777777" w:rsidTr="00AC667E">
        <w:trPr>
          <w:trHeight w:val="193"/>
        </w:trPr>
        <w:tc>
          <w:tcPr>
            <w:tcW w:w="5000" w:type="pct"/>
            <w:shd w:val="clear" w:color="auto" w:fill="99CDDD"/>
            <w:hideMark/>
          </w:tcPr>
          <w:p w14:paraId="1578F633" w14:textId="77777777" w:rsidR="002E3CD5" w:rsidRPr="000F45B4" w:rsidRDefault="002E3CD5" w:rsidP="00AC667E">
            <w:pPr>
              <w:pStyle w:val="spacer"/>
              <w:keepNext/>
              <w:spacing w:before="54" w:after="54"/>
              <w:rPr>
                <w:rFonts w:cs="Arial"/>
                <w:b/>
                <w:sz w:val="22"/>
                <w:lang w:val="en-NZ"/>
              </w:rPr>
            </w:pPr>
            <w:r w:rsidRPr="000F45B4">
              <w:rPr>
                <w:rFonts w:cs="Arial"/>
                <w:b/>
                <w:sz w:val="22"/>
                <w:lang w:val="en-NZ"/>
              </w:rPr>
              <w:lastRenderedPageBreak/>
              <w:t>5.3   What other impacts is this approach likely to have?</w:t>
            </w:r>
          </w:p>
        </w:tc>
      </w:tr>
      <w:tr w:rsidR="002E3CD5" w:rsidRPr="000F45B4" w14:paraId="497BB574" w14:textId="77777777" w:rsidTr="00AC667E">
        <w:trPr>
          <w:trHeight w:val="5205"/>
        </w:trPr>
        <w:tc>
          <w:tcPr>
            <w:tcW w:w="5000" w:type="pct"/>
            <w:shd w:val="clear" w:color="auto" w:fill="FFFFFF"/>
          </w:tcPr>
          <w:p w14:paraId="2E20079C" w14:textId="77777777" w:rsidR="002E3CD5" w:rsidRPr="000F45B4" w:rsidRDefault="002E3CD5" w:rsidP="00AC667E">
            <w:pPr>
              <w:spacing w:before="218" w:after="218" w:line="240" w:lineRule="auto"/>
              <w:rPr>
                <w:rFonts w:cs="Arial"/>
                <w:szCs w:val="22"/>
              </w:rPr>
            </w:pPr>
            <w:r w:rsidRPr="000F45B4">
              <w:rPr>
                <w:rFonts w:cs="Arial"/>
                <w:szCs w:val="22"/>
              </w:rPr>
              <w:t>Other impacts that may result from the extension of the bright-line test include:</w:t>
            </w:r>
          </w:p>
          <w:p w14:paraId="1DD0AF69" w14:textId="77777777" w:rsidR="002E3CD5" w:rsidRPr="000F45B4" w:rsidRDefault="002E3CD5" w:rsidP="00AC667E">
            <w:pPr>
              <w:pStyle w:val="ListParagraph"/>
              <w:numPr>
                <w:ilvl w:val="0"/>
                <w:numId w:val="46"/>
              </w:numPr>
              <w:spacing w:after="109" w:line="240" w:lineRule="auto"/>
              <w:ind w:left="515" w:hanging="515"/>
              <w:contextualSpacing w:val="0"/>
              <w:rPr>
                <w:rFonts w:cs="Arial"/>
                <w:szCs w:val="22"/>
              </w:rPr>
            </w:pPr>
            <w:r w:rsidRPr="000F45B4">
              <w:rPr>
                <w:rFonts w:cs="Arial"/>
                <w:szCs w:val="22"/>
              </w:rPr>
              <w:t>The ‘lock-in’ effect – i.e. investors retain properties longer than they otherwise would have as a result of the desire to avoid the tax.  While the efficiency impacts of this are partially borne by the investors (as noted above), there are wider impacts on the housing market.  The impact of lock-in on the housing market is unclear.  For example, it could potentially improve tenure stability for renters but reduce the flow of housing onto the market for owner-occupiers to buy.</w:t>
            </w:r>
            <w:r w:rsidRPr="000F45B4">
              <w:rPr>
                <w:rFonts w:cs="Arial"/>
                <w:szCs w:val="22"/>
                <w:lang w:eastAsia="en-AU"/>
              </w:rPr>
              <w:t xml:space="preserve">  The reduced flow could arise from the reduced utilisation of the housing stock, as the extended bright-line test may discourage people selling property to others who may put it to more productive use, such as housing intensification or a higher utilisation rate.</w:t>
            </w:r>
          </w:p>
          <w:p w14:paraId="69E60A69" w14:textId="77777777" w:rsidR="002E3CD5" w:rsidRDefault="002E3CD5" w:rsidP="00AC667E">
            <w:pPr>
              <w:pStyle w:val="ListParagraph"/>
              <w:numPr>
                <w:ilvl w:val="0"/>
                <w:numId w:val="46"/>
              </w:numPr>
              <w:spacing w:after="109" w:line="240" w:lineRule="auto"/>
              <w:ind w:left="515" w:hanging="515"/>
              <w:contextualSpacing w:val="0"/>
              <w:rPr>
                <w:rFonts w:cs="Arial"/>
                <w:szCs w:val="22"/>
              </w:rPr>
            </w:pPr>
            <w:r w:rsidRPr="000F45B4">
              <w:rPr>
                <w:rFonts w:cs="Arial"/>
                <w:szCs w:val="22"/>
              </w:rPr>
              <w:t xml:space="preserve">If the proposals reduce demand from investors, this may (all else being equal) improve affordability for </w:t>
            </w:r>
            <w:r w:rsidR="00792C08">
              <w:rPr>
                <w:rFonts w:cs="Arial"/>
                <w:szCs w:val="22"/>
              </w:rPr>
              <w:t>first-home buyers</w:t>
            </w:r>
            <w:r w:rsidRPr="000F45B4">
              <w:rPr>
                <w:rFonts w:cs="Arial"/>
                <w:szCs w:val="22"/>
              </w:rPr>
              <w:t xml:space="preserve"> (as they face less competition in the market from investors) (this is the objective of the measure).  This has other non-monetary flow on impacts, such as greater stability of tenure (and the associated secondary benefits), or decreased labour market mobility.   </w:t>
            </w:r>
          </w:p>
          <w:p w14:paraId="392A51FC" w14:textId="77777777" w:rsidR="002E3CD5" w:rsidRPr="000F45B4" w:rsidRDefault="002E3CD5" w:rsidP="00AC667E">
            <w:pPr>
              <w:pStyle w:val="ListParagraph"/>
              <w:numPr>
                <w:ilvl w:val="0"/>
                <w:numId w:val="46"/>
              </w:numPr>
              <w:spacing w:after="109" w:line="240" w:lineRule="auto"/>
              <w:ind w:left="515" w:hanging="515"/>
              <w:contextualSpacing w:val="0"/>
              <w:rPr>
                <w:rFonts w:cs="Arial"/>
                <w:szCs w:val="22"/>
              </w:rPr>
            </w:pPr>
            <w:r w:rsidRPr="000F45B4">
              <w:rPr>
                <w:rFonts w:cs="Arial"/>
                <w:szCs w:val="22"/>
              </w:rPr>
              <w:t xml:space="preserve">Impact on related markets – The consequential impacts on related markets from this policy are not clear.  To the extent that this policy discourages investors and reduces investor demand, the capital that would have otherwise been invested in residential property is displaced to other markets.  This ‘displaced’ capital may manifest in one or more of the following outcomes: </w:t>
            </w:r>
          </w:p>
          <w:p w14:paraId="27980358" w14:textId="77777777" w:rsidR="002E3CD5" w:rsidRPr="000F45B4" w:rsidRDefault="002E3CD5" w:rsidP="00AC667E">
            <w:pPr>
              <w:pStyle w:val="ListParagraph"/>
              <w:numPr>
                <w:ilvl w:val="0"/>
                <w:numId w:val="59"/>
              </w:numPr>
              <w:spacing w:after="109" w:line="240" w:lineRule="auto"/>
              <w:ind w:left="1031" w:hanging="515"/>
              <w:contextualSpacing w:val="0"/>
              <w:rPr>
                <w:rFonts w:cs="Arial"/>
                <w:szCs w:val="22"/>
              </w:rPr>
            </w:pPr>
            <w:r w:rsidRPr="000F45B4">
              <w:rPr>
                <w:rFonts w:cs="Arial"/>
                <w:szCs w:val="22"/>
              </w:rPr>
              <w:t xml:space="preserve">Marginally increased demand for alternative investment types (as residential investment becomes relatively less attractive). </w:t>
            </w:r>
          </w:p>
          <w:p w14:paraId="0DC515CC" w14:textId="77777777" w:rsidR="002E3CD5" w:rsidRPr="000F45B4" w:rsidRDefault="002E3CD5" w:rsidP="00AC667E">
            <w:pPr>
              <w:pStyle w:val="ListParagraph"/>
              <w:numPr>
                <w:ilvl w:val="0"/>
                <w:numId w:val="59"/>
              </w:numPr>
              <w:spacing w:after="109" w:line="240" w:lineRule="auto"/>
              <w:ind w:left="1031" w:hanging="515"/>
              <w:contextualSpacing w:val="0"/>
              <w:rPr>
                <w:rFonts w:cs="Arial"/>
                <w:szCs w:val="22"/>
              </w:rPr>
            </w:pPr>
            <w:r w:rsidRPr="000F45B4">
              <w:rPr>
                <w:rFonts w:cs="Arial"/>
                <w:szCs w:val="22"/>
              </w:rPr>
              <w:t xml:space="preserve">Purchasing a relatively more expensive main home than would otherwise be the case, as people invest more capital into the (untaxed) family home instead of investment property. </w:t>
            </w:r>
          </w:p>
          <w:p w14:paraId="5CE1E9E1" w14:textId="77777777" w:rsidR="002E3CD5" w:rsidRPr="000F45B4" w:rsidRDefault="002E3CD5" w:rsidP="00AC667E">
            <w:pPr>
              <w:pStyle w:val="ListParagraph"/>
              <w:numPr>
                <w:ilvl w:val="0"/>
                <w:numId w:val="59"/>
              </w:numPr>
              <w:spacing w:after="109" w:line="240" w:lineRule="auto"/>
              <w:ind w:left="1031" w:hanging="515"/>
              <w:contextualSpacing w:val="0"/>
              <w:rPr>
                <w:rFonts w:cs="Arial"/>
                <w:szCs w:val="22"/>
              </w:rPr>
            </w:pPr>
            <w:r w:rsidRPr="000F45B4">
              <w:rPr>
                <w:rFonts w:cs="Arial"/>
                <w:szCs w:val="22"/>
              </w:rPr>
              <w:t xml:space="preserve">Other (non-housing) forms of increased consumption spending (as the net returns from investment decrease, consumption becomes relatively more attractive). </w:t>
            </w:r>
          </w:p>
          <w:p w14:paraId="61D65479" w14:textId="77777777" w:rsidR="002E3CD5" w:rsidRPr="000F45B4" w:rsidRDefault="002E3CD5" w:rsidP="00AC667E">
            <w:pPr>
              <w:pStyle w:val="ListParagraph"/>
              <w:numPr>
                <w:ilvl w:val="0"/>
                <w:numId w:val="59"/>
              </w:numPr>
              <w:spacing w:after="109" w:line="240" w:lineRule="auto"/>
              <w:ind w:left="1031" w:hanging="515"/>
              <w:contextualSpacing w:val="0"/>
              <w:rPr>
                <w:rFonts w:cs="Arial"/>
                <w:szCs w:val="22"/>
              </w:rPr>
            </w:pPr>
            <w:r w:rsidRPr="000F45B4">
              <w:rPr>
                <w:rFonts w:cs="Arial"/>
                <w:szCs w:val="22"/>
              </w:rPr>
              <w:t xml:space="preserve">Reduced demand for complementary goods and services, such as real estate and conveyancing services.  </w:t>
            </w:r>
          </w:p>
          <w:p w14:paraId="767389D5" w14:textId="77777777" w:rsidR="002E3CD5" w:rsidRPr="000F45B4" w:rsidRDefault="002E3CD5" w:rsidP="00AC667E">
            <w:pPr>
              <w:pStyle w:val="ListParagraph"/>
              <w:numPr>
                <w:ilvl w:val="0"/>
                <w:numId w:val="59"/>
              </w:numPr>
              <w:spacing w:after="109" w:line="240" w:lineRule="auto"/>
              <w:ind w:left="1031" w:hanging="515"/>
              <w:contextualSpacing w:val="0"/>
              <w:rPr>
                <w:rFonts w:cs="Arial"/>
                <w:szCs w:val="22"/>
              </w:rPr>
            </w:pPr>
            <w:r w:rsidRPr="000F45B4">
              <w:rPr>
                <w:rFonts w:cs="Arial"/>
                <w:szCs w:val="22"/>
              </w:rPr>
              <w:t>Lower savings: if alternative investments have lower yields, this will reduce savings (particularly retirement savings) of people who would have otherwise been landlords.</w:t>
            </w:r>
          </w:p>
        </w:tc>
      </w:tr>
    </w:tbl>
    <w:p w14:paraId="29ECED65" w14:textId="77777777" w:rsidR="002E3CD5" w:rsidRPr="0005691A" w:rsidRDefault="002E3CD5" w:rsidP="002E3CD5">
      <w:pPr>
        <w:pStyle w:val="spacer"/>
        <w:spacing w:before="240" w:after="120"/>
        <w:rPr>
          <w:rFonts w:cs="Arial"/>
          <w:b/>
          <w:color w:val="0082AB"/>
          <w:spacing w:val="20"/>
          <w:w w:val="90"/>
          <w:sz w:val="32"/>
          <w:szCs w:val="24"/>
        </w:rPr>
      </w:pPr>
      <w:r w:rsidRPr="0005691A">
        <w:rPr>
          <w:rFonts w:cs="Arial"/>
          <w:b/>
          <w:color w:val="0082AB"/>
          <w:spacing w:val="20"/>
          <w:w w:val="90"/>
          <w:sz w:val="32"/>
          <w:szCs w:val="24"/>
        </w:rPr>
        <w:t>Section 6:  Implementation and operation</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E3CD5" w:rsidRPr="000A2B04" w14:paraId="44BB73B1" w14:textId="77777777" w:rsidTr="00AC667E">
        <w:trPr>
          <w:trHeight w:val="77"/>
        </w:trPr>
        <w:tc>
          <w:tcPr>
            <w:tcW w:w="9072" w:type="dxa"/>
            <w:shd w:val="clear" w:color="auto" w:fill="99CDDD"/>
          </w:tcPr>
          <w:p w14:paraId="015C15C2" w14:textId="77777777" w:rsidR="002E3CD5" w:rsidRPr="000A2B04" w:rsidRDefault="002E3CD5" w:rsidP="00AC667E">
            <w:pPr>
              <w:spacing w:before="54" w:after="54" w:line="240" w:lineRule="auto"/>
              <w:rPr>
                <w:rFonts w:cs="Arial"/>
                <w:b/>
                <w:color w:val="002060"/>
                <w:lang w:eastAsia="en-AU"/>
              </w:rPr>
            </w:pPr>
            <w:r w:rsidRPr="000A2B04">
              <w:rPr>
                <w:rFonts w:cs="Arial"/>
                <w:b/>
                <w:color w:val="002060"/>
                <w:lang w:eastAsia="en-AU"/>
              </w:rPr>
              <w:br w:type="page"/>
            </w:r>
            <w:r>
              <w:rPr>
                <w:rFonts w:cs="Arial"/>
                <w:b/>
                <w:lang w:eastAsia="en-AU"/>
              </w:rPr>
              <w:t xml:space="preserve">6.1   </w:t>
            </w:r>
            <w:r w:rsidRPr="006172F1">
              <w:rPr>
                <w:rFonts w:cs="Arial"/>
                <w:b/>
                <w:lang w:eastAsia="en-AU"/>
              </w:rPr>
              <w:t>How will the new arrangements work in practice?</w:t>
            </w:r>
          </w:p>
        </w:tc>
      </w:tr>
      <w:tr w:rsidR="002E3CD5" w:rsidRPr="0049467D" w14:paraId="32B911AE" w14:textId="77777777" w:rsidTr="00C167FA">
        <w:trPr>
          <w:trHeight w:val="2173"/>
        </w:trPr>
        <w:tc>
          <w:tcPr>
            <w:tcW w:w="9072" w:type="dxa"/>
            <w:shd w:val="clear" w:color="auto" w:fill="auto"/>
          </w:tcPr>
          <w:p w14:paraId="66521A54" w14:textId="77777777" w:rsidR="002E3CD5" w:rsidRPr="000403F7" w:rsidRDefault="002E3CD5" w:rsidP="00C167FA">
            <w:pPr>
              <w:spacing w:before="218" w:after="218" w:line="240" w:lineRule="auto"/>
            </w:pPr>
            <w:r>
              <w:t>The Treasury and Inland Revenue</w:t>
            </w:r>
            <w:r w:rsidRPr="000403F7">
              <w:t xml:space="preserve"> understand that Ministers intend the proposals to apply to new purchases of property only. </w:t>
            </w:r>
            <w:r>
              <w:t xml:space="preserve"> </w:t>
            </w:r>
            <w:r w:rsidRPr="000403F7">
              <w:t xml:space="preserve">Given this, there is a risk that if there is a delay between </w:t>
            </w:r>
            <w:r w:rsidRPr="000F45B4">
              <w:rPr>
                <w:rFonts w:cs="Arial"/>
                <w:szCs w:val="22"/>
              </w:rPr>
              <w:t>announcement</w:t>
            </w:r>
            <w:r w:rsidRPr="000403F7">
              <w:t xml:space="preserve"> and </w:t>
            </w:r>
            <w:r>
              <w:t>the time from which</w:t>
            </w:r>
            <w:r w:rsidRPr="000403F7">
              <w:t xml:space="preserve"> the proposals apply, investors </w:t>
            </w:r>
            <w:r>
              <w:t>will seek to purchase property</w:t>
            </w:r>
            <w:r w:rsidRPr="000403F7">
              <w:t xml:space="preserve"> before the proposals </w:t>
            </w:r>
            <w:r>
              <w:t>apply</w:t>
            </w:r>
            <w:r w:rsidRPr="000403F7">
              <w:t>.</w:t>
            </w:r>
          </w:p>
          <w:p w14:paraId="76C8E353" w14:textId="2A779E24" w:rsidR="002E3CD5" w:rsidRPr="000403F7" w:rsidRDefault="002E3CD5" w:rsidP="00AC667E">
            <w:pPr>
              <w:spacing w:before="218" w:after="218" w:line="240" w:lineRule="auto"/>
            </w:pPr>
            <w:r w:rsidRPr="000403F7">
              <w:t xml:space="preserve">Officials recommend </w:t>
            </w:r>
            <w:r>
              <w:t>aligning the date of announcement with the date at which new purchases will be subject to the new regime.</w:t>
            </w:r>
            <w:r w:rsidRPr="000403F7">
              <w:t xml:space="preserve"> </w:t>
            </w:r>
            <w:r>
              <w:t xml:space="preserve"> </w:t>
            </w:r>
            <w:r w:rsidRPr="000403F7">
              <w:t xml:space="preserve">This means that when legislation is </w:t>
            </w:r>
            <w:r>
              <w:t>enacted</w:t>
            </w:r>
            <w:r w:rsidRPr="000403F7">
              <w:t xml:space="preserve">, it will apply </w:t>
            </w:r>
            <w:r>
              <w:t>retrospectiv</w:t>
            </w:r>
            <w:r w:rsidR="00792C08">
              <w:t>ely</w:t>
            </w:r>
            <w:r>
              <w:t>.</w:t>
            </w:r>
          </w:p>
          <w:p w14:paraId="13C5ED0D" w14:textId="77777777" w:rsidR="002E3CD5" w:rsidRDefault="002E3CD5" w:rsidP="00AC667E">
            <w:pPr>
              <w:spacing w:before="218" w:after="218" w:line="240" w:lineRule="auto"/>
            </w:pPr>
            <w:r w:rsidRPr="000403F7">
              <w:lastRenderedPageBreak/>
              <w:t xml:space="preserve">There is likely to be an expectation that when the </w:t>
            </w:r>
            <w:r>
              <w:t xml:space="preserve">changes </w:t>
            </w:r>
            <w:r w:rsidRPr="000403F7">
              <w:t xml:space="preserve">are announced, there </w:t>
            </w:r>
            <w:r>
              <w:t>will be</w:t>
            </w:r>
            <w:r w:rsidRPr="000403F7">
              <w:t xml:space="preserve"> a sufficient level of </w:t>
            </w:r>
            <w:r w:rsidRPr="000F45B4">
              <w:rPr>
                <w:rFonts w:cs="Arial"/>
                <w:szCs w:val="22"/>
              </w:rPr>
              <w:t>detail</w:t>
            </w:r>
            <w:r w:rsidRPr="000403F7">
              <w:t xml:space="preserve"> to allow people to assess whether the</w:t>
            </w:r>
            <w:r>
              <w:t xml:space="preserve"> changes</w:t>
            </w:r>
            <w:r w:rsidRPr="000403F7">
              <w:t xml:space="preserve"> </w:t>
            </w:r>
            <w:r>
              <w:t xml:space="preserve">apply </w:t>
            </w:r>
            <w:r w:rsidRPr="000403F7">
              <w:t>to them</w:t>
            </w:r>
            <w:r>
              <w:t>, given that the Government will be announcing its intention to pass retrospective legislation</w:t>
            </w:r>
            <w:r w:rsidRPr="000403F7">
              <w:t xml:space="preserve">. </w:t>
            </w:r>
          </w:p>
          <w:p w14:paraId="2B23D5FA" w14:textId="77777777" w:rsidR="002E3CD5" w:rsidRPr="000403F7" w:rsidRDefault="002E3CD5" w:rsidP="00AC667E">
            <w:pPr>
              <w:spacing w:after="218" w:line="240" w:lineRule="auto"/>
              <w:rPr>
                <w:i/>
                <w:iCs/>
              </w:rPr>
            </w:pPr>
            <w:r>
              <w:rPr>
                <w:i/>
                <w:iCs/>
              </w:rPr>
              <w:t>Bright-line announcement</w:t>
            </w:r>
          </w:p>
          <w:p w14:paraId="18D4B1E3" w14:textId="4F32B63A" w:rsidR="002E3CD5" w:rsidRPr="0049467D" w:rsidRDefault="002E3CD5" w:rsidP="00AC667E">
            <w:pPr>
              <w:spacing w:before="218" w:after="218" w:line="240" w:lineRule="auto"/>
              <w:rPr>
                <w:rFonts w:cs="Arial"/>
                <w:szCs w:val="22"/>
              </w:rPr>
            </w:pPr>
            <w:r w:rsidRPr="000403F7">
              <w:t xml:space="preserve">Officials </w:t>
            </w:r>
            <w:r w:rsidRPr="000F45B4">
              <w:rPr>
                <w:rFonts w:cs="Arial"/>
                <w:szCs w:val="22"/>
              </w:rPr>
              <w:t>recommend</w:t>
            </w:r>
            <w:r w:rsidRPr="000403F7">
              <w:t xml:space="preserve"> announcing </w:t>
            </w:r>
            <w:r w:rsidR="00154595">
              <w:t xml:space="preserve">that </w:t>
            </w:r>
            <w:r w:rsidRPr="000403F7">
              <w:t>the bright</w:t>
            </w:r>
            <w:r>
              <w:t>-</w:t>
            </w:r>
            <w:r w:rsidRPr="000403F7">
              <w:t xml:space="preserve">line extension </w:t>
            </w:r>
            <w:r>
              <w:t>is intended to be applicable from 11.59pm on the day of the announcement.</w:t>
            </w:r>
          </w:p>
        </w:tc>
      </w:tr>
    </w:tbl>
    <w:p w14:paraId="00E80D3E" w14:textId="77777777" w:rsidR="002E3CD5" w:rsidRPr="0049467D" w:rsidRDefault="002E3CD5" w:rsidP="002E3CD5">
      <w:pPr>
        <w:pStyle w:val="spacer"/>
        <w:spacing w:before="240"/>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E3CD5" w:rsidRPr="000A2B04" w14:paraId="6EF6DEC7" w14:textId="77777777" w:rsidTr="00AC667E">
        <w:trPr>
          <w:trHeight w:val="132"/>
        </w:trPr>
        <w:tc>
          <w:tcPr>
            <w:tcW w:w="9072" w:type="dxa"/>
            <w:shd w:val="clear" w:color="auto" w:fill="99CDDD"/>
          </w:tcPr>
          <w:p w14:paraId="6150AC82" w14:textId="77777777" w:rsidR="002E3CD5" w:rsidRPr="000A2B04" w:rsidRDefault="002E3CD5" w:rsidP="00AC667E">
            <w:pPr>
              <w:keepNext/>
              <w:keepLines/>
              <w:spacing w:before="54" w:after="54" w:line="240" w:lineRule="auto"/>
              <w:rPr>
                <w:rFonts w:cs="Arial"/>
                <w:b/>
                <w:color w:val="002060"/>
                <w:lang w:eastAsia="en-AU"/>
              </w:rPr>
            </w:pPr>
            <w:r w:rsidRPr="000A2B04">
              <w:rPr>
                <w:rFonts w:cs="Arial"/>
                <w:b/>
                <w:color w:val="002060"/>
                <w:lang w:eastAsia="en-AU"/>
              </w:rPr>
              <w:br w:type="page"/>
            </w:r>
            <w:r>
              <w:rPr>
                <w:rFonts w:cs="Arial"/>
                <w:b/>
                <w:lang w:eastAsia="en-AU"/>
              </w:rPr>
              <w:t xml:space="preserve">6.2   </w:t>
            </w:r>
            <w:r w:rsidRPr="006172F1">
              <w:rPr>
                <w:rFonts w:cs="Arial"/>
                <w:b/>
                <w:lang w:eastAsia="en-AU"/>
              </w:rPr>
              <w:t>What are the implementation risks?</w:t>
            </w:r>
          </w:p>
        </w:tc>
      </w:tr>
      <w:tr w:rsidR="002E3CD5" w:rsidRPr="0049467D" w14:paraId="54B4BE93" w14:textId="77777777" w:rsidTr="00AC667E">
        <w:trPr>
          <w:trHeight w:val="1226"/>
        </w:trPr>
        <w:tc>
          <w:tcPr>
            <w:tcW w:w="9072" w:type="dxa"/>
            <w:shd w:val="clear" w:color="auto" w:fill="FFFFFF"/>
          </w:tcPr>
          <w:p w14:paraId="0FCD5EA6" w14:textId="77777777" w:rsidR="002E3CD5" w:rsidRPr="0049467D" w:rsidRDefault="002E3CD5" w:rsidP="00AC667E">
            <w:pPr>
              <w:spacing w:before="218" w:after="218" w:line="240" w:lineRule="auto"/>
              <w:rPr>
                <w:rFonts w:cs="Arial"/>
                <w:szCs w:val="22"/>
              </w:rPr>
            </w:pPr>
            <w:r w:rsidRPr="00905515">
              <w:t xml:space="preserve">There has been no consultation on these proposals to date.  A consultation process on how the proposals would be implemented would mitigate any risk of overreach (including properties not intended to </w:t>
            </w:r>
            <w:r w:rsidRPr="000F45B4">
              <w:rPr>
                <w:rFonts w:cs="Arial"/>
                <w:szCs w:val="22"/>
              </w:rPr>
              <w:t>be</w:t>
            </w:r>
            <w:r w:rsidRPr="00905515">
              <w:t xml:space="preserve"> affected) or under</w:t>
            </w:r>
            <w:r>
              <w:t>-</w:t>
            </w:r>
            <w:r w:rsidRPr="00905515">
              <w:t>reach (not including intended properties).</w:t>
            </w:r>
          </w:p>
        </w:tc>
      </w:tr>
    </w:tbl>
    <w:p w14:paraId="5AB58BE8" w14:textId="77777777" w:rsidR="002E3CD5" w:rsidRPr="0005691A" w:rsidRDefault="002E3CD5" w:rsidP="002E3CD5">
      <w:pPr>
        <w:pStyle w:val="spacer"/>
        <w:spacing w:before="240" w:after="120"/>
        <w:rPr>
          <w:rFonts w:cs="Arial"/>
          <w:b/>
          <w:color w:val="0082AB"/>
          <w:spacing w:val="20"/>
          <w:w w:val="90"/>
          <w:sz w:val="32"/>
          <w:szCs w:val="24"/>
        </w:rPr>
      </w:pPr>
      <w:r w:rsidRPr="0005691A">
        <w:rPr>
          <w:rFonts w:cs="Arial"/>
          <w:b/>
          <w:color w:val="0082AB"/>
          <w:spacing w:val="20"/>
          <w:w w:val="90"/>
          <w:sz w:val="32"/>
          <w:szCs w:val="24"/>
        </w:rPr>
        <w:t>Section 7:</w:t>
      </w:r>
      <w:r>
        <w:rPr>
          <w:rFonts w:cs="Arial"/>
          <w:b/>
          <w:color w:val="0082AB"/>
          <w:spacing w:val="20"/>
          <w:w w:val="90"/>
          <w:sz w:val="32"/>
          <w:szCs w:val="24"/>
        </w:rPr>
        <w:t xml:space="preserve"> </w:t>
      </w:r>
      <w:r w:rsidRPr="0005691A">
        <w:rPr>
          <w:rFonts w:cs="Arial"/>
          <w:b/>
          <w:color w:val="0082AB"/>
          <w:spacing w:val="20"/>
          <w:w w:val="90"/>
          <w:sz w:val="32"/>
          <w:szCs w:val="24"/>
        </w:rPr>
        <w:t>Monitoring, evaluation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E3CD5" w:rsidRPr="0049467D" w14:paraId="03D54A99" w14:textId="77777777" w:rsidTr="00AC667E">
        <w:trPr>
          <w:trHeight w:val="206"/>
        </w:trPr>
        <w:tc>
          <w:tcPr>
            <w:tcW w:w="9072" w:type="dxa"/>
            <w:shd w:val="clear" w:color="auto" w:fill="99CDDD"/>
          </w:tcPr>
          <w:p w14:paraId="01C5297D" w14:textId="77777777" w:rsidR="002E3CD5" w:rsidRPr="0049467D" w:rsidRDefault="002E3CD5" w:rsidP="00AC667E">
            <w:pPr>
              <w:keepNext/>
              <w:spacing w:before="54" w:after="54" w:line="240" w:lineRule="auto"/>
              <w:rPr>
                <w:rFonts w:cs="Arial"/>
                <w:b/>
                <w:szCs w:val="22"/>
                <w:lang w:eastAsia="en-AU"/>
              </w:rPr>
            </w:pPr>
            <w:r>
              <w:rPr>
                <w:rFonts w:cs="Arial"/>
                <w:b/>
                <w:szCs w:val="22"/>
                <w:lang w:eastAsia="en-AU"/>
              </w:rPr>
              <w:br w:type="page"/>
              <w:t xml:space="preserve">7.1   </w:t>
            </w:r>
            <w:r w:rsidRPr="0049467D">
              <w:rPr>
                <w:rFonts w:cs="Arial"/>
                <w:b/>
                <w:szCs w:val="22"/>
                <w:lang w:eastAsia="en-AU"/>
              </w:rPr>
              <w:t>How will the impact of the new arrangements be monitored?</w:t>
            </w:r>
          </w:p>
        </w:tc>
      </w:tr>
      <w:tr w:rsidR="002E3CD5" w:rsidRPr="0049467D" w14:paraId="46DE597C" w14:textId="77777777" w:rsidTr="00AC667E">
        <w:trPr>
          <w:trHeight w:val="3573"/>
        </w:trPr>
        <w:tc>
          <w:tcPr>
            <w:tcW w:w="9072" w:type="dxa"/>
            <w:shd w:val="clear" w:color="auto" w:fill="FFFFFF" w:themeFill="background1"/>
          </w:tcPr>
          <w:p w14:paraId="289B8D2D" w14:textId="77777777" w:rsidR="002E3CD5" w:rsidRDefault="002E3CD5" w:rsidP="00C167FA">
            <w:pPr>
              <w:spacing w:before="218" w:after="218" w:line="240" w:lineRule="auto"/>
            </w:pPr>
            <w:r w:rsidRPr="007676C7">
              <w:t xml:space="preserve">To </w:t>
            </w:r>
            <w:r w:rsidRPr="000F45B4">
              <w:rPr>
                <w:rFonts w:cs="Arial"/>
                <w:szCs w:val="22"/>
              </w:rPr>
              <w:t>assist</w:t>
            </w:r>
            <w:r w:rsidRPr="007676C7">
              <w:t xml:space="preserve"> work on compliance with property transactions, Inland Revenue now includes property-related information into its Data Intelligence Platform (DIP). </w:t>
            </w:r>
            <w:r>
              <w:t xml:space="preserve"> </w:t>
            </w:r>
            <w:r w:rsidRPr="007676C7">
              <w:t>The DIP brings together data from different sources t</w:t>
            </w:r>
            <w:r w:rsidRPr="12AEF493">
              <w:t>o</w:t>
            </w:r>
            <w:r w:rsidRPr="007676C7">
              <w:t xml:space="preserve"> provide an end-to</w:t>
            </w:r>
            <w:r>
              <w:t>-</w:t>
            </w:r>
            <w:r w:rsidRPr="007676C7">
              <w:t>end view of property transactions throughout New Zealand.  While still under development, the DIP is being used to identify suspected cases of property non-compliance and is a searchable record of customers’ past property transitions.</w:t>
            </w:r>
          </w:p>
          <w:p w14:paraId="7283CDA7" w14:textId="77777777" w:rsidR="002E3CD5" w:rsidRDefault="002E3CD5" w:rsidP="00AC667E">
            <w:pPr>
              <w:spacing w:before="218" w:after="218" w:line="240" w:lineRule="auto"/>
            </w:pPr>
            <w:r>
              <w:t>To support an extended bright-line period and exempting new-builds from the new rules, Inland Revenue would look to enhance information it collects from customers directly and/or via LINZ, however the details of this are still being worked through.</w:t>
            </w:r>
          </w:p>
          <w:p w14:paraId="45757A37" w14:textId="77777777" w:rsidR="002E3CD5" w:rsidRPr="00584FFF" w:rsidRDefault="002E3CD5" w:rsidP="00AC667E">
            <w:pPr>
              <w:spacing w:before="218" w:after="218" w:line="240" w:lineRule="auto"/>
            </w:pPr>
            <w:r>
              <w:t xml:space="preserve">Given the many competing influences on housing affordability, officials do not expect to be able to monitor the impact of this arrangement on the housing market, house prices, or rents. </w:t>
            </w:r>
            <w:r>
              <w:tab/>
            </w:r>
          </w:p>
        </w:tc>
      </w:tr>
      <w:tr w:rsidR="002E3CD5" w:rsidRPr="0049467D" w14:paraId="544D8097" w14:textId="77777777" w:rsidTr="00AC667E">
        <w:trPr>
          <w:trHeight w:val="296"/>
        </w:trPr>
        <w:tc>
          <w:tcPr>
            <w:tcW w:w="9072" w:type="dxa"/>
            <w:shd w:val="clear" w:color="auto" w:fill="99CDDD"/>
          </w:tcPr>
          <w:p w14:paraId="5B1BCB27" w14:textId="77777777" w:rsidR="002E3CD5" w:rsidRPr="0049467D" w:rsidRDefault="002E3CD5" w:rsidP="00AC667E">
            <w:pPr>
              <w:keepNext/>
              <w:spacing w:before="54" w:after="54" w:line="240" w:lineRule="auto"/>
              <w:rPr>
                <w:rFonts w:cs="Arial"/>
                <w:b/>
                <w:szCs w:val="22"/>
                <w:lang w:eastAsia="en-AU"/>
              </w:rPr>
            </w:pPr>
            <w:r>
              <w:rPr>
                <w:rFonts w:cs="Arial"/>
                <w:b/>
                <w:szCs w:val="22"/>
                <w:lang w:eastAsia="en-AU"/>
              </w:rPr>
              <w:br w:type="page"/>
              <w:t xml:space="preserve">7.2   </w:t>
            </w:r>
            <w:r w:rsidRPr="0049467D">
              <w:rPr>
                <w:rFonts w:cs="Arial"/>
                <w:b/>
                <w:szCs w:val="22"/>
                <w:lang w:eastAsia="en-AU"/>
              </w:rPr>
              <w:t xml:space="preserve">When and how will the new arrangements be reviewed? </w:t>
            </w:r>
          </w:p>
        </w:tc>
      </w:tr>
      <w:tr w:rsidR="002E3CD5" w:rsidRPr="0049467D" w14:paraId="66A12AD0" w14:textId="77777777" w:rsidTr="00AC667E">
        <w:trPr>
          <w:trHeight w:val="1781"/>
        </w:trPr>
        <w:tc>
          <w:tcPr>
            <w:tcW w:w="9072" w:type="dxa"/>
            <w:shd w:val="clear" w:color="auto" w:fill="FFFFFF"/>
          </w:tcPr>
          <w:p w14:paraId="3C4B1080" w14:textId="77777777" w:rsidR="002E3CD5" w:rsidRDefault="002E3CD5" w:rsidP="00C167FA">
            <w:pPr>
              <w:spacing w:before="218" w:after="218" w:line="240" w:lineRule="auto"/>
              <w:rPr>
                <w:rFonts w:cs="Arial"/>
                <w:color w:val="000000"/>
                <w:szCs w:val="22"/>
              </w:rPr>
            </w:pPr>
            <w:r>
              <w:rPr>
                <w:rFonts w:cs="Arial"/>
                <w:color w:val="000000"/>
                <w:szCs w:val="22"/>
              </w:rPr>
              <w:t>There are measures in place to review the existing 5</w:t>
            </w:r>
            <w:r w:rsidR="009F6780">
              <w:rPr>
                <w:rFonts w:cs="Arial"/>
                <w:color w:val="000000"/>
                <w:szCs w:val="22"/>
              </w:rPr>
              <w:t>-</w:t>
            </w:r>
            <w:r>
              <w:rPr>
                <w:rFonts w:cs="Arial"/>
                <w:color w:val="000000"/>
                <w:szCs w:val="22"/>
              </w:rPr>
              <w:t xml:space="preserve">year bright-line test. These measures will continue to be used for an extended bright-line test. </w:t>
            </w:r>
          </w:p>
          <w:p w14:paraId="26C4CAB4" w14:textId="77777777" w:rsidR="002E3CD5" w:rsidRPr="0049467D" w:rsidRDefault="002E3CD5" w:rsidP="00AC667E">
            <w:pPr>
              <w:spacing w:before="218" w:after="218" w:line="240" w:lineRule="auto"/>
              <w:rPr>
                <w:rFonts w:cs="Arial"/>
                <w:szCs w:val="22"/>
              </w:rPr>
            </w:pPr>
            <w:r w:rsidRPr="007676C7">
              <w:rPr>
                <w:rFonts w:cs="Arial"/>
                <w:color w:val="000000"/>
                <w:szCs w:val="22"/>
              </w:rPr>
              <w:t xml:space="preserve">Policy officials maintain strong communication channels with stakeholders in the tax advisory community, and these stakeholders will be able to correspond with officials about the operation of the new rules at any time.  If problems emerge, </w:t>
            </w:r>
            <w:r w:rsidRPr="000F45B4">
              <w:t>they</w:t>
            </w:r>
            <w:r w:rsidRPr="007676C7">
              <w:rPr>
                <w:rFonts w:cs="Arial"/>
                <w:color w:val="000000"/>
                <w:szCs w:val="22"/>
              </w:rPr>
              <w:t xml:space="preserve"> will be dealt with either operationally, or by way of legislative amendment if agreed by Parliament.</w:t>
            </w:r>
          </w:p>
        </w:tc>
      </w:tr>
    </w:tbl>
    <w:p w14:paraId="4FF45C15" w14:textId="77777777" w:rsidR="002E3CD5" w:rsidRPr="0049467D" w:rsidRDefault="002E3CD5" w:rsidP="00C167FA">
      <w:pPr>
        <w:pStyle w:val="spacer"/>
      </w:pPr>
    </w:p>
    <w:sectPr w:rsidR="002E3CD5" w:rsidRPr="0049467D" w:rsidSect="0005691A">
      <w:headerReference w:type="even" r:id="rId12"/>
      <w:headerReference w:type="default" r:id="rId13"/>
      <w:footerReference w:type="even" r:id="rId14"/>
      <w:headerReference w:type="first" r:id="rId15"/>
      <w:footerReference w:type="first" r:id="rId16"/>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438F" w14:textId="77777777" w:rsidR="000509EB" w:rsidRDefault="000509EB">
      <w:pPr>
        <w:spacing w:after="0" w:line="240" w:lineRule="auto"/>
      </w:pPr>
      <w:r>
        <w:separator/>
      </w:r>
    </w:p>
  </w:endnote>
  <w:endnote w:type="continuationSeparator" w:id="0">
    <w:p w14:paraId="000107D0" w14:textId="77777777" w:rsidR="000509EB" w:rsidRDefault="000509EB">
      <w:pPr>
        <w:spacing w:after="0" w:line="240" w:lineRule="auto"/>
      </w:pPr>
      <w:r>
        <w:continuationSeparator/>
      </w:r>
    </w:p>
  </w:endnote>
  <w:endnote w:type="continuationNotice" w:id="1">
    <w:p w14:paraId="773788A4" w14:textId="77777777" w:rsidR="000509EB" w:rsidRDefault="00050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1DB91" w14:textId="6BB62C0F" w:rsidR="00F36ECA" w:rsidRPr="00584FFF" w:rsidRDefault="00F36ECA" w:rsidP="00657EC5">
    <w:pPr>
      <w:pStyle w:val="Footer"/>
    </w:pPr>
    <w:bookmarkStart w:id="6" w:name="TsyIMFooter"/>
    <w:r>
      <w:t xml:space="preserve">Treasury:4426491v1 </w:t>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CE0A" w14:textId="56CDAF35" w:rsidR="00F36ECA" w:rsidRDefault="00F36ECA" w:rsidP="00657EC5">
    <w:pPr>
      <w:pStyle w:val="Footer"/>
    </w:pPr>
    <w:r w:rsidRPr="00657EC5">
      <w:t>Tax measures to moderate house price growth – extension of the bright-line test</w:t>
    </w:r>
    <w:r>
      <w:tab/>
    </w:r>
    <w:r w:rsidRPr="00584FFF">
      <w:rPr>
        <w:sz w:val="20"/>
        <w:szCs w:val="20"/>
      </w:rPr>
      <w:fldChar w:fldCharType="begin"/>
    </w:r>
    <w:r w:rsidRPr="00584FFF">
      <w:rPr>
        <w:sz w:val="20"/>
        <w:szCs w:val="20"/>
      </w:rPr>
      <w:instrText xml:space="preserve"> PAGE </w:instrText>
    </w:r>
    <w:r w:rsidRPr="00584FFF">
      <w:rPr>
        <w:sz w:val="20"/>
        <w:szCs w:val="20"/>
      </w:rPr>
      <w:fldChar w:fldCharType="separate"/>
    </w:r>
    <w:r w:rsidR="002C0877">
      <w:rPr>
        <w:sz w:val="20"/>
        <w:szCs w:val="20"/>
      </w:rPr>
      <w:t>28</w:t>
    </w:r>
    <w:r w:rsidRPr="00584FFF">
      <w:rPr>
        <w:sz w:val="20"/>
        <w:szCs w:val="20"/>
      </w:rPr>
      <w:fldChar w:fldCharType="end"/>
    </w:r>
  </w:p>
  <w:p w14:paraId="224E2954" w14:textId="77777777" w:rsidR="00F36ECA" w:rsidRPr="00584FFF" w:rsidRDefault="00F36ECA" w:rsidP="00657EC5">
    <w:pPr>
      <w:pStyle w:val="Footer"/>
    </w:pPr>
    <w:r w:rsidRPr="00584FFF">
      <w:t xml:space="preserve">Treasury:4417139v1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4255" w14:textId="77777777" w:rsidR="00F36ECA" w:rsidRDefault="00F36ECA" w:rsidP="00657E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4B02" w14:textId="77777777" w:rsidR="00F36ECA" w:rsidRDefault="00F36ECA" w:rsidP="00657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6B98" w14:textId="77777777" w:rsidR="000509EB" w:rsidRDefault="000509EB">
      <w:pPr>
        <w:spacing w:after="0" w:line="240" w:lineRule="auto"/>
      </w:pPr>
      <w:r>
        <w:separator/>
      </w:r>
    </w:p>
  </w:footnote>
  <w:footnote w:type="continuationSeparator" w:id="0">
    <w:p w14:paraId="7032FEF5" w14:textId="77777777" w:rsidR="000509EB" w:rsidRDefault="000509EB">
      <w:pPr>
        <w:spacing w:after="0" w:line="240" w:lineRule="auto"/>
      </w:pPr>
      <w:r>
        <w:continuationSeparator/>
      </w:r>
    </w:p>
  </w:footnote>
  <w:footnote w:type="continuationNotice" w:id="1">
    <w:p w14:paraId="19E3EE5A" w14:textId="77777777" w:rsidR="000509EB" w:rsidRDefault="000509EB">
      <w:pPr>
        <w:spacing w:after="0" w:line="240" w:lineRule="auto"/>
      </w:pPr>
    </w:p>
  </w:footnote>
  <w:footnote w:id="2">
    <w:p w14:paraId="3749D148" w14:textId="4A3D5C8C" w:rsidR="00F36ECA" w:rsidRPr="00C26422" w:rsidRDefault="00F36ECA" w:rsidP="00C167FA">
      <w:pPr>
        <w:pStyle w:val="FootnoteText"/>
        <w:tabs>
          <w:tab w:val="clear" w:pos="425"/>
        </w:tabs>
        <w:spacing w:after="0"/>
        <w:ind w:left="567" w:hanging="567"/>
        <w:rPr>
          <w:sz w:val="16"/>
          <w:szCs w:val="16"/>
          <w:lang w:val="en-NZ"/>
        </w:rPr>
      </w:pPr>
      <w:r w:rsidRPr="00C26422">
        <w:rPr>
          <w:rStyle w:val="FootnoteReference"/>
          <w:szCs w:val="16"/>
        </w:rPr>
        <w:footnoteRef/>
      </w:r>
      <w:r w:rsidRPr="00C26422">
        <w:rPr>
          <w:sz w:val="16"/>
          <w:szCs w:val="16"/>
        </w:rPr>
        <w:t xml:space="preserve"> </w:t>
      </w:r>
      <w:r w:rsidRPr="00C26422">
        <w:rPr>
          <w:sz w:val="16"/>
          <w:szCs w:val="16"/>
        </w:rPr>
        <w:tab/>
        <w:t xml:space="preserve">Stats NZ, data from 1916-2018 Censuses. </w:t>
      </w:r>
      <w:hyperlink r:id="rId1" w:history="1">
        <w:r w:rsidRPr="00C167FA">
          <w:rPr>
            <w:rStyle w:val="Hyperlink"/>
            <w:color w:val="0000FF"/>
            <w:sz w:val="16"/>
            <w:szCs w:val="16"/>
          </w:rPr>
          <w:t>https://www.stats.govt.nz/news/homeownership-rate-lowest-in-almost-70-years</w:t>
        </w:r>
      </w:hyperlink>
    </w:p>
  </w:footnote>
  <w:footnote w:id="3">
    <w:p w14:paraId="204CA5CD" w14:textId="77777777" w:rsidR="00F36ECA" w:rsidRPr="00C26422" w:rsidRDefault="00F36ECA" w:rsidP="002E3CD5">
      <w:pPr>
        <w:pStyle w:val="FootnoteText"/>
        <w:tabs>
          <w:tab w:val="clear" w:pos="425"/>
        </w:tabs>
        <w:spacing w:after="0"/>
        <w:ind w:left="567" w:hanging="567"/>
        <w:rPr>
          <w:sz w:val="16"/>
          <w:szCs w:val="16"/>
          <w:lang w:val="en-NZ"/>
        </w:rPr>
      </w:pPr>
      <w:r w:rsidRPr="00C26422">
        <w:rPr>
          <w:rStyle w:val="FootnoteReference"/>
          <w:szCs w:val="16"/>
        </w:rPr>
        <w:footnoteRef/>
      </w:r>
      <w:r w:rsidRPr="00C26422">
        <w:rPr>
          <w:sz w:val="16"/>
          <w:szCs w:val="16"/>
        </w:rPr>
        <w:t xml:space="preserve"> </w:t>
      </w:r>
      <w:r w:rsidRPr="00C26422">
        <w:rPr>
          <w:sz w:val="16"/>
          <w:szCs w:val="16"/>
        </w:rPr>
        <w:tab/>
      </w:r>
      <w:r w:rsidRPr="00C26422">
        <w:rPr>
          <w:sz w:val="16"/>
          <w:szCs w:val="16"/>
          <w:lang w:val="en-NZ"/>
        </w:rPr>
        <w:t>HUD analysis and CoreLogic (monthly)</w:t>
      </w:r>
    </w:p>
  </w:footnote>
  <w:footnote w:id="4">
    <w:p w14:paraId="378162A5" w14:textId="679C6341" w:rsidR="00F36ECA" w:rsidRPr="00C26422" w:rsidRDefault="00F36ECA" w:rsidP="00E14877">
      <w:pPr>
        <w:pStyle w:val="FootnoteText"/>
        <w:spacing w:after="0"/>
        <w:rPr>
          <w:rStyle w:val="FootnoteReference"/>
          <w:szCs w:val="16"/>
        </w:rPr>
      </w:pPr>
      <w:r w:rsidRPr="00C26422">
        <w:rPr>
          <w:rStyle w:val="FootnoteReference"/>
          <w:szCs w:val="16"/>
        </w:rPr>
        <w:footnoteRef/>
      </w:r>
      <w:r w:rsidRPr="00C26422">
        <w:rPr>
          <w:rStyle w:val="FootnoteReference"/>
          <w:szCs w:val="16"/>
        </w:rPr>
        <w:t xml:space="preserve"> </w:t>
      </w:r>
      <w:r w:rsidRPr="00C26422">
        <w:rPr>
          <w:sz w:val="16"/>
          <w:szCs w:val="16"/>
        </w:rPr>
        <w:tab/>
      </w:r>
      <w:r w:rsidRPr="00C26422">
        <w:rPr>
          <w:rStyle w:val="FootnoteReference"/>
          <w:szCs w:val="16"/>
        </w:rPr>
        <w:t xml:space="preserve">Treasury analysis </w:t>
      </w:r>
    </w:p>
  </w:footnote>
  <w:footnote w:id="5">
    <w:p w14:paraId="396D05A8" w14:textId="267EDE51" w:rsidR="00F36ECA" w:rsidRPr="00C26422" w:rsidRDefault="00F36ECA" w:rsidP="00E14877">
      <w:pPr>
        <w:pStyle w:val="FootnoteText"/>
        <w:tabs>
          <w:tab w:val="clear" w:pos="425"/>
        </w:tabs>
        <w:spacing w:after="0"/>
        <w:ind w:left="567" w:hanging="567"/>
        <w:rPr>
          <w:rStyle w:val="FootnoteReference"/>
          <w:position w:val="0"/>
          <w:szCs w:val="16"/>
        </w:rPr>
      </w:pPr>
      <w:r w:rsidRPr="00C26422">
        <w:rPr>
          <w:rStyle w:val="FootnoteReference"/>
          <w:szCs w:val="16"/>
        </w:rPr>
        <w:footnoteRef/>
      </w:r>
      <w:r w:rsidRPr="00C26422">
        <w:rPr>
          <w:rStyle w:val="FootnoteReference"/>
          <w:szCs w:val="16"/>
        </w:rPr>
        <w:t xml:space="preserve"> </w:t>
      </w:r>
      <w:r w:rsidRPr="00C26422">
        <w:rPr>
          <w:sz w:val="16"/>
          <w:szCs w:val="16"/>
        </w:rPr>
        <w:tab/>
      </w:r>
      <w:r w:rsidRPr="00C26422">
        <w:rPr>
          <w:rStyle w:val="FootnoteReference"/>
          <w:szCs w:val="16"/>
        </w:rPr>
        <w:t xml:space="preserve">Stats NZ, Housing in Aotearoa: 2020, pp 47. </w:t>
      </w:r>
      <w:hyperlink r:id="rId2" w:history="1">
        <w:r w:rsidRPr="00C167FA">
          <w:rPr>
            <w:rStyle w:val="Hyperlink"/>
            <w:color w:val="0000FF"/>
            <w:position w:val="8"/>
            <w:sz w:val="16"/>
            <w:szCs w:val="16"/>
          </w:rPr>
          <w:t>https://www.stats.govt.nz/assets/Uploads/Reports/Housing-in-Aotearoa-2020/Download-data/housing-in-aotearoa-2020.pdf</w:t>
        </w:r>
      </w:hyperlink>
    </w:p>
  </w:footnote>
  <w:footnote w:id="6">
    <w:p w14:paraId="413A5E5C" w14:textId="4C78FB09" w:rsidR="00F36ECA" w:rsidRPr="00C26422" w:rsidRDefault="00F36ECA" w:rsidP="00E14877">
      <w:pPr>
        <w:pStyle w:val="FootnoteText"/>
        <w:tabs>
          <w:tab w:val="clear" w:pos="425"/>
        </w:tabs>
        <w:spacing w:after="0"/>
        <w:ind w:left="567" w:hanging="567"/>
        <w:rPr>
          <w:rStyle w:val="FootnoteReference"/>
          <w:szCs w:val="16"/>
        </w:rPr>
      </w:pPr>
      <w:r w:rsidRPr="00C26422">
        <w:rPr>
          <w:rStyle w:val="FootnoteReference"/>
          <w:szCs w:val="16"/>
        </w:rPr>
        <w:footnoteRef/>
      </w:r>
      <w:r w:rsidRPr="00C26422">
        <w:rPr>
          <w:rStyle w:val="FootnoteReference"/>
          <w:szCs w:val="16"/>
        </w:rPr>
        <w:t xml:space="preserve"> </w:t>
      </w:r>
      <w:r w:rsidRPr="00C26422">
        <w:rPr>
          <w:sz w:val="16"/>
          <w:szCs w:val="16"/>
        </w:rPr>
        <w:tab/>
      </w:r>
      <w:r w:rsidRPr="00C26422">
        <w:rPr>
          <w:rStyle w:val="FootnoteReference"/>
          <w:szCs w:val="16"/>
        </w:rPr>
        <w:t xml:space="preserve">OECD Better Life Index (2020). </w:t>
      </w:r>
      <w:hyperlink r:id="rId3" w:history="1">
        <w:r w:rsidRPr="00C167FA">
          <w:rPr>
            <w:rStyle w:val="Hyperlink"/>
            <w:color w:val="0000FF"/>
            <w:sz w:val="16"/>
            <w:szCs w:val="18"/>
          </w:rPr>
          <w:t>http://www.oecdbetterlifeindex.org/topics/housing/</w:t>
        </w:r>
      </w:hyperlink>
    </w:p>
  </w:footnote>
  <w:footnote w:id="7">
    <w:p w14:paraId="7742B3D4" w14:textId="584356CB" w:rsidR="00F36ECA" w:rsidRPr="00C26422" w:rsidRDefault="00F36ECA" w:rsidP="00E14877">
      <w:pPr>
        <w:pStyle w:val="FootnoteText"/>
        <w:spacing w:after="0"/>
        <w:rPr>
          <w:rStyle w:val="FootnoteReference"/>
          <w:szCs w:val="16"/>
        </w:rPr>
      </w:pPr>
      <w:r w:rsidRPr="00C26422">
        <w:rPr>
          <w:rStyle w:val="FootnoteReference"/>
          <w:szCs w:val="16"/>
        </w:rPr>
        <w:footnoteRef/>
      </w:r>
      <w:r w:rsidRPr="00C26422">
        <w:rPr>
          <w:rStyle w:val="FootnoteReference"/>
          <w:szCs w:val="16"/>
        </w:rPr>
        <w:t xml:space="preserve"> </w:t>
      </w:r>
      <w:r w:rsidRPr="00C26422">
        <w:rPr>
          <w:sz w:val="16"/>
          <w:szCs w:val="16"/>
        </w:rPr>
        <w:tab/>
      </w:r>
      <w:r w:rsidRPr="00C26422">
        <w:rPr>
          <w:rStyle w:val="FootnoteReference"/>
          <w:szCs w:val="16"/>
        </w:rPr>
        <w:t xml:space="preserve">Stats NZ, Housing in Aotearoa: 2020, pp 48, Figure 35. </w:t>
      </w:r>
      <w:hyperlink r:id="rId4" w:history="1">
        <w:r w:rsidRPr="00C167FA">
          <w:rPr>
            <w:rStyle w:val="Hyperlink"/>
            <w:color w:val="0000FF"/>
            <w:sz w:val="16"/>
            <w:szCs w:val="18"/>
          </w:rPr>
          <w:t>https://www.stats.govt.nz/assets/Uploads/Reports/Housing-in-Aotearoa-2020/Download-data/housing-in-aotearoa-2020.pdf</w:t>
        </w:r>
      </w:hyperlink>
    </w:p>
  </w:footnote>
  <w:footnote w:id="8">
    <w:p w14:paraId="54F9C5FF" w14:textId="2A659160" w:rsidR="00F36ECA" w:rsidRPr="00C26422" w:rsidRDefault="00F36ECA" w:rsidP="00E14877">
      <w:pPr>
        <w:pStyle w:val="FootnoteText"/>
        <w:spacing w:after="0"/>
        <w:rPr>
          <w:sz w:val="16"/>
          <w:szCs w:val="16"/>
          <w:lang w:val="en-NZ"/>
        </w:rPr>
      </w:pPr>
      <w:r w:rsidRPr="00C26422">
        <w:rPr>
          <w:rStyle w:val="FootnoteReference"/>
          <w:szCs w:val="16"/>
        </w:rPr>
        <w:footnoteRef/>
      </w:r>
      <w:r w:rsidRPr="00C26422">
        <w:rPr>
          <w:rStyle w:val="FootnoteReference"/>
          <w:szCs w:val="16"/>
        </w:rPr>
        <w:t xml:space="preserve"> </w:t>
      </w:r>
      <w:r w:rsidRPr="00C26422">
        <w:rPr>
          <w:sz w:val="16"/>
          <w:szCs w:val="16"/>
        </w:rPr>
        <w:tab/>
      </w:r>
      <w:r w:rsidRPr="00C26422">
        <w:rPr>
          <w:rStyle w:val="FootnoteReference"/>
          <w:szCs w:val="16"/>
        </w:rPr>
        <w:t>REINZ Monthly Report October, pp 6. (Released 12 November 2020)</w:t>
      </w:r>
    </w:p>
  </w:footnote>
  <w:footnote w:id="9">
    <w:p w14:paraId="0D2DBCC1" w14:textId="1586CB5F" w:rsidR="00F36ECA" w:rsidRPr="00C26422" w:rsidRDefault="00F36ECA" w:rsidP="00E14877">
      <w:pPr>
        <w:pStyle w:val="FootnoteText"/>
        <w:spacing w:after="0"/>
        <w:rPr>
          <w:sz w:val="16"/>
          <w:szCs w:val="16"/>
          <w:lang w:val="en-NZ"/>
        </w:rPr>
      </w:pPr>
      <w:r w:rsidRPr="00C26422">
        <w:rPr>
          <w:rStyle w:val="FootnoteReference"/>
          <w:szCs w:val="16"/>
        </w:rPr>
        <w:footnoteRef/>
      </w:r>
      <w:r w:rsidRPr="00C26422">
        <w:rPr>
          <w:rStyle w:val="FootnoteReference"/>
          <w:szCs w:val="16"/>
        </w:rPr>
        <w:t xml:space="preserve"> </w:t>
      </w:r>
      <w:r w:rsidRPr="00C26422">
        <w:rPr>
          <w:sz w:val="16"/>
          <w:szCs w:val="16"/>
        </w:rPr>
        <w:tab/>
      </w:r>
      <w:r w:rsidRPr="00C26422">
        <w:rPr>
          <w:rStyle w:val="FootnoteReference"/>
          <w:szCs w:val="16"/>
        </w:rPr>
        <w:t>Stats NZ, Housing in Aotearoa: 2020.</w:t>
      </w:r>
    </w:p>
  </w:footnote>
  <w:footnote w:id="10">
    <w:p w14:paraId="2EAEE7EB" w14:textId="6F34B787" w:rsidR="00F36ECA" w:rsidRPr="00C26422" w:rsidRDefault="00F36ECA" w:rsidP="00E14877">
      <w:pPr>
        <w:pStyle w:val="FootnoteText"/>
        <w:spacing w:after="0"/>
        <w:rPr>
          <w:sz w:val="16"/>
          <w:szCs w:val="16"/>
          <w:lang w:val="en-NZ"/>
        </w:rPr>
      </w:pPr>
      <w:r w:rsidRPr="00C26422">
        <w:rPr>
          <w:rStyle w:val="FootnoteReference"/>
          <w:szCs w:val="16"/>
        </w:rPr>
        <w:footnoteRef/>
      </w:r>
      <w:r w:rsidRPr="00C26422">
        <w:rPr>
          <w:rStyle w:val="FootnoteReference"/>
          <w:szCs w:val="16"/>
        </w:rPr>
        <w:t xml:space="preserve"> </w:t>
      </w:r>
      <w:r w:rsidRPr="00C26422">
        <w:rPr>
          <w:rStyle w:val="FootnoteReference"/>
          <w:szCs w:val="16"/>
        </w:rPr>
        <w:tab/>
        <w:t>Stats NZ, Figure 16 of Housing in Aotearoa: 2020.</w:t>
      </w:r>
    </w:p>
  </w:footnote>
  <w:footnote w:id="11">
    <w:p w14:paraId="0703F7DE" w14:textId="5471A2D7" w:rsidR="00F36ECA" w:rsidRPr="00C26422" w:rsidRDefault="00F36ECA" w:rsidP="00E14877">
      <w:pPr>
        <w:pStyle w:val="FootnoteText"/>
        <w:spacing w:after="0"/>
        <w:rPr>
          <w:sz w:val="16"/>
          <w:szCs w:val="16"/>
          <w:lang w:val="en-NZ"/>
        </w:rPr>
      </w:pPr>
      <w:r w:rsidRPr="00C26422">
        <w:rPr>
          <w:rStyle w:val="FootnoteReference"/>
          <w:szCs w:val="16"/>
        </w:rPr>
        <w:footnoteRef/>
      </w:r>
      <w:r w:rsidRPr="00C26422">
        <w:rPr>
          <w:rStyle w:val="FootnoteReference"/>
          <w:szCs w:val="16"/>
        </w:rPr>
        <w:t xml:space="preserve"> </w:t>
      </w:r>
      <w:r w:rsidRPr="00C26422">
        <w:rPr>
          <w:rStyle w:val="FootnoteReference"/>
          <w:szCs w:val="16"/>
        </w:rPr>
        <w:tab/>
        <w:t xml:space="preserve">Stats NZ, data from 1916-2018 Censuses. </w:t>
      </w:r>
      <w:hyperlink r:id="rId5" w:history="1">
        <w:r w:rsidRPr="00C167FA">
          <w:rPr>
            <w:rStyle w:val="Hyperlink"/>
            <w:color w:val="0000FF"/>
            <w:sz w:val="16"/>
            <w:szCs w:val="18"/>
          </w:rPr>
          <w:t>https://www.stats.govt.nz/news/homeownership-rate-lowest-in-almost-70-years</w:t>
        </w:r>
      </w:hyperlink>
    </w:p>
  </w:footnote>
  <w:footnote w:id="12">
    <w:p w14:paraId="3E48BCCA" w14:textId="77777777" w:rsidR="00F36ECA" w:rsidRPr="00C26422" w:rsidRDefault="00F36ECA" w:rsidP="002E3CD5">
      <w:pPr>
        <w:pStyle w:val="FootnoteText"/>
        <w:rPr>
          <w:rStyle w:val="FootnoteReference"/>
          <w:szCs w:val="16"/>
        </w:rPr>
      </w:pPr>
      <w:r w:rsidRPr="00C26422">
        <w:rPr>
          <w:rStyle w:val="FootnoteReference"/>
          <w:szCs w:val="16"/>
        </w:rPr>
        <w:footnoteRef/>
      </w:r>
      <w:r w:rsidRPr="00C26422">
        <w:rPr>
          <w:rStyle w:val="FootnoteReference"/>
          <w:szCs w:val="16"/>
        </w:rPr>
        <w:t xml:space="preserve"> Stats NZ, Housing in Aotearoa: 2020.</w:t>
      </w:r>
    </w:p>
  </w:footnote>
  <w:footnote w:id="13">
    <w:p w14:paraId="3F832CE5" w14:textId="6B6A3B00" w:rsidR="00F36ECA" w:rsidRPr="00C26422" w:rsidRDefault="00F36ECA" w:rsidP="00E14877">
      <w:pPr>
        <w:pStyle w:val="FootnoteText"/>
        <w:spacing w:after="0"/>
        <w:rPr>
          <w:sz w:val="16"/>
          <w:szCs w:val="16"/>
          <w:lang w:val="en-NZ"/>
        </w:rPr>
      </w:pPr>
      <w:r w:rsidRPr="00C26422">
        <w:rPr>
          <w:rStyle w:val="FootnoteReference"/>
          <w:szCs w:val="16"/>
        </w:rPr>
        <w:footnoteRef/>
      </w:r>
      <w:r w:rsidRPr="00C26422">
        <w:rPr>
          <w:rStyle w:val="FootnoteReference"/>
          <w:szCs w:val="16"/>
        </w:rPr>
        <w:t xml:space="preserve"> </w:t>
      </w:r>
      <w:r w:rsidRPr="00C26422">
        <w:rPr>
          <w:sz w:val="16"/>
          <w:szCs w:val="16"/>
        </w:rPr>
        <w:tab/>
      </w:r>
      <w:hyperlink r:id="rId6" w:history="1">
        <w:r w:rsidRPr="00C167FA">
          <w:rPr>
            <w:rStyle w:val="Hyperlink"/>
            <w:color w:val="0000FF"/>
            <w:position w:val="8"/>
            <w:sz w:val="16"/>
            <w:szCs w:val="16"/>
          </w:rPr>
          <w:t>https://www.infometrics.co.nz/nz-short-by-nearly-40000-houses/</w:t>
        </w:r>
      </w:hyperlink>
      <w:r w:rsidRPr="00C26422">
        <w:rPr>
          <w:rStyle w:val="FootnoteReference"/>
          <w:szCs w:val="16"/>
        </w:rPr>
        <w:t xml:space="preserve"> and </w:t>
      </w:r>
      <w:proofErr w:type="spellStart"/>
      <w:r w:rsidRPr="00C26422">
        <w:rPr>
          <w:rStyle w:val="FootnoteReference"/>
          <w:szCs w:val="16"/>
        </w:rPr>
        <w:t>Kiwibank</w:t>
      </w:r>
      <w:proofErr w:type="spellEnd"/>
      <w:r w:rsidRPr="00C26422">
        <w:rPr>
          <w:rStyle w:val="FootnoteReference"/>
          <w:szCs w:val="16"/>
        </w:rPr>
        <w:t xml:space="preserve"> analysis</w:t>
      </w:r>
    </w:p>
  </w:footnote>
  <w:footnote w:id="14">
    <w:p w14:paraId="265E2562" w14:textId="0C5B7AE4" w:rsidR="00F36ECA" w:rsidRPr="00C26422" w:rsidRDefault="00F36ECA" w:rsidP="00E14877">
      <w:pPr>
        <w:pStyle w:val="FootnoteText"/>
        <w:tabs>
          <w:tab w:val="clear" w:pos="425"/>
        </w:tabs>
        <w:ind w:left="567" w:hanging="567"/>
        <w:rPr>
          <w:sz w:val="16"/>
          <w:szCs w:val="16"/>
          <w:lang w:val="en-NZ"/>
        </w:rPr>
      </w:pPr>
      <w:r w:rsidRPr="00C26422">
        <w:rPr>
          <w:rStyle w:val="FootnoteReference"/>
          <w:szCs w:val="16"/>
        </w:rPr>
        <w:footnoteRef/>
      </w:r>
      <w:r w:rsidRPr="00C26422">
        <w:rPr>
          <w:sz w:val="16"/>
          <w:szCs w:val="16"/>
        </w:rPr>
        <w:t xml:space="preserve"> </w:t>
      </w:r>
      <w:r w:rsidRPr="00C26422">
        <w:rPr>
          <w:sz w:val="16"/>
          <w:szCs w:val="16"/>
        </w:rPr>
        <w:tab/>
      </w:r>
      <w:r w:rsidRPr="00C26422">
        <w:rPr>
          <w:sz w:val="16"/>
          <w:szCs w:val="16"/>
          <w:lang w:val="en-NZ"/>
        </w:rPr>
        <w:t>A new-build exemption would apply</w:t>
      </w:r>
      <w:r w:rsidRPr="00C26422">
        <w:rPr>
          <w:rFonts w:cs="Arial"/>
          <w:sz w:val="16"/>
          <w:szCs w:val="16"/>
          <w:lang w:eastAsia="en-AU"/>
        </w:rPr>
        <w:t xml:space="preserve"> to early investors in newly-built housing (any purchaser up to 12 months after the council code compliance certificate is issued under the Building Act 2004) from the extension.</w:t>
      </w:r>
    </w:p>
  </w:footnote>
  <w:footnote w:id="15">
    <w:p w14:paraId="04CCF26D" w14:textId="77777777" w:rsidR="00F36ECA" w:rsidRPr="00C26422" w:rsidRDefault="00F36ECA" w:rsidP="002E3CD5">
      <w:pPr>
        <w:pStyle w:val="FootnoteText"/>
        <w:tabs>
          <w:tab w:val="clear" w:pos="425"/>
        </w:tabs>
        <w:ind w:left="567" w:hanging="567"/>
        <w:rPr>
          <w:sz w:val="16"/>
          <w:szCs w:val="16"/>
          <w:lang w:val="en-NZ"/>
        </w:rPr>
      </w:pPr>
      <w:r w:rsidRPr="00C26422">
        <w:rPr>
          <w:rStyle w:val="FootnoteReference"/>
          <w:szCs w:val="16"/>
        </w:rPr>
        <w:footnoteRef/>
      </w:r>
      <w:r w:rsidRPr="00C26422">
        <w:rPr>
          <w:sz w:val="16"/>
          <w:szCs w:val="16"/>
        </w:rPr>
        <w:t xml:space="preserve"> </w:t>
      </w:r>
      <w:r w:rsidRPr="00C26422">
        <w:rPr>
          <w:sz w:val="16"/>
          <w:szCs w:val="16"/>
        </w:rPr>
        <w:tab/>
        <w:t>Victoria University Tax Working Group, 2010, p. 15.</w:t>
      </w:r>
    </w:p>
  </w:footnote>
  <w:footnote w:id="16">
    <w:p w14:paraId="457D008F" w14:textId="5F5C48DE" w:rsidR="00F36ECA" w:rsidRPr="00C26422" w:rsidRDefault="00F36ECA" w:rsidP="00C26422">
      <w:pPr>
        <w:pStyle w:val="FootnoteText"/>
        <w:spacing w:after="0"/>
        <w:rPr>
          <w:sz w:val="16"/>
          <w:szCs w:val="16"/>
          <w:lang w:val="en-NZ"/>
        </w:rPr>
      </w:pPr>
      <w:r w:rsidRPr="00C26422">
        <w:rPr>
          <w:rStyle w:val="FootnoteReference"/>
          <w:szCs w:val="16"/>
        </w:rPr>
        <w:footnoteRef/>
      </w:r>
      <w:r w:rsidRPr="00C26422">
        <w:rPr>
          <w:sz w:val="16"/>
          <w:szCs w:val="16"/>
        </w:rPr>
        <w:t xml:space="preserve"> </w:t>
      </w:r>
      <w:r w:rsidRPr="00C26422">
        <w:rPr>
          <w:sz w:val="16"/>
          <w:szCs w:val="16"/>
        </w:rPr>
        <w:tab/>
        <w:t>The tax paid on the sale of property may be delayed or reduced if they</w:t>
      </w:r>
      <w:r w:rsidRPr="00C26422">
        <w:rPr>
          <w:sz w:val="16"/>
          <w:szCs w:val="16"/>
          <w:lang w:val="en-NZ"/>
        </w:rPr>
        <w:t xml:space="preserve"> are held in trusts or companies.</w:t>
      </w:r>
    </w:p>
  </w:footnote>
  <w:footnote w:id="17">
    <w:p w14:paraId="678B5A4B" w14:textId="726448CF" w:rsidR="00F36ECA" w:rsidRPr="00C26422" w:rsidRDefault="00F36ECA" w:rsidP="00C26422">
      <w:pPr>
        <w:pStyle w:val="FootnoteText"/>
        <w:spacing w:after="0"/>
        <w:rPr>
          <w:sz w:val="16"/>
          <w:szCs w:val="16"/>
          <w:lang w:val="en-NZ"/>
        </w:rPr>
      </w:pPr>
      <w:r w:rsidRPr="00C26422">
        <w:rPr>
          <w:rStyle w:val="FootnoteReference"/>
          <w:szCs w:val="16"/>
        </w:rPr>
        <w:footnoteRef/>
      </w:r>
      <w:r w:rsidRPr="00C26422">
        <w:rPr>
          <w:sz w:val="16"/>
          <w:szCs w:val="16"/>
        </w:rPr>
        <w:t xml:space="preserve"> </w:t>
      </w:r>
      <w:r w:rsidRPr="00C26422">
        <w:rPr>
          <w:sz w:val="16"/>
          <w:szCs w:val="16"/>
        </w:rPr>
        <w:tab/>
      </w:r>
      <w:r w:rsidRPr="00C26422">
        <w:rPr>
          <w:sz w:val="16"/>
          <w:szCs w:val="16"/>
          <w:lang w:val="en-NZ"/>
        </w:rPr>
        <w:t xml:space="preserve">See Net Worth of residential (rental) real estate, </w:t>
      </w:r>
      <w:r w:rsidRPr="00C26422">
        <w:rPr>
          <w:i/>
          <w:sz w:val="16"/>
          <w:szCs w:val="16"/>
          <w:lang w:val="en-NZ"/>
        </w:rPr>
        <w:t>Household expenditure statistics 2018</w:t>
      </w:r>
      <w:r w:rsidRPr="00C26422">
        <w:rPr>
          <w:sz w:val="16"/>
          <w:szCs w:val="16"/>
          <w:lang w:val="en-NZ"/>
        </w:rPr>
        <w:t>, Statistics NZ.</w:t>
      </w:r>
    </w:p>
  </w:footnote>
  <w:footnote w:id="18">
    <w:p w14:paraId="6813E21C" w14:textId="74EDF022" w:rsidR="00F36ECA" w:rsidRPr="00C26422" w:rsidRDefault="00F36ECA" w:rsidP="00C26422">
      <w:pPr>
        <w:pStyle w:val="FootnoteText"/>
        <w:tabs>
          <w:tab w:val="clear" w:pos="425"/>
        </w:tabs>
        <w:spacing w:after="0"/>
        <w:ind w:left="567" w:hanging="567"/>
        <w:rPr>
          <w:sz w:val="16"/>
          <w:szCs w:val="16"/>
          <w:lang w:val="en-NZ"/>
        </w:rPr>
      </w:pPr>
      <w:r w:rsidRPr="00C26422">
        <w:rPr>
          <w:rStyle w:val="FootnoteReference"/>
          <w:szCs w:val="16"/>
        </w:rPr>
        <w:footnoteRef/>
      </w:r>
      <w:r w:rsidRPr="00C26422">
        <w:rPr>
          <w:sz w:val="16"/>
          <w:szCs w:val="16"/>
        </w:rPr>
        <w:t xml:space="preserve"> </w:t>
      </w:r>
      <w:r w:rsidRPr="00C26422">
        <w:rPr>
          <w:sz w:val="16"/>
          <w:szCs w:val="16"/>
        </w:rPr>
        <w:tab/>
      </w:r>
      <w:r w:rsidRPr="00C26422">
        <w:rPr>
          <w:sz w:val="16"/>
          <w:szCs w:val="16"/>
          <w:lang w:val="en-NZ"/>
        </w:rPr>
        <w:t>Repairs and maintenance expenses can be deducted against rental income.</w:t>
      </w:r>
    </w:p>
  </w:footnote>
  <w:footnote w:id="19">
    <w:p w14:paraId="5DD63778" w14:textId="67223DFD" w:rsidR="00F36ECA" w:rsidRPr="00C26422" w:rsidRDefault="00F36ECA" w:rsidP="00C26422">
      <w:pPr>
        <w:pStyle w:val="FootnoteText"/>
        <w:tabs>
          <w:tab w:val="clear" w:pos="425"/>
          <w:tab w:val="left" w:pos="567"/>
        </w:tabs>
        <w:ind w:left="567" w:hanging="567"/>
        <w:rPr>
          <w:sz w:val="16"/>
          <w:szCs w:val="16"/>
          <w:lang w:val="en-NZ"/>
        </w:rPr>
      </w:pPr>
      <w:r w:rsidRPr="00C26422">
        <w:rPr>
          <w:rStyle w:val="FootnoteReference"/>
          <w:szCs w:val="16"/>
        </w:rPr>
        <w:footnoteRef/>
      </w:r>
      <w:r w:rsidRPr="00C26422">
        <w:rPr>
          <w:sz w:val="16"/>
          <w:szCs w:val="16"/>
        </w:rPr>
        <w:t xml:space="preserve"> </w:t>
      </w:r>
      <w:r w:rsidRPr="00C26422">
        <w:rPr>
          <w:sz w:val="16"/>
          <w:szCs w:val="16"/>
        </w:rPr>
        <w:tab/>
      </w:r>
      <w:r w:rsidRPr="00C26422">
        <w:rPr>
          <w:sz w:val="16"/>
          <w:szCs w:val="16"/>
          <w:lang w:val="en-NZ"/>
        </w:rPr>
        <w:t>Officials intend to review what costs are deductible under the bright-line test.</w:t>
      </w:r>
    </w:p>
  </w:footnote>
  <w:footnote w:id="20">
    <w:p w14:paraId="7E1AD4A0" w14:textId="177857C8" w:rsidR="00F36ECA" w:rsidRPr="00C26422" w:rsidRDefault="00F36ECA" w:rsidP="00C26422">
      <w:pPr>
        <w:pStyle w:val="FootnoteText"/>
        <w:tabs>
          <w:tab w:val="clear" w:pos="425"/>
        </w:tabs>
        <w:ind w:left="567" w:hanging="567"/>
        <w:rPr>
          <w:sz w:val="16"/>
          <w:szCs w:val="16"/>
          <w:lang w:val="en-NZ"/>
        </w:rPr>
      </w:pPr>
      <w:r w:rsidRPr="00C26422">
        <w:rPr>
          <w:rStyle w:val="FootnoteReference"/>
          <w:szCs w:val="16"/>
        </w:rPr>
        <w:footnoteRef/>
      </w:r>
      <w:r w:rsidRPr="00C26422">
        <w:rPr>
          <w:sz w:val="16"/>
          <w:szCs w:val="16"/>
        </w:rPr>
        <w:t xml:space="preserve"> </w:t>
      </w:r>
      <w:r>
        <w:rPr>
          <w:sz w:val="16"/>
          <w:szCs w:val="16"/>
        </w:rPr>
        <w:tab/>
      </w:r>
      <w:r w:rsidRPr="00C26422">
        <w:rPr>
          <w:sz w:val="16"/>
          <w:szCs w:val="16"/>
          <w:lang w:val="en-NZ"/>
        </w:rPr>
        <w:t xml:space="preserve">See Net Worth of residential (rental) real estate, </w:t>
      </w:r>
      <w:r w:rsidRPr="00C26422">
        <w:rPr>
          <w:i/>
          <w:sz w:val="16"/>
          <w:szCs w:val="16"/>
          <w:lang w:val="en-NZ"/>
        </w:rPr>
        <w:t>Household expenditure statistics 2018</w:t>
      </w:r>
      <w:r w:rsidRPr="00C26422">
        <w:rPr>
          <w:sz w:val="16"/>
          <w:szCs w:val="16"/>
          <w:lang w:val="en-NZ"/>
        </w:rPr>
        <w:t>, Statistics NZ.</w:t>
      </w:r>
    </w:p>
  </w:footnote>
  <w:footnote w:id="21">
    <w:p w14:paraId="665BFCC0" w14:textId="0F24CF58" w:rsidR="00F36ECA" w:rsidRPr="00C26422" w:rsidRDefault="00F36ECA" w:rsidP="00C26422">
      <w:pPr>
        <w:pStyle w:val="FootnoteText"/>
        <w:tabs>
          <w:tab w:val="clear" w:pos="425"/>
        </w:tabs>
        <w:ind w:left="567" w:hanging="567"/>
        <w:rPr>
          <w:sz w:val="16"/>
          <w:szCs w:val="16"/>
          <w:lang w:val="en-NZ"/>
        </w:rPr>
      </w:pPr>
      <w:r w:rsidRPr="00C26422">
        <w:rPr>
          <w:rStyle w:val="FootnoteReference"/>
          <w:szCs w:val="16"/>
        </w:rPr>
        <w:footnoteRef/>
      </w:r>
      <w:r w:rsidRPr="00C26422">
        <w:rPr>
          <w:sz w:val="16"/>
          <w:szCs w:val="16"/>
        </w:rPr>
        <w:t xml:space="preserve"> </w:t>
      </w:r>
      <w:r>
        <w:rPr>
          <w:sz w:val="16"/>
          <w:szCs w:val="16"/>
        </w:rPr>
        <w:tab/>
      </w:r>
      <w:r w:rsidRPr="00C26422">
        <w:rPr>
          <w:sz w:val="16"/>
          <w:szCs w:val="16"/>
          <w:lang w:val="en-NZ"/>
        </w:rPr>
        <w:t>Subject to the limitations discussed in relation to table 1.</w:t>
      </w:r>
    </w:p>
  </w:footnote>
  <w:footnote w:id="22">
    <w:p w14:paraId="71FC510D" w14:textId="2F4F3240" w:rsidR="00F36ECA" w:rsidRPr="00C26422" w:rsidRDefault="00F36ECA" w:rsidP="00C26422">
      <w:pPr>
        <w:pStyle w:val="FootnoteText"/>
        <w:tabs>
          <w:tab w:val="clear" w:pos="425"/>
        </w:tabs>
        <w:ind w:left="567" w:hanging="567"/>
        <w:rPr>
          <w:sz w:val="16"/>
          <w:szCs w:val="16"/>
          <w:lang w:val="en-NZ"/>
        </w:rPr>
      </w:pPr>
      <w:r w:rsidRPr="00C26422">
        <w:rPr>
          <w:rStyle w:val="FootnoteReference"/>
          <w:szCs w:val="16"/>
        </w:rPr>
        <w:footnoteRef/>
      </w:r>
      <w:r w:rsidRPr="00C26422">
        <w:rPr>
          <w:sz w:val="16"/>
          <w:szCs w:val="16"/>
        </w:rPr>
        <w:t xml:space="preserve"> </w:t>
      </w:r>
      <w:r>
        <w:rPr>
          <w:sz w:val="16"/>
          <w:szCs w:val="16"/>
        </w:rPr>
        <w:tab/>
      </w:r>
      <w:r w:rsidRPr="00C26422">
        <w:rPr>
          <w:sz w:val="16"/>
          <w:szCs w:val="16"/>
          <w:lang w:val="en-NZ"/>
        </w:rPr>
        <w:t xml:space="preserve">See Net Worth of residential (rental) real estate, </w:t>
      </w:r>
      <w:r w:rsidRPr="00C26422">
        <w:rPr>
          <w:i/>
          <w:sz w:val="16"/>
          <w:szCs w:val="16"/>
          <w:lang w:val="en-NZ"/>
        </w:rPr>
        <w:t>Household expenditure statistics 2018</w:t>
      </w:r>
      <w:r w:rsidRPr="00C26422">
        <w:rPr>
          <w:sz w:val="16"/>
          <w:szCs w:val="16"/>
          <w:lang w:val="en-NZ"/>
        </w:rPr>
        <w:t>, Statistics NZ.</w:t>
      </w:r>
    </w:p>
  </w:footnote>
  <w:footnote w:id="23">
    <w:p w14:paraId="77BE50DC" w14:textId="1C0C365A" w:rsidR="00F36ECA" w:rsidRPr="00C26422" w:rsidRDefault="00F36ECA" w:rsidP="00C167FA">
      <w:pPr>
        <w:pStyle w:val="FootnoteText"/>
        <w:tabs>
          <w:tab w:val="clear" w:pos="425"/>
        </w:tabs>
        <w:ind w:left="567" w:hanging="567"/>
        <w:rPr>
          <w:sz w:val="16"/>
          <w:szCs w:val="16"/>
          <w:lang w:val="en-NZ"/>
        </w:rPr>
      </w:pPr>
      <w:r w:rsidRPr="00C26422">
        <w:rPr>
          <w:rStyle w:val="FootnoteReference"/>
          <w:szCs w:val="16"/>
        </w:rPr>
        <w:footnoteRef/>
      </w:r>
      <w:r w:rsidRPr="00C26422">
        <w:rPr>
          <w:sz w:val="16"/>
          <w:szCs w:val="16"/>
        </w:rPr>
        <w:t xml:space="preserve"> </w:t>
      </w:r>
      <w:r>
        <w:rPr>
          <w:sz w:val="16"/>
          <w:szCs w:val="16"/>
        </w:rPr>
        <w:tab/>
      </w:r>
      <w:r w:rsidRPr="00C26422">
        <w:rPr>
          <w:sz w:val="16"/>
          <w:szCs w:val="16"/>
          <w:lang w:val="en-NZ"/>
        </w:rPr>
        <w:t xml:space="preserve">See Net Worth of residential (rental) real estate, </w:t>
      </w:r>
      <w:r w:rsidRPr="00C26422">
        <w:rPr>
          <w:i/>
          <w:sz w:val="16"/>
          <w:szCs w:val="16"/>
          <w:lang w:val="en-NZ"/>
        </w:rPr>
        <w:t>Household expenditure statistics 2018</w:t>
      </w:r>
      <w:r w:rsidRPr="00C26422">
        <w:rPr>
          <w:sz w:val="16"/>
          <w:szCs w:val="16"/>
          <w:lang w:val="en-NZ"/>
        </w:rPr>
        <w:t>, Statistics 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117C" w14:textId="77777777" w:rsidR="00F36ECA" w:rsidRPr="00EB1B21" w:rsidRDefault="00F36ECA" w:rsidP="004B6F7D">
    <w:pPr>
      <w:tabs>
        <w:tab w:val="center" w:pos="4253"/>
      </w:tabs>
      <w:rPr>
        <w:b/>
      </w:rPr>
    </w:pPr>
    <w:r>
      <w:rPr>
        <w:noProof/>
        <w:lang w:val="en-NZ" w:eastAsia="en-NZ"/>
      </w:rPr>
      <mc:AlternateContent>
        <mc:Choice Requires="wps">
          <w:drawing>
            <wp:anchor distT="0" distB="0" distL="114300" distR="114300" simplePos="0" relativeHeight="251678721" behindDoc="0" locked="0" layoutInCell="0" allowOverlap="1" wp14:anchorId="0A0D91CA" wp14:editId="459EA76F">
              <wp:simplePos x="0" y="0"/>
              <wp:positionH relativeFrom="page">
                <wp:align>center</wp:align>
              </wp:positionH>
              <wp:positionV relativeFrom="page">
                <wp:align>top</wp:align>
              </wp:positionV>
              <wp:extent cx="7772400" cy="462280"/>
              <wp:effectExtent l="0" t="0" r="0" b="13970"/>
              <wp:wrapNone/>
              <wp:docPr id="3" name="MSIPCM2e2b456798557f31586cc5a3" descr="{&quot;HashCode&quot;:-202428130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AF72C1" w14:textId="77777777" w:rsidR="00F36ECA" w:rsidRPr="003C0FFB" w:rsidRDefault="00F36ECA" w:rsidP="003C0FFB">
                          <w:pPr>
                            <w:spacing w:after="0"/>
                            <w:jc w:val="center"/>
                            <w:rPr>
                              <w:rFonts w:ascii="Verdana" w:hAnsi="Verdana"/>
                              <w:color w:val="000000"/>
                              <w:sz w:val="20"/>
                            </w:rPr>
                          </w:pPr>
                          <w:r w:rsidRPr="003C0FFB">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A0D91CA" id="_x0000_t202" coordsize="21600,21600" o:spt="202" path="m,l,21600r21600,l21600,xe">
              <v:stroke joinstyle="miter"/>
              <v:path gradientshapeok="t" o:connecttype="rect"/>
            </v:shapetype>
            <v:shape id="MSIPCM2e2b456798557f31586cc5a3" o:spid="_x0000_s1026" type="#_x0000_t202" alt="{&quot;HashCode&quot;:-2024281307,&quot;Height&quot;:9999999.0,&quot;Width&quot;:9999999.0,&quot;Placement&quot;:&quot;Header&quot;,&quot;Index&quot;:&quot;Primary&quot;,&quot;Section&quot;:1,&quot;Top&quot;:0.0,&quot;Left&quot;:0.0}" style="position:absolute;margin-left:0;margin-top:0;width:612pt;height:36.4pt;z-index:25167872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" o:allowincell="f" filled="f" stroked="f" strokeweight=".5pt">
              <v:textbox inset=",0,,0">
                <w:txbxContent>
                  <w:p w14:paraId="04AF72C1" w14:textId="77777777" w:rsidR="00F36ECA" w:rsidRPr="003C0FFB" w:rsidRDefault="00F36ECA" w:rsidP="003C0FFB">
                    <w:pPr>
                      <w:spacing w:after="0"/>
                      <w:jc w:val="center"/>
                      <w:rPr>
                        <w:rFonts w:ascii="Verdana" w:hAnsi="Verdana"/>
                        <w:color w:val="000000"/>
                        <w:sz w:val="20"/>
                      </w:rPr>
                    </w:pPr>
                    <w:r w:rsidRPr="003C0FFB">
                      <w:rPr>
                        <w:rFonts w:ascii="Verdana" w:hAnsi="Verdana"/>
                        <w:color w:val="000000"/>
                        <w:sz w:val="20"/>
                      </w:rPr>
                      <w:t>[SENSITIVE]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3CD7" w14:textId="77777777" w:rsidR="00F36ECA" w:rsidRDefault="00F36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C35F" w14:textId="77777777" w:rsidR="00F36ECA" w:rsidRPr="00EB1B21" w:rsidRDefault="00F36ECA" w:rsidP="004B6F7D">
    <w:pPr>
      <w:tabs>
        <w:tab w:val="center" w:pos="4253"/>
      </w:tabs>
      <w:rPr>
        <w:b/>
      </w:rPr>
    </w:pPr>
    <w:r>
      <w:rPr>
        <w:noProof/>
        <w:lang w:val="en-NZ" w:eastAsia="en-NZ"/>
      </w:rPr>
      <mc:AlternateContent>
        <mc:Choice Requires="wps">
          <w:drawing>
            <wp:anchor distT="0" distB="0" distL="114300" distR="114300" simplePos="0" relativeHeight="251676673" behindDoc="0" locked="0" layoutInCell="0" allowOverlap="1" wp14:anchorId="728A17E0" wp14:editId="36C2E250">
              <wp:simplePos x="0" y="0"/>
              <wp:positionH relativeFrom="page">
                <wp:align>center</wp:align>
              </wp:positionH>
              <wp:positionV relativeFrom="page">
                <wp:align>top</wp:align>
              </wp:positionV>
              <wp:extent cx="7772400" cy="462280"/>
              <wp:effectExtent l="0" t="0" r="0" b="13970"/>
              <wp:wrapNone/>
              <wp:docPr id="4" name="MSIPCMda0f4c49a37e4a86bc4dabaf" descr="{&quot;HashCode&quot;:-2024281307,&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EEB50" w14:textId="77777777" w:rsidR="00F36ECA" w:rsidRPr="003C0FFB" w:rsidRDefault="00F36ECA" w:rsidP="003C0FFB">
                          <w:pPr>
                            <w:spacing w:after="0"/>
                            <w:jc w:val="center"/>
                            <w:rPr>
                              <w:rFonts w:ascii="Verdana" w:hAnsi="Verdana"/>
                              <w:color w:val="000000"/>
                              <w:sz w:val="20"/>
                            </w:rPr>
                          </w:pPr>
                          <w:r w:rsidRPr="003C0FFB">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8A17E0" id="_x0000_t202" coordsize="21600,21600" o:spt="202" path="m,l,21600r21600,l21600,xe">
              <v:stroke joinstyle="miter"/>
              <v:path gradientshapeok="t" o:connecttype="rect"/>
            </v:shapetype>
            <v:shape id="MSIPCMda0f4c49a37e4a86bc4dabaf" o:spid="_x0000_s1027" type="#_x0000_t202" alt="{&quot;HashCode&quot;:-2024281307,&quot;Height&quot;:9999999.0,&quot;Width&quot;:9999999.0,&quot;Placement&quot;:&quot;Header&quot;,&quot;Index&quot;:&quot;Primary&quot;,&quot;Section&quot;:3,&quot;Top&quot;:0.0,&quot;Left&quot;:0.0}" style="position:absolute;margin-left:0;margin-top:0;width:612pt;height:36.4pt;z-index:25167667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" o:allowincell="f" filled="f" stroked="f" strokeweight=".5pt">
              <v:textbox inset=",0,,0">
                <w:txbxContent>
                  <w:p w14:paraId="680EEB50" w14:textId="77777777" w:rsidR="00F36ECA" w:rsidRPr="003C0FFB" w:rsidRDefault="00F36ECA" w:rsidP="003C0FFB">
                    <w:pPr>
                      <w:spacing w:after="0"/>
                      <w:jc w:val="center"/>
                      <w:rPr>
                        <w:rFonts w:ascii="Verdana" w:hAnsi="Verdana"/>
                        <w:color w:val="000000"/>
                        <w:sz w:val="20"/>
                      </w:rPr>
                    </w:pPr>
                    <w:r w:rsidRPr="003C0FFB">
                      <w:rPr>
                        <w:rFonts w:ascii="Verdana" w:hAnsi="Verdana"/>
                        <w:color w:val="000000"/>
                        <w:sz w:val="20"/>
                      </w:rPr>
                      <w:t>[SENSITIVE]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9E9F" w14:textId="77777777" w:rsidR="00F36ECA" w:rsidRDefault="00F36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AAC1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96EFD"/>
    <w:multiLevelType w:val="hybridMultilevel"/>
    <w:tmpl w:val="6D283882"/>
    <w:lvl w:ilvl="0" w:tplc="14090001">
      <w:start w:val="1"/>
      <w:numFmt w:val="bullet"/>
      <w:lvlText w:val=""/>
      <w:lvlJc w:val="left"/>
      <w:pPr>
        <w:ind w:left="720" w:hanging="360"/>
      </w:pPr>
      <w:rPr>
        <w:rFonts w:ascii="Symbol" w:hAnsi="Symbol" w:hint="default"/>
      </w:rPr>
    </w:lvl>
    <w:lvl w:ilvl="1" w:tplc="0D0E33C8">
      <w:start w:val="1"/>
      <w:numFmt w:val="bullet"/>
      <w:lvlText w:val="o"/>
      <w:lvlJc w:val="left"/>
      <w:pPr>
        <w:ind w:left="1134" w:hanging="567"/>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0C57E1"/>
    <w:multiLevelType w:val="multilevel"/>
    <w:tmpl w:val="DB7A8C88"/>
    <w:lvl w:ilvl="0">
      <w:start w:val="1"/>
      <w:numFmt w:val="decimal"/>
      <w:lvlText w:val="%1."/>
      <w:lvlJc w:val="right"/>
      <w:pPr>
        <w:tabs>
          <w:tab w:val="num" w:pos="1287"/>
        </w:tabs>
        <w:ind w:left="1287" w:hanging="720"/>
      </w:pPr>
      <w:rPr>
        <w:rFonts w:hint="default"/>
      </w:rPr>
    </w:lvl>
    <w:lvl w:ilvl="1">
      <w:start w:val="1"/>
      <w:numFmt w:val="decimal"/>
      <w:lvlText w:val="%1.%2"/>
      <w:lvlJc w:val="left"/>
      <w:pPr>
        <w:tabs>
          <w:tab w:val="num" w:pos="2007"/>
        </w:tabs>
        <w:ind w:left="2007" w:hanging="720"/>
      </w:pPr>
      <w:rPr>
        <w:b w:val="0"/>
        <w:bCs w:val="0"/>
      </w:rPr>
    </w:lvl>
    <w:lvl w:ilvl="2">
      <w:start w:val="1"/>
      <w:numFmt w:val="decimal"/>
      <w:lvlText w:val="%1.%2.%3"/>
      <w:lvlJc w:val="left"/>
      <w:pPr>
        <w:tabs>
          <w:tab w:val="num" w:pos="2977"/>
        </w:tabs>
        <w:ind w:left="2977" w:hanging="970"/>
      </w:pPr>
    </w:lvl>
    <w:lvl w:ilvl="3">
      <w:start w:val="1"/>
      <w:numFmt w:val="decimal"/>
      <w:lvlText w:val="%1.%2.%3.%4"/>
      <w:lvlJc w:val="left"/>
      <w:pPr>
        <w:tabs>
          <w:tab w:val="num" w:pos="4139"/>
        </w:tabs>
        <w:ind w:left="4139" w:hanging="1162"/>
      </w:pPr>
    </w:lvl>
    <w:lvl w:ilvl="4">
      <w:start w:val="1"/>
      <w:numFmt w:val="decimal"/>
      <w:lvlText w:val="%1.%2.%3.%4.%5"/>
      <w:lvlJc w:val="left"/>
      <w:pPr>
        <w:tabs>
          <w:tab w:val="num" w:pos="5443"/>
        </w:tabs>
        <w:ind w:left="5443" w:hanging="1304"/>
      </w:pPr>
    </w:lvl>
    <w:lvl w:ilvl="5">
      <w:start w:val="1"/>
      <w:numFmt w:val="decimal"/>
      <w:lvlText w:val="(%6)"/>
      <w:lvlJc w:val="left"/>
      <w:pPr>
        <w:tabs>
          <w:tab w:val="num" w:pos="2727"/>
        </w:tabs>
        <w:ind w:left="2727" w:hanging="363"/>
      </w:pPr>
    </w:lvl>
    <w:lvl w:ilvl="6">
      <w:start w:val="1"/>
      <w:numFmt w:val="lowerRoman"/>
      <w:lvlText w:val="%7)"/>
      <w:lvlJc w:val="left"/>
      <w:pPr>
        <w:tabs>
          <w:tab w:val="num" w:pos="3447"/>
        </w:tabs>
        <w:ind w:left="3084" w:hanging="357"/>
      </w:pPr>
    </w:lvl>
    <w:lvl w:ilvl="7">
      <w:start w:val="1"/>
      <w:numFmt w:val="lowerLetter"/>
      <w:lvlText w:val="%8)"/>
      <w:lvlJc w:val="left"/>
      <w:pPr>
        <w:tabs>
          <w:tab w:val="num" w:pos="3447"/>
        </w:tabs>
        <w:ind w:left="3447" w:hanging="363"/>
      </w:pPr>
    </w:lvl>
    <w:lvl w:ilvl="8">
      <w:start w:val="1"/>
      <w:numFmt w:val="lowerRoman"/>
      <w:lvlText w:val="%9."/>
      <w:lvlJc w:val="left"/>
      <w:pPr>
        <w:tabs>
          <w:tab w:val="num" w:pos="3804"/>
        </w:tabs>
        <w:ind w:left="3804" w:hanging="357"/>
      </w:pPr>
    </w:lvl>
  </w:abstractNum>
  <w:abstractNum w:abstractNumId="3" w15:restartNumberingAfterBreak="0">
    <w:nsid w:val="01A53652"/>
    <w:multiLevelType w:val="hybridMultilevel"/>
    <w:tmpl w:val="5EDC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A96230"/>
    <w:multiLevelType w:val="hybridMultilevel"/>
    <w:tmpl w:val="220A61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5A202F"/>
    <w:multiLevelType w:val="hybridMultilevel"/>
    <w:tmpl w:val="CFBCD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C80522"/>
    <w:multiLevelType w:val="multilevel"/>
    <w:tmpl w:val="3B98C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75522"/>
    <w:multiLevelType w:val="hybridMultilevel"/>
    <w:tmpl w:val="08FACEB4"/>
    <w:lvl w:ilvl="0" w:tplc="1CF68BE2">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B301B1"/>
    <w:multiLevelType w:val="hybridMultilevel"/>
    <w:tmpl w:val="27CAF03E"/>
    <w:lvl w:ilvl="0" w:tplc="E2C8BEB8">
      <w:start w:val="1"/>
      <w:numFmt w:val="bullet"/>
      <w:lvlText w:val=""/>
      <w:lvlJc w:val="left"/>
      <w:pPr>
        <w:ind w:left="720" w:hanging="360"/>
      </w:pPr>
      <w:rPr>
        <w:rFonts w:ascii="Symbol" w:hAnsi="Symbol" w:hint="default"/>
      </w:rPr>
    </w:lvl>
    <w:lvl w:ilvl="1" w:tplc="5B8A1590">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672EA1"/>
    <w:multiLevelType w:val="hybridMultilevel"/>
    <w:tmpl w:val="2AE634D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0" w15:restartNumberingAfterBreak="0">
    <w:nsid w:val="25277538"/>
    <w:multiLevelType w:val="hybridMultilevel"/>
    <w:tmpl w:val="8EDAB4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A4711A2"/>
    <w:multiLevelType w:val="hybridMultilevel"/>
    <w:tmpl w:val="A850ADDA"/>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EB632A"/>
    <w:multiLevelType w:val="hybridMultilevel"/>
    <w:tmpl w:val="B3B24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1AC5BCC"/>
    <w:multiLevelType w:val="multilevel"/>
    <w:tmpl w:val="C8A018C2"/>
    <w:lvl w:ilvl="0">
      <w:start w:val="1"/>
      <w:numFmt w:val="decimal"/>
      <w:lvlText w:val="%1"/>
      <w:lvlJc w:val="left"/>
      <w:pPr>
        <w:tabs>
          <w:tab w:val="num" w:pos="720"/>
        </w:tabs>
        <w:ind w:left="720" w:hanging="720"/>
      </w:pPr>
      <w:rPr>
        <w:rFonts w:ascii="Arial" w:hAnsi="Arial" w:cs="Arial" w:hint="default"/>
        <w:b w:val="0"/>
        <w:bCs w:val="0"/>
        <w:i w:val="0"/>
        <w:iCs w:val="0"/>
        <w:color w:val="auto"/>
        <w:sz w:val="22"/>
        <w:szCs w:val="22"/>
      </w:rPr>
    </w:lvl>
    <w:lvl w:ilvl="1">
      <w:start w:val="1"/>
      <w:numFmt w:val="decimal"/>
      <w:lvlText w:val="%1.%2"/>
      <w:lvlJc w:val="left"/>
      <w:pPr>
        <w:tabs>
          <w:tab w:val="num" w:pos="1440"/>
        </w:tabs>
        <w:ind w:left="1440" w:hanging="720"/>
      </w:pPr>
      <w:rPr>
        <w:rFonts w:ascii="Arial" w:hAnsi="Arial" w:cs="Arial" w:hint="default"/>
        <w:b w:val="0"/>
        <w:bCs w:val="0"/>
        <w:color w:val="auto"/>
        <w:sz w:val="22"/>
        <w:szCs w:val="22"/>
      </w:rPr>
    </w:lvl>
    <w:lvl w:ilvl="2">
      <w:start w:val="1"/>
      <w:numFmt w:val="decimal"/>
      <w:lvlText w:val="%1.%2.%3"/>
      <w:lvlJc w:val="left"/>
      <w:pPr>
        <w:tabs>
          <w:tab w:val="num" w:pos="2247"/>
        </w:tabs>
        <w:ind w:left="2247" w:hanging="970"/>
      </w:pPr>
      <w:rPr>
        <w:rFonts w:hint="default"/>
        <w:b w:val="0"/>
        <w:bCs w:val="0"/>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15:restartNumberingAfterBreak="0">
    <w:nsid w:val="31E734CF"/>
    <w:multiLevelType w:val="hybridMultilevel"/>
    <w:tmpl w:val="387425A6"/>
    <w:lvl w:ilvl="0" w:tplc="1409000F">
      <w:start w:val="1"/>
      <w:numFmt w:val="decimal"/>
      <w:lvlText w:val="%1."/>
      <w:lvlJc w:val="left"/>
      <w:pPr>
        <w:ind w:left="785"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6BD25F1"/>
    <w:multiLevelType w:val="hybridMultilevel"/>
    <w:tmpl w:val="B246A91C"/>
    <w:lvl w:ilvl="0" w:tplc="0EC050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BF436E"/>
    <w:multiLevelType w:val="hybridMultilevel"/>
    <w:tmpl w:val="F10AC67A"/>
    <w:lvl w:ilvl="0" w:tplc="57ACF3DC">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C10528"/>
    <w:multiLevelType w:val="multilevel"/>
    <w:tmpl w:val="95D46700"/>
    <w:lvl w:ilvl="0">
      <w:start w:val="1"/>
      <w:numFmt w:val="decimal"/>
      <w:lvlText w:val="%1"/>
      <w:lvlJc w:val="left"/>
      <w:pPr>
        <w:tabs>
          <w:tab w:val="num" w:pos="720"/>
        </w:tabs>
        <w:ind w:left="720" w:hanging="720"/>
      </w:pPr>
      <w:rPr>
        <w:rFonts w:ascii="Arial" w:hAnsi="Arial" w:cs="Arial" w:hint="default"/>
        <w:b w:val="0"/>
        <w:bCs w:val="0"/>
        <w:i w:val="0"/>
        <w:iCs w:val="0"/>
        <w:color w:val="auto"/>
        <w:sz w:val="22"/>
        <w:szCs w:val="22"/>
      </w:rPr>
    </w:lvl>
    <w:lvl w:ilvl="1">
      <w:start w:val="1"/>
      <w:numFmt w:val="decimal"/>
      <w:lvlText w:val="%1.%2"/>
      <w:lvlJc w:val="left"/>
      <w:pPr>
        <w:tabs>
          <w:tab w:val="num" w:pos="1440"/>
        </w:tabs>
        <w:ind w:left="1440" w:hanging="720"/>
      </w:pPr>
      <w:rPr>
        <w:rFonts w:ascii="Arial" w:hAnsi="Arial" w:cs="Arial" w:hint="default"/>
        <w:b w:val="0"/>
        <w:bCs w:val="0"/>
        <w:color w:val="auto"/>
        <w:sz w:val="24"/>
        <w:szCs w:val="24"/>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9"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AD3738D"/>
    <w:multiLevelType w:val="hybridMultilevel"/>
    <w:tmpl w:val="80945620"/>
    <w:lvl w:ilvl="0" w:tplc="1CF68BE2">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93D677C"/>
    <w:multiLevelType w:val="multilevel"/>
    <w:tmpl w:val="8E0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D20292"/>
    <w:multiLevelType w:val="hybridMultilevel"/>
    <w:tmpl w:val="E50A6076"/>
    <w:lvl w:ilvl="0" w:tplc="0EC050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225B67"/>
    <w:multiLevelType w:val="hybridMultilevel"/>
    <w:tmpl w:val="D384E532"/>
    <w:lvl w:ilvl="0" w:tplc="AD1ED94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55463B"/>
    <w:multiLevelType w:val="hybridMultilevel"/>
    <w:tmpl w:val="6D1AF8E6"/>
    <w:lvl w:ilvl="0" w:tplc="860ACC4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CD02AE"/>
    <w:multiLevelType w:val="hybridMultilevel"/>
    <w:tmpl w:val="1AD6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0C293C"/>
    <w:multiLevelType w:val="multilevel"/>
    <w:tmpl w:val="7A9E680E"/>
    <w:lvl w:ilvl="0">
      <w:start w:val="1"/>
      <w:numFmt w:val="decimal"/>
      <w:pStyle w:val="TSYList"/>
      <w:lvlText w:val="%1."/>
      <w:lvlJc w:val="left"/>
      <w:pPr>
        <w:tabs>
          <w:tab w:val="num" w:pos="567"/>
        </w:tabs>
        <w:ind w:left="567" w:hanging="567"/>
      </w:pPr>
      <w:rPr>
        <w:rFonts w:ascii="Arial" w:hAnsi="Arial" w:cs="Arial" w:hint="default"/>
      </w:rPr>
    </w:lvl>
    <w:lvl w:ilvl="1">
      <w:start w:val="1"/>
      <w:numFmt w:val="lowerLetter"/>
      <w:lvlText w:val="%2."/>
      <w:lvlJc w:val="left"/>
      <w:pPr>
        <w:tabs>
          <w:tab w:val="num" w:pos="710"/>
        </w:tabs>
        <w:ind w:left="710" w:hanging="284"/>
      </w:pPr>
      <w:rPr>
        <w:rFonts w:hint="default"/>
        <w:b w:val="0"/>
        <w:i w:val="0"/>
        <w:iCs/>
        <w:color w:val="auto"/>
      </w:rPr>
    </w:lvl>
    <w:lvl w:ilvl="2">
      <w:start w:val="1"/>
      <w:numFmt w:val="lowerRoman"/>
      <w:lvlText w:val="%3"/>
      <w:lvlJc w:val="left"/>
      <w:pPr>
        <w:tabs>
          <w:tab w:val="num" w:pos="1418"/>
        </w:tabs>
        <w:ind w:left="1418" w:hanging="284"/>
      </w:pPr>
      <w:rPr>
        <w:rFonts w:hint="default"/>
      </w:rPr>
    </w:lvl>
    <w:lvl w:ilvl="3">
      <w:start w:val="1"/>
      <w:numFmt w:val="none"/>
      <w:lvlText w:val="-"/>
      <w:lvlJc w:val="left"/>
      <w:pPr>
        <w:tabs>
          <w:tab w:val="num" w:pos="1985"/>
        </w:tabs>
        <w:ind w:left="1985"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58229B"/>
    <w:multiLevelType w:val="hybridMultilevel"/>
    <w:tmpl w:val="7892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7C7311"/>
    <w:multiLevelType w:val="hybridMultilevel"/>
    <w:tmpl w:val="3C92F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1924EC"/>
    <w:multiLevelType w:val="hybridMultilevel"/>
    <w:tmpl w:val="72164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CCD7AAA"/>
    <w:multiLevelType w:val="hybridMultilevel"/>
    <w:tmpl w:val="255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56F2E0D"/>
    <w:multiLevelType w:val="hybridMultilevel"/>
    <w:tmpl w:val="B0AA0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A545628"/>
    <w:multiLevelType w:val="hybridMultilevel"/>
    <w:tmpl w:val="A0B495E6"/>
    <w:lvl w:ilvl="0" w:tplc="45183084">
      <w:start w:val="1"/>
      <w:numFmt w:val="decimal"/>
      <w:lvlText w:val="%1."/>
      <w:lvlJc w:val="left"/>
      <w:pPr>
        <w:ind w:left="567" w:hanging="567"/>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7" w15:restartNumberingAfterBreak="0">
    <w:nsid w:val="6C2E0119"/>
    <w:multiLevelType w:val="hybridMultilevel"/>
    <w:tmpl w:val="8862B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D571BD"/>
    <w:multiLevelType w:val="hybridMultilevel"/>
    <w:tmpl w:val="5D2849C8"/>
    <w:lvl w:ilvl="0" w:tplc="3092BFF0">
      <w:start w:val="1"/>
      <w:numFmt w:val="bullet"/>
      <w:lvlText w:val=""/>
      <w:lvlJc w:val="left"/>
      <w:pPr>
        <w:ind w:left="1134" w:hanging="567"/>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39" w15:restartNumberingAfterBreak="0">
    <w:nsid w:val="72F9179D"/>
    <w:multiLevelType w:val="hybridMultilevel"/>
    <w:tmpl w:val="E3305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C385568"/>
    <w:multiLevelType w:val="hybridMultilevel"/>
    <w:tmpl w:val="7B3C3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FCC0727"/>
    <w:multiLevelType w:val="hybridMultilevel"/>
    <w:tmpl w:val="0CE40458"/>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num w:numId="1">
    <w:abstractNumId w:val="12"/>
  </w:num>
  <w:num w:numId="2">
    <w:abstractNumId w:val="39"/>
  </w:num>
  <w:num w:numId="3">
    <w:abstractNumId w:val="21"/>
  </w:num>
  <w:num w:numId="4">
    <w:abstractNumId w:val="35"/>
  </w:num>
  <w:num w:numId="5">
    <w:abstractNumId w:val="26"/>
  </w:num>
  <w:num w:numId="6">
    <w:abstractNumId w:val="30"/>
  </w:num>
  <w:num w:numId="7">
    <w:abstractNumId w:val="3"/>
  </w:num>
  <w:num w:numId="8">
    <w:abstractNumId w:val="40"/>
  </w:num>
  <w:num w:numId="9">
    <w:abstractNumId w:val="22"/>
  </w:num>
  <w:num w:numId="10">
    <w:abstractNumId w:val="24"/>
  </w:num>
  <w:num w:numId="11">
    <w:abstractNumId w:val="28"/>
  </w:num>
  <w:num w:numId="12">
    <w:abstractNumId w:val="31"/>
  </w:num>
  <w:num w:numId="13">
    <w:abstractNumId w:val="19"/>
  </w:num>
  <w:num w:numId="14">
    <w:abstractNumId w:val="33"/>
  </w:num>
  <w:num w:numId="15">
    <w:abstractNumId w:val="34"/>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5"/>
  </w:num>
  <w:num w:numId="30">
    <w:abstractNumId w:val="19"/>
  </w:num>
  <w:num w:numId="31">
    <w:abstractNumId w:val="19"/>
  </w:num>
  <w:num w:numId="32">
    <w:abstractNumId w:val="19"/>
  </w:num>
  <w:num w:numId="33">
    <w:abstractNumId w:val="19"/>
  </w:num>
  <w:num w:numId="34">
    <w:abstractNumId w:val="5"/>
  </w:num>
  <w:num w:numId="35">
    <w:abstractNumId w:val="19"/>
  </w:num>
  <w:num w:numId="36">
    <w:abstractNumId w:val="10"/>
  </w:num>
  <w:num w:numId="37">
    <w:abstractNumId w:val="6"/>
  </w:num>
  <w:num w:numId="38">
    <w:abstractNumId w:val="8"/>
  </w:num>
  <w:num w:numId="39">
    <w:abstractNumId w:val="4"/>
  </w:num>
  <w:num w:numId="40">
    <w:abstractNumId w:val="1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7"/>
  </w:num>
  <w:num w:numId="44">
    <w:abstractNumId w:val="9"/>
  </w:num>
  <w:num w:numId="45">
    <w:abstractNumId w:val="20"/>
  </w:num>
  <w:num w:numId="46">
    <w:abstractNumId w:val="36"/>
  </w:num>
  <w:num w:numId="47">
    <w:abstractNumId w:val="41"/>
  </w:num>
  <w:num w:numId="48">
    <w:abstractNumId w:val="37"/>
  </w:num>
  <w:num w:numId="49">
    <w:abstractNumId w:val="0"/>
  </w:num>
  <w:num w:numId="50">
    <w:abstractNumId w:val="16"/>
  </w:num>
  <w:num w:numId="51">
    <w:abstractNumId w:val="32"/>
  </w:num>
  <w:num w:numId="52">
    <w:abstractNumId w:val="23"/>
  </w:num>
  <w:num w:numId="53">
    <w:abstractNumId w:val="14"/>
  </w:num>
  <w:num w:numId="54">
    <w:abstractNumId w:val="27"/>
  </w:num>
  <w:num w:numId="55">
    <w:abstractNumId w:val="2"/>
  </w:num>
  <w:num w:numId="56">
    <w:abstractNumId w:val="0"/>
  </w:num>
  <w:num w:numId="57">
    <w:abstractNumId w:val="13"/>
  </w:num>
  <w:num w:numId="58">
    <w:abstractNumId w:val="29"/>
  </w:num>
  <w:num w:numId="59">
    <w:abstractNumId w:val="38"/>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1319"/>
    <w:rsid w:val="00001E67"/>
    <w:rsid w:val="00004868"/>
    <w:rsid w:val="00005E14"/>
    <w:rsid w:val="00006294"/>
    <w:rsid w:val="00010B82"/>
    <w:rsid w:val="00010C95"/>
    <w:rsid w:val="00010F91"/>
    <w:rsid w:val="000119C9"/>
    <w:rsid w:val="00012998"/>
    <w:rsid w:val="000139DF"/>
    <w:rsid w:val="000146F5"/>
    <w:rsid w:val="0001485E"/>
    <w:rsid w:val="00014FA3"/>
    <w:rsid w:val="00015A64"/>
    <w:rsid w:val="0001603B"/>
    <w:rsid w:val="00016D2D"/>
    <w:rsid w:val="00017922"/>
    <w:rsid w:val="000205E8"/>
    <w:rsid w:val="000208E7"/>
    <w:rsid w:val="00020ABF"/>
    <w:rsid w:val="00020F75"/>
    <w:rsid w:val="00022591"/>
    <w:rsid w:val="00022732"/>
    <w:rsid w:val="00022A1E"/>
    <w:rsid w:val="00022DF7"/>
    <w:rsid w:val="000243DA"/>
    <w:rsid w:val="00025B86"/>
    <w:rsid w:val="00027075"/>
    <w:rsid w:val="00030190"/>
    <w:rsid w:val="0003081C"/>
    <w:rsid w:val="00032050"/>
    <w:rsid w:val="00032FD3"/>
    <w:rsid w:val="000337CF"/>
    <w:rsid w:val="000338AC"/>
    <w:rsid w:val="00033C19"/>
    <w:rsid w:val="00034950"/>
    <w:rsid w:val="00036291"/>
    <w:rsid w:val="0004059B"/>
    <w:rsid w:val="00040A4F"/>
    <w:rsid w:val="00040FD0"/>
    <w:rsid w:val="00042056"/>
    <w:rsid w:val="000428BF"/>
    <w:rsid w:val="00042D24"/>
    <w:rsid w:val="0004573C"/>
    <w:rsid w:val="00046A04"/>
    <w:rsid w:val="0005004F"/>
    <w:rsid w:val="000509EB"/>
    <w:rsid w:val="00050FD8"/>
    <w:rsid w:val="00051193"/>
    <w:rsid w:val="000511E6"/>
    <w:rsid w:val="000517F1"/>
    <w:rsid w:val="00051A44"/>
    <w:rsid w:val="0005482F"/>
    <w:rsid w:val="000548CE"/>
    <w:rsid w:val="00055185"/>
    <w:rsid w:val="00055CEB"/>
    <w:rsid w:val="0005691A"/>
    <w:rsid w:val="00056A85"/>
    <w:rsid w:val="00057FDE"/>
    <w:rsid w:val="000616A7"/>
    <w:rsid w:val="00061AE3"/>
    <w:rsid w:val="00061CA1"/>
    <w:rsid w:val="000626D7"/>
    <w:rsid w:val="0006294B"/>
    <w:rsid w:val="000635CA"/>
    <w:rsid w:val="00063A58"/>
    <w:rsid w:val="000640D9"/>
    <w:rsid w:val="00064B18"/>
    <w:rsid w:val="00066741"/>
    <w:rsid w:val="000679D9"/>
    <w:rsid w:val="0007167E"/>
    <w:rsid w:val="000724F1"/>
    <w:rsid w:val="00072654"/>
    <w:rsid w:val="00072C3E"/>
    <w:rsid w:val="00080E6C"/>
    <w:rsid w:val="00080FED"/>
    <w:rsid w:val="00081056"/>
    <w:rsid w:val="00081299"/>
    <w:rsid w:val="0008172E"/>
    <w:rsid w:val="00081DD7"/>
    <w:rsid w:val="000822F0"/>
    <w:rsid w:val="000827FA"/>
    <w:rsid w:val="0008557D"/>
    <w:rsid w:val="00085A03"/>
    <w:rsid w:val="00085D05"/>
    <w:rsid w:val="00085EDD"/>
    <w:rsid w:val="00086CF3"/>
    <w:rsid w:val="00086E29"/>
    <w:rsid w:val="00090962"/>
    <w:rsid w:val="00090D4C"/>
    <w:rsid w:val="00091084"/>
    <w:rsid w:val="00092EEB"/>
    <w:rsid w:val="00093BE6"/>
    <w:rsid w:val="00094C46"/>
    <w:rsid w:val="000957B1"/>
    <w:rsid w:val="00095F9E"/>
    <w:rsid w:val="000A066A"/>
    <w:rsid w:val="000A130B"/>
    <w:rsid w:val="000A13C1"/>
    <w:rsid w:val="000A16F3"/>
    <w:rsid w:val="000A2B04"/>
    <w:rsid w:val="000A2B5E"/>
    <w:rsid w:val="000A2BF5"/>
    <w:rsid w:val="000A2EDE"/>
    <w:rsid w:val="000A2F85"/>
    <w:rsid w:val="000A5BCA"/>
    <w:rsid w:val="000A6073"/>
    <w:rsid w:val="000A6C05"/>
    <w:rsid w:val="000A7A8B"/>
    <w:rsid w:val="000A7DA0"/>
    <w:rsid w:val="000A7DDD"/>
    <w:rsid w:val="000A7E3C"/>
    <w:rsid w:val="000B2320"/>
    <w:rsid w:val="000B47EA"/>
    <w:rsid w:val="000B6DA0"/>
    <w:rsid w:val="000B7AB6"/>
    <w:rsid w:val="000C1448"/>
    <w:rsid w:val="000C1821"/>
    <w:rsid w:val="000C1A2D"/>
    <w:rsid w:val="000C23AE"/>
    <w:rsid w:val="000C299F"/>
    <w:rsid w:val="000C3EE7"/>
    <w:rsid w:val="000C4659"/>
    <w:rsid w:val="000C6C7A"/>
    <w:rsid w:val="000C6E0D"/>
    <w:rsid w:val="000D0656"/>
    <w:rsid w:val="000D23A5"/>
    <w:rsid w:val="000D2638"/>
    <w:rsid w:val="000D2B34"/>
    <w:rsid w:val="000D3E40"/>
    <w:rsid w:val="000D4896"/>
    <w:rsid w:val="000D4A11"/>
    <w:rsid w:val="000D6A3E"/>
    <w:rsid w:val="000D7670"/>
    <w:rsid w:val="000D76AA"/>
    <w:rsid w:val="000D7DC8"/>
    <w:rsid w:val="000D7F8D"/>
    <w:rsid w:val="000E00AF"/>
    <w:rsid w:val="000E051D"/>
    <w:rsid w:val="000E2539"/>
    <w:rsid w:val="000E5B90"/>
    <w:rsid w:val="000E6700"/>
    <w:rsid w:val="000E6F27"/>
    <w:rsid w:val="000F0459"/>
    <w:rsid w:val="000F0890"/>
    <w:rsid w:val="000F0B76"/>
    <w:rsid w:val="000F1C99"/>
    <w:rsid w:val="000F2876"/>
    <w:rsid w:val="000F3FBF"/>
    <w:rsid w:val="000F4210"/>
    <w:rsid w:val="000F45B4"/>
    <w:rsid w:val="000F4FE4"/>
    <w:rsid w:val="000F62E0"/>
    <w:rsid w:val="000F720E"/>
    <w:rsid w:val="000F7B17"/>
    <w:rsid w:val="00101830"/>
    <w:rsid w:val="00101AF3"/>
    <w:rsid w:val="001025C3"/>
    <w:rsid w:val="00103316"/>
    <w:rsid w:val="001049D4"/>
    <w:rsid w:val="0010538C"/>
    <w:rsid w:val="00105C3F"/>
    <w:rsid w:val="00105D66"/>
    <w:rsid w:val="001063AB"/>
    <w:rsid w:val="00107CCD"/>
    <w:rsid w:val="0011067A"/>
    <w:rsid w:val="00111297"/>
    <w:rsid w:val="00111873"/>
    <w:rsid w:val="00112760"/>
    <w:rsid w:val="00113F8C"/>
    <w:rsid w:val="0011422F"/>
    <w:rsid w:val="00114AAE"/>
    <w:rsid w:val="0011590F"/>
    <w:rsid w:val="0011593E"/>
    <w:rsid w:val="00115E41"/>
    <w:rsid w:val="001200C8"/>
    <w:rsid w:val="00120C88"/>
    <w:rsid w:val="0012131A"/>
    <w:rsid w:val="00121ACD"/>
    <w:rsid w:val="001220BD"/>
    <w:rsid w:val="00122352"/>
    <w:rsid w:val="0012384A"/>
    <w:rsid w:val="00124E5B"/>
    <w:rsid w:val="00124FA4"/>
    <w:rsid w:val="00130A5B"/>
    <w:rsid w:val="00131D8C"/>
    <w:rsid w:val="00132393"/>
    <w:rsid w:val="001324BC"/>
    <w:rsid w:val="0013264B"/>
    <w:rsid w:val="00132F84"/>
    <w:rsid w:val="00133A68"/>
    <w:rsid w:val="00134AF4"/>
    <w:rsid w:val="00135A8D"/>
    <w:rsid w:val="00135B24"/>
    <w:rsid w:val="00136227"/>
    <w:rsid w:val="001367E5"/>
    <w:rsid w:val="00136946"/>
    <w:rsid w:val="0013797B"/>
    <w:rsid w:val="00140C96"/>
    <w:rsid w:val="00140DA2"/>
    <w:rsid w:val="00142385"/>
    <w:rsid w:val="00142C67"/>
    <w:rsid w:val="00142EDB"/>
    <w:rsid w:val="0014380B"/>
    <w:rsid w:val="0014787D"/>
    <w:rsid w:val="001506E3"/>
    <w:rsid w:val="00150966"/>
    <w:rsid w:val="00150C75"/>
    <w:rsid w:val="00151E2E"/>
    <w:rsid w:val="00151FB7"/>
    <w:rsid w:val="001522BE"/>
    <w:rsid w:val="00154595"/>
    <w:rsid w:val="00154C2F"/>
    <w:rsid w:val="00154F98"/>
    <w:rsid w:val="00156B78"/>
    <w:rsid w:val="0016251F"/>
    <w:rsid w:val="00162AE9"/>
    <w:rsid w:val="00164205"/>
    <w:rsid w:val="00164445"/>
    <w:rsid w:val="00164A4F"/>
    <w:rsid w:val="00166FC3"/>
    <w:rsid w:val="0016702F"/>
    <w:rsid w:val="00167308"/>
    <w:rsid w:val="00167871"/>
    <w:rsid w:val="00167C05"/>
    <w:rsid w:val="00171F05"/>
    <w:rsid w:val="001728A0"/>
    <w:rsid w:val="00173C63"/>
    <w:rsid w:val="00174568"/>
    <w:rsid w:val="0017456A"/>
    <w:rsid w:val="00174CEF"/>
    <w:rsid w:val="00175D6E"/>
    <w:rsid w:val="001779A9"/>
    <w:rsid w:val="001802E8"/>
    <w:rsid w:val="001803DF"/>
    <w:rsid w:val="00181453"/>
    <w:rsid w:val="00182FAD"/>
    <w:rsid w:val="001837C1"/>
    <w:rsid w:val="0018631F"/>
    <w:rsid w:val="00187E3E"/>
    <w:rsid w:val="00190196"/>
    <w:rsid w:val="00190A9C"/>
    <w:rsid w:val="00190C3A"/>
    <w:rsid w:val="00192068"/>
    <w:rsid w:val="00192481"/>
    <w:rsid w:val="00193917"/>
    <w:rsid w:val="001947D4"/>
    <w:rsid w:val="001967D5"/>
    <w:rsid w:val="00196D0A"/>
    <w:rsid w:val="00196FF4"/>
    <w:rsid w:val="001A3A97"/>
    <w:rsid w:val="001A3B9A"/>
    <w:rsid w:val="001A4AB2"/>
    <w:rsid w:val="001A4FDE"/>
    <w:rsid w:val="001A4FFC"/>
    <w:rsid w:val="001A59B6"/>
    <w:rsid w:val="001A6552"/>
    <w:rsid w:val="001A7356"/>
    <w:rsid w:val="001B16F8"/>
    <w:rsid w:val="001B176D"/>
    <w:rsid w:val="001B1A64"/>
    <w:rsid w:val="001B1CBA"/>
    <w:rsid w:val="001B25CE"/>
    <w:rsid w:val="001B2E17"/>
    <w:rsid w:val="001B3F83"/>
    <w:rsid w:val="001B4BEF"/>
    <w:rsid w:val="001B4F4F"/>
    <w:rsid w:val="001B61F2"/>
    <w:rsid w:val="001B655B"/>
    <w:rsid w:val="001B69B1"/>
    <w:rsid w:val="001C0087"/>
    <w:rsid w:val="001C08FB"/>
    <w:rsid w:val="001C098D"/>
    <w:rsid w:val="001C0DB7"/>
    <w:rsid w:val="001C109C"/>
    <w:rsid w:val="001C1F3B"/>
    <w:rsid w:val="001C2404"/>
    <w:rsid w:val="001C252B"/>
    <w:rsid w:val="001C28B9"/>
    <w:rsid w:val="001C3A81"/>
    <w:rsid w:val="001C4157"/>
    <w:rsid w:val="001C59B0"/>
    <w:rsid w:val="001C7832"/>
    <w:rsid w:val="001D00AB"/>
    <w:rsid w:val="001D070F"/>
    <w:rsid w:val="001D15AF"/>
    <w:rsid w:val="001D1D89"/>
    <w:rsid w:val="001D267D"/>
    <w:rsid w:val="001D2740"/>
    <w:rsid w:val="001D32F5"/>
    <w:rsid w:val="001D3A38"/>
    <w:rsid w:val="001D4DEC"/>
    <w:rsid w:val="001D722B"/>
    <w:rsid w:val="001D7652"/>
    <w:rsid w:val="001D7703"/>
    <w:rsid w:val="001E0290"/>
    <w:rsid w:val="001E0568"/>
    <w:rsid w:val="001E166B"/>
    <w:rsid w:val="001E36C2"/>
    <w:rsid w:val="001E36CC"/>
    <w:rsid w:val="001E3A4A"/>
    <w:rsid w:val="001E4A45"/>
    <w:rsid w:val="001E5FEE"/>
    <w:rsid w:val="001E60A1"/>
    <w:rsid w:val="001E7F78"/>
    <w:rsid w:val="001F052F"/>
    <w:rsid w:val="001F07AF"/>
    <w:rsid w:val="001F16C3"/>
    <w:rsid w:val="001F30F3"/>
    <w:rsid w:val="001F3B06"/>
    <w:rsid w:val="001F47DD"/>
    <w:rsid w:val="001F59D5"/>
    <w:rsid w:val="001F5B28"/>
    <w:rsid w:val="001F5FC7"/>
    <w:rsid w:val="001F78EA"/>
    <w:rsid w:val="002005D3"/>
    <w:rsid w:val="00200AC0"/>
    <w:rsid w:val="00200DA1"/>
    <w:rsid w:val="0020203E"/>
    <w:rsid w:val="00202203"/>
    <w:rsid w:val="002048AA"/>
    <w:rsid w:val="002059A9"/>
    <w:rsid w:val="002060EC"/>
    <w:rsid w:val="00210C3D"/>
    <w:rsid w:val="00212395"/>
    <w:rsid w:val="00214D73"/>
    <w:rsid w:val="00214FE7"/>
    <w:rsid w:val="00215082"/>
    <w:rsid w:val="0021644E"/>
    <w:rsid w:val="00216981"/>
    <w:rsid w:val="00220FF6"/>
    <w:rsid w:val="002211AF"/>
    <w:rsid w:val="00221391"/>
    <w:rsid w:val="00221969"/>
    <w:rsid w:val="00223060"/>
    <w:rsid w:val="00223299"/>
    <w:rsid w:val="00223D06"/>
    <w:rsid w:val="0022557C"/>
    <w:rsid w:val="00227792"/>
    <w:rsid w:val="00227EB0"/>
    <w:rsid w:val="0023090A"/>
    <w:rsid w:val="00231422"/>
    <w:rsid w:val="00231FD6"/>
    <w:rsid w:val="0023241A"/>
    <w:rsid w:val="00235F29"/>
    <w:rsid w:val="00236198"/>
    <w:rsid w:val="00236830"/>
    <w:rsid w:val="00240D4E"/>
    <w:rsid w:val="00240F68"/>
    <w:rsid w:val="00240FD3"/>
    <w:rsid w:val="002428A4"/>
    <w:rsid w:val="00243387"/>
    <w:rsid w:val="00243679"/>
    <w:rsid w:val="0024369E"/>
    <w:rsid w:val="00243B2A"/>
    <w:rsid w:val="00243DDA"/>
    <w:rsid w:val="00243E65"/>
    <w:rsid w:val="00245722"/>
    <w:rsid w:val="00245EE3"/>
    <w:rsid w:val="00247CBA"/>
    <w:rsid w:val="0025066A"/>
    <w:rsid w:val="0025088D"/>
    <w:rsid w:val="00250B41"/>
    <w:rsid w:val="00251D0B"/>
    <w:rsid w:val="00251EF6"/>
    <w:rsid w:val="00252FB4"/>
    <w:rsid w:val="00253291"/>
    <w:rsid w:val="00254248"/>
    <w:rsid w:val="00254850"/>
    <w:rsid w:val="002560A4"/>
    <w:rsid w:val="00256E3D"/>
    <w:rsid w:val="00260567"/>
    <w:rsid w:val="00260B61"/>
    <w:rsid w:val="002633D8"/>
    <w:rsid w:val="002636F9"/>
    <w:rsid w:val="00263C37"/>
    <w:rsid w:val="00264085"/>
    <w:rsid w:val="002648BA"/>
    <w:rsid w:val="002651CD"/>
    <w:rsid w:val="00265549"/>
    <w:rsid w:val="00266917"/>
    <w:rsid w:val="0026761F"/>
    <w:rsid w:val="00270052"/>
    <w:rsid w:val="002700DB"/>
    <w:rsid w:val="00270140"/>
    <w:rsid w:val="002706E8"/>
    <w:rsid w:val="0027109E"/>
    <w:rsid w:val="002723E6"/>
    <w:rsid w:val="00272606"/>
    <w:rsid w:val="00273293"/>
    <w:rsid w:val="002738CE"/>
    <w:rsid w:val="002743FA"/>
    <w:rsid w:val="002753CA"/>
    <w:rsid w:val="0027554F"/>
    <w:rsid w:val="00276521"/>
    <w:rsid w:val="00277B86"/>
    <w:rsid w:val="00282B37"/>
    <w:rsid w:val="00283520"/>
    <w:rsid w:val="002842E5"/>
    <w:rsid w:val="00284A8C"/>
    <w:rsid w:val="00285E8E"/>
    <w:rsid w:val="00286D1D"/>
    <w:rsid w:val="00287B71"/>
    <w:rsid w:val="002905F5"/>
    <w:rsid w:val="00291476"/>
    <w:rsid w:val="00292065"/>
    <w:rsid w:val="0029387C"/>
    <w:rsid w:val="0029462D"/>
    <w:rsid w:val="00295E41"/>
    <w:rsid w:val="00296354"/>
    <w:rsid w:val="00296D3C"/>
    <w:rsid w:val="00296EF8"/>
    <w:rsid w:val="002A09C3"/>
    <w:rsid w:val="002A09F6"/>
    <w:rsid w:val="002A0E47"/>
    <w:rsid w:val="002A17B1"/>
    <w:rsid w:val="002A1D73"/>
    <w:rsid w:val="002A32E1"/>
    <w:rsid w:val="002A3558"/>
    <w:rsid w:val="002A45DE"/>
    <w:rsid w:val="002A5DF1"/>
    <w:rsid w:val="002B04E0"/>
    <w:rsid w:val="002B135B"/>
    <w:rsid w:val="002B1848"/>
    <w:rsid w:val="002B20DA"/>
    <w:rsid w:val="002B20EF"/>
    <w:rsid w:val="002B242F"/>
    <w:rsid w:val="002B27D8"/>
    <w:rsid w:val="002B3784"/>
    <w:rsid w:val="002B4C92"/>
    <w:rsid w:val="002B55D4"/>
    <w:rsid w:val="002B7221"/>
    <w:rsid w:val="002B7280"/>
    <w:rsid w:val="002B7B51"/>
    <w:rsid w:val="002C03B3"/>
    <w:rsid w:val="002C0877"/>
    <w:rsid w:val="002C0A34"/>
    <w:rsid w:val="002C1774"/>
    <w:rsid w:val="002C2D8E"/>
    <w:rsid w:val="002C3926"/>
    <w:rsid w:val="002C6D02"/>
    <w:rsid w:val="002C7A88"/>
    <w:rsid w:val="002D01D6"/>
    <w:rsid w:val="002D05A1"/>
    <w:rsid w:val="002D0DD2"/>
    <w:rsid w:val="002D1A99"/>
    <w:rsid w:val="002D2932"/>
    <w:rsid w:val="002D3108"/>
    <w:rsid w:val="002D4718"/>
    <w:rsid w:val="002D489E"/>
    <w:rsid w:val="002D4ED9"/>
    <w:rsid w:val="002D5018"/>
    <w:rsid w:val="002D52C3"/>
    <w:rsid w:val="002D6EFA"/>
    <w:rsid w:val="002D7690"/>
    <w:rsid w:val="002D7C5B"/>
    <w:rsid w:val="002E0E46"/>
    <w:rsid w:val="002E102C"/>
    <w:rsid w:val="002E140F"/>
    <w:rsid w:val="002E14D0"/>
    <w:rsid w:val="002E2870"/>
    <w:rsid w:val="002E2A3F"/>
    <w:rsid w:val="002E3745"/>
    <w:rsid w:val="002E3773"/>
    <w:rsid w:val="002E3CD5"/>
    <w:rsid w:val="002E487F"/>
    <w:rsid w:val="002E6C01"/>
    <w:rsid w:val="002E6DE5"/>
    <w:rsid w:val="002E709F"/>
    <w:rsid w:val="002E73F8"/>
    <w:rsid w:val="002F1D92"/>
    <w:rsid w:val="002F31D8"/>
    <w:rsid w:val="002F361F"/>
    <w:rsid w:val="002F3F86"/>
    <w:rsid w:val="002F4415"/>
    <w:rsid w:val="002F6672"/>
    <w:rsid w:val="002F7A6C"/>
    <w:rsid w:val="002F7B32"/>
    <w:rsid w:val="00300529"/>
    <w:rsid w:val="0030112D"/>
    <w:rsid w:val="0030252F"/>
    <w:rsid w:val="00302771"/>
    <w:rsid w:val="00302AC3"/>
    <w:rsid w:val="00302D6E"/>
    <w:rsid w:val="00302F1A"/>
    <w:rsid w:val="0030456A"/>
    <w:rsid w:val="00304F26"/>
    <w:rsid w:val="00305BE7"/>
    <w:rsid w:val="0030765C"/>
    <w:rsid w:val="00307713"/>
    <w:rsid w:val="00307CB9"/>
    <w:rsid w:val="00310035"/>
    <w:rsid w:val="00310502"/>
    <w:rsid w:val="00310839"/>
    <w:rsid w:val="00310D02"/>
    <w:rsid w:val="00310DB5"/>
    <w:rsid w:val="00310E83"/>
    <w:rsid w:val="00311041"/>
    <w:rsid w:val="00311095"/>
    <w:rsid w:val="003113F2"/>
    <w:rsid w:val="00311A13"/>
    <w:rsid w:val="00312E66"/>
    <w:rsid w:val="00313F02"/>
    <w:rsid w:val="00314433"/>
    <w:rsid w:val="003145EB"/>
    <w:rsid w:val="00315399"/>
    <w:rsid w:val="0031630C"/>
    <w:rsid w:val="00316A16"/>
    <w:rsid w:val="00316A3C"/>
    <w:rsid w:val="003170E3"/>
    <w:rsid w:val="00321531"/>
    <w:rsid w:val="0032174A"/>
    <w:rsid w:val="00323248"/>
    <w:rsid w:val="00323828"/>
    <w:rsid w:val="003243A5"/>
    <w:rsid w:val="00324E1E"/>
    <w:rsid w:val="003257A0"/>
    <w:rsid w:val="00330B7C"/>
    <w:rsid w:val="0033169A"/>
    <w:rsid w:val="003322C8"/>
    <w:rsid w:val="0033231A"/>
    <w:rsid w:val="003327DB"/>
    <w:rsid w:val="00333628"/>
    <w:rsid w:val="0033378F"/>
    <w:rsid w:val="00333D43"/>
    <w:rsid w:val="00333EFB"/>
    <w:rsid w:val="00336E05"/>
    <w:rsid w:val="00337191"/>
    <w:rsid w:val="0034010F"/>
    <w:rsid w:val="00344C62"/>
    <w:rsid w:val="0034513A"/>
    <w:rsid w:val="0034575A"/>
    <w:rsid w:val="00345B32"/>
    <w:rsid w:val="00346116"/>
    <w:rsid w:val="00346B30"/>
    <w:rsid w:val="00347B58"/>
    <w:rsid w:val="00347BA1"/>
    <w:rsid w:val="00350798"/>
    <w:rsid w:val="00350FD9"/>
    <w:rsid w:val="003517DC"/>
    <w:rsid w:val="003522D7"/>
    <w:rsid w:val="003527A0"/>
    <w:rsid w:val="0035445A"/>
    <w:rsid w:val="0035471A"/>
    <w:rsid w:val="00354785"/>
    <w:rsid w:val="00354F55"/>
    <w:rsid w:val="00355799"/>
    <w:rsid w:val="00355BDC"/>
    <w:rsid w:val="00356C81"/>
    <w:rsid w:val="0036113A"/>
    <w:rsid w:val="003647C1"/>
    <w:rsid w:val="00364C4C"/>
    <w:rsid w:val="003662A0"/>
    <w:rsid w:val="0036646F"/>
    <w:rsid w:val="0036745C"/>
    <w:rsid w:val="00367589"/>
    <w:rsid w:val="00367966"/>
    <w:rsid w:val="0037017F"/>
    <w:rsid w:val="0037088F"/>
    <w:rsid w:val="00371215"/>
    <w:rsid w:val="003715E9"/>
    <w:rsid w:val="00371675"/>
    <w:rsid w:val="003717F6"/>
    <w:rsid w:val="00371C6A"/>
    <w:rsid w:val="00373CD5"/>
    <w:rsid w:val="0037451B"/>
    <w:rsid w:val="00374D73"/>
    <w:rsid w:val="00375801"/>
    <w:rsid w:val="0037580A"/>
    <w:rsid w:val="00376066"/>
    <w:rsid w:val="00376B19"/>
    <w:rsid w:val="00377CE2"/>
    <w:rsid w:val="003804AD"/>
    <w:rsid w:val="00380981"/>
    <w:rsid w:val="00381027"/>
    <w:rsid w:val="003821C9"/>
    <w:rsid w:val="00383022"/>
    <w:rsid w:val="00384E9B"/>
    <w:rsid w:val="00386CFD"/>
    <w:rsid w:val="003901DD"/>
    <w:rsid w:val="00390DC2"/>
    <w:rsid w:val="0039208A"/>
    <w:rsid w:val="00392C4B"/>
    <w:rsid w:val="003930BB"/>
    <w:rsid w:val="00393954"/>
    <w:rsid w:val="00393B41"/>
    <w:rsid w:val="0039625B"/>
    <w:rsid w:val="00397C8D"/>
    <w:rsid w:val="00397E6D"/>
    <w:rsid w:val="003A0209"/>
    <w:rsid w:val="003A049A"/>
    <w:rsid w:val="003A086C"/>
    <w:rsid w:val="003A0987"/>
    <w:rsid w:val="003A09FF"/>
    <w:rsid w:val="003A1F74"/>
    <w:rsid w:val="003A2E63"/>
    <w:rsid w:val="003A2FC9"/>
    <w:rsid w:val="003A3AFB"/>
    <w:rsid w:val="003A4CA3"/>
    <w:rsid w:val="003A5FED"/>
    <w:rsid w:val="003B18E0"/>
    <w:rsid w:val="003B2340"/>
    <w:rsid w:val="003B323A"/>
    <w:rsid w:val="003B390B"/>
    <w:rsid w:val="003B3D6C"/>
    <w:rsid w:val="003B3DBA"/>
    <w:rsid w:val="003B3DDD"/>
    <w:rsid w:val="003B492C"/>
    <w:rsid w:val="003B4A38"/>
    <w:rsid w:val="003B4A45"/>
    <w:rsid w:val="003B6A15"/>
    <w:rsid w:val="003C082C"/>
    <w:rsid w:val="003C0B98"/>
    <w:rsid w:val="003C0FFB"/>
    <w:rsid w:val="003C2FA4"/>
    <w:rsid w:val="003C2FB1"/>
    <w:rsid w:val="003C448E"/>
    <w:rsid w:val="003C5696"/>
    <w:rsid w:val="003C58EB"/>
    <w:rsid w:val="003C61B5"/>
    <w:rsid w:val="003C64F7"/>
    <w:rsid w:val="003D1576"/>
    <w:rsid w:val="003D2500"/>
    <w:rsid w:val="003D2BF2"/>
    <w:rsid w:val="003D327A"/>
    <w:rsid w:val="003D5242"/>
    <w:rsid w:val="003D5C60"/>
    <w:rsid w:val="003D6A50"/>
    <w:rsid w:val="003D6C97"/>
    <w:rsid w:val="003D7929"/>
    <w:rsid w:val="003E0476"/>
    <w:rsid w:val="003E057E"/>
    <w:rsid w:val="003E1725"/>
    <w:rsid w:val="003E1D8D"/>
    <w:rsid w:val="003E20C8"/>
    <w:rsid w:val="003E2F4C"/>
    <w:rsid w:val="003E3894"/>
    <w:rsid w:val="003E4F3A"/>
    <w:rsid w:val="003E5282"/>
    <w:rsid w:val="003E594B"/>
    <w:rsid w:val="003E662D"/>
    <w:rsid w:val="003F0214"/>
    <w:rsid w:val="003F1B58"/>
    <w:rsid w:val="003F273A"/>
    <w:rsid w:val="003F2D3B"/>
    <w:rsid w:val="003F2F6F"/>
    <w:rsid w:val="003F347B"/>
    <w:rsid w:val="003F4EE0"/>
    <w:rsid w:val="003F53A2"/>
    <w:rsid w:val="003F56B4"/>
    <w:rsid w:val="003F717F"/>
    <w:rsid w:val="003F7A53"/>
    <w:rsid w:val="00400F05"/>
    <w:rsid w:val="00401E3C"/>
    <w:rsid w:val="00403141"/>
    <w:rsid w:val="004043E6"/>
    <w:rsid w:val="00405E5B"/>
    <w:rsid w:val="00406877"/>
    <w:rsid w:val="00406A0E"/>
    <w:rsid w:val="00406C49"/>
    <w:rsid w:val="00407A92"/>
    <w:rsid w:val="00407C28"/>
    <w:rsid w:val="0041056D"/>
    <w:rsid w:val="00410BC1"/>
    <w:rsid w:val="0041127E"/>
    <w:rsid w:val="00411644"/>
    <w:rsid w:val="0041278D"/>
    <w:rsid w:val="00413E42"/>
    <w:rsid w:val="00413FF2"/>
    <w:rsid w:val="00414730"/>
    <w:rsid w:val="0041512E"/>
    <w:rsid w:val="004153A3"/>
    <w:rsid w:val="004170D7"/>
    <w:rsid w:val="0041785C"/>
    <w:rsid w:val="00417A7C"/>
    <w:rsid w:val="00420089"/>
    <w:rsid w:val="004222DE"/>
    <w:rsid w:val="00422E54"/>
    <w:rsid w:val="0042342D"/>
    <w:rsid w:val="00423F10"/>
    <w:rsid w:val="00427A3D"/>
    <w:rsid w:val="0043078E"/>
    <w:rsid w:val="00430835"/>
    <w:rsid w:val="00430A62"/>
    <w:rsid w:val="00431305"/>
    <w:rsid w:val="00431CA7"/>
    <w:rsid w:val="00431FAE"/>
    <w:rsid w:val="00434211"/>
    <w:rsid w:val="004343D7"/>
    <w:rsid w:val="004377DC"/>
    <w:rsid w:val="00440221"/>
    <w:rsid w:val="0044122E"/>
    <w:rsid w:val="00441AB5"/>
    <w:rsid w:val="00442D40"/>
    <w:rsid w:val="00443A64"/>
    <w:rsid w:val="0044524C"/>
    <w:rsid w:val="0044581F"/>
    <w:rsid w:val="004462FC"/>
    <w:rsid w:val="00447647"/>
    <w:rsid w:val="004529CE"/>
    <w:rsid w:val="00453819"/>
    <w:rsid w:val="00453CBF"/>
    <w:rsid w:val="004559AA"/>
    <w:rsid w:val="00456F2D"/>
    <w:rsid w:val="00457425"/>
    <w:rsid w:val="004600C9"/>
    <w:rsid w:val="0046128E"/>
    <w:rsid w:val="004614D2"/>
    <w:rsid w:val="004617D4"/>
    <w:rsid w:val="00462278"/>
    <w:rsid w:val="004628FF"/>
    <w:rsid w:val="00462A9B"/>
    <w:rsid w:val="004632EE"/>
    <w:rsid w:val="00463BC9"/>
    <w:rsid w:val="00463CB2"/>
    <w:rsid w:val="00463D74"/>
    <w:rsid w:val="004670CF"/>
    <w:rsid w:val="004671DA"/>
    <w:rsid w:val="004672B2"/>
    <w:rsid w:val="004720AE"/>
    <w:rsid w:val="004727EF"/>
    <w:rsid w:val="004744D8"/>
    <w:rsid w:val="004745FA"/>
    <w:rsid w:val="00474DC1"/>
    <w:rsid w:val="004752B2"/>
    <w:rsid w:val="00475E3E"/>
    <w:rsid w:val="00476AE2"/>
    <w:rsid w:val="00476BC6"/>
    <w:rsid w:val="00480AF8"/>
    <w:rsid w:val="00481795"/>
    <w:rsid w:val="00482ECB"/>
    <w:rsid w:val="004834E8"/>
    <w:rsid w:val="0048463A"/>
    <w:rsid w:val="00486147"/>
    <w:rsid w:val="00486313"/>
    <w:rsid w:val="00486CE3"/>
    <w:rsid w:val="00487FAD"/>
    <w:rsid w:val="0049234F"/>
    <w:rsid w:val="00492FDD"/>
    <w:rsid w:val="0049431D"/>
    <w:rsid w:val="0049467D"/>
    <w:rsid w:val="00494E7F"/>
    <w:rsid w:val="00495AEE"/>
    <w:rsid w:val="00496F84"/>
    <w:rsid w:val="00497286"/>
    <w:rsid w:val="0049773E"/>
    <w:rsid w:val="004A0CDF"/>
    <w:rsid w:val="004A11FC"/>
    <w:rsid w:val="004A18B2"/>
    <w:rsid w:val="004A1AE3"/>
    <w:rsid w:val="004A1CCF"/>
    <w:rsid w:val="004A1D7D"/>
    <w:rsid w:val="004A4084"/>
    <w:rsid w:val="004A4A65"/>
    <w:rsid w:val="004A4FAA"/>
    <w:rsid w:val="004A52E6"/>
    <w:rsid w:val="004A6520"/>
    <w:rsid w:val="004A6895"/>
    <w:rsid w:val="004A7183"/>
    <w:rsid w:val="004A767B"/>
    <w:rsid w:val="004A791E"/>
    <w:rsid w:val="004A79FE"/>
    <w:rsid w:val="004A7BE6"/>
    <w:rsid w:val="004B03D4"/>
    <w:rsid w:val="004B181E"/>
    <w:rsid w:val="004B3022"/>
    <w:rsid w:val="004B575C"/>
    <w:rsid w:val="004B6F7D"/>
    <w:rsid w:val="004B7918"/>
    <w:rsid w:val="004B7BD3"/>
    <w:rsid w:val="004B7E30"/>
    <w:rsid w:val="004C0C42"/>
    <w:rsid w:val="004C1574"/>
    <w:rsid w:val="004C1B22"/>
    <w:rsid w:val="004C1D72"/>
    <w:rsid w:val="004C214E"/>
    <w:rsid w:val="004C363B"/>
    <w:rsid w:val="004C3AD3"/>
    <w:rsid w:val="004C3B26"/>
    <w:rsid w:val="004C42BC"/>
    <w:rsid w:val="004C5FD5"/>
    <w:rsid w:val="004C6060"/>
    <w:rsid w:val="004C6620"/>
    <w:rsid w:val="004C66A2"/>
    <w:rsid w:val="004C6726"/>
    <w:rsid w:val="004C7E54"/>
    <w:rsid w:val="004C7FF2"/>
    <w:rsid w:val="004D0098"/>
    <w:rsid w:val="004D1B7F"/>
    <w:rsid w:val="004D3129"/>
    <w:rsid w:val="004D331B"/>
    <w:rsid w:val="004D3A02"/>
    <w:rsid w:val="004D3B77"/>
    <w:rsid w:val="004D3F8D"/>
    <w:rsid w:val="004D5AF6"/>
    <w:rsid w:val="004D5DE0"/>
    <w:rsid w:val="004D65C3"/>
    <w:rsid w:val="004D6F92"/>
    <w:rsid w:val="004D76E4"/>
    <w:rsid w:val="004E13E2"/>
    <w:rsid w:val="004E22BA"/>
    <w:rsid w:val="004E2683"/>
    <w:rsid w:val="004E3ADF"/>
    <w:rsid w:val="004E45D0"/>
    <w:rsid w:val="004E4FD6"/>
    <w:rsid w:val="004E57E8"/>
    <w:rsid w:val="004E6124"/>
    <w:rsid w:val="004E613A"/>
    <w:rsid w:val="004E645E"/>
    <w:rsid w:val="004E66AC"/>
    <w:rsid w:val="004E71B0"/>
    <w:rsid w:val="004E7E4A"/>
    <w:rsid w:val="004F0EC2"/>
    <w:rsid w:val="004F104F"/>
    <w:rsid w:val="004F1792"/>
    <w:rsid w:val="004F2CD2"/>
    <w:rsid w:val="004F3177"/>
    <w:rsid w:val="004F3525"/>
    <w:rsid w:val="004F4C89"/>
    <w:rsid w:val="004F4DBC"/>
    <w:rsid w:val="004F5B65"/>
    <w:rsid w:val="004F78F4"/>
    <w:rsid w:val="00500991"/>
    <w:rsid w:val="00500CCD"/>
    <w:rsid w:val="00501053"/>
    <w:rsid w:val="00505B2B"/>
    <w:rsid w:val="00505E19"/>
    <w:rsid w:val="00505ED5"/>
    <w:rsid w:val="00507EF5"/>
    <w:rsid w:val="0051154C"/>
    <w:rsid w:val="00513990"/>
    <w:rsid w:val="00514770"/>
    <w:rsid w:val="00515058"/>
    <w:rsid w:val="005168D5"/>
    <w:rsid w:val="00517AD4"/>
    <w:rsid w:val="00517E5C"/>
    <w:rsid w:val="00520E68"/>
    <w:rsid w:val="0052176C"/>
    <w:rsid w:val="00521B5B"/>
    <w:rsid w:val="0052205A"/>
    <w:rsid w:val="00523D6A"/>
    <w:rsid w:val="005241F5"/>
    <w:rsid w:val="005247D5"/>
    <w:rsid w:val="005258E4"/>
    <w:rsid w:val="00525BF8"/>
    <w:rsid w:val="005266AD"/>
    <w:rsid w:val="00526787"/>
    <w:rsid w:val="00526CD2"/>
    <w:rsid w:val="00526DDA"/>
    <w:rsid w:val="00527823"/>
    <w:rsid w:val="00530276"/>
    <w:rsid w:val="00531171"/>
    <w:rsid w:val="00531BC7"/>
    <w:rsid w:val="00531EBF"/>
    <w:rsid w:val="005332F7"/>
    <w:rsid w:val="00533DCD"/>
    <w:rsid w:val="00535E81"/>
    <w:rsid w:val="00537542"/>
    <w:rsid w:val="005375AA"/>
    <w:rsid w:val="005376CF"/>
    <w:rsid w:val="00537EFE"/>
    <w:rsid w:val="00541BE0"/>
    <w:rsid w:val="00542087"/>
    <w:rsid w:val="00542FF9"/>
    <w:rsid w:val="00543648"/>
    <w:rsid w:val="0054375A"/>
    <w:rsid w:val="00543D66"/>
    <w:rsid w:val="00543D78"/>
    <w:rsid w:val="00544174"/>
    <w:rsid w:val="00544718"/>
    <w:rsid w:val="005448F8"/>
    <w:rsid w:val="00544B20"/>
    <w:rsid w:val="00544E0B"/>
    <w:rsid w:val="00544FF9"/>
    <w:rsid w:val="0054538E"/>
    <w:rsid w:val="00545690"/>
    <w:rsid w:val="00545F76"/>
    <w:rsid w:val="00546C57"/>
    <w:rsid w:val="005475EC"/>
    <w:rsid w:val="0055070E"/>
    <w:rsid w:val="00550AA7"/>
    <w:rsid w:val="005520CE"/>
    <w:rsid w:val="005527B9"/>
    <w:rsid w:val="00554046"/>
    <w:rsid w:val="00554364"/>
    <w:rsid w:val="005562CE"/>
    <w:rsid w:val="00556AC2"/>
    <w:rsid w:val="00560B8C"/>
    <w:rsid w:val="005610CA"/>
    <w:rsid w:val="00562049"/>
    <w:rsid w:val="00565A08"/>
    <w:rsid w:val="00566805"/>
    <w:rsid w:val="00567758"/>
    <w:rsid w:val="005702CE"/>
    <w:rsid w:val="005709F2"/>
    <w:rsid w:val="00572914"/>
    <w:rsid w:val="0057320C"/>
    <w:rsid w:val="0057697A"/>
    <w:rsid w:val="00576A78"/>
    <w:rsid w:val="00580B2B"/>
    <w:rsid w:val="0058156A"/>
    <w:rsid w:val="005831FA"/>
    <w:rsid w:val="005843AC"/>
    <w:rsid w:val="0058446D"/>
    <w:rsid w:val="005846AD"/>
    <w:rsid w:val="005848FE"/>
    <w:rsid w:val="00584B67"/>
    <w:rsid w:val="00584FFF"/>
    <w:rsid w:val="005854CF"/>
    <w:rsid w:val="0058621A"/>
    <w:rsid w:val="0058670A"/>
    <w:rsid w:val="00587CE5"/>
    <w:rsid w:val="0059033B"/>
    <w:rsid w:val="00590B45"/>
    <w:rsid w:val="00591634"/>
    <w:rsid w:val="00593396"/>
    <w:rsid w:val="0059386F"/>
    <w:rsid w:val="00593D96"/>
    <w:rsid w:val="0059416B"/>
    <w:rsid w:val="005943F6"/>
    <w:rsid w:val="00595531"/>
    <w:rsid w:val="00596443"/>
    <w:rsid w:val="00596F0A"/>
    <w:rsid w:val="005A0A0B"/>
    <w:rsid w:val="005A0B65"/>
    <w:rsid w:val="005A2797"/>
    <w:rsid w:val="005A37F4"/>
    <w:rsid w:val="005A382B"/>
    <w:rsid w:val="005A5DAE"/>
    <w:rsid w:val="005A6035"/>
    <w:rsid w:val="005A6079"/>
    <w:rsid w:val="005B212A"/>
    <w:rsid w:val="005B2349"/>
    <w:rsid w:val="005B2357"/>
    <w:rsid w:val="005B27FB"/>
    <w:rsid w:val="005B5BE6"/>
    <w:rsid w:val="005B6633"/>
    <w:rsid w:val="005B6870"/>
    <w:rsid w:val="005B69F0"/>
    <w:rsid w:val="005B6E67"/>
    <w:rsid w:val="005B6FE2"/>
    <w:rsid w:val="005C0A4C"/>
    <w:rsid w:val="005C15DC"/>
    <w:rsid w:val="005C4247"/>
    <w:rsid w:val="005C4BBD"/>
    <w:rsid w:val="005C56B0"/>
    <w:rsid w:val="005C5F24"/>
    <w:rsid w:val="005D115A"/>
    <w:rsid w:val="005D1402"/>
    <w:rsid w:val="005D1F6D"/>
    <w:rsid w:val="005D32BE"/>
    <w:rsid w:val="005D604D"/>
    <w:rsid w:val="005D6E7E"/>
    <w:rsid w:val="005E03E4"/>
    <w:rsid w:val="005E329C"/>
    <w:rsid w:val="005E344F"/>
    <w:rsid w:val="005E4AC9"/>
    <w:rsid w:val="005E4EA3"/>
    <w:rsid w:val="005E536D"/>
    <w:rsid w:val="005E5EF2"/>
    <w:rsid w:val="005E78D1"/>
    <w:rsid w:val="005E7BBB"/>
    <w:rsid w:val="005E7E44"/>
    <w:rsid w:val="005F1FD7"/>
    <w:rsid w:val="005F2573"/>
    <w:rsid w:val="005F3030"/>
    <w:rsid w:val="005F4D05"/>
    <w:rsid w:val="005F5757"/>
    <w:rsid w:val="005F6141"/>
    <w:rsid w:val="005F62A4"/>
    <w:rsid w:val="005F6E3A"/>
    <w:rsid w:val="00600E2B"/>
    <w:rsid w:val="00602C65"/>
    <w:rsid w:val="00603922"/>
    <w:rsid w:val="00605455"/>
    <w:rsid w:val="00606074"/>
    <w:rsid w:val="00606D12"/>
    <w:rsid w:val="00607F4C"/>
    <w:rsid w:val="006103C7"/>
    <w:rsid w:val="006108AE"/>
    <w:rsid w:val="006108E5"/>
    <w:rsid w:val="0061115C"/>
    <w:rsid w:val="00611AB9"/>
    <w:rsid w:val="00611CEB"/>
    <w:rsid w:val="0061211E"/>
    <w:rsid w:val="00612387"/>
    <w:rsid w:val="006130F3"/>
    <w:rsid w:val="00613189"/>
    <w:rsid w:val="006132AF"/>
    <w:rsid w:val="00613F77"/>
    <w:rsid w:val="00616462"/>
    <w:rsid w:val="006167E8"/>
    <w:rsid w:val="00616971"/>
    <w:rsid w:val="006170AC"/>
    <w:rsid w:val="006172F1"/>
    <w:rsid w:val="0061756E"/>
    <w:rsid w:val="00617D60"/>
    <w:rsid w:val="00623035"/>
    <w:rsid w:val="006246D4"/>
    <w:rsid w:val="006248CE"/>
    <w:rsid w:val="00624928"/>
    <w:rsid w:val="00624D7A"/>
    <w:rsid w:val="0062657E"/>
    <w:rsid w:val="00630EE3"/>
    <w:rsid w:val="0063104F"/>
    <w:rsid w:val="006310C1"/>
    <w:rsid w:val="00632667"/>
    <w:rsid w:val="0063286F"/>
    <w:rsid w:val="006341AF"/>
    <w:rsid w:val="006343D6"/>
    <w:rsid w:val="006356D0"/>
    <w:rsid w:val="006357C9"/>
    <w:rsid w:val="00636476"/>
    <w:rsid w:val="00637139"/>
    <w:rsid w:val="00641683"/>
    <w:rsid w:val="00642209"/>
    <w:rsid w:val="0064538B"/>
    <w:rsid w:val="0064550C"/>
    <w:rsid w:val="006461BC"/>
    <w:rsid w:val="006461CE"/>
    <w:rsid w:val="006474EE"/>
    <w:rsid w:val="00647F68"/>
    <w:rsid w:val="00650BD2"/>
    <w:rsid w:val="0065355D"/>
    <w:rsid w:val="0065549E"/>
    <w:rsid w:val="00655C75"/>
    <w:rsid w:val="00656428"/>
    <w:rsid w:val="00656CF9"/>
    <w:rsid w:val="00657EC5"/>
    <w:rsid w:val="00660373"/>
    <w:rsid w:val="0066150B"/>
    <w:rsid w:val="00662CFF"/>
    <w:rsid w:val="00663BAA"/>
    <w:rsid w:val="0066411D"/>
    <w:rsid w:val="00664ADA"/>
    <w:rsid w:val="00667E66"/>
    <w:rsid w:val="006703B2"/>
    <w:rsid w:val="00670ADB"/>
    <w:rsid w:val="00670D0E"/>
    <w:rsid w:val="0067130D"/>
    <w:rsid w:val="00671DED"/>
    <w:rsid w:val="00673695"/>
    <w:rsid w:val="00674FB2"/>
    <w:rsid w:val="00675D90"/>
    <w:rsid w:val="006767B7"/>
    <w:rsid w:val="006806BF"/>
    <w:rsid w:val="006816A0"/>
    <w:rsid w:val="00681742"/>
    <w:rsid w:val="0068183A"/>
    <w:rsid w:val="00681B29"/>
    <w:rsid w:val="00681F1D"/>
    <w:rsid w:val="006822A2"/>
    <w:rsid w:val="006827D3"/>
    <w:rsid w:val="00682E01"/>
    <w:rsid w:val="00684E0A"/>
    <w:rsid w:val="0068598A"/>
    <w:rsid w:val="00687118"/>
    <w:rsid w:val="00691FC4"/>
    <w:rsid w:val="00692623"/>
    <w:rsid w:val="00696724"/>
    <w:rsid w:val="00696CD4"/>
    <w:rsid w:val="0069753C"/>
    <w:rsid w:val="006A1A78"/>
    <w:rsid w:val="006A3AC0"/>
    <w:rsid w:val="006A3E3F"/>
    <w:rsid w:val="006A4ABB"/>
    <w:rsid w:val="006A55EB"/>
    <w:rsid w:val="006A6B67"/>
    <w:rsid w:val="006A7A62"/>
    <w:rsid w:val="006B0970"/>
    <w:rsid w:val="006B1623"/>
    <w:rsid w:val="006B209D"/>
    <w:rsid w:val="006B230C"/>
    <w:rsid w:val="006B262D"/>
    <w:rsid w:val="006B2ADD"/>
    <w:rsid w:val="006B47EB"/>
    <w:rsid w:val="006B4B26"/>
    <w:rsid w:val="006B4DC8"/>
    <w:rsid w:val="006B4E97"/>
    <w:rsid w:val="006B5ABB"/>
    <w:rsid w:val="006B6B31"/>
    <w:rsid w:val="006C0074"/>
    <w:rsid w:val="006C0417"/>
    <w:rsid w:val="006C1233"/>
    <w:rsid w:val="006C1313"/>
    <w:rsid w:val="006C16AB"/>
    <w:rsid w:val="006C2042"/>
    <w:rsid w:val="006C32D6"/>
    <w:rsid w:val="006C3F92"/>
    <w:rsid w:val="006C40C9"/>
    <w:rsid w:val="006C428C"/>
    <w:rsid w:val="006C52A9"/>
    <w:rsid w:val="006C5AA7"/>
    <w:rsid w:val="006C5F95"/>
    <w:rsid w:val="006C684F"/>
    <w:rsid w:val="006C6868"/>
    <w:rsid w:val="006C7158"/>
    <w:rsid w:val="006C7716"/>
    <w:rsid w:val="006C7B21"/>
    <w:rsid w:val="006D18E2"/>
    <w:rsid w:val="006D1E41"/>
    <w:rsid w:val="006D1E52"/>
    <w:rsid w:val="006D1E7D"/>
    <w:rsid w:val="006D268A"/>
    <w:rsid w:val="006D27D6"/>
    <w:rsid w:val="006D2DF0"/>
    <w:rsid w:val="006D2E48"/>
    <w:rsid w:val="006D3C6C"/>
    <w:rsid w:val="006D471A"/>
    <w:rsid w:val="006D4891"/>
    <w:rsid w:val="006D56F5"/>
    <w:rsid w:val="006D5B9B"/>
    <w:rsid w:val="006D78BC"/>
    <w:rsid w:val="006D79E5"/>
    <w:rsid w:val="006D7B9A"/>
    <w:rsid w:val="006E07AC"/>
    <w:rsid w:val="006E0F54"/>
    <w:rsid w:val="006E1644"/>
    <w:rsid w:val="006E3D3D"/>
    <w:rsid w:val="006E4471"/>
    <w:rsid w:val="006E56E8"/>
    <w:rsid w:val="006E5C0A"/>
    <w:rsid w:val="006E6570"/>
    <w:rsid w:val="006E70F5"/>
    <w:rsid w:val="006E7825"/>
    <w:rsid w:val="006F028B"/>
    <w:rsid w:val="006F04FC"/>
    <w:rsid w:val="006F07C6"/>
    <w:rsid w:val="006F0B7C"/>
    <w:rsid w:val="006F1478"/>
    <w:rsid w:val="006F2237"/>
    <w:rsid w:val="006F2499"/>
    <w:rsid w:val="006F30AF"/>
    <w:rsid w:val="006F3BE8"/>
    <w:rsid w:val="006F3E62"/>
    <w:rsid w:val="006F4BF9"/>
    <w:rsid w:val="006F5AD0"/>
    <w:rsid w:val="006F5ADC"/>
    <w:rsid w:val="006F674B"/>
    <w:rsid w:val="006F72BF"/>
    <w:rsid w:val="00703195"/>
    <w:rsid w:val="00704F8C"/>
    <w:rsid w:val="00705783"/>
    <w:rsid w:val="00705C8A"/>
    <w:rsid w:val="00706102"/>
    <w:rsid w:val="007061E0"/>
    <w:rsid w:val="00706E81"/>
    <w:rsid w:val="00707A9A"/>
    <w:rsid w:val="00711C04"/>
    <w:rsid w:val="00713A63"/>
    <w:rsid w:val="0071678A"/>
    <w:rsid w:val="007175AA"/>
    <w:rsid w:val="0072028B"/>
    <w:rsid w:val="00721CE1"/>
    <w:rsid w:val="00722320"/>
    <w:rsid w:val="007245C5"/>
    <w:rsid w:val="00725F8B"/>
    <w:rsid w:val="007271F7"/>
    <w:rsid w:val="007274A7"/>
    <w:rsid w:val="00731BA4"/>
    <w:rsid w:val="00731FAE"/>
    <w:rsid w:val="007328FD"/>
    <w:rsid w:val="0073317A"/>
    <w:rsid w:val="00733C24"/>
    <w:rsid w:val="00734D54"/>
    <w:rsid w:val="00735AEB"/>
    <w:rsid w:val="00735E4C"/>
    <w:rsid w:val="00735FBE"/>
    <w:rsid w:val="0073726C"/>
    <w:rsid w:val="007372D8"/>
    <w:rsid w:val="0073785D"/>
    <w:rsid w:val="00737E75"/>
    <w:rsid w:val="00740100"/>
    <w:rsid w:val="00741858"/>
    <w:rsid w:val="00743278"/>
    <w:rsid w:val="007440C6"/>
    <w:rsid w:val="00745E3F"/>
    <w:rsid w:val="00745E81"/>
    <w:rsid w:val="00751C05"/>
    <w:rsid w:val="00751F87"/>
    <w:rsid w:val="00752097"/>
    <w:rsid w:val="007523E0"/>
    <w:rsid w:val="00754580"/>
    <w:rsid w:val="0076063B"/>
    <w:rsid w:val="007607B8"/>
    <w:rsid w:val="00760CC9"/>
    <w:rsid w:val="00762C4E"/>
    <w:rsid w:val="00763598"/>
    <w:rsid w:val="0076643F"/>
    <w:rsid w:val="00766550"/>
    <w:rsid w:val="007676C7"/>
    <w:rsid w:val="0077058C"/>
    <w:rsid w:val="007708BB"/>
    <w:rsid w:val="007728B6"/>
    <w:rsid w:val="00773ED5"/>
    <w:rsid w:val="0077442C"/>
    <w:rsid w:val="00775220"/>
    <w:rsid w:val="007767BD"/>
    <w:rsid w:val="00776FDC"/>
    <w:rsid w:val="00777DA7"/>
    <w:rsid w:val="007802AE"/>
    <w:rsid w:val="007805C5"/>
    <w:rsid w:val="00780EFF"/>
    <w:rsid w:val="007811B9"/>
    <w:rsid w:val="0078143F"/>
    <w:rsid w:val="00781591"/>
    <w:rsid w:val="007822E8"/>
    <w:rsid w:val="00782424"/>
    <w:rsid w:val="007845B2"/>
    <w:rsid w:val="0078476C"/>
    <w:rsid w:val="00784C54"/>
    <w:rsid w:val="00784F91"/>
    <w:rsid w:val="0078639E"/>
    <w:rsid w:val="00786F91"/>
    <w:rsid w:val="00790B81"/>
    <w:rsid w:val="00791000"/>
    <w:rsid w:val="007915D0"/>
    <w:rsid w:val="007918BA"/>
    <w:rsid w:val="00792AFC"/>
    <w:rsid w:val="00792C08"/>
    <w:rsid w:val="00795193"/>
    <w:rsid w:val="007952B9"/>
    <w:rsid w:val="00795532"/>
    <w:rsid w:val="0079730A"/>
    <w:rsid w:val="007A063E"/>
    <w:rsid w:val="007A18C9"/>
    <w:rsid w:val="007A21A8"/>
    <w:rsid w:val="007A2526"/>
    <w:rsid w:val="007A2E70"/>
    <w:rsid w:val="007A5163"/>
    <w:rsid w:val="007A5859"/>
    <w:rsid w:val="007A5B03"/>
    <w:rsid w:val="007A5CCD"/>
    <w:rsid w:val="007A6BAA"/>
    <w:rsid w:val="007A720D"/>
    <w:rsid w:val="007A7C6F"/>
    <w:rsid w:val="007A7CA4"/>
    <w:rsid w:val="007B024A"/>
    <w:rsid w:val="007B0612"/>
    <w:rsid w:val="007B090A"/>
    <w:rsid w:val="007B1074"/>
    <w:rsid w:val="007B1E67"/>
    <w:rsid w:val="007B2D2A"/>
    <w:rsid w:val="007B4CDB"/>
    <w:rsid w:val="007B4CEA"/>
    <w:rsid w:val="007B5F08"/>
    <w:rsid w:val="007B6D15"/>
    <w:rsid w:val="007C0386"/>
    <w:rsid w:val="007C0547"/>
    <w:rsid w:val="007C1CE8"/>
    <w:rsid w:val="007C2D03"/>
    <w:rsid w:val="007C49C2"/>
    <w:rsid w:val="007C4DE3"/>
    <w:rsid w:val="007C6348"/>
    <w:rsid w:val="007C6687"/>
    <w:rsid w:val="007D0F63"/>
    <w:rsid w:val="007D26AC"/>
    <w:rsid w:val="007D3299"/>
    <w:rsid w:val="007D3477"/>
    <w:rsid w:val="007D4357"/>
    <w:rsid w:val="007D73FA"/>
    <w:rsid w:val="007D78C6"/>
    <w:rsid w:val="007E133A"/>
    <w:rsid w:val="007E4ABA"/>
    <w:rsid w:val="007E57C7"/>
    <w:rsid w:val="007E591E"/>
    <w:rsid w:val="007E5EA9"/>
    <w:rsid w:val="007E5F41"/>
    <w:rsid w:val="007E6C96"/>
    <w:rsid w:val="007E7EEA"/>
    <w:rsid w:val="007F02B1"/>
    <w:rsid w:val="007F0826"/>
    <w:rsid w:val="007F2BD1"/>
    <w:rsid w:val="007F2EEE"/>
    <w:rsid w:val="007F3469"/>
    <w:rsid w:val="007F3E30"/>
    <w:rsid w:val="007F46D7"/>
    <w:rsid w:val="007F4B31"/>
    <w:rsid w:val="007F5427"/>
    <w:rsid w:val="007F5A14"/>
    <w:rsid w:val="007F6004"/>
    <w:rsid w:val="007F63A6"/>
    <w:rsid w:val="007F6633"/>
    <w:rsid w:val="007F7212"/>
    <w:rsid w:val="007F7C34"/>
    <w:rsid w:val="008061F0"/>
    <w:rsid w:val="008066D8"/>
    <w:rsid w:val="00806928"/>
    <w:rsid w:val="008079FD"/>
    <w:rsid w:val="0081027C"/>
    <w:rsid w:val="00810748"/>
    <w:rsid w:val="00810DFD"/>
    <w:rsid w:val="00812F17"/>
    <w:rsid w:val="00813D4E"/>
    <w:rsid w:val="00813E1A"/>
    <w:rsid w:val="00815A8F"/>
    <w:rsid w:val="00815C97"/>
    <w:rsid w:val="008166DA"/>
    <w:rsid w:val="00817D48"/>
    <w:rsid w:val="00821749"/>
    <w:rsid w:val="00821B06"/>
    <w:rsid w:val="00821C43"/>
    <w:rsid w:val="0082413D"/>
    <w:rsid w:val="008246BA"/>
    <w:rsid w:val="00825865"/>
    <w:rsid w:val="00825BB2"/>
    <w:rsid w:val="00827C55"/>
    <w:rsid w:val="00831CF5"/>
    <w:rsid w:val="00832767"/>
    <w:rsid w:val="008328D9"/>
    <w:rsid w:val="008331D2"/>
    <w:rsid w:val="00834A46"/>
    <w:rsid w:val="00835D3C"/>
    <w:rsid w:val="008377B7"/>
    <w:rsid w:val="008404F3"/>
    <w:rsid w:val="00842628"/>
    <w:rsid w:val="00842C91"/>
    <w:rsid w:val="008437BB"/>
    <w:rsid w:val="008439A4"/>
    <w:rsid w:val="00844653"/>
    <w:rsid w:val="00847A71"/>
    <w:rsid w:val="0085117C"/>
    <w:rsid w:val="00851A76"/>
    <w:rsid w:val="0085212E"/>
    <w:rsid w:val="008526B0"/>
    <w:rsid w:val="008533A4"/>
    <w:rsid w:val="0085371C"/>
    <w:rsid w:val="008541D6"/>
    <w:rsid w:val="00856BC5"/>
    <w:rsid w:val="00856FEE"/>
    <w:rsid w:val="008603C7"/>
    <w:rsid w:val="00861726"/>
    <w:rsid w:val="00861F55"/>
    <w:rsid w:val="008622A2"/>
    <w:rsid w:val="00864492"/>
    <w:rsid w:val="00865BA7"/>
    <w:rsid w:val="00865EA8"/>
    <w:rsid w:val="0086700C"/>
    <w:rsid w:val="00870277"/>
    <w:rsid w:val="00870744"/>
    <w:rsid w:val="00870B07"/>
    <w:rsid w:val="00871719"/>
    <w:rsid w:val="0087306D"/>
    <w:rsid w:val="008754AB"/>
    <w:rsid w:val="00877BFD"/>
    <w:rsid w:val="00880051"/>
    <w:rsid w:val="008810DD"/>
    <w:rsid w:val="00881639"/>
    <w:rsid w:val="00882849"/>
    <w:rsid w:val="00883696"/>
    <w:rsid w:val="00883A80"/>
    <w:rsid w:val="00884206"/>
    <w:rsid w:val="00885718"/>
    <w:rsid w:val="0088627B"/>
    <w:rsid w:val="00890436"/>
    <w:rsid w:val="008904D1"/>
    <w:rsid w:val="00890C20"/>
    <w:rsid w:val="0089169C"/>
    <w:rsid w:val="008921FB"/>
    <w:rsid w:val="008924C4"/>
    <w:rsid w:val="00892847"/>
    <w:rsid w:val="008951CD"/>
    <w:rsid w:val="00895CFF"/>
    <w:rsid w:val="00897358"/>
    <w:rsid w:val="0089735D"/>
    <w:rsid w:val="008977E6"/>
    <w:rsid w:val="008A0AFA"/>
    <w:rsid w:val="008A0D99"/>
    <w:rsid w:val="008A32FD"/>
    <w:rsid w:val="008A3390"/>
    <w:rsid w:val="008A3E21"/>
    <w:rsid w:val="008A4C82"/>
    <w:rsid w:val="008A568A"/>
    <w:rsid w:val="008A7431"/>
    <w:rsid w:val="008A756C"/>
    <w:rsid w:val="008B07DB"/>
    <w:rsid w:val="008B0D2A"/>
    <w:rsid w:val="008B124D"/>
    <w:rsid w:val="008B2BF8"/>
    <w:rsid w:val="008B36FE"/>
    <w:rsid w:val="008B4455"/>
    <w:rsid w:val="008B4EE5"/>
    <w:rsid w:val="008B5289"/>
    <w:rsid w:val="008B748A"/>
    <w:rsid w:val="008B771C"/>
    <w:rsid w:val="008B7ABE"/>
    <w:rsid w:val="008B7EC3"/>
    <w:rsid w:val="008C1ADC"/>
    <w:rsid w:val="008C2586"/>
    <w:rsid w:val="008C2A34"/>
    <w:rsid w:val="008C2C22"/>
    <w:rsid w:val="008C5A65"/>
    <w:rsid w:val="008C5B42"/>
    <w:rsid w:val="008C69EC"/>
    <w:rsid w:val="008C7456"/>
    <w:rsid w:val="008D0B95"/>
    <w:rsid w:val="008D0E0C"/>
    <w:rsid w:val="008D1E8D"/>
    <w:rsid w:val="008D1ECE"/>
    <w:rsid w:val="008D265C"/>
    <w:rsid w:val="008D3872"/>
    <w:rsid w:val="008D41A2"/>
    <w:rsid w:val="008D5307"/>
    <w:rsid w:val="008D5DB8"/>
    <w:rsid w:val="008D62C9"/>
    <w:rsid w:val="008D7F5D"/>
    <w:rsid w:val="008E0216"/>
    <w:rsid w:val="008E20C3"/>
    <w:rsid w:val="008E2784"/>
    <w:rsid w:val="008E3E71"/>
    <w:rsid w:val="008E6458"/>
    <w:rsid w:val="008E73CB"/>
    <w:rsid w:val="008F02B0"/>
    <w:rsid w:val="008F1DBA"/>
    <w:rsid w:val="008F1E6F"/>
    <w:rsid w:val="008F22E0"/>
    <w:rsid w:val="008F3C20"/>
    <w:rsid w:val="008F50DA"/>
    <w:rsid w:val="008F7160"/>
    <w:rsid w:val="00900807"/>
    <w:rsid w:val="00900AC3"/>
    <w:rsid w:val="00900C38"/>
    <w:rsid w:val="0090176F"/>
    <w:rsid w:val="00901871"/>
    <w:rsid w:val="0090223F"/>
    <w:rsid w:val="00903A87"/>
    <w:rsid w:val="00905515"/>
    <w:rsid w:val="00905B82"/>
    <w:rsid w:val="00910D48"/>
    <w:rsid w:val="009125FB"/>
    <w:rsid w:val="009134A5"/>
    <w:rsid w:val="0091398D"/>
    <w:rsid w:val="00913A4C"/>
    <w:rsid w:val="00913B99"/>
    <w:rsid w:val="009140EC"/>
    <w:rsid w:val="00914E7A"/>
    <w:rsid w:val="00915490"/>
    <w:rsid w:val="0091578D"/>
    <w:rsid w:val="00920C4A"/>
    <w:rsid w:val="00920CCB"/>
    <w:rsid w:val="00921172"/>
    <w:rsid w:val="009214CB"/>
    <w:rsid w:val="0092176D"/>
    <w:rsid w:val="00921B02"/>
    <w:rsid w:val="00921F3F"/>
    <w:rsid w:val="009221ED"/>
    <w:rsid w:val="00922E4E"/>
    <w:rsid w:val="00923FAD"/>
    <w:rsid w:val="00924365"/>
    <w:rsid w:val="00925F06"/>
    <w:rsid w:val="00927059"/>
    <w:rsid w:val="00927452"/>
    <w:rsid w:val="009301C6"/>
    <w:rsid w:val="009303AC"/>
    <w:rsid w:val="009303DF"/>
    <w:rsid w:val="0093108B"/>
    <w:rsid w:val="0093156E"/>
    <w:rsid w:val="00931F50"/>
    <w:rsid w:val="00932544"/>
    <w:rsid w:val="009327B2"/>
    <w:rsid w:val="00933786"/>
    <w:rsid w:val="00935162"/>
    <w:rsid w:val="00935450"/>
    <w:rsid w:val="009354B4"/>
    <w:rsid w:val="009412A5"/>
    <w:rsid w:val="00941DCD"/>
    <w:rsid w:val="009420D8"/>
    <w:rsid w:val="00942795"/>
    <w:rsid w:val="00942BCD"/>
    <w:rsid w:val="00942E01"/>
    <w:rsid w:val="009435C4"/>
    <w:rsid w:val="00943BF8"/>
    <w:rsid w:val="0094494C"/>
    <w:rsid w:val="0094584C"/>
    <w:rsid w:val="00945CF6"/>
    <w:rsid w:val="009476AF"/>
    <w:rsid w:val="009478BB"/>
    <w:rsid w:val="00951407"/>
    <w:rsid w:val="00951E61"/>
    <w:rsid w:val="00952885"/>
    <w:rsid w:val="00953F63"/>
    <w:rsid w:val="00961842"/>
    <w:rsid w:val="00961C9F"/>
    <w:rsid w:val="00962D79"/>
    <w:rsid w:val="00963F75"/>
    <w:rsid w:val="00964934"/>
    <w:rsid w:val="00964E56"/>
    <w:rsid w:val="009665C0"/>
    <w:rsid w:val="00966E71"/>
    <w:rsid w:val="00970321"/>
    <w:rsid w:val="00970B59"/>
    <w:rsid w:val="00970C20"/>
    <w:rsid w:val="00971693"/>
    <w:rsid w:val="00971A61"/>
    <w:rsid w:val="00971E32"/>
    <w:rsid w:val="0097236D"/>
    <w:rsid w:val="00976B9F"/>
    <w:rsid w:val="00976CCA"/>
    <w:rsid w:val="009809D1"/>
    <w:rsid w:val="00980F05"/>
    <w:rsid w:val="009818B4"/>
    <w:rsid w:val="00982253"/>
    <w:rsid w:val="009829D0"/>
    <w:rsid w:val="00983979"/>
    <w:rsid w:val="00983FC0"/>
    <w:rsid w:val="009844C8"/>
    <w:rsid w:val="0098484C"/>
    <w:rsid w:val="00984A4A"/>
    <w:rsid w:val="00984E01"/>
    <w:rsid w:val="009851AC"/>
    <w:rsid w:val="00987447"/>
    <w:rsid w:val="0098750C"/>
    <w:rsid w:val="009914EA"/>
    <w:rsid w:val="00991E5D"/>
    <w:rsid w:val="0099251F"/>
    <w:rsid w:val="00992759"/>
    <w:rsid w:val="009927C0"/>
    <w:rsid w:val="00992C29"/>
    <w:rsid w:val="0099327A"/>
    <w:rsid w:val="00993924"/>
    <w:rsid w:val="00993DD9"/>
    <w:rsid w:val="00994190"/>
    <w:rsid w:val="009941C1"/>
    <w:rsid w:val="00995311"/>
    <w:rsid w:val="009953C9"/>
    <w:rsid w:val="00995AF4"/>
    <w:rsid w:val="00997A31"/>
    <w:rsid w:val="00997C20"/>
    <w:rsid w:val="00997CF8"/>
    <w:rsid w:val="009A0FF6"/>
    <w:rsid w:val="009A1323"/>
    <w:rsid w:val="009A1A95"/>
    <w:rsid w:val="009A1C6D"/>
    <w:rsid w:val="009A2D17"/>
    <w:rsid w:val="009A331F"/>
    <w:rsid w:val="009A4D42"/>
    <w:rsid w:val="009A62AD"/>
    <w:rsid w:val="009B0796"/>
    <w:rsid w:val="009B0C74"/>
    <w:rsid w:val="009B31A9"/>
    <w:rsid w:val="009B3CE3"/>
    <w:rsid w:val="009B5D81"/>
    <w:rsid w:val="009B6255"/>
    <w:rsid w:val="009B6780"/>
    <w:rsid w:val="009B6F35"/>
    <w:rsid w:val="009B70EC"/>
    <w:rsid w:val="009B7544"/>
    <w:rsid w:val="009C03A6"/>
    <w:rsid w:val="009C1700"/>
    <w:rsid w:val="009C2397"/>
    <w:rsid w:val="009C3CFD"/>
    <w:rsid w:val="009C4129"/>
    <w:rsid w:val="009C50AD"/>
    <w:rsid w:val="009C641D"/>
    <w:rsid w:val="009C6559"/>
    <w:rsid w:val="009C6A25"/>
    <w:rsid w:val="009C6B4A"/>
    <w:rsid w:val="009D0188"/>
    <w:rsid w:val="009D05CA"/>
    <w:rsid w:val="009D437A"/>
    <w:rsid w:val="009D775A"/>
    <w:rsid w:val="009E0322"/>
    <w:rsid w:val="009E0634"/>
    <w:rsid w:val="009E1997"/>
    <w:rsid w:val="009E2566"/>
    <w:rsid w:val="009E2EDA"/>
    <w:rsid w:val="009E35BB"/>
    <w:rsid w:val="009E3DC7"/>
    <w:rsid w:val="009E4B92"/>
    <w:rsid w:val="009E5028"/>
    <w:rsid w:val="009E5316"/>
    <w:rsid w:val="009E688D"/>
    <w:rsid w:val="009E7E54"/>
    <w:rsid w:val="009F0288"/>
    <w:rsid w:val="009F3874"/>
    <w:rsid w:val="009F3DFA"/>
    <w:rsid w:val="009F48A9"/>
    <w:rsid w:val="009F6780"/>
    <w:rsid w:val="009F6A24"/>
    <w:rsid w:val="009F7257"/>
    <w:rsid w:val="00A00886"/>
    <w:rsid w:val="00A011C1"/>
    <w:rsid w:val="00A02D7F"/>
    <w:rsid w:val="00A0349D"/>
    <w:rsid w:val="00A03A0E"/>
    <w:rsid w:val="00A03E72"/>
    <w:rsid w:val="00A047A5"/>
    <w:rsid w:val="00A063E2"/>
    <w:rsid w:val="00A06B9C"/>
    <w:rsid w:val="00A06DBA"/>
    <w:rsid w:val="00A073B3"/>
    <w:rsid w:val="00A07A3E"/>
    <w:rsid w:val="00A1071D"/>
    <w:rsid w:val="00A11403"/>
    <w:rsid w:val="00A1187B"/>
    <w:rsid w:val="00A11A9F"/>
    <w:rsid w:val="00A11CEF"/>
    <w:rsid w:val="00A12EDE"/>
    <w:rsid w:val="00A14B4F"/>
    <w:rsid w:val="00A15F0A"/>
    <w:rsid w:val="00A16B79"/>
    <w:rsid w:val="00A17EDB"/>
    <w:rsid w:val="00A20BA4"/>
    <w:rsid w:val="00A20D91"/>
    <w:rsid w:val="00A25380"/>
    <w:rsid w:val="00A26816"/>
    <w:rsid w:val="00A27611"/>
    <w:rsid w:val="00A3103B"/>
    <w:rsid w:val="00A31AD7"/>
    <w:rsid w:val="00A3370B"/>
    <w:rsid w:val="00A338C9"/>
    <w:rsid w:val="00A343F2"/>
    <w:rsid w:val="00A34785"/>
    <w:rsid w:val="00A355C6"/>
    <w:rsid w:val="00A35F88"/>
    <w:rsid w:val="00A36A22"/>
    <w:rsid w:val="00A41812"/>
    <w:rsid w:val="00A4277D"/>
    <w:rsid w:val="00A428E6"/>
    <w:rsid w:val="00A4453A"/>
    <w:rsid w:val="00A44B9B"/>
    <w:rsid w:val="00A44EA2"/>
    <w:rsid w:val="00A46AA6"/>
    <w:rsid w:val="00A47DB3"/>
    <w:rsid w:val="00A47F35"/>
    <w:rsid w:val="00A50006"/>
    <w:rsid w:val="00A515BB"/>
    <w:rsid w:val="00A52289"/>
    <w:rsid w:val="00A52D52"/>
    <w:rsid w:val="00A5450A"/>
    <w:rsid w:val="00A54D14"/>
    <w:rsid w:val="00A55A1D"/>
    <w:rsid w:val="00A55CDC"/>
    <w:rsid w:val="00A55F40"/>
    <w:rsid w:val="00A60901"/>
    <w:rsid w:val="00A6340C"/>
    <w:rsid w:val="00A63E3E"/>
    <w:rsid w:val="00A66006"/>
    <w:rsid w:val="00A66F84"/>
    <w:rsid w:val="00A70213"/>
    <w:rsid w:val="00A7022D"/>
    <w:rsid w:val="00A7287F"/>
    <w:rsid w:val="00A72A60"/>
    <w:rsid w:val="00A73ACF"/>
    <w:rsid w:val="00A75417"/>
    <w:rsid w:val="00A75BE7"/>
    <w:rsid w:val="00A75C52"/>
    <w:rsid w:val="00A76556"/>
    <w:rsid w:val="00A77238"/>
    <w:rsid w:val="00A7776F"/>
    <w:rsid w:val="00A77B0A"/>
    <w:rsid w:val="00A806E7"/>
    <w:rsid w:val="00A81174"/>
    <w:rsid w:val="00A84026"/>
    <w:rsid w:val="00A85C8F"/>
    <w:rsid w:val="00A86348"/>
    <w:rsid w:val="00A86D84"/>
    <w:rsid w:val="00A909E8"/>
    <w:rsid w:val="00A90BCA"/>
    <w:rsid w:val="00A91104"/>
    <w:rsid w:val="00A913D6"/>
    <w:rsid w:val="00A91A35"/>
    <w:rsid w:val="00A92B31"/>
    <w:rsid w:val="00A92D78"/>
    <w:rsid w:val="00A937BB"/>
    <w:rsid w:val="00A940DF"/>
    <w:rsid w:val="00A96614"/>
    <w:rsid w:val="00A966CB"/>
    <w:rsid w:val="00A96F9D"/>
    <w:rsid w:val="00A97BCF"/>
    <w:rsid w:val="00AA0F7D"/>
    <w:rsid w:val="00AA13AA"/>
    <w:rsid w:val="00AA3213"/>
    <w:rsid w:val="00AA3C44"/>
    <w:rsid w:val="00AA5700"/>
    <w:rsid w:val="00AA5DC4"/>
    <w:rsid w:val="00AA624B"/>
    <w:rsid w:val="00AA6A54"/>
    <w:rsid w:val="00AB0672"/>
    <w:rsid w:val="00AB117A"/>
    <w:rsid w:val="00AB1EC8"/>
    <w:rsid w:val="00AB2617"/>
    <w:rsid w:val="00AB4CEA"/>
    <w:rsid w:val="00AB5D05"/>
    <w:rsid w:val="00AB65B1"/>
    <w:rsid w:val="00AB680D"/>
    <w:rsid w:val="00AB6E7A"/>
    <w:rsid w:val="00AB73D5"/>
    <w:rsid w:val="00AC0F3E"/>
    <w:rsid w:val="00AC3159"/>
    <w:rsid w:val="00AC337C"/>
    <w:rsid w:val="00AC37D5"/>
    <w:rsid w:val="00AC3C5C"/>
    <w:rsid w:val="00AC46C3"/>
    <w:rsid w:val="00AC57B1"/>
    <w:rsid w:val="00AC5BC6"/>
    <w:rsid w:val="00AC667E"/>
    <w:rsid w:val="00AC6939"/>
    <w:rsid w:val="00AC6E2D"/>
    <w:rsid w:val="00AC7EED"/>
    <w:rsid w:val="00AD0DD1"/>
    <w:rsid w:val="00AD3411"/>
    <w:rsid w:val="00AD349B"/>
    <w:rsid w:val="00AD39E8"/>
    <w:rsid w:val="00AD54F1"/>
    <w:rsid w:val="00AD5A68"/>
    <w:rsid w:val="00AD6599"/>
    <w:rsid w:val="00AE03E6"/>
    <w:rsid w:val="00AE07E0"/>
    <w:rsid w:val="00AE110F"/>
    <w:rsid w:val="00AE2648"/>
    <w:rsid w:val="00AE30CB"/>
    <w:rsid w:val="00AE33E1"/>
    <w:rsid w:val="00AE3979"/>
    <w:rsid w:val="00AE3CF9"/>
    <w:rsid w:val="00AE497B"/>
    <w:rsid w:val="00AE4FDE"/>
    <w:rsid w:val="00AE71AC"/>
    <w:rsid w:val="00AE79B6"/>
    <w:rsid w:val="00AE7EF2"/>
    <w:rsid w:val="00AF0020"/>
    <w:rsid w:val="00AF0A49"/>
    <w:rsid w:val="00AF0C81"/>
    <w:rsid w:val="00AF1807"/>
    <w:rsid w:val="00AF1D5D"/>
    <w:rsid w:val="00AF1F7B"/>
    <w:rsid w:val="00AF2098"/>
    <w:rsid w:val="00AF284C"/>
    <w:rsid w:val="00AF3558"/>
    <w:rsid w:val="00AF36C3"/>
    <w:rsid w:val="00AF39B6"/>
    <w:rsid w:val="00AF39E7"/>
    <w:rsid w:val="00AF3F32"/>
    <w:rsid w:val="00B01C63"/>
    <w:rsid w:val="00B01EE8"/>
    <w:rsid w:val="00B03F2A"/>
    <w:rsid w:val="00B03FD1"/>
    <w:rsid w:val="00B04662"/>
    <w:rsid w:val="00B05B9C"/>
    <w:rsid w:val="00B05FDA"/>
    <w:rsid w:val="00B063FF"/>
    <w:rsid w:val="00B07F7D"/>
    <w:rsid w:val="00B10FFA"/>
    <w:rsid w:val="00B13306"/>
    <w:rsid w:val="00B13D03"/>
    <w:rsid w:val="00B16A74"/>
    <w:rsid w:val="00B17660"/>
    <w:rsid w:val="00B21083"/>
    <w:rsid w:val="00B21DA7"/>
    <w:rsid w:val="00B2239E"/>
    <w:rsid w:val="00B231CF"/>
    <w:rsid w:val="00B2434B"/>
    <w:rsid w:val="00B25726"/>
    <w:rsid w:val="00B2578F"/>
    <w:rsid w:val="00B3072D"/>
    <w:rsid w:val="00B3199E"/>
    <w:rsid w:val="00B32791"/>
    <w:rsid w:val="00B33D7C"/>
    <w:rsid w:val="00B33E3C"/>
    <w:rsid w:val="00B34A31"/>
    <w:rsid w:val="00B35531"/>
    <w:rsid w:val="00B3560B"/>
    <w:rsid w:val="00B35B31"/>
    <w:rsid w:val="00B35CE1"/>
    <w:rsid w:val="00B36098"/>
    <w:rsid w:val="00B36D96"/>
    <w:rsid w:val="00B3741C"/>
    <w:rsid w:val="00B375FD"/>
    <w:rsid w:val="00B3778E"/>
    <w:rsid w:val="00B3782D"/>
    <w:rsid w:val="00B40773"/>
    <w:rsid w:val="00B41A25"/>
    <w:rsid w:val="00B4269E"/>
    <w:rsid w:val="00B4275C"/>
    <w:rsid w:val="00B43964"/>
    <w:rsid w:val="00B4542C"/>
    <w:rsid w:val="00B45A2F"/>
    <w:rsid w:val="00B463F0"/>
    <w:rsid w:val="00B46619"/>
    <w:rsid w:val="00B473BC"/>
    <w:rsid w:val="00B502A1"/>
    <w:rsid w:val="00B50D13"/>
    <w:rsid w:val="00B511A0"/>
    <w:rsid w:val="00B51E85"/>
    <w:rsid w:val="00B52F5A"/>
    <w:rsid w:val="00B535DE"/>
    <w:rsid w:val="00B53D0C"/>
    <w:rsid w:val="00B558B6"/>
    <w:rsid w:val="00B55E94"/>
    <w:rsid w:val="00B56273"/>
    <w:rsid w:val="00B56A0E"/>
    <w:rsid w:val="00B56CCF"/>
    <w:rsid w:val="00B62839"/>
    <w:rsid w:val="00B629B6"/>
    <w:rsid w:val="00B62B0A"/>
    <w:rsid w:val="00B6410E"/>
    <w:rsid w:val="00B645E7"/>
    <w:rsid w:val="00B6549D"/>
    <w:rsid w:val="00B65A5B"/>
    <w:rsid w:val="00B6693F"/>
    <w:rsid w:val="00B67353"/>
    <w:rsid w:val="00B67CDE"/>
    <w:rsid w:val="00B70245"/>
    <w:rsid w:val="00B71B5A"/>
    <w:rsid w:val="00B73053"/>
    <w:rsid w:val="00B767AA"/>
    <w:rsid w:val="00B76E49"/>
    <w:rsid w:val="00B808A3"/>
    <w:rsid w:val="00B81082"/>
    <w:rsid w:val="00B82243"/>
    <w:rsid w:val="00B83503"/>
    <w:rsid w:val="00B84404"/>
    <w:rsid w:val="00B8482A"/>
    <w:rsid w:val="00B8492F"/>
    <w:rsid w:val="00B84AAA"/>
    <w:rsid w:val="00B84F67"/>
    <w:rsid w:val="00B87ACB"/>
    <w:rsid w:val="00B87AED"/>
    <w:rsid w:val="00B87BD4"/>
    <w:rsid w:val="00B87DE4"/>
    <w:rsid w:val="00B909C7"/>
    <w:rsid w:val="00B90F35"/>
    <w:rsid w:val="00B92328"/>
    <w:rsid w:val="00B92924"/>
    <w:rsid w:val="00B93F4E"/>
    <w:rsid w:val="00B9462B"/>
    <w:rsid w:val="00B94CEE"/>
    <w:rsid w:val="00B956E2"/>
    <w:rsid w:val="00B96523"/>
    <w:rsid w:val="00B966ED"/>
    <w:rsid w:val="00B96754"/>
    <w:rsid w:val="00B96D95"/>
    <w:rsid w:val="00B9729F"/>
    <w:rsid w:val="00BA082F"/>
    <w:rsid w:val="00BA0978"/>
    <w:rsid w:val="00BA1BBC"/>
    <w:rsid w:val="00BA2A64"/>
    <w:rsid w:val="00BA3833"/>
    <w:rsid w:val="00BA3DD2"/>
    <w:rsid w:val="00BA43F6"/>
    <w:rsid w:val="00BA511B"/>
    <w:rsid w:val="00BA5A5C"/>
    <w:rsid w:val="00BA6758"/>
    <w:rsid w:val="00BA7788"/>
    <w:rsid w:val="00BA7791"/>
    <w:rsid w:val="00BB0145"/>
    <w:rsid w:val="00BB04B4"/>
    <w:rsid w:val="00BB05BE"/>
    <w:rsid w:val="00BB0E15"/>
    <w:rsid w:val="00BB2432"/>
    <w:rsid w:val="00BB25A9"/>
    <w:rsid w:val="00BB313F"/>
    <w:rsid w:val="00BB37AD"/>
    <w:rsid w:val="00BB3CA5"/>
    <w:rsid w:val="00BB4093"/>
    <w:rsid w:val="00BB5703"/>
    <w:rsid w:val="00BB61F0"/>
    <w:rsid w:val="00BB7772"/>
    <w:rsid w:val="00BB7930"/>
    <w:rsid w:val="00BB79E0"/>
    <w:rsid w:val="00BC0586"/>
    <w:rsid w:val="00BC0D2B"/>
    <w:rsid w:val="00BC17A3"/>
    <w:rsid w:val="00BC18CB"/>
    <w:rsid w:val="00BC27D2"/>
    <w:rsid w:val="00BC39CB"/>
    <w:rsid w:val="00BC3EA0"/>
    <w:rsid w:val="00BC4542"/>
    <w:rsid w:val="00BC4D69"/>
    <w:rsid w:val="00BC530E"/>
    <w:rsid w:val="00BC53FA"/>
    <w:rsid w:val="00BC59A0"/>
    <w:rsid w:val="00BC5BF2"/>
    <w:rsid w:val="00BC6046"/>
    <w:rsid w:val="00BC6644"/>
    <w:rsid w:val="00BC7F9E"/>
    <w:rsid w:val="00BD3E28"/>
    <w:rsid w:val="00BD4A5F"/>
    <w:rsid w:val="00BD5337"/>
    <w:rsid w:val="00BD56EE"/>
    <w:rsid w:val="00BD5EC0"/>
    <w:rsid w:val="00BD6189"/>
    <w:rsid w:val="00BE09F6"/>
    <w:rsid w:val="00BE19ED"/>
    <w:rsid w:val="00BE1AF4"/>
    <w:rsid w:val="00BE2767"/>
    <w:rsid w:val="00BE36E3"/>
    <w:rsid w:val="00BE5B49"/>
    <w:rsid w:val="00BE6731"/>
    <w:rsid w:val="00BE7840"/>
    <w:rsid w:val="00BE7972"/>
    <w:rsid w:val="00BE7F93"/>
    <w:rsid w:val="00BF0021"/>
    <w:rsid w:val="00BF0185"/>
    <w:rsid w:val="00BF1709"/>
    <w:rsid w:val="00BF1AE0"/>
    <w:rsid w:val="00BF1B40"/>
    <w:rsid w:val="00BF20E2"/>
    <w:rsid w:val="00BF2F55"/>
    <w:rsid w:val="00BF3D73"/>
    <w:rsid w:val="00BF56FC"/>
    <w:rsid w:val="00BF673B"/>
    <w:rsid w:val="00BF7672"/>
    <w:rsid w:val="00BF78BD"/>
    <w:rsid w:val="00C0047F"/>
    <w:rsid w:val="00C01669"/>
    <w:rsid w:val="00C027E8"/>
    <w:rsid w:val="00C037DB"/>
    <w:rsid w:val="00C03E9F"/>
    <w:rsid w:val="00C04878"/>
    <w:rsid w:val="00C05281"/>
    <w:rsid w:val="00C054D2"/>
    <w:rsid w:val="00C062C9"/>
    <w:rsid w:val="00C064FF"/>
    <w:rsid w:val="00C07FD0"/>
    <w:rsid w:val="00C120FD"/>
    <w:rsid w:val="00C12BAE"/>
    <w:rsid w:val="00C150BC"/>
    <w:rsid w:val="00C1532F"/>
    <w:rsid w:val="00C15BDA"/>
    <w:rsid w:val="00C160CF"/>
    <w:rsid w:val="00C164C5"/>
    <w:rsid w:val="00C167FA"/>
    <w:rsid w:val="00C172F8"/>
    <w:rsid w:val="00C1765B"/>
    <w:rsid w:val="00C17661"/>
    <w:rsid w:val="00C227C1"/>
    <w:rsid w:val="00C23967"/>
    <w:rsid w:val="00C249A0"/>
    <w:rsid w:val="00C25698"/>
    <w:rsid w:val="00C25E31"/>
    <w:rsid w:val="00C26422"/>
    <w:rsid w:val="00C267C2"/>
    <w:rsid w:val="00C271C6"/>
    <w:rsid w:val="00C279F5"/>
    <w:rsid w:val="00C3263C"/>
    <w:rsid w:val="00C32677"/>
    <w:rsid w:val="00C33096"/>
    <w:rsid w:val="00C33A8F"/>
    <w:rsid w:val="00C37A19"/>
    <w:rsid w:val="00C40ECF"/>
    <w:rsid w:val="00C41469"/>
    <w:rsid w:val="00C41505"/>
    <w:rsid w:val="00C416BC"/>
    <w:rsid w:val="00C4207B"/>
    <w:rsid w:val="00C45EDF"/>
    <w:rsid w:val="00C476AA"/>
    <w:rsid w:val="00C52161"/>
    <w:rsid w:val="00C52225"/>
    <w:rsid w:val="00C556E5"/>
    <w:rsid w:val="00C558E7"/>
    <w:rsid w:val="00C55E17"/>
    <w:rsid w:val="00C6247F"/>
    <w:rsid w:val="00C6272E"/>
    <w:rsid w:val="00C62EBD"/>
    <w:rsid w:val="00C63357"/>
    <w:rsid w:val="00C63AC9"/>
    <w:rsid w:val="00C63FA8"/>
    <w:rsid w:val="00C644FA"/>
    <w:rsid w:val="00C64AA3"/>
    <w:rsid w:val="00C65149"/>
    <w:rsid w:val="00C667CC"/>
    <w:rsid w:val="00C66C1C"/>
    <w:rsid w:val="00C70242"/>
    <w:rsid w:val="00C72889"/>
    <w:rsid w:val="00C74254"/>
    <w:rsid w:val="00C7450A"/>
    <w:rsid w:val="00C7534D"/>
    <w:rsid w:val="00C763BC"/>
    <w:rsid w:val="00C772E3"/>
    <w:rsid w:val="00C80E59"/>
    <w:rsid w:val="00C81110"/>
    <w:rsid w:val="00C81209"/>
    <w:rsid w:val="00C81241"/>
    <w:rsid w:val="00C817D4"/>
    <w:rsid w:val="00C85EDA"/>
    <w:rsid w:val="00C8691B"/>
    <w:rsid w:val="00C87C06"/>
    <w:rsid w:val="00C95535"/>
    <w:rsid w:val="00C975F9"/>
    <w:rsid w:val="00CA0189"/>
    <w:rsid w:val="00CA0C1E"/>
    <w:rsid w:val="00CA0CC0"/>
    <w:rsid w:val="00CA246D"/>
    <w:rsid w:val="00CA2760"/>
    <w:rsid w:val="00CA4E90"/>
    <w:rsid w:val="00CA521E"/>
    <w:rsid w:val="00CA691A"/>
    <w:rsid w:val="00CA6ED6"/>
    <w:rsid w:val="00CA7071"/>
    <w:rsid w:val="00CB0C03"/>
    <w:rsid w:val="00CB26AA"/>
    <w:rsid w:val="00CB4857"/>
    <w:rsid w:val="00CB4D41"/>
    <w:rsid w:val="00CB4EBD"/>
    <w:rsid w:val="00CB50E6"/>
    <w:rsid w:val="00CB681B"/>
    <w:rsid w:val="00CC01F4"/>
    <w:rsid w:val="00CC11A3"/>
    <w:rsid w:val="00CC127A"/>
    <w:rsid w:val="00CC150A"/>
    <w:rsid w:val="00CC25B3"/>
    <w:rsid w:val="00CC41AC"/>
    <w:rsid w:val="00CC67DB"/>
    <w:rsid w:val="00CD0949"/>
    <w:rsid w:val="00CD22FF"/>
    <w:rsid w:val="00CD2DE6"/>
    <w:rsid w:val="00CD3453"/>
    <w:rsid w:val="00CD41F2"/>
    <w:rsid w:val="00CD4989"/>
    <w:rsid w:val="00CD4B70"/>
    <w:rsid w:val="00CD5087"/>
    <w:rsid w:val="00CD5C3A"/>
    <w:rsid w:val="00CD713D"/>
    <w:rsid w:val="00CE0020"/>
    <w:rsid w:val="00CE0275"/>
    <w:rsid w:val="00CE049E"/>
    <w:rsid w:val="00CE1B61"/>
    <w:rsid w:val="00CE23A5"/>
    <w:rsid w:val="00CE256F"/>
    <w:rsid w:val="00CE3001"/>
    <w:rsid w:val="00CE5474"/>
    <w:rsid w:val="00CE645F"/>
    <w:rsid w:val="00CE65CF"/>
    <w:rsid w:val="00CE7E54"/>
    <w:rsid w:val="00CE7F15"/>
    <w:rsid w:val="00CF159F"/>
    <w:rsid w:val="00CF2546"/>
    <w:rsid w:val="00CF333B"/>
    <w:rsid w:val="00CF359D"/>
    <w:rsid w:val="00CF3D18"/>
    <w:rsid w:val="00CF4F75"/>
    <w:rsid w:val="00CF5503"/>
    <w:rsid w:val="00CF570F"/>
    <w:rsid w:val="00CF6E38"/>
    <w:rsid w:val="00D00CC8"/>
    <w:rsid w:val="00D01E05"/>
    <w:rsid w:val="00D020ED"/>
    <w:rsid w:val="00D026C0"/>
    <w:rsid w:val="00D03E9D"/>
    <w:rsid w:val="00D04D3D"/>
    <w:rsid w:val="00D05097"/>
    <w:rsid w:val="00D05924"/>
    <w:rsid w:val="00D063A6"/>
    <w:rsid w:val="00D067C7"/>
    <w:rsid w:val="00D0750C"/>
    <w:rsid w:val="00D1099C"/>
    <w:rsid w:val="00D10F3A"/>
    <w:rsid w:val="00D12CC4"/>
    <w:rsid w:val="00D137AD"/>
    <w:rsid w:val="00D1399D"/>
    <w:rsid w:val="00D13C0F"/>
    <w:rsid w:val="00D140E3"/>
    <w:rsid w:val="00D143FD"/>
    <w:rsid w:val="00D14BE7"/>
    <w:rsid w:val="00D16BED"/>
    <w:rsid w:val="00D178D5"/>
    <w:rsid w:val="00D20CAD"/>
    <w:rsid w:val="00D20D5D"/>
    <w:rsid w:val="00D23AE1"/>
    <w:rsid w:val="00D248C8"/>
    <w:rsid w:val="00D24C66"/>
    <w:rsid w:val="00D2554E"/>
    <w:rsid w:val="00D26EF9"/>
    <w:rsid w:val="00D278AA"/>
    <w:rsid w:val="00D27A02"/>
    <w:rsid w:val="00D32231"/>
    <w:rsid w:val="00D3254E"/>
    <w:rsid w:val="00D35230"/>
    <w:rsid w:val="00D373A8"/>
    <w:rsid w:val="00D37ABE"/>
    <w:rsid w:val="00D423E7"/>
    <w:rsid w:val="00D43AA0"/>
    <w:rsid w:val="00D441B2"/>
    <w:rsid w:val="00D46D88"/>
    <w:rsid w:val="00D4727D"/>
    <w:rsid w:val="00D473D5"/>
    <w:rsid w:val="00D479EF"/>
    <w:rsid w:val="00D47A89"/>
    <w:rsid w:val="00D47CF9"/>
    <w:rsid w:val="00D47E19"/>
    <w:rsid w:val="00D5186D"/>
    <w:rsid w:val="00D52C3A"/>
    <w:rsid w:val="00D53A77"/>
    <w:rsid w:val="00D547E7"/>
    <w:rsid w:val="00D56B42"/>
    <w:rsid w:val="00D57802"/>
    <w:rsid w:val="00D57E47"/>
    <w:rsid w:val="00D60159"/>
    <w:rsid w:val="00D615CD"/>
    <w:rsid w:val="00D626F5"/>
    <w:rsid w:val="00D62739"/>
    <w:rsid w:val="00D62B1B"/>
    <w:rsid w:val="00D633ED"/>
    <w:rsid w:val="00D63FDC"/>
    <w:rsid w:val="00D64263"/>
    <w:rsid w:val="00D64309"/>
    <w:rsid w:val="00D6529A"/>
    <w:rsid w:val="00D67A76"/>
    <w:rsid w:val="00D67FF4"/>
    <w:rsid w:val="00D70065"/>
    <w:rsid w:val="00D706C9"/>
    <w:rsid w:val="00D724D0"/>
    <w:rsid w:val="00D72A78"/>
    <w:rsid w:val="00D733CC"/>
    <w:rsid w:val="00D734B2"/>
    <w:rsid w:val="00D73614"/>
    <w:rsid w:val="00D73881"/>
    <w:rsid w:val="00D739AA"/>
    <w:rsid w:val="00D74445"/>
    <w:rsid w:val="00D75513"/>
    <w:rsid w:val="00D75561"/>
    <w:rsid w:val="00D761E0"/>
    <w:rsid w:val="00D7657B"/>
    <w:rsid w:val="00D76AF9"/>
    <w:rsid w:val="00D76C71"/>
    <w:rsid w:val="00D76CD8"/>
    <w:rsid w:val="00D76EC5"/>
    <w:rsid w:val="00D7787F"/>
    <w:rsid w:val="00D8079A"/>
    <w:rsid w:val="00D8129A"/>
    <w:rsid w:val="00D81305"/>
    <w:rsid w:val="00D81BCB"/>
    <w:rsid w:val="00D821E3"/>
    <w:rsid w:val="00D827BE"/>
    <w:rsid w:val="00D82DF2"/>
    <w:rsid w:val="00D83F7E"/>
    <w:rsid w:val="00D8461F"/>
    <w:rsid w:val="00D8522B"/>
    <w:rsid w:val="00D87827"/>
    <w:rsid w:val="00D915EB"/>
    <w:rsid w:val="00D916DF"/>
    <w:rsid w:val="00D923B2"/>
    <w:rsid w:val="00D93104"/>
    <w:rsid w:val="00D93728"/>
    <w:rsid w:val="00D94C19"/>
    <w:rsid w:val="00D94FE0"/>
    <w:rsid w:val="00D95359"/>
    <w:rsid w:val="00D953D6"/>
    <w:rsid w:val="00D96163"/>
    <w:rsid w:val="00D962AF"/>
    <w:rsid w:val="00D96D79"/>
    <w:rsid w:val="00D96EB2"/>
    <w:rsid w:val="00D971EF"/>
    <w:rsid w:val="00D97BE4"/>
    <w:rsid w:val="00D97D22"/>
    <w:rsid w:val="00DA0923"/>
    <w:rsid w:val="00DA10DC"/>
    <w:rsid w:val="00DA13DB"/>
    <w:rsid w:val="00DA2762"/>
    <w:rsid w:val="00DA32C0"/>
    <w:rsid w:val="00DA4066"/>
    <w:rsid w:val="00DA409D"/>
    <w:rsid w:val="00DA7332"/>
    <w:rsid w:val="00DA7398"/>
    <w:rsid w:val="00DA7784"/>
    <w:rsid w:val="00DA782C"/>
    <w:rsid w:val="00DB09B7"/>
    <w:rsid w:val="00DB0A15"/>
    <w:rsid w:val="00DB1ADF"/>
    <w:rsid w:val="00DB1C92"/>
    <w:rsid w:val="00DB3A4E"/>
    <w:rsid w:val="00DB42E0"/>
    <w:rsid w:val="00DB5FD0"/>
    <w:rsid w:val="00DB682A"/>
    <w:rsid w:val="00DB68F1"/>
    <w:rsid w:val="00DB6EBD"/>
    <w:rsid w:val="00DC018D"/>
    <w:rsid w:val="00DC0293"/>
    <w:rsid w:val="00DC1089"/>
    <w:rsid w:val="00DC1FDF"/>
    <w:rsid w:val="00DC341E"/>
    <w:rsid w:val="00DC360C"/>
    <w:rsid w:val="00DC3F26"/>
    <w:rsid w:val="00DC45D3"/>
    <w:rsid w:val="00DC6CB7"/>
    <w:rsid w:val="00DD1530"/>
    <w:rsid w:val="00DD38A7"/>
    <w:rsid w:val="00DD428A"/>
    <w:rsid w:val="00DD5CA1"/>
    <w:rsid w:val="00DD7964"/>
    <w:rsid w:val="00DD7A0E"/>
    <w:rsid w:val="00DE0A47"/>
    <w:rsid w:val="00DE3894"/>
    <w:rsid w:val="00DE3975"/>
    <w:rsid w:val="00DE5DE9"/>
    <w:rsid w:val="00DE63C2"/>
    <w:rsid w:val="00DE6A98"/>
    <w:rsid w:val="00DE6DF4"/>
    <w:rsid w:val="00DF0840"/>
    <w:rsid w:val="00DF1BAF"/>
    <w:rsid w:val="00DF2E7B"/>
    <w:rsid w:val="00DF332B"/>
    <w:rsid w:val="00DF39A3"/>
    <w:rsid w:val="00DF3EF9"/>
    <w:rsid w:val="00DF41BF"/>
    <w:rsid w:val="00DF42B0"/>
    <w:rsid w:val="00DF435A"/>
    <w:rsid w:val="00DF45F2"/>
    <w:rsid w:val="00E002F8"/>
    <w:rsid w:val="00E009AF"/>
    <w:rsid w:val="00E018F0"/>
    <w:rsid w:val="00E03367"/>
    <w:rsid w:val="00E03BB5"/>
    <w:rsid w:val="00E05C10"/>
    <w:rsid w:val="00E05C70"/>
    <w:rsid w:val="00E0768E"/>
    <w:rsid w:val="00E079B1"/>
    <w:rsid w:val="00E10147"/>
    <w:rsid w:val="00E10418"/>
    <w:rsid w:val="00E11549"/>
    <w:rsid w:val="00E12568"/>
    <w:rsid w:val="00E12CC0"/>
    <w:rsid w:val="00E1347E"/>
    <w:rsid w:val="00E138FC"/>
    <w:rsid w:val="00E13FFC"/>
    <w:rsid w:val="00E143ED"/>
    <w:rsid w:val="00E14877"/>
    <w:rsid w:val="00E149A8"/>
    <w:rsid w:val="00E14B1F"/>
    <w:rsid w:val="00E15132"/>
    <w:rsid w:val="00E171A5"/>
    <w:rsid w:val="00E171F6"/>
    <w:rsid w:val="00E20559"/>
    <w:rsid w:val="00E21A37"/>
    <w:rsid w:val="00E225DE"/>
    <w:rsid w:val="00E27E9A"/>
    <w:rsid w:val="00E30501"/>
    <w:rsid w:val="00E307B5"/>
    <w:rsid w:val="00E30FFC"/>
    <w:rsid w:val="00E32448"/>
    <w:rsid w:val="00E33169"/>
    <w:rsid w:val="00E33E87"/>
    <w:rsid w:val="00E34D43"/>
    <w:rsid w:val="00E34D51"/>
    <w:rsid w:val="00E35EFA"/>
    <w:rsid w:val="00E36509"/>
    <w:rsid w:val="00E37C1D"/>
    <w:rsid w:val="00E37E01"/>
    <w:rsid w:val="00E40B52"/>
    <w:rsid w:val="00E414AD"/>
    <w:rsid w:val="00E427A8"/>
    <w:rsid w:val="00E4376D"/>
    <w:rsid w:val="00E43C1B"/>
    <w:rsid w:val="00E44037"/>
    <w:rsid w:val="00E45378"/>
    <w:rsid w:val="00E4576A"/>
    <w:rsid w:val="00E4691B"/>
    <w:rsid w:val="00E4704D"/>
    <w:rsid w:val="00E470F3"/>
    <w:rsid w:val="00E47D76"/>
    <w:rsid w:val="00E47F68"/>
    <w:rsid w:val="00E5048A"/>
    <w:rsid w:val="00E50DD0"/>
    <w:rsid w:val="00E52224"/>
    <w:rsid w:val="00E52DB9"/>
    <w:rsid w:val="00E541E8"/>
    <w:rsid w:val="00E579EC"/>
    <w:rsid w:val="00E57F7A"/>
    <w:rsid w:val="00E57FC6"/>
    <w:rsid w:val="00E60BBE"/>
    <w:rsid w:val="00E619A0"/>
    <w:rsid w:val="00E652BF"/>
    <w:rsid w:val="00E66FAA"/>
    <w:rsid w:val="00E674B9"/>
    <w:rsid w:val="00E70CE5"/>
    <w:rsid w:val="00E7267E"/>
    <w:rsid w:val="00E73EA5"/>
    <w:rsid w:val="00E74357"/>
    <w:rsid w:val="00E746F0"/>
    <w:rsid w:val="00E74D8E"/>
    <w:rsid w:val="00E75062"/>
    <w:rsid w:val="00E773F9"/>
    <w:rsid w:val="00E77AAA"/>
    <w:rsid w:val="00E81A89"/>
    <w:rsid w:val="00E81CE4"/>
    <w:rsid w:val="00E8383D"/>
    <w:rsid w:val="00E83A88"/>
    <w:rsid w:val="00E84502"/>
    <w:rsid w:val="00E85657"/>
    <w:rsid w:val="00E859DB"/>
    <w:rsid w:val="00E863EC"/>
    <w:rsid w:val="00E8657B"/>
    <w:rsid w:val="00E869D5"/>
    <w:rsid w:val="00E86F71"/>
    <w:rsid w:val="00E873E2"/>
    <w:rsid w:val="00E876FF"/>
    <w:rsid w:val="00E9033E"/>
    <w:rsid w:val="00E91400"/>
    <w:rsid w:val="00E917C8"/>
    <w:rsid w:val="00E92497"/>
    <w:rsid w:val="00E931E4"/>
    <w:rsid w:val="00E93ED8"/>
    <w:rsid w:val="00EA209B"/>
    <w:rsid w:val="00EA24DE"/>
    <w:rsid w:val="00EA2A42"/>
    <w:rsid w:val="00EA2E0C"/>
    <w:rsid w:val="00EA30AB"/>
    <w:rsid w:val="00EA37C0"/>
    <w:rsid w:val="00EA4DDC"/>
    <w:rsid w:val="00EA5F92"/>
    <w:rsid w:val="00EA7ED8"/>
    <w:rsid w:val="00EA7FB5"/>
    <w:rsid w:val="00EB10AF"/>
    <w:rsid w:val="00EB13E5"/>
    <w:rsid w:val="00EB16E0"/>
    <w:rsid w:val="00EB1CB1"/>
    <w:rsid w:val="00EB270D"/>
    <w:rsid w:val="00EB3375"/>
    <w:rsid w:val="00EB3757"/>
    <w:rsid w:val="00EB379E"/>
    <w:rsid w:val="00EB39DF"/>
    <w:rsid w:val="00EB45A4"/>
    <w:rsid w:val="00EC0A8C"/>
    <w:rsid w:val="00EC214F"/>
    <w:rsid w:val="00EC2A08"/>
    <w:rsid w:val="00EC37A2"/>
    <w:rsid w:val="00EC3AAA"/>
    <w:rsid w:val="00EC4180"/>
    <w:rsid w:val="00EC422F"/>
    <w:rsid w:val="00EC49B8"/>
    <w:rsid w:val="00EC56B1"/>
    <w:rsid w:val="00EC5790"/>
    <w:rsid w:val="00EC6190"/>
    <w:rsid w:val="00EC7C8D"/>
    <w:rsid w:val="00EC7F73"/>
    <w:rsid w:val="00EC7FA0"/>
    <w:rsid w:val="00ED1F5A"/>
    <w:rsid w:val="00ED2E63"/>
    <w:rsid w:val="00ED3A9A"/>
    <w:rsid w:val="00ED3B05"/>
    <w:rsid w:val="00ED574F"/>
    <w:rsid w:val="00ED7146"/>
    <w:rsid w:val="00EE0075"/>
    <w:rsid w:val="00EE049E"/>
    <w:rsid w:val="00EE0B68"/>
    <w:rsid w:val="00EE1B84"/>
    <w:rsid w:val="00EE3214"/>
    <w:rsid w:val="00EE422D"/>
    <w:rsid w:val="00EE42DF"/>
    <w:rsid w:val="00EE44D9"/>
    <w:rsid w:val="00EE504B"/>
    <w:rsid w:val="00EE68DF"/>
    <w:rsid w:val="00EE75F0"/>
    <w:rsid w:val="00EE7AA5"/>
    <w:rsid w:val="00EF02AF"/>
    <w:rsid w:val="00EF0AA8"/>
    <w:rsid w:val="00EF0BF4"/>
    <w:rsid w:val="00EF3442"/>
    <w:rsid w:val="00EF403C"/>
    <w:rsid w:val="00EF4A1B"/>
    <w:rsid w:val="00EF4E79"/>
    <w:rsid w:val="00EF5473"/>
    <w:rsid w:val="00EF6989"/>
    <w:rsid w:val="00EF75B6"/>
    <w:rsid w:val="00F0087D"/>
    <w:rsid w:val="00F00A9D"/>
    <w:rsid w:val="00F00CA4"/>
    <w:rsid w:val="00F00E66"/>
    <w:rsid w:val="00F0150D"/>
    <w:rsid w:val="00F022EE"/>
    <w:rsid w:val="00F03D3F"/>
    <w:rsid w:val="00F0510B"/>
    <w:rsid w:val="00F0543E"/>
    <w:rsid w:val="00F05A65"/>
    <w:rsid w:val="00F05AD9"/>
    <w:rsid w:val="00F05BB1"/>
    <w:rsid w:val="00F0602B"/>
    <w:rsid w:val="00F0617A"/>
    <w:rsid w:val="00F0625D"/>
    <w:rsid w:val="00F06610"/>
    <w:rsid w:val="00F07333"/>
    <w:rsid w:val="00F101A7"/>
    <w:rsid w:val="00F107B3"/>
    <w:rsid w:val="00F10F10"/>
    <w:rsid w:val="00F1120E"/>
    <w:rsid w:val="00F113FD"/>
    <w:rsid w:val="00F122C0"/>
    <w:rsid w:val="00F137DD"/>
    <w:rsid w:val="00F1386F"/>
    <w:rsid w:val="00F13C35"/>
    <w:rsid w:val="00F15D06"/>
    <w:rsid w:val="00F15F8B"/>
    <w:rsid w:val="00F16A10"/>
    <w:rsid w:val="00F16F32"/>
    <w:rsid w:val="00F17586"/>
    <w:rsid w:val="00F17D53"/>
    <w:rsid w:val="00F204BE"/>
    <w:rsid w:val="00F20635"/>
    <w:rsid w:val="00F206E1"/>
    <w:rsid w:val="00F22399"/>
    <w:rsid w:val="00F22F49"/>
    <w:rsid w:val="00F23703"/>
    <w:rsid w:val="00F23EAF"/>
    <w:rsid w:val="00F2400C"/>
    <w:rsid w:val="00F24088"/>
    <w:rsid w:val="00F25695"/>
    <w:rsid w:val="00F265F2"/>
    <w:rsid w:val="00F27AFD"/>
    <w:rsid w:val="00F30337"/>
    <w:rsid w:val="00F3084D"/>
    <w:rsid w:val="00F310D6"/>
    <w:rsid w:val="00F31652"/>
    <w:rsid w:val="00F330BC"/>
    <w:rsid w:val="00F33803"/>
    <w:rsid w:val="00F34E1C"/>
    <w:rsid w:val="00F35EFA"/>
    <w:rsid w:val="00F36ECA"/>
    <w:rsid w:val="00F374EE"/>
    <w:rsid w:val="00F40802"/>
    <w:rsid w:val="00F4214D"/>
    <w:rsid w:val="00F42D05"/>
    <w:rsid w:val="00F4486E"/>
    <w:rsid w:val="00F448FC"/>
    <w:rsid w:val="00F45563"/>
    <w:rsid w:val="00F45B27"/>
    <w:rsid w:val="00F45BC4"/>
    <w:rsid w:val="00F50DBC"/>
    <w:rsid w:val="00F51D11"/>
    <w:rsid w:val="00F51E33"/>
    <w:rsid w:val="00F52C01"/>
    <w:rsid w:val="00F535E3"/>
    <w:rsid w:val="00F54C87"/>
    <w:rsid w:val="00F550B7"/>
    <w:rsid w:val="00F56B17"/>
    <w:rsid w:val="00F57CC3"/>
    <w:rsid w:val="00F61031"/>
    <w:rsid w:val="00F61E2A"/>
    <w:rsid w:val="00F624B9"/>
    <w:rsid w:val="00F637B2"/>
    <w:rsid w:val="00F64BC8"/>
    <w:rsid w:val="00F6570B"/>
    <w:rsid w:val="00F65FF2"/>
    <w:rsid w:val="00F6643C"/>
    <w:rsid w:val="00F66489"/>
    <w:rsid w:val="00F673B4"/>
    <w:rsid w:val="00F674BA"/>
    <w:rsid w:val="00F675F7"/>
    <w:rsid w:val="00F6769C"/>
    <w:rsid w:val="00F67D43"/>
    <w:rsid w:val="00F70018"/>
    <w:rsid w:val="00F7331F"/>
    <w:rsid w:val="00F74A50"/>
    <w:rsid w:val="00F75353"/>
    <w:rsid w:val="00F76DB1"/>
    <w:rsid w:val="00F779C0"/>
    <w:rsid w:val="00F77E9E"/>
    <w:rsid w:val="00F80F2D"/>
    <w:rsid w:val="00F811EF"/>
    <w:rsid w:val="00F813AC"/>
    <w:rsid w:val="00F8252F"/>
    <w:rsid w:val="00F829D0"/>
    <w:rsid w:val="00F83ACA"/>
    <w:rsid w:val="00F84133"/>
    <w:rsid w:val="00F856BE"/>
    <w:rsid w:val="00F8592B"/>
    <w:rsid w:val="00F85AED"/>
    <w:rsid w:val="00F8621F"/>
    <w:rsid w:val="00F86E9D"/>
    <w:rsid w:val="00F8700F"/>
    <w:rsid w:val="00F87FC3"/>
    <w:rsid w:val="00F91A2B"/>
    <w:rsid w:val="00F91B9E"/>
    <w:rsid w:val="00F91E85"/>
    <w:rsid w:val="00F9306B"/>
    <w:rsid w:val="00F9380A"/>
    <w:rsid w:val="00F93DB7"/>
    <w:rsid w:val="00F94001"/>
    <w:rsid w:val="00F94CAA"/>
    <w:rsid w:val="00F9669D"/>
    <w:rsid w:val="00F96D2B"/>
    <w:rsid w:val="00F973C6"/>
    <w:rsid w:val="00F978AA"/>
    <w:rsid w:val="00FA07F4"/>
    <w:rsid w:val="00FA106B"/>
    <w:rsid w:val="00FA1A5E"/>
    <w:rsid w:val="00FA1D97"/>
    <w:rsid w:val="00FA3131"/>
    <w:rsid w:val="00FA3D9B"/>
    <w:rsid w:val="00FA4596"/>
    <w:rsid w:val="00FA5A0E"/>
    <w:rsid w:val="00FA60B6"/>
    <w:rsid w:val="00FA713D"/>
    <w:rsid w:val="00FA7563"/>
    <w:rsid w:val="00FA7754"/>
    <w:rsid w:val="00FA7853"/>
    <w:rsid w:val="00FA7EFC"/>
    <w:rsid w:val="00FB0AA3"/>
    <w:rsid w:val="00FB181A"/>
    <w:rsid w:val="00FB1871"/>
    <w:rsid w:val="00FB1998"/>
    <w:rsid w:val="00FB2923"/>
    <w:rsid w:val="00FB5423"/>
    <w:rsid w:val="00FC0D11"/>
    <w:rsid w:val="00FC1B04"/>
    <w:rsid w:val="00FC1D70"/>
    <w:rsid w:val="00FC1E46"/>
    <w:rsid w:val="00FC313F"/>
    <w:rsid w:val="00FC3ACF"/>
    <w:rsid w:val="00FC3DBC"/>
    <w:rsid w:val="00FC61D8"/>
    <w:rsid w:val="00FC6DFC"/>
    <w:rsid w:val="00FC72B3"/>
    <w:rsid w:val="00FC7CE1"/>
    <w:rsid w:val="00FD01A7"/>
    <w:rsid w:val="00FD020E"/>
    <w:rsid w:val="00FD0A4B"/>
    <w:rsid w:val="00FD108A"/>
    <w:rsid w:val="00FD1402"/>
    <w:rsid w:val="00FD2E75"/>
    <w:rsid w:val="00FD39E0"/>
    <w:rsid w:val="00FD3F8C"/>
    <w:rsid w:val="00FD4D17"/>
    <w:rsid w:val="00FD5855"/>
    <w:rsid w:val="00FD598F"/>
    <w:rsid w:val="00FD6364"/>
    <w:rsid w:val="00FD7604"/>
    <w:rsid w:val="00FD786C"/>
    <w:rsid w:val="00FD7E07"/>
    <w:rsid w:val="00FE13F4"/>
    <w:rsid w:val="00FE1832"/>
    <w:rsid w:val="00FE292F"/>
    <w:rsid w:val="00FE35CB"/>
    <w:rsid w:val="00FE412F"/>
    <w:rsid w:val="00FE5BE4"/>
    <w:rsid w:val="00FE6BA2"/>
    <w:rsid w:val="00FE732E"/>
    <w:rsid w:val="00FE7CEA"/>
    <w:rsid w:val="00FF01A3"/>
    <w:rsid w:val="00FF0F3D"/>
    <w:rsid w:val="00FF1B89"/>
    <w:rsid w:val="00FF1C4D"/>
    <w:rsid w:val="00FF210B"/>
    <w:rsid w:val="00FF35AA"/>
    <w:rsid w:val="00FF3C1F"/>
    <w:rsid w:val="00FF4411"/>
    <w:rsid w:val="00FF54D0"/>
    <w:rsid w:val="00FF5B6B"/>
    <w:rsid w:val="00FF6E6F"/>
    <w:rsid w:val="027FF23D"/>
    <w:rsid w:val="05CE9938"/>
    <w:rsid w:val="0A5DF02D"/>
    <w:rsid w:val="11E9631C"/>
    <w:rsid w:val="12AEF493"/>
    <w:rsid w:val="131C8A0D"/>
    <w:rsid w:val="13AEF5B6"/>
    <w:rsid w:val="15BA95B1"/>
    <w:rsid w:val="160C10EB"/>
    <w:rsid w:val="16636D68"/>
    <w:rsid w:val="1B9907A0"/>
    <w:rsid w:val="1C1DF662"/>
    <w:rsid w:val="1CE9FAB6"/>
    <w:rsid w:val="1CF54CD3"/>
    <w:rsid w:val="20B22B46"/>
    <w:rsid w:val="25749368"/>
    <w:rsid w:val="25B1382A"/>
    <w:rsid w:val="2B43E6DA"/>
    <w:rsid w:val="32338A87"/>
    <w:rsid w:val="329FC814"/>
    <w:rsid w:val="3415E9CE"/>
    <w:rsid w:val="36143E11"/>
    <w:rsid w:val="381888A4"/>
    <w:rsid w:val="3B810DA1"/>
    <w:rsid w:val="3CB1291E"/>
    <w:rsid w:val="3CD63885"/>
    <w:rsid w:val="3D764335"/>
    <w:rsid w:val="3DA8572F"/>
    <w:rsid w:val="46276EDB"/>
    <w:rsid w:val="47345A2B"/>
    <w:rsid w:val="48B9B7E4"/>
    <w:rsid w:val="4BD72505"/>
    <w:rsid w:val="4FED254A"/>
    <w:rsid w:val="5479E42E"/>
    <w:rsid w:val="588E8949"/>
    <w:rsid w:val="60D90227"/>
    <w:rsid w:val="62230665"/>
    <w:rsid w:val="6A712B62"/>
    <w:rsid w:val="6A90A622"/>
    <w:rsid w:val="6CA5186F"/>
    <w:rsid w:val="6DD99F0F"/>
    <w:rsid w:val="73C8DA38"/>
    <w:rsid w:val="7427AD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DBD1C"/>
  <w15:chartTrackingRefBased/>
  <w15:docId w15:val="{10A5F71D-CDB1-4D38-9C73-58531703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DB"/>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1779A9"/>
    <w:pPr>
      <w:keepNext/>
      <w:spacing w:before="24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57EC5"/>
    <w:pPr>
      <w:tabs>
        <w:tab w:val="right" w:pos="13608"/>
      </w:tabs>
      <w:spacing w:after="0" w:line="240" w:lineRule="auto"/>
      <w:jc w:val="both"/>
    </w:pPr>
    <w:rPr>
      <w:noProof/>
      <w:color w:val="000000" w:themeColor="text1"/>
      <w:spacing w:val="6"/>
      <w:sz w:val="16"/>
      <w:szCs w:val="16"/>
    </w:rPr>
  </w:style>
  <w:style w:type="character" w:customStyle="1" w:styleId="FooterChar">
    <w:name w:val="Footer Char"/>
    <w:link w:val="Footer"/>
    <w:rsid w:val="00657EC5"/>
    <w:rPr>
      <w:rFonts w:ascii="Arial" w:eastAsia="Times New Roman" w:hAnsi="Arial"/>
      <w:noProof/>
      <w:color w:val="000000" w:themeColor="text1"/>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6"/>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uiPriority w:val="99"/>
    <w:rsid w:val="00BC3EA0"/>
    <w:rPr>
      <w:rFonts w:ascii="Arial" w:hAnsi="Arial"/>
      <w:color w:val="auto"/>
      <w:position w:val="8"/>
      <w:sz w:val="16"/>
    </w:rPr>
  </w:style>
  <w:style w:type="paragraph" w:styleId="FootnoteText">
    <w:name w:val="footnote text"/>
    <w:basedOn w:val="Normal"/>
    <w:link w:val="FootnoteTextChar"/>
    <w:uiPriority w:val="99"/>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1779A9"/>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29"/>
      </w:numPr>
      <w:autoSpaceDE w:val="0"/>
      <w:autoSpaceDN w:val="0"/>
      <w:adjustRightInd w:val="0"/>
      <w:spacing w:before="60" w:after="60"/>
    </w:pPr>
    <w:rPr>
      <w:rFonts w:cs="GillSans"/>
      <w:szCs w:val="22"/>
      <w:lang w:eastAsia="en-AU"/>
    </w:rPr>
  </w:style>
  <w:style w:type="table" w:customStyle="1" w:styleId="TableGrid1">
    <w:name w:val="Table Grid1"/>
    <w:basedOn w:val="TableNormal"/>
    <w:next w:val="TableGrid"/>
    <w:rsid w:val="001D27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t-title">
    <w:name w:val="chart-title"/>
    <w:basedOn w:val="DefaultParagraphFont"/>
    <w:rsid w:val="004744D8"/>
  </w:style>
  <w:style w:type="character" w:customStyle="1" w:styleId="chart-subtitle">
    <w:name w:val="chart-subtitle"/>
    <w:basedOn w:val="DefaultParagraphFont"/>
    <w:rsid w:val="004744D8"/>
  </w:style>
  <w:style w:type="character" w:customStyle="1" w:styleId="chart-subtitle-subjects">
    <w:name w:val="chart-subtitle-subjects"/>
    <w:basedOn w:val="DefaultParagraphFont"/>
    <w:rsid w:val="004744D8"/>
  </w:style>
  <w:style w:type="character" w:customStyle="1" w:styleId="chart-subtitle-measure">
    <w:name w:val="chart-subtitle-measure"/>
    <w:basedOn w:val="DefaultParagraphFont"/>
    <w:rsid w:val="004744D8"/>
  </w:style>
  <w:style w:type="character" w:customStyle="1" w:styleId="chart-subtitle-time">
    <w:name w:val="chart-subtitle-time"/>
    <w:basedOn w:val="DefaultParagraphFont"/>
    <w:rsid w:val="004744D8"/>
  </w:style>
  <w:style w:type="paragraph" w:styleId="ListBullet">
    <w:name w:val="List Bullet"/>
    <w:basedOn w:val="Normal"/>
    <w:uiPriority w:val="99"/>
    <w:unhideWhenUsed/>
    <w:rsid w:val="00B32791"/>
    <w:pPr>
      <w:numPr>
        <w:numId w:val="49"/>
      </w:numPr>
      <w:contextualSpacing/>
    </w:pPr>
  </w:style>
  <w:style w:type="character" w:customStyle="1" w:styleId="UnresolvedMention1">
    <w:name w:val="Unresolved Mention1"/>
    <w:basedOn w:val="DefaultParagraphFont"/>
    <w:uiPriority w:val="99"/>
    <w:unhideWhenUsed/>
    <w:rsid w:val="00E143ED"/>
    <w:rPr>
      <w:color w:val="605E5C"/>
      <w:shd w:val="clear" w:color="auto" w:fill="E1DFDD"/>
    </w:rPr>
  </w:style>
  <w:style w:type="character" w:customStyle="1" w:styleId="Mention1">
    <w:name w:val="Mention1"/>
    <w:basedOn w:val="DefaultParagraphFont"/>
    <w:uiPriority w:val="99"/>
    <w:unhideWhenUsed/>
    <w:rsid w:val="00AE3CF9"/>
    <w:rPr>
      <w:color w:val="2B579A"/>
      <w:shd w:val="clear" w:color="auto" w:fill="E1DFDD"/>
    </w:rPr>
  </w:style>
  <w:style w:type="paragraph" w:customStyle="1" w:styleId="TSYList">
    <w:name w:val="TSY List"/>
    <w:basedOn w:val="Normal"/>
    <w:qFormat/>
    <w:rsid w:val="00656428"/>
    <w:pPr>
      <w:numPr>
        <w:numId w:val="54"/>
      </w:numPr>
      <w:spacing w:before="100" w:after="100" w:line="240" w:lineRule="auto"/>
      <w:jc w:val="both"/>
    </w:pPr>
    <w:rPr>
      <w:lang w:val="en-NZ" w:eastAsia="en-US"/>
    </w:rPr>
  </w:style>
  <w:style w:type="paragraph" w:customStyle="1" w:styleId="CabStandard">
    <w:name w:val="CabStandard"/>
    <w:basedOn w:val="Normal"/>
    <w:rsid w:val="006167E8"/>
    <w:pPr>
      <w:spacing w:line="240" w:lineRule="auto"/>
    </w:pPr>
    <w:rPr>
      <w:rFonts w:ascii="Times New Roman" w:hAnsi="Times New Roman"/>
      <w:sz w:val="24"/>
      <w:lang w:eastAsia="ja-JP"/>
    </w:rPr>
  </w:style>
  <w:style w:type="paragraph" w:styleId="NormalWeb">
    <w:name w:val="Normal (Web)"/>
    <w:basedOn w:val="Normal"/>
    <w:uiPriority w:val="99"/>
    <w:unhideWhenUsed/>
    <w:rsid w:val="002E3CD5"/>
    <w:pPr>
      <w:spacing w:before="100" w:beforeAutospacing="1" w:after="100" w:afterAutospacing="1" w:line="240" w:lineRule="auto"/>
    </w:pPr>
    <w:rPr>
      <w:rFonts w:ascii="Times New Roman" w:eastAsiaTheme="minorHAnsi" w:hAnsi="Times New Roman"/>
      <w:sz w:val="24"/>
      <w:szCs w:val="24"/>
      <w:lang w:val="en-NZ" w:eastAsia="en-NZ"/>
    </w:rPr>
  </w:style>
  <w:style w:type="character" w:customStyle="1" w:styleId="UnresolvedMention2">
    <w:name w:val="Unresolved Mention2"/>
    <w:basedOn w:val="DefaultParagraphFont"/>
    <w:uiPriority w:val="99"/>
    <w:semiHidden/>
    <w:unhideWhenUsed/>
    <w:rsid w:val="00E1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3462">
      <w:bodyDiv w:val="1"/>
      <w:marLeft w:val="0"/>
      <w:marRight w:val="0"/>
      <w:marTop w:val="0"/>
      <w:marBottom w:val="0"/>
      <w:divBdr>
        <w:top w:val="none" w:sz="0" w:space="0" w:color="auto"/>
        <w:left w:val="none" w:sz="0" w:space="0" w:color="auto"/>
        <w:bottom w:val="none" w:sz="0" w:space="0" w:color="auto"/>
        <w:right w:val="none" w:sz="0" w:space="0" w:color="auto"/>
      </w:divBdr>
      <w:divsChild>
        <w:div w:id="309212684">
          <w:marLeft w:val="0"/>
          <w:marRight w:val="0"/>
          <w:marTop w:val="0"/>
          <w:marBottom w:val="0"/>
          <w:divBdr>
            <w:top w:val="none" w:sz="0" w:space="0" w:color="auto"/>
            <w:left w:val="none" w:sz="0" w:space="0" w:color="auto"/>
            <w:bottom w:val="none" w:sz="0" w:space="0" w:color="auto"/>
            <w:right w:val="none" w:sz="0" w:space="0" w:color="auto"/>
          </w:divBdr>
        </w:div>
      </w:divsChild>
    </w:div>
    <w:div w:id="38601779">
      <w:bodyDiv w:val="1"/>
      <w:marLeft w:val="0"/>
      <w:marRight w:val="0"/>
      <w:marTop w:val="0"/>
      <w:marBottom w:val="0"/>
      <w:divBdr>
        <w:top w:val="none" w:sz="0" w:space="0" w:color="auto"/>
        <w:left w:val="none" w:sz="0" w:space="0" w:color="auto"/>
        <w:bottom w:val="none" w:sz="0" w:space="0" w:color="auto"/>
        <w:right w:val="none" w:sz="0" w:space="0" w:color="auto"/>
      </w:divBdr>
    </w:div>
    <w:div w:id="282269395">
      <w:bodyDiv w:val="1"/>
      <w:marLeft w:val="0"/>
      <w:marRight w:val="0"/>
      <w:marTop w:val="0"/>
      <w:marBottom w:val="0"/>
      <w:divBdr>
        <w:top w:val="none" w:sz="0" w:space="0" w:color="auto"/>
        <w:left w:val="none" w:sz="0" w:space="0" w:color="auto"/>
        <w:bottom w:val="none" w:sz="0" w:space="0" w:color="auto"/>
        <w:right w:val="none" w:sz="0" w:space="0" w:color="auto"/>
      </w:divBdr>
    </w:div>
    <w:div w:id="405802270">
      <w:bodyDiv w:val="1"/>
      <w:marLeft w:val="0"/>
      <w:marRight w:val="0"/>
      <w:marTop w:val="0"/>
      <w:marBottom w:val="0"/>
      <w:divBdr>
        <w:top w:val="none" w:sz="0" w:space="0" w:color="auto"/>
        <w:left w:val="none" w:sz="0" w:space="0" w:color="auto"/>
        <w:bottom w:val="none" w:sz="0" w:space="0" w:color="auto"/>
        <w:right w:val="none" w:sz="0" w:space="0" w:color="auto"/>
      </w:divBdr>
    </w:div>
    <w:div w:id="481503224">
      <w:bodyDiv w:val="1"/>
      <w:marLeft w:val="0"/>
      <w:marRight w:val="0"/>
      <w:marTop w:val="0"/>
      <w:marBottom w:val="0"/>
      <w:divBdr>
        <w:top w:val="none" w:sz="0" w:space="0" w:color="auto"/>
        <w:left w:val="none" w:sz="0" w:space="0" w:color="auto"/>
        <w:bottom w:val="none" w:sz="0" w:space="0" w:color="auto"/>
        <w:right w:val="none" w:sz="0" w:space="0" w:color="auto"/>
      </w:divBdr>
      <w:divsChild>
        <w:div w:id="155845796">
          <w:marLeft w:val="0"/>
          <w:marRight w:val="0"/>
          <w:marTop w:val="0"/>
          <w:marBottom w:val="0"/>
          <w:divBdr>
            <w:top w:val="none" w:sz="0" w:space="0" w:color="auto"/>
            <w:left w:val="none" w:sz="0" w:space="0" w:color="auto"/>
            <w:bottom w:val="none" w:sz="0" w:space="0" w:color="auto"/>
            <w:right w:val="none" w:sz="0" w:space="0" w:color="auto"/>
          </w:divBdr>
        </w:div>
      </w:divsChild>
    </w:div>
    <w:div w:id="483199665">
      <w:bodyDiv w:val="1"/>
      <w:marLeft w:val="0"/>
      <w:marRight w:val="0"/>
      <w:marTop w:val="0"/>
      <w:marBottom w:val="0"/>
      <w:divBdr>
        <w:top w:val="none" w:sz="0" w:space="0" w:color="auto"/>
        <w:left w:val="none" w:sz="0" w:space="0" w:color="auto"/>
        <w:bottom w:val="none" w:sz="0" w:space="0" w:color="auto"/>
        <w:right w:val="none" w:sz="0" w:space="0" w:color="auto"/>
      </w:divBdr>
    </w:div>
    <w:div w:id="504975151">
      <w:bodyDiv w:val="1"/>
      <w:marLeft w:val="0"/>
      <w:marRight w:val="0"/>
      <w:marTop w:val="0"/>
      <w:marBottom w:val="0"/>
      <w:divBdr>
        <w:top w:val="none" w:sz="0" w:space="0" w:color="auto"/>
        <w:left w:val="none" w:sz="0" w:space="0" w:color="auto"/>
        <w:bottom w:val="none" w:sz="0" w:space="0" w:color="auto"/>
        <w:right w:val="none" w:sz="0" w:space="0" w:color="auto"/>
      </w:divBdr>
    </w:div>
    <w:div w:id="588082587">
      <w:bodyDiv w:val="1"/>
      <w:marLeft w:val="0"/>
      <w:marRight w:val="0"/>
      <w:marTop w:val="0"/>
      <w:marBottom w:val="0"/>
      <w:divBdr>
        <w:top w:val="none" w:sz="0" w:space="0" w:color="auto"/>
        <w:left w:val="none" w:sz="0" w:space="0" w:color="auto"/>
        <w:bottom w:val="none" w:sz="0" w:space="0" w:color="auto"/>
        <w:right w:val="none" w:sz="0" w:space="0" w:color="auto"/>
      </w:divBdr>
    </w:div>
    <w:div w:id="591161718">
      <w:bodyDiv w:val="1"/>
      <w:marLeft w:val="0"/>
      <w:marRight w:val="0"/>
      <w:marTop w:val="0"/>
      <w:marBottom w:val="0"/>
      <w:divBdr>
        <w:top w:val="none" w:sz="0" w:space="0" w:color="auto"/>
        <w:left w:val="none" w:sz="0" w:space="0" w:color="auto"/>
        <w:bottom w:val="none" w:sz="0" w:space="0" w:color="auto"/>
        <w:right w:val="none" w:sz="0" w:space="0" w:color="auto"/>
      </w:divBdr>
    </w:div>
    <w:div w:id="600603626">
      <w:bodyDiv w:val="1"/>
      <w:marLeft w:val="0"/>
      <w:marRight w:val="0"/>
      <w:marTop w:val="0"/>
      <w:marBottom w:val="0"/>
      <w:divBdr>
        <w:top w:val="none" w:sz="0" w:space="0" w:color="auto"/>
        <w:left w:val="none" w:sz="0" w:space="0" w:color="auto"/>
        <w:bottom w:val="none" w:sz="0" w:space="0" w:color="auto"/>
        <w:right w:val="none" w:sz="0" w:space="0" w:color="auto"/>
      </w:divBdr>
    </w:div>
    <w:div w:id="616641682">
      <w:bodyDiv w:val="1"/>
      <w:marLeft w:val="0"/>
      <w:marRight w:val="0"/>
      <w:marTop w:val="0"/>
      <w:marBottom w:val="0"/>
      <w:divBdr>
        <w:top w:val="none" w:sz="0" w:space="0" w:color="auto"/>
        <w:left w:val="none" w:sz="0" w:space="0" w:color="auto"/>
        <w:bottom w:val="none" w:sz="0" w:space="0" w:color="auto"/>
        <w:right w:val="none" w:sz="0" w:space="0" w:color="auto"/>
      </w:divBdr>
    </w:div>
    <w:div w:id="621349330">
      <w:bodyDiv w:val="1"/>
      <w:marLeft w:val="0"/>
      <w:marRight w:val="0"/>
      <w:marTop w:val="0"/>
      <w:marBottom w:val="0"/>
      <w:divBdr>
        <w:top w:val="none" w:sz="0" w:space="0" w:color="auto"/>
        <w:left w:val="none" w:sz="0" w:space="0" w:color="auto"/>
        <w:bottom w:val="none" w:sz="0" w:space="0" w:color="auto"/>
        <w:right w:val="none" w:sz="0" w:space="0" w:color="auto"/>
      </w:divBdr>
    </w:div>
    <w:div w:id="734738226">
      <w:bodyDiv w:val="1"/>
      <w:marLeft w:val="0"/>
      <w:marRight w:val="0"/>
      <w:marTop w:val="0"/>
      <w:marBottom w:val="0"/>
      <w:divBdr>
        <w:top w:val="none" w:sz="0" w:space="0" w:color="auto"/>
        <w:left w:val="none" w:sz="0" w:space="0" w:color="auto"/>
        <w:bottom w:val="none" w:sz="0" w:space="0" w:color="auto"/>
        <w:right w:val="none" w:sz="0" w:space="0" w:color="auto"/>
      </w:divBdr>
    </w:div>
    <w:div w:id="1115370162">
      <w:bodyDiv w:val="1"/>
      <w:marLeft w:val="0"/>
      <w:marRight w:val="0"/>
      <w:marTop w:val="0"/>
      <w:marBottom w:val="0"/>
      <w:divBdr>
        <w:top w:val="none" w:sz="0" w:space="0" w:color="auto"/>
        <w:left w:val="none" w:sz="0" w:space="0" w:color="auto"/>
        <w:bottom w:val="none" w:sz="0" w:space="0" w:color="auto"/>
        <w:right w:val="none" w:sz="0" w:space="0" w:color="auto"/>
      </w:divBdr>
    </w:div>
    <w:div w:id="1150366287">
      <w:bodyDiv w:val="1"/>
      <w:marLeft w:val="0"/>
      <w:marRight w:val="0"/>
      <w:marTop w:val="0"/>
      <w:marBottom w:val="0"/>
      <w:divBdr>
        <w:top w:val="none" w:sz="0" w:space="0" w:color="auto"/>
        <w:left w:val="none" w:sz="0" w:space="0" w:color="auto"/>
        <w:bottom w:val="none" w:sz="0" w:space="0" w:color="auto"/>
        <w:right w:val="none" w:sz="0" w:space="0" w:color="auto"/>
      </w:divBdr>
    </w:div>
    <w:div w:id="1327903138">
      <w:bodyDiv w:val="1"/>
      <w:marLeft w:val="0"/>
      <w:marRight w:val="0"/>
      <w:marTop w:val="0"/>
      <w:marBottom w:val="0"/>
      <w:divBdr>
        <w:top w:val="none" w:sz="0" w:space="0" w:color="auto"/>
        <w:left w:val="none" w:sz="0" w:space="0" w:color="auto"/>
        <w:bottom w:val="none" w:sz="0" w:space="0" w:color="auto"/>
        <w:right w:val="none" w:sz="0" w:space="0" w:color="auto"/>
      </w:divBdr>
    </w:div>
    <w:div w:id="1364016396">
      <w:bodyDiv w:val="1"/>
      <w:marLeft w:val="0"/>
      <w:marRight w:val="0"/>
      <w:marTop w:val="0"/>
      <w:marBottom w:val="0"/>
      <w:divBdr>
        <w:top w:val="none" w:sz="0" w:space="0" w:color="auto"/>
        <w:left w:val="none" w:sz="0" w:space="0" w:color="auto"/>
        <w:bottom w:val="none" w:sz="0" w:space="0" w:color="auto"/>
        <w:right w:val="none" w:sz="0" w:space="0" w:color="auto"/>
      </w:divBdr>
    </w:div>
    <w:div w:id="1660619793">
      <w:bodyDiv w:val="1"/>
      <w:marLeft w:val="0"/>
      <w:marRight w:val="0"/>
      <w:marTop w:val="0"/>
      <w:marBottom w:val="0"/>
      <w:divBdr>
        <w:top w:val="none" w:sz="0" w:space="0" w:color="auto"/>
        <w:left w:val="none" w:sz="0" w:space="0" w:color="auto"/>
        <w:bottom w:val="none" w:sz="0" w:space="0" w:color="auto"/>
        <w:right w:val="none" w:sz="0" w:space="0" w:color="auto"/>
      </w:divBdr>
    </w:div>
    <w:div w:id="1666592628">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79179851">
      <w:bodyDiv w:val="1"/>
      <w:marLeft w:val="0"/>
      <w:marRight w:val="0"/>
      <w:marTop w:val="0"/>
      <w:marBottom w:val="0"/>
      <w:divBdr>
        <w:top w:val="none" w:sz="0" w:space="0" w:color="auto"/>
        <w:left w:val="none" w:sz="0" w:space="0" w:color="auto"/>
        <w:bottom w:val="none" w:sz="0" w:space="0" w:color="auto"/>
        <w:right w:val="none" w:sz="0" w:space="0" w:color="auto"/>
      </w:divBdr>
    </w:div>
    <w:div w:id="1865942927">
      <w:bodyDiv w:val="1"/>
      <w:marLeft w:val="0"/>
      <w:marRight w:val="0"/>
      <w:marTop w:val="0"/>
      <w:marBottom w:val="0"/>
      <w:divBdr>
        <w:top w:val="none" w:sz="0" w:space="0" w:color="auto"/>
        <w:left w:val="none" w:sz="0" w:space="0" w:color="auto"/>
        <w:bottom w:val="none" w:sz="0" w:space="0" w:color="auto"/>
        <w:right w:val="none" w:sz="0" w:space="0" w:color="auto"/>
      </w:divBdr>
    </w:div>
    <w:div w:id="1868256283">
      <w:bodyDiv w:val="1"/>
      <w:marLeft w:val="0"/>
      <w:marRight w:val="0"/>
      <w:marTop w:val="0"/>
      <w:marBottom w:val="0"/>
      <w:divBdr>
        <w:top w:val="none" w:sz="0" w:space="0" w:color="auto"/>
        <w:left w:val="none" w:sz="0" w:space="0" w:color="auto"/>
        <w:bottom w:val="none" w:sz="0" w:space="0" w:color="auto"/>
        <w:right w:val="none" w:sz="0" w:space="0" w:color="auto"/>
      </w:divBdr>
    </w:div>
    <w:div w:id="1876117087">
      <w:bodyDiv w:val="1"/>
      <w:marLeft w:val="0"/>
      <w:marRight w:val="0"/>
      <w:marTop w:val="0"/>
      <w:marBottom w:val="0"/>
      <w:divBdr>
        <w:top w:val="none" w:sz="0" w:space="0" w:color="auto"/>
        <w:left w:val="none" w:sz="0" w:space="0" w:color="auto"/>
        <w:bottom w:val="none" w:sz="0" w:space="0" w:color="auto"/>
        <w:right w:val="none" w:sz="0" w:space="0" w:color="auto"/>
      </w:divBdr>
    </w:div>
    <w:div w:id="2004428076">
      <w:bodyDiv w:val="1"/>
      <w:marLeft w:val="0"/>
      <w:marRight w:val="0"/>
      <w:marTop w:val="0"/>
      <w:marBottom w:val="0"/>
      <w:divBdr>
        <w:top w:val="none" w:sz="0" w:space="0" w:color="auto"/>
        <w:left w:val="none" w:sz="0" w:space="0" w:color="auto"/>
        <w:bottom w:val="none" w:sz="0" w:space="0" w:color="auto"/>
        <w:right w:val="none" w:sz="0" w:space="0" w:color="auto"/>
      </w:divBdr>
    </w:div>
    <w:div w:id="2009283826">
      <w:bodyDiv w:val="1"/>
      <w:marLeft w:val="0"/>
      <w:marRight w:val="0"/>
      <w:marTop w:val="0"/>
      <w:marBottom w:val="0"/>
      <w:divBdr>
        <w:top w:val="none" w:sz="0" w:space="0" w:color="auto"/>
        <w:left w:val="none" w:sz="0" w:space="0" w:color="auto"/>
        <w:bottom w:val="none" w:sz="0" w:space="0" w:color="auto"/>
        <w:right w:val="none" w:sz="0" w:space="0" w:color="auto"/>
      </w:divBdr>
    </w:div>
    <w:div w:id="20568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10FE.BFB09F8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oecdbetterlifeindex.org/topics/housing/" TargetMode="External"/><Relationship Id="rId2" Type="http://schemas.openxmlformats.org/officeDocument/2006/relationships/hyperlink" Target="https://www.stats.govt.nz/assets/Uploads/Reports/Housing-in-Aotearoa-2020/Download-data/housing-in-aotearoa-2020.pdf" TargetMode="External"/><Relationship Id="rId1" Type="http://schemas.openxmlformats.org/officeDocument/2006/relationships/hyperlink" Target="https://www.stats.govt.nz/news/homeownership-rate-lowest-in-almost-70-years" TargetMode="External"/><Relationship Id="rId6" Type="http://schemas.openxmlformats.org/officeDocument/2006/relationships/hyperlink" Target="https://www.infometrics.co.nz/nz-short-by-nearly-40000-houses/" TargetMode="External"/><Relationship Id="rId5" Type="http://schemas.openxmlformats.org/officeDocument/2006/relationships/hyperlink" Target="https://www.stats.govt.nz/news/homeownership-rate-lowest-in-almost-70-years" TargetMode="External"/><Relationship Id="rId4" Type="http://schemas.openxmlformats.org/officeDocument/2006/relationships/hyperlink" Target="https://www.stats.govt.nz/assets/Uploads/Reports/Housing-in-Aotearoa-2020/Download-data/housing-in-aotearoa-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0D7504B0-E375-4052-A3A3-8F2DA19DD323}"/>
</file>

<file path=customXml/itemProps2.xml><?xml version="1.0" encoding="utf-8"?>
<ds:datastoreItem xmlns:ds="http://schemas.openxmlformats.org/officeDocument/2006/customXml" ds:itemID="{299ABEB1-E90E-45F3-857E-59E6DF7C41F4}"/>
</file>

<file path=customXml/itemProps3.xml><?xml version="1.0" encoding="utf-8"?>
<ds:datastoreItem xmlns:ds="http://schemas.openxmlformats.org/officeDocument/2006/customXml" ds:itemID="{565C13ED-E18F-4542-BE80-6ABCB7449011}"/>
</file>

<file path=docProps/app.xml><?xml version="1.0" encoding="utf-8"?>
<Properties xmlns="http://schemas.openxmlformats.org/officeDocument/2006/extended-properties" xmlns:vt="http://schemas.openxmlformats.org/officeDocument/2006/docPropsVTypes">
  <Template>Normal.dotm</Template>
  <TotalTime>1</TotalTime>
  <Pages>34</Pages>
  <Words>14069</Words>
  <Characters>80197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Regulatory impact assessment – Tax measures to moderate house price growth – extension of the bright-line test (5 March 2021)</vt:lpstr>
    </vt:vector>
  </TitlesOfParts>
  <Company/>
  <LinksUpToDate>false</LinksUpToDate>
  <CharactersWithSpaces>94078</CharactersWithSpaces>
  <SharedDoc>false</SharedDoc>
  <HLinks>
    <vt:vector size="42" baseType="variant">
      <vt:variant>
        <vt:i4>5439579</vt:i4>
      </vt:variant>
      <vt:variant>
        <vt:i4>6</vt:i4>
      </vt:variant>
      <vt:variant>
        <vt:i4>0</vt:i4>
      </vt:variant>
      <vt:variant>
        <vt:i4>5</vt:i4>
      </vt:variant>
      <vt:variant>
        <vt:lpwstr>https://treasury.govt.nz/information-and-services/regulation/regulatory-stewardship/good-regulatory-practice</vt:lpwstr>
      </vt:variant>
      <vt:variant>
        <vt:lpwstr/>
      </vt:variant>
      <vt:variant>
        <vt:i4>6946943</vt:i4>
      </vt:variant>
      <vt:variant>
        <vt:i4>3</vt:i4>
      </vt:variant>
      <vt:variant>
        <vt:i4>0</vt:i4>
      </vt:variant>
      <vt:variant>
        <vt:i4>5</vt:i4>
      </vt:variant>
      <vt:variant>
        <vt:lpwstr>https://treasury.govt.nz/publications/guide/guide-social-cost-benefit-analysis</vt:lpwstr>
      </vt:variant>
      <vt:variant>
        <vt:lpwstr/>
      </vt:variant>
      <vt:variant>
        <vt:i4>3080254</vt:i4>
      </vt:variant>
      <vt:variant>
        <vt:i4>0</vt:i4>
      </vt:variant>
      <vt:variant>
        <vt:i4>0</vt:i4>
      </vt:variant>
      <vt:variant>
        <vt:i4>5</vt:i4>
      </vt:variant>
      <vt:variant>
        <vt:lpwstr>https://www.justice.govt.nz/maori-land-treaty/</vt:lpwstr>
      </vt:variant>
      <vt:variant>
        <vt:lpwstr/>
      </vt:variant>
      <vt:variant>
        <vt:i4>4980832</vt:i4>
      </vt:variant>
      <vt:variant>
        <vt:i4>9</vt:i4>
      </vt:variant>
      <vt:variant>
        <vt:i4>0</vt:i4>
      </vt:variant>
      <vt:variant>
        <vt:i4>5</vt:i4>
      </vt:variant>
      <vt:variant>
        <vt:lpwstr>mailto:Susanna.Berry@ird.govt.nz</vt:lpwstr>
      </vt:variant>
      <vt:variant>
        <vt:lpwstr/>
      </vt:variant>
      <vt:variant>
        <vt:i4>4980832</vt:i4>
      </vt:variant>
      <vt:variant>
        <vt:i4>6</vt:i4>
      </vt:variant>
      <vt:variant>
        <vt:i4>0</vt:i4>
      </vt:variant>
      <vt:variant>
        <vt:i4>5</vt:i4>
      </vt:variant>
      <vt:variant>
        <vt:lpwstr>mailto:Susanna.Berry@ird.govt.nz</vt:lpwstr>
      </vt:variant>
      <vt:variant>
        <vt:lpwstr/>
      </vt:variant>
      <vt:variant>
        <vt:i4>4456456</vt:i4>
      </vt:variant>
      <vt:variant>
        <vt:i4>3</vt:i4>
      </vt:variant>
      <vt:variant>
        <vt:i4>0</vt:i4>
      </vt:variant>
      <vt:variant>
        <vt:i4>5</vt:i4>
      </vt:variant>
      <vt:variant>
        <vt:lpwstr>https://www.corelogic.co.nz/news/first-home-buyers-take-record-share-purchases-q3</vt:lpwstr>
      </vt:variant>
      <vt:variant>
        <vt:lpwstr>.YA3HKsKm02w</vt:lpwstr>
      </vt:variant>
      <vt:variant>
        <vt:i4>4980750</vt:i4>
      </vt:variant>
      <vt:variant>
        <vt:i4>0</vt:i4>
      </vt:variant>
      <vt:variant>
        <vt:i4>0</vt:i4>
      </vt:variant>
      <vt:variant>
        <vt:i4>5</vt:i4>
      </vt:variant>
      <vt:variant>
        <vt:lpwstr>https://www.nber.org/papers/w14204</vt:lpwstr>
      </vt:variant>
      <vt:variant>
        <vt:lpwstr>:~:text=A%20fall%20in%20house%20prices,services)%20to%20those%20short%20housing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Tax measures to moderate house price growth – extension of the bright-line test (5 March 2021)</dc:title>
  <dc:subject/>
  <dc:creator>The Treasury</dc:creator>
  <cp:keywords/>
  <dc:description/>
  <dcterms:created xsi:type="dcterms:W3CDTF">2021-03-23T00:46:00Z</dcterms:created>
  <dcterms:modified xsi:type="dcterms:W3CDTF">2021-03-23T00:47:00Z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BusinessUnit">
    <vt:lpwstr>2;#Policy ＆ Regulatory Stewardship|5c6da56c-2219-46c1-9c7b-c15fc3fd45a5</vt:lpwstr>
  </property>
  <property fmtid="{D5CDD505-2E9C-101B-9397-08002B2CF9AE}" pid="4" name="ContentTypeId">
    <vt:lpwstr>0x0101000B461733DE48CC4985E239AAFC9C41590100670D0BD9AB7101418FC69E4F42B3A5BC</vt:lpwstr>
  </property>
  <property fmtid="{D5CDD505-2E9C-101B-9397-08002B2CF9AE}" pid="5" name="SecurityClassification">
    <vt:lpwstr>3;#In Confidence|5fccf67f-7cb1-4561-8450-fe0d2ea19178</vt:lpwstr>
  </property>
  <property fmtid="{D5CDD505-2E9C-101B-9397-08002B2CF9AE}" pid="6" name="BusinessActivity">
    <vt:lpwstr>1;#Tax policy work|c05dfd7c-a5ba-47bf-969f-3422104229d3</vt:lpwstr>
  </property>
  <property fmtid="{D5CDD505-2E9C-101B-9397-08002B2CF9AE}" pid="7" name="InformationType">
    <vt:lpwstr/>
  </property>
  <property fmtid="{D5CDD505-2E9C-101B-9397-08002B2CF9AE}" pid="8" name="DocumentStatus">
    <vt:lpwstr/>
  </property>
  <property fmtid="{D5CDD505-2E9C-101B-9397-08002B2CF9AE}" pid="9" name="MediaServiceImageTags">
    <vt:lpwstr/>
  </property>
</Properties>
</file>